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8FA70" w14:textId="3E04AB09" w:rsidR="00B839DD" w:rsidRDefault="003F7323" w:rsidP="00F44D16">
      <w:pPr>
        <w:pStyle w:val="Heading1"/>
        <w:jc w:val="both"/>
        <w:rPr>
          <w:rFonts w:ascii="Cambria" w:hAnsi="Cambria"/>
          <w:color w:val="auto"/>
        </w:rPr>
      </w:pPr>
      <w:r w:rsidRPr="004C71D6">
        <w:rPr>
          <w:rFonts w:ascii="Cambria" w:hAnsi="Cambria"/>
          <w:color w:val="auto"/>
        </w:rPr>
        <w:t xml:space="preserve">The drivers and challenges of improving </w:t>
      </w:r>
      <w:r w:rsidR="00B839DD" w:rsidRPr="004C71D6">
        <w:rPr>
          <w:rFonts w:ascii="Cambria" w:hAnsi="Cambria"/>
          <w:color w:val="auto"/>
        </w:rPr>
        <w:t xml:space="preserve">the energy efficiency performance of </w:t>
      </w:r>
      <w:r w:rsidRPr="004C71D6">
        <w:rPr>
          <w:rFonts w:ascii="Cambria" w:hAnsi="Cambria"/>
          <w:color w:val="auto"/>
        </w:rPr>
        <w:t xml:space="preserve">listed pre-1919 </w:t>
      </w:r>
      <w:r w:rsidR="00B839DD" w:rsidRPr="004C71D6">
        <w:rPr>
          <w:rFonts w:ascii="Cambria" w:hAnsi="Cambria"/>
          <w:color w:val="auto"/>
        </w:rPr>
        <w:t>housing</w:t>
      </w:r>
    </w:p>
    <w:p w14:paraId="03B93D6F" w14:textId="77777777" w:rsidR="00E44883" w:rsidRPr="004C71D6" w:rsidRDefault="00E44883" w:rsidP="00BD25D5">
      <w:pPr>
        <w:pStyle w:val="Heading2"/>
        <w:jc w:val="both"/>
        <w:rPr>
          <w:rFonts w:ascii="Cambria" w:hAnsi="Cambria"/>
          <w:color w:val="auto"/>
        </w:rPr>
      </w:pPr>
      <w:bookmarkStart w:id="0" w:name="_GoBack"/>
      <w:bookmarkEnd w:id="0"/>
      <w:r w:rsidRPr="004C71D6">
        <w:rPr>
          <w:rFonts w:ascii="Cambria" w:hAnsi="Cambria"/>
          <w:color w:val="auto"/>
        </w:rPr>
        <w:t>Introduction</w:t>
      </w:r>
    </w:p>
    <w:p w14:paraId="747674D5" w14:textId="08218B3D" w:rsidR="00303311" w:rsidRPr="006568DD" w:rsidRDefault="003F7323" w:rsidP="00BD25D5">
      <w:pPr>
        <w:jc w:val="both"/>
        <w:rPr>
          <w:rFonts w:ascii="Cambria" w:hAnsi="Cambria"/>
        </w:rPr>
      </w:pPr>
      <w:r w:rsidRPr="006568DD">
        <w:rPr>
          <w:rFonts w:ascii="Cambria" w:hAnsi="Cambria"/>
        </w:rPr>
        <w:t>European countries have committed to reducing their carbon emissions to mitigate climate change.</w:t>
      </w:r>
      <w:r w:rsidRPr="006568DD">
        <w:rPr>
          <w:rFonts w:ascii="Cambria" w:hAnsi="Cambria"/>
        </w:rPr>
        <w:t xml:space="preserve"> </w:t>
      </w:r>
      <w:r w:rsidR="00303311" w:rsidRPr="006568DD">
        <w:rPr>
          <w:rFonts w:ascii="Cambria" w:hAnsi="Cambria"/>
        </w:rPr>
        <w:t xml:space="preserve">Energy conservation and improving the energy efficiency of the built environment has been a primary focus of policy </w:t>
      </w:r>
      <w:r w:rsidR="00DD7E2C" w:rsidRPr="006568DD">
        <w:rPr>
          <w:rFonts w:ascii="Cambria" w:hAnsi="Cambria"/>
          <w:iCs/>
        </w:rPr>
        <w:t>(</w:t>
      </w:r>
      <w:proofErr w:type="spellStart"/>
      <w:r w:rsidR="00DD7E2C" w:rsidRPr="006568DD">
        <w:rPr>
          <w:rFonts w:ascii="Cambria" w:hAnsi="Cambria"/>
          <w:iCs/>
        </w:rPr>
        <w:t>Schüle</w:t>
      </w:r>
      <w:proofErr w:type="spellEnd"/>
      <w:r w:rsidR="00303311" w:rsidRPr="006568DD">
        <w:rPr>
          <w:rFonts w:ascii="Cambria" w:hAnsi="Cambria"/>
          <w:iCs/>
        </w:rPr>
        <w:t xml:space="preserve"> </w:t>
      </w:r>
      <w:r w:rsidR="00DD7E2C" w:rsidRPr="006568DD">
        <w:rPr>
          <w:rFonts w:ascii="Cambria" w:hAnsi="Cambria"/>
          <w:i/>
          <w:iCs/>
        </w:rPr>
        <w:t>et al.</w:t>
      </w:r>
      <w:r w:rsidR="00303311" w:rsidRPr="006568DD">
        <w:rPr>
          <w:rFonts w:ascii="Cambria" w:hAnsi="Cambria"/>
          <w:iCs/>
        </w:rPr>
        <w:t>, 2013)</w:t>
      </w:r>
      <w:r w:rsidR="00303311" w:rsidRPr="006568DD">
        <w:rPr>
          <w:rFonts w:ascii="Cambria" w:hAnsi="Cambria"/>
        </w:rPr>
        <w:t>. In Europe, buildings contribute to around 40% of carbon emissions (Eurostat, 2014)</w:t>
      </w:r>
      <w:r w:rsidRPr="006568DD">
        <w:rPr>
          <w:rFonts w:ascii="Cambria" w:hAnsi="Cambria"/>
        </w:rPr>
        <w:t>, and residential buildings represent ““the greatest energy saving potential” (</w:t>
      </w:r>
      <w:proofErr w:type="spellStart"/>
      <w:r w:rsidRPr="006568DD">
        <w:rPr>
          <w:rFonts w:ascii="Cambria" w:hAnsi="Cambria"/>
        </w:rPr>
        <w:t>Galatioto</w:t>
      </w:r>
      <w:proofErr w:type="spellEnd"/>
      <w:r w:rsidRPr="006568DD">
        <w:rPr>
          <w:rFonts w:ascii="Cambria" w:hAnsi="Cambria"/>
        </w:rPr>
        <w:t xml:space="preserve"> et al., 2017, p.991).</w:t>
      </w:r>
      <w:r w:rsidR="00303311" w:rsidRPr="006568DD">
        <w:rPr>
          <w:rFonts w:ascii="Cambria" w:hAnsi="Cambria"/>
        </w:rPr>
        <w:t xml:space="preserve"> There is</w:t>
      </w:r>
      <w:r w:rsidRPr="006568DD">
        <w:rPr>
          <w:rFonts w:ascii="Cambria" w:hAnsi="Cambria"/>
        </w:rPr>
        <w:t>, therefore,</w:t>
      </w:r>
      <w:r w:rsidR="00303311" w:rsidRPr="006568DD">
        <w:rPr>
          <w:rFonts w:ascii="Cambria" w:hAnsi="Cambria"/>
        </w:rPr>
        <w:t xml:space="preserve"> a consensus that increasing the energy efficiency and reducing carbon emissions of the building stock will contribute to national and international targets (European Parliamentary Research Service, EPRS, 2016).</w:t>
      </w:r>
    </w:p>
    <w:p w14:paraId="7F6D0157" w14:textId="77777777" w:rsidR="00303311" w:rsidRPr="006568DD" w:rsidRDefault="00303311" w:rsidP="00BD25D5">
      <w:pPr>
        <w:jc w:val="both"/>
        <w:rPr>
          <w:rFonts w:ascii="Cambria" w:hAnsi="Cambria"/>
        </w:rPr>
      </w:pPr>
    </w:p>
    <w:p w14:paraId="13D97173" w14:textId="19899910" w:rsidR="00303311" w:rsidRPr="006568DD" w:rsidRDefault="00303311" w:rsidP="00BD25D5">
      <w:pPr>
        <w:jc w:val="both"/>
        <w:rPr>
          <w:rFonts w:ascii="Cambria" w:hAnsi="Cambria"/>
        </w:rPr>
      </w:pPr>
      <w:r w:rsidRPr="006568DD">
        <w:rPr>
          <w:rFonts w:ascii="Cambria" w:hAnsi="Cambria"/>
        </w:rPr>
        <w:t xml:space="preserve">To facilitate achieving </w:t>
      </w:r>
      <w:r w:rsidR="003F7323" w:rsidRPr="006568DD">
        <w:rPr>
          <w:rFonts w:ascii="Cambria" w:hAnsi="Cambria"/>
        </w:rPr>
        <w:t xml:space="preserve">national and international </w:t>
      </w:r>
      <w:r w:rsidRPr="006568DD">
        <w:rPr>
          <w:rFonts w:ascii="Cambria" w:hAnsi="Cambria"/>
        </w:rPr>
        <w:t xml:space="preserve">carbon reduction targets in existing buildings the European Commission launched the 2010 Energy Performance Building Directive and the 2012 Energy Efficiency Directive. Each European Union (EU) member state subsequently developed their own policies under these directives to comply with EU legal obligations </w:t>
      </w:r>
      <w:r w:rsidR="003F7323" w:rsidRPr="006568DD">
        <w:rPr>
          <w:rFonts w:ascii="Cambria" w:hAnsi="Cambria"/>
        </w:rPr>
        <w:t>(</w:t>
      </w:r>
      <w:proofErr w:type="spellStart"/>
      <w:r w:rsidR="003F7323" w:rsidRPr="006568DD">
        <w:rPr>
          <w:rFonts w:ascii="Cambria" w:hAnsi="Cambria"/>
        </w:rPr>
        <w:t>Burman</w:t>
      </w:r>
      <w:proofErr w:type="spellEnd"/>
      <w:r w:rsidR="003F7323" w:rsidRPr="006568DD">
        <w:rPr>
          <w:rFonts w:ascii="Cambria" w:hAnsi="Cambria"/>
        </w:rPr>
        <w:t xml:space="preserve"> et al., </w:t>
      </w:r>
      <w:proofErr w:type="gramStart"/>
      <w:r w:rsidR="003F7323" w:rsidRPr="006568DD">
        <w:rPr>
          <w:rFonts w:ascii="Cambria" w:hAnsi="Cambria"/>
        </w:rPr>
        <w:t>2014)</w:t>
      </w:r>
      <w:r w:rsidRPr="006568DD">
        <w:rPr>
          <w:rFonts w:ascii="Cambria" w:hAnsi="Cambria"/>
        </w:rPr>
        <w:t>and</w:t>
      </w:r>
      <w:proofErr w:type="gramEnd"/>
      <w:r w:rsidRPr="006568DD">
        <w:rPr>
          <w:rFonts w:ascii="Cambria" w:hAnsi="Cambria"/>
        </w:rPr>
        <w:t xml:space="preserve"> to achieve their national carbon reduction targets.</w:t>
      </w:r>
    </w:p>
    <w:p w14:paraId="17E21296" w14:textId="77777777" w:rsidR="00303311" w:rsidRPr="006568DD" w:rsidRDefault="00303311" w:rsidP="00BD25D5">
      <w:pPr>
        <w:jc w:val="both"/>
        <w:rPr>
          <w:rFonts w:ascii="Cambria" w:hAnsi="Cambria"/>
        </w:rPr>
      </w:pPr>
    </w:p>
    <w:p w14:paraId="6A31D279" w14:textId="4B206D42" w:rsidR="003F7323" w:rsidRPr="006568DD" w:rsidRDefault="00303311" w:rsidP="00BD25D5">
      <w:pPr>
        <w:jc w:val="both"/>
        <w:rPr>
          <w:rFonts w:ascii="Cambria" w:hAnsi="Cambria"/>
        </w:rPr>
      </w:pPr>
      <w:r w:rsidRPr="006568DD">
        <w:rPr>
          <w:rFonts w:ascii="Cambria" w:hAnsi="Cambria"/>
        </w:rPr>
        <w:t>Whilst</w:t>
      </w:r>
      <w:r w:rsidRPr="006568DD">
        <w:rPr>
          <w:rFonts w:ascii="Cambria" w:hAnsi="Cambria"/>
          <w:iCs/>
        </w:rPr>
        <w:t xml:space="preserve"> the majority of energy policies take the built environment into consideration, these policies are designed, to a large extent, in respect of new buildings, which presents restrictive requirements and the demand for high performance levels (</w:t>
      </w:r>
      <w:proofErr w:type="spellStart"/>
      <w:r w:rsidRPr="006568DD">
        <w:rPr>
          <w:rFonts w:ascii="Cambria" w:hAnsi="Cambria"/>
          <w:iCs/>
        </w:rPr>
        <w:t>Pianezze</w:t>
      </w:r>
      <w:proofErr w:type="spellEnd"/>
      <w:r w:rsidRPr="006568DD">
        <w:rPr>
          <w:rFonts w:ascii="Cambria" w:hAnsi="Cambria"/>
          <w:iCs/>
        </w:rPr>
        <w:t>, 2012).</w:t>
      </w:r>
      <w:r w:rsidRPr="006568DD">
        <w:rPr>
          <w:rFonts w:ascii="Cambria" w:hAnsi="Cambria"/>
        </w:rPr>
        <w:t xml:space="preserve"> Several countries have building stocks comprising of older properties (</w:t>
      </w:r>
      <w:r w:rsidR="00021DEE" w:rsidRPr="006568DD">
        <w:rPr>
          <w:rFonts w:ascii="Cambria" w:hAnsi="Cambria"/>
        </w:rPr>
        <w:t xml:space="preserve">Meijer </w:t>
      </w:r>
      <w:r w:rsidR="00021DEE" w:rsidRPr="006568DD">
        <w:rPr>
          <w:rFonts w:ascii="Cambria" w:hAnsi="Cambria"/>
          <w:i/>
        </w:rPr>
        <w:t>et al.</w:t>
      </w:r>
      <w:r w:rsidR="00021DEE" w:rsidRPr="006568DD">
        <w:rPr>
          <w:rFonts w:ascii="Cambria" w:hAnsi="Cambria"/>
        </w:rPr>
        <w:t xml:space="preserve">, </w:t>
      </w:r>
      <w:r w:rsidRPr="006568DD">
        <w:rPr>
          <w:rFonts w:ascii="Cambria" w:hAnsi="Cambria"/>
        </w:rPr>
        <w:t xml:space="preserve">2009). </w:t>
      </w:r>
      <w:r w:rsidR="003F7323" w:rsidRPr="006568DD">
        <w:rPr>
          <w:rFonts w:ascii="Cambria" w:hAnsi="Cambria"/>
        </w:rPr>
        <w:t>Both Italy and the UK contribute similar proportions to the EU housing stock at 13.8% and 13.2% respectively (</w:t>
      </w:r>
      <w:proofErr w:type="spellStart"/>
      <w:r w:rsidR="003F7323" w:rsidRPr="006568DD">
        <w:rPr>
          <w:rFonts w:ascii="Cambria" w:hAnsi="Cambria"/>
        </w:rPr>
        <w:t>Balaras</w:t>
      </w:r>
      <w:proofErr w:type="spellEnd"/>
      <w:r w:rsidR="003F7323" w:rsidRPr="006568DD">
        <w:rPr>
          <w:rFonts w:ascii="Cambria" w:hAnsi="Cambria"/>
        </w:rPr>
        <w:t xml:space="preserve"> </w:t>
      </w:r>
      <w:r w:rsidR="003F7323" w:rsidRPr="006568DD">
        <w:rPr>
          <w:rFonts w:ascii="Cambria" w:hAnsi="Cambria"/>
          <w:i/>
        </w:rPr>
        <w:t>et al.</w:t>
      </w:r>
      <w:r w:rsidR="003F7323" w:rsidRPr="006568DD">
        <w:rPr>
          <w:rFonts w:ascii="Cambria" w:hAnsi="Cambria"/>
        </w:rPr>
        <w:t xml:space="preserve">, 2007), and both Italy and the UK have two of the largest historic housing stocks internationally (Martinez-Molina </w:t>
      </w:r>
      <w:r w:rsidR="003F7323" w:rsidRPr="006568DD">
        <w:rPr>
          <w:rFonts w:ascii="Cambria" w:hAnsi="Cambria"/>
          <w:i/>
        </w:rPr>
        <w:t>et al.</w:t>
      </w:r>
      <w:r w:rsidR="003F7323" w:rsidRPr="006568DD">
        <w:rPr>
          <w:rFonts w:ascii="Cambria" w:hAnsi="Cambria"/>
        </w:rPr>
        <w:t xml:space="preserve">, 2016). For example 20% of the English housing stock (Department for Communities and Local Government, DCLG, 2013) and 15% of the Italian housing stock was constructed prior to 1919. Such proportions are broadly similar to countries such as Austria, France, Germany, Sweden and Switzerland (Meijer </w:t>
      </w:r>
      <w:r w:rsidR="003F7323" w:rsidRPr="006568DD">
        <w:rPr>
          <w:rFonts w:ascii="Cambria" w:hAnsi="Cambria"/>
          <w:i/>
        </w:rPr>
        <w:t>et al.</w:t>
      </w:r>
      <w:r w:rsidR="003F7323" w:rsidRPr="006568DD">
        <w:rPr>
          <w:rFonts w:ascii="Cambria" w:hAnsi="Cambria"/>
        </w:rPr>
        <w:t>, 2009).</w:t>
      </w:r>
    </w:p>
    <w:p w14:paraId="66D36966" w14:textId="77777777" w:rsidR="003F7323" w:rsidRPr="006568DD" w:rsidRDefault="003F7323" w:rsidP="00BD25D5">
      <w:pPr>
        <w:jc w:val="both"/>
        <w:rPr>
          <w:rFonts w:ascii="Cambria" w:hAnsi="Cambria"/>
        </w:rPr>
      </w:pPr>
    </w:p>
    <w:p w14:paraId="4DB72064" w14:textId="05628C80" w:rsidR="003F7323" w:rsidRPr="00714B37" w:rsidRDefault="003F7323" w:rsidP="003F7323">
      <w:pPr>
        <w:jc w:val="both"/>
        <w:rPr>
          <w:rFonts w:ascii="Cambria" w:hAnsi="Cambria"/>
        </w:rPr>
      </w:pPr>
      <w:r w:rsidRPr="006568DD">
        <w:rPr>
          <w:rFonts w:ascii="Cambria" w:hAnsi="Cambria"/>
        </w:rPr>
        <w:t xml:space="preserve">There are around 460,000 listed buildings in the UK (The Prince’s Regeneration Trust, </w:t>
      </w:r>
      <w:proofErr w:type="spellStart"/>
      <w:r w:rsidRPr="006568DD">
        <w:rPr>
          <w:rFonts w:ascii="Cambria" w:hAnsi="Cambria"/>
        </w:rPr>
        <w:t>n.d.</w:t>
      </w:r>
      <w:proofErr w:type="spellEnd"/>
      <w:r w:rsidRPr="006568DD">
        <w:rPr>
          <w:rFonts w:ascii="Cambria" w:hAnsi="Cambria"/>
        </w:rPr>
        <w:t>) (Table 1), and around 100,000 listed buildings in Italy (</w:t>
      </w:r>
      <w:proofErr w:type="spellStart"/>
      <w:r w:rsidRPr="006568DD">
        <w:rPr>
          <w:rFonts w:ascii="Cambria" w:hAnsi="Cambria"/>
        </w:rPr>
        <w:t>Istat</w:t>
      </w:r>
      <w:proofErr w:type="spellEnd"/>
      <w:r w:rsidRPr="006568DD">
        <w:rPr>
          <w:rFonts w:ascii="Cambria" w:hAnsi="Cambria"/>
        </w:rPr>
        <w:t xml:space="preserve">, 2013). Further, Italy has the greatest number of cultural and mixed (cultural and natural) World Heritage Sites (United Nations Educational, Scientific and Cultural Organization, UNESCO, 2017; </w:t>
      </w:r>
      <w:proofErr w:type="spellStart"/>
      <w:r w:rsidRPr="006568DD">
        <w:rPr>
          <w:rFonts w:ascii="Cambria" w:hAnsi="Cambria"/>
        </w:rPr>
        <w:t>Patuelli</w:t>
      </w:r>
      <w:proofErr w:type="spellEnd"/>
      <w:r w:rsidRPr="006568DD">
        <w:rPr>
          <w:rFonts w:ascii="Cambria" w:hAnsi="Cambria"/>
        </w:rPr>
        <w:t xml:space="preserve"> </w:t>
      </w:r>
      <w:r w:rsidRPr="006568DD">
        <w:rPr>
          <w:rFonts w:ascii="Cambria" w:hAnsi="Cambria"/>
          <w:i/>
        </w:rPr>
        <w:t>et al.</w:t>
      </w:r>
      <w:r w:rsidRPr="006568DD">
        <w:rPr>
          <w:rFonts w:ascii="Cambria" w:hAnsi="Cambria"/>
        </w:rPr>
        <w:t>, 2013).</w:t>
      </w:r>
      <w:r w:rsidRPr="00714B37">
        <w:rPr>
          <w:rFonts w:ascii="Cambria" w:hAnsi="Cambria"/>
        </w:rPr>
        <w:t xml:space="preserve"> These are statutorily protected, to manage change and preserve what is significant about these assets.</w:t>
      </w:r>
    </w:p>
    <w:p w14:paraId="52BAB2E5" w14:textId="1AFC836A" w:rsidR="003F7323" w:rsidRPr="00714B37" w:rsidRDefault="003F7323" w:rsidP="00BD25D5">
      <w:pPr>
        <w:jc w:val="both"/>
        <w:rPr>
          <w:rFonts w:ascii="Cambria" w:hAnsi="Cambria"/>
        </w:rPr>
      </w:pPr>
    </w:p>
    <w:p w14:paraId="1236953B" w14:textId="18274EE4" w:rsidR="003F7323" w:rsidRPr="00714B37" w:rsidRDefault="003F7323" w:rsidP="00BD25D5">
      <w:pPr>
        <w:jc w:val="both"/>
        <w:rPr>
          <w:rFonts w:ascii="Cambria" w:hAnsi="Cambria"/>
        </w:rPr>
      </w:pPr>
      <w:r w:rsidRPr="00714B37">
        <w:rPr>
          <w:rFonts w:ascii="Cambria" w:hAnsi="Cambria"/>
        </w:rPr>
        <w:t>[Table 1]</w:t>
      </w:r>
    </w:p>
    <w:p w14:paraId="1DB17EDE" w14:textId="77777777" w:rsidR="003F7323" w:rsidRPr="00714B37" w:rsidRDefault="003F7323" w:rsidP="00BD25D5">
      <w:pPr>
        <w:jc w:val="both"/>
        <w:rPr>
          <w:rFonts w:ascii="Cambria" w:hAnsi="Cambria"/>
        </w:rPr>
      </w:pPr>
    </w:p>
    <w:p w14:paraId="20F2307A" w14:textId="1DC093AF" w:rsidR="003F7323" w:rsidRPr="00714B37" w:rsidRDefault="003F7323" w:rsidP="00BD25D5">
      <w:pPr>
        <w:jc w:val="both"/>
        <w:rPr>
          <w:rFonts w:ascii="Cambria" w:hAnsi="Cambria"/>
        </w:rPr>
      </w:pPr>
      <w:r w:rsidRPr="00714B37">
        <w:rPr>
          <w:rFonts w:ascii="Cambria" w:hAnsi="Cambria"/>
        </w:rPr>
        <w:t xml:space="preserve">Understanding is improving about how historic housing performs. </w:t>
      </w:r>
      <w:r w:rsidRPr="00714B37">
        <w:rPr>
          <w:rFonts w:ascii="Cambria" w:hAnsi="Cambria"/>
          <w:lang w:val="en-US"/>
        </w:rPr>
        <w:t>There is recognition that such buildings have better thermal performance in reality than predicted (</w:t>
      </w:r>
      <w:r w:rsidRPr="00714B37">
        <w:rPr>
          <w:rFonts w:ascii="Cambria" w:hAnsi="Cambria"/>
          <w:iCs/>
        </w:rPr>
        <w:t xml:space="preserve">Li </w:t>
      </w:r>
      <w:r w:rsidRPr="00714B37">
        <w:rPr>
          <w:rFonts w:ascii="Cambria" w:hAnsi="Cambria"/>
          <w:i/>
          <w:iCs/>
        </w:rPr>
        <w:t>et al.</w:t>
      </w:r>
      <w:r w:rsidRPr="00714B37">
        <w:rPr>
          <w:rFonts w:ascii="Cambria" w:hAnsi="Cambria"/>
          <w:iCs/>
        </w:rPr>
        <w:t xml:space="preserve">, 2015; </w:t>
      </w:r>
      <w:proofErr w:type="spellStart"/>
      <w:r w:rsidRPr="00714B37">
        <w:rPr>
          <w:rFonts w:ascii="Cambria" w:hAnsi="Cambria"/>
        </w:rPr>
        <w:t>Agbota</w:t>
      </w:r>
      <w:proofErr w:type="spellEnd"/>
      <w:r w:rsidRPr="00714B37">
        <w:rPr>
          <w:rFonts w:ascii="Cambria" w:hAnsi="Cambria"/>
        </w:rPr>
        <w:t xml:space="preserve">, 2014; </w:t>
      </w:r>
      <w:r w:rsidRPr="00714B37">
        <w:rPr>
          <w:rFonts w:ascii="Cambria" w:hAnsi="Cambria"/>
          <w:iCs/>
        </w:rPr>
        <w:t>Rye, 2012; Baker, 2011</w:t>
      </w:r>
      <w:r w:rsidRPr="00714B37">
        <w:rPr>
          <w:rFonts w:ascii="Cambria" w:hAnsi="Cambria"/>
          <w:lang w:val="en-US"/>
        </w:rPr>
        <w:t xml:space="preserve">). However, this should not impede the drive to improve the energy efficiency performance of the </w:t>
      </w:r>
      <w:r w:rsidRPr="00714B37">
        <w:rPr>
          <w:rFonts w:ascii="Cambria" w:hAnsi="Cambria"/>
          <w:lang w:val="en-US"/>
        </w:rPr>
        <w:lastRenderedPageBreak/>
        <w:t>historic housing stock, but contribute to how we understand these properties.</w:t>
      </w:r>
      <w:r w:rsidRPr="00714B37">
        <w:rPr>
          <w:rFonts w:ascii="Cambria" w:hAnsi="Cambria"/>
        </w:rPr>
        <w:t xml:space="preserve"> Further, it </w:t>
      </w:r>
      <w:r w:rsidRPr="00714B37">
        <w:rPr>
          <w:rFonts w:ascii="Cambria" w:hAnsi="Cambria"/>
        </w:rPr>
        <w:t>has been suggested that, when considered over their entire lifecycle, historic buildings are thought to perform better than new properties (Cultural Property Technical Committee, CEN/TC 346, 2015) when embodied energy is incorporated (</w:t>
      </w:r>
      <w:proofErr w:type="spellStart"/>
      <w:r w:rsidRPr="00714B37">
        <w:rPr>
          <w:rFonts w:ascii="Cambria" w:hAnsi="Cambria"/>
        </w:rPr>
        <w:t>Crockford</w:t>
      </w:r>
      <w:proofErr w:type="spellEnd"/>
      <w:r w:rsidRPr="00714B37">
        <w:rPr>
          <w:rFonts w:ascii="Cambria" w:hAnsi="Cambria"/>
        </w:rPr>
        <w:t xml:space="preserve">, 2014; Power, 2008). However, based on ‘in-use’ performance, pre-1919 dwellings represent the most inefficient housing in England (Dowson </w:t>
      </w:r>
      <w:r w:rsidRPr="00714B37">
        <w:rPr>
          <w:rFonts w:ascii="Cambria" w:hAnsi="Cambria"/>
          <w:i/>
        </w:rPr>
        <w:t>et al.</w:t>
      </w:r>
      <w:r w:rsidRPr="00714B37">
        <w:rPr>
          <w:rFonts w:ascii="Cambria" w:hAnsi="Cambria"/>
        </w:rPr>
        <w:t xml:space="preserve">, 2012), averaging 23 fewer points in the Standard Assessment Procedure (SAP) ratings than post-1990 properties (DCLG, 2015). SAP is a method against which building energy performance is measured on a scale of 1 to 100 based on predicted energy use, where 1 is the least efficient and 100 is zero net annual energy cost (Stone </w:t>
      </w:r>
      <w:r w:rsidRPr="00714B37">
        <w:rPr>
          <w:rFonts w:ascii="Cambria" w:hAnsi="Cambria"/>
          <w:i/>
        </w:rPr>
        <w:t>et al.</w:t>
      </w:r>
      <w:r w:rsidRPr="00714B37">
        <w:rPr>
          <w:rFonts w:ascii="Cambria" w:hAnsi="Cambria"/>
        </w:rPr>
        <w:t>, 2014). The pre-1919 housing stock in Italy has been similarly described as being in a poor physical condition and having poor energy efficiency (</w:t>
      </w:r>
      <w:proofErr w:type="spellStart"/>
      <w:r w:rsidRPr="00714B37">
        <w:rPr>
          <w:rFonts w:ascii="Cambria" w:hAnsi="Cambria"/>
        </w:rPr>
        <w:t>Istat</w:t>
      </w:r>
      <w:proofErr w:type="spellEnd"/>
      <w:r w:rsidRPr="00714B37">
        <w:rPr>
          <w:rFonts w:ascii="Cambria" w:hAnsi="Cambria"/>
        </w:rPr>
        <w:t>, 2011).</w:t>
      </w:r>
    </w:p>
    <w:p w14:paraId="063A6F06" w14:textId="77777777" w:rsidR="003F7323" w:rsidRPr="00714B37" w:rsidRDefault="003F7323" w:rsidP="00BD25D5">
      <w:pPr>
        <w:jc w:val="both"/>
        <w:rPr>
          <w:rFonts w:ascii="Cambria" w:hAnsi="Cambria"/>
        </w:rPr>
      </w:pPr>
    </w:p>
    <w:p w14:paraId="622C2288" w14:textId="69E6DBF4" w:rsidR="003F7323" w:rsidRPr="00714B37" w:rsidRDefault="00303311" w:rsidP="003F7323">
      <w:pPr>
        <w:jc w:val="both"/>
        <w:rPr>
          <w:rFonts w:ascii="Cambria" w:hAnsi="Cambria"/>
          <w:iCs/>
        </w:rPr>
      </w:pPr>
      <w:r w:rsidRPr="00714B37">
        <w:rPr>
          <w:rFonts w:ascii="Cambria" w:hAnsi="Cambria"/>
          <w:lang w:val="en-US"/>
        </w:rPr>
        <w:t>In the context of European and national policies to reduce carbon emissions and improve energy efficiency, th</w:t>
      </w:r>
      <w:r w:rsidR="003F7323" w:rsidRPr="00714B37">
        <w:rPr>
          <w:rFonts w:ascii="Cambria" w:hAnsi="Cambria"/>
          <w:lang w:val="en-US"/>
        </w:rPr>
        <w:t>e</w:t>
      </w:r>
      <w:r w:rsidRPr="00714B37">
        <w:rPr>
          <w:rFonts w:ascii="Cambria" w:hAnsi="Cambria"/>
          <w:lang w:val="en-US"/>
        </w:rPr>
        <w:t xml:space="preserve"> older building stock </w:t>
      </w:r>
      <w:r w:rsidR="003F7323" w:rsidRPr="00714B37">
        <w:rPr>
          <w:rFonts w:ascii="Cambria" w:hAnsi="Cambria"/>
          <w:lang w:val="en-US"/>
        </w:rPr>
        <w:t xml:space="preserve">remains </w:t>
      </w:r>
      <w:r w:rsidRPr="00714B37">
        <w:rPr>
          <w:rFonts w:ascii="Cambria" w:hAnsi="Cambria"/>
          <w:lang w:val="en-US"/>
        </w:rPr>
        <w:t>a critical consideration (</w:t>
      </w:r>
      <w:proofErr w:type="spellStart"/>
      <w:r w:rsidRPr="00714B37">
        <w:rPr>
          <w:rFonts w:ascii="Cambria" w:hAnsi="Cambria"/>
          <w:lang w:val="en-US"/>
        </w:rPr>
        <w:t>Pracchi</w:t>
      </w:r>
      <w:proofErr w:type="spellEnd"/>
      <w:r w:rsidRPr="00714B37">
        <w:rPr>
          <w:rFonts w:ascii="Cambria" w:hAnsi="Cambria"/>
          <w:lang w:val="en-US"/>
        </w:rPr>
        <w:t xml:space="preserve">, 2014). </w:t>
      </w:r>
      <w:r w:rsidRPr="00714B37">
        <w:rPr>
          <w:rFonts w:ascii="Cambria" w:hAnsi="Cambria"/>
          <w:iCs/>
        </w:rPr>
        <w:t xml:space="preserve">However, applying these energy policies to </w:t>
      </w:r>
      <w:r w:rsidR="003F7323" w:rsidRPr="00714B37">
        <w:rPr>
          <w:rFonts w:ascii="Cambria" w:hAnsi="Cambria"/>
          <w:iCs/>
        </w:rPr>
        <w:t xml:space="preserve">listed </w:t>
      </w:r>
      <w:r w:rsidRPr="00714B37">
        <w:rPr>
          <w:rFonts w:ascii="Cambria" w:hAnsi="Cambria"/>
          <w:iCs/>
        </w:rPr>
        <w:t>properties without affecting their</w:t>
      </w:r>
      <w:r w:rsidR="003F7323" w:rsidRPr="00714B37">
        <w:rPr>
          <w:rFonts w:ascii="Cambria" w:hAnsi="Cambria"/>
          <w:iCs/>
        </w:rPr>
        <w:t xml:space="preserve"> embodied</w:t>
      </w:r>
      <w:r w:rsidRPr="00714B37">
        <w:rPr>
          <w:rFonts w:ascii="Cambria" w:hAnsi="Cambria"/>
          <w:iCs/>
        </w:rPr>
        <w:t xml:space="preserve"> significance is a challenge.</w:t>
      </w:r>
      <w:r w:rsidR="003F7323" w:rsidRPr="00714B37">
        <w:rPr>
          <w:rFonts w:ascii="Cambria" w:hAnsi="Cambria"/>
          <w:iCs/>
        </w:rPr>
        <w:t xml:space="preserve"> Further, the regulations protecting listed properties are identified as a challenge in the existing literature (</w:t>
      </w:r>
      <w:proofErr w:type="spellStart"/>
      <w:r w:rsidR="003F7323" w:rsidRPr="00714B37">
        <w:rPr>
          <w:rFonts w:ascii="Cambria" w:hAnsi="Cambria"/>
          <w:iCs/>
        </w:rPr>
        <w:t>Galatioto</w:t>
      </w:r>
      <w:proofErr w:type="spellEnd"/>
      <w:r w:rsidR="003F7323" w:rsidRPr="00714B37">
        <w:rPr>
          <w:rFonts w:ascii="Cambria" w:hAnsi="Cambria"/>
          <w:iCs/>
        </w:rPr>
        <w:t xml:space="preserve"> et al., 2017).</w:t>
      </w:r>
    </w:p>
    <w:p w14:paraId="0B5A236C" w14:textId="77777777" w:rsidR="00361C46" w:rsidRPr="00714B37" w:rsidRDefault="00361C46" w:rsidP="00BD25D5">
      <w:pPr>
        <w:jc w:val="both"/>
        <w:rPr>
          <w:rFonts w:ascii="Cambria" w:hAnsi="Cambria"/>
          <w:lang w:val="en-US"/>
        </w:rPr>
      </w:pPr>
    </w:p>
    <w:p w14:paraId="042C1ABB" w14:textId="2851F002" w:rsidR="00E44883" w:rsidRPr="00714B37" w:rsidRDefault="003F7323" w:rsidP="00BD25D5">
      <w:pPr>
        <w:jc w:val="both"/>
        <w:rPr>
          <w:rFonts w:ascii="Cambria" w:hAnsi="Cambria"/>
          <w:lang w:val="en-US"/>
        </w:rPr>
      </w:pPr>
      <w:r w:rsidRPr="00714B37">
        <w:rPr>
          <w:rFonts w:ascii="Cambria" w:hAnsi="Cambria"/>
          <w:lang w:val="en-US"/>
        </w:rPr>
        <w:t>In addition to contributing to carbon reduction targets, t</w:t>
      </w:r>
      <w:r w:rsidR="00303311" w:rsidRPr="00714B37">
        <w:rPr>
          <w:rFonts w:ascii="Cambria" w:hAnsi="Cambria"/>
          <w:lang w:val="en-US"/>
        </w:rPr>
        <w:t xml:space="preserve">he improvement in energy performance of </w:t>
      </w:r>
      <w:r w:rsidRPr="00714B37">
        <w:rPr>
          <w:rFonts w:ascii="Cambria" w:hAnsi="Cambria"/>
          <w:lang w:val="en-US"/>
        </w:rPr>
        <w:t xml:space="preserve">‘built </w:t>
      </w:r>
      <w:r w:rsidR="00303311" w:rsidRPr="00714B37">
        <w:rPr>
          <w:rFonts w:ascii="Cambria" w:hAnsi="Cambria"/>
          <w:lang w:val="en-US"/>
        </w:rPr>
        <w:t>heritage</w:t>
      </w:r>
      <w:r w:rsidRPr="00714B37">
        <w:rPr>
          <w:rFonts w:ascii="Cambria" w:hAnsi="Cambria"/>
          <w:lang w:val="en-US"/>
        </w:rPr>
        <w:t xml:space="preserve">’ - i.e. buildings that embody cultural or historical significance, </w:t>
      </w:r>
      <w:r w:rsidR="00303311" w:rsidRPr="00714B37">
        <w:rPr>
          <w:rFonts w:ascii="Cambria" w:hAnsi="Cambria"/>
          <w:lang w:val="en-US"/>
        </w:rPr>
        <w:t>enables their continued usefulness (</w:t>
      </w:r>
      <w:proofErr w:type="spellStart"/>
      <w:r w:rsidR="00303311" w:rsidRPr="00714B37">
        <w:rPr>
          <w:rFonts w:ascii="Cambria" w:hAnsi="Cambria"/>
          <w:lang w:val="en-US"/>
        </w:rPr>
        <w:t>Munarim</w:t>
      </w:r>
      <w:proofErr w:type="spellEnd"/>
      <w:r w:rsidR="00303311" w:rsidRPr="00714B37">
        <w:rPr>
          <w:rFonts w:ascii="Cambria" w:hAnsi="Cambria"/>
          <w:lang w:val="en-US"/>
        </w:rPr>
        <w:t xml:space="preserve"> and </w:t>
      </w:r>
      <w:proofErr w:type="spellStart"/>
      <w:r w:rsidR="00303311" w:rsidRPr="00714B37">
        <w:rPr>
          <w:rFonts w:ascii="Cambria" w:hAnsi="Cambria"/>
          <w:lang w:val="en-US"/>
        </w:rPr>
        <w:t>Ghisi</w:t>
      </w:r>
      <w:proofErr w:type="spellEnd"/>
      <w:r w:rsidR="00303311" w:rsidRPr="00714B37">
        <w:rPr>
          <w:rFonts w:ascii="Cambria" w:hAnsi="Cambria"/>
          <w:lang w:val="en-US"/>
        </w:rPr>
        <w:t>, 2016)</w:t>
      </w:r>
      <w:r w:rsidRPr="00714B37">
        <w:rPr>
          <w:rFonts w:ascii="Cambria" w:hAnsi="Cambria"/>
          <w:lang w:val="en-US"/>
        </w:rPr>
        <w:t>. It also enables</w:t>
      </w:r>
      <w:r w:rsidR="00303311" w:rsidRPr="00714B37">
        <w:rPr>
          <w:rFonts w:ascii="Cambria" w:hAnsi="Cambria"/>
          <w:lang w:val="en-US"/>
        </w:rPr>
        <w:t xml:space="preserve"> the provision of a comfortable</w:t>
      </w:r>
      <w:r w:rsidR="0004556B" w:rsidRPr="00714B37">
        <w:rPr>
          <w:rFonts w:ascii="Cambria" w:hAnsi="Cambria"/>
          <w:lang w:val="en-US"/>
        </w:rPr>
        <w:t xml:space="preserve"> environment in which to reside, particularly as expectations of thermal comfort chan</w:t>
      </w:r>
      <w:r w:rsidR="0057537C" w:rsidRPr="00714B37">
        <w:rPr>
          <w:rFonts w:ascii="Cambria" w:hAnsi="Cambria"/>
          <w:lang w:val="en-US"/>
        </w:rPr>
        <w:t>ge (</w:t>
      </w:r>
      <w:proofErr w:type="spellStart"/>
      <w:r w:rsidR="0057537C" w:rsidRPr="00714B37">
        <w:rPr>
          <w:rFonts w:ascii="Cambria" w:hAnsi="Cambria"/>
          <w:lang w:val="en-US"/>
        </w:rPr>
        <w:t>Pendlebury</w:t>
      </w:r>
      <w:proofErr w:type="spellEnd"/>
      <w:r w:rsidR="0057537C" w:rsidRPr="00714B37">
        <w:rPr>
          <w:rFonts w:ascii="Cambria" w:hAnsi="Cambria"/>
          <w:lang w:val="en-US"/>
        </w:rPr>
        <w:t xml:space="preserve"> </w:t>
      </w:r>
      <w:r w:rsidR="0057537C" w:rsidRPr="00714B37">
        <w:rPr>
          <w:rFonts w:ascii="Cambria" w:hAnsi="Cambria"/>
          <w:i/>
          <w:lang w:val="en-US"/>
        </w:rPr>
        <w:t>et al.</w:t>
      </w:r>
      <w:r w:rsidR="0057537C" w:rsidRPr="00714B37">
        <w:rPr>
          <w:rFonts w:ascii="Cambria" w:hAnsi="Cambria"/>
          <w:lang w:val="en-US"/>
        </w:rPr>
        <w:t xml:space="preserve">, </w:t>
      </w:r>
      <w:r w:rsidR="0004556B" w:rsidRPr="00714B37">
        <w:rPr>
          <w:rFonts w:ascii="Cambria" w:hAnsi="Cambria"/>
          <w:lang w:val="en-US"/>
        </w:rPr>
        <w:t>2014).</w:t>
      </w:r>
      <w:r w:rsidR="00303311" w:rsidRPr="00714B37">
        <w:rPr>
          <w:rFonts w:ascii="Cambria" w:hAnsi="Cambria"/>
          <w:lang w:val="en-US"/>
        </w:rPr>
        <w:t xml:space="preserve"> It also contributes to meeting national and international climate change goals.</w:t>
      </w:r>
      <w:r w:rsidR="00885460" w:rsidRPr="00714B37">
        <w:rPr>
          <w:rFonts w:ascii="Cambria" w:hAnsi="Cambria"/>
          <w:lang w:val="en-US"/>
        </w:rPr>
        <w:t xml:space="preserve"> However, sustainability needs to be carefully balanced with the conservation needs of these buildings to ensure that their long-term importance is not compromised for short-term gain.</w:t>
      </w:r>
    </w:p>
    <w:p w14:paraId="4F7E4E50" w14:textId="77777777" w:rsidR="003F7323" w:rsidRPr="00714B37" w:rsidRDefault="003F7323" w:rsidP="00BD25D5">
      <w:pPr>
        <w:jc w:val="both"/>
        <w:rPr>
          <w:rFonts w:ascii="Cambria" w:hAnsi="Cambria"/>
          <w:lang w:val="en-US"/>
        </w:rPr>
      </w:pPr>
    </w:p>
    <w:p w14:paraId="3B8F3A77" w14:textId="15BB049A" w:rsidR="003F7323" w:rsidRPr="00714B37" w:rsidRDefault="003F7323" w:rsidP="00BD25D5">
      <w:pPr>
        <w:jc w:val="both"/>
        <w:rPr>
          <w:rFonts w:ascii="Cambria" w:hAnsi="Cambria"/>
          <w:lang w:val="en-US"/>
        </w:rPr>
      </w:pPr>
      <w:r w:rsidRPr="00714B37">
        <w:rPr>
          <w:rFonts w:ascii="Cambria" w:hAnsi="Cambria"/>
        </w:rPr>
        <w:t>This paper aims to investigate the similarities and differences in the drivers and challenges of the energy efficiency of listed pre-1919 housing in Italy and the UK.</w:t>
      </w:r>
    </w:p>
    <w:p w14:paraId="2B0A1B4D" w14:textId="42AC3D25" w:rsidR="00E44883" w:rsidRPr="00714B37" w:rsidRDefault="003F7323" w:rsidP="00BD25D5">
      <w:pPr>
        <w:pStyle w:val="Heading2"/>
        <w:jc w:val="both"/>
        <w:rPr>
          <w:rFonts w:ascii="Cambria" w:hAnsi="Cambria"/>
          <w:color w:val="auto"/>
        </w:rPr>
      </w:pPr>
      <w:r w:rsidRPr="00714B37">
        <w:rPr>
          <w:rFonts w:ascii="Cambria" w:hAnsi="Cambria"/>
          <w:color w:val="auto"/>
        </w:rPr>
        <w:t>Conservation and sustainability</w:t>
      </w:r>
    </w:p>
    <w:p w14:paraId="02BABAA5" w14:textId="7B34A23C" w:rsidR="00F16BDC" w:rsidRPr="00714B37" w:rsidRDefault="00F91F28" w:rsidP="00BD25D5">
      <w:pPr>
        <w:jc w:val="both"/>
        <w:rPr>
          <w:rFonts w:ascii="Cambria" w:hAnsi="Cambria"/>
        </w:rPr>
      </w:pPr>
      <w:r w:rsidRPr="00714B37">
        <w:rPr>
          <w:rFonts w:ascii="Cambria" w:hAnsi="Cambria"/>
        </w:rPr>
        <w:t xml:space="preserve">The management of historic properties “is governed by established conservation principles” (Webb, 2017, p.749). </w:t>
      </w:r>
      <w:r w:rsidR="00F16BDC" w:rsidRPr="00714B37">
        <w:rPr>
          <w:rFonts w:ascii="Cambria" w:hAnsi="Cambria"/>
        </w:rPr>
        <w:t xml:space="preserve">The current principles and regulatory system for the protection of </w:t>
      </w:r>
      <w:r w:rsidRPr="00714B37">
        <w:rPr>
          <w:rFonts w:ascii="Cambria" w:hAnsi="Cambria"/>
        </w:rPr>
        <w:t xml:space="preserve">listed properties </w:t>
      </w:r>
      <w:r w:rsidR="00F16BDC" w:rsidRPr="00714B37">
        <w:rPr>
          <w:rFonts w:ascii="Cambria" w:hAnsi="Cambria"/>
        </w:rPr>
        <w:t>is primarily based on conservation philosophy developed in the mid-nineteenth century, particularly by John Ruskin (1849) and William Morris (1877) (</w:t>
      </w:r>
      <w:proofErr w:type="spellStart"/>
      <w:r w:rsidR="00B208C7" w:rsidRPr="00714B37">
        <w:rPr>
          <w:rFonts w:ascii="Cambria" w:hAnsi="Cambria"/>
          <w:lang w:val="en-US"/>
        </w:rPr>
        <w:t>Pendlebury</w:t>
      </w:r>
      <w:proofErr w:type="spellEnd"/>
      <w:r w:rsidR="00B208C7" w:rsidRPr="00714B37">
        <w:rPr>
          <w:rFonts w:ascii="Cambria" w:hAnsi="Cambria"/>
          <w:lang w:val="en-US"/>
        </w:rPr>
        <w:t xml:space="preserve"> </w:t>
      </w:r>
      <w:r w:rsidR="00B208C7" w:rsidRPr="00714B37">
        <w:rPr>
          <w:rFonts w:ascii="Cambria" w:hAnsi="Cambria"/>
          <w:i/>
          <w:lang w:val="en-US"/>
        </w:rPr>
        <w:t>et al.</w:t>
      </w:r>
      <w:r w:rsidR="00B208C7" w:rsidRPr="00714B37">
        <w:rPr>
          <w:rFonts w:ascii="Cambria" w:hAnsi="Cambria"/>
          <w:lang w:val="en-US"/>
        </w:rPr>
        <w:t>, 2014</w:t>
      </w:r>
      <w:r w:rsidR="00F16BDC" w:rsidRPr="00714B37">
        <w:rPr>
          <w:rFonts w:ascii="Cambria" w:hAnsi="Cambria"/>
          <w:lang w:val="en-US"/>
        </w:rPr>
        <w:t xml:space="preserve">; </w:t>
      </w:r>
      <w:r w:rsidR="00F16BDC" w:rsidRPr="00714B37">
        <w:rPr>
          <w:rFonts w:ascii="Cambria" w:hAnsi="Cambria"/>
        </w:rPr>
        <w:t xml:space="preserve">Mansfield, 2008). </w:t>
      </w:r>
      <w:r w:rsidR="00321706" w:rsidRPr="00714B37">
        <w:rPr>
          <w:rFonts w:ascii="Cambria" w:hAnsi="Cambria"/>
        </w:rPr>
        <w:t xml:space="preserve"> These concepts are founded on minimum intervention, authenticity, reversibility (</w:t>
      </w:r>
      <w:proofErr w:type="spellStart"/>
      <w:r w:rsidR="00A80FF3" w:rsidRPr="00714B37">
        <w:rPr>
          <w:rFonts w:ascii="Cambria" w:hAnsi="Cambria"/>
        </w:rPr>
        <w:t>Pianezze</w:t>
      </w:r>
      <w:proofErr w:type="spellEnd"/>
      <w:r w:rsidR="00A80FF3" w:rsidRPr="00714B37">
        <w:rPr>
          <w:rFonts w:ascii="Cambria" w:hAnsi="Cambria"/>
        </w:rPr>
        <w:t xml:space="preserve">, 2012; </w:t>
      </w:r>
      <w:proofErr w:type="spellStart"/>
      <w:r w:rsidR="00A80FF3" w:rsidRPr="00714B37">
        <w:rPr>
          <w:rFonts w:ascii="Cambria" w:hAnsi="Cambria"/>
        </w:rPr>
        <w:t>Pracchi</w:t>
      </w:r>
      <w:proofErr w:type="spellEnd"/>
      <w:r w:rsidR="00A80FF3" w:rsidRPr="00714B37">
        <w:rPr>
          <w:rFonts w:ascii="Cambria" w:hAnsi="Cambria"/>
        </w:rPr>
        <w:t>, 2014</w:t>
      </w:r>
      <w:r w:rsidR="00321706" w:rsidRPr="00714B37">
        <w:rPr>
          <w:rFonts w:ascii="Cambria" w:hAnsi="Cambria"/>
        </w:rPr>
        <w:t>)</w:t>
      </w:r>
      <w:r w:rsidRPr="00714B37">
        <w:rPr>
          <w:rFonts w:ascii="Cambria" w:hAnsi="Cambria"/>
        </w:rPr>
        <w:t xml:space="preserve"> and compatibility (Webb, 2017).</w:t>
      </w:r>
    </w:p>
    <w:p w14:paraId="7550A780" w14:textId="77777777" w:rsidR="00021DEE" w:rsidRPr="00714B37" w:rsidRDefault="00021DEE" w:rsidP="00BD25D5">
      <w:pPr>
        <w:jc w:val="both"/>
        <w:rPr>
          <w:rFonts w:ascii="Cambria" w:hAnsi="Cambria" w:cs="Arial"/>
        </w:rPr>
      </w:pPr>
    </w:p>
    <w:p w14:paraId="42599479" w14:textId="77777777" w:rsidR="00F91F28" w:rsidRPr="00714B37" w:rsidRDefault="00F91F28" w:rsidP="00F91F28">
      <w:pPr>
        <w:jc w:val="both"/>
        <w:rPr>
          <w:rFonts w:ascii="Cambria" w:hAnsi="Cambria" w:cs="Arial"/>
        </w:rPr>
      </w:pPr>
      <w:r w:rsidRPr="00714B37">
        <w:rPr>
          <w:rFonts w:ascii="Cambria" w:hAnsi="Cambria" w:cs="Arial"/>
        </w:rPr>
        <w:t xml:space="preserve">Conservation is defined by Historic England (2008, p.71) as: </w:t>
      </w:r>
    </w:p>
    <w:p w14:paraId="01A1BEAD" w14:textId="77777777" w:rsidR="00F91F28" w:rsidRPr="00714B37" w:rsidRDefault="00F91F28" w:rsidP="00F91F28">
      <w:pPr>
        <w:jc w:val="both"/>
        <w:rPr>
          <w:rFonts w:ascii="Cambria" w:hAnsi="Cambria" w:cs="Arial"/>
        </w:rPr>
      </w:pPr>
    </w:p>
    <w:p w14:paraId="351CA8B9" w14:textId="77777777" w:rsidR="00F91F28" w:rsidRPr="00714B37" w:rsidRDefault="00F91F28" w:rsidP="00F91F28">
      <w:pPr>
        <w:jc w:val="both"/>
        <w:rPr>
          <w:rFonts w:ascii="Cambria" w:hAnsi="Cambria" w:cs="Arial"/>
        </w:rPr>
      </w:pPr>
      <w:r w:rsidRPr="00714B37">
        <w:rPr>
          <w:rFonts w:ascii="Cambria" w:hAnsi="Cambria" w:cs="Arial"/>
        </w:rPr>
        <w:t xml:space="preserve">“The process of managing change to a significant place in its setting in ways that will best sustain its heritage values, while recognising opportunities to reveal or reinforce those values for present and future generations”. </w:t>
      </w:r>
    </w:p>
    <w:p w14:paraId="27818BB0" w14:textId="77777777" w:rsidR="00F91F28" w:rsidRPr="00714B37" w:rsidRDefault="00F91F28" w:rsidP="00F91F28">
      <w:pPr>
        <w:jc w:val="both"/>
        <w:rPr>
          <w:rFonts w:ascii="Cambria" w:hAnsi="Cambria" w:cs="Arial"/>
        </w:rPr>
      </w:pPr>
      <w:r w:rsidRPr="00714B37">
        <w:rPr>
          <w:rFonts w:ascii="Cambria" w:hAnsi="Cambria" w:cs="Arial"/>
        </w:rPr>
        <w:lastRenderedPageBreak/>
        <w:t>This process is often used to refer to the treatment of ‘traditional’ buildings and to ‘</w:t>
      </w:r>
      <w:proofErr w:type="gramStart"/>
      <w:r w:rsidRPr="00714B37">
        <w:rPr>
          <w:rFonts w:ascii="Cambria" w:hAnsi="Cambria" w:cs="Arial"/>
        </w:rPr>
        <w:t>built</w:t>
      </w:r>
      <w:proofErr w:type="gramEnd"/>
      <w:r w:rsidRPr="00714B37">
        <w:rPr>
          <w:rFonts w:ascii="Cambria" w:hAnsi="Cambria" w:cs="Arial"/>
        </w:rPr>
        <w:t xml:space="preserve"> cultural heritage’. Traditional buildings typically relates to buildings built prior to 1919 although can also refer to some buildings constructed prior to 1945 (Historic England, 2017). Built cultural heritage is defined as ‘inherited </w:t>
      </w:r>
      <w:proofErr w:type="gramStart"/>
      <w:r w:rsidRPr="00714B37">
        <w:rPr>
          <w:rFonts w:ascii="Cambria" w:hAnsi="Cambria" w:cs="Arial"/>
        </w:rPr>
        <w:t>assets’ which</w:t>
      </w:r>
      <w:proofErr w:type="gramEnd"/>
      <w:r w:rsidRPr="00714B37">
        <w:rPr>
          <w:rFonts w:ascii="Cambria" w:hAnsi="Cambria" w:cs="Arial"/>
        </w:rPr>
        <w:t xml:space="preserve"> embody particular values (Historic England, 2008), where a ‘value’ is defined by Historic England (2008, p.72) as an “aspect of worth or importance, here attached by people to qualities of places”.</w:t>
      </w:r>
    </w:p>
    <w:p w14:paraId="2FD8B30C" w14:textId="77777777" w:rsidR="00F91F28" w:rsidRPr="00714B37" w:rsidRDefault="00F91F28" w:rsidP="00F91F28">
      <w:pPr>
        <w:jc w:val="both"/>
        <w:rPr>
          <w:rFonts w:ascii="Cambria" w:hAnsi="Cambria" w:cs="Arial"/>
        </w:rPr>
      </w:pPr>
    </w:p>
    <w:p w14:paraId="275995DC" w14:textId="27FF53F7" w:rsidR="00F91F28" w:rsidRPr="006568DD" w:rsidRDefault="00F91F28" w:rsidP="00F91F28">
      <w:pPr>
        <w:jc w:val="both"/>
        <w:rPr>
          <w:rFonts w:ascii="Cambria" w:hAnsi="Cambria" w:cs="Arial"/>
        </w:rPr>
      </w:pPr>
      <w:r w:rsidRPr="00714B37">
        <w:rPr>
          <w:rFonts w:ascii="Cambria" w:hAnsi="Cambria" w:cs="Arial"/>
        </w:rPr>
        <w:t>‘Sustainability’ is defined by Historic England (2008, p.72) as that which is “capable of meeting present needs without compromising [</w:t>
      </w:r>
      <w:r w:rsidRPr="006568DD">
        <w:rPr>
          <w:rFonts w:ascii="Cambria" w:hAnsi="Cambria" w:cs="Arial"/>
        </w:rPr>
        <w:t xml:space="preserve">the] ability to meet future needs”, although this can be further expanded to consider the triple bottom line of sustainability – environmental, economic and social, as embedded in the </w:t>
      </w:r>
      <w:proofErr w:type="spellStart"/>
      <w:r w:rsidRPr="006568DD">
        <w:rPr>
          <w:rFonts w:ascii="Cambria" w:hAnsi="Cambria" w:cs="Arial"/>
        </w:rPr>
        <w:t>Brundtland</w:t>
      </w:r>
      <w:proofErr w:type="spellEnd"/>
      <w:r w:rsidRPr="006568DD">
        <w:rPr>
          <w:rFonts w:ascii="Cambria" w:hAnsi="Cambria" w:cs="Arial"/>
        </w:rPr>
        <w:t xml:space="preserve"> definition of sustainable development (World Commission on Environment and Development, WCED, 1987). Indeed, </w:t>
      </w:r>
      <w:proofErr w:type="spellStart"/>
      <w:r w:rsidRPr="006568DD">
        <w:rPr>
          <w:rFonts w:ascii="Cambria" w:hAnsi="Cambria" w:cs="Arial"/>
        </w:rPr>
        <w:t>Georgiadou</w:t>
      </w:r>
      <w:proofErr w:type="spellEnd"/>
      <w:r w:rsidRPr="006568DD">
        <w:rPr>
          <w:rFonts w:ascii="Cambria" w:hAnsi="Cambria" w:cs="Arial"/>
        </w:rPr>
        <w:t xml:space="preserve"> et al. (2012, p.145) extends ‘sustainability’ in buildings to “energy efficiency, thermal comfort, serviceability, safety, and cost-effectiveness” and to avoid such buildings becoming prematurely obsolete.</w:t>
      </w:r>
    </w:p>
    <w:p w14:paraId="0F69ED8B" w14:textId="36647699" w:rsidR="007B29DB" w:rsidRPr="00714B37" w:rsidRDefault="00F91F28" w:rsidP="00BD25D5">
      <w:pPr>
        <w:jc w:val="both"/>
        <w:rPr>
          <w:rFonts w:ascii="Cambria" w:hAnsi="Cambria"/>
        </w:rPr>
      </w:pPr>
      <w:r w:rsidRPr="006568DD" w:rsidDel="00F91F28">
        <w:rPr>
          <w:rFonts w:ascii="Cambria" w:hAnsi="Cambria" w:cs="Arial"/>
        </w:rPr>
        <w:t xml:space="preserve"> </w:t>
      </w:r>
    </w:p>
    <w:p w14:paraId="70BF1092" w14:textId="7B4DE670" w:rsidR="00F91F28" w:rsidRPr="00714B37" w:rsidRDefault="009F13BC" w:rsidP="00BD25D5">
      <w:pPr>
        <w:jc w:val="both"/>
        <w:rPr>
          <w:rFonts w:ascii="Cambria" w:hAnsi="Cambria"/>
        </w:rPr>
      </w:pPr>
      <w:r w:rsidRPr="00714B37">
        <w:rPr>
          <w:rFonts w:ascii="Cambria" w:hAnsi="Cambria"/>
        </w:rPr>
        <w:t xml:space="preserve">Whilst </w:t>
      </w:r>
      <w:r w:rsidRPr="00714B37">
        <w:rPr>
          <w:rFonts w:ascii="Cambria" w:hAnsi="Cambria"/>
          <w:i/>
        </w:rPr>
        <w:t>conservation</w:t>
      </w:r>
      <w:r w:rsidRPr="00714B37">
        <w:rPr>
          <w:rFonts w:ascii="Cambria" w:hAnsi="Cambria"/>
        </w:rPr>
        <w:t xml:space="preserve"> aims to preserve architectural, historical and archaeological values, </w:t>
      </w:r>
      <w:r w:rsidRPr="00714B37">
        <w:rPr>
          <w:rFonts w:ascii="Cambria" w:hAnsi="Cambria"/>
          <w:i/>
        </w:rPr>
        <w:t>sustainability</w:t>
      </w:r>
      <w:r w:rsidRPr="00714B37">
        <w:rPr>
          <w:rFonts w:ascii="Cambria" w:hAnsi="Cambria"/>
        </w:rPr>
        <w:t xml:space="preserve"> tends to preserve resources such as energy (</w:t>
      </w:r>
      <w:proofErr w:type="spellStart"/>
      <w:r w:rsidRPr="00714B37">
        <w:rPr>
          <w:rFonts w:ascii="Cambria" w:hAnsi="Cambria"/>
        </w:rPr>
        <w:t>Pracchi</w:t>
      </w:r>
      <w:proofErr w:type="spellEnd"/>
      <w:r w:rsidRPr="00714B37">
        <w:rPr>
          <w:rFonts w:ascii="Cambria" w:hAnsi="Cambria"/>
        </w:rPr>
        <w:t xml:space="preserve">, 2014; </w:t>
      </w:r>
      <w:proofErr w:type="spellStart"/>
      <w:r w:rsidRPr="00714B37">
        <w:rPr>
          <w:rFonts w:ascii="Cambria" w:hAnsi="Cambria"/>
        </w:rPr>
        <w:t>Pianezze</w:t>
      </w:r>
      <w:proofErr w:type="spellEnd"/>
      <w:r w:rsidRPr="00714B37">
        <w:rPr>
          <w:rFonts w:ascii="Cambria" w:hAnsi="Cambria"/>
        </w:rPr>
        <w:t xml:space="preserve">, 2012; </w:t>
      </w:r>
      <w:proofErr w:type="spellStart"/>
      <w:r w:rsidRPr="00714B37">
        <w:rPr>
          <w:rFonts w:ascii="Cambria" w:hAnsi="Cambria"/>
        </w:rPr>
        <w:t>Bossi</w:t>
      </w:r>
      <w:proofErr w:type="spellEnd"/>
      <w:r w:rsidRPr="00714B37">
        <w:rPr>
          <w:rFonts w:ascii="Cambria" w:hAnsi="Cambria"/>
        </w:rPr>
        <w:t xml:space="preserve">, 2009). </w:t>
      </w:r>
      <w:r w:rsidR="00F91F28" w:rsidRPr="00714B37">
        <w:rPr>
          <w:rFonts w:ascii="Cambria" w:hAnsi="Cambria"/>
        </w:rPr>
        <w:t>The literature describes energy improvements in historic buildings as a ‘balancing act’, attempting to balance the long-term use of the building (Webb, 2017) with its embodied heritage values.</w:t>
      </w:r>
    </w:p>
    <w:p w14:paraId="27439D22" w14:textId="77777777" w:rsidR="00F91F28" w:rsidRPr="00714B37" w:rsidRDefault="00F91F28" w:rsidP="00BD25D5">
      <w:pPr>
        <w:jc w:val="both"/>
        <w:rPr>
          <w:rFonts w:ascii="Cambria" w:hAnsi="Cambria"/>
        </w:rPr>
      </w:pPr>
    </w:p>
    <w:p w14:paraId="414DF412" w14:textId="1369148A" w:rsidR="009F13BC" w:rsidRPr="00714B37" w:rsidRDefault="009F13BC" w:rsidP="00BD25D5">
      <w:pPr>
        <w:jc w:val="both"/>
        <w:rPr>
          <w:rFonts w:ascii="Cambria" w:hAnsi="Cambria"/>
        </w:rPr>
      </w:pPr>
      <w:r w:rsidRPr="00714B37">
        <w:rPr>
          <w:rFonts w:ascii="Cambria" w:hAnsi="Cambria"/>
        </w:rPr>
        <w:t>These concepts</w:t>
      </w:r>
      <w:r w:rsidR="00F91F28" w:rsidRPr="00714B37">
        <w:rPr>
          <w:rFonts w:ascii="Cambria" w:hAnsi="Cambria"/>
        </w:rPr>
        <w:t xml:space="preserve"> of conservation and sustainability</w:t>
      </w:r>
      <w:r w:rsidRPr="00714B37">
        <w:rPr>
          <w:rFonts w:ascii="Cambria" w:hAnsi="Cambria"/>
        </w:rPr>
        <w:t xml:space="preserve"> can be perceived as synergistic, as overlapping and/or as complimentary. By conserving a resource, whether </w:t>
      </w:r>
      <w:r w:rsidR="000C3213" w:rsidRPr="00714B37">
        <w:rPr>
          <w:rFonts w:ascii="Cambria" w:hAnsi="Cambria"/>
        </w:rPr>
        <w:t xml:space="preserve">this ‘resource’ is </w:t>
      </w:r>
      <w:r w:rsidRPr="00714B37">
        <w:rPr>
          <w:rFonts w:ascii="Cambria" w:hAnsi="Cambria"/>
        </w:rPr>
        <w:t xml:space="preserve">energy or a </w:t>
      </w:r>
      <w:r w:rsidR="000C3213" w:rsidRPr="00714B37">
        <w:rPr>
          <w:rFonts w:ascii="Cambria" w:hAnsi="Cambria"/>
        </w:rPr>
        <w:t>historic building</w:t>
      </w:r>
      <w:r w:rsidRPr="00714B37">
        <w:rPr>
          <w:rFonts w:ascii="Cambria" w:hAnsi="Cambria"/>
        </w:rPr>
        <w:t xml:space="preserve">, we are, by definition, ‘sustaining’ it.  However, in reality, the relationship between these concepts is still imprecise, particularly with regard to how energy efficiency relates to </w:t>
      </w:r>
      <w:r w:rsidR="000C3213" w:rsidRPr="00714B37">
        <w:rPr>
          <w:rFonts w:ascii="Cambria" w:hAnsi="Cambria"/>
        </w:rPr>
        <w:t>historic building</w:t>
      </w:r>
      <w:r w:rsidRPr="00714B37">
        <w:rPr>
          <w:rFonts w:ascii="Cambria" w:hAnsi="Cambria"/>
        </w:rPr>
        <w:t xml:space="preserve"> preservation (</w:t>
      </w:r>
      <w:proofErr w:type="spellStart"/>
      <w:r w:rsidRPr="00714B37">
        <w:rPr>
          <w:rFonts w:ascii="Cambria" w:hAnsi="Cambria"/>
        </w:rPr>
        <w:t>Pianezze</w:t>
      </w:r>
      <w:proofErr w:type="spellEnd"/>
      <w:r w:rsidRPr="00714B37">
        <w:rPr>
          <w:rFonts w:ascii="Cambria" w:hAnsi="Cambria"/>
        </w:rPr>
        <w:t>, 2012).</w:t>
      </w:r>
    </w:p>
    <w:p w14:paraId="009623EC" w14:textId="77777777" w:rsidR="00BB7542" w:rsidRPr="00714B37" w:rsidRDefault="00BB7542" w:rsidP="00BD25D5">
      <w:pPr>
        <w:jc w:val="both"/>
        <w:rPr>
          <w:rFonts w:ascii="Cambria" w:hAnsi="Cambria"/>
        </w:rPr>
      </w:pPr>
    </w:p>
    <w:p w14:paraId="75A97263" w14:textId="41459D38" w:rsidR="00BB7542" w:rsidRPr="00714B37" w:rsidRDefault="00BB7542" w:rsidP="00BD25D5">
      <w:pPr>
        <w:jc w:val="both"/>
        <w:rPr>
          <w:rFonts w:ascii="Cambria" w:hAnsi="Cambria"/>
        </w:rPr>
      </w:pPr>
      <w:proofErr w:type="spellStart"/>
      <w:r w:rsidRPr="00714B37">
        <w:rPr>
          <w:rFonts w:ascii="Cambria" w:hAnsi="Cambria"/>
        </w:rPr>
        <w:t>Pracchi</w:t>
      </w:r>
      <w:proofErr w:type="spellEnd"/>
      <w:r w:rsidRPr="00714B37">
        <w:rPr>
          <w:rFonts w:ascii="Cambria" w:hAnsi="Cambria"/>
        </w:rPr>
        <w:t xml:space="preserve"> (2014, p.211) highlights the importance of the conservation of the values embodied in </w:t>
      </w:r>
      <w:r w:rsidR="000C3213" w:rsidRPr="00714B37">
        <w:rPr>
          <w:rFonts w:ascii="Cambria" w:hAnsi="Cambria"/>
        </w:rPr>
        <w:t>historic building</w:t>
      </w:r>
      <w:r w:rsidRPr="00714B37">
        <w:rPr>
          <w:rFonts w:ascii="Cambria" w:hAnsi="Cambria"/>
        </w:rPr>
        <w:t xml:space="preserve"> co-existing with modern energy efficiency interventions. However, intervention or transformation works can also result in the unintended decrease in the artistic, historic, social and economic value of these buildings. This is a particular risk where physical intervention with the existing fabric is undertaken</w:t>
      </w:r>
      <w:r w:rsidR="00A52D76" w:rsidRPr="00714B37">
        <w:rPr>
          <w:rFonts w:ascii="Cambria" w:hAnsi="Cambria"/>
        </w:rPr>
        <w:t>, such as the installation of insulation</w:t>
      </w:r>
      <w:r w:rsidRPr="00714B37">
        <w:rPr>
          <w:rFonts w:ascii="Cambria" w:hAnsi="Cambria"/>
        </w:rPr>
        <w:t>.</w:t>
      </w:r>
    </w:p>
    <w:p w14:paraId="0B058839" w14:textId="77777777" w:rsidR="00A04CC9" w:rsidRPr="00714B37" w:rsidRDefault="00A04CC9" w:rsidP="00BD25D5">
      <w:pPr>
        <w:jc w:val="both"/>
        <w:rPr>
          <w:rFonts w:ascii="Cambria" w:hAnsi="Cambria"/>
        </w:rPr>
      </w:pPr>
    </w:p>
    <w:p w14:paraId="375EA5FF" w14:textId="6FBF90E7" w:rsidR="000C3213" w:rsidRPr="006568DD" w:rsidRDefault="00BB7542" w:rsidP="00BD25D5">
      <w:pPr>
        <w:jc w:val="both"/>
        <w:rPr>
          <w:rFonts w:ascii="Cambria" w:hAnsi="Cambria"/>
        </w:rPr>
      </w:pPr>
      <w:r w:rsidRPr="00714B37">
        <w:rPr>
          <w:rFonts w:ascii="Cambria" w:hAnsi="Cambria"/>
        </w:rPr>
        <w:t>When a</w:t>
      </w:r>
      <w:r w:rsidR="000C3213" w:rsidRPr="00714B37">
        <w:rPr>
          <w:rFonts w:ascii="Cambria" w:hAnsi="Cambria"/>
        </w:rPr>
        <w:t xml:space="preserve">n historic building </w:t>
      </w:r>
      <w:r w:rsidRPr="00714B37">
        <w:rPr>
          <w:rFonts w:ascii="Cambria" w:hAnsi="Cambria"/>
        </w:rPr>
        <w:t xml:space="preserve">asset is deemed to have value, it is this </w:t>
      </w:r>
      <w:proofErr w:type="gramStart"/>
      <w:r w:rsidRPr="00714B37">
        <w:rPr>
          <w:rFonts w:ascii="Cambria" w:hAnsi="Cambria"/>
        </w:rPr>
        <w:t>‘significance’ which</w:t>
      </w:r>
      <w:proofErr w:type="gramEnd"/>
      <w:r w:rsidRPr="00714B37">
        <w:rPr>
          <w:rFonts w:ascii="Cambria" w:hAnsi="Cambria"/>
        </w:rPr>
        <w:t xml:space="preserve"> can be protected through legislation by</w:t>
      </w:r>
      <w:r w:rsidR="000C3213" w:rsidRPr="00714B37">
        <w:rPr>
          <w:rFonts w:ascii="Cambria" w:hAnsi="Cambria"/>
        </w:rPr>
        <w:t xml:space="preserve"> providing them with a</w:t>
      </w:r>
      <w:r w:rsidRPr="00714B37">
        <w:rPr>
          <w:rFonts w:ascii="Cambria" w:hAnsi="Cambria"/>
        </w:rPr>
        <w:t xml:space="preserve"> ‘list</w:t>
      </w:r>
      <w:r w:rsidR="000C3213" w:rsidRPr="00714B37">
        <w:rPr>
          <w:rFonts w:ascii="Cambria" w:hAnsi="Cambria"/>
        </w:rPr>
        <w:t>ed</w:t>
      </w:r>
      <w:r w:rsidRPr="00714B37">
        <w:rPr>
          <w:rFonts w:ascii="Cambria" w:hAnsi="Cambria"/>
        </w:rPr>
        <w:t xml:space="preserve">’ </w:t>
      </w:r>
      <w:r w:rsidR="000C3213" w:rsidRPr="00714B37">
        <w:rPr>
          <w:rFonts w:ascii="Cambria" w:hAnsi="Cambria"/>
        </w:rPr>
        <w:t>designation</w:t>
      </w:r>
      <w:r w:rsidRPr="00714B37">
        <w:rPr>
          <w:rFonts w:ascii="Cambria" w:hAnsi="Cambria"/>
        </w:rPr>
        <w:t xml:space="preserve"> (</w:t>
      </w:r>
      <w:proofErr w:type="spellStart"/>
      <w:r w:rsidRPr="00714B37">
        <w:rPr>
          <w:rFonts w:ascii="Cambria" w:hAnsi="Cambria"/>
        </w:rPr>
        <w:t>Pianezze</w:t>
      </w:r>
      <w:proofErr w:type="spellEnd"/>
      <w:r w:rsidRPr="00714B37">
        <w:rPr>
          <w:rFonts w:ascii="Cambria" w:hAnsi="Cambria"/>
        </w:rPr>
        <w:t xml:space="preserve">, 2012; </w:t>
      </w:r>
      <w:proofErr w:type="spellStart"/>
      <w:r w:rsidRPr="00714B37">
        <w:rPr>
          <w:rFonts w:ascii="Cambria" w:hAnsi="Cambria"/>
        </w:rPr>
        <w:t>Mazzarella</w:t>
      </w:r>
      <w:proofErr w:type="spellEnd"/>
      <w:r w:rsidRPr="00714B37">
        <w:rPr>
          <w:rFonts w:ascii="Cambria" w:hAnsi="Cambria"/>
        </w:rPr>
        <w:t xml:space="preserve">, 2014). In Italy, listed buildings are protected under D. </w:t>
      </w:r>
      <w:proofErr w:type="spellStart"/>
      <w:r w:rsidRPr="00714B37">
        <w:rPr>
          <w:rFonts w:ascii="Cambria" w:hAnsi="Cambria"/>
        </w:rPr>
        <w:t>Lgs</w:t>
      </w:r>
      <w:proofErr w:type="spellEnd"/>
      <w:r w:rsidRPr="00714B37">
        <w:rPr>
          <w:rFonts w:ascii="Cambria" w:hAnsi="Cambria"/>
        </w:rPr>
        <w:t xml:space="preserve">. 42/2004 (Section II, Article 29) - the Cultural Heritage and Landscape Code. In the UK listed buildings are protected under </w:t>
      </w:r>
      <w:r w:rsidR="000C3213" w:rsidRPr="00714B37">
        <w:rPr>
          <w:rFonts w:ascii="Cambria" w:hAnsi="Cambria"/>
        </w:rPr>
        <w:t>Planning (Listed Buildings and Conservation Areas) Act 1990</w:t>
      </w:r>
      <w:r w:rsidRPr="00714B37">
        <w:rPr>
          <w:rFonts w:ascii="Cambria" w:hAnsi="Cambria"/>
        </w:rPr>
        <w:t xml:space="preserve">. These regulate any works or alterations to listed buildings with the aim of managing change, and protecting them against damage to their irreplaceable values. </w:t>
      </w:r>
    </w:p>
    <w:p w14:paraId="50ACB556" w14:textId="77777777" w:rsidR="006568DD" w:rsidRPr="00714B37" w:rsidRDefault="006568DD" w:rsidP="00BD25D5">
      <w:pPr>
        <w:jc w:val="both"/>
        <w:rPr>
          <w:rFonts w:ascii="Cambria" w:hAnsi="Cambria"/>
        </w:rPr>
      </w:pPr>
    </w:p>
    <w:p w14:paraId="61464AF5" w14:textId="73DCAB55" w:rsidR="00BB7542" w:rsidRPr="006568DD" w:rsidRDefault="00BB7542" w:rsidP="00BD25D5">
      <w:pPr>
        <w:jc w:val="both"/>
        <w:rPr>
          <w:rFonts w:ascii="Cambria" w:hAnsi="Cambria"/>
        </w:rPr>
      </w:pPr>
      <w:r w:rsidRPr="00714B37">
        <w:rPr>
          <w:rFonts w:ascii="Cambria" w:hAnsi="Cambria"/>
        </w:rPr>
        <w:t xml:space="preserve">The statutory protection afforded </w:t>
      </w:r>
      <w:r w:rsidR="000C3213" w:rsidRPr="00714B37">
        <w:rPr>
          <w:rFonts w:ascii="Cambria" w:hAnsi="Cambria"/>
        </w:rPr>
        <w:t xml:space="preserve">to </w:t>
      </w:r>
      <w:proofErr w:type="gramStart"/>
      <w:r w:rsidR="000C3213" w:rsidRPr="00714B37">
        <w:rPr>
          <w:rFonts w:ascii="Cambria" w:hAnsi="Cambria"/>
        </w:rPr>
        <w:t>listed</w:t>
      </w:r>
      <w:proofErr w:type="gramEnd"/>
      <w:r w:rsidR="000C3213" w:rsidRPr="00714B37">
        <w:rPr>
          <w:rFonts w:ascii="Cambria" w:hAnsi="Cambria"/>
        </w:rPr>
        <w:t xml:space="preserve"> buildings</w:t>
      </w:r>
      <w:r w:rsidRPr="00714B37">
        <w:rPr>
          <w:rFonts w:ascii="Cambria" w:hAnsi="Cambria"/>
        </w:rPr>
        <w:t xml:space="preserve"> can make it challenging to improve the energy efficiency of these properties</w:t>
      </w:r>
      <w:r w:rsidR="000C3213" w:rsidRPr="00714B37">
        <w:rPr>
          <w:rFonts w:ascii="Cambria" w:hAnsi="Cambria"/>
        </w:rPr>
        <w:t xml:space="preserve"> (Ginks and Painter, 2017)</w:t>
      </w:r>
      <w:r w:rsidRPr="00714B37">
        <w:rPr>
          <w:rFonts w:ascii="Cambria" w:hAnsi="Cambria"/>
        </w:rPr>
        <w:t>. Listed pre-1919 buildings are some of the most difficult to improve</w:t>
      </w:r>
      <w:r w:rsidR="000C3213" w:rsidRPr="00714B37">
        <w:rPr>
          <w:rFonts w:ascii="Cambria" w:hAnsi="Cambria"/>
        </w:rPr>
        <w:t xml:space="preserve"> (</w:t>
      </w:r>
      <w:proofErr w:type="spellStart"/>
      <w:r w:rsidR="000C3213" w:rsidRPr="00714B37">
        <w:rPr>
          <w:rFonts w:ascii="Cambria" w:hAnsi="Cambria"/>
        </w:rPr>
        <w:t>Galatioto</w:t>
      </w:r>
      <w:proofErr w:type="spellEnd"/>
      <w:r w:rsidR="000C3213" w:rsidRPr="00714B37">
        <w:rPr>
          <w:rFonts w:ascii="Cambria" w:hAnsi="Cambria"/>
        </w:rPr>
        <w:t xml:space="preserve"> et al., 2017</w:t>
      </w:r>
      <w:proofErr w:type="gramStart"/>
      <w:r w:rsidR="000C3213" w:rsidRPr="00714B37">
        <w:rPr>
          <w:rFonts w:ascii="Cambria" w:hAnsi="Cambria"/>
        </w:rPr>
        <w:t xml:space="preserve">) </w:t>
      </w:r>
      <w:r w:rsidRPr="00714B37">
        <w:rPr>
          <w:rFonts w:ascii="Cambria" w:hAnsi="Cambria"/>
        </w:rPr>
        <w:t xml:space="preserve"> in</w:t>
      </w:r>
      <w:proofErr w:type="gramEnd"/>
      <w:r w:rsidRPr="00714B37">
        <w:rPr>
          <w:rFonts w:ascii="Cambria" w:hAnsi="Cambria"/>
        </w:rPr>
        <w:t xml:space="preserve"> relation to energy efficiency due to their physical characteristics, such as solid walls, the need to retain protected values (</w:t>
      </w:r>
      <w:proofErr w:type="spellStart"/>
      <w:r w:rsidRPr="00714B37">
        <w:rPr>
          <w:rFonts w:ascii="Cambria" w:hAnsi="Cambria"/>
        </w:rPr>
        <w:t>Pianezze</w:t>
      </w:r>
      <w:proofErr w:type="spellEnd"/>
      <w:r w:rsidRPr="00714B37">
        <w:rPr>
          <w:rFonts w:ascii="Cambria" w:hAnsi="Cambria"/>
        </w:rPr>
        <w:t>, 2012), and because listed buildings are considered by policy as ‘fragile’ (</w:t>
      </w:r>
      <w:proofErr w:type="spellStart"/>
      <w:r w:rsidRPr="00714B37">
        <w:rPr>
          <w:rFonts w:ascii="Cambria" w:hAnsi="Cambria"/>
        </w:rPr>
        <w:t>Munarim</w:t>
      </w:r>
      <w:proofErr w:type="spellEnd"/>
      <w:r w:rsidRPr="00714B37">
        <w:rPr>
          <w:rFonts w:ascii="Cambria" w:hAnsi="Cambria"/>
        </w:rPr>
        <w:t xml:space="preserve"> and </w:t>
      </w:r>
      <w:proofErr w:type="spellStart"/>
      <w:r w:rsidRPr="00714B37">
        <w:rPr>
          <w:rFonts w:ascii="Cambria" w:hAnsi="Cambria"/>
        </w:rPr>
        <w:t>Ghisi</w:t>
      </w:r>
      <w:proofErr w:type="spellEnd"/>
      <w:r w:rsidRPr="00714B37">
        <w:rPr>
          <w:rFonts w:ascii="Cambria" w:hAnsi="Cambria"/>
        </w:rPr>
        <w:t xml:space="preserve">, 2016). This does not mean the energy efficiency of </w:t>
      </w:r>
      <w:r w:rsidR="000C3213" w:rsidRPr="00714B37">
        <w:rPr>
          <w:rFonts w:ascii="Cambria" w:hAnsi="Cambria"/>
        </w:rPr>
        <w:t xml:space="preserve">listed </w:t>
      </w:r>
      <w:r w:rsidRPr="00714B37">
        <w:rPr>
          <w:rFonts w:ascii="Cambria" w:hAnsi="Cambria"/>
        </w:rPr>
        <w:t xml:space="preserve">buildings cannot be improved; rather there is a need to avoid unacceptable, poorly designed interventions (Yung and Chan, 2012). </w:t>
      </w:r>
      <w:r w:rsidR="000C3213" w:rsidRPr="00714B37">
        <w:rPr>
          <w:rFonts w:ascii="Cambria" w:hAnsi="Cambria"/>
        </w:rPr>
        <w:t>Indeed, by not acting to improve building energy efficiency, there is a risk of listed pre-1919 buildings being viewed as a potential ‘energy liability’ and a risk to their long-term usability (Webb, 2017). Instead</w:t>
      </w:r>
      <w:proofErr w:type="gramStart"/>
      <w:r w:rsidR="000C3213" w:rsidRPr="00714B37">
        <w:rPr>
          <w:rFonts w:ascii="Cambria" w:hAnsi="Cambria"/>
        </w:rPr>
        <w:t>,</w:t>
      </w:r>
      <w:r w:rsidRPr="006568DD">
        <w:rPr>
          <w:rFonts w:ascii="Cambria" w:hAnsi="Cambria"/>
        </w:rPr>
        <w:t>,</w:t>
      </w:r>
      <w:proofErr w:type="gramEnd"/>
      <w:r w:rsidRPr="006568DD">
        <w:rPr>
          <w:rFonts w:ascii="Cambria" w:hAnsi="Cambria"/>
        </w:rPr>
        <w:t xml:space="preserve"> improvements should be undertaken on a case-by-case basis (Hensley and Aguilar, 2011; </w:t>
      </w:r>
      <w:proofErr w:type="spellStart"/>
      <w:r w:rsidRPr="006568DD">
        <w:rPr>
          <w:rFonts w:ascii="Cambria" w:hAnsi="Cambria"/>
        </w:rPr>
        <w:t>Pracchi</w:t>
      </w:r>
      <w:proofErr w:type="spellEnd"/>
      <w:r w:rsidRPr="006568DD">
        <w:rPr>
          <w:rFonts w:ascii="Cambria" w:hAnsi="Cambria"/>
        </w:rPr>
        <w:t xml:space="preserve">, 2014; </w:t>
      </w:r>
      <w:proofErr w:type="spellStart"/>
      <w:r w:rsidRPr="006568DD">
        <w:rPr>
          <w:rFonts w:ascii="Cambria" w:hAnsi="Cambria"/>
        </w:rPr>
        <w:t>Gonçalves</w:t>
      </w:r>
      <w:proofErr w:type="spellEnd"/>
      <w:r w:rsidRPr="006568DD">
        <w:rPr>
          <w:rFonts w:ascii="Cambria" w:hAnsi="Cambria"/>
        </w:rPr>
        <w:t xml:space="preserve"> de Almeida, 2014). Whilst there are a vast number of energy efficiency measures and technologies available for existing buildings, only a small proportion are suited to </w:t>
      </w:r>
      <w:r w:rsidR="000C3213" w:rsidRPr="006568DD">
        <w:rPr>
          <w:rFonts w:ascii="Cambria" w:hAnsi="Cambria"/>
        </w:rPr>
        <w:t xml:space="preserve">listed buildings </w:t>
      </w:r>
      <w:r w:rsidRPr="006568DD">
        <w:rPr>
          <w:rFonts w:ascii="Cambria" w:hAnsi="Cambria"/>
        </w:rPr>
        <w:t>(</w:t>
      </w:r>
      <w:proofErr w:type="spellStart"/>
      <w:r w:rsidRPr="006568DD">
        <w:rPr>
          <w:rFonts w:ascii="Cambria" w:hAnsi="Cambria"/>
        </w:rPr>
        <w:t>Mazzarella</w:t>
      </w:r>
      <w:proofErr w:type="spellEnd"/>
      <w:r w:rsidRPr="006568DD">
        <w:rPr>
          <w:rFonts w:ascii="Cambria" w:hAnsi="Cambria"/>
        </w:rPr>
        <w:t>, 2014).</w:t>
      </w:r>
    </w:p>
    <w:p w14:paraId="7882C67F" w14:textId="77777777" w:rsidR="009F13BC" w:rsidRPr="006568DD" w:rsidRDefault="009F13BC" w:rsidP="00BD25D5">
      <w:pPr>
        <w:jc w:val="both"/>
        <w:rPr>
          <w:rFonts w:ascii="Cambria" w:hAnsi="Cambria"/>
        </w:rPr>
      </w:pPr>
    </w:p>
    <w:p w14:paraId="7688CF69" w14:textId="73A5DABB" w:rsidR="000C3213" w:rsidRPr="006568DD" w:rsidRDefault="009F13BC" w:rsidP="00BD25D5">
      <w:pPr>
        <w:jc w:val="both"/>
        <w:rPr>
          <w:rFonts w:ascii="Cambria" w:hAnsi="Cambria"/>
        </w:rPr>
      </w:pPr>
      <w:r w:rsidRPr="006568DD">
        <w:rPr>
          <w:rFonts w:ascii="Cambria" w:hAnsi="Cambria"/>
        </w:rPr>
        <w:t>The retention of the fabric of historic building “</w:t>
      </w:r>
      <w:r w:rsidRPr="006568DD">
        <w:rPr>
          <w:rFonts w:ascii="Cambria" w:hAnsi="Cambria"/>
          <w:i/>
        </w:rPr>
        <w:t>leads to the retention of cultural significance</w:t>
      </w:r>
      <w:r w:rsidRPr="006568DD">
        <w:rPr>
          <w:rFonts w:ascii="Cambria" w:hAnsi="Cambria"/>
        </w:rPr>
        <w:t xml:space="preserve">” and maintenance on a minimal intervention basis being the most appropriate method of achieving this (Forster and </w:t>
      </w:r>
      <w:proofErr w:type="spellStart"/>
      <w:r w:rsidRPr="006568DD">
        <w:rPr>
          <w:rFonts w:ascii="Cambria" w:hAnsi="Cambria"/>
        </w:rPr>
        <w:t>Kayan</w:t>
      </w:r>
      <w:proofErr w:type="spellEnd"/>
      <w:r w:rsidRPr="006568DD">
        <w:rPr>
          <w:rFonts w:ascii="Cambria" w:hAnsi="Cambria"/>
        </w:rPr>
        <w:t>, 2009, p.212). Whilst there is typically greater tolerance for physical intervention if such actions can be considered reversible (</w:t>
      </w:r>
      <w:proofErr w:type="spellStart"/>
      <w:r w:rsidR="00B06F67" w:rsidRPr="006568DD">
        <w:rPr>
          <w:rFonts w:ascii="Cambria" w:hAnsi="Cambria"/>
          <w:lang w:val="en-US"/>
        </w:rPr>
        <w:t>Pendlebury</w:t>
      </w:r>
      <w:proofErr w:type="spellEnd"/>
      <w:r w:rsidR="00B06F67" w:rsidRPr="006568DD">
        <w:rPr>
          <w:rFonts w:ascii="Cambria" w:hAnsi="Cambria"/>
          <w:lang w:val="en-US"/>
        </w:rPr>
        <w:t xml:space="preserve"> </w:t>
      </w:r>
      <w:r w:rsidR="00B06F67" w:rsidRPr="006568DD">
        <w:rPr>
          <w:rFonts w:ascii="Cambria" w:hAnsi="Cambria"/>
          <w:i/>
          <w:lang w:val="en-US"/>
        </w:rPr>
        <w:t>et al.</w:t>
      </w:r>
      <w:r w:rsidR="00B06F67" w:rsidRPr="006568DD">
        <w:rPr>
          <w:rFonts w:ascii="Cambria" w:hAnsi="Cambria"/>
          <w:lang w:val="en-US"/>
        </w:rPr>
        <w:t>, 2014</w:t>
      </w:r>
      <w:r w:rsidRPr="006568DD">
        <w:rPr>
          <w:rFonts w:ascii="Cambria" w:hAnsi="Cambria"/>
          <w:lang w:val="en-US"/>
        </w:rPr>
        <w:t xml:space="preserve">), </w:t>
      </w:r>
      <w:r w:rsidRPr="006568DD">
        <w:rPr>
          <w:rFonts w:ascii="Cambria" w:hAnsi="Cambria"/>
        </w:rPr>
        <w:t xml:space="preserve">minimising interference with the physical fabric of </w:t>
      </w:r>
      <w:r w:rsidR="000C3213" w:rsidRPr="006568DD">
        <w:rPr>
          <w:rFonts w:ascii="Cambria" w:hAnsi="Cambria"/>
        </w:rPr>
        <w:t>listed building</w:t>
      </w:r>
      <w:r w:rsidRPr="006568DD">
        <w:rPr>
          <w:rFonts w:ascii="Cambria" w:hAnsi="Cambria"/>
        </w:rPr>
        <w:t xml:space="preserve"> is considered to be the most appropriate ap</w:t>
      </w:r>
      <w:r w:rsidR="00121570" w:rsidRPr="006568DD">
        <w:rPr>
          <w:rFonts w:ascii="Cambria" w:hAnsi="Cambria"/>
        </w:rPr>
        <w:t>proach (Yung and C</w:t>
      </w:r>
      <w:r w:rsidRPr="006568DD">
        <w:rPr>
          <w:rFonts w:ascii="Cambria" w:hAnsi="Cambria"/>
        </w:rPr>
        <w:t>h</w:t>
      </w:r>
      <w:r w:rsidR="00121570" w:rsidRPr="006568DD">
        <w:rPr>
          <w:rFonts w:ascii="Cambria" w:hAnsi="Cambria"/>
        </w:rPr>
        <w:t>a</w:t>
      </w:r>
      <w:r w:rsidRPr="006568DD">
        <w:rPr>
          <w:rFonts w:ascii="Cambria" w:hAnsi="Cambria"/>
        </w:rPr>
        <w:t xml:space="preserve">n, 2012), as this often forms part of the significance of the building (Polo </w:t>
      </w:r>
      <w:proofErr w:type="spellStart"/>
      <w:r w:rsidRPr="006568DD">
        <w:rPr>
          <w:rFonts w:ascii="Cambria" w:hAnsi="Cambria"/>
        </w:rPr>
        <w:t>L</w:t>
      </w:r>
      <w:r w:rsidR="000C3213" w:rsidRPr="00714B37">
        <w:rPr>
          <w:rFonts w:ascii="Cambria" w:hAnsi="Cambria" w:cs="Lucida Grande"/>
        </w:rPr>
        <w:t>ó</w:t>
      </w:r>
      <w:r w:rsidRPr="006568DD">
        <w:rPr>
          <w:rFonts w:ascii="Cambria" w:hAnsi="Cambria"/>
        </w:rPr>
        <w:t>pez</w:t>
      </w:r>
      <w:proofErr w:type="spellEnd"/>
      <w:r w:rsidRPr="006568DD">
        <w:rPr>
          <w:rFonts w:ascii="Cambria" w:hAnsi="Cambria"/>
        </w:rPr>
        <w:t xml:space="preserve"> and </w:t>
      </w:r>
      <w:proofErr w:type="spellStart"/>
      <w:r w:rsidRPr="006568DD">
        <w:rPr>
          <w:rFonts w:ascii="Cambria" w:hAnsi="Cambria"/>
        </w:rPr>
        <w:t>Frontini</w:t>
      </w:r>
      <w:proofErr w:type="spellEnd"/>
      <w:r w:rsidRPr="006568DD">
        <w:rPr>
          <w:rFonts w:ascii="Cambria" w:hAnsi="Cambria"/>
        </w:rPr>
        <w:t xml:space="preserve">, 2014). </w:t>
      </w:r>
    </w:p>
    <w:p w14:paraId="3CACEFB3" w14:textId="77777777" w:rsidR="000C3213" w:rsidRPr="006568DD" w:rsidRDefault="000C3213" w:rsidP="00BD25D5">
      <w:pPr>
        <w:jc w:val="both"/>
        <w:rPr>
          <w:rFonts w:ascii="Cambria" w:hAnsi="Cambria"/>
        </w:rPr>
      </w:pPr>
    </w:p>
    <w:p w14:paraId="42A5A71D" w14:textId="72444846" w:rsidR="009F13BC" w:rsidRPr="006568DD" w:rsidRDefault="009F13BC" w:rsidP="00BD25D5">
      <w:pPr>
        <w:jc w:val="both"/>
        <w:rPr>
          <w:rFonts w:ascii="Cambria" w:hAnsi="Cambria"/>
        </w:rPr>
      </w:pPr>
      <w:r w:rsidRPr="006568DD">
        <w:rPr>
          <w:rFonts w:ascii="Cambria" w:hAnsi="Cambria"/>
        </w:rPr>
        <w:t xml:space="preserve">Minimal intervention is connected with conservation concepts such as sympathetic alterations of important features, avoiding the destruction of the fabric, and material authenticity (Forster and </w:t>
      </w:r>
      <w:proofErr w:type="spellStart"/>
      <w:r w:rsidRPr="006568DD">
        <w:rPr>
          <w:rFonts w:ascii="Cambria" w:hAnsi="Cambria"/>
        </w:rPr>
        <w:t>Kayan</w:t>
      </w:r>
      <w:proofErr w:type="spellEnd"/>
      <w:r w:rsidRPr="006568DD">
        <w:rPr>
          <w:rFonts w:ascii="Cambria" w:hAnsi="Cambria"/>
        </w:rPr>
        <w:t xml:space="preserve">, 2009) However, it is the fabric which forms a central role in the provision of thermal insulation (Polo </w:t>
      </w:r>
      <w:proofErr w:type="spellStart"/>
      <w:r w:rsidRPr="006568DD">
        <w:rPr>
          <w:rFonts w:ascii="Cambria" w:hAnsi="Cambria"/>
        </w:rPr>
        <w:t>L</w:t>
      </w:r>
      <w:r w:rsidR="000C3213" w:rsidRPr="00714B37">
        <w:rPr>
          <w:rFonts w:ascii="Cambria" w:hAnsi="Cambria" w:cs="Lucida Grande"/>
        </w:rPr>
        <w:t>ó</w:t>
      </w:r>
      <w:r w:rsidRPr="006568DD">
        <w:rPr>
          <w:rFonts w:ascii="Cambria" w:hAnsi="Cambria"/>
        </w:rPr>
        <w:t>pez</w:t>
      </w:r>
      <w:proofErr w:type="spellEnd"/>
      <w:r w:rsidRPr="006568DD">
        <w:rPr>
          <w:rFonts w:ascii="Cambria" w:hAnsi="Cambria"/>
        </w:rPr>
        <w:t xml:space="preserve"> and </w:t>
      </w:r>
      <w:proofErr w:type="spellStart"/>
      <w:r w:rsidRPr="006568DD">
        <w:rPr>
          <w:rFonts w:ascii="Cambria" w:hAnsi="Cambria"/>
        </w:rPr>
        <w:t>Frontini</w:t>
      </w:r>
      <w:proofErr w:type="spellEnd"/>
      <w:r w:rsidRPr="006568DD">
        <w:rPr>
          <w:rFonts w:ascii="Cambria" w:hAnsi="Cambria"/>
        </w:rPr>
        <w:t>, 2014)</w:t>
      </w:r>
      <w:r w:rsidR="00737BBB" w:rsidRPr="006568DD">
        <w:rPr>
          <w:rFonts w:ascii="Cambria" w:hAnsi="Cambria"/>
        </w:rPr>
        <w:t xml:space="preserve"> and the overall energy improvement of a building (</w:t>
      </w:r>
      <w:proofErr w:type="spellStart"/>
      <w:r w:rsidR="00737BBB" w:rsidRPr="006568DD">
        <w:rPr>
          <w:rFonts w:ascii="Cambria" w:hAnsi="Cambria"/>
        </w:rPr>
        <w:t>Galatioto</w:t>
      </w:r>
      <w:proofErr w:type="spellEnd"/>
      <w:r w:rsidR="00737BBB" w:rsidRPr="006568DD">
        <w:rPr>
          <w:rFonts w:ascii="Cambria" w:hAnsi="Cambria"/>
        </w:rPr>
        <w:t xml:space="preserve"> et al., 2017). </w:t>
      </w:r>
      <w:r w:rsidRPr="006568DD">
        <w:rPr>
          <w:rFonts w:ascii="Cambria" w:hAnsi="Cambria"/>
        </w:rPr>
        <w:t>Therefore, some form of intervention with the fabric of the building is likely to be necessary.</w:t>
      </w:r>
      <w:r w:rsidR="00737BBB" w:rsidRPr="006568DD">
        <w:rPr>
          <w:rFonts w:ascii="Cambria" w:hAnsi="Cambria"/>
        </w:rPr>
        <w:t xml:space="preserve"> Such interventions need to take account of aspects of material behaviours, including moisture and breathability.</w:t>
      </w:r>
    </w:p>
    <w:p w14:paraId="478B5880" w14:textId="77777777" w:rsidR="00737BBB" w:rsidRPr="006568DD" w:rsidRDefault="00737BBB" w:rsidP="00BD25D5">
      <w:pPr>
        <w:jc w:val="both"/>
        <w:rPr>
          <w:rFonts w:ascii="Cambria" w:hAnsi="Cambria"/>
        </w:rPr>
      </w:pPr>
    </w:p>
    <w:p w14:paraId="47CF14A5" w14:textId="0CB58042" w:rsidR="00737BBB" w:rsidRPr="006568DD" w:rsidRDefault="00737BBB" w:rsidP="00BD25D5">
      <w:pPr>
        <w:jc w:val="both"/>
        <w:rPr>
          <w:rFonts w:ascii="Cambria" w:hAnsi="Cambria"/>
        </w:rPr>
      </w:pPr>
      <w:r w:rsidRPr="006568DD">
        <w:rPr>
          <w:rFonts w:ascii="Cambria" w:hAnsi="Cambria"/>
        </w:rPr>
        <w:t xml:space="preserve">‘Breathability’ refers to the </w:t>
      </w:r>
      <w:proofErr w:type="spellStart"/>
      <w:r w:rsidRPr="006568DD">
        <w:rPr>
          <w:rFonts w:ascii="Cambria" w:hAnsi="Cambria"/>
        </w:rPr>
        <w:t>hygrothermal</w:t>
      </w:r>
      <w:proofErr w:type="spellEnd"/>
      <w:r w:rsidRPr="006568DD">
        <w:rPr>
          <w:rFonts w:ascii="Cambria" w:hAnsi="Cambria"/>
        </w:rPr>
        <w:t xml:space="preserve"> behaviour of a building in which moisture is absorbed and evaporated as a means of moisture control (Webb, 2017). In particular, solid walled properties are more porous in comparison with modern properties (Campbell et al., 2017). The design decisions of fabric interventions must, therefore, consider how to address aspects of breathability, and accumulation of moisture and thermal bridges (Campbell et al., 2017) in addition to whether the alteration is aesthetically acceptable. Such considerations extend beyond aspects of improvements in energy efficiency, to the challenges of fabric intervention in listed pre-1919 housing relating to regulatory (</w:t>
      </w:r>
      <w:proofErr w:type="spellStart"/>
      <w:r w:rsidRPr="006568DD">
        <w:rPr>
          <w:rFonts w:ascii="Cambria" w:hAnsi="Cambria"/>
        </w:rPr>
        <w:t>Galatioto</w:t>
      </w:r>
      <w:proofErr w:type="spellEnd"/>
      <w:r w:rsidRPr="006568DD">
        <w:rPr>
          <w:rFonts w:ascii="Cambria" w:hAnsi="Cambria"/>
        </w:rPr>
        <w:t xml:space="preserve"> et al., 2017), technical (</w:t>
      </w:r>
      <w:proofErr w:type="spellStart"/>
      <w:r w:rsidRPr="006568DD">
        <w:rPr>
          <w:rFonts w:ascii="Cambria" w:hAnsi="Cambria"/>
        </w:rPr>
        <w:t>Galatioto</w:t>
      </w:r>
      <w:proofErr w:type="spellEnd"/>
      <w:r w:rsidRPr="006568DD">
        <w:rPr>
          <w:rFonts w:ascii="Cambria" w:hAnsi="Cambria"/>
        </w:rPr>
        <w:t xml:space="preserve"> et al., 2017), and aesthetic (Campbell et al., 2017; </w:t>
      </w:r>
      <w:proofErr w:type="spellStart"/>
      <w:r w:rsidRPr="006568DD">
        <w:rPr>
          <w:rFonts w:ascii="Cambria" w:hAnsi="Cambria"/>
        </w:rPr>
        <w:t>Sunikka</w:t>
      </w:r>
      <w:proofErr w:type="spellEnd"/>
      <w:r w:rsidRPr="006568DD">
        <w:rPr>
          <w:rFonts w:ascii="Cambria" w:hAnsi="Cambria"/>
        </w:rPr>
        <w:t>-Blank and Galvin, 2016) aspects in addition to initial cost (Webb, 2017) and acceptable payback periods (</w:t>
      </w:r>
      <w:proofErr w:type="spellStart"/>
      <w:r w:rsidRPr="006568DD">
        <w:rPr>
          <w:rFonts w:ascii="Cambria" w:hAnsi="Cambria"/>
        </w:rPr>
        <w:t>Galatioto</w:t>
      </w:r>
      <w:proofErr w:type="spellEnd"/>
      <w:r w:rsidRPr="006568DD">
        <w:rPr>
          <w:rFonts w:ascii="Cambria" w:hAnsi="Cambria"/>
        </w:rPr>
        <w:t xml:space="preserve"> et al., 2017). </w:t>
      </w:r>
    </w:p>
    <w:p w14:paraId="6699243D" w14:textId="77777777" w:rsidR="009F13BC" w:rsidRPr="006568DD" w:rsidRDefault="009F13BC" w:rsidP="00BD25D5">
      <w:pPr>
        <w:jc w:val="both"/>
        <w:rPr>
          <w:rFonts w:ascii="Cambria" w:hAnsi="Cambria"/>
          <w:lang w:val="en-US"/>
        </w:rPr>
      </w:pPr>
    </w:p>
    <w:p w14:paraId="26DEE093" w14:textId="4095961F" w:rsidR="00B33B33" w:rsidRPr="006568DD" w:rsidRDefault="00D97723" w:rsidP="00BD25D5">
      <w:pPr>
        <w:jc w:val="both"/>
        <w:rPr>
          <w:rFonts w:ascii="Cambria" w:hAnsi="Cambria"/>
        </w:rPr>
      </w:pPr>
      <w:r w:rsidRPr="006568DD">
        <w:rPr>
          <w:rFonts w:ascii="Cambria" w:hAnsi="Cambria"/>
        </w:rPr>
        <w:t xml:space="preserve">The presence of tensions between sustainability and the conservation of </w:t>
      </w:r>
      <w:r w:rsidR="00737BBB" w:rsidRPr="006568DD">
        <w:rPr>
          <w:rFonts w:ascii="Cambria" w:hAnsi="Cambria"/>
        </w:rPr>
        <w:t>listed buildings</w:t>
      </w:r>
      <w:r w:rsidRPr="006568DD">
        <w:rPr>
          <w:rFonts w:ascii="Cambria" w:hAnsi="Cambria"/>
        </w:rPr>
        <w:t xml:space="preserve"> has been highlighted in the existing literature (</w:t>
      </w:r>
      <w:proofErr w:type="spellStart"/>
      <w:r w:rsidR="00716DB5" w:rsidRPr="006568DD">
        <w:rPr>
          <w:rFonts w:ascii="Cambria" w:hAnsi="Cambria"/>
        </w:rPr>
        <w:t>Pracchi</w:t>
      </w:r>
      <w:proofErr w:type="spellEnd"/>
      <w:r w:rsidR="00716DB5" w:rsidRPr="006568DD">
        <w:rPr>
          <w:rFonts w:ascii="Cambria" w:hAnsi="Cambria"/>
        </w:rPr>
        <w:t xml:space="preserve">, 2014; </w:t>
      </w:r>
      <w:r w:rsidR="00B06F67" w:rsidRPr="006568DD">
        <w:rPr>
          <w:rFonts w:ascii="Cambria" w:hAnsi="Cambria"/>
        </w:rPr>
        <w:t xml:space="preserve">Martinez-Molina </w:t>
      </w:r>
      <w:r w:rsidR="00B06F67" w:rsidRPr="006568DD">
        <w:rPr>
          <w:rFonts w:ascii="Cambria" w:hAnsi="Cambria"/>
          <w:i/>
        </w:rPr>
        <w:t>et al.</w:t>
      </w:r>
      <w:r w:rsidR="00B06F67" w:rsidRPr="006568DD">
        <w:rPr>
          <w:rFonts w:ascii="Cambria" w:hAnsi="Cambria"/>
        </w:rPr>
        <w:t>, 2016</w:t>
      </w:r>
      <w:r w:rsidR="00716DB5" w:rsidRPr="006568DD">
        <w:rPr>
          <w:rFonts w:ascii="Cambria" w:hAnsi="Cambria"/>
        </w:rPr>
        <w:t xml:space="preserve">; </w:t>
      </w:r>
      <w:r w:rsidRPr="006568DD">
        <w:rPr>
          <w:rFonts w:ascii="Cambria" w:hAnsi="Cambria"/>
        </w:rPr>
        <w:t>Mansfield, 2008)</w:t>
      </w:r>
      <w:r w:rsidR="00716DB5" w:rsidRPr="006568DD">
        <w:rPr>
          <w:rFonts w:ascii="Cambria" w:hAnsi="Cambria"/>
        </w:rPr>
        <w:t xml:space="preserve">. </w:t>
      </w:r>
      <w:r w:rsidR="00737BBB" w:rsidRPr="006568DD">
        <w:rPr>
          <w:rFonts w:ascii="Cambria" w:hAnsi="Cambria"/>
        </w:rPr>
        <w:t>For example, where there is a need to improve the energy efficiency of a listed building, but this is not possible where such improvements affect the characteristics of the building which contribute to its value (</w:t>
      </w:r>
      <w:proofErr w:type="spellStart"/>
      <w:r w:rsidR="00737BBB" w:rsidRPr="006568DD">
        <w:rPr>
          <w:rFonts w:ascii="Cambria" w:hAnsi="Cambria"/>
        </w:rPr>
        <w:t>Nardi</w:t>
      </w:r>
      <w:proofErr w:type="spellEnd"/>
      <w:r w:rsidR="00737BBB" w:rsidRPr="006568DD">
        <w:rPr>
          <w:rFonts w:ascii="Cambria" w:hAnsi="Cambria"/>
        </w:rPr>
        <w:t xml:space="preserve"> et al., 2017). Such values must be preserved. </w:t>
      </w:r>
      <w:proofErr w:type="spellStart"/>
      <w:r w:rsidR="00716DB5" w:rsidRPr="006568DD">
        <w:rPr>
          <w:rFonts w:ascii="Cambria" w:hAnsi="Cambria"/>
        </w:rPr>
        <w:t>Sunikka</w:t>
      </w:r>
      <w:proofErr w:type="spellEnd"/>
      <w:r w:rsidR="00716DB5" w:rsidRPr="006568DD">
        <w:rPr>
          <w:rFonts w:ascii="Cambria" w:hAnsi="Cambria"/>
        </w:rPr>
        <w:t xml:space="preserve">-Blank and Galvin (2016) suggest that such tensions should be addressed in local policy. </w:t>
      </w:r>
    </w:p>
    <w:p w14:paraId="31A323BF" w14:textId="77777777" w:rsidR="009F13BC" w:rsidRPr="006568DD" w:rsidRDefault="009F13BC" w:rsidP="00BD25D5">
      <w:pPr>
        <w:jc w:val="both"/>
        <w:rPr>
          <w:rFonts w:ascii="Cambria" w:hAnsi="Cambria"/>
        </w:rPr>
      </w:pPr>
    </w:p>
    <w:p w14:paraId="794A4643" w14:textId="74512DCA" w:rsidR="00A04CC9" w:rsidRPr="006568DD" w:rsidRDefault="0018163C" w:rsidP="00BD25D5">
      <w:pPr>
        <w:jc w:val="both"/>
        <w:rPr>
          <w:rFonts w:ascii="Cambria" w:hAnsi="Cambria"/>
        </w:rPr>
      </w:pPr>
      <w:r w:rsidRPr="006568DD">
        <w:rPr>
          <w:rFonts w:ascii="Cambria" w:hAnsi="Cambria"/>
          <w:iCs/>
        </w:rPr>
        <w:t xml:space="preserve">According to </w:t>
      </w:r>
      <w:proofErr w:type="spellStart"/>
      <w:r w:rsidRPr="006568DD">
        <w:rPr>
          <w:rFonts w:ascii="Cambria" w:hAnsi="Cambria"/>
          <w:iCs/>
        </w:rPr>
        <w:t>Bossi</w:t>
      </w:r>
      <w:proofErr w:type="spellEnd"/>
      <w:r w:rsidRPr="006568DD">
        <w:rPr>
          <w:rFonts w:ascii="Cambria" w:hAnsi="Cambria"/>
          <w:iCs/>
        </w:rPr>
        <w:t xml:space="preserve"> (2009, p.36), “</w:t>
      </w:r>
      <w:r w:rsidRPr="006568DD">
        <w:rPr>
          <w:rFonts w:ascii="Cambria" w:hAnsi="Cambria"/>
          <w:i/>
          <w:iCs/>
        </w:rPr>
        <w:t>‘sustainable’ is about improving the energy efficiency of buildings and preserving the protected environment from wrong actions. ‘Unsustainable’ is about pretending that historical buildings thermally behave as the modern ones, but also the erroneous usage of materials</w:t>
      </w:r>
      <w:r w:rsidRPr="006568DD">
        <w:rPr>
          <w:rFonts w:ascii="Cambria" w:hAnsi="Cambria"/>
          <w:iCs/>
        </w:rPr>
        <w:t xml:space="preserve">”. That is, when improving the energy efficiency performance of </w:t>
      </w:r>
      <w:r w:rsidR="00737BBB" w:rsidRPr="006568DD">
        <w:rPr>
          <w:rFonts w:ascii="Cambria" w:hAnsi="Cambria"/>
          <w:iCs/>
        </w:rPr>
        <w:t>listed pre-1919 housing</w:t>
      </w:r>
      <w:r w:rsidRPr="006568DD">
        <w:rPr>
          <w:rFonts w:ascii="Cambria" w:hAnsi="Cambria"/>
          <w:iCs/>
        </w:rPr>
        <w:t>, how such buildings perform must be understood to avoid irrevocably causing damage.</w:t>
      </w:r>
      <w:r w:rsidR="003F7323" w:rsidRPr="006568DD" w:rsidDel="003F7323">
        <w:rPr>
          <w:rFonts w:ascii="Cambria" w:hAnsi="Cambria"/>
        </w:rPr>
        <w:t xml:space="preserve"> </w:t>
      </w:r>
      <w:r w:rsidR="00A04CC9" w:rsidRPr="006568DD">
        <w:rPr>
          <w:rFonts w:ascii="Cambria" w:hAnsi="Cambria"/>
        </w:rPr>
        <w:t xml:space="preserve"> </w:t>
      </w:r>
    </w:p>
    <w:p w14:paraId="18634DC0" w14:textId="77777777" w:rsidR="00716DB5" w:rsidRPr="006568DD" w:rsidRDefault="00716DB5" w:rsidP="00BD25D5">
      <w:pPr>
        <w:jc w:val="both"/>
        <w:rPr>
          <w:rFonts w:ascii="Cambria" w:hAnsi="Cambria"/>
        </w:rPr>
      </w:pPr>
    </w:p>
    <w:p w14:paraId="7ACED704" w14:textId="38F52A59" w:rsidR="0018163C" w:rsidRPr="006568DD" w:rsidRDefault="00B33B33" w:rsidP="00BD25D5">
      <w:pPr>
        <w:jc w:val="both"/>
        <w:rPr>
          <w:rFonts w:ascii="Cambria" w:hAnsi="Cambria"/>
        </w:rPr>
      </w:pPr>
      <w:r w:rsidRPr="006568DD">
        <w:rPr>
          <w:rFonts w:ascii="Cambria" w:hAnsi="Cambria"/>
        </w:rPr>
        <w:t xml:space="preserve">There is a consensus within the literature that improvements to </w:t>
      </w:r>
      <w:r w:rsidR="00737BBB" w:rsidRPr="006568DD">
        <w:rPr>
          <w:rFonts w:ascii="Cambria" w:hAnsi="Cambria"/>
        </w:rPr>
        <w:t>listed</w:t>
      </w:r>
      <w:r w:rsidRPr="006568DD">
        <w:rPr>
          <w:rFonts w:ascii="Cambria" w:hAnsi="Cambria"/>
        </w:rPr>
        <w:t xml:space="preserve"> should be done on a case-by-case basis (Hensley and Aguilar, 2011; </w:t>
      </w:r>
      <w:proofErr w:type="spellStart"/>
      <w:r w:rsidRPr="006568DD">
        <w:rPr>
          <w:rFonts w:ascii="Cambria" w:hAnsi="Cambria"/>
        </w:rPr>
        <w:t>Pracchi</w:t>
      </w:r>
      <w:proofErr w:type="spellEnd"/>
      <w:r w:rsidRPr="006568DD">
        <w:rPr>
          <w:rFonts w:ascii="Cambria" w:hAnsi="Cambria"/>
        </w:rPr>
        <w:t xml:space="preserve">, 2014; </w:t>
      </w:r>
      <w:proofErr w:type="spellStart"/>
      <w:r w:rsidRPr="006568DD">
        <w:rPr>
          <w:rFonts w:ascii="Cambria" w:hAnsi="Cambria"/>
        </w:rPr>
        <w:t>Gonçalves</w:t>
      </w:r>
      <w:proofErr w:type="spellEnd"/>
      <w:r w:rsidRPr="006568DD">
        <w:rPr>
          <w:rFonts w:ascii="Cambria" w:hAnsi="Cambria"/>
        </w:rPr>
        <w:t xml:space="preserve"> de Almeida, 2014). Improvements should provide a balance between energy efficiency and the maximum preservation of the values the asset embodies, protecting these values for future generations as well as providing a healthy environment for occupants (</w:t>
      </w:r>
      <w:r w:rsidR="00B06F67" w:rsidRPr="006568DD">
        <w:rPr>
          <w:rFonts w:ascii="Cambria" w:hAnsi="Cambria"/>
        </w:rPr>
        <w:t xml:space="preserve">Martinez-Molina </w:t>
      </w:r>
      <w:r w:rsidR="00B06F67" w:rsidRPr="006568DD">
        <w:rPr>
          <w:rFonts w:ascii="Cambria" w:hAnsi="Cambria"/>
          <w:i/>
        </w:rPr>
        <w:t>et al.</w:t>
      </w:r>
      <w:r w:rsidR="00B06F67" w:rsidRPr="006568DD">
        <w:rPr>
          <w:rFonts w:ascii="Cambria" w:hAnsi="Cambria"/>
        </w:rPr>
        <w:t>, 2016</w:t>
      </w:r>
      <w:r w:rsidRPr="006568DD">
        <w:rPr>
          <w:rFonts w:ascii="Cambria" w:hAnsi="Cambria"/>
        </w:rPr>
        <w:t xml:space="preserve">). This custodial dimension of conservation, grounded in the Society for the Protection of Ancient Buildings’ 1877 principles, resonates with </w:t>
      </w:r>
      <w:proofErr w:type="spellStart"/>
      <w:r w:rsidRPr="006568DD">
        <w:rPr>
          <w:rFonts w:ascii="Cambria" w:hAnsi="Cambria"/>
        </w:rPr>
        <w:t>Brundtland’s</w:t>
      </w:r>
      <w:proofErr w:type="spellEnd"/>
      <w:r w:rsidRPr="006568DD">
        <w:rPr>
          <w:rFonts w:ascii="Cambria" w:hAnsi="Cambria"/>
        </w:rPr>
        <w:t xml:space="preserve"> (1989) definition of ‘sustainable development’</w:t>
      </w:r>
      <w:r w:rsidR="00897F4E" w:rsidRPr="006568DD">
        <w:rPr>
          <w:rFonts w:ascii="Cambria" w:hAnsi="Cambria"/>
        </w:rPr>
        <w:t xml:space="preserve"> where development should meet the needs of the present whilst allowing future generations to have the same opportunity</w:t>
      </w:r>
      <w:r w:rsidRPr="006568DD">
        <w:rPr>
          <w:rFonts w:ascii="Cambria" w:hAnsi="Cambria"/>
        </w:rPr>
        <w:t xml:space="preserve">. Further, sustainability for </w:t>
      </w:r>
      <w:r w:rsidR="00737BBB" w:rsidRPr="006568DD">
        <w:rPr>
          <w:rFonts w:ascii="Cambria" w:hAnsi="Cambria"/>
        </w:rPr>
        <w:t xml:space="preserve">listed </w:t>
      </w:r>
      <w:r w:rsidRPr="006568DD">
        <w:rPr>
          <w:rFonts w:ascii="Cambria" w:hAnsi="Cambria"/>
        </w:rPr>
        <w:t>buildings means recognising the property as a non-renewable and valuable resource.</w:t>
      </w:r>
    </w:p>
    <w:p w14:paraId="7C5F9B1E" w14:textId="77777777" w:rsidR="0018163C" w:rsidRPr="006568DD" w:rsidRDefault="0018163C" w:rsidP="00BD25D5">
      <w:pPr>
        <w:jc w:val="both"/>
        <w:rPr>
          <w:rFonts w:ascii="Cambria" w:hAnsi="Cambria"/>
        </w:rPr>
      </w:pPr>
    </w:p>
    <w:p w14:paraId="30487C0B" w14:textId="501CCF28" w:rsidR="00897F4E" w:rsidRPr="006568DD" w:rsidRDefault="00B87693" w:rsidP="00BD25D5">
      <w:pPr>
        <w:jc w:val="both"/>
        <w:rPr>
          <w:rFonts w:ascii="Cambria" w:hAnsi="Cambria"/>
        </w:rPr>
      </w:pPr>
      <w:r w:rsidRPr="006568DD">
        <w:rPr>
          <w:rFonts w:ascii="Cambria" w:hAnsi="Cambria"/>
          <w:iCs/>
        </w:rPr>
        <w:t xml:space="preserve">There are concerns </w:t>
      </w:r>
      <w:r w:rsidR="00737BBB" w:rsidRPr="006568DD">
        <w:rPr>
          <w:rFonts w:ascii="Cambria" w:hAnsi="Cambria"/>
          <w:iCs/>
        </w:rPr>
        <w:t xml:space="preserve">in the existing literature </w:t>
      </w:r>
      <w:r w:rsidRPr="006568DD">
        <w:rPr>
          <w:rFonts w:ascii="Cambria" w:hAnsi="Cambria"/>
          <w:iCs/>
        </w:rPr>
        <w:t xml:space="preserve">over unintended consequences of energy efficiency measures on the fabric of </w:t>
      </w:r>
      <w:r w:rsidR="00737BBB" w:rsidRPr="006568DD">
        <w:rPr>
          <w:rFonts w:ascii="Cambria" w:hAnsi="Cambria"/>
          <w:iCs/>
        </w:rPr>
        <w:t xml:space="preserve">traditional and pre-1919 </w:t>
      </w:r>
      <w:r w:rsidRPr="006568DD">
        <w:rPr>
          <w:rFonts w:ascii="Cambria" w:hAnsi="Cambria"/>
          <w:iCs/>
        </w:rPr>
        <w:t>buildings (</w:t>
      </w:r>
      <w:proofErr w:type="spellStart"/>
      <w:r w:rsidRPr="006568DD">
        <w:rPr>
          <w:rFonts w:ascii="Cambria" w:hAnsi="Cambria"/>
          <w:iCs/>
        </w:rPr>
        <w:t>Agbota</w:t>
      </w:r>
      <w:proofErr w:type="spellEnd"/>
      <w:r w:rsidRPr="006568DD">
        <w:rPr>
          <w:rFonts w:ascii="Cambria" w:hAnsi="Cambria"/>
          <w:iCs/>
        </w:rPr>
        <w:t xml:space="preserve">, 2014; Stuart, 2014). This might include negative implications for </w:t>
      </w:r>
      <w:r w:rsidR="00737BBB" w:rsidRPr="006568DD">
        <w:rPr>
          <w:rFonts w:ascii="Cambria" w:hAnsi="Cambria"/>
          <w:iCs/>
        </w:rPr>
        <w:t xml:space="preserve">listed </w:t>
      </w:r>
      <w:r w:rsidRPr="006568DD">
        <w:rPr>
          <w:rFonts w:ascii="Cambria" w:hAnsi="Cambria"/>
          <w:iCs/>
        </w:rPr>
        <w:t>building aesthetics, significance, and impact on occupant health, comfort and behaviour (</w:t>
      </w:r>
      <w:proofErr w:type="spellStart"/>
      <w:r w:rsidRPr="006568DD">
        <w:rPr>
          <w:rFonts w:ascii="Cambria" w:hAnsi="Cambria"/>
          <w:iCs/>
        </w:rPr>
        <w:t>Agbota</w:t>
      </w:r>
      <w:proofErr w:type="spellEnd"/>
      <w:r w:rsidRPr="006568DD">
        <w:rPr>
          <w:rFonts w:ascii="Cambria" w:hAnsi="Cambria"/>
          <w:iCs/>
        </w:rPr>
        <w:t>, 2014).</w:t>
      </w:r>
      <w:r w:rsidRPr="006568DD">
        <w:rPr>
          <w:rFonts w:ascii="Cambria" w:hAnsi="Cambria"/>
        </w:rPr>
        <w:t xml:space="preserve"> Avoiding damage to the values </w:t>
      </w:r>
      <w:r w:rsidR="00737BBB" w:rsidRPr="006568DD">
        <w:rPr>
          <w:rFonts w:ascii="Cambria" w:hAnsi="Cambria"/>
        </w:rPr>
        <w:t xml:space="preserve">and significance </w:t>
      </w:r>
      <w:r w:rsidRPr="006568DD">
        <w:rPr>
          <w:rFonts w:ascii="Cambria" w:hAnsi="Cambria"/>
        </w:rPr>
        <w:t>of listed buildings is essential (Godwin, 2011). This should influence the approach adopted when improving the energy efficiency of these dwellings.</w:t>
      </w:r>
      <w:r w:rsidR="003509FA" w:rsidRPr="006568DD">
        <w:rPr>
          <w:rFonts w:ascii="Cambria" w:hAnsi="Cambria"/>
        </w:rPr>
        <w:t xml:space="preserve"> </w:t>
      </w:r>
    </w:p>
    <w:p w14:paraId="7566B516" w14:textId="77777777" w:rsidR="0018163C" w:rsidRPr="006568DD" w:rsidRDefault="0018163C" w:rsidP="00BD25D5">
      <w:pPr>
        <w:jc w:val="both"/>
        <w:rPr>
          <w:rFonts w:ascii="Cambria" w:hAnsi="Cambria"/>
        </w:rPr>
      </w:pPr>
    </w:p>
    <w:p w14:paraId="78F29F15" w14:textId="59E80802" w:rsidR="002C595E" w:rsidRPr="006568DD" w:rsidRDefault="0018163C" w:rsidP="00BD25D5">
      <w:pPr>
        <w:jc w:val="both"/>
        <w:rPr>
          <w:rFonts w:ascii="Cambria" w:hAnsi="Cambria"/>
          <w:iCs/>
        </w:rPr>
      </w:pPr>
      <w:r w:rsidRPr="006568DD">
        <w:rPr>
          <w:rFonts w:ascii="Cambria" w:hAnsi="Cambria"/>
          <w:iCs/>
        </w:rPr>
        <w:t xml:space="preserve">The decision to increase the energy efficiency of a property may lead to the replacement of a single component to optimise performance. </w:t>
      </w:r>
      <w:r w:rsidR="0026630D" w:rsidRPr="006568DD">
        <w:rPr>
          <w:rFonts w:ascii="Cambria" w:hAnsi="Cambria"/>
          <w:iCs/>
        </w:rPr>
        <w:t xml:space="preserve">Viewing a refurbishment of a </w:t>
      </w:r>
      <w:r w:rsidR="00737BBB" w:rsidRPr="006568DD">
        <w:rPr>
          <w:rFonts w:ascii="Cambria" w:hAnsi="Cambria"/>
          <w:iCs/>
        </w:rPr>
        <w:t xml:space="preserve">listed or </w:t>
      </w:r>
      <w:r w:rsidR="0026630D" w:rsidRPr="006568DD">
        <w:rPr>
          <w:rFonts w:ascii="Cambria" w:hAnsi="Cambria"/>
          <w:iCs/>
        </w:rPr>
        <w:t>historic building as a sum of individual, isolated actions to improve energy efficiency can increase the likelihood of unintended, negative consequences (</w:t>
      </w:r>
      <w:proofErr w:type="spellStart"/>
      <w:r w:rsidR="0026630D" w:rsidRPr="006568DD">
        <w:rPr>
          <w:rFonts w:ascii="Cambria" w:hAnsi="Cambria"/>
          <w:iCs/>
        </w:rPr>
        <w:t>Agbota</w:t>
      </w:r>
      <w:proofErr w:type="spellEnd"/>
      <w:r w:rsidR="0026630D" w:rsidRPr="006568DD">
        <w:rPr>
          <w:rFonts w:ascii="Cambria" w:hAnsi="Cambria"/>
          <w:iCs/>
        </w:rPr>
        <w:t xml:space="preserve">, 2014). However, a ‘whole-building approach’ would enable the relationship between a building and its environment, its performance and use. This approach proposes using a deeper understanding of historic </w:t>
      </w:r>
      <w:r w:rsidR="00737BBB" w:rsidRPr="006568DD">
        <w:rPr>
          <w:rFonts w:ascii="Cambria" w:hAnsi="Cambria"/>
          <w:iCs/>
        </w:rPr>
        <w:t xml:space="preserve">construction </w:t>
      </w:r>
      <w:r w:rsidR="0026630D" w:rsidRPr="006568DD">
        <w:rPr>
          <w:rFonts w:ascii="Cambria" w:hAnsi="Cambria"/>
          <w:iCs/>
        </w:rPr>
        <w:t>techniques, and</w:t>
      </w:r>
      <w:r w:rsidR="00737BBB" w:rsidRPr="006568DD">
        <w:rPr>
          <w:rFonts w:ascii="Cambria" w:hAnsi="Cambria"/>
          <w:iCs/>
        </w:rPr>
        <w:t xml:space="preserve"> to</w:t>
      </w:r>
      <w:r w:rsidR="0026630D" w:rsidRPr="006568DD">
        <w:rPr>
          <w:rFonts w:ascii="Cambria" w:hAnsi="Cambria"/>
          <w:iCs/>
        </w:rPr>
        <w:t xml:space="preserve"> use this to assess and inform decisions for enhancing the energy performance of traditional buildings (</w:t>
      </w:r>
      <w:proofErr w:type="spellStart"/>
      <w:r w:rsidR="0026630D" w:rsidRPr="006568DD">
        <w:rPr>
          <w:rFonts w:ascii="Cambria" w:hAnsi="Cambria"/>
          <w:iCs/>
        </w:rPr>
        <w:t>Erbe</w:t>
      </w:r>
      <w:proofErr w:type="spellEnd"/>
      <w:r w:rsidR="0024720A" w:rsidRPr="006568DD">
        <w:rPr>
          <w:rFonts w:ascii="Cambria" w:hAnsi="Cambria"/>
          <w:iCs/>
        </w:rPr>
        <w:t xml:space="preserve"> </w:t>
      </w:r>
      <w:r w:rsidR="0024720A" w:rsidRPr="006568DD">
        <w:rPr>
          <w:rFonts w:ascii="Cambria" w:hAnsi="Cambria"/>
          <w:i/>
          <w:iCs/>
        </w:rPr>
        <w:t>et al.</w:t>
      </w:r>
      <w:r w:rsidR="0024720A" w:rsidRPr="006568DD">
        <w:rPr>
          <w:rFonts w:ascii="Cambria" w:hAnsi="Cambria"/>
          <w:iCs/>
        </w:rPr>
        <w:t xml:space="preserve">, </w:t>
      </w:r>
      <w:r w:rsidR="0026630D" w:rsidRPr="006568DD">
        <w:rPr>
          <w:rFonts w:ascii="Cambria" w:hAnsi="Cambria"/>
          <w:iCs/>
        </w:rPr>
        <w:t>2013).</w:t>
      </w:r>
    </w:p>
    <w:p w14:paraId="161B33A2" w14:textId="77777777" w:rsidR="00737BBB" w:rsidRPr="006568DD" w:rsidRDefault="00737BBB" w:rsidP="00BD25D5">
      <w:pPr>
        <w:jc w:val="both"/>
        <w:rPr>
          <w:rFonts w:ascii="Cambria" w:hAnsi="Cambria"/>
          <w:iCs/>
        </w:rPr>
      </w:pPr>
    </w:p>
    <w:p w14:paraId="72DFAE17" w14:textId="77777777" w:rsidR="00737BBB" w:rsidRPr="006568DD" w:rsidRDefault="00737BBB" w:rsidP="00737BBB">
      <w:pPr>
        <w:jc w:val="both"/>
        <w:rPr>
          <w:rFonts w:ascii="Cambria" w:hAnsi="Cambria"/>
          <w:iCs/>
        </w:rPr>
      </w:pPr>
      <w:r w:rsidRPr="006568DD">
        <w:rPr>
          <w:rFonts w:ascii="Cambria" w:hAnsi="Cambria"/>
          <w:iCs/>
        </w:rPr>
        <w:t xml:space="preserve">The ‘whole-building’ approach to energy efficiency improvements is supported by Historic England (2017) to avoid damaging the values embodied by a building, but also highlights the need to consider, specify and apply measures with particular care. Energy efficiency improvements should be implemented “but not beyond the point where there is a risk that unacceptable damage to the character and appearance or the long-term durability of the physical fabric will occur” (Historic England, 2017, p.12). </w:t>
      </w:r>
    </w:p>
    <w:p w14:paraId="0BF9EA19" w14:textId="77777777" w:rsidR="002C595E" w:rsidRPr="006568DD" w:rsidRDefault="002C595E" w:rsidP="00BD25D5">
      <w:pPr>
        <w:jc w:val="both"/>
        <w:rPr>
          <w:rFonts w:ascii="Cambria" w:hAnsi="Cambria"/>
        </w:rPr>
      </w:pPr>
    </w:p>
    <w:p w14:paraId="7C900970" w14:textId="77777777" w:rsidR="00714B37" w:rsidRDefault="002C595E" w:rsidP="00714B37">
      <w:pPr>
        <w:jc w:val="both"/>
      </w:pPr>
      <w:r w:rsidRPr="006568DD">
        <w:t xml:space="preserve">Existing research has suggested that, to achieve an appropriate solution for energy efficiency improvements in </w:t>
      </w:r>
      <w:r w:rsidR="00737BBB" w:rsidRPr="006568DD">
        <w:t xml:space="preserve">historic </w:t>
      </w:r>
      <w:r w:rsidRPr="006568DD">
        <w:t>buildings, a range of professionals should work together with the building owners, but in reality this “is extremely challenging” (</w:t>
      </w:r>
      <w:r w:rsidR="0024720A" w:rsidRPr="006568DD">
        <w:t xml:space="preserve">Martinez-Molina </w:t>
      </w:r>
      <w:r w:rsidR="0024720A" w:rsidRPr="006568DD">
        <w:rPr>
          <w:i/>
        </w:rPr>
        <w:t>et al.</w:t>
      </w:r>
      <w:r w:rsidR="0024720A" w:rsidRPr="006568DD">
        <w:t>, 2016</w:t>
      </w:r>
      <w:r w:rsidRPr="006568DD">
        <w:rPr>
          <w:lang w:val="en-US"/>
        </w:rPr>
        <w:t>, p.82</w:t>
      </w:r>
      <w:r w:rsidRPr="006568DD">
        <w:t xml:space="preserve">). Effective solutions can be developed for </w:t>
      </w:r>
      <w:r w:rsidR="00737BBB" w:rsidRPr="006568DD">
        <w:t xml:space="preserve">listed historic </w:t>
      </w:r>
      <w:r w:rsidRPr="006568DD">
        <w:t>housing</w:t>
      </w:r>
      <w:r w:rsidR="00737BBB" w:rsidRPr="006568DD">
        <w:t xml:space="preserve"> – and non-listed historic housing of aesthetic merit,</w:t>
      </w:r>
      <w:r w:rsidRPr="006568DD">
        <w:t xml:space="preserve"> where professionals such as architects and contractors work together (</w:t>
      </w:r>
      <w:proofErr w:type="spellStart"/>
      <w:r w:rsidRPr="006568DD">
        <w:t>Sunikka</w:t>
      </w:r>
      <w:proofErr w:type="spellEnd"/>
      <w:r w:rsidRPr="006568DD">
        <w:t>-Blank and Galvin, 2016). However, difficulties with such professionals working together alongside limits of professional knowledge have also been reported, albeit in smaller-scale research (</w:t>
      </w:r>
      <w:proofErr w:type="spellStart"/>
      <w:r w:rsidRPr="006568DD">
        <w:t>Sunikka</w:t>
      </w:r>
      <w:proofErr w:type="spellEnd"/>
      <w:r w:rsidRPr="006568DD">
        <w:t>-Blank and Galvin, 2016).</w:t>
      </w:r>
    </w:p>
    <w:p w14:paraId="31254F8C" w14:textId="3CC6F7F0" w:rsidR="00B839DD" w:rsidRPr="00714B37" w:rsidRDefault="00B07565" w:rsidP="00BD25D5">
      <w:pPr>
        <w:pStyle w:val="Heading2"/>
        <w:jc w:val="both"/>
        <w:rPr>
          <w:rFonts w:ascii="Cambria" w:hAnsi="Cambria"/>
          <w:color w:val="auto"/>
        </w:rPr>
      </w:pPr>
      <w:r w:rsidRPr="00714B37">
        <w:rPr>
          <w:rFonts w:ascii="Cambria" w:hAnsi="Cambria"/>
          <w:color w:val="auto"/>
        </w:rPr>
        <w:t>Methodology</w:t>
      </w:r>
    </w:p>
    <w:p w14:paraId="5DE7636D" w14:textId="77777777" w:rsidR="00737BBB" w:rsidRPr="006568DD" w:rsidRDefault="004B553E" w:rsidP="00737BBB">
      <w:pPr>
        <w:jc w:val="both"/>
        <w:rPr>
          <w:rFonts w:ascii="Cambria" w:hAnsi="Cambria"/>
        </w:rPr>
      </w:pPr>
      <w:r w:rsidRPr="006568DD">
        <w:rPr>
          <w:rFonts w:ascii="Cambria" w:hAnsi="Cambria"/>
        </w:rPr>
        <w:t xml:space="preserve">The </w:t>
      </w:r>
      <w:proofErr w:type="spellStart"/>
      <w:r w:rsidRPr="006568DD">
        <w:rPr>
          <w:rFonts w:ascii="Cambria" w:hAnsi="Cambria"/>
        </w:rPr>
        <w:t>interprevist</w:t>
      </w:r>
      <w:proofErr w:type="spellEnd"/>
      <w:r w:rsidRPr="006568DD">
        <w:rPr>
          <w:rFonts w:ascii="Cambria" w:hAnsi="Cambria"/>
        </w:rPr>
        <w:t xml:space="preserve"> paradigm was adopted to explore the similarities and differences in improving the energy efficiency performance of listed pre-1919 housing in Italy versus the UK. Seven semi-structured elite interviews were undertaken between May and August 2016. </w:t>
      </w:r>
      <w:r w:rsidR="005D4C31" w:rsidRPr="006568DD">
        <w:rPr>
          <w:rFonts w:ascii="Cambria" w:hAnsi="Cambria"/>
        </w:rPr>
        <w:t xml:space="preserve">Interviews were undertaken using a topic guide and standard prompts. </w:t>
      </w:r>
      <w:r w:rsidR="00737BBB" w:rsidRPr="006568DD">
        <w:rPr>
          <w:rFonts w:ascii="Cambria" w:hAnsi="Cambria"/>
        </w:rPr>
        <w:t xml:space="preserve">.  </w:t>
      </w:r>
      <w:proofErr w:type="gramStart"/>
      <w:r w:rsidR="00737BBB" w:rsidRPr="006568DD">
        <w:rPr>
          <w:rFonts w:ascii="Cambria" w:hAnsi="Cambria"/>
        </w:rPr>
        <w:t>A combination of open-ended and close-ended questions were</w:t>
      </w:r>
      <w:proofErr w:type="gramEnd"/>
      <w:r w:rsidR="00737BBB" w:rsidRPr="006568DD">
        <w:rPr>
          <w:rFonts w:ascii="Cambria" w:hAnsi="Cambria"/>
        </w:rPr>
        <w:t xml:space="preserve"> used to explore professional and personal experience of listed pre-1919 housing and the energy efficiency improvements of such properties. These questions also aimed to elicit data pertaining to the drivers and challenges of such improvements, available measures, and the application of the concepts and policies relating to conservation and sustainability.</w:t>
      </w:r>
    </w:p>
    <w:p w14:paraId="2F1778D0" w14:textId="77777777" w:rsidR="00570B1C" w:rsidRPr="006568DD" w:rsidRDefault="00570B1C" w:rsidP="00BD25D5">
      <w:pPr>
        <w:jc w:val="both"/>
        <w:rPr>
          <w:rFonts w:ascii="Cambria" w:hAnsi="Cambria"/>
        </w:rPr>
      </w:pPr>
    </w:p>
    <w:p w14:paraId="5BEDDF75" w14:textId="43CC3A13" w:rsidR="005D4C31" w:rsidRPr="006568DD" w:rsidRDefault="007B29DB" w:rsidP="00BD25D5">
      <w:pPr>
        <w:jc w:val="both"/>
        <w:rPr>
          <w:rFonts w:ascii="Cambria" w:hAnsi="Cambria"/>
        </w:rPr>
      </w:pPr>
      <w:r w:rsidRPr="006568DD">
        <w:rPr>
          <w:rFonts w:ascii="Cambria" w:hAnsi="Cambria"/>
        </w:rPr>
        <w:t>[Table 2]</w:t>
      </w:r>
    </w:p>
    <w:p w14:paraId="1531983B" w14:textId="77777777" w:rsidR="007B29DB" w:rsidRPr="006568DD" w:rsidRDefault="007B29DB" w:rsidP="00BD25D5">
      <w:pPr>
        <w:jc w:val="both"/>
        <w:rPr>
          <w:rFonts w:ascii="Cambria" w:hAnsi="Cambria"/>
        </w:rPr>
      </w:pPr>
    </w:p>
    <w:p w14:paraId="0FCDFFF1" w14:textId="38227B8B" w:rsidR="005D4C31" w:rsidRPr="006568DD" w:rsidRDefault="0067649E" w:rsidP="00BD25D5">
      <w:pPr>
        <w:jc w:val="both"/>
        <w:rPr>
          <w:rFonts w:ascii="Cambria" w:hAnsi="Cambria"/>
        </w:rPr>
      </w:pPr>
      <w:r w:rsidRPr="006568DD">
        <w:rPr>
          <w:rFonts w:ascii="Cambria" w:hAnsi="Cambria"/>
        </w:rPr>
        <w:t xml:space="preserve">The research forms part of a preliminary study </w:t>
      </w:r>
      <w:r w:rsidR="00737BBB" w:rsidRPr="006568DD">
        <w:rPr>
          <w:rFonts w:ascii="Cambria" w:hAnsi="Cambria"/>
        </w:rPr>
        <w:t xml:space="preserve">for university research </w:t>
      </w:r>
      <w:r w:rsidRPr="006568DD">
        <w:rPr>
          <w:rFonts w:ascii="Cambria" w:hAnsi="Cambria"/>
        </w:rPr>
        <w:t xml:space="preserve">to inform further research. </w:t>
      </w:r>
      <w:r w:rsidR="004E2C4C" w:rsidRPr="006568DD">
        <w:rPr>
          <w:rFonts w:ascii="Cambria" w:hAnsi="Cambria"/>
        </w:rPr>
        <w:t>The sample size was guided by saturation point (</w:t>
      </w:r>
      <w:proofErr w:type="spellStart"/>
      <w:r w:rsidR="004E2C4C" w:rsidRPr="006568DD">
        <w:rPr>
          <w:rFonts w:ascii="Cambria" w:hAnsi="Cambria"/>
        </w:rPr>
        <w:t>Blaikie</w:t>
      </w:r>
      <w:proofErr w:type="spellEnd"/>
      <w:r w:rsidR="004E2C4C" w:rsidRPr="006568DD">
        <w:rPr>
          <w:rFonts w:ascii="Cambria" w:hAnsi="Cambria"/>
        </w:rPr>
        <w:t xml:space="preserve">, 2009). </w:t>
      </w:r>
      <w:r w:rsidR="000A1ADE" w:rsidRPr="006568DD">
        <w:rPr>
          <w:rFonts w:ascii="Cambria" w:hAnsi="Cambria"/>
        </w:rPr>
        <w:t xml:space="preserve">Using </w:t>
      </w:r>
      <w:r w:rsidR="00103DFE" w:rsidRPr="006568DD">
        <w:rPr>
          <w:rFonts w:ascii="Cambria" w:hAnsi="Cambria"/>
        </w:rPr>
        <w:t xml:space="preserve">pre-defined selection criteria (Table </w:t>
      </w:r>
      <w:r w:rsidR="00570B1C" w:rsidRPr="006568DD">
        <w:rPr>
          <w:rFonts w:ascii="Cambria" w:hAnsi="Cambria"/>
        </w:rPr>
        <w:t>2</w:t>
      </w:r>
      <w:r w:rsidR="00103DFE" w:rsidRPr="006568DD">
        <w:rPr>
          <w:rFonts w:ascii="Cambria" w:hAnsi="Cambria"/>
        </w:rPr>
        <w:t xml:space="preserve">), interviewees were selected using </w:t>
      </w:r>
      <w:r w:rsidR="00FE6A41" w:rsidRPr="006568DD">
        <w:rPr>
          <w:rFonts w:ascii="Cambria" w:hAnsi="Cambria"/>
        </w:rPr>
        <w:t xml:space="preserve">purposive and snowball sampling methods. </w:t>
      </w:r>
      <w:r w:rsidR="000A1ADE" w:rsidRPr="006568DD">
        <w:rPr>
          <w:rFonts w:ascii="Cambria" w:hAnsi="Cambria"/>
        </w:rPr>
        <w:t>This was intended to select experts with professional experience</w:t>
      </w:r>
      <w:r w:rsidR="006D0F74" w:rsidRPr="006568DD">
        <w:rPr>
          <w:rFonts w:ascii="Cambria" w:hAnsi="Cambria"/>
        </w:rPr>
        <w:t xml:space="preserve"> of </w:t>
      </w:r>
      <w:r w:rsidR="00737BBB" w:rsidRPr="006568DD">
        <w:rPr>
          <w:rFonts w:ascii="Cambria" w:hAnsi="Cambria"/>
        </w:rPr>
        <w:t xml:space="preserve">pre-1919 </w:t>
      </w:r>
      <w:r w:rsidR="006D0F74" w:rsidRPr="006568DD">
        <w:rPr>
          <w:rFonts w:ascii="Cambria" w:hAnsi="Cambria"/>
        </w:rPr>
        <w:t xml:space="preserve">housing projects who also had personal experience of improving the energy efficiency of their own listed pre-1919 home. </w:t>
      </w:r>
      <w:r w:rsidR="007A64A0" w:rsidRPr="00714B37">
        <w:rPr>
          <w:rFonts w:ascii="Cambria" w:hAnsi="Cambria"/>
        </w:rPr>
        <w:t xml:space="preserve">This enabled research to explore the perspective of built heritage professionals and from their perspective as a homeowner. The research incorporated professionals from a range of backgrounds (Table </w:t>
      </w:r>
      <w:r w:rsidR="00570B1C" w:rsidRPr="00714B37">
        <w:rPr>
          <w:rFonts w:ascii="Cambria" w:hAnsi="Cambria"/>
        </w:rPr>
        <w:t>3</w:t>
      </w:r>
      <w:r w:rsidR="007A64A0" w:rsidRPr="00714B37">
        <w:rPr>
          <w:rFonts w:ascii="Cambria" w:hAnsi="Cambria"/>
        </w:rPr>
        <w:t xml:space="preserve">). </w:t>
      </w:r>
      <w:r w:rsidR="00FE6A41" w:rsidRPr="00714B37">
        <w:rPr>
          <w:rFonts w:ascii="Cambria" w:hAnsi="Cambria"/>
        </w:rPr>
        <w:t>Individuals were contacted by</w:t>
      </w:r>
      <w:r w:rsidR="00FE6A41" w:rsidRPr="006568DD">
        <w:rPr>
          <w:rFonts w:ascii="Cambria" w:hAnsi="Cambria"/>
        </w:rPr>
        <w:t xml:space="preserve"> email with initial pre-qualification questions to identify their suitability</w:t>
      </w:r>
      <w:r w:rsidR="004E2C4C" w:rsidRPr="006568DD">
        <w:rPr>
          <w:rFonts w:ascii="Cambria" w:hAnsi="Cambria"/>
        </w:rPr>
        <w:t xml:space="preserve"> for inclusion.</w:t>
      </w:r>
    </w:p>
    <w:p w14:paraId="60D0ECEB" w14:textId="77777777" w:rsidR="00710347" w:rsidRPr="006568DD" w:rsidRDefault="00710347" w:rsidP="00BD25D5">
      <w:pPr>
        <w:jc w:val="both"/>
        <w:rPr>
          <w:rFonts w:ascii="Cambria" w:hAnsi="Cambria"/>
        </w:rPr>
      </w:pPr>
    </w:p>
    <w:p w14:paraId="180801FD" w14:textId="0B9FC845" w:rsidR="007B29DB" w:rsidRPr="006568DD" w:rsidRDefault="007B29DB" w:rsidP="00BD25D5">
      <w:pPr>
        <w:jc w:val="both"/>
        <w:rPr>
          <w:rFonts w:ascii="Cambria" w:hAnsi="Cambria"/>
        </w:rPr>
      </w:pPr>
      <w:r w:rsidRPr="006568DD">
        <w:rPr>
          <w:rFonts w:ascii="Cambria" w:hAnsi="Cambria"/>
        </w:rPr>
        <w:t>[Table 3]</w:t>
      </w:r>
    </w:p>
    <w:p w14:paraId="0A58E586" w14:textId="77777777" w:rsidR="007B29DB" w:rsidRPr="006568DD" w:rsidRDefault="007B29DB" w:rsidP="00BD25D5">
      <w:pPr>
        <w:jc w:val="both"/>
        <w:rPr>
          <w:rFonts w:ascii="Cambria" w:hAnsi="Cambria"/>
        </w:rPr>
      </w:pPr>
    </w:p>
    <w:p w14:paraId="671FAB06" w14:textId="023A9063" w:rsidR="005D4C31" w:rsidRPr="006568DD" w:rsidRDefault="00710347" w:rsidP="00BD25D5">
      <w:pPr>
        <w:jc w:val="both"/>
        <w:rPr>
          <w:rFonts w:ascii="Cambria" w:hAnsi="Cambria"/>
        </w:rPr>
      </w:pPr>
      <w:r w:rsidRPr="006568DD">
        <w:rPr>
          <w:rFonts w:ascii="Cambria" w:hAnsi="Cambria"/>
        </w:rPr>
        <w:t xml:space="preserve">The research underwent ethics approval in accordance with the University protocols. </w:t>
      </w:r>
      <w:r w:rsidR="007A64A0" w:rsidRPr="006568DD">
        <w:rPr>
          <w:rFonts w:ascii="Cambria" w:hAnsi="Cambria"/>
        </w:rPr>
        <w:t xml:space="preserve">Interviewees were provided with </w:t>
      </w:r>
      <w:proofErr w:type="gramStart"/>
      <w:r w:rsidR="007A64A0" w:rsidRPr="006568DD">
        <w:rPr>
          <w:rFonts w:ascii="Cambria" w:hAnsi="Cambria"/>
        </w:rPr>
        <w:t>an information</w:t>
      </w:r>
      <w:proofErr w:type="gramEnd"/>
      <w:r w:rsidR="007A64A0" w:rsidRPr="006568DD">
        <w:rPr>
          <w:rFonts w:ascii="Cambria" w:hAnsi="Cambria"/>
        </w:rPr>
        <w:t xml:space="preserve"> sheet and consent form </w:t>
      </w:r>
      <w:r w:rsidRPr="006568DD">
        <w:rPr>
          <w:rFonts w:ascii="Cambria" w:hAnsi="Cambria"/>
        </w:rPr>
        <w:t xml:space="preserve">one week </w:t>
      </w:r>
      <w:r w:rsidR="007A64A0" w:rsidRPr="006568DD">
        <w:rPr>
          <w:rFonts w:ascii="Cambria" w:hAnsi="Cambria"/>
        </w:rPr>
        <w:t>in advance of the interview</w:t>
      </w:r>
      <w:r w:rsidRPr="006568DD">
        <w:rPr>
          <w:rFonts w:ascii="Cambria" w:hAnsi="Cambria"/>
        </w:rPr>
        <w:t xml:space="preserve">, with the option of withdrawing from the study </w:t>
      </w:r>
      <w:r w:rsidR="00737BBB" w:rsidRPr="006568DD">
        <w:rPr>
          <w:rFonts w:ascii="Cambria" w:hAnsi="Cambria"/>
        </w:rPr>
        <w:t xml:space="preserve">up to </w:t>
      </w:r>
      <w:r w:rsidRPr="006568DD">
        <w:rPr>
          <w:rFonts w:ascii="Cambria" w:hAnsi="Cambria"/>
        </w:rPr>
        <w:t>four weeks after the interview. Interviews were audio recorded and transcribed verbatim, and Italian interviews were translated into English.</w:t>
      </w:r>
    </w:p>
    <w:p w14:paraId="5B8AC44C" w14:textId="77777777" w:rsidR="00D81DFE" w:rsidRPr="006568DD" w:rsidRDefault="00D81DFE" w:rsidP="00BD25D5">
      <w:pPr>
        <w:jc w:val="both"/>
        <w:rPr>
          <w:rFonts w:ascii="Cambria" w:hAnsi="Cambria"/>
        </w:rPr>
      </w:pPr>
    </w:p>
    <w:p w14:paraId="759985C0" w14:textId="1DEA56AB" w:rsidR="00D81DFE" w:rsidRPr="006568DD" w:rsidRDefault="00D81DFE" w:rsidP="00BD25D5">
      <w:pPr>
        <w:jc w:val="both"/>
        <w:rPr>
          <w:rFonts w:ascii="Cambria" w:hAnsi="Cambria"/>
        </w:rPr>
      </w:pPr>
      <w:r w:rsidRPr="006568DD">
        <w:rPr>
          <w:rFonts w:ascii="Cambria" w:hAnsi="Cambria"/>
        </w:rPr>
        <w:t>The qualitative data was analysed using thematic analysis</w:t>
      </w:r>
      <w:r w:rsidR="00A96270" w:rsidRPr="006568DD">
        <w:rPr>
          <w:rFonts w:ascii="Cambria" w:hAnsi="Cambria"/>
        </w:rPr>
        <w:t>, adopting a combination of inductive and deductive approaches, guided by the study aim. This enabled key themes to be identified, which were subsequently divided into thr</w:t>
      </w:r>
      <w:r w:rsidR="007B1A16" w:rsidRPr="006568DD">
        <w:rPr>
          <w:rFonts w:ascii="Cambria" w:hAnsi="Cambria"/>
        </w:rPr>
        <w:t>ee main categories: (1) drivers; (2) challenges</w:t>
      </w:r>
      <w:proofErr w:type="gramStart"/>
      <w:r w:rsidR="007B1A16" w:rsidRPr="006568DD">
        <w:rPr>
          <w:rFonts w:ascii="Cambria" w:hAnsi="Cambria"/>
        </w:rPr>
        <w:t>;</w:t>
      </w:r>
      <w:proofErr w:type="gramEnd"/>
      <w:r w:rsidR="007B1A16" w:rsidRPr="006568DD">
        <w:rPr>
          <w:rFonts w:ascii="Cambria" w:hAnsi="Cambria"/>
        </w:rPr>
        <w:t xml:space="preserve"> and (3) adopted approaches.</w:t>
      </w:r>
    </w:p>
    <w:p w14:paraId="339AEC39" w14:textId="77777777" w:rsidR="005D4C31" w:rsidRPr="006568DD" w:rsidRDefault="005D4C31" w:rsidP="00BD25D5">
      <w:pPr>
        <w:jc w:val="both"/>
        <w:rPr>
          <w:rFonts w:ascii="Cambria" w:hAnsi="Cambria"/>
        </w:rPr>
      </w:pPr>
    </w:p>
    <w:p w14:paraId="680C7078" w14:textId="546F8321" w:rsidR="00DE3C89" w:rsidRPr="006568DD" w:rsidRDefault="005D4C31" w:rsidP="00BD25D5">
      <w:pPr>
        <w:jc w:val="both"/>
        <w:rPr>
          <w:rFonts w:ascii="Cambria" w:hAnsi="Cambria"/>
        </w:rPr>
      </w:pPr>
      <w:r w:rsidRPr="006568DD">
        <w:rPr>
          <w:rFonts w:ascii="Cambria" w:hAnsi="Cambria"/>
        </w:rPr>
        <w:t xml:space="preserve">Validation of the findings </w:t>
      </w:r>
      <w:r w:rsidR="00DE3C89" w:rsidRPr="006568DD">
        <w:rPr>
          <w:rFonts w:ascii="Cambria" w:hAnsi="Cambria"/>
        </w:rPr>
        <w:t>was achieved through interviews with two additional expert interviews. One interview was undertaken with an Italian</w:t>
      </w:r>
      <w:r w:rsidR="00737BBB" w:rsidRPr="006568DD">
        <w:rPr>
          <w:rFonts w:ascii="Cambria" w:hAnsi="Cambria"/>
        </w:rPr>
        <w:t xml:space="preserve"> built</w:t>
      </w:r>
      <w:r w:rsidR="00DE3C89" w:rsidRPr="006568DD">
        <w:rPr>
          <w:rFonts w:ascii="Cambria" w:hAnsi="Cambria"/>
        </w:rPr>
        <w:t xml:space="preserve"> heritage professional, and one with an English </w:t>
      </w:r>
      <w:r w:rsidR="00737BBB" w:rsidRPr="006568DD">
        <w:rPr>
          <w:rFonts w:ascii="Cambria" w:hAnsi="Cambria"/>
        </w:rPr>
        <w:t xml:space="preserve">built </w:t>
      </w:r>
      <w:r w:rsidR="00DE3C89" w:rsidRPr="006568DD">
        <w:rPr>
          <w:rFonts w:ascii="Cambria" w:hAnsi="Cambria"/>
        </w:rPr>
        <w:t>heritage professional. Both validation interviewees reviewed the findings, discussed the findings</w:t>
      </w:r>
      <w:r w:rsidR="00006C63" w:rsidRPr="006568DD">
        <w:rPr>
          <w:rFonts w:ascii="Cambria" w:hAnsi="Cambria"/>
        </w:rPr>
        <w:t xml:space="preserve"> </w:t>
      </w:r>
      <w:r w:rsidR="00DE3C89" w:rsidRPr="006568DD">
        <w:rPr>
          <w:rFonts w:ascii="Cambria" w:hAnsi="Cambria"/>
        </w:rPr>
        <w:t>and interpretations</w:t>
      </w:r>
      <w:r w:rsidR="00970321" w:rsidRPr="006568DD">
        <w:rPr>
          <w:rFonts w:ascii="Cambria" w:hAnsi="Cambria"/>
        </w:rPr>
        <w:t xml:space="preserve"> with the researcher</w:t>
      </w:r>
      <w:r w:rsidR="00DE3C89" w:rsidRPr="006568DD">
        <w:rPr>
          <w:rFonts w:ascii="Cambria" w:hAnsi="Cambria"/>
        </w:rPr>
        <w:t>, and confirmed the interpretation of the data.</w:t>
      </w:r>
    </w:p>
    <w:p w14:paraId="40438C40" w14:textId="7A685939" w:rsidR="00DE3C89" w:rsidRPr="00714B37" w:rsidRDefault="00DE3C89" w:rsidP="00BD25D5">
      <w:pPr>
        <w:pStyle w:val="Heading2"/>
        <w:jc w:val="both"/>
        <w:rPr>
          <w:rFonts w:ascii="Cambria" w:hAnsi="Cambria"/>
          <w:color w:val="auto"/>
          <w:sz w:val="24"/>
          <w:szCs w:val="24"/>
        </w:rPr>
      </w:pPr>
      <w:r w:rsidRPr="00714B37">
        <w:rPr>
          <w:rFonts w:ascii="Cambria" w:hAnsi="Cambria"/>
          <w:color w:val="auto"/>
          <w:sz w:val="24"/>
          <w:szCs w:val="24"/>
        </w:rPr>
        <w:t>Results</w:t>
      </w:r>
    </w:p>
    <w:p w14:paraId="27133FFF" w14:textId="288AF02E" w:rsidR="0013371E" w:rsidRPr="004C71D6" w:rsidRDefault="0013371E" w:rsidP="00714B37">
      <w:pPr>
        <w:pStyle w:val="Heading3"/>
      </w:pPr>
      <w:r w:rsidRPr="00714B37">
        <w:rPr>
          <w:color w:val="auto"/>
        </w:rPr>
        <w:t>Conservation and sustainability</w:t>
      </w:r>
    </w:p>
    <w:p w14:paraId="6DAA5301" w14:textId="55065C3C" w:rsidR="00DE3C89" w:rsidRPr="006568DD" w:rsidRDefault="00DE3C89" w:rsidP="00BD25D5">
      <w:pPr>
        <w:jc w:val="both"/>
        <w:rPr>
          <w:rFonts w:ascii="Cambria" w:hAnsi="Cambria"/>
        </w:rPr>
      </w:pPr>
      <w:r w:rsidRPr="006568DD">
        <w:rPr>
          <w:rFonts w:ascii="Cambria" w:hAnsi="Cambria"/>
        </w:rPr>
        <w:t>Based on the qualitative data</w:t>
      </w:r>
      <w:r w:rsidR="0013371E" w:rsidRPr="006568DD">
        <w:rPr>
          <w:rFonts w:ascii="Cambria" w:hAnsi="Cambria"/>
        </w:rPr>
        <w:t xml:space="preserve"> generated from the seven elite interviews</w:t>
      </w:r>
      <w:r w:rsidRPr="006568DD">
        <w:rPr>
          <w:rFonts w:ascii="Cambria" w:hAnsi="Cambria"/>
        </w:rPr>
        <w:t xml:space="preserve">, the concepts of sustainability and conservation must be appropriately balanced in </w:t>
      </w:r>
      <w:r w:rsidR="0013371E" w:rsidRPr="006568DD">
        <w:rPr>
          <w:rFonts w:ascii="Cambria" w:hAnsi="Cambria"/>
        </w:rPr>
        <w:t xml:space="preserve">listed pre-1919 </w:t>
      </w:r>
      <w:r w:rsidRPr="006568DD">
        <w:rPr>
          <w:rFonts w:ascii="Cambria" w:hAnsi="Cambria"/>
        </w:rPr>
        <w:t xml:space="preserve">buildings to respond to concerns about climate change in parallel with preserving the values they embody, supporting the findings of the extant literature. Overall there was a general consensus that </w:t>
      </w:r>
      <w:r w:rsidRPr="006568DD">
        <w:rPr>
          <w:rFonts w:ascii="Cambria" w:hAnsi="Cambria"/>
          <w:i/>
        </w:rPr>
        <w:t xml:space="preserve">sustainability </w:t>
      </w:r>
      <w:r w:rsidRPr="006568DD">
        <w:rPr>
          <w:rFonts w:ascii="Cambria" w:hAnsi="Cambria"/>
        </w:rPr>
        <w:t xml:space="preserve">related predominantly to environmental considerations and energy management, and </w:t>
      </w:r>
      <w:r w:rsidRPr="006568DD">
        <w:rPr>
          <w:rFonts w:ascii="Cambria" w:hAnsi="Cambria"/>
          <w:i/>
        </w:rPr>
        <w:t>conservation</w:t>
      </w:r>
      <w:r w:rsidRPr="006568DD">
        <w:rPr>
          <w:rFonts w:ascii="Cambria" w:hAnsi="Cambria"/>
        </w:rPr>
        <w:t xml:space="preserve"> was associated with the management of the built environment and preservation. However, as Interviewee PUK stated:</w:t>
      </w:r>
    </w:p>
    <w:p w14:paraId="3A3F2FE5" w14:textId="46C642F3" w:rsidR="00DE3C89" w:rsidRPr="006568DD" w:rsidRDefault="00DE3C89" w:rsidP="00BD25D5">
      <w:pPr>
        <w:ind w:left="720"/>
        <w:jc w:val="both"/>
        <w:rPr>
          <w:rFonts w:ascii="Cambria" w:hAnsi="Cambria"/>
        </w:rPr>
      </w:pPr>
      <w:r w:rsidRPr="006568DD">
        <w:rPr>
          <w:rFonts w:ascii="Cambria" w:hAnsi="Cambria"/>
        </w:rPr>
        <w:t>“</w:t>
      </w:r>
      <w:r w:rsidRPr="006568DD">
        <w:rPr>
          <w:rFonts w:ascii="Cambria" w:hAnsi="Cambria"/>
          <w:i/>
        </w:rPr>
        <w:t>I believe that conservation is part of sustainability. If you want to preserve something, you need to keep it in use, which means accomplish the ‘sustainability’ requirements</w:t>
      </w:r>
      <w:r w:rsidRPr="006568DD">
        <w:rPr>
          <w:rFonts w:ascii="Cambria" w:hAnsi="Cambria"/>
        </w:rPr>
        <w:t>”</w:t>
      </w:r>
    </w:p>
    <w:p w14:paraId="251D38A3" w14:textId="77777777" w:rsidR="00DE3C89" w:rsidRPr="006568DD" w:rsidRDefault="00DE3C89" w:rsidP="00BD25D5">
      <w:pPr>
        <w:jc w:val="both"/>
        <w:rPr>
          <w:rFonts w:ascii="Cambria" w:hAnsi="Cambria"/>
          <w:b/>
        </w:rPr>
      </w:pPr>
    </w:p>
    <w:p w14:paraId="6D1293E3" w14:textId="77777777" w:rsidR="00DE3C89" w:rsidRPr="006568DD" w:rsidRDefault="00DE3C89" w:rsidP="00BD25D5">
      <w:pPr>
        <w:jc w:val="both"/>
        <w:rPr>
          <w:rFonts w:ascii="Cambria" w:hAnsi="Cambria"/>
        </w:rPr>
      </w:pPr>
      <w:r w:rsidRPr="006568DD">
        <w:rPr>
          <w:rFonts w:ascii="Cambria" w:hAnsi="Cambria"/>
        </w:rPr>
        <w:t xml:space="preserve">Concerns regarding the balance between the sustainability and conservation concepts did, however, exist amongst interviewees. Interviewees questioned whether the concepts could coexist without negatively affecting the historic value of the property, particularly its fabric and overall aesthetics. </w:t>
      </w:r>
      <w:proofErr w:type="gramStart"/>
      <w:r w:rsidRPr="006568DD">
        <w:rPr>
          <w:rFonts w:ascii="Cambria" w:hAnsi="Cambria"/>
        </w:rPr>
        <w:t xml:space="preserve">Indeed, such conflicts have also been reported by </w:t>
      </w:r>
      <w:proofErr w:type="spellStart"/>
      <w:r w:rsidRPr="006568DD">
        <w:rPr>
          <w:rFonts w:ascii="Cambria" w:hAnsi="Cambria"/>
        </w:rPr>
        <w:t>Sunikka</w:t>
      </w:r>
      <w:proofErr w:type="spellEnd"/>
      <w:r w:rsidRPr="006568DD">
        <w:rPr>
          <w:rFonts w:ascii="Cambria" w:hAnsi="Cambria"/>
        </w:rPr>
        <w:t>-Blank and Galvin</w:t>
      </w:r>
      <w:proofErr w:type="gramEnd"/>
      <w:r w:rsidRPr="006568DD">
        <w:rPr>
          <w:rFonts w:ascii="Cambria" w:hAnsi="Cambria"/>
        </w:rPr>
        <w:t xml:space="preserve"> (2016) in their research on homeowners in Cambridge. This suggests that such concerns may have relevance in a wider, international debate.</w:t>
      </w:r>
    </w:p>
    <w:p w14:paraId="27D0EC31" w14:textId="77777777" w:rsidR="00DE3C89" w:rsidRPr="006568DD" w:rsidRDefault="00DE3C89" w:rsidP="00BD25D5">
      <w:pPr>
        <w:jc w:val="both"/>
        <w:rPr>
          <w:rFonts w:ascii="Cambria" w:hAnsi="Cambria"/>
        </w:rPr>
      </w:pPr>
    </w:p>
    <w:p w14:paraId="7CC06106" w14:textId="77777777" w:rsidR="00DE3C89" w:rsidRPr="006568DD" w:rsidRDefault="00DE3C89" w:rsidP="00BD25D5">
      <w:pPr>
        <w:jc w:val="both"/>
        <w:rPr>
          <w:rFonts w:ascii="Cambria" w:hAnsi="Cambria"/>
        </w:rPr>
      </w:pPr>
      <w:r w:rsidRPr="006568DD">
        <w:rPr>
          <w:rFonts w:ascii="Cambria" w:hAnsi="Cambria"/>
        </w:rPr>
        <w:t xml:space="preserve">The wider definition of </w:t>
      </w:r>
      <w:r w:rsidRPr="006568DD">
        <w:rPr>
          <w:rFonts w:ascii="Cambria" w:hAnsi="Cambria"/>
          <w:i/>
        </w:rPr>
        <w:t>sustainability</w:t>
      </w:r>
      <w:r w:rsidRPr="006568DD">
        <w:rPr>
          <w:rFonts w:ascii="Cambria" w:hAnsi="Cambria"/>
        </w:rPr>
        <w:t xml:space="preserve"> appeared to resonate with interviewees in relation to listed pre-1919 housing. Rather than viewing sustainability as increasing the energy efficiency of these buildings, it appeared to also need to encapsulate the wider aspects of social and environmental sustainability in the form of community, sense of pride, and embodied energy, and how individuals connect with and make sense of a place:</w:t>
      </w:r>
    </w:p>
    <w:p w14:paraId="7B57233B" w14:textId="3F0337F9" w:rsidR="00DE3C89" w:rsidRPr="006568DD" w:rsidRDefault="00DE3C89" w:rsidP="00BD25D5">
      <w:pPr>
        <w:ind w:left="720"/>
        <w:jc w:val="both"/>
        <w:rPr>
          <w:rFonts w:ascii="Cambria" w:hAnsi="Cambria"/>
        </w:rPr>
      </w:pPr>
      <w:r w:rsidRPr="006568DD">
        <w:rPr>
          <w:rFonts w:ascii="Cambria" w:hAnsi="Cambria"/>
          <w:i/>
        </w:rPr>
        <w:t>“I believe we have to be very cautious with old buildings as we could destroy a lot of the materials and carbon that’s been embodied in these buildings. This isn’t good in environmental terms but we could also lose the sense of community, the pride, and the sense of place that we love about the environment around us”</w:t>
      </w:r>
      <w:r w:rsidRPr="006568DD">
        <w:rPr>
          <w:rFonts w:ascii="Cambria" w:hAnsi="Cambria"/>
        </w:rPr>
        <w:t xml:space="preserve"> (LAIT, 2016)</w:t>
      </w:r>
      <w:r w:rsidRPr="006568DD" w:rsidDel="00B422C8">
        <w:rPr>
          <w:rFonts w:ascii="Cambria" w:hAnsi="Cambria"/>
        </w:rPr>
        <w:t xml:space="preserve"> </w:t>
      </w:r>
    </w:p>
    <w:p w14:paraId="58EF789B" w14:textId="77777777" w:rsidR="00DE3C89" w:rsidRPr="006568DD" w:rsidRDefault="00DE3C89" w:rsidP="00BD25D5">
      <w:pPr>
        <w:jc w:val="both"/>
        <w:rPr>
          <w:rFonts w:ascii="Cambria" w:hAnsi="Cambria"/>
        </w:rPr>
      </w:pPr>
    </w:p>
    <w:p w14:paraId="05865DD3" w14:textId="7C42DE5A" w:rsidR="0013371E" w:rsidRPr="004C71D6" w:rsidRDefault="0013371E" w:rsidP="00714B37">
      <w:pPr>
        <w:pStyle w:val="Heading3"/>
      </w:pPr>
      <w:r w:rsidRPr="00714B37">
        <w:rPr>
          <w:color w:val="auto"/>
        </w:rPr>
        <w:t>Drivers</w:t>
      </w:r>
    </w:p>
    <w:p w14:paraId="76F3CC0E" w14:textId="77777777" w:rsidR="0013371E" w:rsidRPr="006568DD" w:rsidRDefault="0013371E" w:rsidP="0013371E">
      <w:pPr>
        <w:jc w:val="both"/>
        <w:rPr>
          <w:rFonts w:ascii="Cambria" w:hAnsi="Cambria"/>
        </w:rPr>
      </w:pPr>
      <w:r w:rsidRPr="006568DD">
        <w:rPr>
          <w:rFonts w:ascii="Cambria" w:hAnsi="Cambria"/>
        </w:rPr>
        <w:t>Italian and UK interviewees identified thermal comfort and saving money on energy bills as key drivers for improving home energy efficiency performance. As SEUK noted:</w:t>
      </w:r>
    </w:p>
    <w:p w14:paraId="01E8301F" w14:textId="6C0F2E1C" w:rsidR="0013371E" w:rsidRPr="006568DD" w:rsidRDefault="0013371E" w:rsidP="0013371E">
      <w:pPr>
        <w:ind w:left="720"/>
        <w:jc w:val="both"/>
        <w:rPr>
          <w:rFonts w:ascii="Cambria" w:hAnsi="Cambria"/>
        </w:rPr>
      </w:pPr>
      <w:r w:rsidRPr="006568DD">
        <w:rPr>
          <w:rFonts w:ascii="Cambria" w:hAnsi="Cambria"/>
        </w:rPr>
        <w:t>“</w:t>
      </w:r>
      <w:proofErr w:type="gramStart"/>
      <w:r w:rsidRPr="006568DD">
        <w:rPr>
          <w:rFonts w:ascii="Cambria" w:hAnsi="Cambria"/>
          <w:i/>
        </w:rPr>
        <w:t>energy</w:t>
      </w:r>
      <w:proofErr w:type="gramEnd"/>
      <w:r w:rsidRPr="006568DD">
        <w:rPr>
          <w:rFonts w:ascii="Cambria" w:hAnsi="Cambria"/>
          <w:i/>
        </w:rPr>
        <w:t xml:space="preserve"> bill savings and thermal comfort are main drivers. I live in a Victorian terrace and I have to admit I bought the house because it’s very nice-looking, […]. During the summer was ok, but it’s really cold during the winter…and I spent a lot of money to heat it up</w:t>
      </w:r>
      <w:r w:rsidRPr="006568DD">
        <w:rPr>
          <w:rFonts w:ascii="Cambria" w:hAnsi="Cambria"/>
        </w:rPr>
        <w:t>”.</w:t>
      </w:r>
    </w:p>
    <w:p w14:paraId="438AD2A1" w14:textId="77777777" w:rsidR="0013371E" w:rsidRPr="006568DD" w:rsidRDefault="0013371E" w:rsidP="0013371E">
      <w:pPr>
        <w:jc w:val="both"/>
        <w:rPr>
          <w:rFonts w:ascii="Cambria" w:hAnsi="Cambria"/>
        </w:rPr>
      </w:pPr>
    </w:p>
    <w:p w14:paraId="0ECA26E5" w14:textId="39D93CB7" w:rsidR="0013371E" w:rsidRPr="006568DD" w:rsidRDefault="0013371E" w:rsidP="00BD25D5">
      <w:pPr>
        <w:jc w:val="both"/>
        <w:rPr>
          <w:rFonts w:ascii="Cambria" w:hAnsi="Cambria"/>
        </w:rPr>
      </w:pPr>
      <w:r w:rsidRPr="006568DD">
        <w:rPr>
          <w:rFonts w:ascii="Cambria" w:hAnsi="Cambria"/>
        </w:rPr>
        <w:t>The desire to improve the aesthetics and energy efficiency of a listed pre-1919 property to appeal to the real estate market, and therefore improve the resale value of a home, was also identified as a driver. However, this was only identified by UK interviewees, while PIT highlighted that the “</w:t>
      </w:r>
      <w:r w:rsidRPr="006568DD">
        <w:rPr>
          <w:rFonts w:ascii="Cambria" w:hAnsi="Cambria"/>
          <w:i/>
        </w:rPr>
        <w:t>Italian housing market is almost stationary and it isn’t so easy to sell houses. So it [the potential for a higher resale value] cannot be an incentive for retrofitting</w:t>
      </w:r>
      <w:r w:rsidRPr="006568DD">
        <w:rPr>
          <w:rFonts w:ascii="Cambria" w:hAnsi="Cambria"/>
        </w:rPr>
        <w:t xml:space="preserve">”. This appears to support </w:t>
      </w:r>
      <w:proofErr w:type="spellStart"/>
      <w:r w:rsidRPr="006568DD">
        <w:rPr>
          <w:rFonts w:ascii="Cambria" w:hAnsi="Cambria"/>
        </w:rPr>
        <w:t>Sunikka</w:t>
      </w:r>
      <w:proofErr w:type="spellEnd"/>
      <w:r w:rsidRPr="006568DD">
        <w:rPr>
          <w:rFonts w:ascii="Cambria" w:hAnsi="Cambria"/>
        </w:rPr>
        <w:t>-Blank and Galvin’s (2016) findings that some homeowners recognise the potential for an improved energy efficiency to increase resale value, although this is not an area widely explored in the existing literature on pre-1919 housing.</w:t>
      </w:r>
    </w:p>
    <w:p w14:paraId="265162D7" w14:textId="1B49A25B" w:rsidR="0013371E" w:rsidRPr="004C71D6" w:rsidRDefault="0013371E" w:rsidP="00714B37">
      <w:pPr>
        <w:pStyle w:val="Heading3"/>
      </w:pPr>
      <w:r w:rsidRPr="00714B37">
        <w:rPr>
          <w:color w:val="auto"/>
        </w:rPr>
        <w:t>Challenges</w:t>
      </w:r>
    </w:p>
    <w:p w14:paraId="75F2BAFB" w14:textId="2B2E9289" w:rsidR="00DE3C89" w:rsidRPr="006568DD" w:rsidRDefault="00DE3C89" w:rsidP="00BD25D5">
      <w:pPr>
        <w:jc w:val="both"/>
        <w:rPr>
          <w:rFonts w:ascii="Cambria" w:hAnsi="Cambria"/>
        </w:rPr>
      </w:pPr>
      <w:r w:rsidRPr="006568DD">
        <w:rPr>
          <w:rFonts w:ascii="Cambria" w:hAnsi="Cambria"/>
        </w:rPr>
        <w:t xml:space="preserve">Interviewees recognised </w:t>
      </w:r>
      <w:r w:rsidR="0013371E" w:rsidRPr="006568DD">
        <w:rPr>
          <w:rFonts w:ascii="Cambria" w:hAnsi="Cambria"/>
        </w:rPr>
        <w:t xml:space="preserve">the existence of </w:t>
      </w:r>
      <w:r w:rsidRPr="006568DD">
        <w:rPr>
          <w:rFonts w:ascii="Cambria" w:hAnsi="Cambria"/>
        </w:rPr>
        <w:t xml:space="preserve">a number of challenges to improving energy efficiency in </w:t>
      </w:r>
      <w:r w:rsidR="0013371E" w:rsidRPr="006568DD">
        <w:rPr>
          <w:rFonts w:ascii="Cambria" w:hAnsi="Cambria"/>
        </w:rPr>
        <w:t xml:space="preserve">listed pre-1919 </w:t>
      </w:r>
      <w:r w:rsidRPr="006568DD">
        <w:rPr>
          <w:rFonts w:ascii="Cambria" w:hAnsi="Cambria"/>
        </w:rPr>
        <w:t xml:space="preserve">housing, and the historic building stock. Whilst the retrofitting process is necessary for national climate change targets, it also forms an important process of protecting, enhancing and keeping </w:t>
      </w:r>
      <w:r w:rsidR="0013371E" w:rsidRPr="006568DD">
        <w:rPr>
          <w:rFonts w:ascii="Cambria" w:hAnsi="Cambria"/>
        </w:rPr>
        <w:t>listed pre-1919</w:t>
      </w:r>
      <w:r w:rsidRPr="006568DD">
        <w:rPr>
          <w:rFonts w:ascii="Cambria" w:hAnsi="Cambria"/>
        </w:rPr>
        <w:t xml:space="preserve"> asset in good repair, as promoted by international conservation principles. As highlighted by Interviewee HRSUK, “</w:t>
      </w:r>
      <w:r w:rsidRPr="006568DD">
        <w:rPr>
          <w:rFonts w:ascii="Cambria" w:hAnsi="Cambria"/>
          <w:i/>
        </w:rPr>
        <w:t>maintaining a historic building is a duty. So it’s fundamental to keep it in ‘good health’</w:t>
      </w:r>
      <w:r w:rsidRPr="006568DD">
        <w:rPr>
          <w:rFonts w:ascii="Cambria" w:hAnsi="Cambria"/>
        </w:rPr>
        <w:t>”. To maintain the ‘</w:t>
      </w:r>
      <w:r w:rsidRPr="006568DD">
        <w:rPr>
          <w:rFonts w:ascii="Cambria" w:hAnsi="Cambria"/>
          <w:i/>
        </w:rPr>
        <w:t>good health</w:t>
      </w:r>
      <w:r w:rsidRPr="006568DD">
        <w:rPr>
          <w:rFonts w:ascii="Cambria" w:hAnsi="Cambria"/>
        </w:rPr>
        <w:t>’, both Italian and English interviewees promoted the identification of “</w:t>
      </w:r>
      <w:r w:rsidRPr="006568DD">
        <w:rPr>
          <w:rFonts w:ascii="Cambria" w:hAnsi="Cambria"/>
          <w:i/>
        </w:rPr>
        <w:t xml:space="preserve">solutions, techniques, and materials that can guarantee the greatest respect for the original structure” </w:t>
      </w:r>
      <w:r w:rsidRPr="006568DD">
        <w:rPr>
          <w:rFonts w:ascii="Cambria" w:hAnsi="Cambria"/>
        </w:rPr>
        <w:t xml:space="preserve">(CEIT, 2016), in order to achieve a balance between conservation and energy efficiency without imposing unintended consequences on </w:t>
      </w:r>
      <w:r w:rsidR="0013371E" w:rsidRPr="006568DD">
        <w:rPr>
          <w:rFonts w:ascii="Cambria" w:hAnsi="Cambria"/>
        </w:rPr>
        <w:t xml:space="preserve">listed pre-1919 </w:t>
      </w:r>
      <w:r w:rsidRPr="006568DD">
        <w:rPr>
          <w:rFonts w:ascii="Cambria" w:hAnsi="Cambria"/>
        </w:rPr>
        <w:t>housing.</w:t>
      </w:r>
      <w:r w:rsidR="0013371E" w:rsidRPr="00714B37">
        <w:rPr>
          <w:rFonts w:ascii="Cambria" w:hAnsi="Cambria"/>
        </w:rPr>
        <w:t xml:space="preserve"> </w:t>
      </w:r>
      <w:r w:rsidR="0013371E" w:rsidRPr="006568DD">
        <w:rPr>
          <w:rFonts w:ascii="Cambria" w:hAnsi="Cambria"/>
        </w:rPr>
        <w:t>This highlights the importance of using appropriate materials and measures for pre-1919 housing to avoid negatively impacting on the building fabric, as well as the comfort of the occupants.</w:t>
      </w:r>
    </w:p>
    <w:p w14:paraId="7BFC25DE" w14:textId="77777777" w:rsidR="00DE3C89" w:rsidRPr="006568DD" w:rsidRDefault="00DE3C89" w:rsidP="00BD25D5">
      <w:pPr>
        <w:jc w:val="both"/>
        <w:rPr>
          <w:rFonts w:ascii="Cambria" w:hAnsi="Cambria"/>
        </w:rPr>
      </w:pPr>
      <w:r w:rsidRPr="006568DD" w:rsidDel="0063293A">
        <w:rPr>
          <w:rFonts w:ascii="Cambria" w:hAnsi="Cambria"/>
        </w:rPr>
        <w:t xml:space="preserve"> </w:t>
      </w:r>
    </w:p>
    <w:p w14:paraId="1345AB10" w14:textId="77777777" w:rsidR="00DE3C89" w:rsidRPr="006568DD" w:rsidRDefault="00DE3C89" w:rsidP="00BD25D5">
      <w:pPr>
        <w:jc w:val="both"/>
        <w:rPr>
          <w:rFonts w:ascii="Cambria" w:hAnsi="Cambria"/>
        </w:rPr>
      </w:pPr>
      <w:r w:rsidRPr="006568DD">
        <w:rPr>
          <w:rFonts w:ascii="Cambria" w:hAnsi="Cambria"/>
        </w:rPr>
        <w:t>A further concern in effectively improving energy efficiency in listed pre-1919 housing related to the level of communication between parties, such as conservation officers and building inspectors, during a retrofit project. This, in addition to a lack of appropriately skilled building professionals, were identified as challenges to overcome before an equilibrium can be reached between energy efficiency and the protection of listed pre-1919 housing. As stated by Interviewee PIT:</w:t>
      </w:r>
    </w:p>
    <w:p w14:paraId="72C05090" w14:textId="078D8832" w:rsidR="00DE3C89" w:rsidRPr="006568DD" w:rsidRDefault="00DE3C89" w:rsidP="00BD25D5">
      <w:pPr>
        <w:ind w:left="720"/>
        <w:jc w:val="both"/>
        <w:rPr>
          <w:rFonts w:ascii="Cambria" w:hAnsi="Cambria"/>
        </w:rPr>
      </w:pPr>
      <w:r w:rsidRPr="006568DD">
        <w:rPr>
          <w:rFonts w:ascii="Cambria" w:hAnsi="Cambria"/>
        </w:rPr>
        <w:t>“</w:t>
      </w:r>
      <w:r w:rsidRPr="006568DD">
        <w:rPr>
          <w:rFonts w:ascii="Cambria" w:hAnsi="Cambria"/>
          <w:i/>
        </w:rPr>
        <w:t xml:space="preserve">I would raise a problem, which is communication. Enhancing the energy performance of a listed building means involving a conservation officer, who is there to protect the heritage value of the building, and a building inspector, who aims to improve the energy efficiency of the </w:t>
      </w:r>
      <w:proofErr w:type="gramStart"/>
      <w:r w:rsidRPr="006568DD">
        <w:rPr>
          <w:rFonts w:ascii="Cambria" w:hAnsi="Cambria"/>
          <w:i/>
        </w:rPr>
        <w:t>house.</w:t>
      </w:r>
      <w:proofErr w:type="gramEnd"/>
      <w:r w:rsidRPr="006568DD">
        <w:rPr>
          <w:rFonts w:ascii="Cambria" w:hAnsi="Cambria"/>
          <w:i/>
        </w:rPr>
        <w:t xml:space="preserve"> Now, most building inspectors would say ‘if the conservation officer said you can’t do that, that’s fine! We will move on something else…</w:t>
      </w:r>
      <w:proofErr w:type="gramStart"/>
      <w:r w:rsidRPr="006568DD">
        <w:rPr>
          <w:rFonts w:ascii="Cambria" w:hAnsi="Cambria"/>
          <w:i/>
        </w:rPr>
        <w:t>’.</w:t>
      </w:r>
      <w:proofErr w:type="gramEnd"/>
      <w:r w:rsidRPr="006568DD">
        <w:rPr>
          <w:rFonts w:ascii="Cambria" w:hAnsi="Cambria"/>
          <w:i/>
        </w:rPr>
        <w:t xml:space="preserve"> Thus, they don’t find </w:t>
      </w:r>
      <w:r w:rsidR="00074451" w:rsidRPr="006568DD">
        <w:rPr>
          <w:rFonts w:ascii="Cambria" w:hAnsi="Cambria"/>
          <w:i/>
        </w:rPr>
        <w:t>a</w:t>
      </w:r>
      <w:r w:rsidRPr="006568DD">
        <w:rPr>
          <w:rFonts w:ascii="Cambria" w:hAnsi="Cambria"/>
          <w:i/>
        </w:rPr>
        <w:t xml:space="preserve"> </w:t>
      </w:r>
      <w:r w:rsidR="0013371E" w:rsidRPr="006568DD">
        <w:rPr>
          <w:rFonts w:ascii="Cambria" w:hAnsi="Cambria"/>
          <w:i/>
        </w:rPr>
        <w:t xml:space="preserve">solution </w:t>
      </w:r>
      <w:r w:rsidRPr="006568DD">
        <w:rPr>
          <w:rFonts w:ascii="Cambria" w:hAnsi="Cambria"/>
          <w:i/>
        </w:rPr>
        <w:t>for energy</w:t>
      </w:r>
      <w:r w:rsidR="0013371E" w:rsidRPr="006568DD">
        <w:rPr>
          <w:rFonts w:ascii="Cambria" w:hAnsi="Cambria"/>
          <w:i/>
        </w:rPr>
        <w:t xml:space="preserve"> [efficiency improvements]</w:t>
      </w:r>
      <w:r w:rsidRPr="006568DD">
        <w:rPr>
          <w:rFonts w:ascii="Cambria" w:hAnsi="Cambria"/>
          <w:i/>
        </w:rPr>
        <w:t xml:space="preserve"> and say, ‘we must get this balance right’</w:t>
      </w:r>
      <w:r w:rsidRPr="006568DD">
        <w:rPr>
          <w:rFonts w:ascii="Cambria" w:hAnsi="Cambria"/>
        </w:rPr>
        <w:t>”</w:t>
      </w:r>
    </w:p>
    <w:p w14:paraId="56DF96A7" w14:textId="77777777" w:rsidR="00DE3C89" w:rsidRPr="006568DD" w:rsidRDefault="00DE3C89" w:rsidP="00BD25D5">
      <w:pPr>
        <w:jc w:val="both"/>
        <w:rPr>
          <w:rFonts w:ascii="Cambria" w:hAnsi="Cambria"/>
          <w:b/>
        </w:rPr>
      </w:pPr>
    </w:p>
    <w:p w14:paraId="1BE5D1A4" w14:textId="38598F7A" w:rsidR="00DE3C89" w:rsidRPr="006568DD" w:rsidRDefault="00DE3C89" w:rsidP="00714B37">
      <w:pPr>
        <w:ind w:left="720"/>
        <w:jc w:val="both"/>
        <w:rPr>
          <w:rFonts w:ascii="Cambria" w:hAnsi="Cambria"/>
        </w:rPr>
      </w:pPr>
      <w:r w:rsidRPr="006568DD">
        <w:rPr>
          <w:rFonts w:ascii="Cambria" w:hAnsi="Cambria"/>
        </w:rPr>
        <w:t xml:space="preserve">Therefore a professional dialogue needs to be entered into, particularly at a local level, in order for a suitable strategy to be implemented to improve the energy efficiency of </w:t>
      </w:r>
      <w:r w:rsidR="0013371E" w:rsidRPr="006568DD">
        <w:rPr>
          <w:rFonts w:ascii="Cambria" w:hAnsi="Cambria"/>
        </w:rPr>
        <w:t xml:space="preserve">listed pre-1919 </w:t>
      </w:r>
      <w:r w:rsidRPr="006568DD">
        <w:rPr>
          <w:rFonts w:ascii="Cambria" w:hAnsi="Cambria"/>
        </w:rPr>
        <w:t>housing.  Further, this may also indicate the need for greater education for all building professionals about how these buildings can be technically improved without damaging their heritage values.</w:t>
      </w:r>
    </w:p>
    <w:p w14:paraId="5AA84E94" w14:textId="236F2AC4" w:rsidR="00DE3C89" w:rsidRPr="006568DD" w:rsidRDefault="0013371E" w:rsidP="00BD25D5">
      <w:pPr>
        <w:jc w:val="both"/>
        <w:rPr>
          <w:rFonts w:ascii="Cambria" w:hAnsi="Cambria"/>
        </w:rPr>
      </w:pPr>
      <w:r w:rsidRPr="006568DD">
        <w:rPr>
          <w:rFonts w:ascii="Cambria" w:hAnsi="Cambria"/>
        </w:rPr>
        <w:t xml:space="preserve">Based on the qualitative data generated from the interviews, additional deterrents to improving the energy efficiency of listed pre-1919 </w:t>
      </w:r>
      <w:proofErr w:type="gramStart"/>
      <w:r w:rsidRPr="006568DD">
        <w:rPr>
          <w:rFonts w:ascii="Cambria" w:hAnsi="Cambria"/>
        </w:rPr>
        <w:t>housing ,</w:t>
      </w:r>
      <w:proofErr w:type="gramEnd"/>
      <w:r w:rsidRPr="006568DD">
        <w:rPr>
          <w:rFonts w:ascii="Cambria" w:hAnsi="Cambria"/>
        </w:rPr>
        <w:t xml:space="preserve"> t</w:t>
      </w:r>
      <w:r w:rsidR="00DE3C89" w:rsidRPr="006568DD">
        <w:rPr>
          <w:rFonts w:ascii="Cambria" w:hAnsi="Cambria"/>
        </w:rPr>
        <w:t>hese include the loss of historical value, uncertainty of the outcome, legislative barriers such as difficulties in securing planning permission, and the cost of works. This supports findings of the existing literature (</w:t>
      </w:r>
      <w:r w:rsidR="00A17800" w:rsidRPr="006568DD">
        <w:rPr>
          <w:rFonts w:ascii="Cambria" w:hAnsi="Cambria"/>
        </w:rPr>
        <w:t xml:space="preserve">Weeks </w:t>
      </w:r>
      <w:r w:rsidR="00A17800" w:rsidRPr="006568DD">
        <w:rPr>
          <w:rFonts w:ascii="Cambria" w:hAnsi="Cambria"/>
          <w:i/>
        </w:rPr>
        <w:t>et al.</w:t>
      </w:r>
      <w:r w:rsidR="00A17800" w:rsidRPr="006568DD">
        <w:rPr>
          <w:rFonts w:ascii="Cambria" w:hAnsi="Cambria"/>
        </w:rPr>
        <w:t xml:space="preserve">, </w:t>
      </w:r>
      <w:r w:rsidR="00DE3C89" w:rsidRPr="006568DD">
        <w:rPr>
          <w:rFonts w:ascii="Cambria" w:hAnsi="Cambria"/>
        </w:rPr>
        <w:t xml:space="preserve">2015; </w:t>
      </w:r>
      <w:proofErr w:type="spellStart"/>
      <w:r w:rsidR="00DE3C89" w:rsidRPr="006568DD">
        <w:rPr>
          <w:rFonts w:ascii="Cambria" w:hAnsi="Cambria"/>
        </w:rPr>
        <w:t>Pelenur</w:t>
      </w:r>
      <w:proofErr w:type="spellEnd"/>
      <w:r w:rsidR="00DE3C89" w:rsidRPr="006568DD">
        <w:rPr>
          <w:rFonts w:ascii="Cambria" w:hAnsi="Cambria"/>
        </w:rPr>
        <w:t xml:space="preserve">, 2013), and research by Organ (2015) who found the role of internal factors such as expectations, and external factors such as the cost of works as influencing owner-occupier motivations to increase home energy efficiency. </w:t>
      </w:r>
    </w:p>
    <w:p w14:paraId="05DB60FB" w14:textId="77777777" w:rsidR="00DE3C89" w:rsidRPr="006568DD" w:rsidRDefault="00DE3C89" w:rsidP="00BD25D5">
      <w:pPr>
        <w:jc w:val="both"/>
        <w:rPr>
          <w:rFonts w:ascii="Cambria" w:hAnsi="Cambria"/>
        </w:rPr>
      </w:pPr>
    </w:p>
    <w:p w14:paraId="4C242F29" w14:textId="746DB179" w:rsidR="00DE3C89" w:rsidRPr="006568DD" w:rsidRDefault="00DE3C89" w:rsidP="00BD25D5">
      <w:pPr>
        <w:jc w:val="both"/>
        <w:rPr>
          <w:rFonts w:ascii="Cambria" w:hAnsi="Cambria"/>
        </w:rPr>
      </w:pPr>
      <w:r w:rsidRPr="006568DD">
        <w:rPr>
          <w:rFonts w:ascii="Cambria" w:hAnsi="Cambria"/>
        </w:rPr>
        <w:t xml:space="preserve">The aspect of cost, particularly in relation to the uncertainty of costs when working with </w:t>
      </w:r>
      <w:r w:rsidR="0013371E" w:rsidRPr="006568DD">
        <w:rPr>
          <w:rFonts w:ascii="Cambria" w:hAnsi="Cambria"/>
        </w:rPr>
        <w:t>listed pre-1919 housing</w:t>
      </w:r>
      <w:r w:rsidRPr="006568DD">
        <w:rPr>
          <w:rFonts w:ascii="Cambria" w:hAnsi="Cambria"/>
        </w:rPr>
        <w:t>, was further highlighted by Interviewee CAIT:</w:t>
      </w:r>
    </w:p>
    <w:p w14:paraId="233217A8" w14:textId="56A64E4A" w:rsidR="00DE3C89" w:rsidRPr="006568DD" w:rsidRDefault="00DE3C89" w:rsidP="00BD25D5">
      <w:pPr>
        <w:ind w:left="720"/>
        <w:jc w:val="both"/>
        <w:rPr>
          <w:rFonts w:ascii="Cambria" w:hAnsi="Cambria"/>
        </w:rPr>
      </w:pPr>
      <w:r w:rsidRPr="006568DD">
        <w:rPr>
          <w:rFonts w:ascii="Cambria" w:hAnsi="Cambria"/>
        </w:rPr>
        <w:t>"</w:t>
      </w:r>
      <w:r w:rsidRPr="006568DD">
        <w:rPr>
          <w:rFonts w:ascii="Cambria" w:hAnsi="Cambria"/>
          <w:i/>
        </w:rPr>
        <w:t>It's really important you have enough money for the works plus a bit more because it's quite expensive and also because with old properties it's always uncertain. I mean, if you want to add, let's say, internal insulation, then it's possible you find rot in the wall and then you can't proceed if you don't repair [the decay] first…this is going to cost you more than [</w:t>
      </w:r>
      <w:r w:rsidR="0013371E" w:rsidRPr="006568DD">
        <w:rPr>
          <w:rFonts w:ascii="Cambria" w:hAnsi="Cambria"/>
          <w:i/>
        </w:rPr>
        <w:t xml:space="preserve">you </w:t>
      </w:r>
      <w:r w:rsidRPr="006568DD">
        <w:rPr>
          <w:rFonts w:ascii="Cambria" w:hAnsi="Cambria"/>
          <w:i/>
        </w:rPr>
        <w:t>originally] predicted of course</w:t>
      </w:r>
      <w:r w:rsidRPr="006568DD">
        <w:rPr>
          <w:rFonts w:ascii="Cambria" w:hAnsi="Cambria"/>
        </w:rPr>
        <w:t>”</w:t>
      </w:r>
    </w:p>
    <w:p w14:paraId="53C240C0" w14:textId="77777777" w:rsidR="00DE3C89" w:rsidRPr="006568DD" w:rsidRDefault="00DE3C89" w:rsidP="00BD25D5">
      <w:pPr>
        <w:jc w:val="both"/>
        <w:rPr>
          <w:rFonts w:ascii="Cambria" w:hAnsi="Cambria"/>
        </w:rPr>
      </w:pPr>
    </w:p>
    <w:p w14:paraId="07BF653F" w14:textId="77777777" w:rsidR="0013371E" w:rsidRPr="006568DD" w:rsidRDefault="0013371E" w:rsidP="0013371E">
      <w:pPr>
        <w:jc w:val="both"/>
        <w:rPr>
          <w:rFonts w:ascii="Cambria" w:hAnsi="Cambria"/>
        </w:rPr>
      </w:pPr>
      <w:r w:rsidRPr="006568DD">
        <w:rPr>
          <w:rFonts w:ascii="Cambria" w:hAnsi="Cambria"/>
        </w:rPr>
        <w:t>This is a particularly important aspect in the context of the ‘whole-building’ approach to improving energy efficiency, which is argued by Historic England (2017) as the most effective approach to avoid damaging the significance of a listed building. However, where this is prohibitively expensive, a well-considered strategy of phased works may be a suitable alternative.</w:t>
      </w:r>
    </w:p>
    <w:p w14:paraId="7BF2E452" w14:textId="77777777" w:rsidR="0013371E" w:rsidRPr="006568DD" w:rsidRDefault="0013371E" w:rsidP="00BD25D5">
      <w:pPr>
        <w:jc w:val="both"/>
        <w:rPr>
          <w:rFonts w:ascii="Cambria" w:hAnsi="Cambria"/>
        </w:rPr>
      </w:pPr>
    </w:p>
    <w:p w14:paraId="5E3AF2D8" w14:textId="2F3E5DC7" w:rsidR="00DE3C89" w:rsidRPr="006568DD" w:rsidRDefault="00DE3C89" w:rsidP="00BD25D5">
      <w:pPr>
        <w:jc w:val="both"/>
        <w:rPr>
          <w:rFonts w:ascii="Cambria" w:hAnsi="Cambria"/>
        </w:rPr>
      </w:pPr>
      <w:r w:rsidRPr="006568DD">
        <w:rPr>
          <w:rFonts w:ascii="Cambria" w:hAnsi="Cambria"/>
        </w:rPr>
        <w:t xml:space="preserve">The concern regarding the loss of heritage value supports the existing literature which identifies the aesthetic value perceived by the homeowner strongly influences retrofit decisions in </w:t>
      </w:r>
      <w:r w:rsidR="0013371E" w:rsidRPr="006568DD">
        <w:rPr>
          <w:rFonts w:ascii="Cambria" w:hAnsi="Cambria"/>
        </w:rPr>
        <w:t xml:space="preserve">listed pre-1919 </w:t>
      </w:r>
      <w:r w:rsidRPr="006568DD">
        <w:rPr>
          <w:rFonts w:ascii="Cambria" w:hAnsi="Cambria"/>
        </w:rPr>
        <w:t>housing (</w:t>
      </w:r>
      <w:proofErr w:type="spellStart"/>
      <w:r w:rsidRPr="006568DD">
        <w:rPr>
          <w:rFonts w:ascii="Cambria" w:hAnsi="Cambria"/>
        </w:rPr>
        <w:t>Sunikka</w:t>
      </w:r>
      <w:proofErr w:type="spellEnd"/>
      <w:r w:rsidRPr="006568DD">
        <w:rPr>
          <w:rFonts w:ascii="Cambria" w:hAnsi="Cambria"/>
        </w:rPr>
        <w:t xml:space="preserve">-Blank and Galvin, 2016). Whilst </w:t>
      </w:r>
      <w:proofErr w:type="spellStart"/>
      <w:r w:rsidRPr="006568DD">
        <w:rPr>
          <w:rFonts w:ascii="Cambria" w:hAnsi="Cambria"/>
        </w:rPr>
        <w:t>Sunikka</w:t>
      </w:r>
      <w:proofErr w:type="spellEnd"/>
      <w:r w:rsidRPr="006568DD">
        <w:rPr>
          <w:rFonts w:ascii="Cambria" w:hAnsi="Cambria"/>
        </w:rPr>
        <w:t xml:space="preserve">-Blank and Galvin (2016) highlight that a homeowner’s willingness to preserve the character of their home could halt improvement works, interviewees did identify a number of </w:t>
      </w:r>
      <w:proofErr w:type="gramStart"/>
      <w:r w:rsidRPr="006568DD">
        <w:rPr>
          <w:rFonts w:ascii="Cambria" w:hAnsi="Cambria"/>
        </w:rPr>
        <w:t>solutions which</w:t>
      </w:r>
      <w:proofErr w:type="gramEnd"/>
      <w:r w:rsidRPr="006568DD">
        <w:rPr>
          <w:rFonts w:ascii="Cambria" w:hAnsi="Cambria"/>
        </w:rPr>
        <w:t xml:space="preserve"> are effective for improving building energy efficiency without negatively affecting its character. As stated by Interviewee CEIT:</w:t>
      </w:r>
    </w:p>
    <w:p w14:paraId="1683344B" w14:textId="77777777" w:rsidR="00DE3C89" w:rsidRPr="006568DD" w:rsidRDefault="00DE3C89" w:rsidP="00BD25D5">
      <w:pPr>
        <w:ind w:left="720"/>
        <w:jc w:val="both"/>
        <w:rPr>
          <w:rFonts w:ascii="Cambria" w:hAnsi="Cambria"/>
        </w:rPr>
      </w:pPr>
      <w:r w:rsidRPr="006568DD">
        <w:rPr>
          <w:rFonts w:ascii="Cambria" w:hAnsi="Cambria"/>
          <w:i/>
        </w:rPr>
        <w:t>“Nowadays there are so many things you can do without affecting the building’s character, such as ‘hidden works', ‘like-for-like' repairs, or implementing services. Generally, my advice is to be careful in selecting the building materials, which must be more natural and less polluting than the modern ones”</w:t>
      </w:r>
      <w:r w:rsidRPr="006568DD">
        <w:rPr>
          <w:rFonts w:ascii="Cambria" w:hAnsi="Cambria"/>
        </w:rPr>
        <w:t xml:space="preserve">. </w:t>
      </w:r>
    </w:p>
    <w:p w14:paraId="4279E355" w14:textId="77777777" w:rsidR="00DE3C89" w:rsidRPr="006568DD" w:rsidRDefault="00DE3C89" w:rsidP="00BD25D5">
      <w:pPr>
        <w:jc w:val="both"/>
        <w:rPr>
          <w:rFonts w:ascii="Cambria" w:hAnsi="Cambria"/>
        </w:rPr>
      </w:pPr>
    </w:p>
    <w:p w14:paraId="7E45D04B" w14:textId="0F5FE381" w:rsidR="007D2B7C" w:rsidRPr="004C71D6" w:rsidRDefault="007D2B7C" w:rsidP="00714B37">
      <w:pPr>
        <w:pStyle w:val="Heading3"/>
      </w:pPr>
      <w:r w:rsidRPr="00714B37">
        <w:rPr>
          <w:color w:val="auto"/>
        </w:rPr>
        <w:t>Adopted approaches</w:t>
      </w:r>
    </w:p>
    <w:p w14:paraId="67F66D94" w14:textId="77777777" w:rsidR="007D2B7C" w:rsidRPr="006568DD" w:rsidRDefault="007D2B7C" w:rsidP="007D2B7C">
      <w:pPr>
        <w:jc w:val="both"/>
        <w:rPr>
          <w:rFonts w:ascii="Cambria" w:hAnsi="Cambria"/>
        </w:rPr>
      </w:pPr>
      <w:r w:rsidRPr="006568DD">
        <w:rPr>
          <w:rFonts w:ascii="Cambria" w:hAnsi="Cambria"/>
        </w:rPr>
        <w:t xml:space="preserve">Interviewees were concerned about the effectiveness of solutions and their application without causing harm to the significance of the listed pre-1919 house. The main considerations were aesthetic damage, physical damage to the building fabric, the level of workmanship required, and the poor communication between the professionals involved in the installation of energy efficiency improvements. One interviewee suggested that techniques and materials “that can guarantee the greatest respect for the original structure” to avoid affecting the significance of the building should be prioritised. This could include less invasive technologies such as roof insulation and </w:t>
      </w:r>
      <w:proofErr w:type="gramStart"/>
      <w:r w:rsidRPr="006568DD">
        <w:rPr>
          <w:rFonts w:ascii="Cambria" w:hAnsi="Cambria"/>
        </w:rPr>
        <w:t>draught-proofing</w:t>
      </w:r>
      <w:proofErr w:type="gramEnd"/>
      <w:r w:rsidRPr="006568DD">
        <w:rPr>
          <w:rFonts w:ascii="Cambria" w:hAnsi="Cambria"/>
        </w:rPr>
        <w:t>, or more technological measures such as ‘smart home technology’ to enable the more effective use of energy or, on a larger-scale, the use of a smart thermal grid.</w:t>
      </w:r>
    </w:p>
    <w:p w14:paraId="5754B6D2" w14:textId="77777777" w:rsidR="007D2B7C" w:rsidRPr="006568DD" w:rsidRDefault="007D2B7C" w:rsidP="00BD25D5">
      <w:pPr>
        <w:jc w:val="both"/>
        <w:rPr>
          <w:rFonts w:ascii="Cambria" w:hAnsi="Cambria"/>
        </w:rPr>
      </w:pPr>
    </w:p>
    <w:p w14:paraId="591315A9" w14:textId="52B5024D" w:rsidR="00DE3C89" w:rsidRPr="006568DD" w:rsidRDefault="00DE3C89" w:rsidP="00BD25D5">
      <w:pPr>
        <w:jc w:val="both"/>
        <w:rPr>
          <w:rFonts w:ascii="Cambria" w:hAnsi="Cambria"/>
        </w:rPr>
      </w:pPr>
      <w:r w:rsidRPr="006568DD">
        <w:rPr>
          <w:rFonts w:ascii="Cambria" w:hAnsi="Cambria"/>
        </w:rPr>
        <w:t xml:space="preserve">When adopting an approach and selecting measures to improve the energy efficiency of </w:t>
      </w:r>
      <w:r w:rsidR="007D2B7C" w:rsidRPr="006568DD">
        <w:rPr>
          <w:rFonts w:ascii="Cambria" w:hAnsi="Cambria"/>
        </w:rPr>
        <w:t xml:space="preserve">listed pre-1919 </w:t>
      </w:r>
      <w:r w:rsidRPr="006568DD">
        <w:rPr>
          <w:rFonts w:ascii="Cambria" w:hAnsi="Cambria"/>
        </w:rPr>
        <w:t xml:space="preserve">housing, interviewees highlighted a number of </w:t>
      </w:r>
      <w:proofErr w:type="gramStart"/>
      <w:r w:rsidRPr="006568DD">
        <w:rPr>
          <w:rFonts w:ascii="Cambria" w:hAnsi="Cambria"/>
        </w:rPr>
        <w:t>factors which</w:t>
      </w:r>
      <w:proofErr w:type="gramEnd"/>
      <w:r w:rsidRPr="006568DD">
        <w:rPr>
          <w:rFonts w:ascii="Cambria" w:hAnsi="Cambria"/>
        </w:rPr>
        <w:t xml:space="preserve"> must be considered. These factors were the impact on the building aesthetics, cost, level of achievable energy saving, and the average payback period. There was a consensus that these factors need to be well balanced when deciding which solutions best-fit client needs and expectations. Further, interviewees also emphasised that particular consideration must be given to </w:t>
      </w:r>
      <w:r w:rsidR="007D2B7C" w:rsidRPr="006568DD">
        <w:rPr>
          <w:rFonts w:ascii="Cambria" w:hAnsi="Cambria"/>
        </w:rPr>
        <w:t xml:space="preserve">listed pre-1919 </w:t>
      </w:r>
      <w:r w:rsidRPr="006568DD">
        <w:rPr>
          <w:rFonts w:ascii="Cambria" w:hAnsi="Cambria"/>
        </w:rPr>
        <w:t xml:space="preserve">buildings, as they present different behaviours, such as breathability and ventilation, in comparison with their modern counterparts. </w:t>
      </w:r>
    </w:p>
    <w:p w14:paraId="4C32CFCE" w14:textId="77777777" w:rsidR="00DE3C89" w:rsidRPr="006568DD" w:rsidRDefault="00DE3C89" w:rsidP="00BD25D5">
      <w:pPr>
        <w:jc w:val="both"/>
        <w:rPr>
          <w:rFonts w:ascii="Cambria" w:hAnsi="Cambria"/>
        </w:rPr>
      </w:pPr>
    </w:p>
    <w:p w14:paraId="545B02C1" w14:textId="2B7C5CC8" w:rsidR="00DE3C89" w:rsidRPr="006568DD" w:rsidRDefault="00DE3C89" w:rsidP="00BD25D5">
      <w:pPr>
        <w:jc w:val="both"/>
        <w:rPr>
          <w:rFonts w:ascii="Cambria" w:hAnsi="Cambria"/>
        </w:rPr>
      </w:pPr>
      <w:r w:rsidRPr="006568DD">
        <w:rPr>
          <w:rFonts w:ascii="Cambria" w:hAnsi="Cambria"/>
        </w:rPr>
        <w:t xml:space="preserve">For </w:t>
      </w:r>
      <w:proofErr w:type="gramStart"/>
      <w:r w:rsidRPr="006568DD">
        <w:rPr>
          <w:rFonts w:ascii="Cambria" w:hAnsi="Cambria"/>
        </w:rPr>
        <w:t>measures which</w:t>
      </w:r>
      <w:proofErr w:type="gramEnd"/>
      <w:r w:rsidRPr="006568DD">
        <w:rPr>
          <w:rFonts w:ascii="Cambria" w:hAnsi="Cambria"/>
        </w:rPr>
        <w:t xml:space="preserve"> are appropriate for </w:t>
      </w:r>
      <w:r w:rsidR="007D2B7C" w:rsidRPr="006568DD">
        <w:rPr>
          <w:rFonts w:ascii="Cambria" w:hAnsi="Cambria"/>
        </w:rPr>
        <w:t xml:space="preserve">listed pre-1919 </w:t>
      </w:r>
      <w:r w:rsidRPr="006568DD">
        <w:rPr>
          <w:rFonts w:ascii="Cambria" w:hAnsi="Cambria"/>
        </w:rPr>
        <w:t xml:space="preserve">housing in relation to conservation and compatibility considerations, interviewees viewed some measures more challenging to apply to these properties. First, external wall insulation was considered challenging for </w:t>
      </w:r>
      <w:r w:rsidR="007D2B7C" w:rsidRPr="006568DD">
        <w:rPr>
          <w:rFonts w:ascii="Cambria" w:hAnsi="Cambria"/>
        </w:rPr>
        <w:t xml:space="preserve">listed pre-1919 </w:t>
      </w:r>
      <w:r w:rsidRPr="006568DD">
        <w:rPr>
          <w:rFonts w:ascii="Cambria" w:hAnsi="Cambria"/>
        </w:rPr>
        <w:t>housing due to the impact on the property fabric and aesthetics. Second, window improvements, whilst one of the main components to be replaced through incentive schemes in Europe resulting in the loss of many traditional windows (</w:t>
      </w:r>
      <w:proofErr w:type="spellStart"/>
      <w:r w:rsidRPr="006568DD">
        <w:rPr>
          <w:rFonts w:ascii="Cambria" w:hAnsi="Cambria"/>
        </w:rPr>
        <w:t>Pracchi</w:t>
      </w:r>
      <w:proofErr w:type="spellEnd"/>
      <w:r w:rsidRPr="006568DD">
        <w:rPr>
          <w:rFonts w:ascii="Cambria" w:hAnsi="Cambria"/>
        </w:rPr>
        <w:t xml:space="preserve">, 2014), a number of interviewees stated that </w:t>
      </w:r>
      <w:r w:rsidR="007D2B7C" w:rsidRPr="006568DD">
        <w:rPr>
          <w:rFonts w:ascii="Cambria" w:hAnsi="Cambria"/>
        </w:rPr>
        <w:t xml:space="preserve">windows were particularly protected, </w:t>
      </w:r>
      <w:proofErr w:type="gramStart"/>
      <w:r w:rsidR="007D2B7C" w:rsidRPr="006568DD">
        <w:rPr>
          <w:rFonts w:ascii="Cambria" w:hAnsi="Cambria"/>
        </w:rPr>
        <w:t xml:space="preserve">especially </w:t>
      </w:r>
      <w:r w:rsidRPr="006568DD">
        <w:rPr>
          <w:rFonts w:ascii="Cambria" w:hAnsi="Cambria"/>
        </w:rPr>
        <w:t>,in</w:t>
      </w:r>
      <w:proofErr w:type="gramEnd"/>
      <w:r w:rsidRPr="006568DD">
        <w:rPr>
          <w:rFonts w:ascii="Cambria" w:hAnsi="Cambria"/>
        </w:rPr>
        <w:t xml:space="preserve"> the case of timber framed windows. This, interviewees explained, was because windows contribute considerable character to older properties. Therefore, the preference was </w:t>
      </w:r>
      <w:r w:rsidR="007D2B7C" w:rsidRPr="006568DD">
        <w:rPr>
          <w:rFonts w:ascii="Cambria" w:hAnsi="Cambria"/>
        </w:rPr>
        <w:t xml:space="preserve">to restore </w:t>
      </w:r>
      <w:r w:rsidRPr="006568DD">
        <w:rPr>
          <w:rFonts w:ascii="Cambria" w:hAnsi="Cambria"/>
        </w:rPr>
        <w:t xml:space="preserve">windows wherever possible. </w:t>
      </w:r>
      <w:r w:rsidR="007D2B7C" w:rsidRPr="006568DD">
        <w:rPr>
          <w:rFonts w:ascii="Cambria" w:hAnsi="Cambria"/>
        </w:rPr>
        <w:t xml:space="preserve">Indeed, Ginks and Painter (2017, p.392) suggest the preference in retaining existing glazing in listed housing also reflect concerns about the “accelerated loss of historic glass; need for thicker glazing bars to support the increased weight [of new double glazing]; and a flatter, more uniform reflection compared to old glass”. </w:t>
      </w:r>
      <w:r w:rsidRPr="006568DD">
        <w:rPr>
          <w:rFonts w:ascii="Cambria" w:hAnsi="Cambria"/>
        </w:rPr>
        <w:t xml:space="preserve">Where </w:t>
      </w:r>
      <w:r w:rsidR="007D2B7C" w:rsidRPr="006568DD">
        <w:rPr>
          <w:rFonts w:ascii="Cambria" w:hAnsi="Cambria"/>
        </w:rPr>
        <w:t xml:space="preserve">it </w:t>
      </w:r>
      <w:r w:rsidRPr="006568DD">
        <w:rPr>
          <w:rFonts w:ascii="Cambria" w:hAnsi="Cambria"/>
        </w:rPr>
        <w:t>is not possible</w:t>
      </w:r>
      <w:r w:rsidR="007D2B7C" w:rsidRPr="006568DD">
        <w:rPr>
          <w:rFonts w:ascii="Cambria" w:hAnsi="Cambria"/>
        </w:rPr>
        <w:t xml:space="preserve"> to restore historic windows</w:t>
      </w:r>
      <w:r w:rsidRPr="006568DD">
        <w:rPr>
          <w:rFonts w:ascii="Cambria" w:hAnsi="Cambria"/>
        </w:rPr>
        <w:t>,</w:t>
      </w:r>
      <w:r w:rsidR="007D2B7C" w:rsidRPr="006568DD">
        <w:rPr>
          <w:rFonts w:ascii="Cambria" w:hAnsi="Cambria"/>
        </w:rPr>
        <w:t xml:space="preserve"> one interviewee highlighted that</w:t>
      </w:r>
      <w:r w:rsidRPr="006568DD">
        <w:rPr>
          <w:rFonts w:ascii="Cambria" w:hAnsi="Cambria"/>
        </w:rPr>
        <w:t xml:space="preserve"> a “</w:t>
      </w:r>
      <w:r w:rsidRPr="006568DD">
        <w:rPr>
          <w:rFonts w:ascii="Cambria" w:hAnsi="Cambria"/>
          <w:i/>
        </w:rPr>
        <w:t>more energy efficient replica</w:t>
      </w:r>
      <w:r w:rsidRPr="006568DD">
        <w:rPr>
          <w:rFonts w:ascii="Cambria" w:hAnsi="Cambria"/>
        </w:rPr>
        <w:t>” should be installed (Interviewee CAIT). Interestingly, no interviewees raised the option of installing less intrusive measures such as heavy curtains and shutters as highlighted in the existing literature (</w:t>
      </w:r>
      <w:proofErr w:type="spellStart"/>
      <w:r w:rsidRPr="006568DD">
        <w:rPr>
          <w:rFonts w:ascii="Cambria" w:hAnsi="Cambria"/>
        </w:rPr>
        <w:t>Agbota</w:t>
      </w:r>
      <w:proofErr w:type="spellEnd"/>
      <w:r w:rsidRPr="006568DD">
        <w:rPr>
          <w:rFonts w:ascii="Cambria" w:hAnsi="Cambria"/>
        </w:rPr>
        <w:t xml:space="preserve">, 2014; </w:t>
      </w:r>
      <w:proofErr w:type="spellStart"/>
      <w:r w:rsidRPr="006568DD">
        <w:rPr>
          <w:rFonts w:ascii="Cambria" w:hAnsi="Cambria"/>
        </w:rPr>
        <w:t>Pracchi</w:t>
      </w:r>
      <w:proofErr w:type="spellEnd"/>
      <w:r w:rsidRPr="006568DD">
        <w:rPr>
          <w:rFonts w:ascii="Cambria" w:hAnsi="Cambria"/>
        </w:rPr>
        <w:t>, 2014; Stuart, 2014</w:t>
      </w:r>
      <w:r w:rsidR="007D2B7C" w:rsidRPr="006568DD">
        <w:rPr>
          <w:rFonts w:ascii="Cambria" w:hAnsi="Cambria"/>
        </w:rPr>
        <w:t>; Curtis, 2010</w:t>
      </w:r>
      <w:r w:rsidRPr="006568DD">
        <w:rPr>
          <w:rFonts w:ascii="Cambria" w:hAnsi="Cambria"/>
        </w:rPr>
        <w:t xml:space="preserve">). </w:t>
      </w:r>
      <w:proofErr w:type="spellStart"/>
      <w:r w:rsidR="007D2B7C" w:rsidRPr="006568DD">
        <w:rPr>
          <w:rFonts w:ascii="Cambria" w:hAnsi="Cambria"/>
        </w:rPr>
        <w:t>Georgiadou</w:t>
      </w:r>
      <w:proofErr w:type="spellEnd"/>
      <w:r w:rsidR="007D2B7C" w:rsidRPr="006568DD">
        <w:rPr>
          <w:rFonts w:ascii="Cambria" w:hAnsi="Cambria"/>
        </w:rPr>
        <w:t xml:space="preserve"> et al. (2012) highlight such measures as strategies for ‘future-proofing’ to minimise the need for mechanical cooling. </w:t>
      </w:r>
      <w:r w:rsidRPr="006568DD">
        <w:rPr>
          <w:rFonts w:ascii="Cambria" w:hAnsi="Cambria"/>
        </w:rPr>
        <w:t>Indeed, research by Historic England (2009) has shown that heavy curtains and well-fitting shutters can reduce the U-value of a single glazed window by 41% and 58% respectively. Whilst this may interpreted as homeowners being unaware of these less intrusive measure, supporting the information deficit model (</w:t>
      </w:r>
      <w:proofErr w:type="spellStart"/>
      <w:r w:rsidRPr="006568DD">
        <w:rPr>
          <w:rFonts w:ascii="Cambria" w:hAnsi="Cambria"/>
        </w:rPr>
        <w:t>Bondre</w:t>
      </w:r>
      <w:proofErr w:type="spellEnd"/>
      <w:r w:rsidRPr="006568DD">
        <w:rPr>
          <w:rFonts w:ascii="Cambria" w:hAnsi="Cambria"/>
        </w:rPr>
        <w:t xml:space="preserve">, 2016), as the interviewees were experts in the area of energy efficiency in </w:t>
      </w:r>
      <w:r w:rsidR="007D2B7C" w:rsidRPr="006568DD">
        <w:rPr>
          <w:rFonts w:ascii="Cambria" w:hAnsi="Cambria"/>
        </w:rPr>
        <w:t>listed pre-1919 housing</w:t>
      </w:r>
      <w:r w:rsidRPr="006568DD">
        <w:rPr>
          <w:rFonts w:ascii="Cambria" w:hAnsi="Cambria"/>
        </w:rPr>
        <w:t>, an information deficit model seems unlikely. An alternative interpretation might be that, when speaking about energy efficiency improvements, there is an assumption that more intrusive measures are required to achieve a</w:t>
      </w:r>
      <w:r w:rsidR="007D2B7C" w:rsidRPr="006568DD">
        <w:rPr>
          <w:rFonts w:ascii="Cambria" w:hAnsi="Cambria"/>
        </w:rPr>
        <w:t>n adequate</w:t>
      </w:r>
      <w:r w:rsidRPr="006568DD">
        <w:rPr>
          <w:rFonts w:ascii="Cambria" w:hAnsi="Cambria"/>
        </w:rPr>
        <w:t xml:space="preserve"> energy efficiency performance or contribute to calculations such as the UK’s SAP, which does not take measures such as shutters into account within the calculation. This highlights a number of challenges, such as whether there is a need for a discussion about whether an alternative version of energy calculations is needed for </w:t>
      </w:r>
      <w:r w:rsidR="007D2B7C" w:rsidRPr="006568DD">
        <w:rPr>
          <w:rFonts w:ascii="Cambria" w:hAnsi="Cambria"/>
        </w:rPr>
        <w:t xml:space="preserve">pre-1919 </w:t>
      </w:r>
      <w:r w:rsidRPr="006568DD">
        <w:rPr>
          <w:rFonts w:ascii="Cambria" w:hAnsi="Cambria"/>
        </w:rPr>
        <w:t xml:space="preserve">housing; the role of perceptions and expectations in improving energy efficiency in </w:t>
      </w:r>
      <w:r w:rsidR="007D2B7C" w:rsidRPr="006568DD">
        <w:rPr>
          <w:rFonts w:ascii="Cambria" w:hAnsi="Cambria"/>
        </w:rPr>
        <w:t xml:space="preserve">pre-1919 </w:t>
      </w:r>
      <w:r w:rsidRPr="006568DD">
        <w:rPr>
          <w:rFonts w:ascii="Cambria" w:hAnsi="Cambria"/>
        </w:rPr>
        <w:t xml:space="preserve">buildings; and the challenge of experts and householders being aware and considering less intrusive interventions as suitable alternatives of improving energy efficiency. </w:t>
      </w:r>
    </w:p>
    <w:p w14:paraId="002102AF" w14:textId="77777777" w:rsidR="0070558E" w:rsidRPr="006568DD" w:rsidRDefault="0070558E" w:rsidP="00BD25D5">
      <w:pPr>
        <w:jc w:val="both"/>
        <w:rPr>
          <w:rFonts w:ascii="Cambria" w:hAnsi="Cambria"/>
        </w:rPr>
      </w:pPr>
    </w:p>
    <w:p w14:paraId="428575B0" w14:textId="77777777" w:rsidR="00DE3C89" w:rsidRPr="006568DD" w:rsidRDefault="00DE3C89" w:rsidP="00BD25D5">
      <w:pPr>
        <w:jc w:val="both"/>
        <w:rPr>
          <w:rFonts w:ascii="Cambria" w:hAnsi="Cambria"/>
        </w:rPr>
      </w:pPr>
      <w:r w:rsidRPr="006568DD">
        <w:rPr>
          <w:rFonts w:ascii="Cambria" w:hAnsi="Cambria"/>
        </w:rPr>
        <w:t>All the interviewees in both the UK and Italy remarked on the importance of occupant behaviour for achieving an improved energy performance. Fabric or service improvements were considered to be insufficient to achieve reasonable energy efficiency standards where the occupants did not also modify their energy behaviour, as highlighted by PUK:</w:t>
      </w:r>
    </w:p>
    <w:p w14:paraId="1500B708" w14:textId="77777777" w:rsidR="00DE3C89" w:rsidRPr="006568DD" w:rsidRDefault="00DE3C89" w:rsidP="00BD25D5">
      <w:pPr>
        <w:ind w:left="720"/>
        <w:jc w:val="both"/>
        <w:rPr>
          <w:rFonts w:ascii="Cambria" w:hAnsi="Cambria"/>
        </w:rPr>
      </w:pPr>
      <w:r w:rsidRPr="006568DD">
        <w:rPr>
          <w:rFonts w:ascii="Cambria" w:hAnsi="Cambria"/>
        </w:rPr>
        <w:t>"</w:t>
      </w:r>
      <w:r w:rsidRPr="006568DD">
        <w:rPr>
          <w:rFonts w:ascii="Cambria" w:hAnsi="Cambria"/>
          <w:i/>
        </w:rPr>
        <w:t>We can improve the building fabric, change services, but you can't really save a satisfactory amount of energy if occupants don't change their attitude and behaviour toward the way they live the house…they can't complain about the energy bills if they forget windows open when the heater is on, or leave the light on</w:t>
      </w:r>
      <w:r w:rsidRPr="006568DD">
        <w:rPr>
          <w:rFonts w:ascii="Cambria" w:hAnsi="Cambria"/>
        </w:rPr>
        <w:t xml:space="preserve">" </w:t>
      </w:r>
    </w:p>
    <w:p w14:paraId="577A7C6E" w14:textId="77777777" w:rsidR="00DE3C89" w:rsidRPr="006568DD" w:rsidRDefault="00DE3C89" w:rsidP="00BD25D5">
      <w:pPr>
        <w:jc w:val="both"/>
        <w:rPr>
          <w:rFonts w:ascii="Cambria" w:hAnsi="Cambria"/>
        </w:rPr>
      </w:pPr>
    </w:p>
    <w:p w14:paraId="11046F97" w14:textId="5D0032F4" w:rsidR="00DE3C89" w:rsidRPr="006568DD" w:rsidRDefault="00DE3C89" w:rsidP="00BD25D5">
      <w:pPr>
        <w:jc w:val="both"/>
        <w:rPr>
          <w:rFonts w:ascii="Cambria" w:hAnsi="Cambria"/>
        </w:rPr>
      </w:pPr>
      <w:r w:rsidRPr="006568DD">
        <w:rPr>
          <w:rFonts w:ascii="Cambria" w:hAnsi="Cambria"/>
        </w:rPr>
        <w:t xml:space="preserve">This emphasises the importance of occupant behaviour alongside technical improvements to contribute to the reduction in energy use, and mitigate the impact of the rebound effect, </w:t>
      </w:r>
      <w:r w:rsidR="007D2B7C" w:rsidRPr="006568DD">
        <w:rPr>
          <w:rFonts w:ascii="Cambria" w:hAnsi="Cambria"/>
        </w:rPr>
        <w:t>effect – increased occupant energy consumption after physical building improvements resulting in lower actual energy savings than predicted (Buchanan et al., 2015). A</w:t>
      </w:r>
      <w:r w:rsidRPr="006568DD">
        <w:rPr>
          <w:rFonts w:ascii="Cambria" w:hAnsi="Cambria"/>
        </w:rPr>
        <w:t>s highlighted in the existing literature, this may reflect appropriate changes to enable improved thermal comfort (</w:t>
      </w:r>
      <w:r w:rsidRPr="006568DD">
        <w:rPr>
          <w:rFonts w:ascii="Cambria" w:hAnsi="Cambria"/>
          <w:lang w:val="en-US"/>
        </w:rPr>
        <w:t xml:space="preserve">Hong </w:t>
      </w:r>
      <w:r w:rsidRPr="006568DD">
        <w:rPr>
          <w:rFonts w:ascii="Cambria" w:hAnsi="Cambria"/>
          <w:i/>
          <w:lang w:val="en-US"/>
        </w:rPr>
        <w:t>et al.,</w:t>
      </w:r>
      <w:r w:rsidRPr="006568DD">
        <w:rPr>
          <w:rFonts w:ascii="Cambria" w:hAnsi="Cambria"/>
          <w:lang w:val="en-US"/>
        </w:rPr>
        <w:t xml:space="preserve"> 2009)</w:t>
      </w:r>
      <w:r w:rsidRPr="006568DD">
        <w:rPr>
          <w:rFonts w:ascii="Cambria" w:hAnsi="Cambria"/>
        </w:rPr>
        <w:t>.</w:t>
      </w:r>
      <w:r w:rsidRPr="006568DD" w:rsidDel="007A4345">
        <w:rPr>
          <w:rFonts w:ascii="Cambria" w:hAnsi="Cambria"/>
        </w:rPr>
        <w:t xml:space="preserve"> </w:t>
      </w:r>
    </w:p>
    <w:p w14:paraId="7239AF59" w14:textId="77777777" w:rsidR="00DE3C89" w:rsidRPr="006568DD" w:rsidRDefault="00DE3C89" w:rsidP="00BD25D5">
      <w:pPr>
        <w:jc w:val="both"/>
        <w:rPr>
          <w:rFonts w:ascii="Cambria" w:hAnsi="Cambria"/>
        </w:rPr>
      </w:pPr>
    </w:p>
    <w:p w14:paraId="2A08CBB7" w14:textId="214DBE6E" w:rsidR="00DE3C89" w:rsidRPr="006568DD" w:rsidRDefault="00DE3C89" w:rsidP="00BD25D5">
      <w:pPr>
        <w:jc w:val="both"/>
        <w:rPr>
          <w:rFonts w:ascii="Cambria" w:hAnsi="Cambria"/>
        </w:rPr>
      </w:pPr>
      <w:r w:rsidRPr="006568DD">
        <w:rPr>
          <w:rFonts w:ascii="Cambria" w:hAnsi="Cambria"/>
        </w:rPr>
        <w:t xml:space="preserve">Based on the analysis of the qualitative data, </w:t>
      </w:r>
      <w:r w:rsidR="007D2B7C" w:rsidRPr="006568DD">
        <w:rPr>
          <w:rFonts w:ascii="Cambria" w:hAnsi="Cambria"/>
        </w:rPr>
        <w:t>Table 4</w:t>
      </w:r>
      <w:r w:rsidRPr="006568DD">
        <w:rPr>
          <w:rFonts w:ascii="Cambria" w:hAnsi="Cambria"/>
        </w:rPr>
        <w:t xml:space="preserve"> shows the factors identified by the interviewees as having a role in improving the sustainability of listed pre-1919 housing in the UK and Italy, based across five key themes: EU and international targets; conservation principles; industry; sustainability; and social. In the </w:t>
      </w:r>
      <w:r w:rsidR="007D2B7C" w:rsidRPr="006568DD">
        <w:rPr>
          <w:rFonts w:ascii="Cambria" w:hAnsi="Cambria"/>
        </w:rPr>
        <w:t>table</w:t>
      </w:r>
      <w:proofErr w:type="gramStart"/>
      <w:r w:rsidRPr="006568DD">
        <w:rPr>
          <w:rFonts w:ascii="Cambria" w:hAnsi="Cambria"/>
        </w:rPr>
        <w:t>,</w:t>
      </w:r>
      <w:r w:rsidR="007D2B7C" w:rsidRPr="006568DD">
        <w:rPr>
          <w:rFonts w:ascii="Cambria" w:hAnsi="Cambria"/>
        </w:rPr>
        <w:t>,</w:t>
      </w:r>
      <w:proofErr w:type="gramEnd"/>
      <w:r w:rsidR="007D2B7C" w:rsidRPr="006568DD">
        <w:rPr>
          <w:rFonts w:ascii="Cambria" w:hAnsi="Cambria"/>
        </w:rPr>
        <w:t xml:space="preserve"> factors in columns are contained within one of five themes, and should be read vertically in these columns. Shading relates horizontally, indicating stronger associations between factors in different theme groups, detected in the qualitative data during thematic analysis</w:t>
      </w:r>
      <w:proofErr w:type="gramStart"/>
      <w:r w:rsidR="007D2B7C" w:rsidRPr="006568DD">
        <w:rPr>
          <w:rFonts w:ascii="Cambria" w:hAnsi="Cambria"/>
        </w:rPr>
        <w:t>.</w:t>
      </w:r>
      <w:r w:rsidRPr="006568DD">
        <w:rPr>
          <w:rFonts w:ascii="Cambria" w:hAnsi="Cambria"/>
        </w:rPr>
        <w:t>.</w:t>
      </w:r>
      <w:proofErr w:type="gramEnd"/>
      <w:r w:rsidRPr="006568DD">
        <w:rPr>
          <w:rFonts w:ascii="Cambria" w:hAnsi="Cambria"/>
        </w:rPr>
        <w:t xml:space="preserve"> The ‘resale value’ factor has been intentionally faded as this was identified only as having an impact in the UK interviews.</w:t>
      </w:r>
    </w:p>
    <w:p w14:paraId="2E7BF1FD" w14:textId="77777777" w:rsidR="00DE3C89" w:rsidRPr="006568DD" w:rsidRDefault="00DE3C89" w:rsidP="00BD25D5">
      <w:pPr>
        <w:jc w:val="both"/>
        <w:rPr>
          <w:rFonts w:ascii="Cambria" w:hAnsi="Cambria"/>
        </w:rPr>
      </w:pPr>
    </w:p>
    <w:p w14:paraId="77C08732" w14:textId="03F1500A" w:rsidR="00570B1C" w:rsidRPr="006568DD" w:rsidRDefault="007B29DB" w:rsidP="00BD25D5">
      <w:pPr>
        <w:jc w:val="both"/>
        <w:rPr>
          <w:rFonts w:ascii="Cambria" w:hAnsi="Cambria" w:cs="Arial"/>
          <w:noProof/>
          <w:lang w:eastAsia="en-GB"/>
        </w:rPr>
      </w:pPr>
      <w:r w:rsidRPr="006568DD">
        <w:rPr>
          <w:rFonts w:ascii="Cambria" w:hAnsi="Cambria" w:cs="Arial"/>
          <w:noProof/>
          <w:lang w:eastAsia="en-GB"/>
        </w:rPr>
        <w:t>[</w:t>
      </w:r>
      <w:r w:rsidR="007D2B7C" w:rsidRPr="006568DD">
        <w:rPr>
          <w:rFonts w:ascii="Cambria" w:hAnsi="Cambria" w:cs="Arial"/>
          <w:noProof/>
          <w:lang w:eastAsia="en-GB"/>
        </w:rPr>
        <w:t>Table 4</w:t>
      </w:r>
      <w:r w:rsidRPr="006568DD">
        <w:rPr>
          <w:rFonts w:ascii="Cambria" w:hAnsi="Cambria" w:cs="Arial"/>
          <w:noProof/>
          <w:lang w:eastAsia="en-GB"/>
        </w:rPr>
        <w:t xml:space="preserve">] </w:t>
      </w:r>
    </w:p>
    <w:p w14:paraId="0AD3C652" w14:textId="77777777" w:rsidR="007B29DB" w:rsidRPr="006568DD" w:rsidRDefault="007B29DB" w:rsidP="00BD25D5">
      <w:pPr>
        <w:jc w:val="both"/>
        <w:rPr>
          <w:rFonts w:ascii="Cambria" w:hAnsi="Cambria"/>
        </w:rPr>
      </w:pPr>
    </w:p>
    <w:p w14:paraId="0E162FFE" w14:textId="57A39BE7" w:rsidR="007D2B7C" w:rsidRPr="006568DD" w:rsidRDefault="00DE3C89" w:rsidP="007D2B7C">
      <w:pPr>
        <w:jc w:val="both"/>
        <w:rPr>
          <w:rFonts w:ascii="Cambria" w:hAnsi="Cambria"/>
        </w:rPr>
      </w:pPr>
      <w:r w:rsidRPr="006568DD">
        <w:rPr>
          <w:rFonts w:ascii="Cambria" w:hAnsi="Cambria"/>
        </w:rPr>
        <w:t xml:space="preserve">Based on the factors identified in </w:t>
      </w:r>
      <w:r w:rsidR="007D2B7C" w:rsidRPr="006568DD">
        <w:rPr>
          <w:rFonts w:ascii="Cambria" w:hAnsi="Cambria"/>
        </w:rPr>
        <w:t>Table 4</w:t>
      </w:r>
      <w:r w:rsidRPr="006568DD">
        <w:rPr>
          <w:rFonts w:ascii="Cambria" w:hAnsi="Cambria"/>
        </w:rPr>
        <w:t xml:space="preserve">, a model was developed (Figure </w:t>
      </w:r>
      <w:r w:rsidR="007D2B7C" w:rsidRPr="006568DD">
        <w:rPr>
          <w:rFonts w:ascii="Cambria" w:hAnsi="Cambria"/>
        </w:rPr>
        <w:t>1</w:t>
      </w:r>
      <w:r w:rsidRPr="006568DD">
        <w:rPr>
          <w:rFonts w:ascii="Cambria" w:hAnsi="Cambria"/>
        </w:rPr>
        <w:t xml:space="preserve">) to identify the primary aspects in achieving energy efficiency improvements in listed pre-1919 housing. Within this model, there is an underpinning of EU and national legislation and policy (blue), and conservation principles (green). Additional factors relate to the occupant (orange) and industry (purple). The model shows overlaps between categories in places, such as the continued usability of the property and prevention of obsolescence. </w:t>
      </w:r>
      <w:r w:rsidR="007D2B7C" w:rsidRPr="006568DD">
        <w:rPr>
          <w:rFonts w:ascii="Cambria" w:hAnsi="Cambria"/>
        </w:rPr>
        <w:t>The validation interviewees confirmed the validity of Figure 1 based on their own experiences.</w:t>
      </w:r>
    </w:p>
    <w:p w14:paraId="4EDF9771" w14:textId="77777777" w:rsidR="00DE3C89" w:rsidRPr="006568DD" w:rsidRDefault="00DE3C89" w:rsidP="00BD25D5">
      <w:pPr>
        <w:jc w:val="both"/>
        <w:rPr>
          <w:rFonts w:ascii="Cambria" w:hAnsi="Cambria"/>
        </w:rPr>
      </w:pPr>
    </w:p>
    <w:p w14:paraId="1033E814" w14:textId="3AA0D3A5" w:rsidR="00DE3C89" w:rsidRPr="006568DD" w:rsidRDefault="007B29DB" w:rsidP="00BD25D5">
      <w:pPr>
        <w:jc w:val="both"/>
        <w:rPr>
          <w:rFonts w:ascii="Cambria" w:hAnsi="Cambria"/>
        </w:rPr>
      </w:pPr>
      <w:r w:rsidRPr="006568DD">
        <w:rPr>
          <w:rFonts w:ascii="Cambria" w:hAnsi="Cambria" w:cs="Arial"/>
          <w:noProof/>
          <w:lang w:eastAsia="en-GB"/>
        </w:rPr>
        <w:t xml:space="preserve">[Figure </w:t>
      </w:r>
      <w:r w:rsidR="007D2B7C" w:rsidRPr="006568DD">
        <w:rPr>
          <w:rFonts w:ascii="Cambria" w:hAnsi="Cambria" w:cs="Arial"/>
          <w:noProof/>
          <w:lang w:eastAsia="en-GB"/>
        </w:rPr>
        <w:t>1</w:t>
      </w:r>
      <w:r w:rsidRPr="006568DD">
        <w:rPr>
          <w:rFonts w:ascii="Cambria" w:hAnsi="Cambria" w:cs="Arial"/>
          <w:noProof/>
          <w:lang w:eastAsia="en-GB"/>
        </w:rPr>
        <w:t>]</w:t>
      </w:r>
    </w:p>
    <w:p w14:paraId="325B1139" w14:textId="46E43BE7" w:rsidR="00DE3C89" w:rsidRPr="00714B37" w:rsidRDefault="0041611E" w:rsidP="00BD25D5">
      <w:pPr>
        <w:pStyle w:val="Heading2"/>
        <w:jc w:val="both"/>
        <w:rPr>
          <w:rFonts w:ascii="Cambria" w:hAnsi="Cambria"/>
          <w:color w:val="auto"/>
          <w:sz w:val="24"/>
          <w:szCs w:val="24"/>
        </w:rPr>
      </w:pPr>
      <w:r w:rsidRPr="00714B37">
        <w:rPr>
          <w:rFonts w:ascii="Cambria" w:hAnsi="Cambria"/>
          <w:color w:val="auto"/>
          <w:sz w:val="24"/>
          <w:szCs w:val="24"/>
        </w:rPr>
        <w:t xml:space="preserve">Discussion </w:t>
      </w:r>
    </w:p>
    <w:p w14:paraId="2EF22D74" w14:textId="37C49044" w:rsidR="00934CF7" w:rsidRPr="006568DD" w:rsidRDefault="00BB3403" w:rsidP="00BD25D5">
      <w:pPr>
        <w:jc w:val="both"/>
        <w:rPr>
          <w:rFonts w:ascii="Cambria" w:hAnsi="Cambria"/>
        </w:rPr>
      </w:pPr>
      <w:r w:rsidRPr="006568DD">
        <w:rPr>
          <w:rFonts w:ascii="Cambria" w:hAnsi="Cambria"/>
        </w:rPr>
        <w:t xml:space="preserve">The study aimed to </w:t>
      </w:r>
      <w:r w:rsidR="002F67F3" w:rsidRPr="006568DD">
        <w:rPr>
          <w:rFonts w:ascii="Cambria" w:hAnsi="Cambria"/>
        </w:rPr>
        <w:t>investigate</w:t>
      </w:r>
      <w:r w:rsidR="00F23DFB" w:rsidRPr="006568DD">
        <w:rPr>
          <w:rFonts w:ascii="Cambria" w:hAnsi="Cambria"/>
        </w:rPr>
        <w:t xml:space="preserve"> the similarities and differences in the drivers and challenges of the energy efficiency of listed pre-1919 housing in Italy and the UK</w:t>
      </w:r>
      <w:r w:rsidRPr="006568DD">
        <w:rPr>
          <w:rFonts w:ascii="Cambria" w:hAnsi="Cambria"/>
        </w:rPr>
        <w:t xml:space="preserve">. </w:t>
      </w:r>
      <w:r w:rsidR="00934CF7" w:rsidRPr="006568DD">
        <w:rPr>
          <w:rFonts w:ascii="Cambria" w:hAnsi="Cambria"/>
        </w:rPr>
        <w:t xml:space="preserve">Both Italy and the UK, countries contribute to similar proportions of existing housing in the EU. Both countries also have a large proportion of </w:t>
      </w:r>
      <w:r w:rsidR="007D2B7C" w:rsidRPr="006568DD">
        <w:rPr>
          <w:rFonts w:ascii="Cambria" w:hAnsi="Cambria"/>
        </w:rPr>
        <w:t xml:space="preserve">pre-1919 </w:t>
      </w:r>
      <w:r w:rsidR="00934CF7" w:rsidRPr="006568DD">
        <w:rPr>
          <w:rFonts w:ascii="Cambria" w:hAnsi="Cambria"/>
        </w:rPr>
        <w:t>housing. Based on modelled energy efficiency performance, pre-1919 housing have low energy performance. Such properties in both countries are usually constructed of solid masonry with single glazed windows.</w:t>
      </w:r>
    </w:p>
    <w:p w14:paraId="3542F011" w14:textId="77777777" w:rsidR="002A2947" w:rsidRPr="006568DD" w:rsidRDefault="002A2947" w:rsidP="00BD25D5">
      <w:pPr>
        <w:jc w:val="both"/>
        <w:rPr>
          <w:rFonts w:ascii="Cambria" w:hAnsi="Cambria"/>
        </w:rPr>
      </w:pPr>
    </w:p>
    <w:p w14:paraId="04FDEF56" w14:textId="321BED48" w:rsidR="002A2947" w:rsidRPr="006568DD" w:rsidRDefault="002A2947" w:rsidP="00BD25D5">
      <w:pPr>
        <w:jc w:val="both"/>
        <w:rPr>
          <w:rFonts w:ascii="Cambria" w:hAnsi="Cambria"/>
        </w:rPr>
      </w:pPr>
      <w:r w:rsidRPr="006568DD">
        <w:rPr>
          <w:rFonts w:ascii="Cambria" w:hAnsi="Cambria"/>
        </w:rPr>
        <w:t>There was a consensus that</w:t>
      </w:r>
      <w:r w:rsidR="007D2B7C" w:rsidRPr="006568DD">
        <w:rPr>
          <w:rFonts w:ascii="Cambria" w:hAnsi="Cambria"/>
        </w:rPr>
        <w:t>, whilst synergies exist,</w:t>
      </w:r>
      <w:r w:rsidRPr="006568DD">
        <w:rPr>
          <w:rFonts w:ascii="Cambria" w:hAnsi="Cambria"/>
        </w:rPr>
        <w:t xml:space="preserve"> the terms ‘sustainability’ and ‘conservation’ were distinct</w:t>
      </w:r>
      <w:r w:rsidR="005A031C" w:rsidRPr="006568DD">
        <w:rPr>
          <w:rFonts w:ascii="Cambria" w:hAnsi="Cambria"/>
        </w:rPr>
        <w:t xml:space="preserve"> from one another</w:t>
      </w:r>
      <w:r w:rsidRPr="006568DD">
        <w:rPr>
          <w:rFonts w:ascii="Cambria" w:hAnsi="Cambria"/>
        </w:rPr>
        <w:t xml:space="preserve">. The former was viewed to apply to environmental considerations and to energy management. The latter was considered to apply to the management and preservation of built cultural heritage. However, the wider definition of ‘sustainability’ appeared to be viewed by interviewees in both the UK and Italy as being complimentary to ‘conservation, the wider definition of ‘sustainability’ encapsulating social and environmental aspects. Despite this, concerns were expressed about </w:t>
      </w:r>
      <w:r w:rsidR="005C05E1" w:rsidRPr="006568DD">
        <w:rPr>
          <w:rFonts w:ascii="Cambria" w:hAnsi="Cambria"/>
        </w:rPr>
        <w:t>balancing these two concepts.</w:t>
      </w:r>
    </w:p>
    <w:p w14:paraId="1BC6754A" w14:textId="77777777" w:rsidR="00934CF7" w:rsidRPr="006568DD" w:rsidRDefault="00934CF7" w:rsidP="00BD25D5">
      <w:pPr>
        <w:jc w:val="both"/>
        <w:rPr>
          <w:rFonts w:ascii="Cambria" w:hAnsi="Cambria"/>
        </w:rPr>
      </w:pPr>
    </w:p>
    <w:p w14:paraId="5FAEB8F0" w14:textId="34BB6284" w:rsidR="007D2B7C" w:rsidRPr="006568DD" w:rsidRDefault="00BB3403" w:rsidP="007D2B7C">
      <w:pPr>
        <w:jc w:val="both"/>
        <w:rPr>
          <w:rFonts w:ascii="Cambria" w:hAnsi="Cambria"/>
        </w:rPr>
      </w:pPr>
      <w:r w:rsidRPr="006568DD">
        <w:rPr>
          <w:rFonts w:ascii="Cambria" w:hAnsi="Cambria"/>
        </w:rPr>
        <w:t>Due to the age and lower mean energy performance of listed pre-1919 housing, intervention to improve their energy performance of this ‘fragile’ stock is required (</w:t>
      </w:r>
      <w:proofErr w:type="spellStart"/>
      <w:r w:rsidRPr="006568DD">
        <w:rPr>
          <w:rFonts w:ascii="Cambria" w:hAnsi="Cambria"/>
        </w:rPr>
        <w:t>Munarim</w:t>
      </w:r>
      <w:proofErr w:type="spellEnd"/>
      <w:r w:rsidRPr="006568DD">
        <w:rPr>
          <w:rFonts w:ascii="Cambria" w:hAnsi="Cambria"/>
        </w:rPr>
        <w:t xml:space="preserve"> and </w:t>
      </w:r>
      <w:proofErr w:type="spellStart"/>
      <w:r w:rsidRPr="006568DD">
        <w:rPr>
          <w:rFonts w:ascii="Cambria" w:hAnsi="Cambria"/>
        </w:rPr>
        <w:t>Ghisi</w:t>
      </w:r>
      <w:proofErr w:type="spellEnd"/>
      <w:r w:rsidRPr="006568DD">
        <w:rPr>
          <w:rFonts w:ascii="Cambria" w:hAnsi="Cambria"/>
        </w:rPr>
        <w:t xml:space="preserve">, 2016). </w:t>
      </w:r>
      <w:r w:rsidR="007D2B7C" w:rsidRPr="006568DD">
        <w:rPr>
          <w:rFonts w:ascii="Cambria" w:hAnsi="Cambria"/>
        </w:rPr>
        <w:t>Whilst</w:t>
      </w:r>
      <w:r w:rsidRPr="006568DD">
        <w:rPr>
          <w:rFonts w:ascii="Cambria" w:hAnsi="Cambria"/>
        </w:rPr>
        <w:t xml:space="preserve"> such buildings are challenging to improve in relation to energy efficiency due to both their physical attributes and the need to protect their significance (</w:t>
      </w:r>
      <w:proofErr w:type="spellStart"/>
      <w:r w:rsidRPr="006568DD">
        <w:rPr>
          <w:rFonts w:ascii="Cambria" w:hAnsi="Cambria"/>
        </w:rPr>
        <w:t>Pianezze</w:t>
      </w:r>
      <w:proofErr w:type="spellEnd"/>
      <w:r w:rsidRPr="006568DD">
        <w:rPr>
          <w:rFonts w:ascii="Cambria" w:hAnsi="Cambria"/>
        </w:rPr>
        <w:t>, 2012)</w:t>
      </w:r>
      <w:r w:rsidR="007D2B7C" w:rsidRPr="006568DD">
        <w:rPr>
          <w:rFonts w:ascii="Cambria" w:hAnsi="Cambria"/>
        </w:rPr>
        <w:t xml:space="preserve">, </w:t>
      </w:r>
      <w:r w:rsidR="007D2B7C" w:rsidRPr="006568DD">
        <w:rPr>
          <w:rFonts w:ascii="Cambria" w:hAnsi="Cambria"/>
          <w:lang w:val="en-US"/>
        </w:rPr>
        <w:t>this should not impede the drive to improve the energy efficiency performance of the historic housing stock. Instead we need to better understand how these properties function.</w:t>
      </w:r>
    </w:p>
    <w:p w14:paraId="026555AF" w14:textId="25E1BA24" w:rsidR="0041611E" w:rsidRPr="006568DD" w:rsidRDefault="0041611E" w:rsidP="00BD25D5">
      <w:pPr>
        <w:jc w:val="both"/>
        <w:rPr>
          <w:rFonts w:ascii="Cambria" w:hAnsi="Cambria"/>
        </w:rPr>
      </w:pPr>
    </w:p>
    <w:p w14:paraId="726C0F28" w14:textId="77777777" w:rsidR="00934CF7" w:rsidRPr="006568DD" w:rsidRDefault="00934CF7" w:rsidP="00BD25D5">
      <w:pPr>
        <w:jc w:val="both"/>
        <w:rPr>
          <w:rFonts w:ascii="Cambria" w:hAnsi="Cambria"/>
        </w:rPr>
      </w:pPr>
    </w:p>
    <w:p w14:paraId="368E55B6" w14:textId="13BF2BC3" w:rsidR="00934CF7" w:rsidRPr="006568DD" w:rsidRDefault="00934CF7" w:rsidP="00BD25D5">
      <w:pPr>
        <w:jc w:val="both"/>
        <w:rPr>
          <w:rFonts w:ascii="Cambria" w:hAnsi="Cambria"/>
        </w:rPr>
      </w:pPr>
      <w:r w:rsidRPr="006568DD">
        <w:rPr>
          <w:rFonts w:ascii="Cambria" w:hAnsi="Cambria"/>
        </w:rPr>
        <w:t xml:space="preserve">Whilst improving the energy efficiency of the existing housing stock has become a central strategy for the EU in improving carbon emissions as reflected in EU directives, </w:t>
      </w:r>
      <w:r w:rsidR="007D2B7C" w:rsidRPr="006568DD">
        <w:rPr>
          <w:rFonts w:ascii="Cambria" w:hAnsi="Cambria"/>
        </w:rPr>
        <w:t xml:space="preserve">listed pre-1919 </w:t>
      </w:r>
      <w:r w:rsidRPr="006568DD">
        <w:rPr>
          <w:rFonts w:ascii="Cambria" w:hAnsi="Cambria"/>
        </w:rPr>
        <w:t>buildings have particular values which result either in them being excluded from this strategy, or the requirements relaxed.</w:t>
      </w:r>
      <w:r w:rsidRPr="006568DD">
        <w:rPr>
          <w:rFonts w:ascii="Cambria" w:hAnsi="Cambria" w:cs="Arial"/>
          <w:sz w:val="20"/>
          <w:szCs w:val="20"/>
        </w:rPr>
        <w:t xml:space="preserve"> </w:t>
      </w:r>
      <w:r w:rsidRPr="006568DD">
        <w:rPr>
          <w:rFonts w:ascii="Cambria" w:hAnsi="Cambria"/>
        </w:rPr>
        <w:t xml:space="preserve">This is as a consequence of such buildings representing particular historic, architectural, cultural, and aesthetic </w:t>
      </w:r>
      <w:proofErr w:type="gramStart"/>
      <w:r w:rsidRPr="006568DD">
        <w:rPr>
          <w:rFonts w:ascii="Cambria" w:hAnsi="Cambria"/>
        </w:rPr>
        <w:t>values which</w:t>
      </w:r>
      <w:proofErr w:type="gramEnd"/>
      <w:r w:rsidRPr="006568DD">
        <w:rPr>
          <w:rFonts w:ascii="Cambria" w:hAnsi="Cambria"/>
        </w:rPr>
        <w:t xml:space="preserve"> require preserving. Indeed, for their sustained use, it may no longer be sufficient to simply maintain these assets; such buildings will need to</w:t>
      </w:r>
      <w:r w:rsidR="007D2B7C" w:rsidRPr="006568DD">
        <w:rPr>
          <w:rFonts w:ascii="Cambria" w:hAnsi="Cambria"/>
        </w:rPr>
        <w:t xml:space="preserve"> be</w:t>
      </w:r>
      <w:r w:rsidRPr="006568DD">
        <w:rPr>
          <w:rFonts w:ascii="Cambria" w:hAnsi="Cambria"/>
        </w:rPr>
        <w:t xml:space="preserve"> adapt</w:t>
      </w:r>
      <w:r w:rsidR="007D2B7C" w:rsidRPr="006568DD">
        <w:rPr>
          <w:rFonts w:ascii="Cambria" w:hAnsi="Cambria"/>
        </w:rPr>
        <w:t>ed</w:t>
      </w:r>
      <w:r w:rsidRPr="006568DD">
        <w:rPr>
          <w:rFonts w:ascii="Cambria" w:hAnsi="Cambria"/>
        </w:rPr>
        <w:t xml:space="preserve"> to ensure their long-term comfort and the affordability their operation in the context of a changing climate.</w:t>
      </w:r>
    </w:p>
    <w:p w14:paraId="0494CDE7" w14:textId="77777777" w:rsidR="0041611E" w:rsidRPr="006568DD" w:rsidRDefault="0041611E" w:rsidP="00BD25D5">
      <w:pPr>
        <w:jc w:val="both"/>
        <w:rPr>
          <w:rFonts w:ascii="Cambria" w:hAnsi="Cambria"/>
        </w:rPr>
      </w:pPr>
    </w:p>
    <w:p w14:paraId="3840DCAF" w14:textId="234462E4" w:rsidR="00753580" w:rsidRPr="006568DD" w:rsidRDefault="00BB3403" w:rsidP="00BD25D5">
      <w:pPr>
        <w:jc w:val="both"/>
        <w:rPr>
          <w:rFonts w:ascii="Cambria" w:hAnsi="Cambria"/>
        </w:rPr>
      </w:pPr>
      <w:r w:rsidRPr="006568DD">
        <w:rPr>
          <w:rFonts w:ascii="Cambria" w:hAnsi="Cambria"/>
        </w:rPr>
        <w:t xml:space="preserve">The empirical data </w:t>
      </w:r>
      <w:r w:rsidR="00EE571E" w:rsidRPr="006568DD">
        <w:rPr>
          <w:rFonts w:ascii="Cambria" w:hAnsi="Cambria"/>
        </w:rPr>
        <w:t>showed that the key drivers for improving the energy efficiency of listed pre-1919 housing in Italy and the UK was to enhance thermal comfort and save money on energy bills</w:t>
      </w:r>
      <w:r w:rsidR="003E690C" w:rsidRPr="006568DD">
        <w:rPr>
          <w:rFonts w:ascii="Cambria" w:hAnsi="Cambria"/>
        </w:rPr>
        <w:t xml:space="preserve">, supporting Organ (2015) and Fawcett and </w:t>
      </w:r>
      <w:proofErr w:type="spellStart"/>
      <w:r w:rsidR="003E690C" w:rsidRPr="006568DD">
        <w:rPr>
          <w:rFonts w:ascii="Cambria" w:hAnsi="Cambria"/>
        </w:rPr>
        <w:t>Killip</w:t>
      </w:r>
      <w:proofErr w:type="spellEnd"/>
      <w:r w:rsidR="003E690C" w:rsidRPr="006568DD">
        <w:rPr>
          <w:rFonts w:ascii="Cambria" w:hAnsi="Cambria"/>
        </w:rPr>
        <w:t xml:space="preserve"> (2014)</w:t>
      </w:r>
      <w:r w:rsidR="00EE571E" w:rsidRPr="006568DD">
        <w:rPr>
          <w:rFonts w:ascii="Cambria" w:hAnsi="Cambria"/>
        </w:rPr>
        <w:t>. UK participants also noted the desire to increase resale value as an additional driver for performing works</w:t>
      </w:r>
      <w:r w:rsidR="00F23DFB" w:rsidRPr="006568DD">
        <w:rPr>
          <w:rFonts w:ascii="Cambria" w:hAnsi="Cambria"/>
        </w:rPr>
        <w:t xml:space="preserve">. </w:t>
      </w:r>
    </w:p>
    <w:p w14:paraId="58287449" w14:textId="77777777" w:rsidR="00C75734" w:rsidRPr="006568DD" w:rsidRDefault="00C75734" w:rsidP="00BD25D5">
      <w:pPr>
        <w:jc w:val="both"/>
        <w:rPr>
          <w:rFonts w:ascii="Cambria" w:hAnsi="Cambria"/>
        </w:rPr>
      </w:pPr>
    </w:p>
    <w:p w14:paraId="5BABDAA7" w14:textId="0D460A0C" w:rsidR="0041611E" w:rsidRPr="006568DD" w:rsidRDefault="00C75734" w:rsidP="00BD25D5">
      <w:pPr>
        <w:jc w:val="both"/>
        <w:rPr>
          <w:rFonts w:ascii="Cambria" w:hAnsi="Cambria"/>
        </w:rPr>
      </w:pPr>
      <w:r w:rsidRPr="006568DD">
        <w:rPr>
          <w:rFonts w:ascii="Cambria" w:hAnsi="Cambria"/>
        </w:rPr>
        <w:t xml:space="preserve">There are a number of challenges in improving the energy efficiency in listed pre-1919 housing. This extends beyond the need to balance conservation with energy efficiency without imposing unintended consequences to identifying </w:t>
      </w:r>
      <w:r w:rsidRPr="006568DD">
        <w:rPr>
          <w:rFonts w:ascii="Cambria" w:hAnsi="Cambria"/>
          <w:i/>
        </w:rPr>
        <w:t>how</w:t>
      </w:r>
      <w:r w:rsidRPr="006568DD">
        <w:rPr>
          <w:rFonts w:ascii="Cambria" w:hAnsi="Cambria"/>
        </w:rPr>
        <w:t xml:space="preserve"> this balance is to be achieved. </w:t>
      </w:r>
    </w:p>
    <w:p w14:paraId="56EA62D4" w14:textId="77777777" w:rsidR="00522119" w:rsidRPr="006568DD" w:rsidRDefault="00522119" w:rsidP="00BD25D5">
      <w:pPr>
        <w:jc w:val="both"/>
        <w:rPr>
          <w:rFonts w:ascii="Cambria" w:hAnsi="Cambria"/>
        </w:rPr>
      </w:pPr>
    </w:p>
    <w:p w14:paraId="50936163" w14:textId="6AB7D9A8" w:rsidR="00C75734" w:rsidRPr="006568DD" w:rsidRDefault="00254302" w:rsidP="00BD25D5">
      <w:pPr>
        <w:jc w:val="both"/>
        <w:rPr>
          <w:rFonts w:ascii="Cambria" w:hAnsi="Cambria"/>
        </w:rPr>
      </w:pPr>
      <w:r w:rsidRPr="006568DD">
        <w:rPr>
          <w:rFonts w:ascii="Cambria" w:hAnsi="Cambria"/>
        </w:rPr>
        <w:t xml:space="preserve">A </w:t>
      </w:r>
      <w:r w:rsidR="00C75734" w:rsidRPr="006568DD">
        <w:rPr>
          <w:rFonts w:ascii="Cambria" w:hAnsi="Cambria"/>
        </w:rPr>
        <w:t xml:space="preserve">challenge exists in relation to the current theoretical modelling of the performance of </w:t>
      </w:r>
      <w:r w:rsidR="007D2B7C" w:rsidRPr="006568DD">
        <w:rPr>
          <w:rFonts w:ascii="Cambria" w:hAnsi="Cambria"/>
        </w:rPr>
        <w:t xml:space="preserve">pre-1919 </w:t>
      </w:r>
      <w:r w:rsidR="00C75734" w:rsidRPr="006568DD">
        <w:rPr>
          <w:rFonts w:ascii="Cambria" w:hAnsi="Cambria"/>
        </w:rPr>
        <w:t xml:space="preserve">properties, which does not reflect historic buildings’ actual performance </w:t>
      </w:r>
      <w:r w:rsidR="007D2B7C" w:rsidRPr="006568DD">
        <w:rPr>
          <w:rFonts w:ascii="Cambria" w:hAnsi="Cambria"/>
        </w:rPr>
        <w:t xml:space="preserve">of these buildings </w:t>
      </w:r>
      <w:r w:rsidR="00C75734" w:rsidRPr="006568DD">
        <w:rPr>
          <w:rFonts w:ascii="Cambria" w:hAnsi="Cambria"/>
        </w:rPr>
        <w:t xml:space="preserve">in-situ. This can result in their energy efficiency performance being under-reported, and therefore this will not provide a true representation of these properties. </w:t>
      </w:r>
      <w:r w:rsidRPr="006568DD">
        <w:rPr>
          <w:rFonts w:ascii="Cambria" w:hAnsi="Cambria"/>
        </w:rPr>
        <w:t>To take this performance gap into consideration, changes are being made to the U-value for solid walls in the UK (</w:t>
      </w:r>
      <w:r w:rsidR="00106CBA" w:rsidRPr="006568DD">
        <w:rPr>
          <w:rFonts w:ascii="Cambria" w:hAnsi="Cambria"/>
        </w:rPr>
        <w:t>Building Research Establishment, 2016</w:t>
      </w:r>
      <w:r w:rsidRPr="006568DD">
        <w:rPr>
          <w:rFonts w:ascii="Cambria" w:hAnsi="Cambria"/>
        </w:rPr>
        <w:t xml:space="preserve">). </w:t>
      </w:r>
      <w:r w:rsidR="00C75734" w:rsidRPr="006568DD">
        <w:rPr>
          <w:rFonts w:ascii="Cambria" w:hAnsi="Cambria"/>
        </w:rPr>
        <w:t xml:space="preserve">It is necessary to understand the actual performance of a </w:t>
      </w:r>
      <w:proofErr w:type="gramStart"/>
      <w:r w:rsidR="00C75734" w:rsidRPr="006568DD">
        <w:rPr>
          <w:rFonts w:ascii="Cambria" w:hAnsi="Cambria"/>
        </w:rPr>
        <w:t>building</w:t>
      </w:r>
      <w:proofErr w:type="gramEnd"/>
      <w:r w:rsidR="00C75734" w:rsidRPr="006568DD">
        <w:rPr>
          <w:rFonts w:ascii="Cambria" w:hAnsi="Cambria"/>
        </w:rPr>
        <w:t xml:space="preserve"> as this will inform the decisions made in relation to its energy efficiency upgrade. Further, whilst less invasive measures are promoted for </w:t>
      </w:r>
      <w:r w:rsidR="007D2B7C" w:rsidRPr="006568DD">
        <w:rPr>
          <w:rFonts w:ascii="Cambria" w:hAnsi="Cambria"/>
        </w:rPr>
        <w:t xml:space="preserve">listed pre-1919 </w:t>
      </w:r>
      <w:r w:rsidR="00C75734" w:rsidRPr="006568DD">
        <w:rPr>
          <w:rFonts w:ascii="Cambria" w:hAnsi="Cambria"/>
        </w:rPr>
        <w:t xml:space="preserve">housing such as heavy curtains and shutters, the most commonly used calculation of energy performance – SAP, which EPCs are based on, does not take features such as shutters into account within the calculations. </w:t>
      </w:r>
      <w:r w:rsidR="007D2B7C" w:rsidRPr="006568DD">
        <w:rPr>
          <w:rFonts w:ascii="Cambria" w:hAnsi="Cambria"/>
        </w:rPr>
        <w:t>Whilst these measures relate to building physics effects, it may be necessary to better recognise of the role they may need to play in listed pre-1919 where the installation of more intrusive measures may not be appropriate.</w:t>
      </w:r>
    </w:p>
    <w:p w14:paraId="2D360B2A" w14:textId="77777777" w:rsidR="00C75734" w:rsidRPr="006568DD" w:rsidRDefault="00C75734" w:rsidP="00BD25D5">
      <w:pPr>
        <w:pStyle w:val="ListParagraph"/>
        <w:jc w:val="both"/>
        <w:rPr>
          <w:rFonts w:ascii="Cambria" w:hAnsi="Cambria"/>
        </w:rPr>
      </w:pPr>
    </w:p>
    <w:p w14:paraId="6950AADF" w14:textId="0CEEC377" w:rsidR="00F23DFB" w:rsidRPr="006568DD" w:rsidRDefault="00F23DFB" w:rsidP="00BD25D5">
      <w:pPr>
        <w:jc w:val="both"/>
        <w:rPr>
          <w:rFonts w:ascii="Cambria" w:hAnsi="Cambria"/>
        </w:rPr>
      </w:pPr>
      <w:r w:rsidRPr="006568DD">
        <w:rPr>
          <w:rFonts w:ascii="Cambria" w:hAnsi="Cambria"/>
        </w:rPr>
        <w:t xml:space="preserve">Greater availability of appropriately skilled professionals is needed to advise and work with listed pre-1919 housing to improve the energy efficiency of this type of property. Such professionals are needed to work with the homeowner to develop less intrusive solutions for upgrading the property. This may require additional training of those working directly with </w:t>
      </w:r>
      <w:r w:rsidR="007D2B7C" w:rsidRPr="006568DD">
        <w:rPr>
          <w:rFonts w:ascii="Cambria" w:hAnsi="Cambria"/>
        </w:rPr>
        <w:t xml:space="preserve">listed houses </w:t>
      </w:r>
      <w:r w:rsidRPr="006568DD">
        <w:rPr>
          <w:rFonts w:ascii="Cambria" w:hAnsi="Cambria"/>
        </w:rPr>
        <w:t xml:space="preserve">assets. The level of communication between stakeholders and entering a professional dialogue were also identified in the qualitative data as </w:t>
      </w:r>
      <w:proofErr w:type="gramStart"/>
      <w:r w:rsidRPr="006568DD">
        <w:rPr>
          <w:rFonts w:ascii="Cambria" w:hAnsi="Cambria"/>
        </w:rPr>
        <w:t>challenges which require addressing</w:t>
      </w:r>
      <w:r w:rsidR="000848CA" w:rsidRPr="006568DD">
        <w:rPr>
          <w:rFonts w:ascii="Cambria" w:hAnsi="Cambria"/>
        </w:rPr>
        <w:t>, supporting findings</w:t>
      </w:r>
      <w:proofErr w:type="gramEnd"/>
      <w:r w:rsidR="000848CA" w:rsidRPr="006568DD">
        <w:rPr>
          <w:rFonts w:ascii="Cambria" w:hAnsi="Cambria"/>
        </w:rPr>
        <w:t xml:space="preserve"> by </w:t>
      </w:r>
      <w:proofErr w:type="spellStart"/>
      <w:r w:rsidR="000848CA" w:rsidRPr="006568DD">
        <w:rPr>
          <w:rFonts w:ascii="Cambria" w:hAnsi="Cambria"/>
        </w:rPr>
        <w:t>Sunikka</w:t>
      </w:r>
      <w:proofErr w:type="spellEnd"/>
      <w:r w:rsidR="000848CA" w:rsidRPr="006568DD">
        <w:rPr>
          <w:rFonts w:ascii="Cambria" w:hAnsi="Cambria"/>
        </w:rPr>
        <w:t>-Blank and Galvin (2016)</w:t>
      </w:r>
      <w:r w:rsidRPr="006568DD">
        <w:rPr>
          <w:rFonts w:ascii="Cambria" w:hAnsi="Cambria"/>
        </w:rPr>
        <w:t xml:space="preserve">. This may require a change in culture amongst those working in improving the energy performance of our </w:t>
      </w:r>
      <w:r w:rsidR="007D2B7C" w:rsidRPr="006568DD">
        <w:rPr>
          <w:rFonts w:ascii="Cambria" w:hAnsi="Cambria"/>
        </w:rPr>
        <w:t xml:space="preserve">listed and non-listed pre-1919 </w:t>
      </w:r>
      <w:r w:rsidRPr="006568DD">
        <w:rPr>
          <w:rFonts w:ascii="Cambria" w:hAnsi="Cambria"/>
        </w:rPr>
        <w:t>housing to enable greater collaboration.</w:t>
      </w:r>
    </w:p>
    <w:p w14:paraId="7174F69E" w14:textId="77777777" w:rsidR="00F23DFB" w:rsidRPr="006568DD" w:rsidRDefault="00F23DFB" w:rsidP="00BD25D5">
      <w:pPr>
        <w:jc w:val="both"/>
        <w:rPr>
          <w:rFonts w:ascii="Cambria" w:hAnsi="Cambria"/>
        </w:rPr>
      </w:pPr>
    </w:p>
    <w:p w14:paraId="76A990F4" w14:textId="34AD8E82" w:rsidR="003A0E67" w:rsidRPr="006568DD" w:rsidRDefault="00D03BE9" w:rsidP="00BD25D5">
      <w:pPr>
        <w:jc w:val="both"/>
        <w:rPr>
          <w:rFonts w:ascii="Cambria" w:hAnsi="Cambria"/>
        </w:rPr>
      </w:pPr>
      <w:r w:rsidRPr="006568DD">
        <w:rPr>
          <w:rFonts w:ascii="Cambria" w:hAnsi="Cambria"/>
        </w:rPr>
        <w:t>T</w:t>
      </w:r>
      <w:r w:rsidR="00C75734" w:rsidRPr="006568DD">
        <w:rPr>
          <w:rFonts w:ascii="Cambria" w:hAnsi="Cambria"/>
        </w:rPr>
        <w:t>he</w:t>
      </w:r>
      <w:r w:rsidRPr="006568DD">
        <w:rPr>
          <w:rFonts w:ascii="Cambria" w:hAnsi="Cambria"/>
        </w:rPr>
        <w:t>re needs to be consideration in relation to the</w:t>
      </w:r>
      <w:r w:rsidR="00C75734" w:rsidRPr="006568DD">
        <w:rPr>
          <w:rFonts w:ascii="Cambria" w:hAnsi="Cambria"/>
        </w:rPr>
        <w:t xml:space="preserve"> selection of measures which comply with conservation principles such as reversibility and minimal interference with the fabric, which do not detract from the values of the </w:t>
      </w:r>
      <w:r w:rsidR="007D2B7C" w:rsidRPr="006568DD">
        <w:rPr>
          <w:rFonts w:ascii="Cambria" w:hAnsi="Cambria"/>
        </w:rPr>
        <w:t>listed pre-1919 housing</w:t>
      </w:r>
      <w:r w:rsidR="00C75734" w:rsidRPr="006568DD">
        <w:rPr>
          <w:rFonts w:ascii="Cambria" w:hAnsi="Cambria"/>
        </w:rPr>
        <w:t xml:space="preserve"> or cause damage to the building. </w:t>
      </w:r>
      <w:r w:rsidR="003A0E67" w:rsidRPr="006568DD">
        <w:rPr>
          <w:rFonts w:ascii="Cambria" w:hAnsi="Cambria"/>
        </w:rPr>
        <w:t>T</w:t>
      </w:r>
      <w:r w:rsidR="003A0E67" w:rsidRPr="006568DD">
        <w:rPr>
          <w:rFonts w:ascii="Cambria" w:hAnsi="Cambria" w:cs="Calibri"/>
          <w:lang w:val="en-US"/>
        </w:rPr>
        <w:t xml:space="preserve">his is where smart technology could be adopted to enhance energy efficiency of a home whilst reducing the level of intervention required to improve the property’s energy efficiency performance. </w:t>
      </w:r>
      <w:proofErr w:type="spellStart"/>
      <w:r w:rsidR="003A0E67" w:rsidRPr="006568DD">
        <w:rPr>
          <w:rFonts w:ascii="Cambria" w:hAnsi="Cambria" w:cs="Calibri"/>
          <w:lang w:val="en-US"/>
        </w:rPr>
        <w:t>Kramers</w:t>
      </w:r>
      <w:proofErr w:type="spellEnd"/>
      <w:r w:rsidR="003A0E67" w:rsidRPr="006568DD">
        <w:rPr>
          <w:rFonts w:ascii="Cambria" w:hAnsi="Cambria" w:cs="Calibri"/>
          <w:lang w:val="en-US"/>
        </w:rPr>
        <w:t xml:space="preserve"> et al. (2014) highlights the potential for smart technology to be adopted in housing for lighting and heating. In </w:t>
      </w:r>
      <w:r w:rsidR="00D84F57" w:rsidRPr="006568DD">
        <w:rPr>
          <w:rFonts w:ascii="Cambria" w:hAnsi="Cambria" w:cs="Calibri"/>
          <w:lang w:val="en-US"/>
        </w:rPr>
        <w:t xml:space="preserve">pre-1919 </w:t>
      </w:r>
      <w:r w:rsidR="003A0E67" w:rsidRPr="006568DD">
        <w:rPr>
          <w:rFonts w:ascii="Cambria" w:hAnsi="Cambria" w:cs="Calibri"/>
          <w:lang w:val="en-US"/>
        </w:rPr>
        <w:t xml:space="preserve">housing, there is also the potential for this technology to help maintain a healthy environment and, therefore healthy building fabric. If intuitive smart technology can be adopted to learn occupier preferences and habits, this could help to </w:t>
      </w:r>
      <w:r w:rsidR="006C418D" w:rsidRPr="006568DD">
        <w:rPr>
          <w:rFonts w:ascii="Cambria" w:hAnsi="Cambria" w:cs="Calibri"/>
          <w:lang w:val="en-US"/>
        </w:rPr>
        <w:t>reduce</w:t>
      </w:r>
      <w:r w:rsidR="003A0E67" w:rsidRPr="006568DD">
        <w:rPr>
          <w:rFonts w:ascii="Cambria" w:hAnsi="Cambria" w:cs="Calibri"/>
          <w:lang w:val="en-US"/>
        </w:rPr>
        <w:t xml:space="preserve"> heating ‘peaks and troughs’. </w:t>
      </w:r>
      <w:r w:rsidR="006C418D" w:rsidRPr="006568DD">
        <w:rPr>
          <w:rFonts w:ascii="Cambria" w:hAnsi="Cambria" w:cs="Calibri"/>
          <w:lang w:val="en-US"/>
        </w:rPr>
        <w:t>S</w:t>
      </w:r>
      <w:r w:rsidR="003A0E67" w:rsidRPr="006568DD">
        <w:rPr>
          <w:rFonts w:ascii="Cambria" w:hAnsi="Cambria" w:cs="Calibri"/>
          <w:lang w:val="en-US"/>
        </w:rPr>
        <w:t>mart technology</w:t>
      </w:r>
      <w:r w:rsidR="006C418D" w:rsidRPr="006568DD">
        <w:rPr>
          <w:rFonts w:ascii="Cambria" w:hAnsi="Cambria" w:cs="Calibri"/>
          <w:lang w:val="en-US"/>
        </w:rPr>
        <w:t xml:space="preserve"> and intelligent controls are</w:t>
      </w:r>
      <w:r w:rsidR="003A0E67" w:rsidRPr="006568DD">
        <w:rPr>
          <w:rFonts w:ascii="Cambria" w:hAnsi="Cambria" w:cs="Calibri"/>
          <w:lang w:val="en-US"/>
        </w:rPr>
        <w:t xml:space="preserve"> able to </w:t>
      </w:r>
      <w:r w:rsidR="006C418D" w:rsidRPr="006568DD">
        <w:rPr>
          <w:rFonts w:ascii="Cambria" w:hAnsi="Cambria" w:cs="Calibri"/>
          <w:lang w:val="en-US"/>
        </w:rPr>
        <w:t xml:space="preserve">improve efficiency, increase thermal comfort and potentially save energy. </w:t>
      </w:r>
      <w:r w:rsidR="00391D62" w:rsidRPr="006568DD">
        <w:rPr>
          <w:rFonts w:ascii="Cambria" w:hAnsi="Cambria" w:cs="Calibri"/>
          <w:lang w:val="en-US"/>
        </w:rPr>
        <w:t xml:space="preserve">This could form part of a smart thermal grid within which there is a need for low-temperature </w:t>
      </w:r>
      <w:r w:rsidR="006C418D" w:rsidRPr="006568DD">
        <w:rPr>
          <w:rFonts w:ascii="Cambria" w:hAnsi="Cambria" w:cs="Calibri"/>
          <w:lang w:val="en-US"/>
        </w:rPr>
        <w:t>district heating (Lund et al., 2014).</w:t>
      </w:r>
    </w:p>
    <w:p w14:paraId="622AE4BD" w14:textId="77777777" w:rsidR="003A0E67" w:rsidRPr="006568DD" w:rsidRDefault="003A0E67" w:rsidP="00BD25D5">
      <w:pPr>
        <w:jc w:val="both"/>
        <w:rPr>
          <w:rFonts w:ascii="Cambria" w:hAnsi="Cambria"/>
        </w:rPr>
      </w:pPr>
    </w:p>
    <w:p w14:paraId="6D8EF5A2" w14:textId="30FCEE91" w:rsidR="00C75734" w:rsidRPr="006568DD" w:rsidRDefault="003A0E67" w:rsidP="00BD25D5">
      <w:pPr>
        <w:jc w:val="both"/>
        <w:rPr>
          <w:rFonts w:ascii="Cambria" w:hAnsi="Cambria"/>
        </w:rPr>
      </w:pPr>
      <w:r w:rsidRPr="006568DD">
        <w:rPr>
          <w:rFonts w:ascii="Cambria" w:hAnsi="Cambria"/>
        </w:rPr>
        <w:t xml:space="preserve">Limiting physical intervention </w:t>
      </w:r>
      <w:r w:rsidR="00C75734" w:rsidRPr="006568DD">
        <w:rPr>
          <w:rFonts w:ascii="Cambria" w:hAnsi="Cambria"/>
        </w:rPr>
        <w:t xml:space="preserve">also </w:t>
      </w:r>
      <w:r w:rsidR="00D84F57" w:rsidRPr="006568DD">
        <w:rPr>
          <w:rFonts w:ascii="Cambria" w:hAnsi="Cambria"/>
        </w:rPr>
        <w:t xml:space="preserve">relates </w:t>
      </w:r>
      <w:r w:rsidR="00C75734" w:rsidRPr="006568DD">
        <w:rPr>
          <w:rFonts w:ascii="Cambria" w:hAnsi="Cambria"/>
        </w:rPr>
        <w:t xml:space="preserve">to homeowner aversion to damaging the character of their home, which may reduce the resale value of their property. This highlights the need to develop holistic solutions to improve the energy efficiency of </w:t>
      </w:r>
      <w:r w:rsidR="00D84F57" w:rsidRPr="006568DD">
        <w:rPr>
          <w:rFonts w:ascii="Cambria" w:hAnsi="Cambria"/>
        </w:rPr>
        <w:t xml:space="preserve">listed pre-1919 </w:t>
      </w:r>
      <w:proofErr w:type="gramStart"/>
      <w:r w:rsidR="00C75734" w:rsidRPr="006568DD">
        <w:rPr>
          <w:rFonts w:ascii="Cambria" w:hAnsi="Cambria"/>
        </w:rPr>
        <w:t>housing which</w:t>
      </w:r>
      <w:proofErr w:type="gramEnd"/>
      <w:r w:rsidR="00C75734" w:rsidRPr="006568DD">
        <w:rPr>
          <w:rFonts w:ascii="Cambria" w:hAnsi="Cambria"/>
        </w:rPr>
        <w:t xml:space="preserve"> can be reversed, retain heritage values and the character of the building. The aspect of resale value is an important one as, unlike the Italian interviewees, this was a consideration raised by UK interviewees, who indicated the desire to enhance both their home aesthetics and energy efficiency to improve the resale value. </w:t>
      </w:r>
      <w:proofErr w:type="spellStart"/>
      <w:r w:rsidR="000848CA" w:rsidRPr="006568DD">
        <w:rPr>
          <w:rFonts w:ascii="Cambria" w:hAnsi="Cambria"/>
        </w:rPr>
        <w:t>Fuerst</w:t>
      </w:r>
      <w:proofErr w:type="spellEnd"/>
      <w:r w:rsidR="00A17800" w:rsidRPr="006568DD">
        <w:rPr>
          <w:rFonts w:ascii="Cambria" w:hAnsi="Cambria"/>
        </w:rPr>
        <w:t xml:space="preserve"> </w:t>
      </w:r>
      <w:r w:rsidR="00A17800" w:rsidRPr="006568DD">
        <w:rPr>
          <w:rFonts w:ascii="Cambria" w:hAnsi="Cambria"/>
          <w:i/>
        </w:rPr>
        <w:t>et al.</w:t>
      </w:r>
      <w:r w:rsidR="00A17800" w:rsidRPr="006568DD">
        <w:rPr>
          <w:rFonts w:ascii="Cambria" w:hAnsi="Cambria"/>
        </w:rPr>
        <w:t xml:space="preserve"> </w:t>
      </w:r>
      <w:r w:rsidR="000848CA" w:rsidRPr="006568DD">
        <w:rPr>
          <w:rFonts w:ascii="Cambria" w:hAnsi="Cambria"/>
        </w:rPr>
        <w:t xml:space="preserve">(2015) identified a positive relationship between higher energy efficiency ratings and transaction price for houses in England, supporting the present study’s interviewees’ perception that energy efficiency improvements can affect the resale value of their homes. </w:t>
      </w:r>
      <w:r w:rsidR="005D654E" w:rsidRPr="006568DD">
        <w:rPr>
          <w:rFonts w:ascii="Cambria" w:hAnsi="Cambria"/>
        </w:rPr>
        <w:t>Research undertaken on housing in the United Stated suggests that energy efficiency improvements can increase the value of the average residential property by 2% (</w:t>
      </w:r>
      <w:proofErr w:type="spellStart"/>
      <w:r w:rsidR="005D654E" w:rsidRPr="006568DD">
        <w:rPr>
          <w:rFonts w:ascii="Cambria" w:hAnsi="Cambria"/>
        </w:rPr>
        <w:t>Jafa</w:t>
      </w:r>
      <w:r w:rsidR="000848CA" w:rsidRPr="006568DD">
        <w:rPr>
          <w:rFonts w:ascii="Cambria" w:hAnsi="Cambria"/>
        </w:rPr>
        <w:t>ri</w:t>
      </w:r>
      <w:proofErr w:type="spellEnd"/>
      <w:r w:rsidR="00A17800" w:rsidRPr="006568DD">
        <w:rPr>
          <w:rFonts w:ascii="Cambria" w:hAnsi="Cambria"/>
        </w:rPr>
        <w:t xml:space="preserve"> </w:t>
      </w:r>
      <w:r w:rsidR="00A17800" w:rsidRPr="006568DD">
        <w:rPr>
          <w:rFonts w:ascii="Cambria" w:hAnsi="Cambria"/>
          <w:i/>
        </w:rPr>
        <w:t>et al.</w:t>
      </w:r>
      <w:r w:rsidR="00A17800" w:rsidRPr="006568DD">
        <w:rPr>
          <w:rFonts w:ascii="Cambria" w:hAnsi="Cambria"/>
        </w:rPr>
        <w:t xml:space="preserve">, </w:t>
      </w:r>
      <w:r w:rsidR="000848CA" w:rsidRPr="006568DD">
        <w:rPr>
          <w:rFonts w:ascii="Cambria" w:hAnsi="Cambria"/>
        </w:rPr>
        <w:t xml:space="preserve">2017), suggesting that this </w:t>
      </w:r>
      <w:r w:rsidR="00D84F57" w:rsidRPr="006568DD">
        <w:rPr>
          <w:rFonts w:ascii="Cambria" w:hAnsi="Cambria"/>
        </w:rPr>
        <w:t xml:space="preserve">potential impact on resale value </w:t>
      </w:r>
      <w:r w:rsidR="000848CA" w:rsidRPr="006568DD">
        <w:rPr>
          <w:rFonts w:ascii="Cambria" w:hAnsi="Cambria"/>
        </w:rPr>
        <w:t>extends beyond the UK.</w:t>
      </w:r>
    </w:p>
    <w:p w14:paraId="77963EAF" w14:textId="77777777" w:rsidR="00D03BE9" w:rsidRPr="006568DD" w:rsidRDefault="00D03BE9" w:rsidP="00BD25D5">
      <w:pPr>
        <w:jc w:val="both"/>
        <w:rPr>
          <w:rFonts w:ascii="Cambria" w:hAnsi="Cambria"/>
        </w:rPr>
      </w:pPr>
    </w:p>
    <w:p w14:paraId="2BE73194" w14:textId="16CDBA06" w:rsidR="00C75734" w:rsidRPr="006568DD" w:rsidRDefault="00254302" w:rsidP="00BD25D5">
      <w:pPr>
        <w:jc w:val="both"/>
        <w:rPr>
          <w:rFonts w:ascii="Cambria" w:hAnsi="Cambria"/>
        </w:rPr>
      </w:pPr>
      <w:r w:rsidRPr="006568DD">
        <w:rPr>
          <w:rFonts w:ascii="Cambria" w:hAnsi="Cambria"/>
        </w:rPr>
        <w:t>T</w:t>
      </w:r>
      <w:r w:rsidR="00C75734" w:rsidRPr="006568DD">
        <w:rPr>
          <w:rFonts w:ascii="Cambria" w:hAnsi="Cambria"/>
        </w:rPr>
        <w:t>he payback period</w:t>
      </w:r>
      <w:r w:rsidRPr="006568DD">
        <w:rPr>
          <w:rFonts w:ascii="Cambria" w:hAnsi="Cambria"/>
        </w:rPr>
        <w:t xml:space="preserve"> for energy efficiency improvements</w:t>
      </w:r>
      <w:r w:rsidR="00C75734" w:rsidRPr="006568DD">
        <w:rPr>
          <w:rFonts w:ascii="Cambria" w:hAnsi="Cambria"/>
        </w:rPr>
        <w:t xml:space="preserve"> must be</w:t>
      </w:r>
      <w:r w:rsidRPr="006568DD">
        <w:rPr>
          <w:rFonts w:ascii="Cambria" w:hAnsi="Cambria"/>
        </w:rPr>
        <w:t xml:space="preserve"> a sufficiently attractive one. However, </w:t>
      </w:r>
      <w:r w:rsidR="00C75734" w:rsidRPr="006568DD">
        <w:rPr>
          <w:rFonts w:ascii="Cambria" w:hAnsi="Cambria"/>
        </w:rPr>
        <w:t xml:space="preserve">this will be affected by </w:t>
      </w:r>
      <w:r w:rsidRPr="006568DD">
        <w:rPr>
          <w:rFonts w:ascii="Cambria" w:hAnsi="Cambria"/>
        </w:rPr>
        <w:t>user</w:t>
      </w:r>
      <w:r w:rsidR="00C75734" w:rsidRPr="006568DD">
        <w:rPr>
          <w:rFonts w:ascii="Cambria" w:hAnsi="Cambria"/>
        </w:rPr>
        <w:t xml:space="preserve"> behaviour. This</w:t>
      </w:r>
      <w:r w:rsidRPr="006568DD">
        <w:rPr>
          <w:rFonts w:ascii="Cambria" w:hAnsi="Cambria"/>
        </w:rPr>
        <w:t xml:space="preserve"> uncertainty regarding the payback period</w:t>
      </w:r>
      <w:r w:rsidR="00C75734" w:rsidRPr="006568DD">
        <w:rPr>
          <w:rFonts w:ascii="Cambria" w:hAnsi="Cambria"/>
        </w:rPr>
        <w:t xml:space="preserve"> contributes to a homeowners’ uncertainty regarding outcomes</w:t>
      </w:r>
      <w:r w:rsidRPr="006568DD">
        <w:rPr>
          <w:rFonts w:ascii="Cambria" w:hAnsi="Cambria"/>
        </w:rPr>
        <w:t>. Al</w:t>
      </w:r>
      <w:r w:rsidR="00C75734" w:rsidRPr="006568DD">
        <w:rPr>
          <w:rFonts w:ascii="Cambria" w:hAnsi="Cambria"/>
        </w:rPr>
        <w:t xml:space="preserve">though </w:t>
      </w:r>
      <w:r w:rsidR="004520BE" w:rsidRPr="006568DD">
        <w:rPr>
          <w:rFonts w:ascii="Cambria" w:hAnsi="Cambria"/>
        </w:rPr>
        <w:t>outcomes</w:t>
      </w:r>
      <w:r w:rsidRPr="006568DD">
        <w:rPr>
          <w:rFonts w:ascii="Cambria" w:hAnsi="Cambria"/>
        </w:rPr>
        <w:t xml:space="preserve"> </w:t>
      </w:r>
      <w:r w:rsidR="00C75734" w:rsidRPr="006568DD">
        <w:rPr>
          <w:rFonts w:ascii="Cambria" w:hAnsi="Cambria"/>
        </w:rPr>
        <w:t xml:space="preserve">can be difficult to predict, </w:t>
      </w:r>
      <w:r w:rsidR="004520BE" w:rsidRPr="006568DD">
        <w:rPr>
          <w:rFonts w:ascii="Cambria" w:hAnsi="Cambria"/>
        </w:rPr>
        <w:t xml:space="preserve">this </w:t>
      </w:r>
      <w:r w:rsidR="00C75734" w:rsidRPr="006568DD">
        <w:rPr>
          <w:rFonts w:ascii="Cambria" w:hAnsi="Cambria"/>
        </w:rPr>
        <w:t>needs greater certainty to induce greater action</w:t>
      </w:r>
      <w:r w:rsidR="004520BE" w:rsidRPr="006568DD">
        <w:rPr>
          <w:rFonts w:ascii="Cambria" w:hAnsi="Cambria"/>
        </w:rPr>
        <w:t xml:space="preserve"> amongst owner-occupiers</w:t>
      </w:r>
      <w:r w:rsidR="00C75734" w:rsidRPr="006568DD">
        <w:rPr>
          <w:rFonts w:ascii="Cambria" w:hAnsi="Cambria"/>
        </w:rPr>
        <w:t>. This can be guided to a greater extent by what professionals communicate with homeowners as the outcome of the works, without exaggerating what will be achieved. It is the level of achievable energy savings that needs greater clarification, although this will be impacted by the rebound effect.</w:t>
      </w:r>
    </w:p>
    <w:p w14:paraId="51A90293" w14:textId="77777777" w:rsidR="00C75734" w:rsidRPr="006568DD" w:rsidRDefault="00C75734" w:rsidP="00BD25D5">
      <w:pPr>
        <w:jc w:val="both"/>
        <w:rPr>
          <w:rFonts w:ascii="Cambria" w:hAnsi="Cambria"/>
        </w:rPr>
      </w:pPr>
    </w:p>
    <w:p w14:paraId="75886C96" w14:textId="4D474544" w:rsidR="0067649E" w:rsidRPr="006568DD" w:rsidRDefault="00F23DFB" w:rsidP="00BD25D5">
      <w:pPr>
        <w:jc w:val="both"/>
        <w:rPr>
          <w:rFonts w:ascii="Cambria" w:hAnsi="Cambria" w:cs="Calibri"/>
          <w:lang w:val="en-US"/>
        </w:rPr>
      </w:pPr>
      <w:r w:rsidRPr="006568DD">
        <w:rPr>
          <w:rFonts w:ascii="Cambria" w:hAnsi="Cambria"/>
        </w:rPr>
        <w:t>The education of occupants in relation to behavioural adaptations should be undertaken alongside physical building improvements in listed pre-1919 housing. This is to avoid negating energy savings through the rebound effect</w:t>
      </w:r>
      <w:r w:rsidR="00106CBA" w:rsidRPr="006568DD">
        <w:rPr>
          <w:rFonts w:ascii="Cambria" w:hAnsi="Cambria"/>
        </w:rPr>
        <w:t>.</w:t>
      </w:r>
      <w:r w:rsidRPr="006568DD">
        <w:rPr>
          <w:rFonts w:ascii="Cambria" w:hAnsi="Cambria"/>
        </w:rPr>
        <w:t xml:space="preserve"> </w:t>
      </w:r>
      <w:r w:rsidR="00A4395B" w:rsidRPr="006568DD">
        <w:rPr>
          <w:rFonts w:ascii="Cambria" w:hAnsi="Cambria"/>
        </w:rPr>
        <w:t>However, as highlighted in the existing literature, this ‘informatio</w:t>
      </w:r>
      <w:r w:rsidR="005D654E" w:rsidRPr="006568DD">
        <w:rPr>
          <w:rFonts w:ascii="Cambria" w:hAnsi="Cambria"/>
        </w:rPr>
        <w:t>n deficit’ model has been widely criticised</w:t>
      </w:r>
      <w:r w:rsidR="00A4395B" w:rsidRPr="006568DD">
        <w:rPr>
          <w:rFonts w:ascii="Cambria" w:hAnsi="Cambria"/>
        </w:rPr>
        <w:t xml:space="preserve"> (</w:t>
      </w:r>
      <w:r w:rsidR="00F700C7" w:rsidRPr="006568DD">
        <w:rPr>
          <w:rFonts w:ascii="Cambria" w:hAnsi="Cambria"/>
        </w:rPr>
        <w:t xml:space="preserve">Owens and </w:t>
      </w:r>
      <w:proofErr w:type="spellStart"/>
      <w:r w:rsidR="00F700C7" w:rsidRPr="006568DD">
        <w:rPr>
          <w:rFonts w:ascii="Cambria" w:hAnsi="Cambria"/>
        </w:rPr>
        <w:t>Driffill</w:t>
      </w:r>
      <w:proofErr w:type="spellEnd"/>
      <w:r w:rsidR="00F700C7" w:rsidRPr="006568DD">
        <w:rPr>
          <w:rFonts w:ascii="Cambria" w:hAnsi="Cambria"/>
        </w:rPr>
        <w:t>, 2008</w:t>
      </w:r>
      <w:r w:rsidR="005D654E" w:rsidRPr="006568DD">
        <w:rPr>
          <w:rFonts w:ascii="Cambria" w:hAnsi="Cambria"/>
        </w:rPr>
        <w:t>). Instead, there is a need to take into consideration the “physical, social, cultural and institutional contexts” that mould an individual’s energy choices. In the context of energy efficiency improvements in listed pre-1919 housing this should be done through the selection of measures and, where there is a whole house refurbishment, the design.</w:t>
      </w:r>
      <w:r w:rsidR="00D45B6F" w:rsidRPr="006568DD">
        <w:rPr>
          <w:rFonts w:ascii="Cambria" w:hAnsi="Cambria"/>
        </w:rPr>
        <w:t xml:space="preserve"> Perhaps in the future this will also require </w:t>
      </w:r>
      <w:r w:rsidR="0067649E" w:rsidRPr="006568DD">
        <w:rPr>
          <w:rFonts w:ascii="Cambria" w:hAnsi="Cambria"/>
        </w:rPr>
        <w:t>being considered as part of a wider smart thermal grid or smart energy grid.</w:t>
      </w:r>
    </w:p>
    <w:p w14:paraId="4ADAEC35" w14:textId="77777777" w:rsidR="0067649E" w:rsidRPr="006568DD" w:rsidRDefault="0067649E" w:rsidP="00BD25D5">
      <w:pPr>
        <w:jc w:val="both"/>
        <w:rPr>
          <w:rFonts w:ascii="Cambria" w:hAnsi="Cambria" w:cs="Calibri"/>
          <w:lang w:val="en-US"/>
        </w:rPr>
      </w:pPr>
    </w:p>
    <w:p w14:paraId="7FC7575D" w14:textId="0DBA9B0D" w:rsidR="005D654E" w:rsidRPr="006568DD" w:rsidRDefault="003A0E67" w:rsidP="00BD25D5">
      <w:pPr>
        <w:jc w:val="both"/>
        <w:rPr>
          <w:rFonts w:ascii="Cambria" w:hAnsi="Cambria"/>
        </w:rPr>
      </w:pPr>
      <w:r w:rsidRPr="006568DD">
        <w:rPr>
          <w:rFonts w:ascii="Cambria" w:hAnsi="Cambria" w:cs="Calibri"/>
          <w:lang w:val="en-US"/>
        </w:rPr>
        <w:t xml:space="preserve">Smart technology that enables communication and interaction with occupiers could help inform </w:t>
      </w:r>
      <w:r w:rsidR="00D45B6F" w:rsidRPr="006568DD">
        <w:rPr>
          <w:rFonts w:ascii="Cambria" w:hAnsi="Cambria" w:cs="Calibri"/>
          <w:lang w:val="en-US"/>
        </w:rPr>
        <w:t>and shape users’ energy choices. Research has shown how technology such as smart energy monitors can become ‘</w:t>
      </w:r>
      <w:proofErr w:type="spellStart"/>
      <w:r w:rsidR="00D45B6F" w:rsidRPr="006568DD">
        <w:rPr>
          <w:rFonts w:ascii="Cambria" w:hAnsi="Cambria" w:cs="Calibri"/>
          <w:lang w:val="en-US"/>
        </w:rPr>
        <w:t>backgrounded</w:t>
      </w:r>
      <w:proofErr w:type="spellEnd"/>
      <w:r w:rsidR="00D45B6F" w:rsidRPr="006568DD">
        <w:rPr>
          <w:rFonts w:ascii="Cambria" w:hAnsi="Cambria" w:cs="Calibri"/>
          <w:lang w:val="en-US"/>
        </w:rPr>
        <w:t>’ over time within a household’s normal routines and practices (Hargreaves, Nye and Burgess, 2013). However, this ‘</w:t>
      </w:r>
      <w:proofErr w:type="spellStart"/>
      <w:r w:rsidR="00D45B6F" w:rsidRPr="006568DD">
        <w:rPr>
          <w:rFonts w:ascii="Cambria" w:hAnsi="Cambria" w:cs="Calibri"/>
          <w:lang w:val="en-US"/>
        </w:rPr>
        <w:t>backgrounding</w:t>
      </w:r>
      <w:proofErr w:type="spellEnd"/>
      <w:r w:rsidR="00D45B6F" w:rsidRPr="006568DD">
        <w:rPr>
          <w:rFonts w:ascii="Cambria" w:hAnsi="Cambria" w:cs="Calibri"/>
          <w:lang w:val="en-US"/>
        </w:rPr>
        <w:t>’ of technology perhaps becomes less significant in relation to intuitive smart home technology that can learn occupants’ preferences and practices to inform automatic energy choices.</w:t>
      </w:r>
    </w:p>
    <w:p w14:paraId="7215B8A6" w14:textId="77777777" w:rsidR="00BB3403" w:rsidRPr="006568DD" w:rsidRDefault="00BB3403" w:rsidP="00BD25D5">
      <w:pPr>
        <w:jc w:val="both"/>
        <w:rPr>
          <w:rFonts w:ascii="Cambria" w:hAnsi="Cambria"/>
        </w:rPr>
      </w:pPr>
    </w:p>
    <w:p w14:paraId="0E63CD0D" w14:textId="2D47648B" w:rsidR="0041611E" w:rsidRPr="00714B37" w:rsidRDefault="008619F4" w:rsidP="00BD25D5">
      <w:pPr>
        <w:pStyle w:val="Heading2"/>
        <w:jc w:val="both"/>
        <w:rPr>
          <w:rFonts w:ascii="Cambria" w:hAnsi="Cambria"/>
          <w:color w:val="auto"/>
        </w:rPr>
      </w:pPr>
      <w:r w:rsidRPr="00714B37">
        <w:rPr>
          <w:rFonts w:ascii="Cambria" w:hAnsi="Cambria"/>
          <w:color w:val="auto"/>
        </w:rPr>
        <w:t>Conclusion</w:t>
      </w:r>
    </w:p>
    <w:p w14:paraId="42390E0F" w14:textId="3AB83B39" w:rsidR="0067649E" w:rsidRPr="006568DD" w:rsidRDefault="000911B7" w:rsidP="00BD25D5">
      <w:pPr>
        <w:jc w:val="both"/>
        <w:rPr>
          <w:rFonts w:ascii="Cambria" w:hAnsi="Cambria"/>
        </w:rPr>
      </w:pPr>
      <w:r w:rsidRPr="006568DD">
        <w:rPr>
          <w:rFonts w:ascii="Cambria" w:hAnsi="Cambria"/>
        </w:rPr>
        <w:t>This paper explored the similarities and differences between the drivers and challenges to improving the energy efficiency of listed pre-1919 housing.</w:t>
      </w:r>
      <w:r w:rsidR="0067649E" w:rsidRPr="006568DD">
        <w:rPr>
          <w:rFonts w:ascii="Cambria" w:hAnsi="Cambria"/>
        </w:rPr>
        <w:t xml:space="preserve"> Based on a small sample size, these preliminary findings contribute to analytical </w:t>
      </w:r>
      <w:proofErr w:type="spellStart"/>
      <w:r w:rsidR="0067649E" w:rsidRPr="006568DD">
        <w:rPr>
          <w:rFonts w:ascii="Cambria" w:hAnsi="Cambria"/>
        </w:rPr>
        <w:t>generalisability</w:t>
      </w:r>
      <w:proofErr w:type="spellEnd"/>
      <w:r w:rsidR="0067649E" w:rsidRPr="006568DD">
        <w:rPr>
          <w:rFonts w:ascii="Cambria" w:hAnsi="Cambria"/>
        </w:rPr>
        <w:t>. Future research will be required to identify whether the findings are more widely applicable.</w:t>
      </w:r>
    </w:p>
    <w:p w14:paraId="68925CFA" w14:textId="77777777" w:rsidR="00D84F57" w:rsidRPr="006568DD" w:rsidRDefault="00D84F57" w:rsidP="00BD25D5">
      <w:pPr>
        <w:jc w:val="both"/>
        <w:rPr>
          <w:rFonts w:ascii="Cambria" w:hAnsi="Cambria"/>
        </w:rPr>
      </w:pPr>
    </w:p>
    <w:p w14:paraId="41B60A79" w14:textId="77777777" w:rsidR="00D84F57" w:rsidRPr="006568DD" w:rsidRDefault="00D84F57" w:rsidP="00D84F57">
      <w:pPr>
        <w:jc w:val="both"/>
        <w:rPr>
          <w:rFonts w:ascii="Cambria" w:hAnsi="Cambria"/>
        </w:rPr>
      </w:pPr>
      <w:r w:rsidRPr="006568DD">
        <w:rPr>
          <w:rFonts w:ascii="Cambria" w:hAnsi="Cambria"/>
        </w:rPr>
        <w:t xml:space="preserve">Whilst the concepts of conservation and sustainability are distinct, both aim to provide resources current generations whilst preserving such resources for future generations. Building conservation relates, however, to how buildings with embodied values are managed and protected, whilst sustainability can be seen to relate to the management of environmental, economic and social resources. </w:t>
      </w:r>
    </w:p>
    <w:p w14:paraId="7FBC8AFC" w14:textId="77777777" w:rsidR="00D84F57" w:rsidRPr="006568DD" w:rsidRDefault="00D84F57" w:rsidP="00D84F57">
      <w:pPr>
        <w:jc w:val="both"/>
        <w:rPr>
          <w:rFonts w:ascii="Cambria" w:hAnsi="Cambria"/>
        </w:rPr>
      </w:pPr>
    </w:p>
    <w:p w14:paraId="5205C07B" w14:textId="3B4B5C03" w:rsidR="00D84F57" w:rsidRPr="006568DD" w:rsidRDefault="00D84F57" w:rsidP="00BD25D5">
      <w:pPr>
        <w:jc w:val="both"/>
        <w:rPr>
          <w:rFonts w:ascii="Cambria" w:hAnsi="Cambria"/>
        </w:rPr>
      </w:pPr>
      <w:r w:rsidRPr="006568DD">
        <w:rPr>
          <w:rFonts w:ascii="Cambria" w:hAnsi="Cambria"/>
        </w:rPr>
        <w:t>How listed pre-1919 houses are managed and maintained is important to ensure that they, and the resources used by their occupants, is crucial. We can avoid such buildings from becoming energy liabilities in the future by improving their energy efficiency, but careful consideration is needed to avoid harming the significance and longevity of these buildings through poorly selected materials and measures which are not compatible with the building fabric.</w:t>
      </w:r>
    </w:p>
    <w:p w14:paraId="3BA5CFFD" w14:textId="77777777" w:rsidR="0067649E" w:rsidRPr="006568DD" w:rsidRDefault="0067649E" w:rsidP="00BD25D5">
      <w:pPr>
        <w:jc w:val="both"/>
        <w:rPr>
          <w:rFonts w:ascii="Cambria" w:hAnsi="Cambria"/>
        </w:rPr>
      </w:pPr>
    </w:p>
    <w:p w14:paraId="28425F57" w14:textId="7258FF33" w:rsidR="00E725D5" w:rsidRPr="006568DD" w:rsidRDefault="00D84F57" w:rsidP="00BD25D5">
      <w:pPr>
        <w:jc w:val="both"/>
        <w:rPr>
          <w:rFonts w:ascii="Cambria" w:hAnsi="Cambria"/>
        </w:rPr>
      </w:pPr>
      <w:r w:rsidRPr="006568DD">
        <w:rPr>
          <w:rFonts w:ascii="Cambria" w:hAnsi="Cambria"/>
        </w:rPr>
        <w:t xml:space="preserve">Indeed, pre-1919 </w:t>
      </w:r>
      <w:r w:rsidR="00E725D5" w:rsidRPr="006568DD">
        <w:rPr>
          <w:rFonts w:ascii="Cambria" w:hAnsi="Cambria"/>
        </w:rPr>
        <w:t xml:space="preserve">buildings perform differently to their modern counterparts and therefore the measures we apply to these historic properties must be done with sufficient understanding of this difference. Such measures must be compatible </w:t>
      </w:r>
      <w:r w:rsidRPr="006568DD">
        <w:rPr>
          <w:rFonts w:ascii="Cambria" w:hAnsi="Cambria"/>
        </w:rPr>
        <w:t xml:space="preserve">and appropriate </w:t>
      </w:r>
      <w:r w:rsidR="00E725D5" w:rsidRPr="006568DD">
        <w:rPr>
          <w:rFonts w:ascii="Cambria" w:hAnsi="Cambria"/>
        </w:rPr>
        <w:t xml:space="preserve">with </w:t>
      </w:r>
      <w:r w:rsidR="00D65A11" w:rsidRPr="006568DD">
        <w:rPr>
          <w:rFonts w:ascii="Cambria" w:hAnsi="Cambria"/>
        </w:rPr>
        <w:t>these buildings</w:t>
      </w:r>
      <w:r w:rsidRPr="006568DD">
        <w:rPr>
          <w:rFonts w:ascii="Cambria" w:hAnsi="Cambria"/>
        </w:rPr>
        <w:t>, and</w:t>
      </w:r>
      <w:r w:rsidR="00D65A11" w:rsidRPr="006568DD">
        <w:rPr>
          <w:rFonts w:ascii="Cambria" w:hAnsi="Cambria"/>
        </w:rPr>
        <w:t xml:space="preserve"> in line with conservation principles. Further, the discussion of developing an alternative version of energy calculation for these buildings should be entered into.</w:t>
      </w:r>
    </w:p>
    <w:p w14:paraId="6998F1ED" w14:textId="77777777" w:rsidR="00D65A11" w:rsidRPr="006568DD" w:rsidRDefault="00D65A11" w:rsidP="00BD25D5">
      <w:pPr>
        <w:jc w:val="both"/>
        <w:rPr>
          <w:rFonts w:ascii="Cambria" w:hAnsi="Cambria"/>
        </w:rPr>
      </w:pPr>
    </w:p>
    <w:p w14:paraId="2B85F8F3" w14:textId="3291644F" w:rsidR="00D65A11" w:rsidRPr="006568DD" w:rsidRDefault="00D65A11" w:rsidP="00BD25D5">
      <w:pPr>
        <w:jc w:val="both"/>
        <w:rPr>
          <w:rFonts w:ascii="Cambria" w:hAnsi="Cambria"/>
        </w:rPr>
      </w:pPr>
      <w:r w:rsidRPr="006568DD">
        <w:rPr>
          <w:rFonts w:ascii="Cambria" w:hAnsi="Cambria"/>
        </w:rPr>
        <w:t>The selection of measures is based on a number of factors. These include the affect on the building’s aesthetics, the cost of the measure, the level of energy saving the measure can achieve, the payback period, and the measures that fit best with the client’s needs and expectations. The payback period and client expectations may be influenced by the rebound effect as a consequence of occupant behaviour. In addition, measures should provide a balance between conservation principles and sustainability.</w:t>
      </w:r>
    </w:p>
    <w:p w14:paraId="43CE0AC2" w14:textId="77777777" w:rsidR="00E725D5" w:rsidRPr="006568DD" w:rsidRDefault="00E725D5" w:rsidP="00BD25D5">
      <w:pPr>
        <w:jc w:val="both"/>
        <w:rPr>
          <w:rFonts w:ascii="Cambria" w:hAnsi="Cambria"/>
        </w:rPr>
      </w:pPr>
    </w:p>
    <w:p w14:paraId="4B131383" w14:textId="1550475A" w:rsidR="002A2947" w:rsidRPr="006568DD" w:rsidRDefault="000911B7" w:rsidP="00BD25D5">
      <w:pPr>
        <w:jc w:val="both"/>
        <w:rPr>
          <w:rFonts w:ascii="Cambria" w:hAnsi="Cambria"/>
        </w:rPr>
      </w:pPr>
      <w:r w:rsidRPr="006568DD">
        <w:rPr>
          <w:rFonts w:ascii="Cambria" w:hAnsi="Cambria"/>
        </w:rPr>
        <w:t xml:space="preserve">Based on a review of the extant literature </w:t>
      </w:r>
      <w:r w:rsidR="001B41E2" w:rsidRPr="006568DD">
        <w:rPr>
          <w:rFonts w:ascii="Cambria" w:hAnsi="Cambria"/>
        </w:rPr>
        <w:t>and elite interviews a number of drivers and challenges were identified to exist. A number of these drivers and challenges were shared between Italy and the UK.</w:t>
      </w:r>
      <w:r w:rsidR="00FF45F8" w:rsidRPr="006568DD">
        <w:rPr>
          <w:rFonts w:ascii="Cambria" w:hAnsi="Cambria"/>
        </w:rPr>
        <w:t xml:space="preserve"> The shared drivers included international and national legislation and targets, improved thermal comfort, and savi</w:t>
      </w:r>
      <w:r w:rsidR="008D106C" w:rsidRPr="006568DD">
        <w:rPr>
          <w:rFonts w:ascii="Cambria" w:hAnsi="Cambria"/>
        </w:rPr>
        <w:t>ngs on energy bills. Improving the r</w:t>
      </w:r>
      <w:r w:rsidR="00FF45F8" w:rsidRPr="006568DD">
        <w:rPr>
          <w:rFonts w:ascii="Cambria" w:hAnsi="Cambria"/>
        </w:rPr>
        <w:t xml:space="preserve">esale value of the home </w:t>
      </w:r>
      <w:r w:rsidR="008D106C" w:rsidRPr="006568DD">
        <w:rPr>
          <w:rFonts w:ascii="Cambria" w:hAnsi="Cambria"/>
        </w:rPr>
        <w:t>could also be</w:t>
      </w:r>
      <w:r w:rsidR="00FF45F8" w:rsidRPr="006568DD">
        <w:rPr>
          <w:rFonts w:ascii="Cambria" w:hAnsi="Cambria"/>
        </w:rPr>
        <w:t xml:space="preserve"> a driver to perform </w:t>
      </w:r>
      <w:r w:rsidR="008D106C" w:rsidRPr="006568DD">
        <w:rPr>
          <w:rFonts w:ascii="Cambria" w:hAnsi="Cambria"/>
        </w:rPr>
        <w:t>energy efficiency improvements.</w:t>
      </w:r>
    </w:p>
    <w:p w14:paraId="75C3E4A9" w14:textId="77777777" w:rsidR="00FF45F8" w:rsidRPr="006568DD" w:rsidRDefault="00FF45F8" w:rsidP="00BD25D5">
      <w:pPr>
        <w:jc w:val="both"/>
        <w:rPr>
          <w:rFonts w:ascii="Cambria" w:hAnsi="Cambria"/>
        </w:rPr>
      </w:pPr>
    </w:p>
    <w:p w14:paraId="77281610" w14:textId="3D2E0949" w:rsidR="00FF45F8" w:rsidRPr="006568DD" w:rsidRDefault="00644287" w:rsidP="00BD25D5">
      <w:pPr>
        <w:jc w:val="both"/>
        <w:rPr>
          <w:rFonts w:ascii="Cambria" w:hAnsi="Cambria"/>
        </w:rPr>
      </w:pPr>
      <w:r w:rsidRPr="006568DD">
        <w:rPr>
          <w:rFonts w:ascii="Cambria" w:hAnsi="Cambria"/>
        </w:rPr>
        <w:t>I</w:t>
      </w:r>
      <w:r w:rsidR="00FF45F8" w:rsidRPr="006568DD">
        <w:rPr>
          <w:rFonts w:ascii="Cambria" w:hAnsi="Cambria"/>
        </w:rPr>
        <w:t xml:space="preserve">nternational conservation principles promote keeping </w:t>
      </w:r>
      <w:r w:rsidR="00D84F57" w:rsidRPr="006568DD">
        <w:rPr>
          <w:rFonts w:ascii="Cambria" w:hAnsi="Cambria"/>
        </w:rPr>
        <w:t xml:space="preserve">listed pre-1919 </w:t>
      </w:r>
      <w:r w:rsidRPr="006568DD">
        <w:rPr>
          <w:rFonts w:ascii="Cambria" w:hAnsi="Cambria"/>
        </w:rPr>
        <w:t>housing in good repair</w:t>
      </w:r>
      <w:r w:rsidR="00F86077" w:rsidRPr="006568DD">
        <w:rPr>
          <w:rFonts w:ascii="Cambria" w:hAnsi="Cambria"/>
        </w:rPr>
        <w:t>, protecting and enhancing their significance</w:t>
      </w:r>
      <w:r w:rsidRPr="006568DD">
        <w:rPr>
          <w:rFonts w:ascii="Cambria" w:hAnsi="Cambria"/>
        </w:rPr>
        <w:t>. However, improvements to energy efficiency performance was generally viewed as having the potential of detrimentally affecting the significance of these properties, or causing unintended consequences.</w:t>
      </w:r>
      <w:r w:rsidR="00F86077" w:rsidRPr="006568DD">
        <w:rPr>
          <w:rFonts w:ascii="Cambria" w:hAnsi="Cambria"/>
        </w:rPr>
        <w:t xml:space="preserve"> The potential loss of historical value, the cost of the works, the uncertainty of the outcomes and costs, </w:t>
      </w:r>
      <w:r w:rsidR="008D106C" w:rsidRPr="006568DD">
        <w:rPr>
          <w:rFonts w:ascii="Cambria" w:hAnsi="Cambria"/>
        </w:rPr>
        <w:t>and difficulties in securing planning permission were all identified as barriers to improving the energy efficiency performance of listed pre-1919 housing.</w:t>
      </w:r>
    </w:p>
    <w:p w14:paraId="7CF361CC" w14:textId="77777777" w:rsidR="008D106C" w:rsidRPr="006568DD" w:rsidRDefault="008D106C" w:rsidP="00BD25D5">
      <w:pPr>
        <w:jc w:val="both"/>
        <w:rPr>
          <w:rFonts w:ascii="Cambria" w:hAnsi="Cambria"/>
        </w:rPr>
      </w:pPr>
    </w:p>
    <w:p w14:paraId="1FFBC220" w14:textId="39B9B76C" w:rsidR="008D106C" w:rsidRPr="006568DD" w:rsidRDefault="00E178CD" w:rsidP="00BD25D5">
      <w:pPr>
        <w:jc w:val="both"/>
        <w:rPr>
          <w:rFonts w:ascii="Cambria" w:hAnsi="Cambria"/>
        </w:rPr>
      </w:pPr>
      <w:r w:rsidRPr="006568DD">
        <w:rPr>
          <w:rFonts w:ascii="Cambria" w:hAnsi="Cambria"/>
        </w:rPr>
        <w:t xml:space="preserve">Greater inter-professional collaboration is needed. A professional dialogue must be entered into within the project team, including conservation and building officers, surveyors, architects and contractors. This is to ensure that, during a project, the energy efficiency of a listed pre-1919 property is improved without compromising the significance of the building. </w:t>
      </w:r>
    </w:p>
    <w:p w14:paraId="52E6C606" w14:textId="77777777" w:rsidR="00522119" w:rsidRPr="006568DD" w:rsidRDefault="00522119" w:rsidP="00BD25D5">
      <w:pPr>
        <w:jc w:val="both"/>
        <w:rPr>
          <w:rFonts w:ascii="Cambria" w:hAnsi="Cambria"/>
        </w:rPr>
      </w:pPr>
    </w:p>
    <w:p w14:paraId="3D0596A3" w14:textId="378DADB5" w:rsidR="000B374C" w:rsidRPr="006568DD" w:rsidRDefault="000B374C" w:rsidP="00BD25D5">
      <w:pPr>
        <w:jc w:val="both"/>
        <w:rPr>
          <w:rFonts w:ascii="Cambria" w:hAnsi="Cambria"/>
        </w:rPr>
      </w:pPr>
      <w:r w:rsidRPr="006568DD">
        <w:rPr>
          <w:rFonts w:ascii="Cambria" w:hAnsi="Cambria"/>
        </w:rPr>
        <w:t>There are a number of similarities and differences between Italy and the UK in relation to improving the energy efficiency of listed pre-1919 housing. As a political level, the UK and Italy are influenced by EU legislation to improve the energy efficiency of their existing hous</w:t>
      </w:r>
      <w:r w:rsidR="0028521B" w:rsidRPr="006568DD">
        <w:rPr>
          <w:rFonts w:ascii="Cambria" w:hAnsi="Cambria"/>
        </w:rPr>
        <w:t>ing. However, whilst the UK has</w:t>
      </w:r>
      <w:r w:rsidRPr="006568DD">
        <w:rPr>
          <w:rFonts w:ascii="Cambria" w:hAnsi="Cambria"/>
        </w:rPr>
        <w:t xml:space="preserve"> excluded </w:t>
      </w:r>
      <w:r w:rsidR="00D84F57" w:rsidRPr="006568DD">
        <w:rPr>
          <w:rFonts w:ascii="Cambria" w:hAnsi="Cambria"/>
        </w:rPr>
        <w:t xml:space="preserve">listed </w:t>
      </w:r>
      <w:r w:rsidRPr="006568DD">
        <w:rPr>
          <w:rFonts w:ascii="Cambria" w:hAnsi="Cambria"/>
        </w:rPr>
        <w:t xml:space="preserve">buildings from having to comply with set energy efficiency levels when refurbishments are undertaken, Italy has relaxed the requirements for such buildings rather than excluded them altogether. Further, both countries broadly use the same conservation principles to inform decisions relating to </w:t>
      </w:r>
      <w:proofErr w:type="gramStart"/>
      <w:r w:rsidR="00D84F57" w:rsidRPr="006568DD">
        <w:rPr>
          <w:rFonts w:ascii="Cambria" w:hAnsi="Cambria"/>
        </w:rPr>
        <w:t>listed</w:t>
      </w:r>
      <w:proofErr w:type="gramEnd"/>
      <w:r w:rsidR="00D84F57" w:rsidRPr="006568DD">
        <w:rPr>
          <w:rFonts w:ascii="Cambria" w:hAnsi="Cambria"/>
        </w:rPr>
        <w:t xml:space="preserve"> </w:t>
      </w:r>
      <w:r w:rsidRPr="006568DD">
        <w:rPr>
          <w:rFonts w:ascii="Cambria" w:hAnsi="Cambria"/>
        </w:rPr>
        <w:t>buildings, and this feeds into national policy and guidance.</w:t>
      </w:r>
    </w:p>
    <w:p w14:paraId="5796493C" w14:textId="77777777" w:rsidR="000B374C" w:rsidRPr="006568DD" w:rsidRDefault="000B374C" w:rsidP="00BD25D5">
      <w:pPr>
        <w:pStyle w:val="ListParagraph"/>
        <w:jc w:val="both"/>
        <w:rPr>
          <w:rFonts w:ascii="Cambria" w:hAnsi="Cambria"/>
        </w:rPr>
      </w:pPr>
    </w:p>
    <w:p w14:paraId="3B8472D1" w14:textId="422888B2" w:rsidR="000B374C" w:rsidRPr="006568DD" w:rsidRDefault="000B374C" w:rsidP="00BD25D5">
      <w:pPr>
        <w:jc w:val="both"/>
        <w:rPr>
          <w:rFonts w:ascii="Cambria" w:hAnsi="Cambria"/>
        </w:rPr>
      </w:pPr>
      <w:r w:rsidRPr="006568DD">
        <w:rPr>
          <w:rFonts w:ascii="Cambria" w:hAnsi="Cambria"/>
        </w:rPr>
        <w:t xml:space="preserve">The existing literature and the interviews indicated that the two countries approach </w:t>
      </w:r>
      <w:r w:rsidR="00D84F57" w:rsidRPr="006568DD">
        <w:rPr>
          <w:rFonts w:ascii="Cambria" w:hAnsi="Cambria"/>
        </w:rPr>
        <w:t xml:space="preserve">listed pre-1919 </w:t>
      </w:r>
      <w:r w:rsidR="00D65A11" w:rsidRPr="006568DD">
        <w:rPr>
          <w:rFonts w:ascii="Cambria" w:hAnsi="Cambria"/>
        </w:rPr>
        <w:t xml:space="preserve">housing in the same way. However, whilst </w:t>
      </w:r>
      <w:r w:rsidRPr="006568DD">
        <w:rPr>
          <w:rFonts w:ascii="Cambria" w:hAnsi="Cambria"/>
        </w:rPr>
        <w:t>a number of guidelines have been developed over the last few years</w:t>
      </w:r>
      <w:r w:rsidR="00D65A11" w:rsidRPr="006568DD">
        <w:rPr>
          <w:rFonts w:ascii="Cambria" w:hAnsi="Cambria"/>
        </w:rPr>
        <w:t xml:space="preserve"> in the UK</w:t>
      </w:r>
      <w:r w:rsidRPr="006568DD">
        <w:rPr>
          <w:rFonts w:ascii="Cambria" w:hAnsi="Cambria"/>
        </w:rPr>
        <w:t xml:space="preserve">, suggesting how to improve the energy </w:t>
      </w:r>
      <w:r w:rsidR="00D65A11" w:rsidRPr="006568DD">
        <w:rPr>
          <w:rFonts w:ascii="Cambria" w:hAnsi="Cambria"/>
        </w:rPr>
        <w:t xml:space="preserve">efficiency of </w:t>
      </w:r>
      <w:r w:rsidR="00D84F57" w:rsidRPr="006568DD">
        <w:rPr>
          <w:rFonts w:ascii="Cambria" w:hAnsi="Cambria"/>
        </w:rPr>
        <w:t xml:space="preserve">listed pre-1919 </w:t>
      </w:r>
      <w:r w:rsidR="00D65A11" w:rsidRPr="006568DD">
        <w:rPr>
          <w:rFonts w:ascii="Cambria" w:hAnsi="Cambria"/>
        </w:rPr>
        <w:t xml:space="preserve">housing, </w:t>
      </w:r>
      <w:r w:rsidRPr="006568DD">
        <w:rPr>
          <w:rFonts w:ascii="Cambria" w:hAnsi="Cambria"/>
        </w:rPr>
        <w:t>Italy currently lacks specific guidance on the provision of well-balanced solutions for improving energy effi</w:t>
      </w:r>
      <w:r w:rsidR="00C03230" w:rsidRPr="006568DD">
        <w:rPr>
          <w:rFonts w:ascii="Cambria" w:hAnsi="Cambria"/>
        </w:rPr>
        <w:t xml:space="preserve">ciency in </w:t>
      </w:r>
      <w:r w:rsidR="00D84F57" w:rsidRPr="006568DD">
        <w:rPr>
          <w:rFonts w:ascii="Cambria" w:hAnsi="Cambria"/>
        </w:rPr>
        <w:t xml:space="preserve">listed pre-1919 </w:t>
      </w:r>
      <w:r w:rsidR="00C03230" w:rsidRPr="006568DD">
        <w:rPr>
          <w:rFonts w:ascii="Cambria" w:hAnsi="Cambria"/>
        </w:rPr>
        <w:t>buildings. A</w:t>
      </w:r>
      <w:r w:rsidRPr="006568DD">
        <w:rPr>
          <w:rFonts w:ascii="Cambria" w:hAnsi="Cambria"/>
        </w:rPr>
        <w:t xml:space="preserve">s indicated in the existing literature, solutions should be developed on a case-by-case basis as each </w:t>
      </w:r>
      <w:r w:rsidR="00D84F57" w:rsidRPr="006568DD">
        <w:rPr>
          <w:rFonts w:ascii="Cambria" w:hAnsi="Cambria"/>
        </w:rPr>
        <w:t xml:space="preserve">listed </w:t>
      </w:r>
      <w:r w:rsidRPr="006568DD">
        <w:rPr>
          <w:rFonts w:ascii="Cambria" w:hAnsi="Cambria"/>
        </w:rPr>
        <w:t>building and its wider context is unique, and will therefore require careful consideration about the application of alternative solutions.</w:t>
      </w:r>
    </w:p>
    <w:p w14:paraId="5825D5AD" w14:textId="77777777" w:rsidR="00E62AFD" w:rsidRPr="006568DD" w:rsidRDefault="00E62AFD" w:rsidP="00BD25D5">
      <w:pPr>
        <w:jc w:val="both"/>
        <w:rPr>
          <w:rFonts w:ascii="Cambria" w:hAnsi="Cambria"/>
        </w:rPr>
      </w:pPr>
    </w:p>
    <w:p w14:paraId="7EC460E9" w14:textId="66F47034" w:rsidR="00E62AFD" w:rsidRPr="00714B37" w:rsidRDefault="00E62AFD" w:rsidP="00E62AFD">
      <w:pPr>
        <w:pStyle w:val="Heading2"/>
        <w:jc w:val="both"/>
        <w:rPr>
          <w:rFonts w:ascii="Cambria" w:hAnsi="Cambria"/>
          <w:color w:val="auto"/>
        </w:rPr>
      </w:pPr>
      <w:r w:rsidRPr="00714B37">
        <w:rPr>
          <w:rFonts w:ascii="Cambria" w:hAnsi="Cambria"/>
          <w:color w:val="auto"/>
        </w:rPr>
        <w:t>Further research</w:t>
      </w:r>
    </w:p>
    <w:p w14:paraId="27BDC0CE" w14:textId="77777777" w:rsidR="00E62AFD" w:rsidRPr="006568DD" w:rsidRDefault="00E62AFD" w:rsidP="00BD25D5">
      <w:pPr>
        <w:jc w:val="both"/>
        <w:rPr>
          <w:rFonts w:ascii="Cambria" w:hAnsi="Cambria"/>
        </w:rPr>
      </w:pPr>
      <w:r w:rsidRPr="006568DD">
        <w:rPr>
          <w:rFonts w:ascii="Cambria" w:hAnsi="Cambria"/>
        </w:rPr>
        <w:t>Areas for further research would be:</w:t>
      </w:r>
    </w:p>
    <w:p w14:paraId="56EAC3CF" w14:textId="77777777" w:rsidR="00E62AFD" w:rsidRPr="006568DD" w:rsidRDefault="00E62AFD" w:rsidP="00E62AFD">
      <w:pPr>
        <w:jc w:val="both"/>
        <w:rPr>
          <w:rFonts w:ascii="Cambria" w:hAnsi="Cambria"/>
        </w:rPr>
      </w:pPr>
    </w:p>
    <w:p w14:paraId="3E8344D6" w14:textId="2810DAB9" w:rsidR="00E62AFD" w:rsidRPr="006568DD" w:rsidRDefault="00E62AFD" w:rsidP="00E62AFD">
      <w:pPr>
        <w:jc w:val="both"/>
        <w:rPr>
          <w:rFonts w:ascii="Cambria" w:hAnsi="Cambria"/>
        </w:rPr>
      </w:pPr>
      <w:r w:rsidRPr="006568DD">
        <w:rPr>
          <w:rFonts w:ascii="Cambria" w:hAnsi="Cambria"/>
        </w:rPr>
        <w:t xml:space="preserve">To explore the need for a separate tool for measuring the energy efficiency performance of </w:t>
      </w:r>
      <w:r w:rsidR="00D84F57" w:rsidRPr="006568DD">
        <w:rPr>
          <w:rFonts w:ascii="Cambria" w:hAnsi="Cambria"/>
        </w:rPr>
        <w:t xml:space="preserve">listed pre-1919 </w:t>
      </w:r>
      <w:r w:rsidRPr="006568DD">
        <w:rPr>
          <w:rFonts w:ascii="Cambria" w:hAnsi="Cambria"/>
        </w:rPr>
        <w:t>building</w:t>
      </w:r>
      <w:r w:rsidR="00D84F57" w:rsidRPr="006568DD">
        <w:rPr>
          <w:rFonts w:ascii="Cambria" w:hAnsi="Cambria"/>
        </w:rPr>
        <w:t>s</w:t>
      </w:r>
      <w:r w:rsidRPr="006568DD">
        <w:rPr>
          <w:rFonts w:ascii="Cambria" w:hAnsi="Cambria"/>
        </w:rPr>
        <w:t>.</w:t>
      </w:r>
    </w:p>
    <w:p w14:paraId="0766BAC3" w14:textId="77777777" w:rsidR="00E62AFD" w:rsidRPr="006568DD" w:rsidRDefault="00E62AFD" w:rsidP="00E62AFD">
      <w:pPr>
        <w:jc w:val="both"/>
        <w:rPr>
          <w:rFonts w:ascii="Cambria" w:hAnsi="Cambria"/>
        </w:rPr>
      </w:pPr>
    </w:p>
    <w:p w14:paraId="5CD0F6BB" w14:textId="29A3BEAE" w:rsidR="000B374C" w:rsidRPr="006568DD" w:rsidRDefault="00E62AFD" w:rsidP="00BD25D5">
      <w:pPr>
        <w:jc w:val="both"/>
        <w:rPr>
          <w:rFonts w:ascii="Cambria" w:hAnsi="Cambria"/>
        </w:rPr>
      </w:pPr>
      <w:r w:rsidRPr="006568DD">
        <w:rPr>
          <w:rFonts w:ascii="Cambria" w:hAnsi="Cambria"/>
        </w:rPr>
        <w:t>To identify whether there are similarities with the similarities and differences identified within this study are consistent with other European countries.</w:t>
      </w:r>
    </w:p>
    <w:p w14:paraId="1542FF2E" w14:textId="77777777" w:rsidR="000B374C" w:rsidRPr="006568DD" w:rsidRDefault="000B374C" w:rsidP="00BD25D5">
      <w:pPr>
        <w:jc w:val="both"/>
        <w:rPr>
          <w:rFonts w:ascii="Cambria" w:hAnsi="Cambria"/>
        </w:rPr>
      </w:pPr>
    </w:p>
    <w:p w14:paraId="55DBA7A4" w14:textId="20D1BBB8" w:rsidR="0070330A" w:rsidRPr="00714B37" w:rsidRDefault="00786F9F" w:rsidP="00BD25D5">
      <w:pPr>
        <w:pStyle w:val="Heading2"/>
        <w:jc w:val="both"/>
        <w:rPr>
          <w:rFonts w:ascii="Cambria" w:hAnsi="Cambria"/>
          <w:color w:val="auto"/>
        </w:rPr>
      </w:pPr>
      <w:r w:rsidRPr="00714B37">
        <w:rPr>
          <w:rFonts w:ascii="Cambria" w:hAnsi="Cambria"/>
          <w:color w:val="auto"/>
        </w:rPr>
        <w:t>References</w:t>
      </w:r>
    </w:p>
    <w:p w14:paraId="2E59920C" w14:textId="77777777" w:rsidR="005E3824" w:rsidRPr="006568DD" w:rsidRDefault="005E3824" w:rsidP="00BD25D5">
      <w:pPr>
        <w:jc w:val="both"/>
        <w:rPr>
          <w:rFonts w:ascii="Cambria" w:hAnsi="Cambria"/>
          <w:lang w:val="en-US"/>
        </w:rPr>
      </w:pPr>
    </w:p>
    <w:p w14:paraId="20E5DA47" w14:textId="1276F698"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Agbota</w:t>
      </w:r>
      <w:proofErr w:type="spellEnd"/>
      <w:r w:rsidRPr="006568DD">
        <w:rPr>
          <w:rFonts w:ascii="Cambria" w:hAnsi="Cambria"/>
          <w:iCs/>
        </w:rPr>
        <w:t xml:space="preserve">, H., Mitchell, J., </w:t>
      </w:r>
      <w:proofErr w:type="spellStart"/>
      <w:r w:rsidRPr="006568DD">
        <w:rPr>
          <w:rFonts w:ascii="Cambria" w:hAnsi="Cambria"/>
          <w:iCs/>
        </w:rPr>
        <w:t>Odlyha</w:t>
      </w:r>
      <w:proofErr w:type="spellEnd"/>
      <w:r w:rsidRPr="006568DD">
        <w:rPr>
          <w:rFonts w:ascii="Cambria" w:hAnsi="Cambria"/>
          <w:iCs/>
        </w:rPr>
        <w:t xml:space="preserve">, M., </w:t>
      </w:r>
      <w:proofErr w:type="spellStart"/>
      <w:r w:rsidRPr="006568DD">
        <w:rPr>
          <w:rFonts w:ascii="Cambria" w:hAnsi="Cambria"/>
          <w:iCs/>
        </w:rPr>
        <w:t>Strlič</w:t>
      </w:r>
      <w:proofErr w:type="spellEnd"/>
      <w:r w:rsidRPr="006568DD">
        <w:rPr>
          <w:rFonts w:ascii="Cambria" w:hAnsi="Cambria"/>
          <w:iCs/>
        </w:rPr>
        <w:t xml:space="preserve">, M., </w:t>
      </w:r>
      <w:r w:rsidR="0037662A" w:rsidRPr="006568DD">
        <w:rPr>
          <w:rFonts w:ascii="Cambria" w:hAnsi="Cambria"/>
          <w:iCs/>
        </w:rPr>
        <w:t>(</w:t>
      </w:r>
      <w:r w:rsidRPr="006568DD">
        <w:rPr>
          <w:rFonts w:ascii="Cambria" w:hAnsi="Cambria"/>
          <w:iCs/>
        </w:rPr>
        <w:t>2014</w:t>
      </w:r>
      <w:r w:rsidR="0037662A" w:rsidRPr="006568DD">
        <w:rPr>
          <w:rFonts w:ascii="Cambria" w:hAnsi="Cambria"/>
          <w:iCs/>
        </w:rPr>
        <w:t xml:space="preserve">), </w:t>
      </w:r>
      <w:r w:rsidR="00AC7848" w:rsidRPr="006568DD">
        <w:rPr>
          <w:rFonts w:ascii="Cambria" w:hAnsi="Cambria"/>
          <w:iCs/>
        </w:rPr>
        <w:t>“</w:t>
      </w:r>
      <w:r w:rsidRPr="006568DD">
        <w:rPr>
          <w:rFonts w:ascii="Cambria" w:hAnsi="Cambria"/>
          <w:iCs/>
        </w:rPr>
        <w:t>Remote Assessment of Cultural Heritage Environments with Wireless Sensor Array Networks</w:t>
      </w:r>
      <w:r w:rsidR="00AC7848" w:rsidRPr="006568DD">
        <w:rPr>
          <w:rFonts w:ascii="Cambria" w:hAnsi="Cambria"/>
          <w:iCs/>
        </w:rPr>
        <w:t>”</w:t>
      </w:r>
      <w:r w:rsidR="0037662A" w:rsidRPr="006568DD">
        <w:rPr>
          <w:rFonts w:ascii="Cambria" w:hAnsi="Cambria"/>
          <w:iCs/>
        </w:rPr>
        <w:t>,</w:t>
      </w:r>
      <w:r w:rsidRPr="006568DD">
        <w:rPr>
          <w:rFonts w:ascii="Cambria" w:hAnsi="Cambria"/>
          <w:iCs/>
        </w:rPr>
        <w:t xml:space="preserve"> </w:t>
      </w:r>
      <w:r w:rsidRPr="00714B37">
        <w:rPr>
          <w:rFonts w:ascii="Cambria" w:hAnsi="Cambria"/>
          <w:i/>
          <w:iCs/>
        </w:rPr>
        <w:t>Sensors</w:t>
      </w:r>
      <w:r w:rsidRPr="006568DD">
        <w:rPr>
          <w:rFonts w:ascii="Cambria" w:hAnsi="Cambria"/>
          <w:iCs/>
        </w:rPr>
        <w:t xml:space="preserve"> 14, 8779–8793.</w:t>
      </w:r>
    </w:p>
    <w:p w14:paraId="2CF3A9DD" w14:textId="31382490"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Balaras</w:t>
      </w:r>
      <w:proofErr w:type="spellEnd"/>
      <w:r w:rsidRPr="006568DD">
        <w:rPr>
          <w:rFonts w:ascii="Cambria" w:hAnsi="Cambria"/>
          <w:iCs/>
        </w:rPr>
        <w:t xml:space="preserve">, C.A., </w:t>
      </w:r>
      <w:proofErr w:type="spellStart"/>
      <w:r w:rsidRPr="006568DD">
        <w:rPr>
          <w:rFonts w:ascii="Cambria" w:hAnsi="Cambria"/>
          <w:iCs/>
        </w:rPr>
        <w:t>Gaglia</w:t>
      </w:r>
      <w:proofErr w:type="spellEnd"/>
      <w:r w:rsidRPr="006568DD">
        <w:rPr>
          <w:rFonts w:ascii="Cambria" w:hAnsi="Cambria"/>
          <w:iCs/>
        </w:rPr>
        <w:t xml:space="preserve">, A.G., </w:t>
      </w:r>
      <w:proofErr w:type="spellStart"/>
      <w:r w:rsidRPr="006568DD">
        <w:rPr>
          <w:rFonts w:ascii="Cambria" w:hAnsi="Cambria"/>
          <w:iCs/>
        </w:rPr>
        <w:t>Georgopoulou</w:t>
      </w:r>
      <w:proofErr w:type="spellEnd"/>
      <w:r w:rsidRPr="006568DD">
        <w:rPr>
          <w:rFonts w:ascii="Cambria" w:hAnsi="Cambria"/>
          <w:iCs/>
        </w:rPr>
        <w:t xml:space="preserve">, E., </w:t>
      </w:r>
      <w:proofErr w:type="spellStart"/>
      <w:r w:rsidRPr="006568DD">
        <w:rPr>
          <w:rFonts w:ascii="Cambria" w:hAnsi="Cambria"/>
          <w:iCs/>
        </w:rPr>
        <w:t>Mirasgedis</w:t>
      </w:r>
      <w:proofErr w:type="spellEnd"/>
      <w:r w:rsidRPr="006568DD">
        <w:rPr>
          <w:rFonts w:ascii="Cambria" w:hAnsi="Cambria"/>
          <w:iCs/>
        </w:rPr>
        <w:t xml:space="preserve">, S., </w:t>
      </w:r>
      <w:proofErr w:type="spellStart"/>
      <w:r w:rsidRPr="006568DD">
        <w:rPr>
          <w:rFonts w:ascii="Cambria" w:hAnsi="Cambria"/>
          <w:iCs/>
        </w:rPr>
        <w:t>Sarafidis</w:t>
      </w:r>
      <w:proofErr w:type="spellEnd"/>
      <w:r w:rsidRPr="006568DD">
        <w:rPr>
          <w:rFonts w:ascii="Cambria" w:hAnsi="Cambria"/>
          <w:iCs/>
        </w:rPr>
        <w:t>, Y. and Lalas, D.P. (2007)</w:t>
      </w:r>
      <w:r w:rsidR="0037662A" w:rsidRPr="006568DD">
        <w:rPr>
          <w:rFonts w:ascii="Cambria" w:hAnsi="Cambria"/>
          <w:iCs/>
        </w:rPr>
        <w:t>,</w:t>
      </w:r>
      <w:r w:rsidRPr="006568DD">
        <w:rPr>
          <w:rFonts w:ascii="Cambria" w:hAnsi="Cambria"/>
          <w:iCs/>
        </w:rPr>
        <w:t xml:space="preserve"> </w:t>
      </w:r>
      <w:r w:rsidR="00AC7848" w:rsidRPr="006568DD">
        <w:rPr>
          <w:rFonts w:ascii="Cambria" w:hAnsi="Cambria"/>
          <w:iCs/>
        </w:rPr>
        <w:t>“</w:t>
      </w:r>
      <w:r w:rsidRPr="006568DD">
        <w:rPr>
          <w:rFonts w:ascii="Cambria" w:hAnsi="Cambria"/>
          <w:iCs/>
        </w:rPr>
        <w:t>European residential buildings and empirical assessment of the Hellenic building stock, energy consumption, emissions and potential energy savings</w:t>
      </w:r>
      <w:r w:rsidR="0037662A" w:rsidRPr="006568DD">
        <w:rPr>
          <w:rFonts w:ascii="Cambria" w:hAnsi="Cambria"/>
          <w:iCs/>
        </w:rPr>
        <w:t xml:space="preserve">”, </w:t>
      </w:r>
      <w:r w:rsidRPr="00714B37">
        <w:rPr>
          <w:rFonts w:ascii="Cambria" w:hAnsi="Cambria"/>
          <w:i/>
          <w:iCs/>
        </w:rPr>
        <w:t>Building and Environment</w:t>
      </w:r>
      <w:r w:rsidR="0037662A" w:rsidRPr="006568DD">
        <w:rPr>
          <w:rFonts w:ascii="Cambria" w:hAnsi="Cambria"/>
          <w:iCs/>
        </w:rPr>
        <w:t>,</w:t>
      </w:r>
      <w:r w:rsidRPr="006568DD">
        <w:rPr>
          <w:rFonts w:ascii="Cambria" w:hAnsi="Cambria"/>
          <w:iCs/>
        </w:rPr>
        <w:t xml:space="preserve"> 42 (3), pp.1298-1314.</w:t>
      </w:r>
    </w:p>
    <w:p w14:paraId="1AC8557C" w14:textId="04B9790E" w:rsidR="00814487" w:rsidRPr="006568DD" w:rsidRDefault="00814487" w:rsidP="00BD25D5">
      <w:pPr>
        <w:spacing w:after="240"/>
        <w:ind w:left="284" w:hanging="284"/>
        <w:jc w:val="both"/>
        <w:rPr>
          <w:rFonts w:ascii="Cambria" w:hAnsi="Cambria"/>
          <w:iCs/>
        </w:rPr>
      </w:pPr>
      <w:r w:rsidRPr="006568DD">
        <w:rPr>
          <w:rFonts w:ascii="Cambria" w:hAnsi="Cambria"/>
          <w:iCs/>
        </w:rPr>
        <w:t>Baker, P. (2011</w:t>
      </w:r>
      <w:r w:rsidR="0037662A" w:rsidRPr="006568DD">
        <w:rPr>
          <w:rFonts w:ascii="Cambria" w:hAnsi="Cambria"/>
          <w:iCs/>
        </w:rPr>
        <w:t xml:space="preserve">), </w:t>
      </w:r>
      <w:r w:rsidRPr="00714B37">
        <w:rPr>
          <w:rFonts w:ascii="Cambria" w:hAnsi="Cambria"/>
          <w:i/>
          <w:iCs/>
        </w:rPr>
        <w:t>U-values and traditional buildings, in situ measurements and their comparisons to calculated values</w:t>
      </w:r>
      <w:r w:rsidR="0037662A" w:rsidRPr="006568DD">
        <w:rPr>
          <w:rFonts w:ascii="Cambria" w:hAnsi="Cambria"/>
          <w:iCs/>
        </w:rPr>
        <w:t xml:space="preserve">, </w:t>
      </w:r>
      <w:r w:rsidRPr="006568DD">
        <w:rPr>
          <w:rFonts w:ascii="Cambria" w:hAnsi="Cambria"/>
          <w:iCs/>
        </w:rPr>
        <w:t>Edinburgh: Historic Scotland.</w:t>
      </w:r>
    </w:p>
    <w:p w14:paraId="1284337E" w14:textId="0A7ADD1D"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Blaikie</w:t>
      </w:r>
      <w:proofErr w:type="spellEnd"/>
      <w:r w:rsidRPr="006568DD">
        <w:rPr>
          <w:rFonts w:ascii="Cambria" w:hAnsi="Cambria"/>
          <w:iCs/>
        </w:rPr>
        <w:t>, N. W. H. (2009</w:t>
      </w:r>
      <w:r w:rsidR="0037662A" w:rsidRPr="006568DD">
        <w:rPr>
          <w:rFonts w:ascii="Cambria" w:hAnsi="Cambria"/>
          <w:iCs/>
        </w:rPr>
        <w:t xml:space="preserve">), </w:t>
      </w:r>
      <w:r w:rsidRPr="00714B37">
        <w:rPr>
          <w:rFonts w:ascii="Cambria" w:hAnsi="Cambria"/>
          <w:i/>
          <w:iCs/>
        </w:rPr>
        <w:t>Designing social research: the logic of anticipation</w:t>
      </w:r>
      <w:r w:rsidR="0037662A" w:rsidRPr="006568DD">
        <w:rPr>
          <w:rFonts w:ascii="Cambria" w:hAnsi="Cambria"/>
          <w:iCs/>
        </w:rPr>
        <w:t xml:space="preserve">, </w:t>
      </w:r>
      <w:r w:rsidRPr="006568DD">
        <w:rPr>
          <w:rFonts w:ascii="Cambria" w:hAnsi="Cambria"/>
          <w:iCs/>
        </w:rPr>
        <w:t xml:space="preserve">2nd ed., Polity, Cambridge. </w:t>
      </w:r>
    </w:p>
    <w:p w14:paraId="74B81A26" w14:textId="31A4B1A5"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Bondre</w:t>
      </w:r>
      <w:proofErr w:type="spellEnd"/>
      <w:r w:rsidRPr="006568DD">
        <w:rPr>
          <w:rFonts w:ascii="Cambria" w:hAnsi="Cambria"/>
          <w:iCs/>
        </w:rPr>
        <w:t>, N. (2016</w:t>
      </w:r>
      <w:r w:rsidR="0037662A" w:rsidRPr="006568DD">
        <w:rPr>
          <w:rFonts w:ascii="Cambria" w:hAnsi="Cambria"/>
          <w:iCs/>
        </w:rPr>
        <w:t>), “</w:t>
      </w:r>
      <w:r w:rsidRPr="006568DD">
        <w:rPr>
          <w:rFonts w:ascii="Cambria" w:hAnsi="Cambria"/>
          <w:iCs/>
        </w:rPr>
        <w:t>Time to move on from the information-deficit model</w:t>
      </w:r>
      <w:r w:rsidR="0037662A" w:rsidRPr="006568DD">
        <w:rPr>
          <w:rFonts w:ascii="Cambria" w:hAnsi="Cambria"/>
          <w:iCs/>
        </w:rPr>
        <w:t>”,</w:t>
      </w:r>
      <w:r w:rsidRPr="006568DD">
        <w:rPr>
          <w:rFonts w:ascii="Cambria" w:hAnsi="Cambria"/>
          <w:iCs/>
        </w:rPr>
        <w:t xml:space="preserve"> </w:t>
      </w:r>
      <w:r w:rsidR="0037662A" w:rsidRPr="006568DD">
        <w:rPr>
          <w:rFonts w:ascii="Cambria" w:hAnsi="Cambria"/>
          <w:iCs/>
        </w:rPr>
        <w:t xml:space="preserve">available </w:t>
      </w:r>
      <w:r w:rsidR="00797EE1" w:rsidRPr="006568DD">
        <w:rPr>
          <w:rFonts w:ascii="Cambria" w:hAnsi="Cambria"/>
          <w:iCs/>
        </w:rPr>
        <w:t>at</w:t>
      </w:r>
      <w:r w:rsidRPr="006568DD">
        <w:rPr>
          <w:rFonts w:ascii="Cambria" w:hAnsi="Cambria"/>
          <w:iCs/>
        </w:rPr>
        <w:t xml:space="preserve">: http://elevatescientific.com/time-to-move-on-from-the-information-deficit-model/ </w:t>
      </w:r>
      <w:r w:rsidR="0037662A" w:rsidRPr="006568DD">
        <w:rPr>
          <w:rFonts w:ascii="Cambria" w:hAnsi="Cambria"/>
          <w:iCs/>
        </w:rPr>
        <w:t>(</w:t>
      </w:r>
      <w:r w:rsidRPr="006568DD">
        <w:rPr>
          <w:rFonts w:ascii="Cambria" w:hAnsi="Cambria"/>
          <w:iCs/>
        </w:rPr>
        <w:t>Accessed on 24 March 2017</w:t>
      </w:r>
      <w:r w:rsidR="0037662A" w:rsidRPr="006568DD">
        <w:rPr>
          <w:rFonts w:ascii="Cambria" w:hAnsi="Cambria"/>
          <w:iCs/>
        </w:rPr>
        <w:t>).</w:t>
      </w:r>
    </w:p>
    <w:p w14:paraId="55D0188B" w14:textId="163FE175" w:rsidR="00814487" w:rsidRPr="006568DD" w:rsidRDefault="00814487" w:rsidP="00BD25D5">
      <w:pPr>
        <w:spacing w:after="240"/>
        <w:ind w:left="284" w:hanging="284"/>
        <w:jc w:val="both"/>
        <w:rPr>
          <w:rFonts w:ascii="Cambria" w:hAnsi="Cambria"/>
          <w:iCs/>
        </w:rPr>
      </w:pPr>
      <w:r w:rsidRPr="006568DD">
        <w:rPr>
          <w:rFonts w:ascii="Cambria" w:hAnsi="Cambria"/>
          <w:iCs/>
          <w:lang w:val="it-IT"/>
        </w:rPr>
        <w:t>Bossi, S. (2009</w:t>
      </w:r>
      <w:r w:rsidR="0037662A" w:rsidRPr="006568DD">
        <w:rPr>
          <w:rFonts w:ascii="Cambria" w:hAnsi="Cambria"/>
          <w:iCs/>
          <w:lang w:val="it-IT"/>
        </w:rPr>
        <w:t xml:space="preserve">), </w:t>
      </w:r>
      <w:r w:rsidRPr="00714B37">
        <w:rPr>
          <w:rFonts w:ascii="Cambria" w:hAnsi="Cambria"/>
          <w:i/>
          <w:iCs/>
          <w:lang w:val="it-IT"/>
        </w:rPr>
        <w:t>Innovazioni di processo nella conservazione del patrimonio storico architettonico: il ruolo dell’impresa. Formulazione di proposte organizzative e di procedure esecutive per attivare e gestire processi di conservazione programmata</w:t>
      </w:r>
      <w:r w:rsidR="0037662A" w:rsidRPr="006568DD">
        <w:rPr>
          <w:rFonts w:ascii="Cambria" w:hAnsi="Cambria"/>
          <w:i/>
          <w:iCs/>
          <w:lang w:val="it-IT"/>
        </w:rPr>
        <w:t>,</w:t>
      </w:r>
      <w:r w:rsidRPr="006568DD">
        <w:rPr>
          <w:rFonts w:ascii="Cambria" w:hAnsi="Cambria"/>
          <w:iCs/>
          <w:lang w:val="it-IT"/>
        </w:rPr>
        <w:t xml:space="preserve"> </w:t>
      </w:r>
      <w:r w:rsidRPr="006568DD">
        <w:rPr>
          <w:rFonts w:ascii="Cambria" w:hAnsi="Cambria"/>
          <w:iCs/>
        </w:rPr>
        <w:t xml:space="preserve">PhD, </w:t>
      </w:r>
      <w:proofErr w:type="spellStart"/>
      <w:r w:rsidRPr="006568DD">
        <w:rPr>
          <w:rFonts w:ascii="Cambria" w:hAnsi="Cambria"/>
          <w:iCs/>
        </w:rPr>
        <w:t>Politecnico</w:t>
      </w:r>
      <w:proofErr w:type="spellEnd"/>
      <w:r w:rsidRPr="006568DD">
        <w:rPr>
          <w:rFonts w:ascii="Cambria" w:hAnsi="Cambria"/>
          <w:iCs/>
        </w:rPr>
        <w:t xml:space="preserve"> di Milano. </w:t>
      </w:r>
    </w:p>
    <w:p w14:paraId="2B4A6630" w14:textId="3C2AA08F" w:rsidR="00814487" w:rsidRPr="006568DD" w:rsidRDefault="00814487" w:rsidP="00BD25D5">
      <w:pPr>
        <w:spacing w:after="240"/>
        <w:ind w:left="284" w:hanging="284"/>
        <w:jc w:val="both"/>
        <w:rPr>
          <w:rFonts w:ascii="Cambria" w:hAnsi="Cambria"/>
          <w:iCs/>
        </w:rPr>
      </w:pPr>
      <w:r w:rsidRPr="006568DD">
        <w:rPr>
          <w:rFonts w:ascii="Cambria" w:hAnsi="Cambria"/>
          <w:iCs/>
        </w:rPr>
        <w:t>Building Research Establishment (2016)</w:t>
      </w:r>
      <w:r w:rsidR="0037662A" w:rsidRPr="006568DD">
        <w:rPr>
          <w:rFonts w:ascii="Cambria" w:hAnsi="Cambria"/>
          <w:iCs/>
        </w:rPr>
        <w:t>,</w:t>
      </w:r>
      <w:r w:rsidRPr="006568DD">
        <w:rPr>
          <w:rFonts w:ascii="Cambria" w:hAnsi="Cambria"/>
          <w:iCs/>
        </w:rPr>
        <w:t xml:space="preserve"> </w:t>
      </w:r>
      <w:r w:rsidR="0037662A" w:rsidRPr="006568DD">
        <w:rPr>
          <w:rFonts w:ascii="Cambria" w:hAnsi="Cambria"/>
          <w:iCs/>
        </w:rPr>
        <w:t>“</w:t>
      </w:r>
      <w:r w:rsidRPr="006568DD">
        <w:rPr>
          <w:rFonts w:ascii="Cambria" w:hAnsi="Cambria"/>
          <w:iCs/>
        </w:rPr>
        <w:t>Review of default U-values for existing buildings in SAP</w:t>
      </w:r>
      <w:r w:rsidR="0037662A" w:rsidRPr="006568DD">
        <w:rPr>
          <w:rFonts w:ascii="Cambria" w:hAnsi="Cambria"/>
          <w:iCs/>
        </w:rPr>
        <w:t>”,</w:t>
      </w:r>
      <w:r w:rsidRPr="006568DD">
        <w:rPr>
          <w:rFonts w:ascii="Cambria" w:hAnsi="Cambria"/>
          <w:iCs/>
        </w:rPr>
        <w:t xml:space="preserve"> </w:t>
      </w:r>
      <w:r w:rsidR="0037662A" w:rsidRPr="006568DD">
        <w:rPr>
          <w:rFonts w:ascii="Cambria" w:hAnsi="Cambria"/>
          <w:iCs/>
        </w:rPr>
        <w:t xml:space="preserve">available </w:t>
      </w:r>
      <w:r w:rsidR="00797EE1" w:rsidRPr="006568DD">
        <w:rPr>
          <w:rFonts w:ascii="Cambria" w:hAnsi="Cambria"/>
          <w:iCs/>
        </w:rPr>
        <w:t>at</w:t>
      </w:r>
      <w:r w:rsidRPr="006568DD">
        <w:rPr>
          <w:rFonts w:ascii="Cambria" w:hAnsi="Cambria"/>
          <w:iCs/>
        </w:rPr>
        <w:t xml:space="preserve">: https://www.bre.co.uk/filelibrary/SAP/2016/CONSP-16---Wall-U-values-for-existing-dwellings---V1_0.pdf </w:t>
      </w:r>
      <w:r w:rsidR="0037662A" w:rsidRPr="006568DD">
        <w:rPr>
          <w:rFonts w:ascii="Cambria" w:hAnsi="Cambria"/>
          <w:iCs/>
        </w:rPr>
        <w:t>(</w:t>
      </w:r>
      <w:r w:rsidRPr="006568DD">
        <w:rPr>
          <w:rFonts w:ascii="Cambria" w:hAnsi="Cambria"/>
          <w:iCs/>
        </w:rPr>
        <w:t>Accessed 23 August 2017</w:t>
      </w:r>
      <w:r w:rsidR="0037662A" w:rsidRPr="006568DD">
        <w:rPr>
          <w:rFonts w:ascii="Cambria" w:hAnsi="Cambria"/>
          <w:iCs/>
        </w:rPr>
        <w:t>)</w:t>
      </w:r>
      <w:r w:rsidRPr="006568DD">
        <w:rPr>
          <w:rFonts w:ascii="Cambria" w:hAnsi="Cambria"/>
          <w:iCs/>
        </w:rPr>
        <w:t>.</w:t>
      </w:r>
    </w:p>
    <w:p w14:paraId="1776BB42" w14:textId="0B93168C" w:rsidR="00A42FCC" w:rsidRPr="006568DD" w:rsidRDefault="00D84F57" w:rsidP="006568DD">
      <w:pPr>
        <w:spacing w:after="240"/>
        <w:ind w:left="284" w:hanging="284"/>
        <w:jc w:val="both"/>
        <w:rPr>
          <w:rFonts w:ascii="Cambria" w:hAnsi="Cambria"/>
          <w:iCs/>
        </w:rPr>
      </w:pPr>
      <w:proofErr w:type="spellStart"/>
      <w:proofErr w:type="gramStart"/>
      <w:r w:rsidRPr="006568DD">
        <w:rPr>
          <w:rFonts w:ascii="Cambria" w:hAnsi="Cambria"/>
          <w:iCs/>
        </w:rPr>
        <w:t>Burman</w:t>
      </w:r>
      <w:proofErr w:type="spellEnd"/>
      <w:r w:rsidRPr="006568DD">
        <w:rPr>
          <w:rFonts w:ascii="Cambria" w:hAnsi="Cambria"/>
          <w:iCs/>
        </w:rPr>
        <w:t xml:space="preserve">, E., </w:t>
      </w:r>
      <w:proofErr w:type="spellStart"/>
      <w:r w:rsidRPr="006568DD">
        <w:rPr>
          <w:rFonts w:ascii="Cambria" w:hAnsi="Cambria"/>
          <w:iCs/>
        </w:rPr>
        <w:t>Mumovic</w:t>
      </w:r>
      <w:proofErr w:type="spellEnd"/>
      <w:r w:rsidRPr="006568DD">
        <w:rPr>
          <w:rFonts w:ascii="Cambria" w:hAnsi="Cambria"/>
          <w:iCs/>
        </w:rPr>
        <w:t xml:space="preserve">, D. and </w:t>
      </w:r>
      <w:proofErr w:type="spellStart"/>
      <w:r w:rsidRPr="006568DD">
        <w:rPr>
          <w:rFonts w:ascii="Cambria" w:hAnsi="Cambria"/>
          <w:iCs/>
        </w:rPr>
        <w:t>Kimpian</w:t>
      </w:r>
      <w:proofErr w:type="spellEnd"/>
      <w:r w:rsidRPr="006568DD">
        <w:rPr>
          <w:rFonts w:ascii="Cambria" w:hAnsi="Cambria"/>
          <w:iCs/>
        </w:rPr>
        <w:t xml:space="preserve">, J. (2014), </w:t>
      </w:r>
      <w:r w:rsidR="00E833BD" w:rsidRPr="006568DD">
        <w:rPr>
          <w:rFonts w:ascii="Cambria" w:hAnsi="Cambria"/>
          <w:iCs/>
        </w:rPr>
        <w:t>“</w:t>
      </w:r>
      <w:r w:rsidRPr="006568DD">
        <w:rPr>
          <w:rFonts w:ascii="Cambria" w:hAnsi="Cambria"/>
          <w:iCs/>
        </w:rPr>
        <w:t>Towards measurement and verification of energy performance under the framework of the European directive for energy performance of buildings</w:t>
      </w:r>
      <w:r w:rsidR="00E833BD" w:rsidRPr="006568DD">
        <w:rPr>
          <w:rFonts w:ascii="Cambria" w:hAnsi="Cambria"/>
          <w:iCs/>
        </w:rPr>
        <w:t>”</w:t>
      </w:r>
      <w:r w:rsidRPr="006568DD">
        <w:rPr>
          <w:rFonts w:ascii="Cambria" w:hAnsi="Cambria"/>
          <w:iCs/>
        </w:rPr>
        <w:t xml:space="preserve">, </w:t>
      </w:r>
      <w:r w:rsidRPr="006568DD">
        <w:rPr>
          <w:rFonts w:ascii="Cambria" w:hAnsi="Cambria"/>
          <w:i/>
          <w:iCs/>
        </w:rPr>
        <w:t>Energy</w:t>
      </w:r>
      <w:r w:rsidRPr="006568DD">
        <w:rPr>
          <w:rFonts w:ascii="Cambria" w:hAnsi="Cambria"/>
          <w:iCs/>
        </w:rPr>
        <w:t>, Vol. 77, pp. 153 – 163.</w:t>
      </w:r>
      <w:proofErr w:type="gramEnd"/>
    </w:p>
    <w:p w14:paraId="503A5981" w14:textId="10003135" w:rsidR="00D84F57" w:rsidRPr="006568DD" w:rsidRDefault="00D84F57" w:rsidP="00D84F57">
      <w:pPr>
        <w:spacing w:after="240"/>
        <w:ind w:left="284" w:hanging="284"/>
        <w:jc w:val="both"/>
        <w:rPr>
          <w:rFonts w:ascii="Cambria" w:hAnsi="Cambria"/>
          <w:iCs/>
        </w:rPr>
      </w:pPr>
      <w:r w:rsidRPr="006568DD">
        <w:rPr>
          <w:rFonts w:ascii="Cambria" w:hAnsi="Cambria"/>
          <w:iCs/>
        </w:rPr>
        <w:t xml:space="preserve">Campbell, N., McGrath, T., </w:t>
      </w:r>
      <w:proofErr w:type="spellStart"/>
      <w:r w:rsidRPr="006568DD">
        <w:rPr>
          <w:rFonts w:ascii="Cambria" w:hAnsi="Cambria"/>
          <w:iCs/>
        </w:rPr>
        <w:t>Nanukuttan</w:t>
      </w:r>
      <w:proofErr w:type="spellEnd"/>
      <w:r w:rsidRPr="006568DD">
        <w:rPr>
          <w:rFonts w:ascii="Cambria" w:hAnsi="Cambria"/>
          <w:iCs/>
        </w:rPr>
        <w:t xml:space="preserve">, S. and Brown, S. (2017), </w:t>
      </w:r>
      <w:r w:rsidR="00E833BD" w:rsidRPr="006568DD">
        <w:rPr>
          <w:rFonts w:ascii="Cambria" w:hAnsi="Cambria"/>
          <w:iCs/>
        </w:rPr>
        <w:t>“</w:t>
      </w:r>
      <w:r w:rsidRPr="006568DD">
        <w:rPr>
          <w:rFonts w:ascii="Cambria" w:hAnsi="Cambria"/>
          <w:iCs/>
        </w:rPr>
        <w:t xml:space="preserve">Monitoring the </w:t>
      </w:r>
      <w:proofErr w:type="spellStart"/>
      <w:r w:rsidRPr="006568DD">
        <w:rPr>
          <w:rFonts w:ascii="Cambria" w:hAnsi="Cambria"/>
          <w:iCs/>
        </w:rPr>
        <w:t>hygrothermal</w:t>
      </w:r>
      <w:proofErr w:type="spellEnd"/>
      <w:r w:rsidRPr="006568DD">
        <w:rPr>
          <w:rFonts w:ascii="Cambria" w:hAnsi="Cambria"/>
          <w:iCs/>
        </w:rPr>
        <w:t xml:space="preserve"> and ventilation </w:t>
      </w:r>
      <w:proofErr w:type="spellStart"/>
      <w:r w:rsidRPr="006568DD">
        <w:rPr>
          <w:rFonts w:ascii="Cambria" w:hAnsi="Cambria"/>
          <w:iCs/>
        </w:rPr>
        <w:t>performace</w:t>
      </w:r>
      <w:proofErr w:type="spellEnd"/>
      <w:r w:rsidRPr="006568DD">
        <w:rPr>
          <w:rFonts w:ascii="Cambria" w:hAnsi="Cambria"/>
          <w:iCs/>
        </w:rPr>
        <w:t xml:space="preserve"> of retrofitted clay brick solid wall houses with internal insulation: Two UK case studies</w:t>
      </w:r>
      <w:r w:rsidR="00E833BD" w:rsidRPr="006568DD">
        <w:rPr>
          <w:rFonts w:ascii="Cambria" w:hAnsi="Cambria"/>
          <w:iCs/>
        </w:rPr>
        <w:t>”</w:t>
      </w:r>
      <w:r w:rsidRPr="006568DD">
        <w:rPr>
          <w:rFonts w:ascii="Cambria" w:hAnsi="Cambria"/>
          <w:iCs/>
        </w:rPr>
        <w:t xml:space="preserve">, </w:t>
      </w:r>
      <w:r w:rsidRPr="006568DD">
        <w:rPr>
          <w:rFonts w:ascii="Cambria" w:hAnsi="Cambria"/>
          <w:i/>
          <w:iCs/>
        </w:rPr>
        <w:t>Case Studies in Construction Materials</w:t>
      </w:r>
      <w:r w:rsidRPr="006568DD">
        <w:rPr>
          <w:rFonts w:ascii="Cambria" w:hAnsi="Cambria"/>
          <w:iCs/>
        </w:rPr>
        <w:t>, Vol. 7, pp. 163 – 179.</w:t>
      </w:r>
    </w:p>
    <w:p w14:paraId="603F032C" w14:textId="2472BED2" w:rsidR="00814487" w:rsidRPr="006568DD" w:rsidRDefault="00814487" w:rsidP="00BD25D5">
      <w:pPr>
        <w:spacing w:after="240"/>
        <w:ind w:left="284" w:hanging="284"/>
        <w:jc w:val="both"/>
        <w:rPr>
          <w:rFonts w:ascii="Cambria" w:hAnsi="Cambria"/>
          <w:iCs/>
        </w:rPr>
      </w:pPr>
      <w:r w:rsidRPr="006568DD">
        <w:rPr>
          <w:rFonts w:ascii="Cambria" w:hAnsi="Cambria"/>
          <w:i/>
          <w:iCs/>
        </w:rPr>
        <w:t>Climate Change Act 2008</w:t>
      </w:r>
      <w:r w:rsidR="0037662A" w:rsidRPr="006568DD">
        <w:rPr>
          <w:rFonts w:ascii="Cambria" w:hAnsi="Cambria"/>
          <w:iCs/>
        </w:rPr>
        <w:t>,</w:t>
      </w:r>
      <w:r w:rsidRPr="006568DD">
        <w:rPr>
          <w:rFonts w:ascii="Cambria" w:hAnsi="Cambria"/>
          <w:iCs/>
        </w:rPr>
        <w:t xml:space="preserve"> </w:t>
      </w:r>
      <w:r w:rsidR="0037662A" w:rsidRPr="006568DD">
        <w:rPr>
          <w:rFonts w:ascii="Cambria" w:hAnsi="Cambria"/>
          <w:iCs/>
        </w:rPr>
        <w:t xml:space="preserve">available </w:t>
      </w:r>
      <w:r w:rsidR="00797EE1" w:rsidRPr="00714B37">
        <w:rPr>
          <w:rFonts w:ascii="Cambria" w:hAnsi="Cambria"/>
          <w:iCs/>
        </w:rPr>
        <w:t>at</w:t>
      </w:r>
      <w:r w:rsidRPr="006568DD">
        <w:rPr>
          <w:rFonts w:ascii="Cambria" w:hAnsi="Cambria"/>
          <w:iCs/>
        </w:rPr>
        <w:t xml:space="preserve">: http://www.legislation.gov.uk/ukpga/2008/27/contents </w:t>
      </w:r>
      <w:r w:rsidR="0037662A" w:rsidRPr="006568DD">
        <w:rPr>
          <w:rFonts w:ascii="Cambria" w:hAnsi="Cambria"/>
          <w:iCs/>
        </w:rPr>
        <w:t>(</w:t>
      </w:r>
      <w:r w:rsidRPr="006568DD">
        <w:rPr>
          <w:rFonts w:ascii="Cambria" w:hAnsi="Cambria"/>
          <w:iCs/>
        </w:rPr>
        <w:t>Accessed 01 February 2016</w:t>
      </w:r>
      <w:r w:rsidR="0037662A" w:rsidRPr="006568DD">
        <w:rPr>
          <w:rFonts w:ascii="Cambria" w:hAnsi="Cambria"/>
          <w:iCs/>
        </w:rPr>
        <w:t>)</w:t>
      </w:r>
      <w:r w:rsidRPr="006568DD">
        <w:rPr>
          <w:rFonts w:ascii="Cambria" w:hAnsi="Cambria"/>
          <w:iCs/>
        </w:rPr>
        <w:t>.</w:t>
      </w:r>
    </w:p>
    <w:p w14:paraId="6C69909D" w14:textId="2FBAF0DA"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Crockford</w:t>
      </w:r>
      <w:proofErr w:type="spellEnd"/>
      <w:r w:rsidRPr="006568DD">
        <w:rPr>
          <w:rFonts w:ascii="Cambria" w:hAnsi="Cambria"/>
          <w:iCs/>
        </w:rPr>
        <w:t>, D. (2014)</w:t>
      </w:r>
      <w:r w:rsidR="000E1D17" w:rsidRPr="006568DD">
        <w:rPr>
          <w:rFonts w:ascii="Cambria" w:hAnsi="Cambria"/>
          <w:iCs/>
        </w:rPr>
        <w:t>,</w:t>
      </w:r>
      <w:r w:rsidRPr="006568DD">
        <w:rPr>
          <w:rFonts w:ascii="Cambria" w:hAnsi="Cambria"/>
          <w:iCs/>
        </w:rPr>
        <w:t xml:space="preserve"> </w:t>
      </w:r>
      <w:r w:rsidR="000E1D17" w:rsidRPr="006568DD">
        <w:rPr>
          <w:rFonts w:ascii="Cambria" w:hAnsi="Cambria"/>
          <w:iCs/>
        </w:rPr>
        <w:t>“</w:t>
      </w:r>
      <w:r w:rsidRPr="006568DD">
        <w:rPr>
          <w:rFonts w:ascii="Cambria" w:hAnsi="Cambria"/>
          <w:iCs/>
        </w:rPr>
        <w:t>Sustaining Our Heritage: The Way Forward for Energy-Efficient Historic Housing Stock</w:t>
      </w:r>
      <w:r w:rsidR="000E1D17" w:rsidRPr="006568DD">
        <w:rPr>
          <w:rFonts w:ascii="Cambria" w:hAnsi="Cambria"/>
          <w:iCs/>
        </w:rPr>
        <w:t>”</w:t>
      </w:r>
      <w:r w:rsidRPr="006568DD">
        <w:rPr>
          <w:rFonts w:ascii="Cambria" w:hAnsi="Cambria"/>
          <w:iCs/>
        </w:rPr>
        <w:t xml:space="preserve">. </w:t>
      </w:r>
      <w:r w:rsidRPr="00714B37">
        <w:rPr>
          <w:rFonts w:ascii="Cambria" w:hAnsi="Cambria"/>
          <w:i/>
          <w:iCs/>
        </w:rPr>
        <w:t>The Historic Environment: Policy &amp; Practice</w:t>
      </w:r>
      <w:r w:rsidR="000E1D17" w:rsidRPr="006568DD">
        <w:rPr>
          <w:rFonts w:ascii="Cambria" w:hAnsi="Cambria"/>
          <w:i/>
          <w:iCs/>
        </w:rPr>
        <w:t xml:space="preserve">, </w:t>
      </w:r>
      <w:r w:rsidRPr="006568DD">
        <w:rPr>
          <w:rFonts w:ascii="Cambria" w:hAnsi="Cambria"/>
          <w:iCs/>
        </w:rPr>
        <w:t>5 (2), pp.196-209.</w:t>
      </w:r>
    </w:p>
    <w:p w14:paraId="28DDCAE0" w14:textId="16183AFC" w:rsidR="00814487" w:rsidRPr="006568DD" w:rsidRDefault="00814487" w:rsidP="00BD25D5">
      <w:pPr>
        <w:spacing w:after="240"/>
        <w:ind w:left="284" w:hanging="284"/>
        <w:jc w:val="both"/>
        <w:rPr>
          <w:rFonts w:ascii="Cambria" w:hAnsi="Cambria"/>
          <w:iCs/>
        </w:rPr>
      </w:pPr>
      <w:r w:rsidRPr="006568DD">
        <w:rPr>
          <w:rFonts w:ascii="Cambria" w:hAnsi="Cambria"/>
          <w:iCs/>
        </w:rPr>
        <w:t xml:space="preserve">Cultural Property Technical Committee 346 (CEN/TC, 2015), </w:t>
      </w:r>
      <w:r w:rsidR="00EF38FC" w:rsidRPr="00714B37">
        <w:rPr>
          <w:rFonts w:ascii="Cambria" w:hAnsi="Cambria"/>
          <w:iCs/>
        </w:rPr>
        <w:t>“</w:t>
      </w:r>
      <w:r w:rsidRPr="006568DD">
        <w:rPr>
          <w:rFonts w:ascii="Cambria" w:hAnsi="Cambria"/>
          <w:iCs/>
        </w:rPr>
        <w:t>Business Plan CEN/TC 346 – Conservation of Cultural Heritage</w:t>
      </w:r>
      <w:r w:rsidR="00EF38FC" w:rsidRPr="00714B37">
        <w:rPr>
          <w:rFonts w:ascii="Cambria" w:hAnsi="Cambria"/>
          <w:iCs/>
        </w:rPr>
        <w:t>”</w:t>
      </w:r>
      <w:r w:rsidRPr="006568DD">
        <w:rPr>
          <w:rFonts w:ascii="Cambria" w:hAnsi="Cambria"/>
          <w:iCs/>
        </w:rPr>
        <w:t>, European Committee for Standardization.</w:t>
      </w:r>
    </w:p>
    <w:p w14:paraId="66E63309" w14:textId="7DE63DC3" w:rsidR="00D84F57" w:rsidRPr="006568DD" w:rsidRDefault="00D84F57" w:rsidP="00D84F57">
      <w:pPr>
        <w:spacing w:after="240"/>
        <w:ind w:left="284" w:hanging="284"/>
        <w:jc w:val="both"/>
        <w:rPr>
          <w:rFonts w:ascii="Cambria" w:hAnsi="Cambria"/>
          <w:iCs/>
        </w:rPr>
      </w:pPr>
      <w:r w:rsidRPr="006568DD">
        <w:rPr>
          <w:rFonts w:ascii="Cambria" w:hAnsi="Cambria"/>
          <w:iCs/>
        </w:rPr>
        <w:t xml:space="preserve">Curtis, R. (2010), </w:t>
      </w:r>
      <w:r w:rsidR="00E833BD" w:rsidRPr="006568DD">
        <w:rPr>
          <w:rFonts w:ascii="Cambria" w:hAnsi="Cambria"/>
          <w:iCs/>
        </w:rPr>
        <w:t>“</w:t>
      </w:r>
      <w:r w:rsidRPr="006568DD">
        <w:rPr>
          <w:rFonts w:ascii="Cambria" w:hAnsi="Cambria"/>
          <w:iCs/>
        </w:rPr>
        <w:t>Climate Change in Traditional Buildings: The Approach Taken by Historic Scotland</w:t>
      </w:r>
      <w:r w:rsidR="00E833BD" w:rsidRPr="006568DD">
        <w:rPr>
          <w:rFonts w:ascii="Cambria" w:hAnsi="Cambria"/>
          <w:iCs/>
        </w:rPr>
        <w:t>”</w:t>
      </w:r>
      <w:r w:rsidRPr="006568DD">
        <w:rPr>
          <w:rFonts w:ascii="Cambria" w:hAnsi="Cambria"/>
          <w:iCs/>
        </w:rPr>
        <w:t xml:space="preserve">, </w:t>
      </w:r>
      <w:r w:rsidRPr="006568DD">
        <w:rPr>
          <w:rFonts w:ascii="Cambria" w:hAnsi="Cambria"/>
          <w:i/>
          <w:iCs/>
        </w:rPr>
        <w:t>Journal of Architectural Conservation</w:t>
      </w:r>
      <w:r w:rsidRPr="006568DD">
        <w:rPr>
          <w:rFonts w:ascii="Cambria" w:hAnsi="Cambria"/>
          <w:iCs/>
        </w:rPr>
        <w:t>, Vol. 16 No. 3, pp. 7 – 27.</w:t>
      </w:r>
    </w:p>
    <w:p w14:paraId="5FBCC62B" w14:textId="0D740171" w:rsidR="00814487" w:rsidRPr="006568DD" w:rsidRDefault="00814487" w:rsidP="00BD25D5">
      <w:pPr>
        <w:spacing w:after="240"/>
        <w:ind w:left="284" w:hanging="284"/>
        <w:jc w:val="both"/>
        <w:rPr>
          <w:rFonts w:ascii="Cambria" w:hAnsi="Cambria"/>
          <w:iCs/>
        </w:rPr>
      </w:pPr>
      <w:r w:rsidRPr="006568DD">
        <w:rPr>
          <w:rFonts w:ascii="Cambria" w:hAnsi="Cambria"/>
          <w:iCs/>
        </w:rPr>
        <w:t>Department for Communities and Local Government (DCLG) (2015</w:t>
      </w:r>
      <w:r w:rsidR="000E1D17" w:rsidRPr="006568DD">
        <w:rPr>
          <w:rFonts w:ascii="Cambria" w:hAnsi="Cambria"/>
          <w:iCs/>
        </w:rPr>
        <w:t>), “</w:t>
      </w:r>
      <w:r w:rsidRPr="006568DD">
        <w:rPr>
          <w:rFonts w:ascii="Cambria" w:hAnsi="Cambria"/>
          <w:iCs/>
        </w:rPr>
        <w:t>English Housing Survey Headline Report 2013-14</w:t>
      </w:r>
      <w:r w:rsidR="000E1D17" w:rsidRPr="006568DD">
        <w:rPr>
          <w:rFonts w:ascii="Cambria" w:hAnsi="Cambria"/>
          <w:iCs/>
        </w:rPr>
        <w:t>”, a</w:t>
      </w:r>
      <w:r w:rsidRPr="006568DD">
        <w:rPr>
          <w:rFonts w:ascii="Cambria" w:hAnsi="Cambria"/>
          <w:iCs/>
        </w:rPr>
        <w:t xml:space="preserve">vailable </w:t>
      </w:r>
      <w:r w:rsidR="00797EE1" w:rsidRPr="006568DD">
        <w:rPr>
          <w:rFonts w:ascii="Cambria" w:hAnsi="Cambria"/>
          <w:iCs/>
        </w:rPr>
        <w:t>at</w:t>
      </w:r>
      <w:r w:rsidRPr="006568DD">
        <w:rPr>
          <w:rFonts w:ascii="Cambria" w:hAnsi="Cambria"/>
          <w:iCs/>
        </w:rPr>
        <w:t xml:space="preserve">: https://www.natcen.ac.uk/media/837181/english_housing_survey_headline_report_2013-14.pdf </w:t>
      </w:r>
      <w:r w:rsidR="0037662A" w:rsidRPr="006568DD">
        <w:rPr>
          <w:rFonts w:ascii="Cambria" w:hAnsi="Cambria"/>
          <w:iCs/>
        </w:rPr>
        <w:t>(</w:t>
      </w:r>
      <w:r w:rsidRPr="006568DD">
        <w:rPr>
          <w:rFonts w:ascii="Cambria" w:hAnsi="Cambria"/>
          <w:iCs/>
        </w:rPr>
        <w:t>Accessed 01 February 2016</w:t>
      </w:r>
      <w:r w:rsidR="0037662A" w:rsidRPr="006568DD">
        <w:rPr>
          <w:rFonts w:ascii="Cambria" w:hAnsi="Cambria"/>
          <w:iCs/>
        </w:rPr>
        <w:t>)</w:t>
      </w:r>
      <w:r w:rsidRPr="006568DD">
        <w:rPr>
          <w:rFonts w:ascii="Cambria" w:hAnsi="Cambria"/>
          <w:iCs/>
        </w:rPr>
        <w:t>.</w:t>
      </w:r>
    </w:p>
    <w:p w14:paraId="680B54CF" w14:textId="41A0E448" w:rsidR="00814487" w:rsidRPr="006568DD" w:rsidRDefault="00814487" w:rsidP="00BD25D5">
      <w:pPr>
        <w:spacing w:after="240"/>
        <w:ind w:left="284" w:hanging="284"/>
        <w:jc w:val="both"/>
        <w:rPr>
          <w:rFonts w:ascii="Cambria" w:hAnsi="Cambria"/>
          <w:iCs/>
        </w:rPr>
      </w:pPr>
      <w:r w:rsidRPr="006568DD">
        <w:rPr>
          <w:rFonts w:ascii="Cambria" w:hAnsi="Cambria"/>
          <w:iCs/>
        </w:rPr>
        <w:t>Department of Energy and Climate Change (DECC) (2011)</w:t>
      </w:r>
      <w:r w:rsidR="000E1D17" w:rsidRPr="006568DD">
        <w:rPr>
          <w:rFonts w:ascii="Cambria" w:hAnsi="Cambria"/>
          <w:iCs/>
        </w:rPr>
        <w:t>,</w:t>
      </w:r>
      <w:r w:rsidRPr="006568DD">
        <w:rPr>
          <w:rFonts w:ascii="Cambria" w:hAnsi="Cambria"/>
          <w:iCs/>
        </w:rPr>
        <w:t xml:space="preserve"> </w:t>
      </w:r>
      <w:r w:rsidR="000E1D17" w:rsidRPr="006568DD">
        <w:rPr>
          <w:rFonts w:ascii="Cambria" w:hAnsi="Cambria"/>
          <w:iCs/>
        </w:rPr>
        <w:t>“</w:t>
      </w:r>
      <w:r w:rsidRPr="006568DD">
        <w:rPr>
          <w:rFonts w:ascii="Cambria" w:hAnsi="Cambria"/>
          <w:iCs/>
        </w:rPr>
        <w:t>The Carbon Plan: Delivering our low carbon future</w:t>
      </w:r>
      <w:r w:rsidR="000E1D17" w:rsidRPr="006568DD">
        <w:rPr>
          <w:rFonts w:ascii="Cambria" w:hAnsi="Cambria"/>
          <w:iCs/>
        </w:rPr>
        <w:t>”, av</w:t>
      </w:r>
      <w:r w:rsidRPr="006568DD">
        <w:rPr>
          <w:rFonts w:ascii="Cambria" w:hAnsi="Cambria"/>
          <w:iCs/>
        </w:rPr>
        <w:t xml:space="preserve">ailable </w:t>
      </w:r>
      <w:r w:rsidR="00797EE1" w:rsidRPr="006568DD">
        <w:rPr>
          <w:rFonts w:ascii="Cambria" w:hAnsi="Cambria"/>
          <w:iCs/>
        </w:rPr>
        <w:t>at</w:t>
      </w:r>
      <w:r w:rsidRPr="006568DD">
        <w:rPr>
          <w:rFonts w:ascii="Cambria" w:hAnsi="Cambria"/>
          <w:iCs/>
        </w:rPr>
        <w:t xml:space="preserve">: https://www.gov.uk/government/uploads/system/uploads/attachment_data/file/47613/3702-the-carbon-plan-delivering-our-low-carbon-future.pdf </w:t>
      </w:r>
      <w:r w:rsidR="0037662A" w:rsidRPr="006568DD">
        <w:rPr>
          <w:rFonts w:ascii="Cambria" w:hAnsi="Cambria"/>
          <w:iCs/>
        </w:rPr>
        <w:t>(</w:t>
      </w:r>
      <w:r w:rsidRPr="006568DD">
        <w:rPr>
          <w:rFonts w:ascii="Cambria" w:hAnsi="Cambria"/>
          <w:iCs/>
        </w:rPr>
        <w:t>Accessed 26 September 2016</w:t>
      </w:r>
      <w:r w:rsidR="0037662A" w:rsidRPr="006568DD">
        <w:rPr>
          <w:rFonts w:ascii="Cambria" w:hAnsi="Cambria"/>
          <w:iCs/>
        </w:rPr>
        <w:t>)</w:t>
      </w:r>
      <w:r w:rsidRPr="006568DD">
        <w:rPr>
          <w:rFonts w:ascii="Cambria" w:hAnsi="Cambria"/>
          <w:iCs/>
        </w:rPr>
        <w:t>.</w:t>
      </w:r>
    </w:p>
    <w:p w14:paraId="15C16657" w14:textId="753D3BBB" w:rsidR="00814487" w:rsidRPr="006568DD" w:rsidRDefault="00814487" w:rsidP="00BD25D5">
      <w:pPr>
        <w:spacing w:after="240"/>
        <w:ind w:left="284" w:hanging="284"/>
        <w:jc w:val="both"/>
        <w:rPr>
          <w:rFonts w:ascii="Cambria" w:hAnsi="Cambria"/>
          <w:iCs/>
        </w:rPr>
      </w:pPr>
      <w:r w:rsidRPr="006568DD">
        <w:rPr>
          <w:rFonts w:ascii="Cambria" w:hAnsi="Cambria"/>
          <w:iCs/>
        </w:rPr>
        <w:t>Department for Communities and Local Government (DCLG) (2013)</w:t>
      </w:r>
      <w:r w:rsidR="000E1D17" w:rsidRPr="006568DD">
        <w:rPr>
          <w:rFonts w:ascii="Cambria" w:hAnsi="Cambria"/>
          <w:iCs/>
        </w:rPr>
        <w:t>, “</w:t>
      </w:r>
      <w:r w:rsidRPr="006568DD">
        <w:rPr>
          <w:rFonts w:ascii="Cambria" w:hAnsi="Cambria"/>
          <w:iCs/>
        </w:rPr>
        <w:t>Chapter 3 - Hard to treat and energy inefficient properties English Housing Survey Energy efficiency of English housing, 2013</w:t>
      </w:r>
      <w:r w:rsidR="000E1D17" w:rsidRPr="006568DD">
        <w:rPr>
          <w:rFonts w:ascii="Cambria" w:hAnsi="Cambria"/>
          <w:iCs/>
        </w:rPr>
        <w:t>”, a</w:t>
      </w:r>
      <w:r w:rsidRPr="006568DD">
        <w:rPr>
          <w:rFonts w:ascii="Cambria" w:hAnsi="Cambria"/>
          <w:iCs/>
        </w:rPr>
        <w:t xml:space="preserve">vailable </w:t>
      </w:r>
      <w:r w:rsidR="00797EE1" w:rsidRPr="006568DD">
        <w:rPr>
          <w:rFonts w:ascii="Cambria" w:hAnsi="Cambria"/>
          <w:iCs/>
        </w:rPr>
        <w:t>at</w:t>
      </w:r>
      <w:r w:rsidRPr="006568DD">
        <w:rPr>
          <w:rFonts w:ascii="Cambria" w:hAnsi="Cambria"/>
          <w:iCs/>
        </w:rPr>
        <w:t xml:space="preserve">: https://www.gov.uk/government/uploads/system/uploads/attachment_data/file/445445/Chapter_3_Hard_to_treat_and_energy_inefficient_properties.pdf </w:t>
      </w:r>
      <w:r w:rsidR="0037662A" w:rsidRPr="006568DD">
        <w:rPr>
          <w:rFonts w:ascii="Cambria" w:hAnsi="Cambria"/>
          <w:iCs/>
        </w:rPr>
        <w:t>(</w:t>
      </w:r>
      <w:r w:rsidRPr="006568DD">
        <w:rPr>
          <w:rFonts w:ascii="Cambria" w:hAnsi="Cambria"/>
          <w:iCs/>
        </w:rPr>
        <w:t>Accessed 20 February 2016</w:t>
      </w:r>
      <w:r w:rsidR="0037662A" w:rsidRPr="006568DD">
        <w:rPr>
          <w:rFonts w:ascii="Cambria" w:hAnsi="Cambria"/>
          <w:iCs/>
        </w:rPr>
        <w:t>)</w:t>
      </w:r>
      <w:r w:rsidRPr="006568DD">
        <w:rPr>
          <w:rFonts w:ascii="Cambria" w:hAnsi="Cambria"/>
          <w:iCs/>
        </w:rPr>
        <w:t>.</w:t>
      </w:r>
    </w:p>
    <w:p w14:paraId="377FC29D" w14:textId="013B12BE"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Erbe</w:t>
      </w:r>
      <w:proofErr w:type="spellEnd"/>
      <w:r w:rsidRPr="006568DD">
        <w:rPr>
          <w:rFonts w:ascii="Cambria" w:hAnsi="Cambria"/>
          <w:iCs/>
        </w:rPr>
        <w:t>, D., Lord, R., Wilkins, R. (2013</w:t>
      </w:r>
      <w:r w:rsidR="000E1D17" w:rsidRPr="006568DD">
        <w:rPr>
          <w:rFonts w:ascii="Cambria" w:hAnsi="Cambria"/>
          <w:iCs/>
        </w:rPr>
        <w:t>), “</w:t>
      </w:r>
      <w:r w:rsidRPr="006568DD">
        <w:rPr>
          <w:rFonts w:ascii="Cambria" w:hAnsi="Cambria"/>
          <w:iCs/>
        </w:rPr>
        <w:t>A Whole-Building System Approach to Energy Efficiency</w:t>
      </w:r>
      <w:r w:rsidR="000E1D17" w:rsidRPr="006568DD">
        <w:rPr>
          <w:rFonts w:ascii="Cambria" w:hAnsi="Cambria"/>
          <w:iCs/>
        </w:rPr>
        <w:t>”, a</w:t>
      </w:r>
      <w:r w:rsidRPr="006568DD">
        <w:rPr>
          <w:rFonts w:ascii="Cambria" w:hAnsi="Cambria"/>
          <w:iCs/>
        </w:rPr>
        <w:t xml:space="preserve">vailable from: www.achrnews.com/articles/123361-a-whole-building-systems-approach-to-energy-efficiency </w:t>
      </w:r>
      <w:r w:rsidR="0037662A" w:rsidRPr="006568DD">
        <w:rPr>
          <w:rFonts w:ascii="Cambria" w:hAnsi="Cambria"/>
          <w:iCs/>
        </w:rPr>
        <w:t>(</w:t>
      </w:r>
      <w:r w:rsidRPr="006568DD">
        <w:rPr>
          <w:rFonts w:ascii="Cambria" w:hAnsi="Cambria"/>
          <w:iCs/>
        </w:rPr>
        <w:t>Accessed 24 May 2016</w:t>
      </w:r>
      <w:r w:rsidR="0037662A" w:rsidRPr="006568DD">
        <w:rPr>
          <w:rFonts w:ascii="Cambria" w:hAnsi="Cambria"/>
          <w:iCs/>
        </w:rPr>
        <w:t>)</w:t>
      </w:r>
      <w:r w:rsidRPr="006568DD">
        <w:rPr>
          <w:rFonts w:ascii="Cambria" w:hAnsi="Cambria"/>
          <w:iCs/>
        </w:rPr>
        <w:t xml:space="preserve">. </w:t>
      </w:r>
    </w:p>
    <w:p w14:paraId="3B59E4EA" w14:textId="4CD5A366" w:rsidR="00814487" w:rsidRPr="006568DD" w:rsidRDefault="00814487" w:rsidP="00BD25D5">
      <w:pPr>
        <w:spacing w:after="240"/>
        <w:ind w:left="284" w:hanging="284"/>
        <w:jc w:val="both"/>
        <w:rPr>
          <w:rFonts w:ascii="Cambria" w:hAnsi="Cambria"/>
          <w:iCs/>
        </w:rPr>
      </w:pPr>
      <w:r w:rsidRPr="006568DD">
        <w:rPr>
          <w:rFonts w:ascii="Cambria" w:hAnsi="Cambria"/>
          <w:iCs/>
        </w:rPr>
        <w:t>European Parliamentary Research Service (EPRS) (2016)</w:t>
      </w:r>
      <w:r w:rsidR="000E1D17" w:rsidRPr="006568DD">
        <w:rPr>
          <w:rFonts w:ascii="Cambria" w:hAnsi="Cambria"/>
          <w:iCs/>
        </w:rPr>
        <w:t>, “</w:t>
      </w:r>
      <w:r w:rsidRPr="006568DD">
        <w:rPr>
          <w:rFonts w:ascii="Cambria" w:hAnsi="Cambria"/>
          <w:iCs/>
        </w:rPr>
        <w:t>Energy efficiency of buildings: A nearly zero-energy future?</w:t>
      </w:r>
      <w:proofErr w:type="gramStart"/>
      <w:r w:rsidR="000E1D17" w:rsidRPr="006568DD">
        <w:rPr>
          <w:rFonts w:ascii="Cambria" w:hAnsi="Cambria"/>
          <w:iCs/>
        </w:rPr>
        <w:t>”,</w:t>
      </w:r>
      <w:proofErr w:type="gramEnd"/>
      <w:r w:rsidR="000E1D17" w:rsidRPr="006568DD">
        <w:rPr>
          <w:rFonts w:ascii="Cambria" w:hAnsi="Cambria"/>
          <w:iCs/>
        </w:rPr>
        <w:t xml:space="preserve"> a</w:t>
      </w:r>
      <w:r w:rsidRPr="006568DD">
        <w:rPr>
          <w:rFonts w:ascii="Cambria" w:hAnsi="Cambria"/>
          <w:iCs/>
        </w:rPr>
        <w:t xml:space="preserve">vailable </w:t>
      </w:r>
      <w:r w:rsidR="00797EE1" w:rsidRPr="006568DD">
        <w:rPr>
          <w:rFonts w:ascii="Cambria" w:hAnsi="Cambria"/>
          <w:iCs/>
        </w:rPr>
        <w:t>at</w:t>
      </w:r>
      <w:r w:rsidRPr="006568DD">
        <w:rPr>
          <w:rFonts w:ascii="Cambria" w:hAnsi="Cambria"/>
          <w:iCs/>
        </w:rPr>
        <w:t xml:space="preserve">: http://www.europarl.europa.eu/RegData/etudes/BRIE/2016/582022/EPRS_BRI(2016)582022_EN.pdf </w:t>
      </w:r>
      <w:r w:rsidR="0037662A" w:rsidRPr="006568DD">
        <w:rPr>
          <w:rFonts w:ascii="Cambria" w:hAnsi="Cambria"/>
          <w:iCs/>
        </w:rPr>
        <w:t>(</w:t>
      </w:r>
      <w:r w:rsidRPr="006568DD">
        <w:rPr>
          <w:rFonts w:ascii="Cambria" w:hAnsi="Cambria"/>
          <w:iCs/>
        </w:rPr>
        <w:t>Accessed n 24 March 2017</w:t>
      </w:r>
      <w:r w:rsidR="0037662A" w:rsidRPr="006568DD">
        <w:rPr>
          <w:rFonts w:ascii="Cambria" w:hAnsi="Cambria"/>
          <w:iCs/>
        </w:rPr>
        <w:t>)</w:t>
      </w:r>
      <w:r w:rsidRPr="006568DD">
        <w:rPr>
          <w:rFonts w:ascii="Cambria" w:hAnsi="Cambria"/>
          <w:iCs/>
        </w:rPr>
        <w:t>.</w:t>
      </w:r>
    </w:p>
    <w:p w14:paraId="02AFC3B9" w14:textId="0EBF47F9" w:rsidR="00814487" w:rsidRPr="006568DD" w:rsidRDefault="00814487" w:rsidP="00BD25D5">
      <w:pPr>
        <w:spacing w:after="240"/>
        <w:ind w:left="284" w:hanging="284"/>
        <w:jc w:val="both"/>
        <w:rPr>
          <w:rFonts w:ascii="Cambria" w:hAnsi="Cambria"/>
          <w:iCs/>
        </w:rPr>
      </w:pPr>
      <w:r w:rsidRPr="006568DD">
        <w:rPr>
          <w:rFonts w:ascii="Cambria" w:hAnsi="Cambria"/>
          <w:iCs/>
        </w:rPr>
        <w:t xml:space="preserve">Eyre, N. (2001), </w:t>
      </w:r>
      <w:r w:rsidR="00E833BD" w:rsidRPr="006568DD">
        <w:rPr>
          <w:rFonts w:ascii="Cambria" w:hAnsi="Cambria"/>
          <w:iCs/>
        </w:rPr>
        <w:t>“</w:t>
      </w:r>
      <w:r w:rsidRPr="006568DD">
        <w:rPr>
          <w:rFonts w:ascii="Cambria" w:hAnsi="Cambria"/>
          <w:iCs/>
        </w:rPr>
        <w:t>Carbon reduction in the real world: how the UK will surpass its Kyoto obligations</w:t>
      </w:r>
      <w:r w:rsidR="00E833BD" w:rsidRPr="006568DD">
        <w:rPr>
          <w:rFonts w:ascii="Cambria" w:hAnsi="Cambria"/>
          <w:iCs/>
        </w:rPr>
        <w:t>”</w:t>
      </w:r>
      <w:r w:rsidRPr="006568DD">
        <w:rPr>
          <w:rFonts w:ascii="Cambria" w:hAnsi="Cambria"/>
          <w:iCs/>
        </w:rPr>
        <w:t xml:space="preserve">, </w:t>
      </w:r>
      <w:r w:rsidRPr="00714B37">
        <w:rPr>
          <w:rFonts w:ascii="Cambria" w:hAnsi="Cambria"/>
          <w:i/>
          <w:iCs/>
        </w:rPr>
        <w:t>Climate Policy</w:t>
      </w:r>
      <w:r w:rsidRPr="006568DD">
        <w:rPr>
          <w:rFonts w:ascii="Cambria" w:hAnsi="Cambria"/>
          <w:iCs/>
        </w:rPr>
        <w:t>, 1:3, 309-326.</w:t>
      </w:r>
    </w:p>
    <w:p w14:paraId="1B54A38E" w14:textId="4B22DC64" w:rsidR="00F83D0F" w:rsidRPr="006568DD" w:rsidRDefault="00F83D0F" w:rsidP="00BD25D5">
      <w:pPr>
        <w:spacing w:after="240"/>
        <w:ind w:left="284" w:hanging="284"/>
        <w:jc w:val="both"/>
        <w:rPr>
          <w:rFonts w:ascii="Cambria" w:hAnsi="Cambria"/>
          <w:iCs/>
        </w:rPr>
      </w:pPr>
      <w:r w:rsidRPr="006568DD">
        <w:rPr>
          <w:rFonts w:ascii="Cambria" w:hAnsi="Cambria"/>
          <w:iCs/>
        </w:rPr>
        <w:t xml:space="preserve">Fawcett, T. and </w:t>
      </w:r>
      <w:proofErr w:type="spellStart"/>
      <w:r w:rsidRPr="006568DD">
        <w:rPr>
          <w:rFonts w:ascii="Cambria" w:hAnsi="Cambria"/>
          <w:iCs/>
        </w:rPr>
        <w:t>Killip</w:t>
      </w:r>
      <w:proofErr w:type="spellEnd"/>
      <w:r w:rsidRPr="006568DD">
        <w:rPr>
          <w:rFonts w:ascii="Cambria" w:hAnsi="Cambria"/>
          <w:iCs/>
        </w:rPr>
        <w:t>, G. (2014)</w:t>
      </w:r>
      <w:r w:rsidR="00E833BD" w:rsidRPr="006568DD">
        <w:rPr>
          <w:rFonts w:ascii="Cambria" w:hAnsi="Cambria"/>
          <w:iCs/>
        </w:rPr>
        <w:t>, “</w:t>
      </w:r>
      <w:r w:rsidRPr="006568DD">
        <w:rPr>
          <w:rFonts w:ascii="Cambria" w:hAnsi="Cambria"/>
          <w:iCs/>
        </w:rPr>
        <w:t>Anatomy of low carbon retroﬁts: Evidence from owner-occupied Super Homes</w:t>
      </w:r>
      <w:r w:rsidR="00E833BD" w:rsidRPr="006568DD">
        <w:rPr>
          <w:rFonts w:ascii="Cambria" w:hAnsi="Cambria"/>
          <w:iCs/>
        </w:rPr>
        <w:t xml:space="preserve">”, </w:t>
      </w:r>
      <w:r w:rsidRPr="00714B37">
        <w:rPr>
          <w:rFonts w:ascii="Cambria" w:hAnsi="Cambria"/>
          <w:i/>
          <w:iCs/>
        </w:rPr>
        <w:t>Building Research Information</w:t>
      </w:r>
      <w:r w:rsidR="00E833BD" w:rsidRPr="006568DD">
        <w:rPr>
          <w:rFonts w:ascii="Cambria" w:hAnsi="Cambria"/>
          <w:iCs/>
        </w:rPr>
        <w:t>,</w:t>
      </w:r>
      <w:r w:rsidRPr="006568DD">
        <w:rPr>
          <w:rFonts w:ascii="Cambria" w:hAnsi="Cambria"/>
          <w:iCs/>
        </w:rPr>
        <w:t xml:space="preserve"> 42(4): 434–445.</w:t>
      </w:r>
    </w:p>
    <w:p w14:paraId="2BF43419" w14:textId="734BEDF9" w:rsidR="00814487" w:rsidRPr="006568DD" w:rsidRDefault="00814487" w:rsidP="00BD25D5">
      <w:pPr>
        <w:spacing w:after="240"/>
        <w:ind w:left="284" w:hanging="284"/>
        <w:jc w:val="both"/>
        <w:rPr>
          <w:rFonts w:ascii="Cambria" w:hAnsi="Cambria"/>
          <w:iCs/>
        </w:rPr>
      </w:pPr>
      <w:r w:rsidRPr="006568DD">
        <w:rPr>
          <w:rFonts w:ascii="Cambria" w:hAnsi="Cambria"/>
          <w:iCs/>
        </w:rPr>
        <w:t xml:space="preserve">Forster, A. M., </w:t>
      </w:r>
      <w:proofErr w:type="spellStart"/>
      <w:r w:rsidRPr="006568DD">
        <w:rPr>
          <w:rFonts w:ascii="Cambria" w:hAnsi="Cambria"/>
          <w:iCs/>
        </w:rPr>
        <w:t>Kayan</w:t>
      </w:r>
      <w:proofErr w:type="spellEnd"/>
      <w:r w:rsidRPr="006568DD">
        <w:rPr>
          <w:rFonts w:ascii="Cambria" w:hAnsi="Cambria"/>
          <w:iCs/>
        </w:rPr>
        <w:t>, B. (2009)</w:t>
      </w:r>
      <w:r w:rsidR="00E833BD" w:rsidRPr="006568DD">
        <w:rPr>
          <w:rFonts w:ascii="Cambria" w:hAnsi="Cambria"/>
          <w:iCs/>
        </w:rPr>
        <w:t>, “</w:t>
      </w:r>
      <w:r w:rsidRPr="006568DD">
        <w:rPr>
          <w:rFonts w:ascii="Cambria" w:hAnsi="Cambria"/>
          <w:iCs/>
        </w:rPr>
        <w:t>Maintenance for historic buildings: a current perspective</w:t>
      </w:r>
      <w:r w:rsidR="00E833BD" w:rsidRPr="006568DD">
        <w:rPr>
          <w:rFonts w:ascii="Cambria" w:hAnsi="Cambria"/>
          <w:iCs/>
        </w:rPr>
        <w:t>”,</w:t>
      </w:r>
      <w:r w:rsidRPr="006568DD">
        <w:rPr>
          <w:rFonts w:ascii="Cambria" w:hAnsi="Cambria"/>
          <w:iCs/>
        </w:rPr>
        <w:t xml:space="preserve"> </w:t>
      </w:r>
      <w:r w:rsidRPr="00714B37">
        <w:rPr>
          <w:rFonts w:ascii="Cambria" w:hAnsi="Cambria"/>
          <w:i/>
          <w:iCs/>
        </w:rPr>
        <w:t>Structural Survey</w:t>
      </w:r>
      <w:r w:rsidRPr="006568DD">
        <w:rPr>
          <w:rFonts w:ascii="Cambria" w:hAnsi="Cambria"/>
          <w:iCs/>
        </w:rPr>
        <w:t xml:space="preserve">, Vol. 27 </w:t>
      </w:r>
      <w:proofErr w:type="spellStart"/>
      <w:r w:rsidRPr="006568DD">
        <w:rPr>
          <w:rFonts w:ascii="Cambria" w:hAnsi="Cambria"/>
          <w:iCs/>
        </w:rPr>
        <w:t>Iss</w:t>
      </w:r>
      <w:proofErr w:type="spellEnd"/>
      <w:r w:rsidRPr="006568DD">
        <w:rPr>
          <w:rFonts w:ascii="Cambria" w:hAnsi="Cambria"/>
          <w:iCs/>
        </w:rPr>
        <w:t xml:space="preserve"> 3 pp. 210 – 229.</w:t>
      </w:r>
    </w:p>
    <w:p w14:paraId="52CE202C" w14:textId="24D4AEBC" w:rsidR="00D84F57" w:rsidRPr="006568DD" w:rsidRDefault="00D84F57" w:rsidP="006568DD">
      <w:pPr>
        <w:spacing w:after="240"/>
        <w:ind w:left="284" w:hanging="284"/>
        <w:jc w:val="both"/>
        <w:rPr>
          <w:rFonts w:ascii="Cambria" w:hAnsi="Cambria"/>
          <w:iCs/>
        </w:rPr>
      </w:pPr>
      <w:proofErr w:type="spellStart"/>
      <w:r w:rsidRPr="006568DD">
        <w:rPr>
          <w:rFonts w:ascii="Cambria" w:hAnsi="Cambria"/>
          <w:iCs/>
        </w:rPr>
        <w:t>Galatioto</w:t>
      </w:r>
      <w:proofErr w:type="spellEnd"/>
      <w:r w:rsidRPr="006568DD">
        <w:rPr>
          <w:rFonts w:ascii="Cambria" w:hAnsi="Cambria"/>
          <w:iCs/>
        </w:rPr>
        <w:t xml:space="preserve">, A., </w:t>
      </w:r>
      <w:proofErr w:type="spellStart"/>
      <w:r w:rsidRPr="006568DD">
        <w:rPr>
          <w:rFonts w:ascii="Cambria" w:hAnsi="Cambria"/>
          <w:iCs/>
        </w:rPr>
        <w:t>Ciulla</w:t>
      </w:r>
      <w:proofErr w:type="spellEnd"/>
      <w:r w:rsidRPr="006568DD">
        <w:rPr>
          <w:rFonts w:ascii="Cambria" w:hAnsi="Cambria"/>
          <w:iCs/>
        </w:rPr>
        <w:t xml:space="preserve">, G. and </w:t>
      </w:r>
      <w:proofErr w:type="spellStart"/>
      <w:r w:rsidRPr="006568DD">
        <w:rPr>
          <w:rFonts w:ascii="Cambria" w:hAnsi="Cambria"/>
          <w:iCs/>
        </w:rPr>
        <w:t>Ricciu</w:t>
      </w:r>
      <w:proofErr w:type="spellEnd"/>
      <w:r w:rsidRPr="006568DD">
        <w:rPr>
          <w:rFonts w:ascii="Cambria" w:hAnsi="Cambria"/>
          <w:iCs/>
        </w:rPr>
        <w:t xml:space="preserve">, R. (2017), </w:t>
      </w:r>
      <w:r w:rsidR="00E833BD" w:rsidRPr="006568DD">
        <w:rPr>
          <w:rFonts w:ascii="Cambria" w:hAnsi="Cambria"/>
          <w:iCs/>
        </w:rPr>
        <w:t>“</w:t>
      </w:r>
      <w:r w:rsidRPr="006568DD">
        <w:rPr>
          <w:rFonts w:ascii="Cambria" w:hAnsi="Cambria"/>
          <w:iCs/>
        </w:rPr>
        <w:t>An overview of energy retrofit actions feasibility on Italian historical buildings</w:t>
      </w:r>
      <w:r w:rsidR="00E833BD" w:rsidRPr="006568DD">
        <w:rPr>
          <w:rFonts w:ascii="Cambria" w:hAnsi="Cambria"/>
          <w:iCs/>
        </w:rPr>
        <w:t>”</w:t>
      </w:r>
      <w:r w:rsidRPr="006568DD">
        <w:rPr>
          <w:rFonts w:ascii="Cambria" w:hAnsi="Cambria"/>
          <w:iCs/>
        </w:rPr>
        <w:t xml:space="preserve">, </w:t>
      </w:r>
      <w:r w:rsidRPr="006568DD">
        <w:rPr>
          <w:rFonts w:ascii="Cambria" w:hAnsi="Cambria"/>
          <w:i/>
          <w:iCs/>
        </w:rPr>
        <w:t>Energy</w:t>
      </w:r>
      <w:r w:rsidRPr="006568DD">
        <w:rPr>
          <w:rFonts w:ascii="Cambria" w:hAnsi="Cambria"/>
          <w:iCs/>
        </w:rPr>
        <w:t>, Vol. 137, pp. 991 – 1000.</w:t>
      </w:r>
    </w:p>
    <w:p w14:paraId="67A4645D" w14:textId="0E402CC7" w:rsidR="00D84F57" w:rsidRPr="006568DD" w:rsidRDefault="00D84F57">
      <w:pPr>
        <w:spacing w:after="240"/>
        <w:ind w:left="284" w:hanging="284"/>
        <w:jc w:val="both"/>
        <w:rPr>
          <w:rFonts w:ascii="Cambria" w:hAnsi="Cambria"/>
          <w:iCs/>
        </w:rPr>
      </w:pPr>
      <w:proofErr w:type="spellStart"/>
      <w:proofErr w:type="gramStart"/>
      <w:r w:rsidRPr="006568DD">
        <w:rPr>
          <w:rFonts w:ascii="Cambria" w:hAnsi="Cambria"/>
          <w:iCs/>
        </w:rPr>
        <w:t>Georgiadou</w:t>
      </w:r>
      <w:proofErr w:type="spellEnd"/>
      <w:r w:rsidRPr="006568DD">
        <w:rPr>
          <w:rFonts w:ascii="Cambria" w:hAnsi="Cambria"/>
          <w:iCs/>
        </w:rPr>
        <w:t xml:space="preserve">, M. C., Hacking, T. and Guthrie, P. (2012), </w:t>
      </w:r>
      <w:r w:rsidR="00E833BD" w:rsidRPr="006568DD">
        <w:rPr>
          <w:rFonts w:ascii="Cambria" w:hAnsi="Cambria"/>
          <w:iCs/>
        </w:rPr>
        <w:t>“</w:t>
      </w:r>
      <w:r w:rsidRPr="006568DD">
        <w:rPr>
          <w:rFonts w:ascii="Cambria" w:hAnsi="Cambria"/>
          <w:iCs/>
        </w:rPr>
        <w:t>A conceptual framework for future-proofing the energy performance of buildings</w:t>
      </w:r>
      <w:r w:rsidR="00E833BD" w:rsidRPr="006568DD">
        <w:rPr>
          <w:rFonts w:ascii="Cambria" w:hAnsi="Cambria"/>
          <w:iCs/>
        </w:rPr>
        <w:t>”</w:t>
      </w:r>
      <w:r w:rsidRPr="006568DD">
        <w:rPr>
          <w:rFonts w:ascii="Cambria" w:hAnsi="Cambria"/>
          <w:iCs/>
        </w:rPr>
        <w:t xml:space="preserve">, </w:t>
      </w:r>
      <w:r w:rsidRPr="006568DD">
        <w:rPr>
          <w:rFonts w:ascii="Cambria" w:hAnsi="Cambria"/>
          <w:i/>
          <w:iCs/>
        </w:rPr>
        <w:t>Energy Policy</w:t>
      </w:r>
      <w:r w:rsidRPr="006568DD">
        <w:rPr>
          <w:rFonts w:ascii="Cambria" w:hAnsi="Cambria"/>
          <w:iCs/>
        </w:rPr>
        <w:t>, Vol. 47, pp. 145 – 155.</w:t>
      </w:r>
      <w:proofErr w:type="gramEnd"/>
    </w:p>
    <w:p w14:paraId="28AB2771" w14:textId="2B7FABB5" w:rsidR="00D84F57" w:rsidRPr="006568DD" w:rsidRDefault="00D84F57" w:rsidP="00D84F57">
      <w:pPr>
        <w:spacing w:after="240"/>
        <w:ind w:left="284" w:hanging="284"/>
        <w:jc w:val="both"/>
        <w:rPr>
          <w:rFonts w:ascii="Cambria" w:hAnsi="Cambria"/>
          <w:iCs/>
        </w:rPr>
      </w:pPr>
      <w:r w:rsidRPr="006568DD">
        <w:rPr>
          <w:rFonts w:ascii="Cambria" w:hAnsi="Cambria"/>
          <w:iCs/>
        </w:rPr>
        <w:t xml:space="preserve">Ginks, N. and Painter, B. (2017), </w:t>
      </w:r>
      <w:r w:rsidR="00E833BD" w:rsidRPr="006568DD">
        <w:rPr>
          <w:rFonts w:ascii="Cambria" w:hAnsi="Cambria"/>
          <w:iCs/>
        </w:rPr>
        <w:t>“</w:t>
      </w:r>
      <w:r w:rsidRPr="006568DD">
        <w:rPr>
          <w:rFonts w:ascii="Cambria" w:hAnsi="Cambria"/>
          <w:iCs/>
        </w:rPr>
        <w:t xml:space="preserve">Energy retrofit interventions in historic buildings: Exploring guidance and attitudes of conservation professionals to slim </w:t>
      </w:r>
      <w:proofErr w:type="gramStart"/>
      <w:r w:rsidRPr="006568DD">
        <w:rPr>
          <w:rFonts w:ascii="Cambria" w:hAnsi="Cambria"/>
          <w:iCs/>
        </w:rPr>
        <w:t>double glazing</w:t>
      </w:r>
      <w:proofErr w:type="gramEnd"/>
      <w:r w:rsidRPr="006568DD">
        <w:rPr>
          <w:rFonts w:ascii="Cambria" w:hAnsi="Cambria"/>
          <w:iCs/>
        </w:rPr>
        <w:t xml:space="preserve"> in the UK, </w:t>
      </w:r>
      <w:r w:rsidRPr="006568DD">
        <w:rPr>
          <w:rFonts w:ascii="Cambria" w:hAnsi="Cambria"/>
          <w:i/>
          <w:iCs/>
        </w:rPr>
        <w:t>Energy and Buildings</w:t>
      </w:r>
      <w:r w:rsidR="00E833BD" w:rsidRPr="006568DD">
        <w:rPr>
          <w:rFonts w:ascii="Cambria" w:hAnsi="Cambria"/>
          <w:i/>
          <w:iCs/>
        </w:rPr>
        <w:t>”</w:t>
      </w:r>
      <w:r w:rsidRPr="006568DD">
        <w:rPr>
          <w:rFonts w:ascii="Cambria" w:hAnsi="Cambria"/>
          <w:iCs/>
        </w:rPr>
        <w:t>, Vol. 149, pp. 391 – 399.</w:t>
      </w:r>
    </w:p>
    <w:p w14:paraId="527F7D26" w14:textId="4F56A27E" w:rsidR="00814487" w:rsidRPr="006568DD" w:rsidRDefault="00814487" w:rsidP="00BD25D5">
      <w:pPr>
        <w:spacing w:after="240"/>
        <w:ind w:left="284" w:hanging="284"/>
        <w:jc w:val="both"/>
        <w:rPr>
          <w:rFonts w:ascii="Cambria" w:hAnsi="Cambria"/>
          <w:iCs/>
        </w:rPr>
      </w:pPr>
      <w:r w:rsidRPr="006568DD">
        <w:rPr>
          <w:rFonts w:ascii="Cambria" w:hAnsi="Cambria"/>
          <w:iCs/>
        </w:rPr>
        <w:t>Godwin, P.J. (2011)</w:t>
      </w:r>
      <w:r w:rsidR="00E833BD" w:rsidRPr="006568DD">
        <w:rPr>
          <w:rFonts w:ascii="Cambria" w:hAnsi="Cambria"/>
          <w:iCs/>
        </w:rPr>
        <w:t>,</w:t>
      </w:r>
      <w:r w:rsidRPr="006568DD">
        <w:rPr>
          <w:rFonts w:ascii="Cambria" w:hAnsi="Cambria"/>
          <w:iCs/>
        </w:rPr>
        <w:t xml:space="preserve"> </w:t>
      </w:r>
      <w:r w:rsidR="00E833BD" w:rsidRPr="006568DD">
        <w:rPr>
          <w:rFonts w:ascii="Cambria" w:hAnsi="Cambria"/>
          <w:iCs/>
        </w:rPr>
        <w:t>“</w:t>
      </w:r>
      <w:r w:rsidRPr="006568DD">
        <w:rPr>
          <w:rFonts w:ascii="Cambria" w:hAnsi="Cambria"/>
          <w:iCs/>
        </w:rPr>
        <w:t>Building Conservation and Sustainability in the United Kingdom</w:t>
      </w:r>
      <w:r w:rsidR="00E833BD" w:rsidRPr="006568DD">
        <w:rPr>
          <w:rFonts w:ascii="Cambria" w:hAnsi="Cambria"/>
          <w:iCs/>
        </w:rPr>
        <w:t xml:space="preserve">”, </w:t>
      </w:r>
      <w:proofErr w:type="spellStart"/>
      <w:r w:rsidRPr="00714B37">
        <w:rPr>
          <w:rFonts w:ascii="Cambria" w:hAnsi="Cambria"/>
          <w:i/>
          <w:iCs/>
        </w:rPr>
        <w:t>Procedia</w:t>
      </w:r>
      <w:proofErr w:type="spellEnd"/>
      <w:r w:rsidRPr="00714B37">
        <w:rPr>
          <w:rFonts w:ascii="Cambria" w:hAnsi="Cambria"/>
          <w:i/>
          <w:iCs/>
        </w:rPr>
        <w:t xml:space="preserve"> Engineering</w:t>
      </w:r>
      <w:r w:rsidR="00E833BD" w:rsidRPr="006568DD">
        <w:rPr>
          <w:rFonts w:ascii="Cambria" w:hAnsi="Cambria"/>
          <w:iCs/>
        </w:rPr>
        <w:t xml:space="preserve">, </w:t>
      </w:r>
      <w:r w:rsidRPr="006568DD">
        <w:rPr>
          <w:rFonts w:ascii="Cambria" w:hAnsi="Cambria"/>
          <w:iCs/>
        </w:rPr>
        <w:t xml:space="preserve">20, pp. 12-21. </w:t>
      </w:r>
      <w:r w:rsidR="0037662A" w:rsidRPr="006568DD">
        <w:rPr>
          <w:rFonts w:ascii="Cambria" w:hAnsi="Cambria"/>
          <w:iCs/>
        </w:rPr>
        <w:t>(</w:t>
      </w:r>
      <w:r w:rsidRPr="006568DD">
        <w:rPr>
          <w:rFonts w:ascii="Cambria" w:hAnsi="Cambria"/>
          <w:iCs/>
        </w:rPr>
        <w:t>Accessed 01 February 2016</w:t>
      </w:r>
      <w:r w:rsidR="0037662A" w:rsidRPr="006568DD">
        <w:rPr>
          <w:rFonts w:ascii="Cambria" w:hAnsi="Cambria"/>
          <w:iCs/>
        </w:rPr>
        <w:t>)</w:t>
      </w:r>
      <w:r w:rsidRPr="006568DD">
        <w:rPr>
          <w:rFonts w:ascii="Cambria" w:hAnsi="Cambria"/>
          <w:iCs/>
        </w:rPr>
        <w:t>.</w:t>
      </w:r>
    </w:p>
    <w:p w14:paraId="7FF0F205" w14:textId="3FAF3513"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Gonçalves</w:t>
      </w:r>
      <w:proofErr w:type="spellEnd"/>
      <w:r w:rsidRPr="006568DD">
        <w:rPr>
          <w:rFonts w:ascii="Cambria" w:hAnsi="Cambria"/>
          <w:iCs/>
        </w:rPr>
        <w:t xml:space="preserve"> de Almeida, S. L. (2014)</w:t>
      </w:r>
      <w:r w:rsidR="00E833BD" w:rsidRPr="006568DD">
        <w:rPr>
          <w:rFonts w:ascii="Cambria" w:hAnsi="Cambria"/>
          <w:iCs/>
        </w:rPr>
        <w:t xml:space="preserve">, </w:t>
      </w:r>
      <w:r w:rsidR="00A42FCC" w:rsidRPr="00714B37">
        <w:rPr>
          <w:rFonts w:ascii="Cambria" w:hAnsi="Cambria"/>
          <w:iCs/>
        </w:rPr>
        <w:t>“</w:t>
      </w:r>
      <w:r w:rsidRPr="006568DD">
        <w:rPr>
          <w:rFonts w:ascii="Cambria" w:hAnsi="Cambria"/>
          <w:iCs/>
        </w:rPr>
        <w:t>Retrofitting and refurbishment processes of heritage buildings: application to three case studies</w:t>
      </w:r>
      <w:r w:rsidR="00E833BD" w:rsidRPr="006568DD">
        <w:rPr>
          <w:rFonts w:ascii="Cambria" w:hAnsi="Cambria"/>
          <w:iCs/>
        </w:rPr>
        <w:t>”</w:t>
      </w:r>
      <w:r w:rsidRPr="006568DD">
        <w:rPr>
          <w:rFonts w:ascii="Cambria" w:hAnsi="Cambria"/>
          <w:iCs/>
        </w:rPr>
        <w:t xml:space="preserve">. </w:t>
      </w:r>
      <w:r w:rsidRPr="00714B37">
        <w:rPr>
          <w:rFonts w:ascii="Cambria" w:hAnsi="Cambria"/>
          <w:i/>
          <w:iCs/>
        </w:rPr>
        <w:t xml:space="preserve">Master, </w:t>
      </w:r>
      <w:proofErr w:type="spellStart"/>
      <w:r w:rsidRPr="00714B37">
        <w:rPr>
          <w:rFonts w:ascii="Cambria" w:hAnsi="Cambria"/>
          <w:i/>
          <w:iCs/>
        </w:rPr>
        <w:t>Universidade</w:t>
      </w:r>
      <w:proofErr w:type="spellEnd"/>
      <w:r w:rsidRPr="00714B37">
        <w:rPr>
          <w:rFonts w:ascii="Cambria" w:hAnsi="Cambria"/>
          <w:i/>
          <w:iCs/>
        </w:rPr>
        <w:t xml:space="preserve"> De </w:t>
      </w:r>
      <w:proofErr w:type="spellStart"/>
      <w:r w:rsidRPr="00714B37">
        <w:rPr>
          <w:rFonts w:ascii="Cambria" w:hAnsi="Cambria"/>
          <w:i/>
          <w:iCs/>
        </w:rPr>
        <w:t>Lisboa</w:t>
      </w:r>
      <w:proofErr w:type="spellEnd"/>
      <w:r w:rsidRPr="006568DD">
        <w:rPr>
          <w:rFonts w:ascii="Cambria" w:hAnsi="Cambria"/>
          <w:iCs/>
        </w:rPr>
        <w:t xml:space="preserve">. </w:t>
      </w:r>
    </w:p>
    <w:p w14:paraId="4CD80BF2" w14:textId="6B7189D5" w:rsidR="00203126" w:rsidRPr="006568DD" w:rsidRDefault="00203126" w:rsidP="00BD25D5">
      <w:pPr>
        <w:spacing w:after="240"/>
        <w:ind w:left="284" w:hanging="284"/>
        <w:jc w:val="both"/>
        <w:rPr>
          <w:rFonts w:ascii="Cambria" w:hAnsi="Cambria"/>
          <w:iCs/>
        </w:rPr>
      </w:pPr>
      <w:r w:rsidRPr="006568DD">
        <w:rPr>
          <w:rFonts w:ascii="Cambria" w:hAnsi="Cambria"/>
          <w:iCs/>
        </w:rPr>
        <w:t xml:space="preserve">Hargreaves, T., Nye, M. and Burgess, J. (2013), </w:t>
      </w:r>
      <w:r w:rsidR="00E833BD" w:rsidRPr="006568DD">
        <w:rPr>
          <w:rFonts w:ascii="Cambria" w:hAnsi="Cambria"/>
          <w:iCs/>
        </w:rPr>
        <w:t>“</w:t>
      </w:r>
      <w:r w:rsidRPr="006568DD">
        <w:rPr>
          <w:rFonts w:ascii="Cambria" w:hAnsi="Cambria"/>
          <w:iCs/>
        </w:rPr>
        <w:t>Keeping energy visible? Exploring how householders interact with feedback from smart energy monitors in the longer term</w:t>
      </w:r>
      <w:r w:rsidR="00E833BD" w:rsidRPr="006568DD">
        <w:rPr>
          <w:rFonts w:ascii="Cambria" w:hAnsi="Cambria"/>
          <w:iCs/>
        </w:rPr>
        <w:t>”</w:t>
      </w:r>
      <w:r w:rsidRPr="006568DD">
        <w:rPr>
          <w:rFonts w:ascii="Cambria" w:hAnsi="Cambria"/>
          <w:iCs/>
        </w:rPr>
        <w:t xml:space="preserve">, </w:t>
      </w:r>
      <w:r w:rsidR="002F70C3" w:rsidRPr="006568DD">
        <w:rPr>
          <w:rFonts w:ascii="Cambria" w:hAnsi="Cambria"/>
          <w:i/>
          <w:iCs/>
        </w:rPr>
        <w:t>Energy Policy</w:t>
      </w:r>
      <w:r w:rsidR="002F70C3" w:rsidRPr="006568DD">
        <w:rPr>
          <w:rFonts w:ascii="Cambria" w:hAnsi="Cambria"/>
          <w:iCs/>
        </w:rPr>
        <w:t>, 52, 126 – 134.</w:t>
      </w:r>
    </w:p>
    <w:p w14:paraId="59819423" w14:textId="33D93874" w:rsidR="00814487" w:rsidRPr="006568DD" w:rsidRDefault="00814487" w:rsidP="00BD25D5">
      <w:pPr>
        <w:spacing w:after="240"/>
        <w:ind w:left="284" w:hanging="284"/>
        <w:jc w:val="both"/>
        <w:rPr>
          <w:rFonts w:ascii="Cambria" w:hAnsi="Cambria"/>
          <w:iCs/>
        </w:rPr>
      </w:pPr>
      <w:r w:rsidRPr="006568DD">
        <w:rPr>
          <w:rFonts w:ascii="Cambria" w:hAnsi="Cambria"/>
          <w:iCs/>
        </w:rPr>
        <w:t>Hensley, E. J. and Aguilar, A. (2011)</w:t>
      </w:r>
      <w:r w:rsidR="00E833BD" w:rsidRPr="006568DD">
        <w:rPr>
          <w:rFonts w:ascii="Cambria" w:hAnsi="Cambria"/>
          <w:iCs/>
        </w:rPr>
        <w:t>,</w:t>
      </w:r>
      <w:r w:rsidRPr="006568DD">
        <w:rPr>
          <w:rFonts w:ascii="Cambria" w:hAnsi="Cambria"/>
          <w:iCs/>
        </w:rPr>
        <w:t xml:space="preserve"> </w:t>
      </w:r>
      <w:r w:rsidR="00E833BD" w:rsidRPr="006568DD">
        <w:rPr>
          <w:rFonts w:ascii="Cambria" w:hAnsi="Cambria"/>
          <w:iCs/>
        </w:rPr>
        <w:t>“</w:t>
      </w:r>
      <w:r w:rsidRPr="006568DD">
        <w:rPr>
          <w:rFonts w:ascii="Cambria" w:hAnsi="Cambria"/>
          <w:iCs/>
        </w:rPr>
        <w:t>Preservation Brief 3: Improving Energy Efficiency in Historic Buildings</w:t>
      </w:r>
      <w:r w:rsidR="00E833BD" w:rsidRPr="006568DD">
        <w:rPr>
          <w:rFonts w:ascii="Cambria" w:hAnsi="Cambria"/>
          <w:iCs/>
        </w:rPr>
        <w:t>”, a</w:t>
      </w:r>
      <w:r w:rsidRPr="006568DD">
        <w:rPr>
          <w:rFonts w:ascii="Cambria" w:hAnsi="Cambria"/>
          <w:iCs/>
        </w:rPr>
        <w:t xml:space="preserve">vailable </w:t>
      </w:r>
      <w:r w:rsidR="00797EE1" w:rsidRPr="006568DD">
        <w:rPr>
          <w:rFonts w:ascii="Cambria" w:hAnsi="Cambria"/>
          <w:iCs/>
        </w:rPr>
        <w:t>at</w:t>
      </w:r>
      <w:r w:rsidRPr="006568DD">
        <w:rPr>
          <w:rFonts w:ascii="Cambria" w:hAnsi="Cambria"/>
          <w:iCs/>
        </w:rPr>
        <w:t xml:space="preserve">: https://www.nps.gov/tps/how-to-preserve/preservedocs/preservation-briefs/03Preserve-Brief-Energy.pdf </w:t>
      </w:r>
      <w:r w:rsidR="0037662A" w:rsidRPr="006568DD">
        <w:rPr>
          <w:rFonts w:ascii="Cambria" w:hAnsi="Cambria"/>
          <w:iCs/>
        </w:rPr>
        <w:t>(</w:t>
      </w:r>
      <w:r w:rsidRPr="006568DD">
        <w:rPr>
          <w:rFonts w:ascii="Cambria" w:hAnsi="Cambria"/>
          <w:iCs/>
        </w:rPr>
        <w:t>Accessed 28 May 2016</w:t>
      </w:r>
      <w:r w:rsidR="0037662A" w:rsidRPr="006568DD">
        <w:rPr>
          <w:rFonts w:ascii="Cambria" w:hAnsi="Cambria"/>
          <w:iCs/>
        </w:rPr>
        <w:t>)</w:t>
      </w:r>
      <w:r w:rsidRPr="006568DD">
        <w:rPr>
          <w:rFonts w:ascii="Cambria" w:hAnsi="Cambria"/>
          <w:iCs/>
        </w:rPr>
        <w:t xml:space="preserve">. </w:t>
      </w:r>
    </w:p>
    <w:p w14:paraId="33B04C64" w14:textId="2F577C9A" w:rsidR="00D84F57" w:rsidRPr="006568DD" w:rsidRDefault="00D84F57" w:rsidP="00D84F57">
      <w:pPr>
        <w:spacing w:after="240"/>
        <w:ind w:left="284" w:hanging="284"/>
        <w:jc w:val="both"/>
        <w:rPr>
          <w:rFonts w:ascii="Cambria" w:hAnsi="Cambria"/>
          <w:iCs/>
        </w:rPr>
      </w:pPr>
      <w:r w:rsidRPr="006568DD">
        <w:rPr>
          <w:rFonts w:ascii="Cambria" w:hAnsi="Cambria"/>
          <w:iCs/>
        </w:rPr>
        <w:t xml:space="preserve">Historic England (2017), </w:t>
      </w:r>
      <w:r w:rsidR="00E833BD" w:rsidRPr="006568DD">
        <w:rPr>
          <w:rFonts w:ascii="Cambria" w:hAnsi="Cambria"/>
          <w:iCs/>
        </w:rPr>
        <w:t>“</w:t>
      </w:r>
      <w:r w:rsidRPr="00714B37">
        <w:rPr>
          <w:rFonts w:ascii="Cambria" w:hAnsi="Cambria"/>
          <w:iCs/>
        </w:rPr>
        <w:t>Energy Efficiency and Historic Buildings: Application of Part L of the Building Regulations to Historic and Traditionally Constructed Buildings</w:t>
      </w:r>
      <w:r w:rsidR="00E833BD" w:rsidRPr="006568DD">
        <w:rPr>
          <w:rFonts w:ascii="Cambria" w:hAnsi="Cambria"/>
          <w:iCs/>
        </w:rPr>
        <w:t>”</w:t>
      </w:r>
      <w:r w:rsidRPr="006568DD">
        <w:rPr>
          <w:rFonts w:ascii="Cambria" w:hAnsi="Cambria"/>
          <w:iCs/>
        </w:rPr>
        <w:t xml:space="preserve">, available </w:t>
      </w:r>
      <w:r w:rsidR="00A42FCC" w:rsidRPr="006568DD">
        <w:rPr>
          <w:rFonts w:ascii="Cambria" w:hAnsi="Cambria"/>
          <w:iCs/>
        </w:rPr>
        <w:t>from</w:t>
      </w:r>
      <w:r w:rsidR="00797EE1" w:rsidRPr="006568DD">
        <w:rPr>
          <w:rFonts w:ascii="Cambria" w:hAnsi="Cambria"/>
          <w:iCs/>
        </w:rPr>
        <w:t>:</w:t>
      </w:r>
      <w:r w:rsidRPr="006568DD">
        <w:rPr>
          <w:rFonts w:ascii="Cambria" w:hAnsi="Cambria"/>
          <w:iCs/>
        </w:rPr>
        <w:t xml:space="preserve"> https://content.historicengland.org.uk/images-books/publications/energy-efficiency-historic-buildings-ptl/heag014-energy-efficiency-partlL.pdf/ (accessed 1 July 2018).</w:t>
      </w:r>
    </w:p>
    <w:p w14:paraId="5B1CF953" w14:textId="597F0A63" w:rsidR="00814487" w:rsidRPr="006568DD" w:rsidRDefault="00814487" w:rsidP="00BD25D5">
      <w:pPr>
        <w:spacing w:after="240"/>
        <w:ind w:left="284" w:hanging="284"/>
        <w:jc w:val="both"/>
        <w:rPr>
          <w:rFonts w:ascii="Cambria" w:hAnsi="Cambria"/>
          <w:iCs/>
        </w:rPr>
      </w:pPr>
      <w:r w:rsidRPr="006568DD">
        <w:rPr>
          <w:rFonts w:ascii="Cambria" w:hAnsi="Cambria"/>
          <w:iCs/>
        </w:rPr>
        <w:t>Historic England (HE) (2015)</w:t>
      </w:r>
      <w:r w:rsidR="00E833BD" w:rsidRPr="006568DD">
        <w:rPr>
          <w:rFonts w:ascii="Cambria" w:hAnsi="Cambria"/>
          <w:iCs/>
        </w:rPr>
        <w:t>, “C</w:t>
      </w:r>
      <w:r w:rsidRPr="006568DD">
        <w:rPr>
          <w:rFonts w:ascii="Cambria" w:hAnsi="Cambria"/>
          <w:iCs/>
        </w:rPr>
        <w:t>onstructive Conservation in Practice</w:t>
      </w:r>
      <w:r w:rsidR="00E833BD" w:rsidRPr="006568DD">
        <w:rPr>
          <w:rFonts w:ascii="Cambria" w:hAnsi="Cambria"/>
          <w:iCs/>
        </w:rPr>
        <w:t>”, a</w:t>
      </w:r>
      <w:r w:rsidRPr="006568DD">
        <w:rPr>
          <w:rFonts w:ascii="Cambria" w:hAnsi="Cambria"/>
          <w:iCs/>
        </w:rPr>
        <w:t xml:space="preserve">vailable </w:t>
      </w:r>
      <w:r w:rsidR="00797EE1" w:rsidRPr="006568DD">
        <w:rPr>
          <w:rFonts w:ascii="Cambria" w:hAnsi="Cambria"/>
          <w:iCs/>
        </w:rPr>
        <w:t>at</w:t>
      </w:r>
      <w:r w:rsidRPr="006568DD">
        <w:rPr>
          <w:rFonts w:ascii="Cambria" w:hAnsi="Cambria"/>
          <w:iCs/>
        </w:rPr>
        <w:t xml:space="preserve">: https://content.historicengland.org.uk/images-books/publications/constructive-conservation-in-practice/ccdpsweb.pdf/ </w:t>
      </w:r>
      <w:r w:rsidR="0037662A" w:rsidRPr="006568DD">
        <w:rPr>
          <w:rFonts w:ascii="Cambria" w:hAnsi="Cambria"/>
          <w:iCs/>
        </w:rPr>
        <w:t>(</w:t>
      </w:r>
      <w:r w:rsidRPr="006568DD">
        <w:rPr>
          <w:rFonts w:ascii="Cambria" w:hAnsi="Cambria"/>
          <w:iCs/>
        </w:rPr>
        <w:t>Accessed 24 May 2016</w:t>
      </w:r>
      <w:r w:rsidR="0037662A" w:rsidRPr="006568DD">
        <w:rPr>
          <w:rFonts w:ascii="Cambria" w:hAnsi="Cambria"/>
          <w:iCs/>
        </w:rPr>
        <w:t>)</w:t>
      </w:r>
      <w:r w:rsidRPr="006568DD">
        <w:rPr>
          <w:rFonts w:ascii="Cambria" w:hAnsi="Cambria"/>
          <w:iCs/>
        </w:rPr>
        <w:t xml:space="preserve">. </w:t>
      </w:r>
    </w:p>
    <w:p w14:paraId="748CE15A" w14:textId="79BE527A" w:rsidR="00D84F57" w:rsidRPr="006568DD" w:rsidRDefault="00D84F57" w:rsidP="00D84F57">
      <w:pPr>
        <w:spacing w:after="240"/>
        <w:ind w:left="284" w:hanging="284"/>
        <w:jc w:val="both"/>
        <w:rPr>
          <w:rFonts w:ascii="Cambria" w:hAnsi="Cambria"/>
          <w:iCs/>
        </w:rPr>
      </w:pPr>
      <w:r w:rsidRPr="006568DD">
        <w:rPr>
          <w:rFonts w:ascii="Cambria" w:hAnsi="Cambria"/>
          <w:iCs/>
        </w:rPr>
        <w:t xml:space="preserve">Historic England (2008), </w:t>
      </w:r>
      <w:r w:rsidR="00E833BD" w:rsidRPr="006568DD">
        <w:rPr>
          <w:rFonts w:ascii="Cambria" w:hAnsi="Cambria"/>
          <w:iCs/>
        </w:rPr>
        <w:t>“</w:t>
      </w:r>
      <w:r w:rsidRPr="00714B37">
        <w:rPr>
          <w:rFonts w:ascii="Cambria" w:hAnsi="Cambria"/>
          <w:iCs/>
        </w:rPr>
        <w:t>Conservation Principles: Policies and Guidance for the Sustainable Management of the Historic Environment</w:t>
      </w:r>
      <w:r w:rsidR="00E833BD" w:rsidRPr="006568DD">
        <w:rPr>
          <w:rFonts w:ascii="Cambria" w:hAnsi="Cambria"/>
          <w:iCs/>
        </w:rPr>
        <w:t>”</w:t>
      </w:r>
      <w:r w:rsidRPr="006568DD">
        <w:rPr>
          <w:rFonts w:ascii="Cambria" w:hAnsi="Cambria"/>
          <w:iCs/>
        </w:rPr>
        <w:t xml:space="preserve">, available </w:t>
      </w:r>
      <w:r w:rsidR="00797EE1" w:rsidRPr="006568DD">
        <w:rPr>
          <w:rFonts w:ascii="Cambria" w:hAnsi="Cambria"/>
          <w:iCs/>
        </w:rPr>
        <w:t>at</w:t>
      </w:r>
      <w:r w:rsidRPr="006568DD">
        <w:rPr>
          <w:rFonts w:ascii="Cambria" w:hAnsi="Cambria"/>
          <w:iCs/>
        </w:rPr>
        <w:t>: https://content.historicengland.org.uk/images-books/publications/conservation-principles-sustainable-management-historic-environment/conservationprinciplespoliciesguidanceapr08web.pdf/ (accessed 1 July 2018).</w:t>
      </w:r>
    </w:p>
    <w:p w14:paraId="0195D39A" w14:textId="66AF7698" w:rsidR="00814487" w:rsidRPr="006568DD" w:rsidRDefault="00814487" w:rsidP="00BD25D5">
      <w:pPr>
        <w:spacing w:after="240"/>
        <w:ind w:left="284" w:hanging="284"/>
        <w:jc w:val="both"/>
        <w:rPr>
          <w:rFonts w:ascii="Cambria" w:hAnsi="Cambria"/>
          <w:iCs/>
        </w:rPr>
      </w:pPr>
      <w:r w:rsidRPr="006568DD">
        <w:rPr>
          <w:rFonts w:ascii="Cambria" w:hAnsi="Cambria"/>
          <w:iCs/>
        </w:rPr>
        <w:t xml:space="preserve">Hong, S. H., Gilbertson, J., </w:t>
      </w:r>
      <w:proofErr w:type="spellStart"/>
      <w:r w:rsidRPr="006568DD">
        <w:rPr>
          <w:rFonts w:ascii="Cambria" w:hAnsi="Cambria"/>
          <w:iCs/>
        </w:rPr>
        <w:t>Oreszcyn</w:t>
      </w:r>
      <w:proofErr w:type="spellEnd"/>
      <w:r w:rsidRPr="006568DD">
        <w:rPr>
          <w:rFonts w:ascii="Cambria" w:hAnsi="Cambria"/>
          <w:iCs/>
        </w:rPr>
        <w:t xml:space="preserve">, T., Green, G., Ridley, I., the Warm Front Study Group (2009), </w:t>
      </w:r>
      <w:r w:rsidR="00E833BD" w:rsidRPr="006568DD">
        <w:rPr>
          <w:rFonts w:ascii="Cambria" w:hAnsi="Cambria"/>
          <w:iCs/>
        </w:rPr>
        <w:t>“</w:t>
      </w:r>
      <w:r w:rsidRPr="006568DD">
        <w:rPr>
          <w:rFonts w:ascii="Cambria" w:hAnsi="Cambria"/>
          <w:iCs/>
        </w:rPr>
        <w:t>A field study of thermal comfort in low-income dwellings in England before and after energy efficient refurbishment</w:t>
      </w:r>
      <w:r w:rsidR="00E833BD" w:rsidRPr="006568DD">
        <w:rPr>
          <w:rFonts w:ascii="Cambria" w:hAnsi="Cambria"/>
          <w:iCs/>
        </w:rPr>
        <w:t>”</w:t>
      </w:r>
      <w:r w:rsidRPr="006568DD">
        <w:rPr>
          <w:rFonts w:ascii="Cambria" w:hAnsi="Cambria"/>
          <w:iCs/>
        </w:rPr>
        <w:t xml:space="preserve">, </w:t>
      </w:r>
      <w:r w:rsidRPr="00714B37">
        <w:rPr>
          <w:rFonts w:ascii="Cambria" w:hAnsi="Cambria"/>
          <w:i/>
          <w:iCs/>
        </w:rPr>
        <w:t>Building and Environment</w:t>
      </w:r>
      <w:r w:rsidRPr="006568DD">
        <w:rPr>
          <w:rFonts w:ascii="Cambria" w:hAnsi="Cambria"/>
          <w:iCs/>
        </w:rPr>
        <w:t>, 44:6, 1228 – 1236.</w:t>
      </w:r>
    </w:p>
    <w:p w14:paraId="6BE36461" w14:textId="6AC27376" w:rsidR="00814487" w:rsidRPr="006568DD" w:rsidRDefault="00814487" w:rsidP="00BD25D5">
      <w:pPr>
        <w:spacing w:after="240"/>
        <w:ind w:left="284" w:hanging="284"/>
        <w:jc w:val="both"/>
        <w:rPr>
          <w:rFonts w:ascii="Cambria" w:hAnsi="Cambria"/>
          <w:iCs/>
        </w:rPr>
      </w:pPr>
      <w:r w:rsidRPr="006568DD">
        <w:rPr>
          <w:rFonts w:ascii="Cambria" w:hAnsi="Cambria"/>
          <w:iCs/>
          <w:lang w:val="it-IT"/>
        </w:rPr>
        <w:t>Istituto Nazionale di Statistica – Istat (2011</w:t>
      </w:r>
      <w:r w:rsidR="00E833BD" w:rsidRPr="006568DD">
        <w:rPr>
          <w:rFonts w:ascii="Cambria" w:hAnsi="Cambria"/>
          <w:iCs/>
          <w:lang w:val="it-IT"/>
        </w:rPr>
        <w:t>), “</w:t>
      </w:r>
      <w:proofErr w:type="spellStart"/>
      <w:r w:rsidRPr="006568DD">
        <w:rPr>
          <w:rFonts w:ascii="Cambria" w:hAnsi="Cambria"/>
          <w:iCs/>
        </w:rPr>
        <w:t>Costruzioni</w:t>
      </w:r>
      <w:proofErr w:type="spellEnd"/>
      <w:r w:rsidR="00E833BD" w:rsidRPr="006568DD">
        <w:rPr>
          <w:rFonts w:ascii="Cambria" w:hAnsi="Cambria"/>
          <w:iCs/>
        </w:rPr>
        <w:t>”, a</w:t>
      </w:r>
      <w:r w:rsidRPr="006568DD">
        <w:rPr>
          <w:rFonts w:ascii="Cambria" w:hAnsi="Cambria"/>
          <w:iCs/>
        </w:rPr>
        <w:t xml:space="preserve">vailable </w:t>
      </w:r>
      <w:r w:rsidR="00797EE1" w:rsidRPr="006568DD">
        <w:rPr>
          <w:rFonts w:ascii="Cambria" w:hAnsi="Cambria"/>
          <w:iCs/>
        </w:rPr>
        <w:t>at</w:t>
      </w:r>
      <w:r w:rsidRPr="006568DD">
        <w:rPr>
          <w:rFonts w:ascii="Cambria" w:hAnsi="Cambria"/>
          <w:iCs/>
        </w:rPr>
        <w:t xml:space="preserve">: http://www.istat.it/it/files/2015/12/C18.pdf </w:t>
      </w:r>
      <w:r w:rsidR="0037662A" w:rsidRPr="006568DD">
        <w:rPr>
          <w:rFonts w:ascii="Cambria" w:hAnsi="Cambria"/>
          <w:iCs/>
        </w:rPr>
        <w:t>(</w:t>
      </w:r>
      <w:r w:rsidRPr="006568DD">
        <w:rPr>
          <w:rFonts w:ascii="Cambria" w:hAnsi="Cambria"/>
          <w:iCs/>
        </w:rPr>
        <w:t>Accessed 06 February 2016</w:t>
      </w:r>
      <w:r w:rsidR="0037662A" w:rsidRPr="006568DD">
        <w:rPr>
          <w:rFonts w:ascii="Cambria" w:hAnsi="Cambria"/>
          <w:iCs/>
        </w:rPr>
        <w:t>)</w:t>
      </w:r>
      <w:r w:rsidRPr="006568DD">
        <w:rPr>
          <w:rFonts w:ascii="Cambria" w:hAnsi="Cambria"/>
          <w:iCs/>
        </w:rPr>
        <w:t>.</w:t>
      </w:r>
    </w:p>
    <w:p w14:paraId="17BBFF1B" w14:textId="71EF65CF" w:rsidR="00F83D0F" w:rsidRPr="006568DD" w:rsidRDefault="00F83D0F" w:rsidP="00BD25D5">
      <w:pPr>
        <w:spacing w:after="240"/>
        <w:ind w:left="284" w:hanging="284"/>
        <w:jc w:val="both"/>
        <w:rPr>
          <w:rFonts w:ascii="Cambria" w:hAnsi="Cambria"/>
          <w:iCs/>
        </w:rPr>
      </w:pPr>
      <w:proofErr w:type="spellStart"/>
      <w:r w:rsidRPr="006568DD">
        <w:rPr>
          <w:rFonts w:ascii="Cambria" w:hAnsi="Cambria"/>
          <w:iCs/>
        </w:rPr>
        <w:t>Jafari</w:t>
      </w:r>
      <w:proofErr w:type="spellEnd"/>
      <w:r w:rsidRPr="006568DD">
        <w:rPr>
          <w:rFonts w:ascii="Cambria" w:hAnsi="Cambria"/>
          <w:iCs/>
        </w:rPr>
        <w:t xml:space="preserve">, A., </w:t>
      </w:r>
      <w:proofErr w:type="spellStart"/>
      <w:r w:rsidRPr="006568DD">
        <w:rPr>
          <w:rFonts w:ascii="Cambria" w:hAnsi="Cambria"/>
          <w:iCs/>
        </w:rPr>
        <w:t>Valentin</w:t>
      </w:r>
      <w:proofErr w:type="spellEnd"/>
      <w:r w:rsidRPr="006568DD">
        <w:rPr>
          <w:rFonts w:ascii="Cambria" w:hAnsi="Cambria"/>
          <w:iCs/>
        </w:rPr>
        <w:t xml:space="preserve">, V. and </w:t>
      </w:r>
      <w:proofErr w:type="spellStart"/>
      <w:r w:rsidRPr="006568DD">
        <w:rPr>
          <w:rFonts w:ascii="Cambria" w:hAnsi="Cambria"/>
          <w:iCs/>
        </w:rPr>
        <w:t>Berrens</w:t>
      </w:r>
      <w:proofErr w:type="spellEnd"/>
      <w:r w:rsidRPr="006568DD">
        <w:rPr>
          <w:rFonts w:ascii="Cambria" w:hAnsi="Cambria"/>
          <w:iCs/>
        </w:rPr>
        <w:t>, R. (2017)</w:t>
      </w:r>
      <w:r w:rsidR="00E833BD" w:rsidRPr="006568DD">
        <w:rPr>
          <w:rFonts w:ascii="Cambria" w:hAnsi="Cambria"/>
          <w:iCs/>
        </w:rPr>
        <w:t>, “</w:t>
      </w:r>
      <w:r w:rsidRPr="006568DD">
        <w:rPr>
          <w:rFonts w:ascii="Cambria" w:hAnsi="Cambria"/>
          <w:iCs/>
        </w:rPr>
        <w:t>Estimating the Economic Value of Energy Improvements in U.S. Residential Housing</w:t>
      </w:r>
      <w:r w:rsidR="00E833BD" w:rsidRPr="006568DD">
        <w:rPr>
          <w:rFonts w:ascii="Cambria" w:hAnsi="Cambria"/>
          <w:iCs/>
        </w:rPr>
        <w:t>”,</w:t>
      </w:r>
      <w:r w:rsidRPr="006568DD">
        <w:rPr>
          <w:rFonts w:ascii="Cambria" w:hAnsi="Cambria"/>
          <w:iCs/>
        </w:rPr>
        <w:t xml:space="preserve"> </w:t>
      </w:r>
      <w:r w:rsidRPr="00714B37">
        <w:rPr>
          <w:rFonts w:ascii="Cambria" w:hAnsi="Cambria"/>
          <w:i/>
          <w:iCs/>
        </w:rPr>
        <w:t>Journal of Construction Engineering and Management</w:t>
      </w:r>
      <w:r w:rsidR="00E833BD" w:rsidRPr="006568DD">
        <w:rPr>
          <w:rFonts w:ascii="Cambria" w:hAnsi="Cambria"/>
          <w:iCs/>
        </w:rPr>
        <w:t>,</w:t>
      </w:r>
      <w:r w:rsidRPr="006568DD">
        <w:rPr>
          <w:rFonts w:ascii="Cambria" w:hAnsi="Cambria"/>
          <w:iCs/>
        </w:rPr>
        <w:t xml:space="preserve"> 143. 04017048. 10.1061/(</w:t>
      </w:r>
      <w:proofErr w:type="gramStart"/>
      <w:r w:rsidRPr="006568DD">
        <w:rPr>
          <w:rFonts w:ascii="Cambria" w:hAnsi="Cambria"/>
          <w:iCs/>
        </w:rPr>
        <w:t>ASCE)CO.1943</w:t>
      </w:r>
      <w:proofErr w:type="gramEnd"/>
      <w:r w:rsidRPr="006568DD">
        <w:rPr>
          <w:rFonts w:ascii="Cambria" w:hAnsi="Cambria"/>
          <w:iCs/>
        </w:rPr>
        <w:t>-7862.0001343.</w:t>
      </w:r>
    </w:p>
    <w:p w14:paraId="0D8EC83E" w14:textId="10793DEE" w:rsidR="00814487" w:rsidRPr="006568DD" w:rsidRDefault="00814487" w:rsidP="00BD25D5">
      <w:pPr>
        <w:spacing w:after="240"/>
        <w:ind w:left="284" w:hanging="284"/>
        <w:jc w:val="both"/>
        <w:rPr>
          <w:rFonts w:ascii="Cambria" w:hAnsi="Cambria"/>
          <w:iCs/>
        </w:rPr>
      </w:pPr>
      <w:r w:rsidRPr="006568DD">
        <w:rPr>
          <w:rFonts w:ascii="Cambria" w:hAnsi="Cambria"/>
          <w:iCs/>
        </w:rPr>
        <w:t xml:space="preserve">Li, F. G. N., Smith, A.Z.P., </w:t>
      </w:r>
      <w:proofErr w:type="spellStart"/>
      <w:r w:rsidRPr="006568DD">
        <w:rPr>
          <w:rFonts w:ascii="Cambria" w:hAnsi="Cambria"/>
          <w:iCs/>
        </w:rPr>
        <w:t>Biddulph</w:t>
      </w:r>
      <w:proofErr w:type="spellEnd"/>
      <w:r w:rsidRPr="006568DD">
        <w:rPr>
          <w:rFonts w:ascii="Cambria" w:hAnsi="Cambria"/>
          <w:iCs/>
        </w:rPr>
        <w:t xml:space="preserve">, P., Hamilton, I. G., Lowe, R., </w:t>
      </w:r>
      <w:proofErr w:type="spellStart"/>
      <w:r w:rsidRPr="006568DD">
        <w:rPr>
          <w:rFonts w:ascii="Cambria" w:hAnsi="Cambria"/>
          <w:iCs/>
        </w:rPr>
        <w:t>Mavrogianni</w:t>
      </w:r>
      <w:proofErr w:type="spellEnd"/>
      <w:r w:rsidRPr="006568DD">
        <w:rPr>
          <w:rFonts w:ascii="Cambria" w:hAnsi="Cambria"/>
          <w:iCs/>
        </w:rPr>
        <w:t xml:space="preserve">, A., </w:t>
      </w:r>
      <w:proofErr w:type="spellStart"/>
      <w:r w:rsidRPr="006568DD">
        <w:rPr>
          <w:rFonts w:ascii="Cambria" w:hAnsi="Cambria"/>
          <w:iCs/>
        </w:rPr>
        <w:t>Oikonomou</w:t>
      </w:r>
      <w:proofErr w:type="spellEnd"/>
      <w:r w:rsidRPr="006568DD">
        <w:rPr>
          <w:rFonts w:ascii="Cambria" w:hAnsi="Cambria"/>
          <w:iCs/>
        </w:rPr>
        <w:t xml:space="preserve">, E., </w:t>
      </w:r>
      <w:proofErr w:type="spellStart"/>
      <w:r w:rsidRPr="006568DD">
        <w:rPr>
          <w:rFonts w:ascii="Cambria" w:hAnsi="Cambria"/>
          <w:iCs/>
        </w:rPr>
        <w:t>Raslan</w:t>
      </w:r>
      <w:proofErr w:type="spellEnd"/>
      <w:r w:rsidRPr="006568DD">
        <w:rPr>
          <w:rFonts w:ascii="Cambria" w:hAnsi="Cambria"/>
          <w:iCs/>
        </w:rPr>
        <w:t xml:space="preserve">, R., Stamp, S., Stone, A., Summerfield, A. J., </w:t>
      </w:r>
      <w:proofErr w:type="spellStart"/>
      <w:r w:rsidRPr="006568DD">
        <w:rPr>
          <w:rFonts w:ascii="Cambria" w:hAnsi="Cambria"/>
          <w:iCs/>
        </w:rPr>
        <w:t>Veitch</w:t>
      </w:r>
      <w:proofErr w:type="spellEnd"/>
      <w:r w:rsidRPr="006568DD">
        <w:rPr>
          <w:rFonts w:ascii="Cambria" w:hAnsi="Cambria"/>
          <w:iCs/>
        </w:rPr>
        <w:t xml:space="preserve">, D., </w:t>
      </w:r>
      <w:proofErr w:type="spellStart"/>
      <w:r w:rsidRPr="006568DD">
        <w:rPr>
          <w:rFonts w:ascii="Cambria" w:hAnsi="Cambria"/>
          <w:iCs/>
        </w:rPr>
        <w:t>Gori</w:t>
      </w:r>
      <w:proofErr w:type="spellEnd"/>
      <w:r w:rsidRPr="006568DD">
        <w:rPr>
          <w:rFonts w:ascii="Cambria" w:hAnsi="Cambria"/>
          <w:iCs/>
        </w:rPr>
        <w:t xml:space="preserve">, V. and </w:t>
      </w:r>
      <w:proofErr w:type="spellStart"/>
      <w:r w:rsidRPr="006568DD">
        <w:rPr>
          <w:rFonts w:ascii="Cambria" w:hAnsi="Cambria"/>
          <w:iCs/>
        </w:rPr>
        <w:t>Oreszczyn</w:t>
      </w:r>
      <w:proofErr w:type="spellEnd"/>
      <w:r w:rsidRPr="006568DD">
        <w:rPr>
          <w:rFonts w:ascii="Cambria" w:hAnsi="Cambria"/>
          <w:iCs/>
        </w:rPr>
        <w:t>, T. (2015)</w:t>
      </w:r>
      <w:r w:rsidR="00E833BD" w:rsidRPr="006568DD">
        <w:rPr>
          <w:rFonts w:ascii="Cambria" w:hAnsi="Cambria"/>
          <w:iCs/>
        </w:rPr>
        <w:t>, “</w:t>
      </w:r>
      <w:r w:rsidRPr="006568DD">
        <w:rPr>
          <w:rFonts w:ascii="Cambria" w:hAnsi="Cambria"/>
          <w:iCs/>
        </w:rPr>
        <w:t>Solid-wall U-values: heat flux measurements compared with standard assumptions</w:t>
      </w:r>
      <w:r w:rsidR="00E833BD" w:rsidRPr="006568DD">
        <w:rPr>
          <w:rFonts w:ascii="Cambria" w:hAnsi="Cambria"/>
          <w:iCs/>
        </w:rPr>
        <w:t xml:space="preserve">”, </w:t>
      </w:r>
      <w:r w:rsidRPr="00714B37">
        <w:rPr>
          <w:rFonts w:ascii="Cambria" w:hAnsi="Cambria"/>
          <w:i/>
          <w:iCs/>
        </w:rPr>
        <w:t>Building Research &amp; Information</w:t>
      </w:r>
      <w:r w:rsidRPr="006568DD">
        <w:rPr>
          <w:rFonts w:ascii="Cambria" w:hAnsi="Cambria"/>
          <w:iCs/>
        </w:rPr>
        <w:t xml:space="preserve">, 43:2, 238-252, </w:t>
      </w:r>
      <w:r w:rsidR="00797EE1" w:rsidRPr="006568DD">
        <w:rPr>
          <w:rFonts w:ascii="Cambria" w:hAnsi="Cambria"/>
          <w:iCs/>
        </w:rPr>
        <w:t xml:space="preserve">available at: </w:t>
      </w:r>
      <w:r w:rsidRPr="006568DD">
        <w:rPr>
          <w:rFonts w:ascii="Cambria" w:hAnsi="Cambria"/>
          <w:iCs/>
        </w:rPr>
        <w:t>DOI: 10.1080/09613218.2014.967977.</w:t>
      </w:r>
    </w:p>
    <w:p w14:paraId="30607A17" w14:textId="2FB8C94A" w:rsidR="006C418D" w:rsidRPr="006568DD" w:rsidRDefault="006C418D" w:rsidP="00BD25D5">
      <w:pPr>
        <w:spacing w:after="240"/>
        <w:ind w:left="284" w:hanging="284"/>
        <w:jc w:val="both"/>
        <w:rPr>
          <w:rFonts w:ascii="Cambria" w:hAnsi="Cambria"/>
          <w:iCs/>
        </w:rPr>
      </w:pPr>
      <w:proofErr w:type="gramStart"/>
      <w:r w:rsidRPr="006568DD">
        <w:rPr>
          <w:rFonts w:ascii="Cambria" w:hAnsi="Cambria"/>
          <w:iCs/>
        </w:rPr>
        <w:t xml:space="preserve">Lund, H., Werner, S., Wiltshire, R., </w:t>
      </w:r>
      <w:proofErr w:type="spellStart"/>
      <w:r w:rsidRPr="006568DD">
        <w:rPr>
          <w:rFonts w:ascii="Cambria" w:hAnsi="Cambria"/>
          <w:iCs/>
        </w:rPr>
        <w:t>Svendsen</w:t>
      </w:r>
      <w:proofErr w:type="spellEnd"/>
      <w:r w:rsidRPr="006568DD">
        <w:rPr>
          <w:rFonts w:ascii="Cambria" w:hAnsi="Cambria"/>
          <w:iCs/>
        </w:rPr>
        <w:t xml:space="preserve">, S., </w:t>
      </w:r>
      <w:proofErr w:type="spellStart"/>
      <w:r w:rsidRPr="006568DD">
        <w:rPr>
          <w:rFonts w:ascii="Cambria" w:hAnsi="Cambria"/>
          <w:iCs/>
        </w:rPr>
        <w:t>Thorsen</w:t>
      </w:r>
      <w:proofErr w:type="spellEnd"/>
      <w:r w:rsidRPr="006568DD">
        <w:rPr>
          <w:rFonts w:ascii="Cambria" w:hAnsi="Cambria"/>
          <w:iCs/>
        </w:rPr>
        <w:t xml:space="preserve">, J. E., </w:t>
      </w:r>
      <w:proofErr w:type="spellStart"/>
      <w:r w:rsidRPr="006568DD">
        <w:rPr>
          <w:rFonts w:ascii="Cambria" w:hAnsi="Cambria"/>
          <w:iCs/>
        </w:rPr>
        <w:t>Hvelplund</w:t>
      </w:r>
      <w:proofErr w:type="spellEnd"/>
      <w:r w:rsidRPr="006568DD">
        <w:rPr>
          <w:rFonts w:ascii="Cambria" w:hAnsi="Cambria"/>
          <w:iCs/>
        </w:rPr>
        <w:t xml:space="preserve">, F. and </w:t>
      </w:r>
      <w:proofErr w:type="spellStart"/>
      <w:r w:rsidRPr="006568DD">
        <w:rPr>
          <w:rFonts w:ascii="Cambria" w:hAnsi="Cambria"/>
          <w:iCs/>
        </w:rPr>
        <w:t>Vad</w:t>
      </w:r>
      <w:proofErr w:type="spellEnd"/>
      <w:r w:rsidRPr="006568DD">
        <w:rPr>
          <w:rFonts w:ascii="Cambria" w:hAnsi="Cambria"/>
          <w:iCs/>
        </w:rPr>
        <w:t xml:space="preserve"> </w:t>
      </w:r>
      <w:proofErr w:type="spellStart"/>
      <w:r w:rsidRPr="006568DD">
        <w:rPr>
          <w:rFonts w:ascii="Cambria" w:hAnsi="Cambria"/>
          <w:iCs/>
        </w:rPr>
        <w:t>Mathiesen</w:t>
      </w:r>
      <w:proofErr w:type="spellEnd"/>
      <w:r w:rsidRPr="006568DD">
        <w:rPr>
          <w:rFonts w:ascii="Cambria" w:hAnsi="Cambria"/>
          <w:iCs/>
        </w:rPr>
        <w:t xml:space="preserve">, B. (2014), </w:t>
      </w:r>
      <w:r w:rsidR="00B67545" w:rsidRPr="006568DD">
        <w:rPr>
          <w:rFonts w:ascii="Cambria" w:hAnsi="Cambria"/>
          <w:iCs/>
        </w:rPr>
        <w:t>“</w:t>
      </w:r>
      <w:r w:rsidRPr="006568DD">
        <w:rPr>
          <w:rFonts w:ascii="Cambria" w:hAnsi="Cambria"/>
          <w:iCs/>
        </w:rPr>
        <w:t>4</w:t>
      </w:r>
      <w:r w:rsidRPr="006568DD">
        <w:rPr>
          <w:rFonts w:ascii="Cambria" w:hAnsi="Cambria"/>
          <w:iCs/>
          <w:vertAlign w:val="superscript"/>
        </w:rPr>
        <w:t>th</w:t>
      </w:r>
      <w:r w:rsidRPr="006568DD">
        <w:rPr>
          <w:rFonts w:ascii="Cambria" w:hAnsi="Cambria"/>
          <w:iCs/>
        </w:rPr>
        <w:t xml:space="preserve"> Generation District Heating (4GDH) Integrating smart thermal grids into future sustainable energy systems</w:t>
      </w:r>
      <w:r w:rsidR="00B67545" w:rsidRPr="006568DD">
        <w:rPr>
          <w:rFonts w:ascii="Cambria" w:hAnsi="Cambria"/>
          <w:iCs/>
        </w:rPr>
        <w:t>”</w:t>
      </w:r>
      <w:r w:rsidRPr="006568DD">
        <w:rPr>
          <w:rFonts w:ascii="Cambria" w:hAnsi="Cambria"/>
          <w:iCs/>
        </w:rPr>
        <w:t xml:space="preserve">, </w:t>
      </w:r>
      <w:r w:rsidRPr="006568DD">
        <w:rPr>
          <w:rFonts w:ascii="Cambria" w:hAnsi="Cambria"/>
          <w:i/>
          <w:iCs/>
        </w:rPr>
        <w:t>Energy</w:t>
      </w:r>
      <w:r w:rsidRPr="006568DD">
        <w:rPr>
          <w:rFonts w:ascii="Cambria" w:hAnsi="Cambria"/>
          <w:iCs/>
        </w:rPr>
        <w:t>, 68, 1 – 11.</w:t>
      </w:r>
      <w:proofErr w:type="gramEnd"/>
    </w:p>
    <w:p w14:paraId="39A499DD" w14:textId="550747A7" w:rsidR="00814487" w:rsidRPr="006568DD" w:rsidRDefault="00814487" w:rsidP="00BD25D5">
      <w:pPr>
        <w:spacing w:after="240"/>
        <w:ind w:left="284" w:hanging="284"/>
        <w:jc w:val="both"/>
        <w:rPr>
          <w:rFonts w:ascii="Cambria" w:hAnsi="Cambria"/>
          <w:iCs/>
        </w:rPr>
      </w:pPr>
      <w:r w:rsidRPr="006568DD">
        <w:rPr>
          <w:rFonts w:ascii="Cambria" w:hAnsi="Cambria"/>
          <w:iCs/>
        </w:rPr>
        <w:t xml:space="preserve">Mansfield, J. (2008), </w:t>
      </w:r>
      <w:r w:rsidR="00B67545" w:rsidRPr="006568DD">
        <w:rPr>
          <w:rFonts w:ascii="Cambria" w:hAnsi="Cambria"/>
          <w:iCs/>
        </w:rPr>
        <w:t>“</w:t>
      </w:r>
      <w:r w:rsidRPr="006568DD">
        <w:rPr>
          <w:rFonts w:ascii="Cambria" w:hAnsi="Cambria"/>
          <w:iCs/>
        </w:rPr>
        <w:t>The ethics of conservation: some dilemmas in cultural built heritage projects in England</w:t>
      </w:r>
      <w:r w:rsidR="00B67545" w:rsidRPr="006568DD">
        <w:rPr>
          <w:rFonts w:ascii="Cambria" w:hAnsi="Cambria"/>
          <w:iCs/>
        </w:rPr>
        <w:t>”</w:t>
      </w:r>
      <w:r w:rsidRPr="006568DD">
        <w:rPr>
          <w:rFonts w:ascii="Cambria" w:hAnsi="Cambria"/>
          <w:iCs/>
        </w:rPr>
        <w:t xml:space="preserve">, </w:t>
      </w:r>
      <w:r w:rsidRPr="00714B37">
        <w:rPr>
          <w:rFonts w:ascii="Cambria" w:hAnsi="Cambria"/>
          <w:i/>
          <w:iCs/>
        </w:rPr>
        <w:t>Engineering, Construction and Architectural Management</w:t>
      </w:r>
      <w:r w:rsidRPr="006568DD">
        <w:rPr>
          <w:rFonts w:ascii="Cambria" w:hAnsi="Cambria"/>
          <w:iCs/>
        </w:rPr>
        <w:t>, 15:3, 270 – 281.</w:t>
      </w:r>
    </w:p>
    <w:p w14:paraId="7AAF749F" w14:textId="068F49B3"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lang w:val="it-IT"/>
        </w:rPr>
        <w:t>Martínez</w:t>
      </w:r>
      <w:proofErr w:type="spellEnd"/>
      <w:r w:rsidRPr="006568DD">
        <w:rPr>
          <w:rFonts w:ascii="Cambria" w:hAnsi="Cambria"/>
          <w:iCs/>
          <w:lang w:val="it-IT"/>
        </w:rPr>
        <w:t xml:space="preserve">-Molina, A., </w:t>
      </w:r>
      <w:proofErr w:type="spellStart"/>
      <w:r w:rsidRPr="006568DD">
        <w:rPr>
          <w:rFonts w:ascii="Cambria" w:hAnsi="Cambria"/>
          <w:iCs/>
          <w:lang w:val="it-IT"/>
        </w:rPr>
        <w:t>Tort-Ausina</w:t>
      </w:r>
      <w:proofErr w:type="spellEnd"/>
      <w:r w:rsidRPr="006568DD">
        <w:rPr>
          <w:rFonts w:ascii="Cambria" w:hAnsi="Cambria"/>
          <w:iCs/>
          <w:lang w:val="it-IT"/>
        </w:rPr>
        <w:t xml:space="preserve">, I., </w:t>
      </w:r>
      <w:proofErr w:type="spellStart"/>
      <w:r w:rsidRPr="006568DD">
        <w:rPr>
          <w:rFonts w:ascii="Cambria" w:hAnsi="Cambria"/>
          <w:iCs/>
          <w:lang w:val="it-IT"/>
        </w:rPr>
        <w:t>Cho</w:t>
      </w:r>
      <w:proofErr w:type="spellEnd"/>
      <w:r w:rsidRPr="006568DD">
        <w:rPr>
          <w:rFonts w:ascii="Cambria" w:hAnsi="Cambria"/>
          <w:iCs/>
          <w:lang w:val="it-IT"/>
        </w:rPr>
        <w:t xml:space="preserve">, S., </w:t>
      </w:r>
      <w:proofErr w:type="spellStart"/>
      <w:r w:rsidRPr="006568DD">
        <w:rPr>
          <w:rFonts w:ascii="Cambria" w:hAnsi="Cambria"/>
          <w:iCs/>
          <w:lang w:val="it-IT"/>
        </w:rPr>
        <w:t>Vivancos</w:t>
      </w:r>
      <w:proofErr w:type="spellEnd"/>
      <w:r w:rsidRPr="006568DD">
        <w:rPr>
          <w:rFonts w:ascii="Cambria" w:hAnsi="Cambria"/>
          <w:iCs/>
          <w:lang w:val="it-IT"/>
        </w:rPr>
        <w:t>, J. L. (2016</w:t>
      </w:r>
      <w:r w:rsidR="00F91D73" w:rsidRPr="006568DD">
        <w:rPr>
          <w:rFonts w:ascii="Cambria" w:hAnsi="Cambria"/>
          <w:iCs/>
          <w:lang w:val="it-IT"/>
        </w:rPr>
        <w:t>, “</w:t>
      </w:r>
      <w:r w:rsidRPr="006568DD">
        <w:rPr>
          <w:rFonts w:ascii="Cambria" w:hAnsi="Cambria"/>
          <w:iCs/>
        </w:rPr>
        <w:t>Energy efficiency and thermal comfort in historic buildings: A review</w:t>
      </w:r>
      <w:r w:rsidR="00F91D73" w:rsidRPr="006568DD">
        <w:rPr>
          <w:rFonts w:ascii="Cambria" w:hAnsi="Cambria"/>
          <w:iCs/>
        </w:rPr>
        <w:t xml:space="preserve">”, </w:t>
      </w:r>
      <w:r w:rsidRPr="00714B37">
        <w:rPr>
          <w:rFonts w:ascii="Cambria" w:hAnsi="Cambria"/>
          <w:i/>
          <w:iCs/>
        </w:rPr>
        <w:t>Renewable and Sustainable Energy Reviews</w:t>
      </w:r>
      <w:r w:rsidR="00F91D73" w:rsidRPr="006568DD">
        <w:rPr>
          <w:rFonts w:ascii="Cambria" w:hAnsi="Cambria"/>
          <w:i/>
          <w:iCs/>
        </w:rPr>
        <w:t>,</w:t>
      </w:r>
      <w:r w:rsidRPr="006568DD">
        <w:rPr>
          <w:rFonts w:ascii="Cambria" w:hAnsi="Cambria"/>
          <w:iCs/>
        </w:rPr>
        <w:t xml:space="preserve"> 61, issue C, p. 70-85</w:t>
      </w:r>
      <w:r w:rsidR="00797EE1" w:rsidRPr="006568DD">
        <w:rPr>
          <w:rFonts w:ascii="Cambria" w:hAnsi="Cambria"/>
          <w:iCs/>
        </w:rPr>
        <w:t xml:space="preserve">, available at: </w:t>
      </w:r>
      <w:r w:rsidRPr="006568DD">
        <w:rPr>
          <w:rFonts w:ascii="Cambria" w:hAnsi="Cambria"/>
          <w:iCs/>
        </w:rPr>
        <w:t>http://EconPapers.repec.org/RePEc</w:t>
      </w:r>
      <w:proofErr w:type="gramStart"/>
      <w:r w:rsidRPr="006568DD">
        <w:rPr>
          <w:rFonts w:ascii="Cambria" w:hAnsi="Cambria"/>
          <w:iCs/>
        </w:rPr>
        <w:t>:eee:rensus:v:61:y:2016:i:c:p:70</w:t>
      </w:r>
      <w:proofErr w:type="gramEnd"/>
      <w:r w:rsidRPr="006568DD">
        <w:rPr>
          <w:rFonts w:ascii="Cambria" w:hAnsi="Cambria"/>
          <w:iCs/>
        </w:rPr>
        <w:t>-85.</w:t>
      </w:r>
    </w:p>
    <w:p w14:paraId="3819E096" w14:textId="0048BD40"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Mazzarella</w:t>
      </w:r>
      <w:proofErr w:type="spellEnd"/>
      <w:r w:rsidRPr="006568DD">
        <w:rPr>
          <w:rFonts w:ascii="Cambria" w:hAnsi="Cambria"/>
          <w:iCs/>
        </w:rPr>
        <w:t>, L. (2014</w:t>
      </w:r>
      <w:r w:rsidR="00F91D73" w:rsidRPr="006568DD">
        <w:rPr>
          <w:rFonts w:ascii="Cambria" w:hAnsi="Cambria"/>
          <w:iCs/>
        </w:rPr>
        <w:t>), “</w:t>
      </w:r>
      <w:r w:rsidRPr="006568DD">
        <w:rPr>
          <w:rFonts w:ascii="Cambria" w:hAnsi="Cambria"/>
          <w:iCs/>
        </w:rPr>
        <w:t xml:space="preserve">Energy retrofit of historic and existing buildings. The legislative </w:t>
      </w:r>
      <w:proofErr w:type="spellStart"/>
      <w:r w:rsidRPr="006568DD">
        <w:rPr>
          <w:rFonts w:ascii="Cambria" w:hAnsi="Cambria"/>
          <w:iCs/>
        </w:rPr>
        <w:t>andregulatory</w:t>
      </w:r>
      <w:proofErr w:type="spellEnd"/>
      <w:r w:rsidRPr="006568DD">
        <w:rPr>
          <w:rFonts w:ascii="Cambria" w:hAnsi="Cambria"/>
          <w:iCs/>
        </w:rPr>
        <w:t xml:space="preserve"> point of view</w:t>
      </w:r>
      <w:r w:rsidR="00F91D73" w:rsidRPr="006568DD">
        <w:rPr>
          <w:rFonts w:ascii="Cambria" w:hAnsi="Cambria"/>
          <w:iCs/>
        </w:rPr>
        <w:t>”</w:t>
      </w:r>
      <w:proofErr w:type="gramStart"/>
      <w:r w:rsidR="00F91D73" w:rsidRPr="006568DD">
        <w:rPr>
          <w:rFonts w:ascii="Cambria" w:hAnsi="Cambria"/>
          <w:iCs/>
        </w:rPr>
        <w:t xml:space="preserve">, </w:t>
      </w:r>
      <w:r w:rsidRPr="006568DD">
        <w:rPr>
          <w:rFonts w:ascii="Cambria" w:hAnsi="Cambria"/>
          <w:iCs/>
        </w:rPr>
        <w:t xml:space="preserve"> </w:t>
      </w:r>
      <w:r w:rsidRPr="00714B37">
        <w:rPr>
          <w:rFonts w:ascii="Cambria" w:hAnsi="Cambria"/>
          <w:i/>
          <w:iCs/>
        </w:rPr>
        <w:t>Energy</w:t>
      </w:r>
      <w:proofErr w:type="gramEnd"/>
      <w:r w:rsidRPr="00714B37">
        <w:rPr>
          <w:rFonts w:ascii="Cambria" w:hAnsi="Cambria"/>
          <w:i/>
          <w:iCs/>
        </w:rPr>
        <w:t xml:space="preserve"> and Buildings</w:t>
      </w:r>
      <w:r w:rsidR="00F91D73" w:rsidRPr="006568DD">
        <w:rPr>
          <w:rFonts w:ascii="Cambria" w:hAnsi="Cambria"/>
          <w:iCs/>
        </w:rPr>
        <w:t>,</w:t>
      </w:r>
      <w:r w:rsidRPr="006568DD">
        <w:rPr>
          <w:rFonts w:ascii="Cambria" w:hAnsi="Cambria"/>
          <w:iCs/>
        </w:rPr>
        <w:t xml:space="preserve"> 95 (2015), pp. 23–31.</w:t>
      </w:r>
    </w:p>
    <w:p w14:paraId="71632300" w14:textId="01910124" w:rsidR="00CE68D3" w:rsidRPr="006568DD" w:rsidRDefault="00CE68D3" w:rsidP="00BD25D5">
      <w:pPr>
        <w:spacing w:after="240"/>
        <w:ind w:left="284" w:hanging="284"/>
        <w:jc w:val="both"/>
        <w:rPr>
          <w:rFonts w:ascii="Cambria" w:hAnsi="Cambria"/>
          <w:iCs/>
        </w:rPr>
      </w:pPr>
      <w:proofErr w:type="gramStart"/>
      <w:r w:rsidRPr="006568DD">
        <w:rPr>
          <w:rFonts w:ascii="Cambria" w:hAnsi="Cambria"/>
          <w:iCs/>
        </w:rPr>
        <w:t xml:space="preserve">Meijer, F., </w:t>
      </w:r>
      <w:proofErr w:type="spellStart"/>
      <w:r w:rsidRPr="006568DD">
        <w:rPr>
          <w:rFonts w:ascii="Cambria" w:hAnsi="Cambria"/>
          <w:iCs/>
        </w:rPr>
        <w:t>Itard</w:t>
      </w:r>
      <w:proofErr w:type="spellEnd"/>
      <w:r w:rsidRPr="006568DD">
        <w:rPr>
          <w:rFonts w:ascii="Cambria" w:hAnsi="Cambria"/>
          <w:iCs/>
        </w:rPr>
        <w:t xml:space="preserve">, L. and </w:t>
      </w:r>
      <w:proofErr w:type="spellStart"/>
      <w:r w:rsidRPr="006568DD">
        <w:rPr>
          <w:rFonts w:ascii="Cambria" w:hAnsi="Cambria"/>
          <w:iCs/>
        </w:rPr>
        <w:t>Sunikka</w:t>
      </w:r>
      <w:proofErr w:type="spellEnd"/>
      <w:r w:rsidRPr="006568DD">
        <w:rPr>
          <w:rFonts w:ascii="Cambria" w:hAnsi="Cambria"/>
          <w:iCs/>
        </w:rPr>
        <w:t>-Blank, N. (2009)</w:t>
      </w:r>
      <w:r w:rsidR="00F91D73" w:rsidRPr="006568DD">
        <w:rPr>
          <w:rFonts w:ascii="Cambria" w:hAnsi="Cambria"/>
          <w:iCs/>
        </w:rPr>
        <w:t>, “</w:t>
      </w:r>
      <w:r w:rsidRPr="006568DD">
        <w:rPr>
          <w:rFonts w:ascii="Cambria" w:hAnsi="Cambria"/>
          <w:iCs/>
        </w:rPr>
        <w:t>Comparing European residential performance, renovation and policy opportunities</w:t>
      </w:r>
      <w:r w:rsidR="00F91D73" w:rsidRPr="006568DD">
        <w:rPr>
          <w:rFonts w:ascii="Cambria" w:hAnsi="Cambria"/>
          <w:iCs/>
        </w:rPr>
        <w:t>”</w:t>
      </w:r>
      <w:r w:rsidRPr="006568DD">
        <w:rPr>
          <w:rFonts w:ascii="Cambria" w:hAnsi="Cambria"/>
          <w:iCs/>
        </w:rPr>
        <w:t xml:space="preserve">, </w:t>
      </w:r>
      <w:r w:rsidRPr="00714B37">
        <w:rPr>
          <w:rFonts w:ascii="Cambria" w:hAnsi="Cambria"/>
          <w:i/>
          <w:iCs/>
        </w:rPr>
        <w:t>Building Research &amp; Information</w:t>
      </w:r>
      <w:r w:rsidRPr="006568DD">
        <w:rPr>
          <w:rFonts w:ascii="Cambria" w:hAnsi="Cambria"/>
          <w:iCs/>
        </w:rPr>
        <w:t>, 37:5-6, 533-551.</w:t>
      </w:r>
      <w:proofErr w:type="gramEnd"/>
    </w:p>
    <w:p w14:paraId="53C9B8D3" w14:textId="7EB86C41" w:rsidR="00814487" w:rsidRPr="006568DD" w:rsidRDefault="00814487" w:rsidP="00BD25D5">
      <w:pPr>
        <w:spacing w:after="240"/>
        <w:ind w:left="284" w:hanging="284"/>
        <w:jc w:val="both"/>
        <w:rPr>
          <w:rFonts w:ascii="Cambria" w:hAnsi="Cambria"/>
          <w:iCs/>
        </w:rPr>
      </w:pPr>
      <w:r w:rsidRPr="006568DD">
        <w:rPr>
          <w:rFonts w:ascii="Cambria" w:hAnsi="Cambria"/>
          <w:iCs/>
          <w:lang w:val="it-IT"/>
        </w:rPr>
        <w:t>Ministero dei Beni e delle Attività Culturali e del Turismo (</w:t>
      </w:r>
      <w:proofErr w:type="spellStart"/>
      <w:r w:rsidRPr="006568DD">
        <w:rPr>
          <w:rFonts w:ascii="Cambria" w:hAnsi="Cambria"/>
          <w:iCs/>
          <w:lang w:val="it-IT"/>
        </w:rPr>
        <w:t>MiBACT</w:t>
      </w:r>
      <w:proofErr w:type="spellEnd"/>
      <w:r w:rsidRPr="006568DD">
        <w:rPr>
          <w:rFonts w:ascii="Cambria" w:hAnsi="Cambria"/>
          <w:iCs/>
          <w:lang w:val="it-IT"/>
        </w:rPr>
        <w:t>) (2016)</w:t>
      </w:r>
      <w:r w:rsidR="00F91D73" w:rsidRPr="006568DD">
        <w:rPr>
          <w:rFonts w:ascii="Cambria" w:hAnsi="Cambria"/>
          <w:iCs/>
          <w:lang w:val="it-IT"/>
        </w:rPr>
        <w:t>,</w:t>
      </w:r>
      <w:r w:rsidRPr="006568DD">
        <w:rPr>
          <w:rFonts w:ascii="Cambria" w:hAnsi="Cambria"/>
          <w:iCs/>
          <w:lang w:val="it-IT"/>
        </w:rPr>
        <w:t xml:space="preserve"> </w:t>
      </w:r>
      <w:r w:rsidR="00F91D73" w:rsidRPr="006568DD">
        <w:rPr>
          <w:rFonts w:ascii="Cambria" w:hAnsi="Cambria"/>
          <w:iCs/>
          <w:lang w:val="it-IT"/>
        </w:rPr>
        <w:t>“</w:t>
      </w:r>
      <w:proofErr w:type="spellStart"/>
      <w:r w:rsidRPr="006568DD">
        <w:rPr>
          <w:rFonts w:ascii="Cambria" w:hAnsi="Cambria"/>
          <w:iCs/>
        </w:rPr>
        <w:t>Sitap</w:t>
      </w:r>
      <w:proofErr w:type="spellEnd"/>
      <w:r w:rsidR="00F91D73" w:rsidRPr="006568DD">
        <w:rPr>
          <w:rFonts w:ascii="Cambria" w:hAnsi="Cambria"/>
          <w:iCs/>
        </w:rPr>
        <w:t>”, a</w:t>
      </w:r>
      <w:r w:rsidRPr="006568DD">
        <w:rPr>
          <w:rFonts w:ascii="Cambria" w:hAnsi="Cambria"/>
          <w:iCs/>
        </w:rPr>
        <w:t xml:space="preserve">vailable </w:t>
      </w:r>
      <w:r w:rsidR="00797EE1" w:rsidRPr="006568DD">
        <w:rPr>
          <w:rFonts w:ascii="Cambria" w:hAnsi="Cambria"/>
          <w:iCs/>
        </w:rPr>
        <w:t>at</w:t>
      </w:r>
      <w:r w:rsidRPr="006568DD">
        <w:rPr>
          <w:rFonts w:ascii="Cambria" w:hAnsi="Cambria"/>
          <w:iCs/>
        </w:rPr>
        <w:t xml:space="preserve">: http://sitap.beniculturali.it/ </w:t>
      </w:r>
      <w:r w:rsidR="0037662A" w:rsidRPr="006568DD">
        <w:rPr>
          <w:rFonts w:ascii="Cambria" w:hAnsi="Cambria"/>
          <w:iCs/>
        </w:rPr>
        <w:t>(</w:t>
      </w:r>
      <w:r w:rsidRPr="006568DD">
        <w:rPr>
          <w:rFonts w:ascii="Cambria" w:hAnsi="Cambria"/>
          <w:iCs/>
        </w:rPr>
        <w:t>Accessed 14 April 2016</w:t>
      </w:r>
      <w:r w:rsidR="0037662A" w:rsidRPr="006568DD">
        <w:rPr>
          <w:rFonts w:ascii="Cambria" w:hAnsi="Cambria"/>
          <w:iCs/>
        </w:rPr>
        <w:t>)</w:t>
      </w:r>
      <w:r w:rsidRPr="006568DD">
        <w:rPr>
          <w:rFonts w:ascii="Cambria" w:hAnsi="Cambria"/>
          <w:iCs/>
        </w:rPr>
        <w:t xml:space="preserve">. </w:t>
      </w:r>
    </w:p>
    <w:p w14:paraId="56945C1D" w14:textId="041DEF08" w:rsidR="00F91D73" w:rsidRPr="006568DD" w:rsidRDefault="00814487" w:rsidP="00BD25D5">
      <w:pPr>
        <w:spacing w:after="240"/>
        <w:ind w:left="284" w:hanging="284"/>
        <w:jc w:val="both"/>
        <w:rPr>
          <w:rFonts w:ascii="Cambria" w:hAnsi="Cambria"/>
          <w:iCs/>
        </w:rPr>
      </w:pPr>
      <w:r w:rsidRPr="006568DD">
        <w:rPr>
          <w:rFonts w:ascii="Cambria" w:hAnsi="Cambria"/>
          <w:iCs/>
        </w:rPr>
        <w:t>Morris, W. (1877)</w:t>
      </w:r>
      <w:r w:rsidR="00F91D73" w:rsidRPr="006568DD">
        <w:rPr>
          <w:rFonts w:ascii="Cambria" w:hAnsi="Cambria"/>
          <w:iCs/>
        </w:rPr>
        <w:t>, “</w:t>
      </w:r>
      <w:r w:rsidRPr="006568DD">
        <w:rPr>
          <w:rFonts w:ascii="Cambria" w:hAnsi="Cambria"/>
          <w:iCs/>
        </w:rPr>
        <w:t>The SPAB Manifesto: The Principals of the Society for the Protection of Ancient Buildings as Set Forth upon its Foundation</w:t>
      </w:r>
      <w:r w:rsidR="00F91D73" w:rsidRPr="006568DD">
        <w:rPr>
          <w:rFonts w:ascii="Cambria" w:hAnsi="Cambria"/>
          <w:iCs/>
        </w:rPr>
        <w:t>”</w:t>
      </w:r>
      <w:r w:rsidRPr="006568DD">
        <w:rPr>
          <w:rFonts w:ascii="Cambria" w:hAnsi="Cambria"/>
          <w:iCs/>
        </w:rPr>
        <w:t xml:space="preserve">. </w:t>
      </w:r>
    </w:p>
    <w:p w14:paraId="7CC46ACA" w14:textId="23234E97"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Naoum</w:t>
      </w:r>
      <w:proofErr w:type="spellEnd"/>
      <w:r w:rsidRPr="006568DD">
        <w:rPr>
          <w:rFonts w:ascii="Cambria" w:hAnsi="Cambria"/>
          <w:iCs/>
        </w:rPr>
        <w:t>, S.G. (2013)</w:t>
      </w:r>
      <w:r w:rsidR="00F91D73" w:rsidRPr="006568DD">
        <w:rPr>
          <w:rFonts w:ascii="Cambria" w:hAnsi="Cambria"/>
          <w:iCs/>
        </w:rPr>
        <w:t xml:space="preserve">, </w:t>
      </w:r>
      <w:r w:rsidRPr="00714B37">
        <w:rPr>
          <w:rFonts w:ascii="Cambria" w:hAnsi="Cambria"/>
          <w:i/>
          <w:iCs/>
        </w:rPr>
        <w:t>Dissertation research and writing for construction students</w:t>
      </w:r>
      <w:r w:rsidR="00F91D73" w:rsidRPr="006568DD">
        <w:rPr>
          <w:rFonts w:ascii="Cambria" w:hAnsi="Cambria"/>
          <w:iCs/>
        </w:rPr>
        <w:t>,</w:t>
      </w:r>
      <w:r w:rsidRPr="006568DD">
        <w:rPr>
          <w:rFonts w:ascii="Cambria" w:hAnsi="Cambria"/>
          <w:iCs/>
        </w:rPr>
        <w:t xml:space="preserve"> 3rd ed., London: </w:t>
      </w:r>
      <w:proofErr w:type="spellStart"/>
      <w:r w:rsidRPr="006568DD">
        <w:rPr>
          <w:rFonts w:ascii="Cambria" w:hAnsi="Cambria"/>
          <w:iCs/>
        </w:rPr>
        <w:t>Routledge</w:t>
      </w:r>
      <w:proofErr w:type="spellEnd"/>
      <w:r w:rsidRPr="006568DD">
        <w:rPr>
          <w:rFonts w:ascii="Cambria" w:hAnsi="Cambria"/>
          <w:iCs/>
        </w:rPr>
        <w:t>.</w:t>
      </w:r>
    </w:p>
    <w:p w14:paraId="1641B60E" w14:textId="50096A52"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Munarim</w:t>
      </w:r>
      <w:proofErr w:type="spellEnd"/>
      <w:r w:rsidRPr="006568DD">
        <w:rPr>
          <w:rFonts w:ascii="Cambria" w:hAnsi="Cambria"/>
          <w:iCs/>
        </w:rPr>
        <w:t xml:space="preserve">, U. and </w:t>
      </w:r>
      <w:proofErr w:type="spellStart"/>
      <w:r w:rsidRPr="006568DD">
        <w:rPr>
          <w:rFonts w:ascii="Cambria" w:hAnsi="Cambria"/>
          <w:iCs/>
        </w:rPr>
        <w:t>Ghisi</w:t>
      </w:r>
      <w:proofErr w:type="spellEnd"/>
      <w:r w:rsidRPr="006568DD">
        <w:rPr>
          <w:rFonts w:ascii="Cambria" w:hAnsi="Cambria"/>
          <w:iCs/>
        </w:rPr>
        <w:t>, E. (2016)</w:t>
      </w:r>
      <w:r w:rsidR="00F91D73" w:rsidRPr="006568DD">
        <w:rPr>
          <w:rFonts w:ascii="Cambria" w:hAnsi="Cambria"/>
          <w:iCs/>
        </w:rPr>
        <w:t>,</w:t>
      </w:r>
      <w:r w:rsidRPr="006568DD">
        <w:rPr>
          <w:rFonts w:ascii="Cambria" w:hAnsi="Cambria"/>
          <w:iCs/>
        </w:rPr>
        <w:t xml:space="preserve"> </w:t>
      </w:r>
      <w:r w:rsidR="00F91D73" w:rsidRPr="006568DD">
        <w:rPr>
          <w:rFonts w:ascii="Cambria" w:hAnsi="Cambria"/>
          <w:iCs/>
        </w:rPr>
        <w:t>“</w:t>
      </w:r>
      <w:r w:rsidRPr="006568DD">
        <w:rPr>
          <w:rFonts w:ascii="Cambria" w:hAnsi="Cambria"/>
          <w:iCs/>
        </w:rPr>
        <w:t>Environmental feasibility of heritage buildings rehabilitation</w:t>
      </w:r>
      <w:r w:rsidR="00F91D73" w:rsidRPr="006568DD">
        <w:rPr>
          <w:rFonts w:ascii="Cambria" w:hAnsi="Cambria"/>
          <w:iCs/>
        </w:rPr>
        <w:t xml:space="preserve">”, </w:t>
      </w:r>
      <w:r w:rsidRPr="00714B37">
        <w:rPr>
          <w:rFonts w:ascii="Cambria" w:hAnsi="Cambria"/>
          <w:i/>
          <w:iCs/>
        </w:rPr>
        <w:t>Renewable and Sustainable Energy Reviews</w:t>
      </w:r>
      <w:r w:rsidR="00F91D73" w:rsidRPr="006568DD">
        <w:rPr>
          <w:rFonts w:ascii="Cambria" w:hAnsi="Cambria"/>
          <w:iCs/>
        </w:rPr>
        <w:t>,</w:t>
      </w:r>
      <w:r w:rsidRPr="006568DD">
        <w:rPr>
          <w:rFonts w:ascii="Cambria" w:hAnsi="Cambria"/>
          <w:iCs/>
        </w:rPr>
        <w:t xml:space="preserve"> 58, issue C. p. 235-249</w:t>
      </w:r>
      <w:r w:rsidR="00797EE1" w:rsidRPr="006568DD">
        <w:rPr>
          <w:rFonts w:ascii="Cambria" w:hAnsi="Cambria"/>
          <w:iCs/>
        </w:rPr>
        <w:t xml:space="preserve">, available at: </w:t>
      </w:r>
      <w:r w:rsidR="00B97AB1" w:rsidRPr="006568DD">
        <w:rPr>
          <w:rFonts w:ascii="Cambria" w:hAnsi="Cambria"/>
          <w:iCs/>
        </w:rPr>
        <w:t>http://EconPapers.repec.org/RePEc</w:t>
      </w:r>
      <w:proofErr w:type="gramStart"/>
      <w:r w:rsidR="00B97AB1" w:rsidRPr="006568DD">
        <w:rPr>
          <w:rFonts w:ascii="Cambria" w:hAnsi="Cambria"/>
          <w:iCs/>
        </w:rPr>
        <w:t>:eee:rensus:v:58:y:2016:i:c:p:235</w:t>
      </w:r>
      <w:proofErr w:type="gramEnd"/>
      <w:r w:rsidR="00B97AB1" w:rsidRPr="006568DD">
        <w:rPr>
          <w:rFonts w:ascii="Cambria" w:hAnsi="Cambria"/>
          <w:iCs/>
        </w:rPr>
        <w:t>-249</w:t>
      </w:r>
      <w:r w:rsidRPr="006568DD">
        <w:rPr>
          <w:rFonts w:ascii="Cambria" w:hAnsi="Cambria"/>
          <w:iCs/>
        </w:rPr>
        <w:t>.</w:t>
      </w:r>
    </w:p>
    <w:p w14:paraId="5457CAA9" w14:textId="08E20A32" w:rsidR="00D84F57" w:rsidRPr="006568DD" w:rsidRDefault="00D84F57" w:rsidP="00D84F57">
      <w:pPr>
        <w:spacing w:after="240"/>
        <w:ind w:left="284" w:hanging="284"/>
        <w:jc w:val="both"/>
        <w:rPr>
          <w:rFonts w:ascii="Cambria" w:hAnsi="Cambria"/>
          <w:iCs/>
        </w:rPr>
      </w:pPr>
      <w:proofErr w:type="spellStart"/>
      <w:proofErr w:type="gramStart"/>
      <w:r w:rsidRPr="006568DD">
        <w:rPr>
          <w:rFonts w:ascii="Cambria" w:hAnsi="Cambria"/>
          <w:iCs/>
        </w:rPr>
        <w:t>Nardi</w:t>
      </w:r>
      <w:proofErr w:type="spellEnd"/>
      <w:r w:rsidRPr="006568DD">
        <w:rPr>
          <w:rFonts w:ascii="Cambria" w:hAnsi="Cambria"/>
          <w:iCs/>
        </w:rPr>
        <w:t xml:space="preserve">, R., </w:t>
      </w:r>
      <w:proofErr w:type="spellStart"/>
      <w:r w:rsidRPr="006568DD">
        <w:rPr>
          <w:rFonts w:ascii="Cambria" w:hAnsi="Cambria"/>
          <w:iCs/>
        </w:rPr>
        <w:t>Taddei</w:t>
      </w:r>
      <w:proofErr w:type="spellEnd"/>
      <w:r w:rsidRPr="006568DD">
        <w:rPr>
          <w:rFonts w:ascii="Cambria" w:hAnsi="Cambria"/>
          <w:iCs/>
        </w:rPr>
        <w:t xml:space="preserve">, M., </w:t>
      </w:r>
      <w:proofErr w:type="spellStart"/>
      <w:r w:rsidRPr="006568DD">
        <w:rPr>
          <w:rFonts w:ascii="Cambria" w:hAnsi="Cambria"/>
          <w:iCs/>
        </w:rPr>
        <w:t>Ambrosini</w:t>
      </w:r>
      <w:proofErr w:type="spellEnd"/>
      <w:r w:rsidRPr="006568DD">
        <w:rPr>
          <w:rFonts w:ascii="Cambria" w:hAnsi="Cambria"/>
          <w:iCs/>
        </w:rPr>
        <w:t xml:space="preserve">, D. and </w:t>
      </w:r>
      <w:proofErr w:type="spellStart"/>
      <w:r w:rsidRPr="006568DD">
        <w:rPr>
          <w:rFonts w:ascii="Cambria" w:hAnsi="Cambria"/>
          <w:iCs/>
        </w:rPr>
        <w:t>Sfarra</w:t>
      </w:r>
      <w:proofErr w:type="spellEnd"/>
      <w:r w:rsidRPr="006568DD">
        <w:rPr>
          <w:rFonts w:ascii="Cambria" w:hAnsi="Cambria"/>
          <w:iCs/>
        </w:rPr>
        <w:t xml:space="preserve">, S. (2017), </w:t>
      </w:r>
      <w:r w:rsidR="00F91D73" w:rsidRPr="006568DD">
        <w:rPr>
          <w:rFonts w:ascii="Cambria" w:hAnsi="Cambria"/>
          <w:iCs/>
        </w:rPr>
        <w:t>“</w:t>
      </w:r>
      <w:r w:rsidRPr="006568DD">
        <w:rPr>
          <w:rFonts w:ascii="Cambria" w:hAnsi="Cambria"/>
          <w:iCs/>
        </w:rPr>
        <w:t>The energy efficiency challenge for a historical building undergone to seismic and energy refurbishment</w:t>
      </w:r>
      <w:r w:rsidR="00F91D73" w:rsidRPr="006568DD">
        <w:rPr>
          <w:rFonts w:ascii="Cambria" w:hAnsi="Cambria"/>
          <w:iCs/>
        </w:rPr>
        <w:t>”</w:t>
      </w:r>
      <w:r w:rsidRPr="006568DD">
        <w:rPr>
          <w:rFonts w:ascii="Cambria" w:hAnsi="Cambria"/>
          <w:iCs/>
        </w:rPr>
        <w:t xml:space="preserve">, </w:t>
      </w:r>
      <w:r w:rsidRPr="006568DD">
        <w:rPr>
          <w:rFonts w:ascii="Cambria" w:hAnsi="Cambria"/>
          <w:i/>
          <w:iCs/>
        </w:rPr>
        <w:t xml:space="preserve">Energy </w:t>
      </w:r>
      <w:proofErr w:type="spellStart"/>
      <w:r w:rsidRPr="006568DD">
        <w:rPr>
          <w:rFonts w:ascii="Cambria" w:hAnsi="Cambria"/>
          <w:i/>
          <w:iCs/>
        </w:rPr>
        <w:t>Procedia</w:t>
      </w:r>
      <w:proofErr w:type="spellEnd"/>
      <w:r w:rsidRPr="006568DD">
        <w:rPr>
          <w:rFonts w:ascii="Cambria" w:hAnsi="Cambria"/>
          <w:iCs/>
        </w:rPr>
        <w:t>, Vol. 133, pp. 231 – 242.</w:t>
      </w:r>
      <w:proofErr w:type="gramEnd"/>
    </w:p>
    <w:p w14:paraId="71F1F580" w14:textId="5321E026" w:rsidR="00814487" w:rsidRPr="006568DD" w:rsidRDefault="00814487" w:rsidP="00BD25D5">
      <w:pPr>
        <w:spacing w:after="240"/>
        <w:ind w:left="284" w:hanging="284"/>
        <w:jc w:val="both"/>
        <w:rPr>
          <w:rFonts w:ascii="Cambria" w:hAnsi="Cambria"/>
          <w:iCs/>
        </w:rPr>
      </w:pPr>
      <w:r w:rsidRPr="006568DD">
        <w:rPr>
          <w:rFonts w:ascii="Cambria" w:hAnsi="Cambria"/>
          <w:iCs/>
        </w:rPr>
        <w:t>Organ, S. E. (2015)</w:t>
      </w:r>
      <w:r w:rsidR="00F91D73" w:rsidRPr="006568DD">
        <w:rPr>
          <w:rFonts w:ascii="Cambria" w:hAnsi="Cambria"/>
          <w:iCs/>
        </w:rPr>
        <w:t>,</w:t>
      </w:r>
      <w:r w:rsidRPr="006568DD">
        <w:rPr>
          <w:rFonts w:ascii="Cambria" w:hAnsi="Cambria"/>
          <w:iCs/>
        </w:rPr>
        <w:t xml:space="preserve"> </w:t>
      </w:r>
      <w:r w:rsidR="00F91D73" w:rsidRPr="006568DD">
        <w:rPr>
          <w:rFonts w:ascii="Cambria" w:hAnsi="Cambria"/>
          <w:iCs/>
        </w:rPr>
        <w:t>“</w:t>
      </w:r>
      <w:r w:rsidRPr="006568DD">
        <w:rPr>
          <w:rFonts w:ascii="Cambria" w:hAnsi="Cambria"/>
          <w:iCs/>
        </w:rPr>
        <w:t>Owner-occupier motivations for energy efficiency refurbishment</w:t>
      </w:r>
      <w:r w:rsidR="00F91D73" w:rsidRPr="006568DD">
        <w:rPr>
          <w:rFonts w:ascii="Cambria" w:hAnsi="Cambria"/>
          <w:iCs/>
        </w:rPr>
        <w:t xml:space="preserve">”, </w:t>
      </w:r>
      <w:r w:rsidR="00EF38FC" w:rsidRPr="006568DD">
        <w:rPr>
          <w:rFonts w:ascii="Cambria" w:hAnsi="Cambria"/>
          <w:iCs/>
        </w:rPr>
        <w:t xml:space="preserve">PhD, University of the West of England, Bristol, </w:t>
      </w:r>
      <w:r w:rsidR="00F91D73" w:rsidRPr="006568DD">
        <w:rPr>
          <w:rFonts w:ascii="Cambria" w:hAnsi="Cambria"/>
          <w:iCs/>
        </w:rPr>
        <w:t>a</w:t>
      </w:r>
      <w:r w:rsidRPr="006568DD">
        <w:rPr>
          <w:rFonts w:ascii="Cambria" w:hAnsi="Cambria"/>
          <w:iCs/>
        </w:rPr>
        <w:t xml:space="preserve">vailable </w:t>
      </w:r>
      <w:r w:rsidR="00797EE1" w:rsidRPr="006568DD">
        <w:rPr>
          <w:rFonts w:ascii="Cambria" w:hAnsi="Cambria"/>
          <w:iCs/>
        </w:rPr>
        <w:t>at</w:t>
      </w:r>
      <w:r w:rsidRPr="006568DD">
        <w:rPr>
          <w:rFonts w:ascii="Cambria" w:hAnsi="Cambria"/>
          <w:iCs/>
        </w:rPr>
        <w:t xml:space="preserve">: http://eprints.uwe.ac.uk/24559 </w:t>
      </w:r>
    </w:p>
    <w:p w14:paraId="0A92CB46" w14:textId="55A0FCE0" w:rsidR="00CE68D3" w:rsidRPr="006568DD" w:rsidRDefault="00CE68D3" w:rsidP="00BD25D5">
      <w:pPr>
        <w:spacing w:after="240"/>
        <w:ind w:left="284" w:hanging="284"/>
        <w:jc w:val="both"/>
        <w:rPr>
          <w:rFonts w:ascii="Cambria" w:hAnsi="Cambria"/>
          <w:iCs/>
        </w:rPr>
      </w:pPr>
      <w:r w:rsidRPr="006568DD">
        <w:rPr>
          <w:rFonts w:ascii="Cambria" w:hAnsi="Cambria"/>
          <w:iCs/>
        </w:rPr>
        <w:t xml:space="preserve">Owens, S., </w:t>
      </w:r>
      <w:proofErr w:type="spellStart"/>
      <w:r w:rsidRPr="006568DD">
        <w:rPr>
          <w:rFonts w:ascii="Cambria" w:hAnsi="Cambria"/>
          <w:iCs/>
        </w:rPr>
        <w:t>Driffill</w:t>
      </w:r>
      <w:proofErr w:type="spellEnd"/>
      <w:r w:rsidRPr="006568DD">
        <w:rPr>
          <w:rFonts w:ascii="Cambria" w:hAnsi="Cambria"/>
          <w:iCs/>
        </w:rPr>
        <w:t>, L. (2008</w:t>
      </w:r>
      <w:r w:rsidR="00F91D73" w:rsidRPr="006568DD">
        <w:rPr>
          <w:rFonts w:ascii="Cambria" w:hAnsi="Cambria"/>
          <w:iCs/>
        </w:rPr>
        <w:t>), “</w:t>
      </w:r>
      <w:r w:rsidRPr="006568DD">
        <w:rPr>
          <w:rFonts w:ascii="Cambria" w:hAnsi="Cambria"/>
          <w:iCs/>
        </w:rPr>
        <w:t>How to change attitudes and behaviours in the context of energy</w:t>
      </w:r>
      <w:r w:rsidR="00F91D73" w:rsidRPr="006568DD">
        <w:rPr>
          <w:rFonts w:ascii="Cambria" w:hAnsi="Cambria"/>
          <w:iCs/>
        </w:rPr>
        <w:t>”</w:t>
      </w:r>
      <w:r w:rsidRPr="006568DD">
        <w:rPr>
          <w:rFonts w:ascii="Cambria" w:hAnsi="Cambria"/>
          <w:iCs/>
        </w:rPr>
        <w:t xml:space="preserve">, </w:t>
      </w:r>
      <w:r w:rsidRPr="00714B37">
        <w:rPr>
          <w:rFonts w:ascii="Cambria" w:hAnsi="Cambria"/>
          <w:i/>
          <w:iCs/>
        </w:rPr>
        <w:t>Energy Policy</w:t>
      </w:r>
      <w:r w:rsidRPr="006568DD">
        <w:rPr>
          <w:rFonts w:ascii="Cambria" w:hAnsi="Cambria"/>
          <w:iCs/>
        </w:rPr>
        <w:t xml:space="preserve">, Volume 36, Issue 12, 2008, Pages 4412-4418, ISSN 0301-4215, </w:t>
      </w:r>
      <w:r w:rsidR="00797EE1" w:rsidRPr="006568DD">
        <w:rPr>
          <w:rFonts w:ascii="Cambria" w:hAnsi="Cambria"/>
          <w:iCs/>
        </w:rPr>
        <w:t xml:space="preserve">available at: </w:t>
      </w:r>
      <w:r w:rsidRPr="006568DD">
        <w:rPr>
          <w:rFonts w:ascii="Cambria" w:hAnsi="Cambria"/>
          <w:iCs/>
        </w:rPr>
        <w:t>http://dx.doi.org/10.1016/j.enpol.2008.09.031.</w:t>
      </w:r>
    </w:p>
    <w:p w14:paraId="469B7F19" w14:textId="7B25926C" w:rsidR="00CE68D3" w:rsidRPr="006568DD" w:rsidRDefault="00CE68D3" w:rsidP="00BD25D5">
      <w:pPr>
        <w:spacing w:after="240"/>
        <w:ind w:left="284" w:hanging="284"/>
        <w:jc w:val="both"/>
        <w:rPr>
          <w:rFonts w:ascii="Cambria" w:hAnsi="Cambria"/>
          <w:iCs/>
        </w:rPr>
      </w:pPr>
      <w:proofErr w:type="spellStart"/>
      <w:r w:rsidRPr="006568DD">
        <w:rPr>
          <w:rFonts w:ascii="Cambria" w:hAnsi="Cambria"/>
          <w:iCs/>
          <w:lang w:val="it-IT"/>
        </w:rPr>
        <w:t>Patuelli</w:t>
      </w:r>
      <w:proofErr w:type="spellEnd"/>
      <w:r w:rsidRPr="006568DD">
        <w:rPr>
          <w:rFonts w:ascii="Cambria" w:hAnsi="Cambria"/>
          <w:iCs/>
          <w:lang w:val="it-IT"/>
        </w:rPr>
        <w:t xml:space="preserve">, R., </w:t>
      </w:r>
      <w:proofErr w:type="spellStart"/>
      <w:r w:rsidRPr="006568DD">
        <w:rPr>
          <w:rFonts w:ascii="Cambria" w:hAnsi="Cambria"/>
          <w:iCs/>
          <w:lang w:val="it-IT"/>
        </w:rPr>
        <w:t>Mussoni</w:t>
      </w:r>
      <w:proofErr w:type="spellEnd"/>
      <w:r w:rsidRPr="006568DD">
        <w:rPr>
          <w:rFonts w:ascii="Cambria" w:hAnsi="Cambria"/>
          <w:iCs/>
          <w:lang w:val="it-IT"/>
        </w:rPr>
        <w:t>, M., Candela, G. (2013</w:t>
      </w:r>
      <w:r w:rsidR="00F91D73" w:rsidRPr="006568DD">
        <w:rPr>
          <w:rFonts w:ascii="Cambria" w:hAnsi="Cambria"/>
          <w:iCs/>
          <w:lang w:val="it-IT"/>
        </w:rPr>
        <w:t>), “</w:t>
      </w:r>
      <w:r w:rsidRPr="006568DD">
        <w:rPr>
          <w:rFonts w:ascii="Cambria" w:hAnsi="Cambria"/>
          <w:iCs/>
        </w:rPr>
        <w:t>The Effects of World Heritage Sites on Domestic Tourism: A Spatial Interaction Model for Italy</w:t>
      </w:r>
      <w:r w:rsidR="00F91D73" w:rsidRPr="006568DD">
        <w:rPr>
          <w:rFonts w:ascii="Cambria" w:hAnsi="Cambria"/>
          <w:iCs/>
        </w:rPr>
        <w:t xml:space="preserve">”, </w:t>
      </w:r>
      <w:r w:rsidRPr="00714B37">
        <w:rPr>
          <w:rFonts w:ascii="Cambria" w:hAnsi="Cambria"/>
          <w:i/>
          <w:iCs/>
        </w:rPr>
        <w:t>Journal of Geographical Systems</w:t>
      </w:r>
      <w:r w:rsidRPr="006568DD">
        <w:rPr>
          <w:rFonts w:ascii="Cambria" w:hAnsi="Cambria"/>
          <w:iCs/>
        </w:rPr>
        <w:t>, Vol. 15, No. 3, 2013</w:t>
      </w:r>
      <w:r w:rsidR="00797EE1" w:rsidRPr="006568DD">
        <w:rPr>
          <w:rFonts w:ascii="Cambria" w:hAnsi="Cambria"/>
          <w:iCs/>
        </w:rPr>
        <w:t xml:space="preserve">, available </w:t>
      </w:r>
      <w:r w:rsidRPr="006568DD">
        <w:rPr>
          <w:rFonts w:ascii="Cambria" w:hAnsi="Cambria"/>
          <w:iCs/>
        </w:rPr>
        <w:t>at SSRN: https://ssrn.com/abstract=2208795</w:t>
      </w:r>
    </w:p>
    <w:p w14:paraId="6A64151A" w14:textId="6A4282CB"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Pendlebury</w:t>
      </w:r>
      <w:proofErr w:type="spellEnd"/>
      <w:r w:rsidRPr="006568DD">
        <w:rPr>
          <w:rFonts w:ascii="Cambria" w:hAnsi="Cambria"/>
          <w:iCs/>
        </w:rPr>
        <w:t xml:space="preserve">, J., </w:t>
      </w:r>
      <w:proofErr w:type="spellStart"/>
      <w:r w:rsidRPr="006568DD">
        <w:rPr>
          <w:rFonts w:ascii="Cambria" w:hAnsi="Cambria"/>
          <w:iCs/>
        </w:rPr>
        <w:t>Hamza</w:t>
      </w:r>
      <w:proofErr w:type="spellEnd"/>
      <w:r w:rsidRPr="006568DD">
        <w:rPr>
          <w:rFonts w:ascii="Cambria" w:hAnsi="Cambria"/>
          <w:iCs/>
        </w:rPr>
        <w:t xml:space="preserve">, N. and </w:t>
      </w:r>
      <w:proofErr w:type="spellStart"/>
      <w:r w:rsidRPr="006568DD">
        <w:rPr>
          <w:rFonts w:ascii="Cambria" w:hAnsi="Cambria"/>
          <w:iCs/>
        </w:rPr>
        <w:t>Sharr</w:t>
      </w:r>
      <w:proofErr w:type="spellEnd"/>
      <w:r w:rsidRPr="006568DD">
        <w:rPr>
          <w:rFonts w:ascii="Cambria" w:hAnsi="Cambria"/>
          <w:iCs/>
        </w:rPr>
        <w:t xml:space="preserve">, A. (2014), </w:t>
      </w:r>
      <w:r w:rsidR="00797EE1" w:rsidRPr="006568DD">
        <w:rPr>
          <w:rFonts w:ascii="Cambria" w:hAnsi="Cambria"/>
          <w:iCs/>
        </w:rPr>
        <w:t>“</w:t>
      </w:r>
      <w:r w:rsidRPr="006568DD">
        <w:rPr>
          <w:rFonts w:ascii="Cambria" w:hAnsi="Cambria"/>
          <w:iCs/>
        </w:rPr>
        <w:t>Conservation values, conservation-planning and climate change</w:t>
      </w:r>
      <w:r w:rsidR="00797EE1" w:rsidRPr="006568DD">
        <w:rPr>
          <w:rFonts w:ascii="Cambria" w:hAnsi="Cambria"/>
          <w:iCs/>
        </w:rPr>
        <w:t>”</w:t>
      </w:r>
      <w:r w:rsidRPr="006568DD">
        <w:rPr>
          <w:rFonts w:ascii="Cambria" w:hAnsi="Cambria"/>
          <w:iCs/>
        </w:rPr>
        <w:t xml:space="preserve">, </w:t>
      </w:r>
      <w:proofErr w:type="spellStart"/>
      <w:r w:rsidRPr="00714B37">
        <w:rPr>
          <w:rFonts w:ascii="Cambria" w:hAnsi="Cambria"/>
          <w:i/>
          <w:iCs/>
        </w:rPr>
        <w:t>disP</w:t>
      </w:r>
      <w:proofErr w:type="spellEnd"/>
      <w:r w:rsidRPr="00714B37">
        <w:rPr>
          <w:rFonts w:ascii="Cambria" w:hAnsi="Cambria"/>
          <w:i/>
          <w:iCs/>
        </w:rPr>
        <w:t xml:space="preserve"> – The Planning Review</w:t>
      </w:r>
      <w:r w:rsidRPr="006568DD">
        <w:rPr>
          <w:rFonts w:ascii="Cambria" w:hAnsi="Cambria"/>
          <w:iCs/>
        </w:rPr>
        <w:t>, 50:3, 43 – 54.</w:t>
      </w:r>
    </w:p>
    <w:p w14:paraId="1C8A6BFA" w14:textId="21EA92D1" w:rsidR="00814487" w:rsidRPr="006568DD" w:rsidRDefault="00814487" w:rsidP="00BD25D5">
      <w:pPr>
        <w:spacing w:after="240"/>
        <w:ind w:left="284" w:hanging="284"/>
        <w:jc w:val="both"/>
        <w:rPr>
          <w:rFonts w:ascii="Cambria" w:hAnsi="Cambria"/>
          <w:iCs/>
        </w:rPr>
      </w:pPr>
      <w:r w:rsidRPr="006568DD">
        <w:rPr>
          <w:rFonts w:ascii="Cambria" w:hAnsi="Cambria"/>
          <w:iCs/>
          <w:lang w:val="it-IT"/>
        </w:rPr>
        <w:t>Pianezze, F. (2012</w:t>
      </w:r>
      <w:r w:rsidR="00797EE1" w:rsidRPr="006568DD">
        <w:rPr>
          <w:rFonts w:ascii="Cambria" w:hAnsi="Cambria"/>
          <w:iCs/>
          <w:lang w:val="it-IT"/>
        </w:rPr>
        <w:t>), “</w:t>
      </w:r>
      <w:r w:rsidRPr="006568DD">
        <w:rPr>
          <w:rFonts w:ascii="Cambria" w:hAnsi="Cambria"/>
          <w:iCs/>
          <w:lang w:val="it-IT"/>
        </w:rPr>
        <w:t>L’obiettivo Del Miglioramento Dell’efficienza Energetica Nel Processo Di Conservazione Del Costruito Storico</w:t>
      </w:r>
      <w:r w:rsidR="00797EE1" w:rsidRPr="006568DD">
        <w:rPr>
          <w:rFonts w:ascii="Cambria" w:hAnsi="Cambria"/>
          <w:iCs/>
          <w:lang w:val="it-IT"/>
        </w:rPr>
        <w:t xml:space="preserve">”, </w:t>
      </w:r>
      <w:r w:rsidRPr="006568DD">
        <w:rPr>
          <w:rFonts w:ascii="Cambria" w:hAnsi="Cambria"/>
          <w:iCs/>
        </w:rPr>
        <w:t xml:space="preserve">PhD, </w:t>
      </w:r>
      <w:proofErr w:type="spellStart"/>
      <w:r w:rsidRPr="006568DD">
        <w:rPr>
          <w:rFonts w:ascii="Cambria" w:hAnsi="Cambria"/>
          <w:iCs/>
        </w:rPr>
        <w:t>Politecnico</w:t>
      </w:r>
      <w:proofErr w:type="spellEnd"/>
      <w:r w:rsidRPr="006568DD">
        <w:rPr>
          <w:rFonts w:ascii="Cambria" w:hAnsi="Cambria"/>
          <w:iCs/>
        </w:rPr>
        <w:t xml:space="preserve"> di Milano. </w:t>
      </w:r>
    </w:p>
    <w:p w14:paraId="055D0E05" w14:textId="3F0F297A" w:rsidR="00814487" w:rsidRPr="006568DD" w:rsidRDefault="00814487" w:rsidP="00BD25D5">
      <w:pPr>
        <w:spacing w:after="240"/>
        <w:ind w:left="284" w:hanging="284"/>
        <w:jc w:val="both"/>
        <w:rPr>
          <w:rFonts w:ascii="Cambria" w:hAnsi="Cambria"/>
          <w:iCs/>
        </w:rPr>
      </w:pPr>
      <w:proofErr w:type="gramStart"/>
      <w:r w:rsidRPr="006568DD">
        <w:rPr>
          <w:rFonts w:ascii="Cambria" w:hAnsi="Cambria"/>
          <w:iCs/>
        </w:rPr>
        <w:t xml:space="preserve">Polo Lopez C., </w:t>
      </w:r>
      <w:proofErr w:type="spellStart"/>
      <w:r w:rsidRPr="006568DD">
        <w:rPr>
          <w:rFonts w:ascii="Cambria" w:hAnsi="Cambria"/>
          <w:iCs/>
        </w:rPr>
        <w:t>Frontini</w:t>
      </w:r>
      <w:proofErr w:type="spellEnd"/>
      <w:r w:rsidRPr="006568DD">
        <w:rPr>
          <w:rFonts w:ascii="Cambria" w:hAnsi="Cambria"/>
          <w:iCs/>
        </w:rPr>
        <w:t xml:space="preserve"> F. (2014)</w:t>
      </w:r>
      <w:r w:rsidR="00797EE1" w:rsidRPr="006568DD">
        <w:rPr>
          <w:rFonts w:ascii="Cambria" w:hAnsi="Cambria"/>
          <w:iCs/>
        </w:rPr>
        <w:t>,</w:t>
      </w:r>
      <w:r w:rsidRPr="006568DD">
        <w:rPr>
          <w:rFonts w:ascii="Cambria" w:hAnsi="Cambria"/>
          <w:iCs/>
        </w:rPr>
        <w:t xml:space="preserve"> </w:t>
      </w:r>
      <w:r w:rsidR="00797EE1" w:rsidRPr="006568DD">
        <w:rPr>
          <w:rFonts w:ascii="Cambria" w:hAnsi="Cambria"/>
          <w:iCs/>
        </w:rPr>
        <w:t>“</w:t>
      </w:r>
      <w:r w:rsidRPr="006568DD">
        <w:rPr>
          <w:rFonts w:ascii="Cambria" w:hAnsi="Cambria"/>
          <w:iCs/>
        </w:rPr>
        <w:t>Energy efficiency and renewable solar energy integration in historical buildings heritage</w:t>
      </w:r>
      <w:r w:rsidR="00797EE1" w:rsidRPr="006568DD">
        <w:rPr>
          <w:rFonts w:ascii="Cambria" w:hAnsi="Cambria"/>
          <w:iCs/>
        </w:rPr>
        <w:t xml:space="preserve">”, </w:t>
      </w:r>
      <w:r w:rsidRPr="00714B37">
        <w:rPr>
          <w:rFonts w:ascii="Cambria" w:hAnsi="Cambria"/>
          <w:i/>
          <w:iCs/>
        </w:rPr>
        <w:t xml:space="preserve">Energy </w:t>
      </w:r>
      <w:proofErr w:type="spellStart"/>
      <w:r w:rsidRPr="00714B37">
        <w:rPr>
          <w:rFonts w:ascii="Cambria" w:hAnsi="Cambria"/>
          <w:i/>
          <w:iCs/>
        </w:rPr>
        <w:t>Procedia</w:t>
      </w:r>
      <w:proofErr w:type="spellEnd"/>
      <w:r w:rsidRPr="00714B37">
        <w:rPr>
          <w:rFonts w:ascii="Cambria" w:hAnsi="Cambria"/>
          <w:i/>
          <w:iCs/>
        </w:rPr>
        <w:t xml:space="preserve"> peer-reviewed scientific journal</w:t>
      </w:r>
      <w:r w:rsidRPr="006568DD">
        <w:rPr>
          <w:rFonts w:ascii="Cambria" w:hAnsi="Cambria"/>
          <w:iCs/>
        </w:rPr>
        <w:t>, 48 (168).</w:t>
      </w:r>
      <w:proofErr w:type="gramEnd"/>
      <w:r w:rsidRPr="006568DD">
        <w:rPr>
          <w:rFonts w:ascii="Cambria" w:hAnsi="Cambria"/>
          <w:iCs/>
        </w:rPr>
        <w:t xml:space="preserve"> 1493 -1502. ISSN 1876-6102.</w:t>
      </w:r>
    </w:p>
    <w:p w14:paraId="5DEF9222" w14:textId="63B7A338" w:rsidR="00814487" w:rsidRPr="006568DD" w:rsidRDefault="00814487" w:rsidP="00BD25D5">
      <w:pPr>
        <w:spacing w:after="240"/>
        <w:ind w:left="284" w:hanging="284"/>
        <w:jc w:val="both"/>
        <w:rPr>
          <w:rFonts w:ascii="Cambria" w:hAnsi="Cambria"/>
          <w:iCs/>
        </w:rPr>
      </w:pPr>
      <w:r w:rsidRPr="006568DD">
        <w:rPr>
          <w:rFonts w:ascii="Cambria" w:hAnsi="Cambria"/>
          <w:iCs/>
        </w:rPr>
        <w:t>Power, A. (2008)</w:t>
      </w:r>
      <w:r w:rsidR="00797EE1" w:rsidRPr="006568DD">
        <w:rPr>
          <w:rFonts w:ascii="Cambria" w:hAnsi="Cambria"/>
          <w:iCs/>
        </w:rPr>
        <w:t>,</w:t>
      </w:r>
      <w:r w:rsidRPr="006568DD">
        <w:rPr>
          <w:rFonts w:ascii="Cambria" w:hAnsi="Cambria"/>
          <w:iCs/>
        </w:rPr>
        <w:t xml:space="preserve"> </w:t>
      </w:r>
      <w:r w:rsidR="00797EE1" w:rsidRPr="006568DD">
        <w:rPr>
          <w:rFonts w:ascii="Cambria" w:hAnsi="Cambria"/>
          <w:iCs/>
        </w:rPr>
        <w:t>“</w:t>
      </w:r>
      <w:r w:rsidRPr="006568DD">
        <w:rPr>
          <w:rFonts w:ascii="Cambria" w:hAnsi="Cambria"/>
          <w:iCs/>
        </w:rPr>
        <w:t>Does demolition or refurbishment of old and inefficient homes help to increase our environmental, social and economic viability?</w:t>
      </w:r>
      <w:proofErr w:type="gramStart"/>
      <w:r w:rsidR="00797EE1" w:rsidRPr="006568DD">
        <w:rPr>
          <w:rFonts w:ascii="Cambria" w:hAnsi="Cambria"/>
          <w:iCs/>
        </w:rPr>
        <w:t>”,</w:t>
      </w:r>
      <w:proofErr w:type="gramEnd"/>
      <w:r w:rsidRPr="006568DD">
        <w:rPr>
          <w:rFonts w:ascii="Cambria" w:hAnsi="Cambria"/>
          <w:iCs/>
        </w:rPr>
        <w:t xml:space="preserve"> </w:t>
      </w:r>
      <w:r w:rsidRPr="00714B37">
        <w:rPr>
          <w:rFonts w:ascii="Cambria" w:hAnsi="Cambria"/>
          <w:i/>
          <w:iCs/>
        </w:rPr>
        <w:t>Energy Policy</w:t>
      </w:r>
      <w:r w:rsidRPr="006568DD">
        <w:rPr>
          <w:rFonts w:ascii="Cambria" w:hAnsi="Cambria"/>
          <w:iCs/>
        </w:rPr>
        <w:t xml:space="preserve">, 36 (12). </w:t>
      </w:r>
      <w:proofErr w:type="gramStart"/>
      <w:r w:rsidRPr="006568DD">
        <w:rPr>
          <w:rFonts w:ascii="Cambria" w:hAnsi="Cambria"/>
          <w:iCs/>
        </w:rPr>
        <w:t>pp</w:t>
      </w:r>
      <w:proofErr w:type="gramEnd"/>
      <w:r w:rsidRPr="006568DD">
        <w:rPr>
          <w:rFonts w:ascii="Cambria" w:hAnsi="Cambria"/>
          <w:iCs/>
        </w:rPr>
        <w:t>. 4487-4501. ISSN 0301-4215</w:t>
      </w:r>
    </w:p>
    <w:p w14:paraId="4AC604A8" w14:textId="0086E695"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Pracchi</w:t>
      </w:r>
      <w:proofErr w:type="spellEnd"/>
      <w:r w:rsidRPr="006568DD">
        <w:rPr>
          <w:rFonts w:ascii="Cambria" w:hAnsi="Cambria"/>
          <w:iCs/>
        </w:rPr>
        <w:t xml:space="preserve">, V. (2014), </w:t>
      </w:r>
      <w:r w:rsidR="00797EE1" w:rsidRPr="006568DD">
        <w:rPr>
          <w:rFonts w:ascii="Cambria" w:hAnsi="Cambria"/>
          <w:iCs/>
        </w:rPr>
        <w:t>“</w:t>
      </w:r>
      <w:r w:rsidRPr="006568DD">
        <w:rPr>
          <w:rFonts w:ascii="Cambria" w:hAnsi="Cambria"/>
          <w:iCs/>
        </w:rPr>
        <w:t>Historic Buildings and Energy Efficiency</w:t>
      </w:r>
      <w:r w:rsidR="00797EE1" w:rsidRPr="006568DD">
        <w:rPr>
          <w:rFonts w:ascii="Cambria" w:hAnsi="Cambria"/>
          <w:iCs/>
        </w:rPr>
        <w:t>”</w:t>
      </w:r>
      <w:r w:rsidRPr="006568DD">
        <w:rPr>
          <w:rFonts w:ascii="Cambria" w:hAnsi="Cambria"/>
          <w:iCs/>
        </w:rPr>
        <w:t xml:space="preserve">, </w:t>
      </w:r>
      <w:r w:rsidRPr="00714B37">
        <w:rPr>
          <w:rFonts w:ascii="Cambria" w:hAnsi="Cambria"/>
          <w:i/>
          <w:iCs/>
        </w:rPr>
        <w:t>The Historic Environment</w:t>
      </w:r>
      <w:r w:rsidRPr="006568DD">
        <w:rPr>
          <w:rFonts w:ascii="Cambria" w:hAnsi="Cambria"/>
          <w:iCs/>
        </w:rPr>
        <w:t>, 5:2, 210 – 225.</w:t>
      </w:r>
    </w:p>
    <w:p w14:paraId="29AD86DC" w14:textId="5F97A1B2" w:rsidR="00814487" w:rsidRPr="006568DD" w:rsidRDefault="00814487" w:rsidP="00BD25D5">
      <w:pPr>
        <w:spacing w:after="240"/>
        <w:ind w:left="284" w:hanging="284"/>
        <w:jc w:val="both"/>
        <w:rPr>
          <w:rFonts w:ascii="Cambria" w:hAnsi="Cambria"/>
          <w:iCs/>
        </w:rPr>
      </w:pPr>
      <w:r w:rsidRPr="006568DD">
        <w:rPr>
          <w:rFonts w:ascii="Cambria" w:hAnsi="Cambria"/>
          <w:iCs/>
        </w:rPr>
        <w:t>Ruskin, J. (1849</w:t>
      </w:r>
      <w:r w:rsidR="00AD1357" w:rsidRPr="006568DD">
        <w:rPr>
          <w:rFonts w:ascii="Cambria" w:hAnsi="Cambria"/>
          <w:iCs/>
        </w:rPr>
        <w:t xml:space="preserve">), </w:t>
      </w:r>
      <w:r w:rsidRPr="00714B37">
        <w:rPr>
          <w:rFonts w:ascii="Cambria" w:hAnsi="Cambria"/>
          <w:i/>
          <w:iCs/>
        </w:rPr>
        <w:t>The Seven Lamps of Architecture</w:t>
      </w:r>
      <w:r w:rsidR="00AD1357" w:rsidRPr="006568DD">
        <w:rPr>
          <w:rFonts w:ascii="Cambria" w:hAnsi="Cambria"/>
          <w:iCs/>
        </w:rPr>
        <w:t xml:space="preserve">, </w:t>
      </w:r>
      <w:r w:rsidRPr="006568DD">
        <w:rPr>
          <w:rFonts w:ascii="Cambria" w:hAnsi="Cambria"/>
          <w:iCs/>
        </w:rPr>
        <w:t>John Wiley, New York, 1849.</w:t>
      </w:r>
    </w:p>
    <w:p w14:paraId="6396D15C" w14:textId="75D71732" w:rsidR="00021DEE" w:rsidRPr="006568DD" w:rsidRDefault="00021DEE" w:rsidP="00BD25D5">
      <w:pPr>
        <w:spacing w:after="240"/>
        <w:ind w:left="284" w:hanging="284"/>
        <w:jc w:val="both"/>
        <w:rPr>
          <w:rFonts w:ascii="Cambria" w:hAnsi="Cambria"/>
          <w:iCs/>
        </w:rPr>
      </w:pPr>
      <w:r w:rsidRPr="006568DD">
        <w:rPr>
          <w:rFonts w:ascii="Cambria" w:hAnsi="Cambria"/>
          <w:iCs/>
        </w:rPr>
        <w:t>Rye, C. and Scott, C. (2012</w:t>
      </w:r>
      <w:r w:rsidR="00AD1357" w:rsidRPr="006568DD">
        <w:rPr>
          <w:rFonts w:ascii="Cambria" w:hAnsi="Cambria"/>
          <w:iCs/>
        </w:rPr>
        <w:t xml:space="preserve">), </w:t>
      </w:r>
      <w:r w:rsidRPr="00714B37">
        <w:rPr>
          <w:rFonts w:ascii="Cambria" w:hAnsi="Cambria"/>
          <w:i/>
          <w:iCs/>
        </w:rPr>
        <w:t>The SPAB research report 1: The U-value report</w:t>
      </w:r>
      <w:r w:rsidR="00AD1357" w:rsidRPr="006568DD">
        <w:rPr>
          <w:rFonts w:ascii="Cambria" w:hAnsi="Cambria"/>
          <w:iCs/>
        </w:rPr>
        <w:t>,</w:t>
      </w:r>
      <w:r w:rsidRPr="006568DD">
        <w:rPr>
          <w:rFonts w:ascii="Cambria" w:hAnsi="Cambria"/>
          <w:iCs/>
        </w:rPr>
        <w:t xml:space="preserve"> London: SPAB.</w:t>
      </w:r>
    </w:p>
    <w:p w14:paraId="011B79FF" w14:textId="49AB16B5"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Schüle</w:t>
      </w:r>
      <w:proofErr w:type="spellEnd"/>
      <w:r w:rsidRPr="006568DD">
        <w:rPr>
          <w:rFonts w:ascii="Cambria" w:hAnsi="Cambria"/>
          <w:iCs/>
        </w:rPr>
        <w:t xml:space="preserve">, R., </w:t>
      </w:r>
      <w:proofErr w:type="spellStart"/>
      <w:r w:rsidRPr="006568DD">
        <w:rPr>
          <w:rFonts w:ascii="Cambria" w:hAnsi="Cambria"/>
          <w:iCs/>
        </w:rPr>
        <w:t>Madry</w:t>
      </w:r>
      <w:proofErr w:type="spellEnd"/>
      <w:r w:rsidRPr="006568DD">
        <w:rPr>
          <w:rFonts w:ascii="Cambria" w:hAnsi="Cambria"/>
          <w:iCs/>
        </w:rPr>
        <w:t xml:space="preserve">, T., </w:t>
      </w:r>
      <w:proofErr w:type="spellStart"/>
      <w:r w:rsidRPr="006568DD">
        <w:rPr>
          <w:rFonts w:ascii="Cambria" w:hAnsi="Cambria"/>
          <w:iCs/>
        </w:rPr>
        <w:t>Aydin</w:t>
      </w:r>
      <w:proofErr w:type="spellEnd"/>
      <w:r w:rsidRPr="006568DD">
        <w:rPr>
          <w:rFonts w:ascii="Cambria" w:hAnsi="Cambria"/>
          <w:iCs/>
        </w:rPr>
        <w:t xml:space="preserve">, V., Fischer, J., </w:t>
      </w:r>
      <w:proofErr w:type="spellStart"/>
      <w:r w:rsidRPr="006568DD">
        <w:rPr>
          <w:rFonts w:ascii="Cambria" w:hAnsi="Cambria"/>
          <w:iCs/>
        </w:rPr>
        <w:t>Kaselofsky</w:t>
      </w:r>
      <w:proofErr w:type="spellEnd"/>
      <w:r w:rsidRPr="006568DD">
        <w:rPr>
          <w:rFonts w:ascii="Cambria" w:hAnsi="Cambria"/>
          <w:iCs/>
        </w:rPr>
        <w:t xml:space="preserve">, J., </w:t>
      </w:r>
      <w:proofErr w:type="spellStart"/>
      <w:r w:rsidRPr="006568DD">
        <w:rPr>
          <w:rFonts w:ascii="Cambria" w:hAnsi="Cambria"/>
          <w:iCs/>
        </w:rPr>
        <w:t>Koska</w:t>
      </w:r>
      <w:proofErr w:type="spellEnd"/>
      <w:r w:rsidRPr="006568DD">
        <w:rPr>
          <w:rFonts w:ascii="Cambria" w:hAnsi="Cambria"/>
          <w:iCs/>
        </w:rPr>
        <w:t xml:space="preserve">, T., </w:t>
      </w:r>
      <w:proofErr w:type="spellStart"/>
      <w:r w:rsidRPr="006568DD">
        <w:rPr>
          <w:rFonts w:ascii="Cambria" w:hAnsi="Cambria"/>
          <w:iCs/>
        </w:rPr>
        <w:t>SchäferB</w:t>
      </w:r>
      <w:proofErr w:type="spellEnd"/>
      <w:r w:rsidRPr="006568DD">
        <w:rPr>
          <w:rFonts w:ascii="Cambria" w:hAnsi="Cambria"/>
          <w:iCs/>
        </w:rPr>
        <w:t xml:space="preserve"> </w:t>
      </w:r>
      <w:proofErr w:type="spellStart"/>
      <w:r w:rsidRPr="006568DD">
        <w:rPr>
          <w:rFonts w:ascii="Cambria" w:hAnsi="Cambria"/>
          <w:iCs/>
        </w:rPr>
        <w:t>Sparenberg</w:t>
      </w:r>
      <w:proofErr w:type="spellEnd"/>
      <w:r w:rsidRPr="006568DD">
        <w:rPr>
          <w:rFonts w:ascii="Cambria" w:hAnsi="Cambria"/>
          <w:iCs/>
        </w:rPr>
        <w:t xml:space="preserve">, C., </w:t>
      </w:r>
      <w:proofErr w:type="spellStart"/>
      <w:r w:rsidRPr="006568DD">
        <w:rPr>
          <w:rFonts w:ascii="Cambria" w:hAnsi="Cambria"/>
          <w:iCs/>
        </w:rPr>
        <w:t>Tholen</w:t>
      </w:r>
      <w:proofErr w:type="spellEnd"/>
      <w:r w:rsidRPr="006568DD">
        <w:rPr>
          <w:rFonts w:ascii="Cambria" w:hAnsi="Cambria"/>
          <w:iCs/>
        </w:rPr>
        <w:t>, L., Becker, D., Bader, N., Egger, C. (2013</w:t>
      </w:r>
      <w:r w:rsidR="00AD1357" w:rsidRPr="006568DD">
        <w:rPr>
          <w:rFonts w:ascii="Cambria" w:hAnsi="Cambria"/>
          <w:iCs/>
        </w:rPr>
        <w:t>), “</w:t>
      </w:r>
      <w:r w:rsidRPr="006568DD">
        <w:rPr>
          <w:rFonts w:ascii="Cambria" w:hAnsi="Cambria"/>
          <w:iCs/>
        </w:rPr>
        <w:t>Energy Efficiency in Europe. Country Report – Italy</w:t>
      </w:r>
      <w:r w:rsidR="00AD1357" w:rsidRPr="006568DD">
        <w:rPr>
          <w:rFonts w:ascii="Cambria" w:hAnsi="Cambria"/>
          <w:iCs/>
        </w:rPr>
        <w:t>”, a</w:t>
      </w:r>
      <w:r w:rsidRPr="006568DD">
        <w:rPr>
          <w:rFonts w:ascii="Cambria" w:hAnsi="Cambria"/>
          <w:iCs/>
        </w:rPr>
        <w:t xml:space="preserve">vailable </w:t>
      </w:r>
      <w:r w:rsidR="00AD1357" w:rsidRPr="006568DD">
        <w:rPr>
          <w:rFonts w:ascii="Cambria" w:hAnsi="Cambria"/>
          <w:iCs/>
        </w:rPr>
        <w:t>at</w:t>
      </w:r>
      <w:r w:rsidRPr="006568DD">
        <w:rPr>
          <w:rFonts w:ascii="Cambria" w:hAnsi="Cambria"/>
          <w:iCs/>
        </w:rPr>
        <w:t xml:space="preserve">: http://www.energy-efficiency-watch.org/fileadmin/eew_documents/Documents/EEW2/Italy.pdf </w:t>
      </w:r>
      <w:r w:rsidR="0037662A" w:rsidRPr="006568DD">
        <w:rPr>
          <w:rFonts w:ascii="Cambria" w:hAnsi="Cambria"/>
          <w:iCs/>
        </w:rPr>
        <w:t>(</w:t>
      </w:r>
      <w:r w:rsidRPr="006568DD">
        <w:rPr>
          <w:rFonts w:ascii="Cambria" w:hAnsi="Cambria"/>
          <w:iCs/>
        </w:rPr>
        <w:t>Accessed 06 February 2016</w:t>
      </w:r>
      <w:r w:rsidR="0037662A" w:rsidRPr="006568DD">
        <w:rPr>
          <w:rFonts w:ascii="Cambria" w:hAnsi="Cambria"/>
          <w:iCs/>
        </w:rPr>
        <w:t>)</w:t>
      </w:r>
      <w:r w:rsidRPr="006568DD">
        <w:rPr>
          <w:rFonts w:ascii="Cambria" w:hAnsi="Cambria"/>
          <w:iCs/>
        </w:rPr>
        <w:t>.</w:t>
      </w:r>
    </w:p>
    <w:p w14:paraId="1623D779" w14:textId="3A0221C9"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Schüle</w:t>
      </w:r>
      <w:proofErr w:type="spellEnd"/>
      <w:r w:rsidRPr="006568DD">
        <w:rPr>
          <w:rFonts w:ascii="Cambria" w:hAnsi="Cambria"/>
          <w:iCs/>
        </w:rPr>
        <w:t xml:space="preserve">, R., </w:t>
      </w:r>
      <w:proofErr w:type="spellStart"/>
      <w:r w:rsidRPr="006568DD">
        <w:rPr>
          <w:rFonts w:ascii="Cambria" w:hAnsi="Cambria"/>
          <w:iCs/>
        </w:rPr>
        <w:t>Madry</w:t>
      </w:r>
      <w:proofErr w:type="spellEnd"/>
      <w:r w:rsidRPr="006568DD">
        <w:rPr>
          <w:rFonts w:ascii="Cambria" w:hAnsi="Cambria"/>
          <w:iCs/>
        </w:rPr>
        <w:t xml:space="preserve">, T., </w:t>
      </w:r>
      <w:proofErr w:type="spellStart"/>
      <w:r w:rsidRPr="006568DD">
        <w:rPr>
          <w:rFonts w:ascii="Cambria" w:hAnsi="Cambria"/>
          <w:iCs/>
        </w:rPr>
        <w:t>Aydin</w:t>
      </w:r>
      <w:proofErr w:type="spellEnd"/>
      <w:r w:rsidRPr="006568DD">
        <w:rPr>
          <w:rFonts w:ascii="Cambria" w:hAnsi="Cambria"/>
          <w:iCs/>
        </w:rPr>
        <w:t xml:space="preserve">, V., Fischer, J., </w:t>
      </w:r>
      <w:proofErr w:type="spellStart"/>
      <w:r w:rsidRPr="006568DD">
        <w:rPr>
          <w:rFonts w:ascii="Cambria" w:hAnsi="Cambria"/>
          <w:iCs/>
        </w:rPr>
        <w:t>Kaselofsky</w:t>
      </w:r>
      <w:proofErr w:type="spellEnd"/>
      <w:r w:rsidRPr="006568DD">
        <w:rPr>
          <w:rFonts w:ascii="Cambria" w:hAnsi="Cambria"/>
          <w:iCs/>
        </w:rPr>
        <w:t xml:space="preserve">, J., </w:t>
      </w:r>
      <w:proofErr w:type="spellStart"/>
      <w:r w:rsidRPr="006568DD">
        <w:rPr>
          <w:rFonts w:ascii="Cambria" w:hAnsi="Cambria"/>
          <w:iCs/>
        </w:rPr>
        <w:t>Koska</w:t>
      </w:r>
      <w:proofErr w:type="spellEnd"/>
      <w:r w:rsidRPr="006568DD">
        <w:rPr>
          <w:rFonts w:ascii="Cambria" w:hAnsi="Cambria"/>
          <w:iCs/>
        </w:rPr>
        <w:t xml:space="preserve">, T., </w:t>
      </w:r>
      <w:proofErr w:type="spellStart"/>
      <w:r w:rsidRPr="006568DD">
        <w:rPr>
          <w:rFonts w:ascii="Cambria" w:hAnsi="Cambria"/>
          <w:iCs/>
        </w:rPr>
        <w:t>SchäferB</w:t>
      </w:r>
      <w:proofErr w:type="spellEnd"/>
      <w:r w:rsidRPr="006568DD">
        <w:rPr>
          <w:rFonts w:ascii="Cambria" w:hAnsi="Cambria"/>
          <w:iCs/>
        </w:rPr>
        <w:t xml:space="preserve"> </w:t>
      </w:r>
      <w:proofErr w:type="spellStart"/>
      <w:r w:rsidRPr="006568DD">
        <w:rPr>
          <w:rFonts w:ascii="Cambria" w:hAnsi="Cambria"/>
          <w:iCs/>
        </w:rPr>
        <w:t>Sparenberg</w:t>
      </w:r>
      <w:proofErr w:type="spellEnd"/>
      <w:r w:rsidRPr="006568DD">
        <w:rPr>
          <w:rFonts w:ascii="Cambria" w:hAnsi="Cambria"/>
          <w:iCs/>
        </w:rPr>
        <w:t xml:space="preserve">, C., </w:t>
      </w:r>
      <w:proofErr w:type="spellStart"/>
      <w:r w:rsidRPr="006568DD">
        <w:rPr>
          <w:rFonts w:ascii="Cambria" w:hAnsi="Cambria"/>
          <w:iCs/>
        </w:rPr>
        <w:t>Tholen</w:t>
      </w:r>
      <w:proofErr w:type="spellEnd"/>
      <w:r w:rsidRPr="006568DD">
        <w:rPr>
          <w:rFonts w:ascii="Cambria" w:hAnsi="Cambria"/>
          <w:iCs/>
        </w:rPr>
        <w:t>, L., Becker, D., Bader, N., Egger, C. (2013)</w:t>
      </w:r>
      <w:r w:rsidR="00AD1357" w:rsidRPr="006568DD">
        <w:rPr>
          <w:rFonts w:ascii="Cambria" w:hAnsi="Cambria"/>
          <w:iCs/>
        </w:rPr>
        <w:t>,</w:t>
      </w:r>
      <w:r w:rsidRPr="006568DD">
        <w:rPr>
          <w:rFonts w:ascii="Cambria" w:hAnsi="Cambria"/>
          <w:iCs/>
        </w:rPr>
        <w:t xml:space="preserve"> </w:t>
      </w:r>
      <w:r w:rsidR="00AD1357" w:rsidRPr="006568DD">
        <w:rPr>
          <w:rFonts w:ascii="Cambria" w:hAnsi="Cambria"/>
          <w:iCs/>
        </w:rPr>
        <w:t>“</w:t>
      </w:r>
      <w:r w:rsidRPr="006568DD">
        <w:rPr>
          <w:rFonts w:ascii="Cambria" w:hAnsi="Cambria"/>
          <w:iCs/>
        </w:rPr>
        <w:t>Energy Efficiency in Europe. Country Report – UK</w:t>
      </w:r>
      <w:r w:rsidR="00AD1357" w:rsidRPr="006568DD">
        <w:rPr>
          <w:rFonts w:ascii="Cambria" w:hAnsi="Cambria"/>
          <w:iCs/>
        </w:rPr>
        <w:t>”, a</w:t>
      </w:r>
      <w:r w:rsidRPr="006568DD">
        <w:rPr>
          <w:rFonts w:ascii="Cambria" w:hAnsi="Cambria"/>
          <w:iCs/>
        </w:rPr>
        <w:t xml:space="preserve">vailable </w:t>
      </w:r>
      <w:r w:rsidR="00AD1357" w:rsidRPr="006568DD">
        <w:rPr>
          <w:rFonts w:ascii="Cambria" w:hAnsi="Cambria"/>
          <w:iCs/>
        </w:rPr>
        <w:t>at</w:t>
      </w:r>
      <w:r w:rsidRPr="006568DD">
        <w:rPr>
          <w:rFonts w:ascii="Cambria" w:hAnsi="Cambria"/>
          <w:iCs/>
        </w:rPr>
        <w:t xml:space="preserve">: http://www.energy-efficiency-watch.org/fileadmin/eew_documents/Documents/EEW2/United_Kingdom.pdf </w:t>
      </w:r>
      <w:r w:rsidR="0037662A" w:rsidRPr="006568DD">
        <w:rPr>
          <w:rFonts w:ascii="Cambria" w:hAnsi="Cambria"/>
          <w:iCs/>
        </w:rPr>
        <w:t>(</w:t>
      </w:r>
      <w:r w:rsidRPr="006568DD">
        <w:rPr>
          <w:rFonts w:ascii="Cambria" w:hAnsi="Cambria"/>
          <w:iCs/>
        </w:rPr>
        <w:t>Accessed 06 February 2016</w:t>
      </w:r>
      <w:r w:rsidR="0037662A" w:rsidRPr="006568DD">
        <w:rPr>
          <w:rFonts w:ascii="Cambria" w:hAnsi="Cambria"/>
          <w:iCs/>
        </w:rPr>
        <w:t>)</w:t>
      </w:r>
      <w:r w:rsidRPr="006568DD">
        <w:rPr>
          <w:rFonts w:ascii="Cambria" w:hAnsi="Cambria"/>
          <w:iCs/>
        </w:rPr>
        <w:t>.</w:t>
      </w:r>
    </w:p>
    <w:p w14:paraId="780DFA65" w14:textId="7ED6F0FC" w:rsidR="00814487" w:rsidRPr="006568DD" w:rsidRDefault="00814487" w:rsidP="00BD25D5">
      <w:pPr>
        <w:spacing w:after="240"/>
        <w:ind w:left="284" w:hanging="284"/>
        <w:jc w:val="both"/>
        <w:rPr>
          <w:rFonts w:ascii="Cambria" w:hAnsi="Cambria"/>
          <w:iCs/>
        </w:rPr>
      </w:pPr>
      <w:r w:rsidRPr="006568DD">
        <w:rPr>
          <w:rFonts w:ascii="Cambria" w:hAnsi="Cambria"/>
          <w:iCs/>
        </w:rPr>
        <w:t xml:space="preserve">Stone, A., </w:t>
      </w:r>
      <w:proofErr w:type="spellStart"/>
      <w:r w:rsidRPr="006568DD">
        <w:rPr>
          <w:rFonts w:ascii="Cambria" w:hAnsi="Cambria"/>
          <w:iCs/>
        </w:rPr>
        <w:t>Shipworth</w:t>
      </w:r>
      <w:proofErr w:type="spellEnd"/>
      <w:r w:rsidRPr="006568DD">
        <w:rPr>
          <w:rFonts w:ascii="Cambria" w:hAnsi="Cambria"/>
          <w:iCs/>
        </w:rPr>
        <w:t xml:space="preserve">, D., </w:t>
      </w:r>
      <w:proofErr w:type="spellStart"/>
      <w:r w:rsidRPr="006568DD">
        <w:rPr>
          <w:rFonts w:ascii="Cambria" w:hAnsi="Cambria"/>
          <w:iCs/>
        </w:rPr>
        <w:t>Biddulph</w:t>
      </w:r>
      <w:proofErr w:type="spellEnd"/>
      <w:r w:rsidRPr="006568DD">
        <w:rPr>
          <w:rFonts w:ascii="Cambria" w:hAnsi="Cambria"/>
          <w:iCs/>
        </w:rPr>
        <w:t xml:space="preserve">, P., &amp; </w:t>
      </w:r>
      <w:proofErr w:type="spellStart"/>
      <w:r w:rsidRPr="006568DD">
        <w:rPr>
          <w:rFonts w:ascii="Cambria" w:hAnsi="Cambria"/>
          <w:iCs/>
        </w:rPr>
        <w:t>Oreszczyn</w:t>
      </w:r>
      <w:proofErr w:type="spellEnd"/>
      <w:r w:rsidRPr="006568DD">
        <w:rPr>
          <w:rFonts w:ascii="Cambria" w:hAnsi="Cambria"/>
          <w:iCs/>
        </w:rPr>
        <w:t>, T. (2014</w:t>
      </w:r>
      <w:r w:rsidR="00155D6A" w:rsidRPr="006568DD">
        <w:rPr>
          <w:rFonts w:ascii="Cambria" w:hAnsi="Cambria"/>
          <w:iCs/>
        </w:rPr>
        <w:t>), “</w:t>
      </w:r>
      <w:r w:rsidRPr="006568DD">
        <w:rPr>
          <w:rFonts w:ascii="Cambria" w:hAnsi="Cambria"/>
          <w:iCs/>
        </w:rPr>
        <w:t xml:space="preserve">Key factors determining the energy rating of existing English houses. Building Research &amp; Information, In Print, 1 –14. </w:t>
      </w:r>
      <w:proofErr w:type="gramStart"/>
      <w:r w:rsidRPr="006568DD">
        <w:rPr>
          <w:rFonts w:ascii="Cambria" w:hAnsi="Cambria"/>
          <w:iCs/>
        </w:rPr>
        <w:t>doi:10.1080</w:t>
      </w:r>
      <w:proofErr w:type="gramEnd"/>
      <w:r w:rsidRPr="006568DD">
        <w:rPr>
          <w:rFonts w:ascii="Cambria" w:hAnsi="Cambria"/>
          <w:iCs/>
        </w:rPr>
        <w:t>/09613218.2014.905383</w:t>
      </w:r>
    </w:p>
    <w:p w14:paraId="4B4BFE4C" w14:textId="4285A0C2" w:rsidR="00814487" w:rsidRPr="006568DD" w:rsidRDefault="00814487" w:rsidP="00BD25D5">
      <w:pPr>
        <w:spacing w:after="240"/>
        <w:ind w:left="284" w:hanging="284"/>
        <w:jc w:val="both"/>
        <w:rPr>
          <w:rFonts w:ascii="Cambria" w:hAnsi="Cambria"/>
          <w:iCs/>
        </w:rPr>
      </w:pPr>
      <w:r w:rsidRPr="006568DD">
        <w:rPr>
          <w:rFonts w:ascii="Cambria" w:hAnsi="Cambria"/>
          <w:iCs/>
        </w:rPr>
        <w:t>Stuart, C. M. (2014), Managing or Driving Change? Establishing Consensus if Opinion on Improving the Energy Efficiency of Historic Buildings</w:t>
      </w:r>
      <w:r w:rsidR="00155D6A" w:rsidRPr="006568DD">
        <w:rPr>
          <w:rFonts w:ascii="Cambria" w:hAnsi="Cambria"/>
          <w:iCs/>
        </w:rPr>
        <w:t>”</w:t>
      </w:r>
      <w:r w:rsidRPr="006568DD">
        <w:rPr>
          <w:rFonts w:ascii="Cambria" w:hAnsi="Cambria"/>
          <w:iCs/>
        </w:rPr>
        <w:t xml:space="preserve">, </w:t>
      </w:r>
      <w:r w:rsidRPr="00714B37">
        <w:rPr>
          <w:rFonts w:ascii="Cambria" w:hAnsi="Cambria"/>
          <w:i/>
          <w:iCs/>
        </w:rPr>
        <w:t>The Historic Environment: Policy &amp; Practice</w:t>
      </w:r>
      <w:r w:rsidRPr="006568DD">
        <w:rPr>
          <w:rFonts w:ascii="Cambria" w:hAnsi="Cambria"/>
          <w:iCs/>
        </w:rPr>
        <w:t>, 5(2), 182 – 195.</w:t>
      </w:r>
    </w:p>
    <w:p w14:paraId="3D678699" w14:textId="5E6A6B96" w:rsidR="00814487" w:rsidRPr="006568DD" w:rsidRDefault="00814487" w:rsidP="00BD25D5">
      <w:pPr>
        <w:spacing w:after="240"/>
        <w:ind w:left="284" w:hanging="284"/>
        <w:jc w:val="both"/>
        <w:rPr>
          <w:rFonts w:ascii="Cambria" w:hAnsi="Cambria"/>
          <w:iCs/>
        </w:rPr>
      </w:pPr>
      <w:proofErr w:type="spellStart"/>
      <w:r w:rsidRPr="006568DD">
        <w:rPr>
          <w:rFonts w:ascii="Cambria" w:hAnsi="Cambria"/>
          <w:iCs/>
        </w:rPr>
        <w:t>Sunikka</w:t>
      </w:r>
      <w:proofErr w:type="spellEnd"/>
      <w:r w:rsidRPr="006568DD">
        <w:rPr>
          <w:rFonts w:ascii="Cambria" w:hAnsi="Cambria"/>
          <w:iCs/>
        </w:rPr>
        <w:t>-Blank, M. and Galvin, R. (2015</w:t>
      </w:r>
      <w:r w:rsidR="00155D6A" w:rsidRPr="006568DD">
        <w:rPr>
          <w:rFonts w:ascii="Cambria" w:hAnsi="Cambria"/>
          <w:iCs/>
        </w:rPr>
        <w:t>), “</w:t>
      </w:r>
      <w:r w:rsidRPr="006568DD">
        <w:rPr>
          <w:rFonts w:ascii="Cambria" w:hAnsi="Cambria"/>
          <w:iCs/>
        </w:rPr>
        <w:t xml:space="preserve">Irrational homeowners? </w:t>
      </w:r>
      <w:proofErr w:type="gramStart"/>
      <w:r w:rsidRPr="006568DD">
        <w:rPr>
          <w:rFonts w:ascii="Cambria" w:hAnsi="Cambria"/>
          <w:iCs/>
        </w:rPr>
        <w:t>How aesthetics and heritage values influence thermal retrofit decisions in the United Kingdom</w:t>
      </w:r>
      <w:r w:rsidR="00155D6A" w:rsidRPr="006568DD">
        <w:rPr>
          <w:rFonts w:ascii="Cambria" w:hAnsi="Cambria"/>
          <w:iCs/>
        </w:rPr>
        <w:t xml:space="preserve">”, </w:t>
      </w:r>
      <w:r w:rsidRPr="00714B37">
        <w:rPr>
          <w:rFonts w:ascii="Cambria" w:hAnsi="Cambria"/>
          <w:i/>
          <w:iCs/>
        </w:rPr>
        <w:t>Energy Research &amp; Social Science</w:t>
      </w:r>
      <w:r w:rsidR="00155D6A" w:rsidRPr="006568DD">
        <w:rPr>
          <w:rFonts w:ascii="Cambria" w:hAnsi="Cambria"/>
          <w:iCs/>
        </w:rPr>
        <w:t xml:space="preserve">, </w:t>
      </w:r>
      <w:r w:rsidRPr="006568DD">
        <w:rPr>
          <w:rFonts w:ascii="Cambria" w:hAnsi="Cambria"/>
          <w:iCs/>
        </w:rPr>
        <w:t>11 (2016), 97–108.</w:t>
      </w:r>
      <w:proofErr w:type="gramEnd"/>
      <w:r w:rsidRPr="006568DD">
        <w:rPr>
          <w:rFonts w:ascii="Cambria" w:hAnsi="Cambria"/>
          <w:iCs/>
        </w:rPr>
        <w:t xml:space="preserve"> </w:t>
      </w:r>
    </w:p>
    <w:p w14:paraId="47A35F04" w14:textId="33AE4637" w:rsidR="00814487" w:rsidRPr="006568DD" w:rsidRDefault="00814487" w:rsidP="00BD25D5">
      <w:pPr>
        <w:spacing w:after="240"/>
        <w:ind w:left="284" w:hanging="284"/>
        <w:jc w:val="both"/>
        <w:rPr>
          <w:rFonts w:ascii="Cambria" w:hAnsi="Cambria"/>
          <w:iCs/>
        </w:rPr>
      </w:pPr>
      <w:r w:rsidRPr="006568DD">
        <w:rPr>
          <w:rFonts w:ascii="Cambria" w:hAnsi="Cambria"/>
          <w:iCs/>
        </w:rPr>
        <w:t>The Prince’s Regeneration Trust</w:t>
      </w:r>
      <w:r w:rsidR="006568DD">
        <w:rPr>
          <w:rFonts w:ascii="Cambria" w:hAnsi="Cambria"/>
          <w:iCs/>
        </w:rPr>
        <w:t xml:space="preserve"> (</w:t>
      </w:r>
      <w:proofErr w:type="spellStart"/>
      <w:r w:rsidRPr="006568DD">
        <w:rPr>
          <w:rFonts w:ascii="Cambria" w:hAnsi="Cambria"/>
          <w:iCs/>
        </w:rPr>
        <w:t>n.d</w:t>
      </w:r>
      <w:proofErr w:type="spellEnd"/>
      <w:r w:rsidR="006568DD">
        <w:rPr>
          <w:rFonts w:ascii="Cambria" w:hAnsi="Cambria"/>
          <w:iCs/>
        </w:rPr>
        <w:t xml:space="preserve">), </w:t>
      </w:r>
    </w:p>
    <w:p w14:paraId="579509E5" w14:textId="50594CA1" w:rsidR="00814487" w:rsidRPr="006568DD" w:rsidRDefault="00814487" w:rsidP="00BD25D5">
      <w:pPr>
        <w:spacing w:after="240"/>
        <w:ind w:left="284" w:hanging="284"/>
        <w:jc w:val="both"/>
        <w:rPr>
          <w:rFonts w:ascii="Cambria" w:hAnsi="Cambria"/>
          <w:iCs/>
        </w:rPr>
      </w:pPr>
      <w:r w:rsidRPr="006568DD">
        <w:rPr>
          <w:rFonts w:ascii="Cambria" w:hAnsi="Cambria"/>
          <w:iCs/>
        </w:rPr>
        <w:t>UNESCO (2017</w:t>
      </w:r>
      <w:r w:rsidR="00155D6A" w:rsidRPr="006568DD">
        <w:rPr>
          <w:rFonts w:ascii="Cambria" w:hAnsi="Cambria"/>
          <w:iCs/>
        </w:rPr>
        <w:t>), “</w:t>
      </w:r>
      <w:r w:rsidRPr="006568DD">
        <w:rPr>
          <w:rFonts w:ascii="Cambria" w:hAnsi="Cambria"/>
          <w:iCs/>
        </w:rPr>
        <w:t>World Heritage Sites</w:t>
      </w:r>
      <w:r w:rsidR="00155D6A" w:rsidRPr="006568DD">
        <w:rPr>
          <w:rFonts w:ascii="Cambria" w:hAnsi="Cambria"/>
          <w:iCs/>
        </w:rPr>
        <w:t>”, a</w:t>
      </w:r>
      <w:r w:rsidRPr="006568DD">
        <w:rPr>
          <w:rFonts w:ascii="Cambria" w:hAnsi="Cambria"/>
          <w:iCs/>
        </w:rPr>
        <w:t xml:space="preserve">vailable </w:t>
      </w:r>
      <w:r w:rsidR="00155D6A" w:rsidRPr="006568DD">
        <w:rPr>
          <w:rFonts w:ascii="Cambria" w:hAnsi="Cambria"/>
          <w:iCs/>
        </w:rPr>
        <w:t>at</w:t>
      </w:r>
      <w:r w:rsidRPr="006568DD">
        <w:rPr>
          <w:rFonts w:ascii="Cambria" w:hAnsi="Cambria"/>
          <w:iCs/>
        </w:rPr>
        <w:t xml:space="preserve">: http://whc.unesco.org/en/ </w:t>
      </w:r>
      <w:r w:rsidR="0037662A" w:rsidRPr="006568DD">
        <w:rPr>
          <w:rFonts w:ascii="Cambria" w:hAnsi="Cambria"/>
          <w:iCs/>
        </w:rPr>
        <w:t>(</w:t>
      </w:r>
      <w:r w:rsidRPr="006568DD">
        <w:rPr>
          <w:rFonts w:ascii="Cambria" w:hAnsi="Cambria"/>
          <w:iCs/>
        </w:rPr>
        <w:t>Accessed 23 August 2017</w:t>
      </w:r>
      <w:r w:rsidR="0037662A" w:rsidRPr="006568DD">
        <w:rPr>
          <w:rFonts w:ascii="Cambria" w:hAnsi="Cambria"/>
          <w:iCs/>
        </w:rPr>
        <w:t>)</w:t>
      </w:r>
      <w:r w:rsidRPr="006568DD">
        <w:rPr>
          <w:rFonts w:ascii="Cambria" w:hAnsi="Cambria"/>
          <w:iCs/>
        </w:rPr>
        <w:t xml:space="preserve">. </w:t>
      </w:r>
    </w:p>
    <w:p w14:paraId="28E66A14" w14:textId="07B6C998" w:rsidR="00155D6A" w:rsidRPr="006568DD" w:rsidRDefault="00814487" w:rsidP="00BD25D5">
      <w:pPr>
        <w:spacing w:after="240"/>
        <w:ind w:left="284" w:hanging="284"/>
        <w:jc w:val="both"/>
        <w:rPr>
          <w:rFonts w:ascii="Cambria" w:hAnsi="Cambria"/>
          <w:iCs/>
        </w:rPr>
      </w:pPr>
      <w:r w:rsidRPr="006568DD">
        <w:rPr>
          <w:rFonts w:ascii="Cambria" w:hAnsi="Cambria"/>
          <w:iCs/>
        </w:rPr>
        <w:t>United Nations Framework Convention on Climate Change (2013</w:t>
      </w:r>
      <w:r w:rsidR="00155D6A" w:rsidRPr="006568DD">
        <w:rPr>
          <w:rFonts w:ascii="Cambria" w:hAnsi="Cambria"/>
          <w:iCs/>
        </w:rPr>
        <w:t>), “</w:t>
      </w:r>
      <w:r w:rsidRPr="006568DD">
        <w:rPr>
          <w:rFonts w:ascii="Cambria" w:hAnsi="Cambria"/>
          <w:iCs/>
        </w:rPr>
        <w:t>Status of Ratification of the Kyoto Protocol</w:t>
      </w:r>
      <w:r w:rsidR="00155D6A" w:rsidRPr="006568DD">
        <w:rPr>
          <w:rFonts w:ascii="Cambria" w:hAnsi="Cambria"/>
          <w:iCs/>
        </w:rPr>
        <w:t>”, a</w:t>
      </w:r>
      <w:r w:rsidRPr="006568DD">
        <w:rPr>
          <w:rFonts w:ascii="Cambria" w:hAnsi="Cambria"/>
          <w:iCs/>
        </w:rPr>
        <w:t xml:space="preserve">vailable </w:t>
      </w:r>
      <w:r w:rsidR="00155D6A" w:rsidRPr="006568DD">
        <w:rPr>
          <w:rFonts w:ascii="Cambria" w:hAnsi="Cambria"/>
          <w:iCs/>
        </w:rPr>
        <w:t>at</w:t>
      </w:r>
      <w:r w:rsidRPr="006568DD">
        <w:rPr>
          <w:rFonts w:ascii="Cambria" w:hAnsi="Cambria"/>
          <w:iCs/>
        </w:rPr>
        <w:t xml:space="preserve">: http://unfccc.int/kyoto_protocol/status_of_ratification/items/2613.php. </w:t>
      </w:r>
      <w:r w:rsidR="0037662A" w:rsidRPr="006568DD">
        <w:rPr>
          <w:rFonts w:ascii="Cambria" w:hAnsi="Cambria"/>
          <w:iCs/>
        </w:rPr>
        <w:t>(</w:t>
      </w:r>
      <w:r w:rsidRPr="006568DD">
        <w:rPr>
          <w:rFonts w:ascii="Cambria" w:hAnsi="Cambria"/>
          <w:iCs/>
        </w:rPr>
        <w:t>Accessed 23 August 2017</w:t>
      </w:r>
      <w:r w:rsidR="0037662A" w:rsidRPr="006568DD">
        <w:rPr>
          <w:rFonts w:ascii="Cambria" w:hAnsi="Cambria"/>
          <w:iCs/>
        </w:rPr>
        <w:t>)</w:t>
      </w:r>
      <w:r w:rsidRPr="006568DD">
        <w:rPr>
          <w:rFonts w:ascii="Cambria" w:hAnsi="Cambria"/>
          <w:iCs/>
        </w:rPr>
        <w:t xml:space="preserve">. </w:t>
      </w:r>
    </w:p>
    <w:p w14:paraId="61810893" w14:textId="1A931B1D" w:rsidR="00814487" w:rsidRPr="006568DD" w:rsidRDefault="00814487" w:rsidP="00EF38FC">
      <w:pPr>
        <w:spacing w:after="240"/>
        <w:ind w:left="284" w:hanging="284"/>
        <w:jc w:val="both"/>
        <w:rPr>
          <w:rFonts w:ascii="Cambria" w:hAnsi="Cambria"/>
          <w:iCs/>
        </w:rPr>
      </w:pPr>
      <w:r w:rsidRPr="006568DD">
        <w:rPr>
          <w:rFonts w:ascii="Cambria" w:hAnsi="Cambria"/>
          <w:iCs/>
        </w:rPr>
        <w:t>World Commission on Environment and Development (WCED</w:t>
      </w:r>
      <w:r w:rsidR="00155D6A" w:rsidRPr="006568DD">
        <w:rPr>
          <w:rFonts w:ascii="Cambria" w:hAnsi="Cambria"/>
          <w:iCs/>
        </w:rPr>
        <w:t>)</w:t>
      </w:r>
      <w:r w:rsidR="00A42FCC" w:rsidRPr="00714B37">
        <w:rPr>
          <w:rFonts w:ascii="Cambria" w:hAnsi="Cambria"/>
          <w:iCs/>
        </w:rPr>
        <w:t xml:space="preserve"> (1989)</w:t>
      </w:r>
      <w:r w:rsidR="00155D6A" w:rsidRPr="006568DD">
        <w:rPr>
          <w:rFonts w:ascii="Cambria" w:hAnsi="Cambria"/>
          <w:iCs/>
        </w:rPr>
        <w:t xml:space="preserve">, </w:t>
      </w:r>
      <w:r w:rsidR="00EF38FC" w:rsidRPr="00714B37">
        <w:rPr>
          <w:rFonts w:ascii="Cambria" w:hAnsi="Cambria"/>
          <w:i/>
          <w:iCs/>
        </w:rPr>
        <w:t>“</w:t>
      </w:r>
      <w:r w:rsidRPr="00714B37">
        <w:rPr>
          <w:rFonts w:ascii="Cambria" w:hAnsi="Cambria"/>
          <w:i/>
          <w:iCs/>
        </w:rPr>
        <w:t>Our Common Future</w:t>
      </w:r>
      <w:r w:rsidR="00EF38FC" w:rsidRPr="00714B37">
        <w:rPr>
          <w:rFonts w:ascii="Cambria" w:hAnsi="Cambria"/>
          <w:i/>
          <w:iCs/>
        </w:rPr>
        <w:t>”</w:t>
      </w:r>
      <w:r w:rsidR="00EF38FC" w:rsidRPr="00714B37">
        <w:rPr>
          <w:rFonts w:ascii="Cambria" w:hAnsi="Cambria"/>
          <w:iCs/>
        </w:rPr>
        <w:t xml:space="preserve">, available at: </w:t>
      </w:r>
      <w:r w:rsidR="00EF38FC" w:rsidRPr="006568DD">
        <w:rPr>
          <w:rFonts w:ascii="Cambria" w:hAnsi="Cambria"/>
          <w:iCs/>
        </w:rPr>
        <w:t>http://www.un-documents.net/wced-ocf.htm (Accessed 20 March 2017).</w:t>
      </w:r>
    </w:p>
    <w:p w14:paraId="3A8ADCF4" w14:textId="382AE552" w:rsidR="00D84F57" w:rsidRPr="006568DD" w:rsidRDefault="00D84F57" w:rsidP="00D84F57">
      <w:pPr>
        <w:spacing w:after="240"/>
        <w:ind w:left="284" w:hanging="284"/>
        <w:jc w:val="both"/>
        <w:rPr>
          <w:rFonts w:ascii="Cambria" w:hAnsi="Cambria"/>
          <w:iCs/>
        </w:rPr>
      </w:pPr>
      <w:r w:rsidRPr="006568DD">
        <w:rPr>
          <w:rFonts w:ascii="Cambria" w:hAnsi="Cambria"/>
          <w:iCs/>
        </w:rPr>
        <w:t xml:space="preserve">Webb, A. L. (2017), </w:t>
      </w:r>
      <w:r w:rsidR="00155D6A" w:rsidRPr="006568DD">
        <w:rPr>
          <w:rFonts w:ascii="Cambria" w:hAnsi="Cambria"/>
          <w:iCs/>
        </w:rPr>
        <w:t>“</w:t>
      </w:r>
      <w:r w:rsidRPr="006568DD">
        <w:rPr>
          <w:rFonts w:ascii="Cambria" w:hAnsi="Cambria"/>
          <w:iCs/>
        </w:rPr>
        <w:t>Energy retrofits in historic and traditional buildings: A review of problems and methods</w:t>
      </w:r>
      <w:r w:rsidR="00155D6A" w:rsidRPr="006568DD">
        <w:rPr>
          <w:rFonts w:ascii="Cambria" w:hAnsi="Cambria"/>
          <w:iCs/>
        </w:rPr>
        <w:t>”</w:t>
      </w:r>
      <w:r w:rsidRPr="006568DD">
        <w:rPr>
          <w:rFonts w:ascii="Cambria" w:hAnsi="Cambria"/>
          <w:iCs/>
        </w:rPr>
        <w:t xml:space="preserve">, </w:t>
      </w:r>
      <w:r w:rsidRPr="006568DD">
        <w:rPr>
          <w:rFonts w:ascii="Cambria" w:hAnsi="Cambria"/>
          <w:i/>
          <w:iCs/>
        </w:rPr>
        <w:t>Renewable and Sustainable Energy Reviews</w:t>
      </w:r>
      <w:r w:rsidRPr="006568DD">
        <w:rPr>
          <w:rFonts w:ascii="Cambria" w:hAnsi="Cambria"/>
          <w:iCs/>
        </w:rPr>
        <w:t xml:space="preserve">, Vol. 77, pp. 748 – 759. </w:t>
      </w:r>
    </w:p>
    <w:p w14:paraId="67606A70" w14:textId="3353769A" w:rsidR="00A42FCC" w:rsidRPr="006568DD" w:rsidRDefault="00A17800" w:rsidP="00A42FCC">
      <w:pPr>
        <w:spacing w:after="240"/>
        <w:ind w:left="284" w:hanging="284"/>
        <w:jc w:val="both"/>
        <w:rPr>
          <w:rFonts w:ascii="Cambria" w:hAnsi="Cambria"/>
          <w:iCs/>
        </w:rPr>
      </w:pPr>
      <w:r w:rsidRPr="006568DD">
        <w:rPr>
          <w:rFonts w:ascii="Cambria" w:hAnsi="Cambria"/>
          <w:iCs/>
        </w:rPr>
        <w:t xml:space="preserve">Weeks, C., </w:t>
      </w:r>
      <w:proofErr w:type="spellStart"/>
      <w:r w:rsidRPr="006568DD">
        <w:rPr>
          <w:rFonts w:ascii="Cambria" w:hAnsi="Cambria"/>
          <w:iCs/>
        </w:rPr>
        <w:t>Delalonde</w:t>
      </w:r>
      <w:proofErr w:type="spellEnd"/>
      <w:r w:rsidRPr="006568DD">
        <w:rPr>
          <w:rFonts w:ascii="Cambria" w:hAnsi="Cambria"/>
          <w:iCs/>
        </w:rPr>
        <w:t xml:space="preserve">, C. &amp; </w:t>
      </w:r>
      <w:proofErr w:type="spellStart"/>
      <w:r w:rsidRPr="006568DD">
        <w:rPr>
          <w:rFonts w:ascii="Cambria" w:hAnsi="Cambria"/>
          <w:iCs/>
        </w:rPr>
        <w:t>Preist</w:t>
      </w:r>
      <w:proofErr w:type="spellEnd"/>
      <w:r w:rsidRPr="006568DD">
        <w:rPr>
          <w:rFonts w:ascii="Cambria" w:hAnsi="Cambria"/>
          <w:iCs/>
        </w:rPr>
        <w:t>, C. (2015</w:t>
      </w:r>
      <w:r w:rsidR="00155D6A" w:rsidRPr="006568DD">
        <w:rPr>
          <w:rFonts w:ascii="Cambria" w:hAnsi="Cambria"/>
          <w:iCs/>
        </w:rPr>
        <w:t>), “</w:t>
      </w:r>
      <w:r w:rsidRPr="006568DD">
        <w:rPr>
          <w:rFonts w:ascii="Cambria" w:hAnsi="Cambria"/>
          <w:iCs/>
        </w:rPr>
        <w:t>Investigation into the slow adoption of retrofitting: What are the barriers and drivers to retrofitting, and how can ICT help?</w:t>
      </w:r>
      <w:r w:rsidR="00155D6A" w:rsidRPr="006568DD">
        <w:rPr>
          <w:rFonts w:ascii="Cambria" w:hAnsi="Cambria"/>
          <w:iCs/>
        </w:rPr>
        <w:t>”</w:t>
      </w:r>
      <w:r w:rsidRPr="006568DD">
        <w:rPr>
          <w:rFonts w:ascii="Cambria" w:hAnsi="Cambria"/>
          <w:iCs/>
        </w:rPr>
        <w:t xml:space="preserve"> </w:t>
      </w:r>
      <w:proofErr w:type="gramStart"/>
      <w:r w:rsidRPr="006568DD">
        <w:rPr>
          <w:rFonts w:ascii="Cambria" w:hAnsi="Cambria"/>
          <w:iCs/>
        </w:rPr>
        <w:t xml:space="preserve">In </w:t>
      </w:r>
      <w:proofErr w:type="spellStart"/>
      <w:r w:rsidRPr="00714B37">
        <w:rPr>
          <w:rFonts w:ascii="Cambria" w:hAnsi="Cambria"/>
          <w:i/>
          <w:iCs/>
        </w:rPr>
        <w:t>EnviroInfo</w:t>
      </w:r>
      <w:proofErr w:type="spellEnd"/>
      <w:r w:rsidRPr="00714B37">
        <w:rPr>
          <w:rFonts w:ascii="Cambria" w:hAnsi="Cambria"/>
          <w:i/>
          <w:iCs/>
        </w:rPr>
        <w:t xml:space="preserve"> &amp; ICT4s</w:t>
      </w:r>
      <w:r w:rsidRPr="006568DD">
        <w:rPr>
          <w:rFonts w:ascii="Cambria" w:hAnsi="Cambria"/>
          <w:iCs/>
        </w:rPr>
        <w:t>.</w:t>
      </w:r>
      <w:proofErr w:type="gramEnd"/>
      <w:r w:rsidR="00A42FCC" w:rsidRPr="006568DD">
        <w:rPr>
          <w:rFonts w:ascii="Cambria" w:hAnsi="Cambria"/>
          <w:iCs/>
        </w:rPr>
        <w:t xml:space="preserve"> </w:t>
      </w:r>
      <w:proofErr w:type="gramStart"/>
      <w:r w:rsidRPr="006568DD">
        <w:rPr>
          <w:rFonts w:ascii="Cambria" w:hAnsi="Cambria"/>
          <w:iCs/>
        </w:rPr>
        <w:t>Advances in Computer Science Research.</w:t>
      </w:r>
      <w:proofErr w:type="gramEnd"/>
      <w:r w:rsidRPr="006568DD">
        <w:rPr>
          <w:rFonts w:ascii="Cambria" w:hAnsi="Cambria"/>
          <w:iCs/>
        </w:rPr>
        <w:t xml:space="preserve"> Atlantis Press</w:t>
      </w:r>
      <w:r w:rsidR="00A42FCC" w:rsidRPr="006568DD">
        <w:rPr>
          <w:rFonts w:ascii="Cambria" w:hAnsi="Cambria"/>
          <w:iCs/>
        </w:rPr>
        <w:t>, pp. 325 – 334.</w:t>
      </w:r>
    </w:p>
    <w:p w14:paraId="6F35EB4F" w14:textId="77777777" w:rsidR="00D84F57" w:rsidRPr="006568DD" w:rsidRDefault="00D84F57" w:rsidP="00D84F57">
      <w:pPr>
        <w:spacing w:after="240"/>
        <w:ind w:left="284" w:hanging="284"/>
        <w:jc w:val="both"/>
        <w:rPr>
          <w:rFonts w:ascii="Cambria" w:hAnsi="Cambria"/>
          <w:iCs/>
        </w:rPr>
      </w:pPr>
      <w:r w:rsidRPr="006568DD">
        <w:rPr>
          <w:rFonts w:ascii="Cambria" w:hAnsi="Cambria"/>
          <w:iCs/>
        </w:rPr>
        <w:t xml:space="preserve">World Commission on Environment and Development (WCED) (1987), </w:t>
      </w:r>
      <w:proofErr w:type="gramStart"/>
      <w:r w:rsidRPr="006568DD">
        <w:rPr>
          <w:rFonts w:ascii="Cambria" w:hAnsi="Cambria"/>
          <w:i/>
          <w:iCs/>
        </w:rPr>
        <w:t>Our</w:t>
      </w:r>
      <w:proofErr w:type="gramEnd"/>
      <w:r w:rsidRPr="006568DD">
        <w:rPr>
          <w:rFonts w:ascii="Cambria" w:hAnsi="Cambria"/>
          <w:i/>
          <w:iCs/>
        </w:rPr>
        <w:t xml:space="preserve"> common future</w:t>
      </w:r>
      <w:r w:rsidRPr="006568DD">
        <w:rPr>
          <w:rFonts w:ascii="Cambria" w:hAnsi="Cambria"/>
          <w:iCs/>
        </w:rPr>
        <w:t>, Oxford University Press, Oxford.</w:t>
      </w:r>
    </w:p>
    <w:p w14:paraId="6844FFBD" w14:textId="3333F17F" w:rsidR="00121570" w:rsidRPr="006568DD" w:rsidRDefault="00814487" w:rsidP="00BD25D5">
      <w:pPr>
        <w:spacing w:after="240"/>
        <w:ind w:left="284" w:hanging="284"/>
        <w:jc w:val="both"/>
        <w:rPr>
          <w:rFonts w:ascii="Cambria" w:hAnsi="Cambria"/>
          <w:iCs/>
        </w:rPr>
      </w:pPr>
      <w:r w:rsidRPr="006568DD">
        <w:rPr>
          <w:rFonts w:ascii="Cambria" w:hAnsi="Cambria"/>
          <w:iCs/>
        </w:rPr>
        <w:t>Yung, H. K. Y. and Chan, H. W. E. (2012</w:t>
      </w:r>
      <w:r w:rsidR="00155D6A" w:rsidRPr="006568DD">
        <w:rPr>
          <w:rFonts w:ascii="Cambria" w:hAnsi="Cambria"/>
          <w:iCs/>
        </w:rPr>
        <w:t>), “</w:t>
      </w:r>
      <w:r w:rsidRPr="006568DD">
        <w:rPr>
          <w:rFonts w:ascii="Cambria" w:hAnsi="Cambria"/>
          <w:iCs/>
        </w:rPr>
        <w:t>Critical social sustainability factors in urban conservation</w:t>
      </w:r>
      <w:r w:rsidR="00155D6A" w:rsidRPr="006568DD">
        <w:rPr>
          <w:rFonts w:ascii="Cambria" w:hAnsi="Cambria"/>
          <w:iCs/>
        </w:rPr>
        <w:t xml:space="preserve">”, </w:t>
      </w:r>
      <w:r w:rsidRPr="006568DD">
        <w:rPr>
          <w:rFonts w:ascii="Cambria" w:hAnsi="Cambria"/>
          <w:i/>
          <w:iCs/>
        </w:rPr>
        <w:t>Facilities</w:t>
      </w:r>
      <w:r w:rsidR="00155D6A" w:rsidRPr="006568DD">
        <w:rPr>
          <w:rFonts w:ascii="Cambria" w:hAnsi="Cambria"/>
          <w:i/>
          <w:iCs/>
        </w:rPr>
        <w:t>,</w:t>
      </w:r>
      <w:r w:rsidRPr="006568DD">
        <w:rPr>
          <w:rFonts w:ascii="Cambria" w:hAnsi="Cambria"/>
          <w:iCs/>
        </w:rPr>
        <w:t xml:space="preserve"> 9/10 (30), pp. 396 - 416.  </w:t>
      </w:r>
    </w:p>
    <w:p w14:paraId="6A365642" w14:textId="77777777" w:rsidR="00CE68D3" w:rsidRPr="006568DD" w:rsidRDefault="00CE68D3" w:rsidP="00BD25D5">
      <w:pPr>
        <w:jc w:val="both"/>
        <w:rPr>
          <w:rFonts w:ascii="Cambria" w:hAnsi="Cambria"/>
        </w:rPr>
      </w:pPr>
    </w:p>
    <w:p w14:paraId="69D06709" w14:textId="77777777" w:rsidR="00121570" w:rsidRPr="006568DD" w:rsidRDefault="00121570" w:rsidP="00BD25D5">
      <w:pPr>
        <w:jc w:val="both"/>
        <w:rPr>
          <w:rFonts w:ascii="Cambria" w:hAnsi="Cambria"/>
        </w:rPr>
      </w:pPr>
    </w:p>
    <w:p w14:paraId="557FDDF2" w14:textId="77777777" w:rsidR="00121570" w:rsidRPr="006568DD" w:rsidRDefault="00121570" w:rsidP="00BD25D5">
      <w:pPr>
        <w:jc w:val="both"/>
        <w:rPr>
          <w:rFonts w:ascii="Cambria" w:hAnsi="Cambria"/>
        </w:rPr>
      </w:pPr>
    </w:p>
    <w:p w14:paraId="4667D606" w14:textId="77777777" w:rsidR="00714B37" w:rsidRPr="00C37C0E" w:rsidRDefault="00714B37" w:rsidP="00714B37">
      <w:pPr>
        <w:jc w:val="center"/>
        <w:rPr>
          <w:rFonts w:ascii="Arial" w:hAnsi="Arial" w:cs="Arial"/>
          <w:sz w:val="20"/>
          <w:szCs w:val="20"/>
        </w:rPr>
      </w:pPr>
      <w:r w:rsidRPr="00C37C0E">
        <w:rPr>
          <w:rFonts w:ascii="Arial" w:hAnsi="Arial" w:cs="Arial"/>
          <w:noProof/>
          <w:sz w:val="20"/>
          <w:szCs w:val="20"/>
          <w:lang w:val="en-US"/>
        </w:rPr>
        <w:drawing>
          <wp:anchor distT="0" distB="0" distL="114300" distR="114300" simplePos="0" relativeHeight="251659264" behindDoc="0" locked="0" layoutInCell="1" allowOverlap="1" wp14:anchorId="14BDCFBB" wp14:editId="50D7013D">
            <wp:simplePos x="0" y="0"/>
            <wp:positionH relativeFrom="margin">
              <wp:align>left</wp:align>
            </wp:positionH>
            <wp:positionV relativeFrom="paragraph">
              <wp:posOffset>1621790</wp:posOffset>
            </wp:positionV>
            <wp:extent cx="8408670" cy="5165090"/>
            <wp:effectExtent l="254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8408670" cy="516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C0E">
        <w:rPr>
          <w:rFonts w:ascii="Arial" w:hAnsi="Arial" w:cs="Arial"/>
          <w:sz w:val="20"/>
          <w:szCs w:val="20"/>
        </w:rPr>
        <w:t xml:space="preserve">Figure </w:t>
      </w:r>
      <w:r>
        <w:rPr>
          <w:rFonts w:ascii="Arial" w:hAnsi="Arial" w:cs="Arial"/>
          <w:sz w:val="20"/>
          <w:szCs w:val="20"/>
        </w:rPr>
        <w:t>1</w:t>
      </w:r>
      <w:r w:rsidRPr="00C37C0E">
        <w:rPr>
          <w:rFonts w:ascii="Arial" w:hAnsi="Arial" w:cs="Arial"/>
          <w:sz w:val="20"/>
          <w:szCs w:val="20"/>
        </w:rPr>
        <w:t>: Authors’ model implementation based on factors enabling energy efficiency improvements.</w:t>
      </w:r>
    </w:p>
    <w:p w14:paraId="188A8284" w14:textId="77777777" w:rsidR="00714B37" w:rsidRPr="00C37C0E" w:rsidRDefault="00714B37" w:rsidP="00714B37">
      <w:pPr>
        <w:rPr>
          <w:rFonts w:ascii="Arial" w:hAnsi="Arial" w:cs="Arial"/>
          <w:sz w:val="20"/>
          <w:szCs w:val="20"/>
        </w:rPr>
      </w:pPr>
    </w:p>
    <w:p w14:paraId="542B256C" w14:textId="77777777" w:rsidR="00714B37" w:rsidRPr="00342E79" w:rsidRDefault="00714B37" w:rsidP="00714B37">
      <w:pPr>
        <w:jc w:val="center"/>
        <w:rPr>
          <w:rFonts w:ascii="Cambria" w:hAnsi="Cambria" w:cs="Arial"/>
        </w:rPr>
      </w:pPr>
      <w:r w:rsidRPr="00342E79">
        <w:rPr>
          <w:rFonts w:ascii="Cambria" w:hAnsi="Cambria" w:cs="Arial"/>
        </w:rPr>
        <w:t>Table 1: Proportion of listed buildings in the UK.</w:t>
      </w:r>
    </w:p>
    <w:tbl>
      <w:tblPr>
        <w:tblW w:w="7917" w:type="dxa"/>
        <w:jc w:val="center"/>
        <w:tblLayout w:type="fixed"/>
        <w:tblLook w:val="04A0" w:firstRow="1" w:lastRow="0" w:firstColumn="1" w:lastColumn="0" w:noHBand="0" w:noVBand="1"/>
      </w:tblPr>
      <w:tblGrid>
        <w:gridCol w:w="2247"/>
        <w:gridCol w:w="3272"/>
        <w:gridCol w:w="2398"/>
      </w:tblGrid>
      <w:tr w:rsidR="00714B37" w:rsidRPr="00342E79" w14:paraId="30F8AEB6" w14:textId="77777777" w:rsidTr="00D242A9">
        <w:trPr>
          <w:trHeight w:val="301"/>
          <w:jc w:val="center"/>
        </w:trPr>
        <w:tc>
          <w:tcPr>
            <w:tcW w:w="2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8338" w14:textId="77777777" w:rsidR="00714B37" w:rsidRPr="00342E79" w:rsidRDefault="00714B37" w:rsidP="00D242A9">
            <w:pPr>
              <w:jc w:val="both"/>
              <w:rPr>
                <w:rFonts w:ascii="Cambria" w:eastAsia="Times New Roman" w:hAnsi="Cambria" w:cs="Arial"/>
                <w:color w:val="000000"/>
              </w:rPr>
            </w:pPr>
            <w:r w:rsidRPr="00342E79">
              <w:rPr>
                <w:rFonts w:ascii="Cambria" w:eastAsia="Times New Roman" w:hAnsi="Cambria" w:cs="Arial"/>
                <w:color w:val="000000"/>
              </w:rPr>
              <w:t> </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14:paraId="5081ACCC" w14:textId="77777777" w:rsidR="00714B37" w:rsidRPr="00342E79" w:rsidRDefault="00714B37" w:rsidP="00D242A9">
            <w:pPr>
              <w:jc w:val="both"/>
              <w:rPr>
                <w:rFonts w:ascii="Cambria" w:eastAsia="Times New Roman" w:hAnsi="Cambria" w:cs="Arial"/>
                <w:b/>
                <w:bCs/>
                <w:color w:val="000000"/>
              </w:rPr>
            </w:pPr>
            <w:r w:rsidRPr="00342E79">
              <w:rPr>
                <w:rFonts w:ascii="Cambria" w:eastAsia="Times New Roman" w:hAnsi="Cambria" w:cs="Arial"/>
                <w:b/>
                <w:bCs/>
                <w:color w:val="000000"/>
              </w:rPr>
              <w:t>Number of listed buildings</w:t>
            </w:r>
          </w:p>
        </w:tc>
        <w:tc>
          <w:tcPr>
            <w:tcW w:w="2398" w:type="dxa"/>
            <w:tcBorders>
              <w:top w:val="single" w:sz="4" w:space="0" w:color="auto"/>
              <w:left w:val="nil"/>
              <w:bottom w:val="single" w:sz="4" w:space="0" w:color="auto"/>
              <w:right w:val="single" w:sz="4" w:space="0" w:color="auto"/>
            </w:tcBorders>
            <w:shd w:val="clear" w:color="auto" w:fill="auto"/>
            <w:noWrap/>
            <w:vAlign w:val="bottom"/>
            <w:hideMark/>
          </w:tcPr>
          <w:p w14:paraId="19CEE375" w14:textId="77777777" w:rsidR="00714B37" w:rsidRPr="00342E79" w:rsidRDefault="00714B37" w:rsidP="00D242A9">
            <w:pPr>
              <w:jc w:val="both"/>
              <w:rPr>
                <w:rFonts w:ascii="Cambria" w:eastAsia="Times New Roman" w:hAnsi="Cambria" w:cs="Arial"/>
                <w:b/>
                <w:bCs/>
                <w:color w:val="000000"/>
              </w:rPr>
            </w:pPr>
            <w:r w:rsidRPr="00342E79">
              <w:rPr>
                <w:rFonts w:ascii="Cambria" w:eastAsia="Times New Roman" w:hAnsi="Cambria" w:cs="Arial"/>
                <w:b/>
                <w:bCs/>
                <w:color w:val="000000"/>
              </w:rPr>
              <w:t>Percentage of total</w:t>
            </w:r>
          </w:p>
        </w:tc>
      </w:tr>
      <w:tr w:rsidR="00714B37" w:rsidRPr="00342E79" w14:paraId="16717696" w14:textId="77777777" w:rsidTr="00D242A9">
        <w:trPr>
          <w:trHeight w:val="301"/>
          <w:jc w:val="center"/>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4F53403A" w14:textId="77777777" w:rsidR="00714B37" w:rsidRPr="00342E79" w:rsidRDefault="00714B37" w:rsidP="00D242A9">
            <w:pPr>
              <w:jc w:val="both"/>
              <w:rPr>
                <w:rFonts w:ascii="Cambria" w:eastAsia="Times New Roman" w:hAnsi="Cambria" w:cs="Arial"/>
                <w:color w:val="000000"/>
              </w:rPr>
            </w:pPr>
            <w:r w:rsidRPr="00342E79">
              <w:rPr>
                <w:rFonts w:ascii="Cambria" w:eastAsia="Times New Roman" w:hAnsi="Cambria" w:cs="Arial"/>
                <w:color w:val="000000"/>
              </w:rPr>
              <w:t>England</w:t>
            </w:r>
          </w:p>
        </w:tc>
        <w:tc>
          <w:tcPr>
            <w:tcW w:w="3272" w:type="dxa"/>
            <w:tcBorders>
              <w:top w:val="nil"/>
              <w:left w:val="nil"/>
              <w:bottom w:val="single" w:sz="4" w:space="0" w:color="auto"/>
              <w:right w:val="single" w:sz="4" w:space="0" w:color="auto"/>
            </w:tcBorders>
            <w:shd w:val="clear" w:color="auto" w:fill="auto"/>
            <w:noWrap/>
            <w:vAlign w:val="bottom"/>
            <w:hideMark/>
          </w:tcPr>
          <w:p w14:paraId="47D3CF2E" w14:textId="77777777" w:rsidR="00714B37" w:rsidRPr="00342E79" w:rsidRDefault="00714B37" w:rsidP="00D242A9">
            <w:pPr>
              <w:jc w:val="center"/>
              <w:rPr>
                <w:rFonts w:ascii="Cambria" w:eastAsia="Times New Roman" w:hAnsi="Cambria" w:cs="Arial"/>
                <w:color w:val="000000"/>
              </w:rPr>
            </w:pPr>
            <w:r w:rsidRPr="00342E79">
              <w:rPr>
                <w:rFonts w:ascii="Cambria" w:eastAsia="Times New Roman" w:hAnsi="Cambria" w:cs="Arial"/>
                <w:color w:val="000000"/>
              </w:rPr>
              <w:t>373892</w:t>
            </w:r>
          </w:p>
        </w:tc>
        <w:tc>
          <w:tcPr>
            <w:tcW w:w="2398" w:type="dxa"/>
            <w:tcBorders>
              <w:top w:val="nil"/>
              <w:left w:val="nil"/>
              <w:bottom w:val="single" w:sz="4" w:space="0" w:color="auto"/>
              <w:right w:val="single" w:sz="4" w:space="0" w:color="auto"/>
            </w:tcBorders>
            <w:shd w:val="clear" w:color="auto" w:fill="auto"/>
            <w:noWrap/>
            <w:vAlign w:val="bottom"/>
            <w:hideMark/>
          </w:tcPr>
          <w:p w14:paraId="23BFF6F2" w14:textId="77777777" w:rsidR="00714B37" w:rsidRPr="00342E79" w:rsidRDefault="00714B37" w:rsidP="00D242A9">
            <w:pPr>
              <w:jc w:val="center"/>
              <w:rPr>
                <w:rFonts w:ascii="Cambria" w:eastAsia="Times New Roman" w:hAnsi="Cambria" w:cs="Arial"/>
                <w:color w:val="000000"/>
              </w:rPr>
            </w:pPr>
            <w:r w:rsidRPr="00342E79">
              <w:rPr>
                <w:rFonts w:ascii="Cambria" w:eastAsia="Times New Roman" w:hAnsi="Cambria" w:cs="Arial"/>
                <w:color w:val="000000"/>
              </w:rPr>
              <w:t>81%</w:t>
            </w:r>
          </w:p>
        </w:tc>
      </w:tr>
      <w:tr w:rsidR="00714B37" w:rsidRPr="00342E79" w14:paraId="430AF1CE" w14:textId="77777777" w:rsidTr="00D242A9">
        <w:trPr>
          <w:trHeight w:val="301"/>
          <w:jc w:val="center"/>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19DF15B6" w14:textId="77777777" w:rsidR="00714B37" w:rsidRPr="00342E79" w:rsidRDefault="00714B37" w:rsidP="00D242A9">
            <w:pPr>
              <w:jc w:val="both"/>
              <w:rPr>
                <w:rFonts w:ascii="Cambria" w:eastAsia="Times New Roman" w:hAnsi="Cambria" w:cs="Arial"/>
                <w:color w:val="000000"/>
              </w:rPr>
            </w:pPr>
            <w:r w:rsidRPr="00342E79">
              <w:rPr>
                <w:rFonts w:ascii="Cambria" w:eastAsia="Times New Roman" w:hAnsi="Cambria" w:cs="Arial"/>
                <w:color w:val="000000"/>
              </w:rPr>
              <w:t>Wales</w:t>
            </w:r>
          </w:p>
        </w:tc>
        <w:tc>
          <w:tcPr>
            <w:tcW w:w="3272" w:type="dxa"/>
            <w:tcBorders>
              <w:top w:val="nil"/>
              <w:left w:val="nil"/>
              <w:bottom w:val="single" w:sz="4" w:space="0" w:color="auto"/>
              <w:right w:val="single" w:sz="4" w:space="0" w:color="auto"/>
            </w:tcBorders>
            <w:shd w:val="clear" w:color="auto" w:fill="auto"/>
            <w:noWrap/>
            <w:vAlign w:val="bottom"/>
            <w:hideMark/>
          </w:tcPr>
          <w:p w14:paraId="1E50A9F5" w14:textId="77777777" w:rsidR="00714B37" w:rsidRPr="00342E79" w:rsidRDefault="00714B37" w:rsidP="00D242A9">
            <w:pPr>
              <w:jc w:val="center"/>
              <w:rPr>
                <w:rFonts w:ascii="Cambria" w:eastAsia="Times New Roman" w:hAnsi="Cambria" w:cs="Arial"/>
                <w:color w:val="000000"/>
              </w:rPr>
            </w:pPr>
            <w:r w:rsidRPr="00342E79">
              <w:rPr>
                <w:rFonts w:ascii="Cambria" w:eastAsia="Times New Roman" w:hAnsi="Cambria" w:cs="Arial"/>
                <w:color w:val="000000"/>
              </w:rPr>
              <w:t>29903</w:t>
            </w:r>
          </w:p>
        </w:tc>
        <w:tc>
          <w:tcPr>
            <w:tcW w:w="2398" w:type="dxa"/>
            <w:tcBorders>
              <w:top w:val="nil"/>
              <w:left w:val="nil"/>
              <w:bottom w:val="single" w:sz="4" w:space="0" w:color="auto"/>
              <w:right w:val="single" w:sz="4" w:space="0" w:color="auto"/>
            </w:tcBorders>
            <w:shd w:val="clear" w:color="auto" w:fill="auto"/>
            <w:noWrap/>
            <w:vAlign w:val="bottom"/>
            <w:hideMark/>
          </w:tcPr>
          <w:p w14:paraId="1794D062" w14:textId="77777777" w:rsidR="00714B37" w:rsidRPr="00342E79" w:rsidRDefault="00714B37" w:rsidP="00D242A9">
            <w:pPr>
              <w:jc w:val="center"/>
              <w:rPr>
                <w:rFonts w:ascii="Cambria" w:eastAsia="Times New Roman" w:hAnsi="Cambria" w:cs="Arial"/>
                <w:color w:val="000000"/>
              </w:rPr>
            </w:pPr>
            <w:r w:rsidRPr="00342E79">
              <w:rPr>
                <w:rFonts w:ascii="Cambria" w:eastAsia="Times New Roman" w:hAnsi="Cambria" w:cs="Arial"/>
                <w:color w:val="000000"/>
              </w:rPr>
              <w:t>7%</w:t>
            </w:r>
          </w:p>
        </w:tc>
      </w:tr>
      <w:tr w:rsidR="00714B37" w:rsidRPr="00342E79" w14:paraId="1FE380D5" w14:textId="77777777" w:rsidTr="00D242A9">
        <w:trPr>
          <w:trHeight w:val="301"/>
          <w:jc w:val="center"/>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15EB3A24" w14:textId="77777777" w:rsidR="00714B37" w:rsidRPr="00342E79" w:rsidRDefault="00714B37" w:rsidP="00D242A9">
            <w:pPr>
              <w:jc w:val="both"/>
              <w:rPr>
                <w:rFonts w:ascii="Cambria" w:eastAsia="Times New Roman" w:hAnsi="Cambria" w:cs="Arial"/>
                <w:color w:val="000000"/>
              </w:rPr>
            </w:pPr>
            <w:r w:rsidRPr="00342E79">
              <w:rPr>
                <w:rFonts w:ascii="Cambria" w:eastAsia="Times New Roman" w:hAnsi="Cambria" w:cs="Arial"/>
                <w:color w:val="000000"/>
              </w:rPr>
              <w:t>Scotland</w:t>
            </w:r>
          </w:p>
        </w:tc>
        <w:tc>
          <w:tcPr>
            <w:tcW w:w="3272" w:type="dxa"/>
            <w:tcBorders>
              <w:top w:val="nil"/>
              <w:left w:val="nil"/>
              <w:bottom w:val="single" w:sz="4" w:space="0" w:color="auto"/>
              <w:right w:val="single" w:sz="4" w:space="0" w:color="auto"/>
            </w:tcBorders>
            <w:shd w:val="clear" w:color="auto" w:fill="auto"/>
            <w:noWrap/>
            <w:vAlign w:val="bottom"/>
            <w:hideMark/>
          </w:tcPr>
          <w:p w14:paraId="7C22236F" w14:textId="77777777" w:rsidR="00714B37" w:rsidRPr="00342E79" w:rsidRDefault="00714B37" w:rsidP="00D242A9">
            <w:pPr>
              <w:jc w:val="center"/>
              <w:rPr>
                <w:rFonts w:ascii="Cambria" w:eastAsia="Times New Roman" w:hAnsi="Cambria" w:cs="Arial"/>
                <w:color w:val="000000"/>
              </w:rPr>
            </w:pPr>
            <w:r w:rsidRPr="00342E79">
              <w:rPr>
                <w:rFonts w:ascii="Cambria" w:eastAsia="Times New Roman" w:hAnsi="Cambria" w:cs="Arial"/>
                <w:color w:val="000000"/>
              </w:rPr>
              <w:t>47400</w:t>
            </w:r>
          </w:p>
        </w:tc>
        <w:tc>
          <w:tcPr>
            <w:tcW w:w="2398" w:type="dxa"/>
            <w:tcBorders>
              <w:top w:val="nil"/>
              <w:left w:val="nil"/>
              <w:bottom w:val="single" w:sz="4" w:space="0" w:color="auto"/>
              <w:right w:val="single" w:sz="4" w:space="0" w:color="auto"/>
            </w:tcBorders>
            <w:shd w:val="clear" w:color="auto" w:fill="auto"/>
            <w:noWrap/>
            <w:vAlign w:val="bottom"/>
            <w:hideMark/>
          </w:tcPr>
          <w:p w14:paraId="44B6478B" w14:textId="77777777" w:rsidR="00714B37" w:rsidRPr="00342E79" w:rsidRDefault="00714B37" w:rsidP="00D242A9">
            <w:pPr>
              <w:jc w:val="center"/>
              <w:rPr>
                <w:rFonts w:ascii="Cambria" w:eastAsia="Times New Roman" w:hAnsi="Cambria" w:cs="Arial"/>
                <w:color w:val="000000"/>
              </w:rPr>
            </w:pPr>
            <w:r w:rsidRPr="00342E79">
              <w:rPr>
                <w:rFonts w:ascii="Cambria" w:eastAsia="Times New Roman" w:hAnsi="Cambria" w:cs="Arial"/>
                <w:color w:val="000000"/>
              </w:rPr>
              <w:t>10%</w:t>
            </w:r>
          </w:p>
        </w:tc>
      </w:tr>
      <w:tr w:rsidR="00714B37" w:rsidRPr="00342E79" w14:paraId="2B72F8AE" w14:textId="77777777" w:rsidTr="00D242A9">
        <w:trPr>
          <w:trHeight w:val="301"/>
          <w:jc w:val="center"/>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75D21CFA" w14:textId="77777777" w:rsidR="00714B37" w:rsidRPr="00342E79" w:rsidRDefault="00714B37" w:rsidP="00D242A9">
            <w:pPr>
              <w:jc w:val="both"/>
              <w:rPr>
                <w:rFonts w:ascii="Cambria" w:eastAsia="Times New Roman" w:hAnsi="Cambria" w:cs="Arial"/>
                <w:color w:val="000000"/>
              </w:rPr>
            </w:pPr>
            <w:r w:rsidRPr="00342E79">
              <w:rPr>
                <w:rFonts w:ascii="Cambria" w:eastAsia="Times New Roman" w:hAnsi="Cambria" w:cs="Arial"/>
                <w:color w:val="000000"/>
              </w:rPr>
              <w:t>Northern Ireland</w:t>
            </w:r>
          </w:p>
        </w:tc>
        <w:tc>
          <w:tcPr>
            <w:tcW w:w="3272" w:type="dxa"/>
            <w:tcBorders>
              <w:top w:val="nil"/>
              <w:left w:val="nil"/>
              <w:bottom w:val="single" w:sz="4" w:space="0" w:color="auto"/>
              <w:right w:val="single" w:sz="4" w:space="0" w:color="auto"/>
            </w:tcBorders>
            <w:shd w:val="clear" w:color="auto" w:fill="auto"/>
            <w:noWrap/>
            <w:vAlign w:val="bottom"/>
            <w:hideMark/>
          </w:tcPr>
          <w:p w14:paraId="18AEAC77" w14:textId="77777777" w:rsidR="00714B37" w:rsidRPr="00342E79" w:rsidRDefault="00714B37" w:rsidP="00D242A9">
            <w:pPr>
              <w:jc w:val="center"/>
              <w:rPr>
                <w:rFonts w:ascii="Cambria" w:eastAsia="Times New Roman" w:hAnsi="Cambria" w:cs="Arial"/>
                <w:color w:val="000000"/>
              </w:rPr>
            </w:pPr>
            <w:r w:rsidRPr="00342E79">
              <w:rPr>
                <w:rFonts w:ascii="Cambria" w:eastAsia="Times New Roman" w:hAnsi="Cambria" w:cs="Arial"/>
                <w:color w:val="000000"/>
              </w:rPr>
              <w:t>8500</w:t>
            </w:r>
          </w:p>
        </w:tc>
        <w:tc>
          <w:tcPr>
            <w:tcW w:w="2398" w:type="dxa"/>
            <w:tcBorders>
              <w:top w:val="nil"/>
              <w:left w:val="nil"/>
              <w:bottom w:val="single" w:sz="4" w:space="0" w:color="auto"/>
              <w:right w:val="single" w:sz="4" w:space="0" w:color="auto"/>
            </w:tcBorders>
            <w:shd w:val="clear" w:color="auto" w:fill="auto"/>
            <w:noWrap/>
            <w:vAlign w:val="bottom"/>
            <w:hideMark/>
          </w:tcPr>
          <w:p w14:paraId="001B1EA3" w14:textId="77777777" w:rsidR="00714B37" w:rsidRPr="00342E79" w:rsidRDefault="00714B37" w:rsidP="00D242A9">
            <w:pPr>
              <w:jc w:val="center"/>
              <w:rPr>
                <w:rFonts w:ascii="Cambria" w:eastAsia="Times New Roman" w:hAnsi="Cambria" w:cs="Arial"/>
                <w:color w:val="000000"/>
              </w:rPr>
            </w:pPr>
            <w:r w:rsidRPr="00342E79">
              <w:rPr>
                <w:rFonts w:ascii="Cambria" w:eastAsia="Times New Roman" w:hAnsi="Cambria" w:cs="Arial"/>
                <w:color w:val="000000"/>
              </w:rPr>
              <w:t>2%</w:t>
            </w:r>
          </w:p>
        </w:tc>
      </w:tr>
      <w:tr w:rsidR="00714B37" w:rsidRPr="00342E79" w14:paraId="04E5D4F4" w14:textId="77777777" w:rsidTr="00D242A9">
        <w:trPr>
          <w:trHeight w:val="301"/>
          <w:jc w:val="center"/>
        </w:trPr>
        <w:tc>
          <w:tcPr>
            <w:tcW w:w="2247" w:type="dxa"/>
            <w:tcBorders>
              <w:top w:val="nil"/>
              <w:left w:val="single" w:sz="4" w:space="0" w:color="auto"/>
              <w:bottom w:val="single" w:sz="4" w:space="0" w:color="auto"/>
              <w:right w:val="single" w:sz="4" w:space="0" w:color="auto"/>
            </w:tcBorders>
            <w:shd w:val="clear" w:color="auto" w:fill="auto"/>
            <w:noWrap/>
            <w:vAlign w:val="bottom"/>
            <w:hideMark/>
          </w:tcPr>
          <w:p w14:paraId="74BAFE28" w14:textId="77777777" w:rsidR="00714B37" w:rsidRPr="00342E79" w:rsidRDefault="00714B37" w:rsidP="00D242A9">
            <w:pPr>
              <w:jc w:val="both"/>
              <w:rPr>
                <w:rFonts w:ascii="Cambria" w:eastAsia="Times New Roman" w:hAnsi="Cambria" w:cs="Arial"/>
                <w:b/>
                <w:bCs/>
                <w:color w:val="000000"/>
              </w:rPr>
            </w:pPr>
            <w:r w:rsidRPr="00342E79">
              <w:rPr>
                <w:rFonts w:ascii="Cambria" w:eastAsia="Times New Roman" w:hAnsi="Cambria" w:cs="Arial"/>
                <w:b/>
                <w:bCs/>
                <w:color w:val="000000"/>
              </w:rPr>
              <w:t>Total</w:t>
            </w:r>
          </w:p>
        </w:tc>
        <w:tc>
          <w:tcPr>
            <w:tcW w:w="3272" w:type="dxa"/>
            <w:tcBorders>
              <w:top w:val="nil"/>
              <w:left w:val="nil"/>
              <w:bottom w:val="single" w:sz="4" w:space="0" w:color="auto"/>
              <w:right w:val="single" w:sz="4" w:space="0" w:color="auto"/>
            </w:tcBorders>
            <w:shd w:val="clear" w:color="auto" w:fill="auto"/>
            <w:noWrap/>
            <w:vAlign w:val="bottom"/>
            <w:hideMark/>
          </w:tcPr>
          <w:p w14:paraId="44B52FAE" w14:textId="77777777" w:rsidR="00714B37" w:rsidRPr="00342E79" w:rsidRDefault="00714B37" w:rsidP="00D242A9">
            <w:pPr>
              <w:jc w:val="center"/>
              <w:rPr>
                <w:rFonts w:ascii="Cambria" w:eastAsia="Times New Roman" w:hAnsi="Cambria" w:cs="Arial"/>
                <w:b/>
                <w:bCs/>
                <w:color w:val="000000"/>
              </w:rPr>
            </w:pPr>
            <w:r w:rsidRPr="00342E79">
              <w:rPr>
                <w:rFonts w:ascii="Cambria" w:eastAsia="Times New Roman" w:hAnsi="Cambria" w:cs="Arial"/>
                <w:b/>
                <w:bCs/>
                <w:color w:val="000000"/>
              </w:rPr>
              <w:t>459695</w:t>
            </w:r>
          </w:p>
        </w:tc>
        <w:tc>
          <w:tcPr>
            <w:tcW w:w="2398" w:type="dxa"/>
            <w:tcBorders>
              <w:top w:val="nil"/>
              <w:left w:val="nil"/>
              <w:bottom w:val="single" w:sz="4" w:space="0" w:color="auto"/>
              <w:right w:val="single" w:sz="4" w:space="0" w:color="auto"/>
            </w:tcBorders>
            <w:shd w:val="clear" w:color="auto" w:fill="auto"/>
            <w:noWrap/>
            <w:vAlign w:val="bottom"/>
            <w:hideMark/>
          </w:tcPr>
          <w:p w14:paraId="75F2F675" w14:textId="77777777" w:rsidR="00714B37" w:rsidRPr="00342E79" w:rsidRDefault="00714B37" w:rsidP="00D242A9">
            <w:pPr>
              <w:jc w:val="center"/>
              <w:rPr>
                <w:rFonts w:ascii="Cambria" w:eastAsia="Times New Roman" w:hAnsi="Cambria" w:cs="Arial"/>
                <w:b/>
                <w:bCs/>
                <w:color w:val="000000"/>
              </w:rPr>
            </w:pPr>
            <w:r w:rsidRPr="00342E79">
              <w:rPr>
                <w:rFonts w:ascii="Cambria" w:eastAsia="Times New Roman" w:hAnsi="Cambria" w:cs="Arial"/>
                <w:b/>
                <w:bCs/>
                <w:color w:val="000000"/>
              </w:rPr>
              <w:t>100%</w:t>
            </w:r>
          </w:p>
        </w:tc>
      </w:tr>
      <w:tr w:rsidR="00714B37" w:rsidRPr="00342E79" w14:paraId="7C8B09A3" w14:textId="77777777" w:rsidTr="00D242A9">
        <w:trPr>
          <w:trHeight w:val="301"/>
          <w:jc w:val="center"/>
        </w:trPr>
        <w:tc>
          <w:tcPr>
            <w:tcW w:w="791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273E3B" w14:textId="77777777" w:rsidR="00714B37" w:rsidRPr="00342E79" w:rsidRDefault="00714B37" w:rsidP="00D242A9">
            <w:pPr>
              <w:jc w:val="center"/>
              <w:rPr>
                <w:rFonts w:ascii="Cambria" w:eastAsia="Times New Roman" w:hAnsi="Cambria" w:cs="Arial"/>
                <w:color w:val="000000"/>
              </w:rPr>
            </w:pPr>
            <w:r w:rsidRPr="00342E79">
              <w:rPr>
                <w:rFonts w:ascii="Cambria" w:eastAsia="Times New Roman" w:hAnsi="Cambria" w:cs="Arial"/>
                <w:color w:val="000000"/>
              </w:rPr>
              <w:t>Figures from: The Prince's Regeneration Trust (</w:t>
            </w:r>
            <w:proofErr w:type="spellStart"/>
            <w:r w:rsidRPr="00342E79">
              <w:rPr>
                <w:rFonts w:ascii="Cambria" w:eastAsia="Times New Roman" w:hAnsi="Cambria" w:cs="Arial"/>
                <w:color w:val="000000"/>
              </w:rPr>
              <w:t>n.d.</w:t>
            </w:r>
            <w:proofErr w:type="spellEnd"/>
            <w:r w:rsidRPr="00342E79">
              <w:rPr>
                <w:rFonts w:ascii="Cambria" w:eastAsia="Times New Roman" w:hAnsi="Cambria" w:cs="Arial"/>
                <w:color w:val="000000"/>
              </w:rPr>
              <w:t>)</w:t>
            </w:r>
          </w:p>
        </w:tc>
      </w:tr>
    </w:tbl>
    <w:p w14:paraId="7CFDB8DC" w14:textId="77777777" w:rsidR="00714B37" w:rsidRDefault="00714B37" w:rsidP="00714B37">
      <w:pPr>
        <w:jc w:val="center"/>
        <w:rPr>
          <w:rFonts w:ascii="Cambria" w:hAnsi="Cambria" w:cs="Arial"/>
          <w:b/>
          <w:bCs/>
          <w:iCs/>
        </w:rPr>
      </w:pPr>
    </w:p>
    <w:p w14:paraId="36A87420" w14:textId="77777777" w:rsidR="00714B37" w:rsidRPr="00714B37" w:rsidRDefault="00714B37" w:rsidP="00714B37">
      <w:pPr>
        <w:jc w:val="center"/>
        <w:rPr>
          <w:rFonts w:ascii="Cambria" w:hAnsi="Cambria" w:cs="Arial"/>
          <w:b/>
          <w:bCs/>
          <w:iCs/>
        </w:rPr>
      </w:pPr>
    </w:p>
    <w:p w14:paraId="2CA9C7E2" w14:textId="77777777" w:rsidR="00714B37" w:rsidRPr="00714B37" w:rsidRDefault="00714B37" w:rsidP="00714B37">
      <w:pPr>
        <w:pStyle w:val="NoSpacing"/>
        <w:jc w:val="center"/>
        <w:rPr>
          <w:rFonts w:ascii="Cambria" w:hAnsi="Cambria"/>
          <w:sz w:val="24"/>
          <w:szCs w:val="24"/>
        </w:rPr>
      </w:pPr>
      <w:r w:rsidRPr="00714B37">
        <w:rPr>
          <w:rFonts w:ascii="Cambria" w:hAnsi="Cambria"/>
          <w:sz w:val="24"/>
          <w:szCs w:val="24"/>
        </w:rPr>
        <w:t>Table 2: Selection criteria for interviewees.</w:t>
      </w:r>
    </w:p>
    <w:tbl>
      <w:tblPr>
        <w:tblStyle w:val="TableGrid"/>
        <w:tblW w:w="0" w:type="auto"/>
        <w:jc w:val="center"/>
        <w:tblLook w:val="04A0" w:firstRow="1" w:lastRow="0" w:firstColumn="1" w:lastColumn="0" w:noHBand="0" w:noVBand="1"/>
      </w:tblPr>
      <w:tblGrid>
        <w:gridCol w:w="6837"/>
      </w:tblGrid>
      <w:tr w:rsidR="00714B37" w:rsidRPr="00714B37" w14:paraId="4B71F5E5" w14:textId="77777777" w:rsidTr="00D242A9">
        <w:trPr>
          <w:jc w:val="center"/>
        </w:trPr>
        <w:tc>
          <w:tcPr>
            <w:tcW w:w="6837" w:type="dxa"/>
          </w:tcPr>
          <w:p w14:paraId="0865FB9A" w14:textId="77777777" w:rsidR="00714B37" w:rsidRPr="00714B37" w:rsidRDefault="00714B37" w:rsidP="00D242A9">
            <w:pPr>
              <w:jc w:val="center"/>
              <w:rPr>
                <w:rFonts w:ascii="Cambria" w:hAnsi="Cambria" w:cs="Arial"/>
                <w:sz w:val="24"/>
                <w:szCs w:val="24"/>
              </w:rPr>
            </w:pPr>
            <w:r w:rsidRPr="00714B37">
              <w:rPr>
                <w:rFonts w:ascii="Cambria" w:hAnsi="Cambria" w:cs="Arial"/>
                <w:sz w:val="24"/>
                <w:szCs w:val="24"/>
              </w:rPr>
              <w:t>Industry work with listed pre-1919 housing</w:t>
            </w:r>
          </w:p>
        </w:tc>
      </w:tr>
      <w:tr w:rsidR="00714B37" w:rsidRPr="00714B37" w14:paraId="27E3DE70" w14:textId="77777777" w:rsidTr="00D242A9">
        <w:trPr>
          <w:jc w:val="center"/>
        </w:trPr>
        <w:tc>
          <w:tcPr>
            <w:tcW w:w="6837" w:type="dxa"/>
          </w:tcPr>
          <w:p w14:paraId="6DF33FCF" w14:textId="77777777" w:rsidR="00714B37" w:rsidRPr="00714B37" w:rsidRDefault="00714B37" w:rsidP="00D242A9">
            <w:pPr>
              <w:jc w:val="center"/>
              <w:rPr>
                <w:rFonts w:ascii="Cambria" w:hAnsi="Cambria" w:cs="Arial"/>
                <w:sz w:val="24"/>
                <w:szCs w:val="24"/>
              </w:rPr>
            </w:pPr>
            <w:r w:rsidRPr="00714B37">
              <w:rPr>
                <w:rFonts w:ascii="Cambria" w:hAnsi="Cambria" w:cs="Arial"/>
                <w:sz w:val="24"/>
                <w:szCs w:val="24"/>
              </w:rPr>
              <w:t>Reside in listed pre-1919 housing</w:t>
            </w:r>
          </w:p>
        </w:tc>
      </w:tr>
      <w:tr w:rsidR="00714B37" w:rsidRPr="00714B37" w14:paraId="07A3CD08" w14:textId="77777777" w:rsidTr="00D242A9">
        <w:trPr>
          <w:jc w:val="center"/>
        </w:trPr>
        <w:tc>
          <w:tcPr>
            <w:tcW w:w="6837" w:type="dxa"/>
          </w:tcPr>
          <w:p w14:paraId="6BD93A70" w14:textId="77777777" w:rsidR="00714B37" w:rsidRPr="00714B37" w:rsidRDefault="00714B37" w:rsidP="00D242A9">
            <w:pPr>
              <w:jc w:val="center"/>
              <w:rPr>
                <w:rFonts w:ascii="Cambria" w:hAnsi="Cambria" w:cs="Arial"/>
                <w:sz w:val="24"/>
                <w:szCs w:val="24"/>
              </w:rPr>
            </w:pPr>
            <w:r w:rsidRPr="00714B37">
              <w:rPr>
                <w:rFonts w:ascii="Cambria" w:hAnsi="Cambria" w:cs="Arial"/>
                <w:sz w:val="24"/>
                <w:szCs w:val="24"/>
              </w:rPr>
              <w:t>Industry experience in excess of 10 years</w:t>
            </w:r>
          </w:p>
        </w:tc>
      </w:tr>
      <w:tr w:rsidR="00714B37" w:rsidRPr="00714B37" w14:paraId="6154F7DB" w14:textId="77777777" w:rsidTr="00D242A9">
        <w:trPr>
          <w:jc w:val="center"/>
        </w:trPr>
        <w:tc>
          <w:tcPr>
            <w:tcW w:w="6837" w:type="dxa"/>
          </w:tcPr>
          <w:p w14:paraId="31FD6694" w14:textId="77777777" w:rsidR="00714B37" w:rsidRPr="00714B37" w:rsidRDefault="00714B37" w:rsidP="00D242A9">
            <w:pPr>
              <w:jc w:val="center"/>
              <w:rPr>
                <w:rFonts w:ascii="Cambria" w:hAnsi="Cambria" w:cs="Arial"/>
                <w:sz w:val="24"/>
                <w:szCs w:val="24"/>
              </w:rPr>
            </w:pPr>
            <w:r w:rsidRPr="00714B37">
              <w:rPr>
                <w:rFonts w:ascii="Cambria" w:hAnsi="Cambria" w:cs="Arial"/>
                <w:sz w:val="24"/>
                <w:szCs w:val="24"/>
              </w:rPr>
              <w:t>Experience of installing energy efficiency measures</w:t>
            </w:r>
          </w:p>
        </w:tc>
      </w:tr>
      <w:tr w:rsidR="00714B37" w:rsidRPr="00714B37" w14:paraId="3508BBFB" w14:textId="77777777" w:rsidTr="00D242A9">
        <w:trPr>
          <w:jc w:val="center"/>
        </w:trPr>
        <w:tc>
          <w:tcPr>
            <w:tcW w:w="6837" w:type="dxa"/>
          </w:tcPr>
          <w:p w14:paraId="13B58053" w14:textId="77777777" w:rsidR="00714B37" w:rsidRPr="00714B37" w:rsidRDefault="00714B37" w:rsidP="00D242A9">
            <w:pPr>
              <w:jc w:val="center"/>
              <w:rPr>
                <w:rFonts w:ascii="Cambria" w:hAnsi="Cambria" w:cs="Arial"/>
                <w:sz w:val="24"/>
                <w:szCs w:val="24"/>
              </w:rPr>
            </w:pPr>
            <w:r w:rsidRPr="00714B37">
              <w:rPr>
                <w:rFonts w:ascii="Cambria" w:hAnsi="Cambria" w:cs="Arial"/>
                <w:sz w:val="24"/>
                <w:szCs w:val="24"/>
              </w:rPr>
              <w:t>Based in UK/Italy</w:t>
            </w:r>
          </w:p>
        </w:tc>
      </w:tr>
    </w:tbl>
    <w:p w14:paraId="2B205F21" w14:textId="77777777" w:rsidR="00714B37" w:rsidRPr="00714B37" w:rsidRDefault="00714B37" w:rsidP="00714B37">
      <w:pPr>
        <w:rPr>
          <w:rFonts w:ascii="Cambria" w:hAnsi="Cambria" w:cs="Arial"/>
        </w:rPr>
      </w:pPr>
    </w:p>
    <w:p w14:paraId="777BD2E7" w14:textId="77777777" w:rsidR="00714B37" w:rsidRPr="00342E79" w:rsidRDefault="00714B37" w:rsidP="00714B37">
      <w:pPr>
        <w:rPr>
          <w:rFonts w:ascii="Cambria" w:hAnsi="Cambria" w:cs="Arial"/>
        </w:rPr>
      </w:pPr>
    </w:p>
    <w:p w14:paraId="13EE51C1" w14:textId="77777777" w:rsidR="00714B37" w:rsidRPr="00342E79" w:rsidRDefault="00714B37" w:rsidP="00714B37">
      <w:pPr>
        <w:pStyle w:val="NoSpacing"/>
        <w:jc w:val="center"/>
        <w:rPr>
          <w:rFonts w:ascii="Cambria" w:hAnsi="Cambria"/>
          <w:sz w:val="24"/>
          <w:szCs w:val="24"/>
        </w:rPr>
      </w:pPr>
      <w:r w:rsidRPr="00342E79">
        <w:rPr>
          <w:rFonts w:ascii="Cambria" w:hAnsi="Cambria"/>
          <w:sz w:val="24"/>
          <w:szCs w:val="24"/>
        </w:rPr>
        <w:t>Table 3: Participants’ profiles.</w:t>
      </w:r>
    </w:p>
    <w:tbl>
      <w:tblPr>
        <w:tblStyle w:val="TableGrid"/>
        <w:tblW w:w="0" w:type="auto"/>
        <w:jc w:val="center"/>
        <w:tblLook w:val="04A0" w:firstRow="1" w:lastRow="0" w:firstColumn="1" w:lastColumn="0" w:noHBand="0" w:noVBand="1"/>
      </w:tblPr>
      <w:tblGrid>
        <w:gridCol w:w="1603"/>
        <w:gridCol w:w="2302"/>
        <w:gridCol w:w="2588"/>
        <w:gridCol w:w="2023"/>
      </w:tblGrid>
      <w:tr w:rsidR="00714B37" w:rsidRPr="00342E79" w14:paraId="428AD09F" w14:textId="77777777" w:rsidTr="00D242A9">
        <w:trPr>
          <w:trHeight w:val="235"/>
          <w:jc w:val="center"/>
        </w:trPr>
        <w:tc>
          <w:tcPr>
            <w:tcW w:w="1823" w:type="dxa"/>
            <w:vAlign w:val="center"/>
          </w:tcPr>
          <w:p w14:paraId="38C307A5" w14:textId="77777777" w:rsidR="00714B37" w:rsidRPr="00342E79" w:rsidRDefault="00714B37" w:rsidP="00D242A9">
            <w:pPr>
              <w:pStyle w:val="NoSpacing"/>
              <w:jc w:val="center"/>
              <w:rPr>
                <w:rFonts w:ascii="Cambria" w:hAnsi="Cambria"/>
                <w:b/>
                <w:sz w:val="24"/>
                <w:szCs w:val="24"/>
              </w:rPr>
            </w:pPr>
            <w:r w:rsidRPr="00342E79">
              <w:rPr>
                <w:rFonts w:ascii="Cambria" w:hAnsi="Cambria"/>
                <w:b/>
                <w:sz w:val="24"/>
                <w:szCs w:val="24"/>
              </w:rPr>
              <w:t>Code name</w:t>
            </w:r>
          </w:p>
        </w:tc>
        <w:tc>
          <w:tcPr>
            <w:tcW w:w="2646" w:type="dxa"/>
            <w:vAlign w:val="center"/>
          </w:tcPr>
          <w:p w14:paraId="2D091710" w14:textId="77777777" w:rsidR="00714B37" w:rsidRPr="00342E79" w:rsidRDefault="00714B37" w:rsidP="00D242A9">
            <w:pPr>
              <w:pStyle w:val="NoSpacing"/>
              <w:jc w:val="center"/>
              <w:rPr>
                <w:rFonts w:ascii="Cambria" w:hAnsi="Cambria"/>
                <w:b/>
                <w:sz w:val="24"/>
                <w:szCs w:val="24"/>
              </w:rPr>
            </w:pPr>
            <w:r w:rsidRPr="00342E79">
              <w:rPr>
                <w:rFonts w:ascii="Cambria" w:hAnsi="Cambria"/>
                <w:b/>
                <w:sz w:val="24"/>
                <w:szCs w:val="24"/>
              </w:rPr>
              <w:t>Country of residence</w:t>
            </w:r>
          </w:p>
        </w:tc>
        <w:tc>
          <w:tcPr>
            <w:tcW w:w="2927" w:type="dxa"/>
            <w:vAlign w:val="center"/>
          </w:tcPr>
          <w:p w14:paraId="50C69DA6" w14:textId="77777777" w:rsidR="00714B37" w:rsidRPr="00342E79" w:rsidRDefault="00714B37" w:rsidP="00D242A9">
            <w:pPr>
              <w:pStyle w:val="NoSpacing"/>
              <w:jc w:val="center"/>
              <w:rPr>
                <w:rFonts w:ascii="Cambria" w:hAnsi="Cambria"/>
                <w:b/>
                <w:sz w:val="24"/>
                <w:szCs w:val="24"/>
              </w:rPr>
            </w:pPr>
            <w:r w:rsidRPr="00342E79">
              <w:rPr>
                <w:rFonts w:ascii="Cambria" w:hAnsi="Cambria"/>
                <w:b/>
                <w:sz w:val="24"/>
                <w:szCs w:val="24"/>
              </w:rPr>
              <w:t>Professional role</w:t>
            </w:r>
          </w:p>
        </w:tc>
        <w:tc>
          <w:tcPr>
            <w:tcW w:w="2222" w:type="dxa"/>
            <w:vAlign w:val="center"/>
          </w:tcPr>
          <w:p w14:paraId="6E9AC52A" w14:textId="77777777" w:rsidR="00714B37" w:rsidRPr="00342E79" w:rsidRDefault="00714B37" w:rsidP="00D242A9">
            <w:pPr>
              <w:pStyle w:val="NoSpacing"/>
              <w:jc w:val="center"/>
              <w:rPr>
                <w:rFonts w:ascii="Cambria" w:hAnsi="Cambria"/>
                <w:b/>
                <w:sz w:val="24"/>
                <w:szCs w:val="24"/>
              </w:rPr>
            </w:pPr>
            <w:r w:rsidRPr="00342E79">
              <w:rPr>
                <w:rFonts w:ascii="Cambria" w:hAnsi="Cambria"/>
                <w:b/>
                <w:sz w:val="24"/>
                <w:szCs w:val="24"/>
              </w:rPr>
              <w:t>Years of experience</w:t>
            </w:r>
          </w:p>
        </w:tc>
      </w:tr>
      <w:tr w:rsidR="00714B37" w:rsidRPr="00342E79" w14:paraId="17884267" w14:textId="77777777" w:rsidTr="00D242A9">
        <w:trPr>
          <w:trHeight w:val="235"/>
          <w:jc w:val="center"/>
        </w:trPr>
        <w:tc>
          <w:tcPr>
            <w:tcW w:w="1823" w:type="dxa"/>
            <w:vAlign w:val="center"/>
          </w:tcPr>
          <w:p w14:paraId="6272410C"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CAIT</w:t>
            </w:r>
          </w:p>
        </w:tc>
        <w:tc>
          <w:tcPr>
            <w:tcW w:w="2646" w:type="dxa"/>
            <w:vAlign w:val="center"/>
          </w:tcPr>
          <w:p w14:paraId="543648AB"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Italy</w:t>
            </w:r>
          </w:p>
        </w:tc>
        <w:tc>
          <w:tcPr>
            <w:tcW w:w="2927" w:type="dxa"/>
            <w:vAlign w:val="center"/>
          </w:tcPr>
          <w:p w14:paraId="418EA3C2"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Conservation Architect</w:t>
            </w:r>
          </w:p>
        </w:tc>
        <w:tc>
          <w:tcPr>
            <w:tcW w:w="2222" w:type="dxa"/>
            <w:vAlign w:val="center"/>
          </w:tcPr>
          <w:p w14:paraId="182D28F0"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20</w:t>
            </w:r>
          </w:p>
        </w:tc>
      </w:tr>
      <w:tr w:rsidR="00714B37" w:rsidRPr="00342E79" w14:paraId="291C567C" w14:textId="77777777" w:rsidTr="00D242A9">
        <w:trPr>
          <w:trHeight w:val="235"/>
          <w:jc w:val="center"/>
        </w:trPr>
        <w:tc>
          <w:tcPr>
            <w:tcW w:w="1823" w:type="dxa"/>
            <w:vAlign w:val="center"/>
          </w:tcPr>
          <w:p w14:paraId="61681A45"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CEIT</w:t>
            </w:r>
          </w:p>
        </w:tc>
        <w:tc>
          <w:tcPr>
            <w:tcW w:w="2646" w:type="dxa"/>
            <w:vAlign w:val="center"/>
          </w:tcPr>
          <w:p w14:paraId="71C4B363"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Italy</w:t>
            </w:r>
          </w:p>
        </w:tc>
        <w:tc>
          <w:tcPr>
            <w:tcW w:w="2927" w:type="dxa"/>
            <w:vAlign w:val="center"/>
          </w:tcPr>
          <w:p w14:paraId="2222D381"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Civil Engineer</w:t>
            </w:r>
          </w:p>
        </w:tc>
        <w:tc>
          <w:tcPr>
            <w:tcW w:w="2222" w:type="dxa"/>
            <w:vAlign w:val="center"/>
          </w:tcPr>
          <w:p w14:paraId="2D18BD21"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15</w:t>
            </w:r>
          </w:p>
        </w:tc>
      </w:tr>
      <w:tr w:rsidR="00714B37" w:rsidRPr="00342E79" w14:paraId="04D2D409" w14:textId="77777777" w:rsidTr="00D242A9">
        <w:trPr>
          <w:trHeight w:val="235"/>
          <w:jc w:val="center"/>
        </w:trPr>
        <w:tc>
          <w:tcPr>
            <w:tcW w:w="1823" w:type="dxa"/>
            <w:vAlign w:val="center"/>
          </w:tcPr>
          <w:p w14:paraId="3F2E8F11"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PIT</w:t>
            </w:r>
          </w:p>
        </w:tc>
        <w:tc>
          <w:tcPr>
            <w:tcW w:w="2646" w:type="dxa"/>
            <w:vAlign w:val="center"/>
          </w:tcPr>
          <w:p w14:paraId="7833459B"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Italy</w:t>
            </w:r>
          </w:p>
        </w:tc>
        <w:tc>
          <w:tcPr>
            <w:tcW w:w="2927" w:type="dxa"/>
            <w:vAlign w:val="center"/>
          </w:tcPr>
          <w:p w14:paraId="6202419E"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Academic</w:t>
            </w:r>
          </w:p>
        </w:tc>
        <w:tc>
          <w:tcPr>
            <w:tcW w:w="2222" w:type="dxa"/>
            <w:vAlign w:val="center"/>
          </w:tcPr>
          <w:p w14:paraId="0B9C4369"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25</w:t>
            </w:r>
          </w:p>
        </w:tc>
      </w:tr>
      <w:tr w:rsidR="00714B37" w:rsidRPr="00342E79" w14:paraId="1CED6276" w14:textId="77777777" w:rsidTr="00D242A9">
        <w:trPr>
          <w:trHeight w:val="235"/>
          <w:jc w:val="center"/>
        </w:trPr>
        <w:tc>
          <w:tcPr>
            <w:tcW w:w="1823" w:type="dxa"/>
            <w:vAlign w:val="center"/>
          </w:tcPr>
          <w:p w14:paraId="271D1C49"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LAIT</w:t>
            </w:r>
          </w:p>
        </w:tc>
        <w:tc>
          <w:tcPr>
            <w:tcW w:w="2646" w:type="dxa"/>
            <w:vAlign w:val="center"/>
          </w:tcPr>
          <w:p w14:paraId="22D2ED25"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Italy</w:t>
            </w:r>
          </w:p>
        </w:tc>
        <w:tc>
          <w:tcPr>
            <w:tcW w:w="2927" w:type="dxa"/>
            <w:vAlign w:val="center"/>
          </w:tcPr>
          <w:p w14:paraId="10E06901"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Landscape Architect</w:t>
            </w:r>
          </w:p>
        </w:tc>
        <w:tc>
          <w:tcPr>
            <w:tcW w:w="2222" w:type="dxa"/>
            <w:vAlign w:val="center"/>
          </w:tcPr>
          <w:p w14:paraId="0C29068F"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20</w:t>
            </w:r>
          </w:p>
        </w:tc>
      </w:tr>
      <w:tr w:rsidR="00714B37" w:rsidRPr="00342E79" w14:paraId="69EEEB26" w14:textId="77777777" w:rsidTr="00D242A9">
        <w:trPr>
          <w:trHeight w:val="220"/>
          <w:jc w:val="center"/>
        </w:trPr>
        <w:tc>
          <w:tcPr>
            <w:tcW w:w="1823" w:type="dxa"/>
            <w:vAlign w:val="center"/>
          </w:tcPr>
          <w:p w14:paraId="59E6F96B"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PUK</w:t>
            </w:r>
          </w:p>
        </w:tc>
        <w:tc>
          <w:tcPr>
            <w:tcW w:w="2646" w:type="dxa"/>
            <w:vAlign w:val="center"/>
          </w:tcPr>
          <w:p w14:paraId="0CFB72B0"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UK</w:t>
            </w:r>
          </w:p>
        </w:tc>
        <w:tc>
          <w:tcPr>
            <w:tcW w:w="2927" w:type="dxa"/>
            <w:vAlign w:val="center"/>
          </w:tcPr>
          <w:p w14:paraId="256B843C"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Academic</w:t>
            </w:r>
          </w:p>
        </w:tc>
        <w:tc>
          <w:tcPr>
            <w:tcW w:w="2222" w:type="dxa"/>
            <w:vAlign w:val="center"/>
          </w:tcPr>
          <w:p w14:paraId="28BCB16A"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25</w:t>
            </w:r>
          </w:p>
        </w:tc>
      </w:tr>
      <w:tr w:rsidR="00714B37" w:rsidRPr="00342E79" w14:paraId="7507A51A" w14:textId="77777777" w:rsidTr="00D242A9">
        <w:trPr>
          <w:trHeight w:val="235"/>
          <w:jc w:val="center"/>
        </w:trPr>
        <w:tc>
          <w:tcPr>
            <w:tcW w:w="1823" w:type="dxa"/>
            <w:vAlign w:val="center"/>
          </w:tcPr>
          <w:p w14:paraId="0DC00120"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HRSUK</w:t>
            </w:r>
          </w:p>
        </w:tc>
        <w:tc>
          <w:tcPr>
            <w:tcW w:w="2646" w:type="dxa"/>
            <w:vAlign w:val="center"/>
          </w:tcPr>
          <w:p w14:paraId="19F7E6D1"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UK</w:t>
            </w:r>
          </w:p>
        </w:tc>
        <w:tc>
          <w:tcPr>
            <w:tcW w:w="2927" w:type="dxa"/>
            <w:vAlign w:val="center"/>
          </w:tcPr>
          <w:p w14:paraId="565EB09F"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Heritage at Risk Surveyor</w:t>
            </w:r>
          </w:p>
        </w:tc>
        <w:tc>
          <w:tcPr>
            <w:tcW w:w="2222" w:type="dxa"/>
            <w:vAlign w:val="center"/>
          </w:tcPr>
          <w:p w14:paraId="09AAB5A8"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15</w:t>
            </w:r>
          </w:p>
        </w:tc>
      </w:tr>
      <w:tr w:rsidR="00714B37" w:rsidRPr="00342E79" w14:paraId="32291E46" w14:textId="77777777" w:rsidTr="00D242A9">
        <w:trPr>
          <w:trHeight w:val="235"/>
          <w:jc w:val="center"/>
        </w:trPr>
        <w:tc>
          <w:tcPr>
            <w:tcW w:w="1823" w:type="dxa"/>
            <w:vAlign w:val="center"/>
          </w:tcPr>
          <w:p w14:paraId="4155C3B1"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SEUK</w:t>
            </w:r>
          </w:p>
        </w:tc>
        <w:tc>
          <w:tcPr>
            <w:tcW w:w="2646" w:type="dxa"/>
            <w:vAlign w:val="center"/>
          </w:tcPr>
          <w:p w14:paraId="124130D9"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UK</w:t>
            </w:r>
          </w:p>
        </w:tc>
        <w:tc>
          <w:tcPr>
            <w:tcW w:w="2927" w:type="dxa"/>
            <w:vAlign w:val="center"/>
          </w:tcPr>
          <w:p w14:paraId="69FBBC9C"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Structural Engineer</w:t>
            </w:r>
          </w:p>
        </w:tc>
        <w:tc>
          <w:tcPr>
            <w:tcW w:w="2222" w:type="dxa"/>
            <w:vAlign w:val="center"/>
          </w:tcPr>
          <w:p w14:paraId="797FAD52" w14:textId="77777777" w:rsidR="00714B37" w:rsidRPr="00342E79" w:rsidRDefault="00714B37" w:rsidP="00D242A9">
            <w:pPr>
              <w:pStyle w:val="NoSpacing"/>
              <w:jc w:val="center"/>
              <w:rPr>
                <w:rFonts w:ascii="Cambria" w:hAnsi="Cambria"/>
                <w:sz w:val="24"/>
                <w:szCs w:val="24"/>
              </w:rPr>
            </w:pPr>
            <w:r w:rsidRPr="00342E79">
              <w:rPr>
                <w:rFonts w:ascii="Cambria" w:hAnsi="Cambria"/>
                <w:sz w:val="24"/>
                <w:szCs w:val="24"/>
              </w:rPr>
              <w:t>17</w:t>
            </w:r>
          </w:p>
        </w:tc>
      </w:tr>
    </w:tbl>
    <w:p w14:paraId="6E7B2417" w14:textId="77777777" w:rsidR="00714B37" w:rsidRDefault="00714B37" w:rsidP="00714B37">
      <w:pPr>
        <w:rPr>
          <w:rFonts w:ascii="Cambria" w:hAnsi="Cambria" w:cs="Arial"/>
        </w:rPr>
      </w:pPr>
    </w:p>
    <w:p w14:paraId="6456DB9B" w14:textId="77777777" w:rsidR="00714B37" w:rsidRDefault="00714B37" w:rsidP="00714B37">
      <w:pPr>
        <w:rPr>
          <w:rFonts w:ascii="Cambria" w:hAnsi="Cambria" w:cs="Arial"/>
        </w:rPr>
      </w:pPr>
    </w:p>
    <w:p w14:paraId="7333B487" w14:textId="77777777" w:rsidR="00714B37" w:rsidRDefault="00714B37" w:rsidP="00714B37">
      <w:pPr>
        <w:rPr>
          <w:rFonts w:ascii="Cambria" w:hAnsi="Cambria" w:cs="Arial"/>
        </w:rPr>
      </w:pPr>
    </w:p>
    <w:p w14:paraId="21A19C7A" w14:textId="77777777" w:rsidR="00714B37" w:rsidRDefault="00714B37" w:rsidP="00714B37">
      <w:pPr>
        <w:rPr>
          <w:rFonts w:ascii="Cambria" w:hAnsi="Cambria" w:cs="Arial"/>
        </w:rPr>
      </w:pPr>
    </w:p>
    <w:p w14:paraId="4FFCAA7E" w14:textId="77777777" w:rsidR="00714B37" w:rsidRDefault="00714B37" w:rsidP="00714B37">
      <w:pPr>
        <w:rPr>
          <w:rFonts w:ascii="Cambria" w:hAnsi="Cambria" w:cs="Arial"/>
        </w:rPr>
      </w:pPr>
    </w:p>
    <w:p w14:paraId="2B258A21" w14:textId="77777777" w:rsidR="00714B37" w:rsidRDefault="00714B37" w:rsidP="00714B37">
      <w:pPr>
        <w:rPr>
          <w:rFonts w:ascii="Cambria" w:hAnsi="Cambria" w:cs="Arial"/>
        </w:rPr>
      </w:pPr>
    </w:p>
    <w:p w14:paraId="5A30CC1C" w14:textId="77777777" w:rsidR="00714B37" w:rsidRDefault="00714B37" w:rsidP="00714B37">
      <w:pPr>
        <w:rPr>
          <w:rFonts w:ascii="Cambria" w:hAnsi="Cambria" w:cs="Arial"/>
        </w:rPr>
      </w:pPr>
    </w:p>
    <w:p w14:paraId="1D1329E3" w14:textId="77777777" w:rsidR="00714B37" w:rsidRDefault="00714B37" w:rsidP="00714B37">
      <w:pPr>
        <w:rPr>
          <w:rFonts w:ascii="Cambria" w:hAnsi="Cambria" w:cs="Arial"/>
        </w:rPr>
      </w:pPr>
    </w:p>
    <w:p w14:paraId="033AA988" w14:textId="77777777" w:rsidR="00714B37" w:rsidRDefault="00714B37" w:rsidP="00714B37">
      <w:pPr>
        <w:rPr>
          <w:rFonts w:ascii="Cambria" w:hAnsi="Cambria" w:cs="Arial"/>
        </w:rPr>
      </w:pPr>
    </w:p>
    <w:p w14:paraId="7C86857E" w14:textId="77777777" w:rsidR="00714B37" w:rsidRDefault="00714B37" w:rsidP="00714B37">
      <w:pPr>
        <w:rPr>
          <w:rFonts w:ascii="Cambria" w:hAnsi="Cambria" w:cs="Arial"/>
        </w:rPr>
      </w:pPr>
    </w:p>
    <w:p w14:paraId="4FBC30BB" w14:textId="77777777" w:rsidR="00714B37" w:rsidRDefault="00714B37" w:rsidP="00714B37">
      <w:pPr>
        <w:rPr>
          <w:rFonts w:ascii="Cambria" w:hAnsi="Cambria" w:cs="Arial"/>
        </w:rPr>
      </w:pPr>
    </w:p>
    <w:p w14:paraId="01A64D61" w14:textId="77777777" w:rsidR="00714B37" w:rsidRDefault="00714B37" w:rsidP="00714B37">
      <w:pPr>
        <w:rPr>
          <w:rFonts w:ascii="Cambria" w:hAnsi="Cambria" w:cs="Arial"/>
        </w:rPr>
      </w:pPr>
    </w:p>
    <w:p w14:paraId="63F334BD" w14:textId="77777777" w:rsidR="00714B37" w:rsidRDefault="00714B37" w:rsidP="00714B37">
      <w:pPr>
        <w:rPr>
          <w:rFonts w:ascii="Cambria" w:hAnsi="Cambria" w:cs="Arial"/>
        </w:rPr>
      </w:pPr>
    </w:p>
    <w:p w14:paraId="043B20D7" w14:textId="77777777" w:rsidR="00714B37" w:rsidRDefault="00714B37" w:rsidP="00714B37">
      <w:pPr>
        <w:rPr>
          <w:rFonts w:ascii="Cambria" w:hAnsi="Cambria" w:cs="Arial"/>
        </w:rPr>
      </w:pPr>
    </w:p>
    <w:p w14:paraId="6B677F71" w14:textId="77777777" w:rsidR="00714B37" w:rsidRDefault="00714B37" w:rsidP="00714B37">
      <w:pPr>
        <w:rPr>
          <w:rFonts w:ascii="Cambria" w:hAnsi="Cambria" w:cs="Arial"/>
        </w:rPr>
      </w:pPr>
    </w:p>
    <w:p w14:paraId="7C90F9C0" w14:textId="77777777" w:rsidR="00714B37" w:rsidRDefault="00714B37" w:rsidP="00714B37">
      <w:pPr>
        <w:rPr>
          <w:rFonts w:ascii="Cambria" w:hAnsi="Cambria" w:cs="Arial"/>
        </w:rPr>
      </w:pPr>
    </w:p>
    <w:p w14:paraId="60CA2393" w14:textId="77777777" w:rsidR="00714B37" w:rsidRDefault="00714B37" w:rsidP="00714B37">
      <w:pPr>
        <w:rPr>
          <w:rFonts w:ascii="Cambria" w:hAnsi="Cambria" w:cs="Arial"/>
        </w:rPr>
      </w:pPr>
    </w:p>
    <w:p w14:paraId="45C39CBD" w14:textId="77777777" w:rsidR="00714B37" w:rsidRDefault="00714B37" w:rsidP="00714B37">
      <w:pPr>
        <w:rPr>
          <w:rFonts w:ascii="Cambria" w:hAnsi="Cambria" w:cs="Arial"/>
        </w:rPr>
      </w:pPr>
    </w:p>
    <w:p w14:paraId="05247D32" w14:textId="77777777" w:rsidR="00714B37" w:rsidRPr="00235610" w:rsidRDefault="00714B37" w:rsidP="00714B37">
      <w:pPr>
        <w:pStyle w:val="NoSpacing"/>
        <w:jc w:val="center"/>
        <w:rPr>
          <w:rFonts w:ascii="Cambria" w:hAnsi="Cambria"/>
          <w:sz w:val="24"/>
          <w:szCs w:val="24"/>
        </w:rPr>
      </w:pPr>
      <w:r w:rsidRPr="00235610">
        <w:rPr>
          <w:rFonts w:ascii="Cambria" w:hAnsi="Cambria"/>
          <w:sz w:val="24"/>
          <w:szCs w:val="24"/>
        </w:rPr>
        <w:t>Table 4: Factors for improving the sustainability of listed pre-1919 housing in the UK and Italy.</w:t>
      </w:r>
    </w:p>
    <w:tbl>
      <w:tblPr>
        <w:tblStyle w:val="TableGrid"/>
        <w:tblW w:w="0" w:type="auto"/>
        <w:jc w:val="center"/>
        <w:tblLook w:val="04A0" w:firstRow="1" w:lastRow="0" w:firstColumn="1" w:lastColumn="0" w:noHBand="0" w:noVBand="1"/>
      </w:tblPr>
      <w:tblGrid>
        <w:gridCol w:w="1764"/>
        <w:gridCol w:w="1889"/>
        <w:gridCol w:w="1766"/>
        <w:gridCol w:w="1510"/>
        <w:gridCol w:w="1587"/>
      </w:tblGrid>
      <w:tr w:rsidR="00714B37" w:rsidRPr="00342E79" w14:paraId="2DAE0EB8" w14:textId="77777777" w:rsidTr="00D242A9">
        <w:trPr>
          <w:trHeight w:val="235"/>
          <w:jc w:val="center"/>
        </w:trPr>
        <w:tc>
          <w:tcPr>
            <w:tcW w:w="0" w:type="auto"/>
            <w:vAlign w:val="center"/>
          </w:tcPr>
          <w:p w14:paraId="63E39DEF" w14:textId="77777777" w:rsidR="00714B37" w:rsidRPr="00342E79" w:rsidRDefault="00714B37" w:rsidP="00D242A9">
            <w:pPr>
              <w:pStyle w:val="NoSpacing"/>
              <w:jc w:val="center"/>
              <w:rPr>
                <w:rFonts w:ascii="Cambria" w:hAnsi="Cambria"/>
                <w:b/>
                <w:sz w:val="24"/>
                <w:szCs w:val="24"/>
              </w:rPr>
            </w:pPr>
            <w:r>
              <w:rPr>
                <w:rFonts w:ascii="Cambria" w:hAnsi="Cambria"/>
                <w:b/>
                <w:sz w:val="24"/>
                <w:szCs w:val="24"/>
              </w:rPr>
              <w:t>EU and International targets</w:t>
            </w:r>
          </w:p>
        </w:tc>
        <w:tc>
          <w:tcPr>
            <w:tcW w:w="0" w:type="auto"/>
            <w:vAlign w:val="center"/>
          </w:tcPr>
          <w:p w14:paraId="2E2ED190" w14:textId="77777777" w:rsidR="00714B37" w:rsidRPr="00342E79" w:rsidRDefault="00714B37" w:rsidP="00D242A9">
            <w:pPr>
              <w:pStyle w:val="NoSpacing"/>
              <w:jc w:val="center"/>
              <w:rPr>
                <w:rFonts w:ascii="Cambria" w:hAnsi="Cambria"/>
                <w:b/>
                <w:sz w:val="24"/>
                <w:szCs w:val="24"/>
              </w:rPr>
            </w:pPr>
            <w:r>
              <w:rPr>
                <w:rFonts w:ascii="Cambria" w:hAnsi="Cambria"/>
                <w:b/>
                <w:sz w:val="24"/>
                <w:szCs w:val="24"/>
              </w:rPr>
              <w:t>Sustainability</w:t>
            </w:r>
          </w:p>
        </w:tc>
        <w:tc>
          <w:tcPr>
            <w:tcW w:w="0" w:type="auto"/>
            <w:vAlign w:val="center"/>
          </w:tcPr>
          <w:p w14:paraId="552A3ED4" w14:textId="77777777" w:rsidR="00714B37" w:rsidRPr="00342E79" w:rsidRDefault="00714B37" w:rsidP="00D242A9">
            <w:pPr>
              <w:pStyle w:val="NoSpacing"/>
              <w:jc w:val="center"/>
              <w:rPr>
                <w:rFonts w:ascii="Cambria" w:hAnsi="Cambria"/>
                <w:b/>
                <w:sz w:val="24"/>
                <w:szCs w:val="24"/>
              </w:rPr>
            </w:pPr>
            <w:r>
              <w:rPr>
                <w:rFonts w:ascii="Cambria" w:hAnsi="Cambria"/>
                <w:b/>
                <w:sz w:val="24"/>
                <w:szCs w:val="24"/>
              </w:rPr>
              <w:t>Conservation Principles</w:t>
            </w:r>
          </w:p>
        </w:tc>
        <w:tc>
          <w:tcPr>
            <w:tcW w:w="0" w:type="auto"/>
            <w:tcBorders>
              <w:bottom w:val="single" w:sz="18" w:space="0" w:color="auto"/>
            </w:tcBorders>
            <w:vAlign w:val="center"/>
          </w:tcPr>
          <w:p w14:paraId="50B929B9" w14:textId="77777777" w:rsidR="00714B37" w:rsidRPr="00342E79" w:rsidRDefault="00714B37" w:rsidP="00D242A9">
            <w:pPr>
              <w:pStyle w:val="NoSpacing"/>
              <w:jc w:val="center"/>
              <w:rPr>
                <w:rFonts w:ascii="Cambria" w:hAnsi="Cambria"/>
                <w:b/>
                <w:sz w:val="24"/>
                <w:szCs w:val="24"/>
              </w:rPr>
            </w:pPr>
            <w:r>
              <w:rPr>
                <w:rFonts w:ascii="Cambria" w:hAnsi="Cambria"/>
                <w:b/>
                <w:sz w:val="24"/>
                <w:szCs w:val="24"/>
              </w:rPr>
              <w:t>Social</w:t>
            </w:r>
          </w:p>
        </w:tc>
        <w:tc>
          <w:tcPr>
            <w:tcW w:w="0" w:type="auto"/>
            <w:tcBorders>
              <w:bottom w:val="single" w:sz="18" w:space="0" w:color="auto"/>
            </w:tcBorders>
            <w:vAlign w:val="center"/>
          </w:tcPr>
          <w:p w14:paraId="6A828ED2" w14:textId="77777777" w:rsidR="00714B37" w:rsidRPr="00342E79" w:rsidRDefault="00714B37" w:rsidP="00D242A9">
            <w:pPr>
              <w:pStyle w:val="NoSpacing"/>
              <w:jc w:val="center"/>
              <w:rPr>
                <w:rFonts w:ascii="Cambria" w:hAnsi="Cambria"/>
                <w:b/>
                <w:sz w:val="24"/>
                <w:szCs w:val="24"/>
              </w:rPr>
            </w:pPr>
            <w:r>
              <w:rPr>
                <w:rFonts w:ascii="Cambria" w:hAnsi="Cambria"/>
                <w:b/>
                <w:sz w:val="24"/>
                <w:szCs w:val="24"/>
              </w:rPr>
              <w:t>Industry</w:t>
            </w:r>
          </w:p>
        </w:tc>
      </w:tr>
      <w:tr w:rsidR="00714B37" w:rsidRPr="00342E79" w14:paraId="6E4D1303" w14:textId="77777777" w:rsidTr="00D242A9">
        <w:trPr>
          <w:trHeight w:val="235"/>
          <w:jc w:val="center"/>
        </w:trPr>
        <w:tc>
          <w:tcPr>
            <w:tcW w:w="0" w:type="auto"/>
            <w:vAlign w:val="center"/>
          </w:tcPr>
          <w:p w14:paraId="09776910" w14:textId="77777777" w:rsidR="00714B37" w:rsidRPr="00235610" w:rsidRDefault="00714B37" w:rsidP="00D242A9">
            <w:pPr>
              <w:pStyle w:val="NoSpacing"/>
              <w:jc w:val="center"/>
              <w:rPr>
                <w:rFonts w:ascii="Cambria" w:hAnsi="Cambria"/>
                <w:sz w:val="24"/>
                <w:szCs w:val="24"/>
              </w:rPr>
            </w:pPr>
            <w:r w:rsidRPr="00235610">
              <w:rPr>
                <w:rFonts w:ascii="Cambria" w:hAnsi="Cambria"/>
                <w:sz w:val="24"/>
                <w:szCs w:val="24"/>
              </w:rPr>
              <w:t>Carbon reduction targets</w:t>
            </w:r>
          </w:p>
        </w:tc>
        <w:tc>
          <w:tcPr>
            <w:tcW w:w="0" w:type="auto"/>
            <w:tcBorders>
              <w:bottom w:val="single" w:sz="18" w:space="0" w:color="auto"/>
            </w:tcBorders>
            <w:vAlign w:val="center"/>
          </w:tcPr>
          <w:p w14:paraId="4506317A" w14:textId="77777777" w:rsidR="00714B37" w:rsidRDefault="00714B37" w:rsidP="00D242A9">
            <w:pPr>
              <w:pStyle w:val="NoSpacing"/>
              <w:jc w:val="center"/>
              <w:rPr>
                <w:rFonts w:ascii="Cambria" w:hAnsi="Cambria"/>
                <w:sz w:val="24"/>
                <w:szCs w:val="24"/>
              </w:rPr>
            </w:pPr>
            <w:r>
              <w:rPr>
                <w:rFonts w:ascii="Cambria" w:hAnsi="Cambria"/>
                <w:sz w:val="24"/>
                <w:szCs w:val="24"/>
              </w:rPr>
              <w:t>Narrow and wide definitions</w:t>
            </w:r>
          </w:p>
        </w:tc>
        <w:tc>
          <w:tcPr>
            <w:tcW w:w="0" w:type="auto"/>
            <w:tcBorders>
              <w:bottom w:val="single" w:sz="18" w:space="0" w:color="auto"/>
              <w:right w:val="single" w:sz="18" w:space="0" w:color="auto"/>
            </w:tcBorders>
            <w:vAlign w:val="center"/>
          </w:tcPr>
          <w:p w14:paraId="19A4E4AC" w14:textId="77777777" w:rsidR="00714B37" w:rsidRDefault="00714B37" w:rsidP="00D242A9">
            <w:pPr>
              <w:pStyle w:val="NoSpacing"/>
              <w:jc w:val="center"/>
              <w:rPr>
                <w:rFonts w:ascii="Cambria" w:hAnsi="Cambria"/>
                <w:sz w:val="24"/>
                <w:szCs w:val="24"/>
              </w:rPr>
            </w:pPr>
            <w:r>
              <w:rPr>
                <w:rFonts w:ascii="Cambria" w:hAnsi="Cambria"/>
                <w:sz w:val="24"/>
                <w:szCs w:val="24"/>
              </w:rPr>
              <w:t>Values and significance</w:t>
            </w:r>
          </w:p>
        </w:tc>
        <w:tc>
          <w:tcPr>
            <w:tcW w:w="0" w:type="auto"/>
            <w:tcBorders>
              <w:top w:val="single" w:sz="18" w:space="0" w:color="auto"/>
              <w:left w:val="single" w:sz="18" w:space="0" w:color="auto"/>
              <w:bottom w:val="single" w:sz="18" w:space="0" w:color="auto"/>
            </w:tcBorders>
            <w:shd w:val="clear" w:color="auto" w:fill="D9D9D9" w:themeFill="background1" w:themeFillShade="D9"/>
            <w:vAlign w:val="center"/>
          </w:tcPr>
          <w:p w14:paraId="65E55BAC" w14:textId="77777777" w:rsidR="00714B37" w:rsidRDefault="00714B37" w:rsidP="00D242A9">
            <w:pPr>
              <w:pStyle w:val="NoSpacing"/>
              <w:jc w:val="center"/>
              <w:rPr>
                <w:rFonts w:ascii="Cambria" w:hAnsi="Cambria"/>
                <w:sz w:val="24"/>
                <w:szCs w:val="24"/>
              </w:rPr>
            </w:pPr>
            <w:r>
              <w:rPr>
                <w:rFonts w:ascii="Cambria" w:hAnsi="Cambria"/>
                <w:sz w:val="24"/>
                <w:szCs w:val="24"/>
              </w:rPr>
              <w:t>Knowledge and information</w:t>
            </w:r>
          </w:p>
        </w:tc>
        <w:tc>
          <w:tcPr>
            <w:tcW w:w="0" w:type="auto"/>
            <w:tcBorders>
              <w:top w:val="single" w:sz="18" w:space="0" w:color="auto"/>
              <w:bottom w:val="single" w:sz="18" w:space="0" w:color="auto"/>
              <w:right w:val="single" w:sz="18" w:space="0" w:color="auto"/>
            </w:tcBorders>
            <w:shd w:val="clear" w:color="auto" w:fill="D9D9D9" w:themeFill="background1" w:themeFillShade="D9"/>
            <w:vAlign w:val="center"/>
          </w:tcPr>
          <w:p w14:paraId="2AFAB060" w14:textId="77777777" w:rsidR="00714B37" w:rsidRDefault="00714B37" w:rsidP="00D242A9">
            <w:pPr>
              <w:pStyle w:val="NoSpacing"/>
              <w:jc w:val="center"/>
              <w:rPr>
                <w:rFonts w:ascii="Cambria" w:hAnsi="Cambria"/>
                <w:sz w:val="24"/>
                <w:szCs w:val="24"/>
              </w:rPr>
            </w:pPr>
            <w:r>
              <w:rPr>
                <w:rFonts w:ascii="Cambria" w:hAnsi="Cambria"/>
                <w:sz w:val="24"/>
                <w:szCs w:val="24"/>
              </w:rPr>
              <w:t>Professional knowledge and skills</w:t>
            </w:r>
          </w:p>
        </w:tc>
      </w:tr>
      <w:tr w:rsidR="00714B37" w:rsidRPr="00342E79" w14:paraId="17F6E3B4" w14:textId="77777777" w:rsidTr="00D242A9">
        <w:trPr>
          <w:trHeight w:val="235"/>
          <w:jc w:val="center"/>
        </w:trPr>
        <w:tc>
          <w:tcPr>
            <w:tcW w:w="0" w:type="auto"/>
            <w:tcBorders>
              <w:bottom w:val="single" w:sz="18" w:space="0" w:color="auto"/>
              <w:right w:val="single" w:sz="18" w:space="0" w:color="auto"/>
            </w:tcBorders>
            <w:vAlign w:val="center"/>
          </w:tcPr>
          <w:p w14:paraId="1DDF4683" w14:textId="77777777" w:rsidR="00714B37" w:rsidRPr="00235610" w:rsidRDefault="00714B37" w:rsidP="00D242A9">
            <w:pPr>
              <w:pStyle w:val="NoSpacing"/>
              <w:jc w:val="center"/>
              <w:rPr>
                <w:rFonts w:ascii="Cambria" w:hAnsi="Cambria"/>
                <w:sz w:val="24"/>
                <w:szCs w:val="24"/>
              </w:rPr>
            </w:pPr>
            <w:r w:rsidRPr="00235610">
              <w:rPr>
                <w:rFonts w:ascii="Cambria" w:hAnsi="Cambria"/>
                <w:sz w:val="24"/>
                <w:szCs w:val="24"/>
              </w:rPr>
              <w:t>Energy models and assessments</w:t>
            </w:r>
          </w:p>
        </w:tc>
        <w:tc>
          <w:tcPr>
            <w:tcW w:w="0" w:type="auto"/>
            <w:tcBorders>
              <w:top w:val="single" w:sz="18" w:space="0" w:color="auto"/>
              <w:left w:val="single" w:sz="18" w:space="0" w:color="auto"/>
              <w:bottom w:val="single" w:sz="18" w:space="0" w:color="auto"/>
              <w:right w:val="single" w:sz="2" w:space="0" w:color="auto"/>
            </w:tcBorders>
            <w:shd w:val="clear" w:color="auto" w:fill="D9D9D9" w:themeFill="background1" w:themeFillShade="D9"/>
            <w:vAlign w:val="center"/>
          </w:tcPr>
          <w:p w14:paraId="19A0E323" w14:textId="77777777" w:rsidR="00714B37" w:rsidRDefault="00714B37" w:rsidP="00D242A9">
            <w:pPr>
              <w:pStyle w:val="NoSpacing"/>
              <w:jc w:val="center"/>
              <w:rPr>
                <w:rFonts w:ascii="Cambria" w:hAnsi="Cambria"/>
                <w:sz w:val="24"/>
                <w:szCs w:val="24"/>
              </w:rPr>
            </w:pPr>
            <w:r>
              <w:rPr>
                <w:rFonts w:ascii="Cambria" w:hAnsi="Cambria"/>
                <w:sz w:val="24"/>
                <w:szCs w:val="24"/>
              </w:rPr>
              <w:t xml:space="preserve">Cultural sustainability </w:t>
            </w:r>
          </w:p>
          <w:p w14:paraId="4C367D7F" w14:textId="77777777" w:rsidR="00714B37" w:rsidRDefault="00714B37" w:rsidP="00D242A9">
            <w:pPr>
              <w:pStyle w:val="NoSpacing"/>
              <w:jc w:val="center"/>
              <w:rPr>
                <w:rFonts w:ascii="Cambria" w:hAnsi="Cambria"/>
                <w:sz w:val="24"/>
                <w:szCs w:val="24"/>
              </w:rPr>
            </w:pPr>
          </w:p>
        </w:tc>
        <w:tc>
          <w:tcPr>
            <w:tcW w:w="0" w:type="auto"/>
            <w:tcBorders>
              <w:top w:val="single" w:sz="18" w:space="0" w:color="auto"/>
              <w:left w:val="single" w:sz="2" w:space="0" w:color="auto"/>
              <w:bottom w:val="single" w:sz="18" w:space="0" w:color="auto"/>
              <w:right w:val="single" w:sz="18" w:space="0" w:color="auto"/>
            </w:tcBorders>
            <w:shd w:val="clear" w:color="auto" w:fill="D9D9D9" w:themeFill="background1" w:themeFillShade="D9"/>
            <w:vAlign w:val="center"/>
          </w:tcPr>
          <w:p w14:paraId="61794B6C" w14:textId="77777777" w:rsidR="00714B37" w:rsidRDefault="00714B37" w:rsidP="00D242A9">
            <w:pPr>
              <w:pStyle w:val="NoSpacing"/>
              <w:jc w:val="center"/>
              <w:rPr>
                <w:rFonts w:ascii="Cambria" w:hAnsi="Cambria"/>
                <w:sz w:val="24"/>
                <w:szCs w:val="24"/>
              </w:rPr>
            </w:pPr>
            <w:r>
              <w:rPr>
                <w:rFonts w:ascii="Cambria" w:hAnsi="Cambria"/>
                <w:sz w:val="24"/>
                <w:szCs w:val="24"/>
              </w:rPr>
              <w:t>Maintenance</w:t>
            </w:r>
          </w:p>
        </w:tc>
        <w:tc>
          <w:tcPr>
            <w:tcW w:w="0" w:type="auto"/>
            <w:tcBorders>
              <w:top w:val="single" w:sz="18" w:space="0" w:color="auto"/>
              <w:left w:val="single" w:sz="18" w:space="0" w:color="auto"/>
              <w:bottom w:val="single" w:sz="18" w:space="0" w:color="auto"/>
              <w:right w:val="single" w:sz="2" w:space="0" w:color="auto"/>
            </w:tcBorders>
            <w:shd w:val="clear" w:color="auto" w:fill="auto"/>
            <w:vAlign w:val="center"/>
          </w:tcPr>
          <w:p w14:paraId="054F69B8" w14:textId="77777777" w:rsidR="00714B37" w:rsidRDefault="00714B37" w:rsidP="00D242A9">
            <w:pPr>
              <w:pStyle w:val="NoSpacing"/>
              <w:jc w:val="center"/>
              <w:rPr>
                <w:rFonts w:ascii="Cambria" w:hAnsi="Cambria"/>
                <w:sz w:val="24"/>
                <w:szCs w:val="24"/>
              </w:rPr>
            </w:pPr>
          </w:p>
        </w:tc>
        <w:tc>
          <w:tcPr>
            <w:tcW w:w="0" w:type="auto"/>
            <w:tcBorders>
              <w:top w:val="single" w:sz="18" w:space="0" w:color="auto"/>
              <w:left w:val="single" w:sz="2" w:space="0" w:color="auto"/>
              <w:bottom w:val="single" w:sz="2" w:space="0" w:color="auto"/>
              <w:right w:val="single" w:sz="2" w:space="0" w:color="auto"/>
            </w:tcBorders>
            <w:shd w:val="clear" w:color="auto" w:fill="auto"/>
            <w:vAlign w:val="center"/>
          </w:tcPr>
          <w:p w14:paraId="52977882" w14:textId="77777777" w:rsidR="00714B37" w:rsidRDefault="00714B37" w:rsidP="00D242A9">
            <w:pPr>
              <w:pStyle w:val="NoSpacing"/>
              <w:jc w:val="center"/>
              <w:rPr>
                <w:rFonts w:ascii="Cambria" w:hAnsi="Cambria"/>
                <w:sz w:val="24"/>
                <w:szCs w:val="24"/>
              </w:rPr>
            </w:pPr>
            <w:r>
              <w:rPr>
                <w:rFonts w:ascii="Cambria" w:hAnsi="Cambria"/>
                <w:sz w:val="24"/>
                <w:szCs w:val="24"/>
              </w:rPr>
              <w:t>Professional dialogue</w:t>
            </w:r>
          </w:p>
        </w:tc>
      </w:tr>
      <w:tr w:rsidR="00714B37" w:rsidRPr="00342E79" w14:paraId="40412B99" w14:textId="77777777" w:rsidTr="00D242A9">
        <w:trPr>
          <w:trHeight w:val="235"/>
          <w:jc w:val="center"/>
        </w:trPr>
        <w:tc>
          <w:tcPr>
            <w:tcW w:w="0" w:type="auto"/>
            <w:tcBorders>
              <w:top w:val="single" w:sz="18" w:space="0" w:color="auto"/>
              <w:left w:val="single" w:sz="18" w:space="0" w:color="auto"/>
              <w:bottom w:val="single" w:sz="18" w:space="0" w:color="auto"/>
              <w:right w:val="single" w:sz="2" w:space="0" w:color="auto"/>
            </w:tcBorders>
            <w:shd w:val="clear" w:color="auto" w:fill="D9D9D9" w:themeFill="background1" w:themeFillShade="D9"/>
            <w:vAlign w:val="center"/>
          </w:tcPr>
          <w:p w14:paraId="758A2703" w14:textId="77777777" w:rsidR="00714B37" w:rsidRPr="00235610" w:rsidRDefault="00714B37" w:rsidP="00D242A9">
            <w:pPr>
              <w:pStyle w:val="NoSpacing"/>
              <w:jc w:val="center"/>
              <w:rPr>
                <w:rFonts w:ascii="Cambria" w:hAnsi="Cambria"/>
                <w:sz w:val="24"/>
                <w:szCs w:val="24"/>
              </w:rPr>
            </w:pPr>
            <w:r w:rsidRPr="00235610">
              <w:rPr>
                <w:rFonts w:ascii="Cambria" w:hAnsi="Cambria"/>
                <w:sz w:val="24"/>
                <w:szCs w:val="24"/>
              </w:rPr>
              <w:t>Minimum EPCs</w:t>
            </w:r>
          </w:p>
        </w:tc>
        <w:tc>
          <w:tcPr>
            <w:tcW w:w="0" w:type="auto"/>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center"/>
          </w:tcPr>
          <w:p w14:paraId="500787E3" w14:textId="77777777" w:rsidR="00714B37" w:rsidRDefault="00714B37" w:rsidP="00D242A9">
            <w:pPr>
              <w:pStyle w:val="NoSpacing"/>
              <w:jc w:val="center"/>
              <w:rPr>
                <w:rFonts w:ascii="Cambria" w:hAnsi="Cambria"/>
                <w:sz w:val="24"/>
                <w:szCs w:val="24"/>
              </w:rPr>
            </w:pPr>
            <w:r>
              <w:rPr>
                <w:rFonts w:ascii="Cambria" w:hAnsi="Cambria"/>
                <w:sz w:val="24"/>
                <w:szCs w:val="24"/>
              </w:rPr>
              <w:t>Energy efficiency</w:t>
            </w:r>
          </w:p>
        </w:tc>
        <w:tc>
          <w:tcPr>
            <w:tcW w:w="0" w:type="auto"/>
            <w:tcBorders>
              <w:top w:val="single" w:sz="18" w:space="0" w:color="auto"/>
              <w:left w:val="single" w:sz="2" w:space="0" w:color="auto"/>
              <w:bottom w:val="single" w:sz="18" w:space="0" w:color="auto"/>
            </w:tcBorders>
            <w:shd w:val="clear" w:color="auto" w:fill="D9D9D9" w:themeFill="background1" w:themeFillShade="D9"/>
            <w:vAlign w:val="center"/>
          </w:tcPr>
          <w:p w14:paraId="4BF4FB96" w14:textId="77777777" w:rsidR="00714B37" w:rsidRDefault="00714B37" w:rsidP="00D242A9">
            <w:pPr>
              <w:pStyle w:val="NoSpacing"/>
              <w:jc w:val="center"/>
              <w:rPr>
                <w:rFonts w:ascii="Cambria" w:hAnsi="Cambria"/>
                <w:sz w:val="24"/>
                <w:szCs w:val="24"/>
              </w:rPr>
            </w:pPr>
          </w:p>
        </w:tc>
        <w:tc>
          <w:tcPr>
            <w:tcW w:w="0" w:type="auto"/>
            <w:tcBorders>
              <w:top w:val="single" w:sz="18" w:space="0" w:color="auto"/>
              <w:bottom w:val="single" w:sz="18" w:space="0" w:color="auto"/>
              <w:right w:val="single" w:sz="18" w:space="0" w:color="auto"/>
            </w:tcBorders>
            <w:shd w:val="clear" w:color="auto" w:fill="D9D9D9" w:themeFill="background1" w:themeFillShade="D9"/>
            <w:vAlign w:val="center"/>
          </w:tcPr>
          <w:p w14:paraId="10648775" w14:textId="77777777" w:rsidR="00714B37" w:rsidRDefault="00714B37" w:rsidP="00D242A9">
            <w:pPr>
              <w:pStyle w:val="NoSpacing"/>
              <w:jc w:val="center"/>
              <w:rPr>
                <w:rFonts w:ascii="Cambria" w:hAnsi="Cambria"/>
                <w:sz w:val="24"/>
                <w:szCs w:val="24"/>
              </w:rPr>
            </w:pPr>
            <w:r w:rsidRPr="00C20ACE">
              <w:rPr>
                <w:rFonts w:ascii="Cambria" w:hAnsi="Cambria"/>
                <w:i/>
                <w:sz w:val="24"/>
                <w:szCs w:val="24"/>
              </w:rPr>
              <w:t>Resale value</w:t>
            </w:r>
          </w:p>
        </w:tc>
        <w:tc>
          <w:tcPr>
            <w:tcW w:w="0" w:type="auto"/>
            <w:tcBorders>
              <w:top w:val="single" w:sz="2" w:space="0" w:color="auto"/>
              <w:left w:val="single" w:sz="18" w:space="0" w:color="auto"/>
              <w:bottom w:val="single" w:sz="18" w:space="0" w:color="auto"/>
              <w:right w:val="single" w:sz="2" w:space="0" w:color="auto"/>
            </w:tcBorders>
            <w:shd w:val="clear" w:color="auto" w:fill="auto"/>
            <w:vAlign w:val="center"/>
          </w:tcPr>
          <w:p w14:paraId="7BAD3E6F" w14:textId="77777777" w:rsidR="00714B37" w:rsidRDefault="00714B37" w:rsidP="00D242A9">
            <w:pPr>
              <w:pStyle w:val="NoSpacing"/>
              <w:jc w:val="center"/>
              <w:rPr>
                <w:rFonts w:ascii="Cambria" w:hAnsi="Cambria"/>
                <w:sz w:val="24"/>
                <w:szCs w:val="24"/>
              </w:rPr>
            </w:pPr>
          </w:p>
        </w:tc>
      </w:tr>
      <w:tr w:rsidR="00714B37" w:rsidRPr="00342E79" w14:paraId="29D9DDA7" w14:textId="77777777" w:rsidTr="00D242A9">
        <w:trPr>
          <w:trHeight w:val="235"/>
          <w:jc w:val="center"/>
        </w:trPr>
        <w:tc>
          <w:tcPr>
            <w:tcW w:w="0" w:type="auto"/>
            <w:tcBorders>
              <w:top w:val="single" w:sz="18" w:space="0" w:color="auto"/>
              <w:right w:val="single" w:sz="2" w:space="0" w:color="auto"/>
            </w:tcBorders>
            <w:vAlign w:val="center"/>
          </w:tcPr>
          <w:p w14:paraId="1F326F6A" w14:textId="77777777" w:rsidR="00714B37" w:rsidRPr="00235610" w:rsidRDefault="00714B37" w:rsidP="00D242A9">
            <w:pPr>
              <w:pStyle w:val="NoSpacing"/>
              <w:jc w:val="center"/>
              <w:rPr>
                <w:rFonts w:ascii="Cambria" w:hAnsi="Cambria"/>
                <w:sz w:val="24"/>
                <w:szCs w:val="24"/>
              </w:rPr>
            </w:pPr>
          </w:p>
        </w:tc>
        <w:tc>
          <w:tcPr>
            <w:tcW w:w="0" w:type="auto"/>
            <w:tcBorders>
              <w:top w:val="single" w:sz="18" w:space="0" w:color="auto"/>
              <w:left w:val="single" w:sz="2" w:space="0" w:color="auto"/>
              <w:bottom w:val="single" w:sz="18" w:space="0" w:color="auto"/>
              <w:right w:val="single" w:sz="18" w:space="0" w:color="auto"/>
            </w:tcBorders>
            <w:vAlign w:val="center"/>
          </w:tcPr>
          <w:p w14:paraId="6CE8FF62" w14:textId="77777777" w:rsidR="00714B37" w:rsidRPr="00342E79" w:rsidRDefault="00714B37" w:rsidP="00D242A9">
            <w:pPr>
              <w:pStyle w:val="NoSpacing"/>
              <w:jc w:val="center"/>
              <w:rPr>
                <w:rFonts w:ascii="Cambria" w:hAnsi="Cambria"/>
                <w:sz w:val="24"/>
                <w:szCs w:val="24"/>
              </w:rPr>
            </w:pPr>
          </w:p>
        </w:tc>
        <w:tc>
          <w:tcPr>
            <w:tcW w:w="0" w:type="auto"/>
            <w:tcBorders>
              <w:top w:val="single" w:sz="18" w:space="0" w:color="auto"/>
              <w:left w:val="single" w:sz="18" w:space="0" w:color="auto"/>
              <w:bottom w:val="single" w:sz="18" w:space="0" w:color="auto"/>
            </w:tcBorders>
            <w:shd w:val="clear" w:color="auto" w:fill="D9D9D9" w:themeFill="background1" w:themeFillShade="D9"/>
            <w:vAlign w:val="center"/>
          </w:tcPr>
          <w:p w14:paraId="419A568D" w14:textId="77777777" w:rsidR="00714B37" w:rsidRPr="00342E79" w:rsidRDefault="00714B37" w:rsidP="00D242A9">
            <w:pPr>
              <w:pStyle w:val="NoSpacing"/>
              <w:jc w:val="center"/>
              <w:rPr>
                <w:rFonts w:ascii="Cambria" w:hAnsi="Cambria"/>
                <w:sz w:val="24"/>
                <w:szCs w:val="24"/>
              </w:rPr>
            </w:pPr>
            <w:r>
              <w:rPr>
                <w:rFonts w:ascii="Cambria" w:hAnsi="Cambria"/>
                <w:sz w:val="24"/>
                <w:szCs w:val="24"/>
              </w:rPr>
              <w:t>Minimum interference with fabric</w:t>
            </w:r>
          </w:p>
        </w:tc>
        <w:tc>
          <w:tcPr>
            <w:tcW w:w="0" w:type="auto"/>
            <w:tcBorders>
              <w:top w:val="single" w:sz="18" w:space="0" w:color="auto"/>
              <w:bottom w:val="single" w:sz="18" w:space="0" w:color="auto"/>
            </w:tcBorders>
            <w:shd w:val="clear" w:color="auto" w:fill="D9D9D9" w:themeFill="background1" w:themeFillShade="D9"/>
            <w:vAlign w:val="center"/>
          </w:tcPr>
          <w:p w14:paraId="58F7341D" w14:textId="77777777" w:rsidR="00714B37" w:rsidRPr="00342E79" w:rsidRDefault="00714B37" w:rsidP="00D242A9">
            <w:pPr>
              <w:pStyle w:val="NoSpacing"/>
              <w:jc w:val="center"/>
              <w:rPr>
                <w:rFonts w:ascii="Cambria" w:hAnsi="Cambria"/>
                <w:sz w:val="24"/>
                <w:szCs w:val="24"/>
              </w:rPr>
            </w:pPr>
            <w:r>
              <w:rPr>
                <w:rFonts w:ascii="Cambria" w:hAnsi="Cambria"/>
                <w:sz w:val="24"/>
                <w:szCs w:val="24"/>
              </w:rPr>
              <w:t>Aesthetics</w:t>
            </w:r>
          </w:p>
        </w:tc>
        <w:tc>
          <w:tcPr>
            <w:tcW w:w="0" w:type="auto"/>
            <w:tcBorders>
              <w:top w:val="single" w:sz="18" w:space="0" w:color="auto"/>
              <w:bottom w:val="single" w:sz="18" w:space="0" w:color="auto"/>
              <w:right w:val="single" w:sz="18" w:space="0" w:color="auto"/>
            </w:tcBorders>
            <w:shd w:val="clear" w:color="auto" w:fill="D9D9D9" w:themeFill="background1" w:themeFillShade="D9"/>
            <w:vAlign w:val="center"/>
          </w:tcPr>
          <w:p w14:paraId="1E973506" w14:textId="77777777" w:rsidR="00714B37" w:rsidRPr="00342E79" w:rsidRDefault="00714B37" w:rsidP="00D242A9">
            <w:pPr>
              <w:pStyle w:val="NoSpacing"/>
              <w:jc w:val="center"/>
              <w:rPr>
                <w:rFonts w:ascii="Cambria" w:hAnsi="Cambria"/>
                <w:sz w:val="24"/>
                <w:szCs w:val="24"/>
              </w:rPr>
            </w:pPr>
            <w:r>
              <w:rPr>
                <w:rFonts w:ascii="Cambria" w:hAnsi="Cambria"/>
                <w:sz w:val="24"/>
                <w:szCs w:val="24"/>
              </w:rPr>
              <w:t xml:space="preserve">Availability of appropriate measures </w:t>
            </w:r>
          </w:p>
        </w:tc>
      </w:tr>
      <w:tr w:rsidR="00714B37" w:rsidRPr="00342E79" w14:paraId="784AC8B3" w14:textId="77777777" w:rsidTr="00D242A9">
        <w:trPr>
          <w:trHeight w:val="235"/>
          <w:jc w:val="center"/>
        </w:trPr>
        <w:tc>
          <w:tcPr>
            <w:tcW w:w="0" w:type="auto"/>
            <w:tcBorders>
              <w:right w:val="single" w:sz="18" w:space="0" w:color="auto"/>
            </w:tcBorders>
            <w:vAlign w:val="center"/>
          </w:tcPr>
          <w:p w14:paraId="26192B88" w14:textId="77777777" w:rsidR="00714B37" w:rsidRPr="00235610" w:rsidRDefault="00714B37" w:rsidP="00D242A9">
            <w:pPr>
              <w:pStyle w:val="NoSpacing"/>
              <w:jc w:val="center"/>
              <w:rPr>
                <w:rFonts w:ascii="Cambria" w:hAnsi="Cambria"/>
                <w:sz w:val="24"/>
                <w:szCs w:val="24"/>
              </w:rPr>
            </w:pPr>
          </w:p>
        </w:tc>
        <w:tc>
          <w:tcPr>
            <w:tcW w:w="0" w:type="auto"/>
            <w:tcBorders>
              <w:top w:val="single" w:sz="18" w:space="0" w:color="auto"/>
              <w:left w:val="single" w:sz="18" w:space="0" w:color="auto"/>
              <w:bottom w:val="single" w:sz="18" w:space="0" w:color="auto"/>
              <w:right w:val="single" w:sz="2" w:space="0" w:color="auto"/>
            </w:tcBorders>
            <w:shd w:val="clear" w:color="auto" w:fill="D9D9D9" w:themeFill="background1" w:themeFillShade="D9"/>
            <w:vAlign w:val="center"/>
          </w:tcPr>
          <w:p w14:paraId="2EA7CE68" w14:textId="77777777" w:rsidR="00714B37" w:rsidRDefault="00714B37" w:rsidP="00D242A9">
            <w:pPr>
              <w:pStyle w:val="NoSpacing"/>
              <w:jc w:val="center"/>
              <w:rPr>
                <w:rFonts w:ascii="Cambria" w:hAnsi="Cambria"/>
                <w:sz w:val="24"/>
                <w:szCs w:val="24"/>
              </w:rPr>
            </w:pPr>
            <w:r>
              <w:rPr>
                <w:rFonts w:ascii="Cambria" w:hAnsi="Cambria"/>
                <w:sz w:val="24"/>
                <w:szCs w:val="24"/>
              </w:rPr>
              <w:t>Social sustainability (including future generations)</w:t>
            </w:r>
          </w:p>
        </w:tc>
        <w:tc>
          <w:tcPr>
            <w:tcW w:w="0" w:type="auto"/>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center"/>
          </w:tcPr>
          <w:p w14:paraId="76A648FD" w14:textId="77777777" w:rsidR="00714B37" w:rsidRDefault="00714B37" w:rsidP="00D242A9">
            <w:pPr>
              <w:pStyle w:val="NoSpacing"/>
              <w:jc w:val="center"/>
              <w:rPr>
                <w:rFonts w:ascii="Cambria" w:hAnsi="Cambria"/>
                <w:sz w:val="24"/>
                <w:szCs w:val="24"/>
              </w:rPr>
            </w:pPr>
            <w:r>
              <w:rPr>
                <w:rFonts w:ascii="Cambria" w:hAnsi="Cambria"/>
                <w:sz w:val="24"/>
                <w:szCs w:val="24"/>
              </w:rPr>
              <w:t>Future generations</w:t>
            </w:r>
          </w:p>
        </w:tc>
        <w:tc>
          <w:tcPr>
            <w:tcW w:w="0" w:type="auto"/>
            <w:tcBorders>
              <w:top w:val="single" w:sz="18" w:space="0" w:color="auto"/>
              <w:left w:val="single" w:sz="2" w:space="0" w:color="auto"/>
              <w:bottom w:val="single" w:sz="18" w:space="0" w:color="auto"/>
              <w:right w:val="single" w:sz="18" w:space="0" w:color="auto"/>
            </w:tcBorders>
            <w:shd w:val="clear" w:color="auto" w:fill="D9D9D9" w:themeFill="background1" w:themeFillShade="D9"/>
            <w:vAlign w:val="center"/>
          </w:tcPr>
          <w:p w14:paraId="644B109D" w14:textId="77777777" w:rsidR="00714B37" w:rsidRDefault="00714B37" w:rsidP="00D242A9">
            <w:pPr>
              <w:pStyle w:val="NoSpacing"/>
              <w:jc w:val="center"/>
              <w:rPr>
                <w:rFonts w:ascii="Cambria" w:hAnsi="Cambria"/>
                <w:sz w:val="24"/>
                <w:szCs w:val="24"/>
              </w:rPr>
            </w:pPr>
            <w:r>
              <w:rPr>
                <w:rFonts w:ascii="Cambria" w:hAnsi="Cambria"/>
                <w:sz w:val="24"/>
                <w:szCs w:val="24"/>
              </w:rPr>
              <w:t>Thermal comfort</w:t>
            </w:r>
          </w:p>
        </w:tc>
        <w:tc>
          <w:tcPr>
            <w:tcW w:w="0" w:type="auto"/>
            <w:tcBorders>
              <w:top w:val="single" w:sz="18" w:space="0" w:color="auto"/>
              <w:left w:val="single" w:sz="18" w:space="0" w:color="auto"/>
            </w:tcBorders>
            <w:shd w:val="clear" w:color="auto" w:fill="auto"/>
            <w:vAlign w:val="center"/>
          </w:tcPr>
          <w:p w14:paraId="2EC936DF" w14:textId="77777777" w:rsidR="00714B37" w:rsidRDefault="00714B37" w:rsidP="00D242A9">
            <w:pPr>
              <w:pStyle w:val="NoSpacing"/>
              <w:jc w:val="center"/>
              <w:rPr>
                <w:rFonts w:ascii="Cambria" w:hAnsi="Cambria"/>
                <w:sz w:val="24"/>
                <w:szCs w:val="24"/>
              </w:rPr>
            </w:pPr>
          </w:p>
        </w:tc>
      </w:tr>
      <w:tr w:rsidR="00714B37" w:rsidRPr="00342E79" w14:paraId="120D3100" w14:textId="77777777" w:rsidTr="00D242A9">
        <w:trPr>
          <w:trHeight w:val="235"/>
          <w:jc w:val="center"/>
        </w:trPr>
        <w:tc>
          <w:tcPr>
            <w:tcW w:w="0" w:type="auto"/>
            <w:vAlign w:val="center"/>
          </w:tcPr>
          <w:p w14:paraId="68026400" w14:textId="77777777" w:rsidR="00714B37" w:rsidRPr="00235610" w:rsidRDefault="00714B37" w:rsidP="00D242A9">
            <w:pPr>
              <w:pStyle w:val="NoSpacing"/>
              <w:jc w:val="center"/>
              <w:rPr>
                <w:rFonts w:ascii="Cambria" w:hAnsi="Cambria"/>
                <w:sz w:val="24"/>
                <w:szCs w:val="24"/>
              </w:rPr>
            </w:pPr>
          </w:p>
        </w:tc>
        <w:tc>
          <w:tcPr>
            <w:tcW w:w="0" w:type="auto"/>
            <w:tcBorders>
              <w:top w:val="single" w:sz="18" w:space="0" w:color="auto"/>
            </w:tcBorders>
            <w:shd w:val="clear" w:color="auto" w:fill="auto"/>
            <w:vAlign w:val="center"/>
          </w:tcPr>
          <w:p w14:paraId="3EC34046" w14:textId="77777777" w:rsidR="00714B37" w:rsidRDefault="00714B37" w:rsidP="00D242A9">
            <w:pPr>
              <w:pStyle w:val="NoSpacing"/>
              <w:jc w:val="center"/>
              <w:rPr>
                <w:rFonts w:ascii="Cambria" w:hAnsi="Cambria"/>
                <w:sz w:val="24"/>
                <w:szCs w:val="24"/>
              </w:rPr>
            </w:pPr>
            <w:r>
              <w:rPr>
                <w:rFonts w:ascii="Cambria" w:hAnsi="Cambria"/>
                <w:sz w:val="24"/>
                <w:szCs w:val="24"/>
              </w:rPr>
              <w:t>Embodied energy</w:t>
            </w:r>
          </w:p>
        </w:tc>
        <w:tc>
          <w:tcPr>
            <w:tcW w:w="0" w:type="auto"/>
            <w:tcBorders>
              <w:top w:val="single" w:sz="18" w:space="0" w:color="auto"/>
            </w:tcBorders>
            <w:shd w:val="clear" w:color="auto" w:fill="auto"/>
            <w:vAlign w:val="center"/>
          </w:tcPr>
          <w:p w14:paraId="638582F6" w14:textId="77777777" w:rsidR="00714B37" w:rsidRDefault="00714B37" w:rsidP="00D242A9">
            <w:pPr>
              <w:pStyle w:val="NoSpacing"/>
              <w:jc w:val="center"/>
              <w:rPr>
                <w:rFonts w:ascii="Cambria" w:hAnsi="Cambria"/>
                <w:sz w:val="24"/>
                <w:szCs w:val="24"/>
              </w:rPr>
            </w:pPr>
          </w:p>
        </w:tc>
        <w:tc>
          <w:tcPr>
            <w:tcW w:w="0" w:type="auto"/>
            <w:tcBorders>
              <w:top w:val="single" w:sz="18" w:space="0" w:color="auto"/>
            </w:tcBorders>
            <w:vAlign w:val="center"/>
          </w:tcPr>
          <w:p w14:paraId="13FE06CA" w14:textId="77777777" w:rsidR="00714B37" w:rsidRDefault="00714B37" w:rsidP="00D242A9">
            <w:pPr>
              <w:pStyle w:val="NoSpacing"/>
              <w:jc w:val="center"/>
              <w:rPr>
                <w:rFonts w:ascii="Cambria" w:hAnsi="Cambria"/>
                <w:sz w:val="24"/>
                <w:szCs w:val="24"/>
              </w:rPr>
            </w:pPr>
            <w:r>
              <w:rPr>
                <w:rFonts w:ascii="Cambria" w:hAnsi="Cambria"/>
                <w:sz w:val="24"/>
                <w:szCs w:val="24"/>
              </w:rPr>
              <w:t>Energy bills</w:t>
            </w:r>
          </w:p>
        </w:tc>
        <w:tc>
          <w:tcPr>
            <w:tcW w:w="0" w:type="auto"/>
            <w:vAlign w:val="center"/>
          </w:tcPr>
          <w:p w14:paraId="13572AAF" w14:textId="77777777" w:rsidR="00714B37" w:rsidRDefault="00714B37" w:rsidP="00D242A9">
            <w:pPr>
              <w:pStyle w:val="NoSpacing"/>
              <w:jc w:val="center"/>
              <w:rPr>
                <w:rFonts w:ascii="Cambria" w:hAnsi="Cambria"/>
                <w:sz w:val="24"/>
                <w:szCs w:val="24"/>
              </w:rPr>
            </w:pPr>
          </w:p>
        </w:tc>
      </w:tr>
    </w:tbl>
    <w:p w14:paraId="1F1D9409" w14:textId="77777777" w:rsidR="00714B37" w:rsidRPr="00342E79" w:rsidRDefault="00714B37" w:rsidP="00714B37">
      <w:pPr>
        <w:rPr>
          <w:rFonts w:ascii="Cambria" w:hAnsi="Cambria" w:cs="Arial"/>
        </w:rPr>
      </w:pPr>
    </w:p>
    <w:p w14:paraId="4CC4D83D" w14:textId="77777777" w:rsidR="00714B37" w:rsidRPr="00342E79" w:rsidRDefault="00714B37" w:rsidP="00714B37">
      <w:pPr>
        <w:rPr>
          <w:rFonts w:ascii="Cambria" w:hAnsi="Cambria" w:cs="Arial"/>
        </w:rPr>
      </w:pPr>
    </w:p>
    <w:p w14:paraId="2F2CD299" w14:textId="77777777" w:rsidR="0070330A" w:rsidRPr="006568DD" w:rsidRDefault="0070330A" w:rsidP="00BD25D5">
      <w:pPr>
        <w:jc w:val="both"/>
        <w:rPr>
          <w:rFonts w:ascii="Cambria" w:hAnsi="Cambria"/>
        </w:rPr>
      </w:pPr>
    </w:p>
    <w:sectPr w:rsidR="0070330A" w:rsidRPr="006568DD" w:rsidSect="005868B5">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4D4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4D4B0" w16cid:durableId="1EFAE8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177A"/>
    <w:multiLevelType w:val="hybridMultilevel"/>
    <w:tmpl w:val="B012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F34038"/>
    <w:multiLevelType w:val="hybridMultilevel"/>
    <w:tmpl w:val="D6B4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662BEE"/>
    <w:multiLevelType w:val="hybridMultilevel"/>
    <w:tmpl w:val="FE54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67A6D"/>
    <w:multiLevelType w:val="hybridMultilevel"/>
    <w:tmpl w:val="3772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spoli, Maria">
    <w15:presenceInfo w15:providerId="AD" w15:userId="S-1-5-21-2306255194-706201720-1963629970-263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11"/>
    <w:rsid w:val="00006C63"/>
    <w:rsid w:val="00021DEE"/>
    <w:rsid w:val="00025ACA"/>
    <w:rsid w:val="00032E77"/>
    <w:rsid w:val="0004556B"/>
    <w:rsid w:val="00074451"/>
    <w:rsid w:val="000818EB"/>
    <w:rsid w:val="000848CA"/>
    <w:rsid w:val="000911B7"/>
    <w:rsid w:val="000A1ADE"/>
    <w:rsid w:val="000B374C"/>
    <w:rsid w:val="000C3213"/>
    <w:rsid w:val="000E1D17"/>
    <w:rsid w:val="00103DFE"/>
    <w:rsid w:val="00106CBA"/>
    <w:rsid w:val="00121570"/>
    <w:rsid w:val="0013371E"/>
    <w:rsid w:val="00153CAE"/>
    <w:rsid w:val="00155D6A"/>
    <w:rsid w:val="00162FDE"/>
    <w:rsid w:val="0018163C"/>
    <w:rsid w:val="001B41E2"/>
    <w:rsid w:val="001E0726"/>
    <w:rsid w:val="001F542D"/>
    <w:rsid w:val="00203126"/>
    <w:rsid w:val="00215E83"/>
    <w:rsid w:val="0024720A"/>
    <w:rsid w:val="00254302"/>
    <w:rsid w:val="0026630D"/>
    <w:rsid w:val="00276FF9"/>
    <w:rsid w:val="0028521B"/>
    <w:rsid w:val="002A2947"/>
    <w:rsid w:val="002C595E"/>
    <w:rsid w:val="002F67F3"/>
    <w:rsid w:val="002F70C3"/>
    <w:rsid w:val="00303311"/>
    <w:rsid w:val="003152DD"/>
    <w:rsid w:val="00321706"/>
    <w:rsid w:val="003509FA"/>
    <w:rsid w:val="00361C46"/>
    <w:rsid w:val="003741D4"/>
    <w:rsid w:val="0037662A"/>
    <w:rsid w:val="00391D62"/>
    <w:rsid w:val="003A0E67"/>
    <w:rsid w:val="003A36F8"/>
    <w:rsid w:val="003B614C"/>
    <w:rsid w:val="003E690C"/>
    <w:rsid w:val="003F7323"/>
    <w:rsid w:val="0041611E"/>
    <w:rsid w:val="00431E01"/>
    <w:rsid w:val="004520BE"/>
    <w:rsid w:val="004719F5"/>
    <w:rsid w:val="004B553E"/>
    <w:rsid w:val="004C71D6"/>
    <w:rsid w:val="004E2C4C"/>
    <w:rsid w:val="00502013"/>
    <w:rsid w:val="00522119"/>
    <w:rsid w:val="00570B1C"/>
    <w:rsid w:val="0057537C"/>
    <w:rsid w:val="005868B5"/>
    <w:rsid w:val="005A031C"/>
    <w:rsid w:val="005C05E1"/>
    <w:rsid w:val="005D4C31"/>
    <w:rsid w:val="005D654E"/>
    <w:rsid w:val="005E3824"/>
    <w:rsid w:val="00644287"/>
    <w:rsid w:val="006568DD"/>
    <w:rsid w:val="0067649E"/>
    <w:rsid w:val="00681CD2"/>
    <w:rsid w:val="006C418D"/>
    <w:rsid w:val="006D0F74"/>
    <w:rsid w:val="0070330A"/>
    <w:rsid w:val="0070558E"/>
    <w:rsid w:val="00710347"/>
    <w:rsid w:val="00714B37"/>
    <w:rsid w:val="00716DB5"/>
    <w:rsid w:val="00721CC1"/>
    <w:rsid w:val="00737BBB"/>
    <w:rsid w:val="00753580"/>
    <w:rsid w:val="00762728"/>
    <w:rsid w:val="007820EA"/>
    <w:rsid w:val="00786F9F"/>
    <w:rsid w:val="00797EE1"/>
    <w:rsid w:val="007A64A0"/>
    <w:rsid w:val="007B1A16"/>
    <w:rsid w:val="007B29DB"/>
    <w:rsid w:val="007D2B7C"/>
    <w:rsid w:val="007F72A3"/>
    <w:rsid w:val="00814487"/>
    <w:rsid w:val="008619F4"/>
    <w:rsid w:val="00885460"/>
    <w:rsid w:val="00897F4E"/>
    <w:rsid w:val="008D106C"/>
    <w:rsid w:val="008F074D"/>
    <w:rsid w:val="008F4661"/>
    <w:rsid w:val="008F7646"/>
    <w:rsid w:val="009278ED"/>
    <w:rsid w:val="00934CF7"/>
    <w:rsid w:val="00970321"/>
    <w:rsid w:val="0097706B"/>
    <w:rsid w:val="0099012E"/>
    <w:rsid w:val="009B544E"/>
    <w:rsid w:val="009F13BC"/>
    <w:rsid w:val="00A04CC9"/>
    <w:rsid w:val="00A106F4"/>
    <w:rsid w:val="00A17800"/>
    <w:rsid w:val="00A42FCC"/>
    <w:rsid w:val="00A4395B"/>
    <w:rsid w:val="00A52D76"/>
    <w:rsid w:val="00A80FF3"/>
    <w:rsid w:val="00A96270"/>
    <w:rsid w:val="00AA3CBC"/>
    <w:rsid w:val="00AB78DE"/>
    <w:rsid w:val="00AC7848"/>
    <w:rsid w:val="00AD1357"/>
    <w:rsid w:val="00B03C13"/>
    <w:rsid w:val="00B06F67"/>
    <w:rsid w:val="00B07565"/>
    <w:rsid w:val="00B208C7"/>
    <w:rsid w:val="00B33B33"/>
    <w:rsid w:val="00B57E46"/>
    <w:rsid w:val="00B67545"/>
    <w:rsid w:val="00B839DD"/>
    <w:rsid w:val="00B87693"/>
    <w:rsid w:val="00B97AB1"/>
    <w:rsid w:val="00BA7E43"/>
    <w:rsid w:val="00BB3403"/>
    <w:rsid w:val="00BB7542"/>
    <w:rsid w:val="00BD25D5"/>
    <w:rsid w:val="00BE3BF4"/>
    <w:rsid w:val="00C03230"/>
    <w:rsid w:val="00C44763"/>
    <w:rsid w:val="00C62F2C"/>
    <w:rsid w:val="00C669C5"/>
    <w:rsid w:val="00C75734"/>
    <w:rsid w:val="00C938A0"/>
    <w:rsid w:val="00CC1502"/>
    <w:rsid w:val="00CE68D3"/>
    <w:rsid w:val="00D00F55"/>
    <w:rsid w:val="00D03BE9"/>
    <w:rsid w:val="00D145BF"/>
    <w:rsid w:val="00D33035"/>
    <w:rsid w:val="00D45B6F"/>
    <w:rsid w:val="00D63F6E"/>
    <w:rsid w:val="00D65A11"/>
    <w:rsid w:val="00D81DFE"/>
    <w:rsid w:val="00D84F57"/>
    <w:rsid w:val="00D97723"/>
    <w:rsid w:val="00DD7E2C"/>
    <w:rsid w:val="00DE3C89"/>
    <w:rsid w:val="00E178CD"/>
    <w:rsid w:val="00E3237F"/>
    <w:rsid w:val="00E44883"/>
    <w:rsid w:val="00E62AFD"/>
    <w:rsid w:val="00E725D5"/>
    <w:rsid w:val="00E833BD"/>
    <w:rsid w:val="00E96773"/>
    <w:rsid w:val="00EC4BB9"/>
    <w:rsid w:val="00ED0AF9"/>
    <w:rsid w:val="00EE571E"/>
    <w:rsid w:val="00EF38FC"/>
    <w:rsid w:val="00EF49A9"/>
    <w:rsid w:val="00F16BDC"/>
    <w:rsid w:val="00F23DFB"/>
    <w:rsid w:val="00F32C01"/>
    <w:rsid w:val="00F44D16"/>
    <w:rsid w:val="00F700C7"/>
    <w:rsid w:val="00F7113E"/>
    <w:rsid w:val="00F83D0F"/>
    <w:rsid w:val="00F86077"/>
    <w:rsid w:val="00F91D73"/>
    <w:rsid w:val="00F91F28"/>
    <w:rsid w:val="00F93D90"/>
    <w:rsid w:val="00F9797B"/>
    <w:rsid w:val="00FE6A41"/>
    <w:rsid w:val="00FF45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7C9E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11"/>
  </w:style>
  <w:style w:type="paragraph" w:styleId="Heading1">
    <w:name w:val="heading 1"/>
    <w:basedOn w:val="Normal"/>
    <w:next w:val="Normal"/>
    <w:link w:val="Heading1Char"/>
    <w:uiPriority w:val="9"/>
    <w:qFormat/>
    <w:rsid w:val="00B839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448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37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311"/>
    <w:rPr>
      <w:color w:val="0000FF" w:themeColor="hyperlink"/>
      <w:u w:val="single"/>
    </w:rPr>
  </w:style>
  <w:style w:type="character" w:styleId="CommentReference">
    <w:name w:val="annotation reference"/>
    <w:basedOn w:val="DefaultParagraphFont"/>
    <w:uiPriority w:val="99"/>
    <w:semiHidden/>
    <w:unhideWhenUsed/>
    <w:rsid w:val="00303311"/>
    <w:rPr>
      <w:sz w:val="18"/>
      <w:szCs w:val="18"/>
    </w:rPr>
  </w:style>
  <w:style w:type="paragraph" w:styleId="CommentText">
    <w:name w:val="annotation text"/>
    <w:basedOn w:val="Normal"/>
    <w:link w:val="CommentTextChar"/>
    <w:uiPriority w:val="99"/>
    <w:semiHidden/>
    <w:unhideWhenUsed/>
    <w:rsid w:val="00303311"/>
  </w:style>
  <w:style w:type="character" w:customStyle="1" w:styleId="CommentTextChar">
    <w:name w:val="Comment Text Char"/>
    <w:basedOn w:val="DefaultParagraphFont"/>
    <w:link w:val="CommentText"/>
    <w:uiPriority w:val="99"/>
    <w:semiHidden/>
    <w:rsid w:val="00303311"/>
  </w:style>
  <w:style w:type="paragraph" w:styleId="CommentSubject">
    <w:name w:val="annotation subject"/>
    <w:basedOn w:val="CommentText"/>
    <w:next w:val="CommentText"/>
    <w:link w:val="CommentSubjectChar"/>
    <w:uiPriority w:val="99"/>
    <w:semiHidden/>
    <w:unhideWhenUsed/>
    <w:rsid w:val="00303311"/>
    <w:rPr>
      <w:b/>
      <w:bCs/>
      <w:sz w:val="20"/>
      <w:szCs w:val="20"/>
    </w:rPr>
  </w:style>
  <w:style w:type="character" w:customStyle="1" w:styleId="CommentSubjectChar">
    <w:name w:val="Comment Subject Char"/>
    <w:basedOn w:val="CommentTextChar"/>
    <w:link w:val="CommentSubject"/>
    <w:uiPriority w:val="99"/>
    <w:semiHidden/>
    <w:rsid w:val="00303311"/>
    <w:rPr>
      <w:b/>
      <w:bCs/>
      <w:sz w:val="20"/>
      <w:szCs w:val="20"/>
    </w:rPr>
  </w:style>
  <w:style w:type="paragraph" w:styleId="BalloonText">
    <w:name w:val="Balloon Text"/>
    <w:basedOn w:val="Normal"/>
    <w:link w:val="BalloonTextChar"/>
    <w:uiPriority w:val="99"/>
    <w:semiHidden/>
    <w:unhideWhenUsed/>
    <w:rsid w:val="00303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311"/>
    <w:rPr>
      <w:rFonts w:ascii="Lucida Grande" w:hAnsi="Lucida Grande" w:cs="Lucida Grande"/>
      <w:sz w:val="18"/>
      <w:szCs w:val="18"/>
    </w:rPr>
  </w:style>
  <w:style w:type="character" w:customStyle="1" w:styleId="Heading2Char">
    <w:name w:val="Heading 2 Char"/>
    <w:basedOn w:val="DefaultParagraphFont"/>
    <w:link w:val="Heading2"/>
    <w:uiPriority w:val="9"/>
    <w:rsid w:val="00E4488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839D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32E77"/>
    <w:pPr>
      <w:ind w:left="720"/>
      <w:contextualSpacing/>
    </w:pPr>
  </w:style>
  <w:style w:type="character" w:styleId="FollowedHyperlink">
    <w:name w:val="FollowedHyperlink"/>
    <w:basedOn w:val="DefaultParagraphFont"/>
    <w:uiPriority w:val="99"/>
    <w:semiHidden/>
    <w:unhideWhenUsed/>
    <w:rsid w:val="003A36F8"/>
    <w:rPr>
      <w:color w:val="800080" w:themeColor="followedHyperlink"/>
      <w:u w:val="single"/>
    </w:rPr>
  </w:style>
  <w:style w:type="paragraph" w:styleId="NoSpacing">
    <w:name w:val="No Spacing"/>
    <w:uiPriority w:val="1"/>
    <w:qFormat/>
    <w:rsid w:val="00570B1C"/>
    <w:rPr>
      <w:rFonts w:ascii="Arial" w:hAnsi="Arial" w:cs="Arial"/>
      <w:color w:val="000000"/>
      <w:sz w:val="22"/>
      <w:szCs w:val="22"/>
      <w:lang w:eastAsia="en-GB"/>
    </w:rPr>
  </w:style>
  <w:style w:type="table" w:styleId="TableGrid">
    <w:name w:val="Table Grid"/>
    <w:basedOn w:val="TableNormal"/>
    <w:uiPriority w:val="59"/>
    <w:rsid w:val="00570B1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3371E"/>
    <w:rPr>
      <w:rFonts w:asciiTheme="majorHAnsi" w:eastAsiaTheme="majorEastAsia" w:hAnsiTheme="majorHAnsi" w:cstheme="majorBidi"/>
      <w:b/>
      <w:bCs/>
      <w:color w:val="4F81BD" w:themeColor="accent1"/>
    </w:rPr>
  </w:style>
  <w:style w:type="paragraph" w:styleId="Revision">
    <w:name w:val="Revision"/>
    <w:hidden/>
    <w:uiPriority w:val="99"/>
    <w:semiHidden/>
    <w:rsid w:val="00A42F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11"/>
  </w:style>
  <w:style w:type="paragraph" w:styleId="Heading1">
    <w:name w:val="heading 1"/>
    <w:basedOn w:val="Normal"/>
    <w:next w:val="Normal"/>
    <w:link w:val="Heading1Char"/>
    <w:uiPriority w:val="9"/>
    <w:qFormat/>
    <w:rsid w:val="00B839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448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37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311"/>
    <w:rPr>
      <w:color w:val="0000FF" w:themeColor="hyperlink"/>
      <w:u w:val="single"/>
    </w:rPr>
  </w:style>
  <w:style w:type="character" w:styleId="CommentReference">
    <w:name w:val="annotation reference"/>
    <w:basedOn w:val="DefaultParagraphFont"/>
    <w:uiPriority w:val="99"/>
    <w:semiHidden/>
    <w:unhideWhenUsed/>
    <w:rsid w:val="00303311"/>
    <w:rPr>
      <w:sz w:val="18"/>
      <w:szCs w:val="18"/>
    </w:rPr>
  </w:style>
  <w:style w:type="paragraph" w:styleId="CommentText">
    <w:name w:val="annotation text"/>
    <w:basedOn w:val="Normal"/>
    <w:link w:val="CommentTextChar"/>
    <w:uiPriority w:val="99"/>
    <w:semiHidden/>
    <w:unhideWhenUsed/>
    <w:rsid w:val="00303311"/>
  </w:style>
  <w:style w:type="character" w:customStyle="1" w:styleId="CommentTextChar">
    <w:name w:val="Comment Text Char"/>
    <w:basedOn w:val="DefaultParagraphFont"/>
    <w:link w:val="CommentText"/>
    <w:uiPriority w:val="99"/>
    <w:semiHidden/>
    <w:rsid w:val="00303311"/>
  </w:style>
  <w:style w:type="paragraph" w:styleId="CommentSubject">
    <w:name w:val="annotation subject"/>
    <w:basedOn w:val="CommentText"/>
    <w:next w:val="CommentText"/>
    <w:link w:val="CommentSubjectChar"/>
    <w:uiPriority w:val="99"/>
    <w:semiHidden/>
    <w:unhideWhenUsed/>
    <w:rsid w:val="00303311"/>
    <w:rPr>
      <w:b/>
      <w:bCs/>
      <w:sz w:val="20"/>
      <w:szCs w:val="20"/>
    </w:rPr>
  </w:style>
  <w:style w:type="character" w:customStyle="1" w:styleId="CommentSubjectChar">
    <w:name w:val="Comment Subject Char"/>
    <w:basedOn w:val="CommentTextChar"/>
    <w:link w:val="CommentSubject"/>
    <w:uiPriority w:val="99"/>
    <w:semiHidden/>
    <w:rsid w:val="00303311"/>
    <w:rPr>
      <w:b/>
      <w:bCs/>
      <w:sz w:val="20"/>
      <w:szCs w:val="20"/>
    </w:rPr>
  </w:style>
  <w:style w:type="paragraph" w:styleId="BalloonText">
    <w:name w:val="Balloon Text"/>
    <w:basedOn w:val="Normal"/>
    <w:link w:val="BalloonTextChar"/>
    <w:uiPriority w:val="99"/>
    <w:semiHidden/>
    <w:unhideWhenUsed/>
    <w:rsid w:val="00303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311"/>
    <w:rPr>
      <w:rFonts w:ascii="Lucida Grande" w:hAnsi="Lucida Grande" w:cs="Lucida Grande"/>
      <w:sz w:val="18"/>
      <w:szCs w:val="18"/>
    </w:rPr>
  </w:style>
  <w:style w:type="character" w:customStyle="1" w:styleId="Heading2Char">
    <w:name w:val="Heading 2 Char"/>
    <w:basedOn w:val="DefaultParagraphFont"/>
    <w:link w:val="Heading2"/>
    <w:uiPriority w:val="9"/>
    <w:rsid w:val="00E4488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839D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032E77"/>
    <w:pPr>
      <w:ind w:left="720"/>
      <w:contextualSpacing/>
    </w:pPr>
  </w:style>
  <w:style w:type="character" w:styleId="FollowedHyperlink">
    <w:name w:val="FollowedHyperlink"/>
    <w:basedOn w:val="DefaultParagraphFont"/>
    <w:uiPriority w:val="99"/>
    <w:semiHidden/>
    <w:unhideWhenUsed/>
    <w:rsid w:val="003A36F8"/>
    <w:rPr>
      <w:color w:val="800080" w:themeColor="followedHyperlink"/>
      <w:u w:val="single"/>
    </w:rPr>
  </w:style>
  <w:style w:type="paragraph" w:styleId="NoSpacing">
    <w:name w:val="No Spacing"/>
    <w:uiPriority w:val="1"/>
    <w:qFormat/>
    <w:rsid w:val="00570B1C"/>
    <w:rPr>
      <w:rFonts w:ascii="Arial" w:hAnsi="Arial" w:cs="Arial"/>
      <w:color w:val="000000"/>
      <w:sz w:val="22"/>
      <w:szCs w:val="22"/>
      <w:lang w:eastAsia="en-GB"/>
    </w:rPr>
  </w:style>
  <w:style w:type="table" w:styleId="TableGrid">
    <w:name w:val="Table Grid"/>
    <w:basedOn w:val="TableNormal"/>
    <w:uiPriority w:val="59"/>
    <w:rsid w:val="00570B1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3371E"/>
    <w:rPr>
      <w:rFonts w:asciiTheme="majorHAnsi" w:eastAsiaTheme="majorEastAsia" w:hAnsiTheme="majorHAnsi" w:cstheme="majorBidi"/>
      <w:b/>
      <w:bCs/>
      <w:color w:val="4F81BD" w:themeColor="accent1"/>
    </w:rPr>
  </w:style>
  <w:style w:type="paragraph" w:styleId="Revision">
    <w:name w:val="Revision"/>
    <w:hidden/>
    <w:uiPriority w:val="99"/>
    <w:semiHidden/>
    <w:rsid w:val="00A4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1491">
      <w:bodyDiv w:val="1"/>
      <w:marLeft w:val="0"/>
      <w:marRight w:val="0"/>
      <w:marTop w:val="0"/>
      <w:marBottom w:val="0"/>
      <w:divBdr>
        <w:top w:val="none" w:sz="0" w:space="0" w:color="auto"/>
        <w:left w:val="none" w:sz="0" w:space="0" w:color="auto"/>
        <w:bottom w:val="none" w:sz="0" w:space="0" w:color="auto"/>
        <w:right w:val="none" w:sz="0" w:space="0" w:color="auto"/>
      </w:divBdr>
    </w:div>
    <w:div w:id="1063867173">
      <w:bodyDiv w:val="1"/>
      <w:marLeft w:val="0"/>
      <w:marRight w:val="0"/>
      <w:marTop w:val="0"/>
      <w:marBottom w:val="0"/>
      <w:divBdr>
        <w:top w:val="none" w:sz="0" w:space="0" w:color="auto"/>
        <w:left w:val="none" w:sz="0" w:space="0" w:color="auto"/>
        <w:bottom w:val="none" w:sz="0" w:space="0" w:color="auto"/>
        <w:right w:val="none" w:sz="0" w:space="0" w:color="auto"/>
      </w:divBdr>
      <w:divsChild>
        <w:div w:id="1037698267">
          <w:marLeft w:val="0"/>
          <w:marRight w:val="0"/>
          <w:marTop w:val="0"/>
          <w:marBottom w:val="0"/>
          <w:divBdr>
            <w:top w:val="none" w:sz="0" w:space="0" w:color="auto"/>
            <w:left w:val="none" w:sz="0" w:space="0" w:color="auto"/>
            <w:bottom w:val="none" w:sz="0" w:space="0" w:color="auto"/>
            <w:right w:val="none" w:sz="0" w:space="0" w:color="auto"/>
          </w:divBdr>
          <w:divsChild>
            <w:div w:id="1233542959">
              <w:marLeft w:val="0"/>
              <w:marRight w:val="0"/>
              <w:marTop w:val="0"/>
              <w:marBottom w:val="0"/>
              <w:divBdr>
                <w:top w:val="none" w:sz="0" w:space="0" w:color="auto"/>
                <w:left w:val="none" w:sz="0" w:space="0" w:color="auto"/>
                <w:bottom w:val="none" w:sz="0" w:space="0" w:color="auto"/>
                <w:right w:val="none" w:sz="0" w:space="0" w:color="auto"/>
              </w:divBdr>
              <w:divsChild>
                <w:div w:id="1450734108">
                  <w:marLeft w:val="0"/>
                  <w:marRight w:val="0"/>
                  <w:marTop w:val="0"/>
                  <w:marBottom w:val="0"/>
                  <w:divBdr>
                    <w:top w:val="none" w:sz="0" w:space="0" w:color="auto"/>
                    <w:left w:val="none" w:sz="0" w:space="0" w:color="auto"/>
                    <w:bottom w:val="none" w:sz="0" w:space="0" w:color="auto"/>
                    <w:right w:val="none" w:sz="0" w:space="0" w:color="auto"/>
                  </w:divBdr>
                  <w:divsChild>
                    <w:div w:id="2590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08875">
      <w:bodyDiv w:val="1"/>
      <w:marLeft w:val="0"/>
      <w:marRight w:val="0"/>
      <w:marTop w:val="0"/>
      <w:marBottom w:val="0"/>
      <w:divBdr>
        <w:top w:val="none" w:sz="0" w:space="0" w:color="auto"/>
        <w:left w:val="none" w:sz="0" w:space="0" w:color="auto"/>
        <w:bottom w:val="none" w:sz="0" w:space="0" w:color="auto"/>
        <w:right w:val="none" w:sz="0" w:space="0" w:color="auto"/>
      </w:divBdr>
    </w:div>
    <w:div w:id="1651401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6/09/relationships/commentsIds" Target="commentsIds.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0CAA-C248-4044-BCEC-D00666CB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9702</Words>
  <Characters>55305</Characters>
  <Application>Microsoft Macintosh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Organ</dc:creator>
  <cp:lastModifiedBy>Samantha Organ</cp:lastModifiedBy>
  <cp:revision>4</cp:revision>
  <cp:lastPrinted>2017-09-05T12:00:00Z</cp:lastPrinted>
  <dcterms:created xsi:type="dcterms:W3CDTF">2018-10-22T15:05:00Z</dcterms:created>
  <dcterms:modified xsi:type="dcterms:W3CDTF">2018-10-22T15:16:00Z</dcterms:modified>
</cp:coreProperties>
</file>