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CD3" w:rsidRPr="005C0CD3" w:rsidRDefault="005C0CD3" w:rsidP="005C0CD3">
      <w:pPr>
        <w:spacing w:line="360" w:lineRule="auto"/>
        <w:rPr>
          <w:rFonts w:asciiTheme="minorHAnsi" w:hAnsiTheme="minorHAnsi"/>
          <w:b/>
          <w:bCs/>
          <w:sz w:val="20"/>
          <w:szCs w:val="20"/>
        </w:rPr>
      </w:pPr>
      <w:r w:rsidRPr="005C0CD3">
        <w:rPr>
          <w:rFonts w:asciiTheme="minorHAnsi" w:hAnsiTheme="minorHAnsi"/>
          <w:b/>
          <w:bCs/>
          <w:sz w:val="20"/>
          <w:szCs w:val="20"/>
        </w:rPr>
        <w:t xml:space="preserve">TITLE: Accuracy of NEXUS II head injury decision rule in children. </w:t>
      </w:r>
      <w:proofErr w:type="gramStart"/>
      <w:r w:rsidRPr="005C0CD3">
        <w:rPr>
          <w:rFonts w:asciiTheme="minorHAnsi" w:hAnsiTheme="minorHAnsi"/>
          <w:b/>
          <w:bCs/>
          <w:sz w:val="20"/>
          <w:szCs w:val="20"/>
        </w:rPr>
        <w:t>A prospective cohort study.</w:t>
      </w:r>
      <w:proofErr w:type="gramEnd"/>
    </w:p>
    <w:p w:rsidR="005C0CD3" w:rsidRPr="005C0CD3" w:rsidRDefault="005C0CD3" w:rsidP="005C0CD3">
      <w:pPr>
        <w:spacing w:line="360" w:lineRule="auto"/>
        <w:rPr>
          <w:rFonts w:asciiTheme="minorHAnsi" w:hAnsiTheme="minorHAnsi"/>
          <w:b/>
          <w:bCs/>
          <w:sz w:val="20"/>
          <w:szCs w:val="20"/>
        </w:rPr>
      </w:pPr>
    </w:p>
    <w:p w:rsidR="005C0CD3" w:rsidRPr="005C0CD3" w:rsidRDefault="005C0CD3" w:rsidP="005C0CD3">
      <w:pPr>
        <w:rPr>
          <w:rFonts w:asciiTheme="minorHAnsi" w:eastAsia="Times New Roman" w:hAnsiTheme="minorHAnsi"/>
          <w:b/>
          <w:sz w:val="20"/>
          <w:szCs w:val="20"/>
          <w:lang w:eastAsia="en-AU"/>
        </w:rPr>
      </w:pPr>
      <w:r w:rsidRPr="005C0CD3">
        <w:rPr>
          <w:rFonts w:asciiTheme="minorHAnsi" w:eastAsia="Times New Roman" w:hAnsiTheme="minorHAnsi"/>
          <w:b/>
          <w:sz w:val="20"/>
          <w:szCs w:val="20"/>
          <w:lang w:eastAsia="en-AU"/>
        </w:rPr>
        <w:t xml:space="preserve">AUTHORS: </w:t>
      </w:r>
    </w:p>
    <w:p w:rsidR="005C0CD3" w:rsidRPr="005C0CD3" w:rsidRDefault="005C0CD3" w:rsidP="005C0CD3">
      <w:pPr>
        <w:spacing w:line="276" w:lineRule="auto"/>
        <w:rPr>
          <w:rFonts w:asciiTheme="minorHAnsi" w:eastAsia="Times New Roman" w:hAnsiTheme="minorHAnsi" w:cs="Arial"/>
          <w:sz w:val="20"/>
          <w:szCs w:val="20"/>
          <w:vertAlign w:val="superscript"/>
          <w:lang w:eastAsia="en-AU"/>
        </w:rPr>
      </w:pPr>
    </w:p>
    <w:p w:rsidR="005C0CD3" w:rsidRPr="005C0CD3" w:rsidRDefault="005C0CD3" w:rsidP="005C0CD3">
      <w:pPr>
        <w:tabs>
          <w:tab w:val="left" w:pos="5590"/>
        </w:tabs>
        <w:spacing w:line="276" w:lineRule="auto"/>
        <w:rPr>
          <w:rFonts w:asciiTheme="minorHAnsi" w:eastAsia="Times New Roman" w:hAnsiTheme="minorHAnsi" w:cs="Arial"/>
          <w:sz w:val="20"/>
          <w:szCs w:val="20"/>
          <w:vertAlign w:val="superscript"/>
          <w:lang w:val="de-DE" w:eastAsia="en-AU"/>
        </w:rPr>
      </w:pPr>
      <w:r w:rsidRPr="005C0CD3">
        <w:rPr>
          <w:rFonts w:asciiTheme="minorHAnsi" w:eastAsia="Times New Roman" w:hAnsiTheme="minorHAnsi" w:cs="Arial"/>
          <w:sz w:val="20"/>
          <w:szCs w:val="20"/>
          <w:lang w:val="de-DE" w:eastAsia="en-AU"/>
        </w:rPr>
        <w:t xml:space="preserve">Franz E Babl MD </w:t>
      </w:r>
      <w:r w:rsidRPr="005C0CD3">
        <w:rPr>
          <w:rFonts w:asciiTheme="minorHAnsi" w:eastAsia="Times New Roman" w:hAnsiTheme="minorHAnsi" w:cs="Arial"/>
          <w:sz w:val="20"/>
          <w:szCs w:val="20"/>
          <w:vertAlign w:val="superscript"/>
          <w:lang w:val="de-DE" w:eastAsia="en-AU"/>
        </w:rPr>
        <w:t>1-3</w:t>
      </w:r>
      <w:r w:rsidRPr="005C0CD3">
        <w:rPr>
          <w:rFonts w:asciiTheme="minorHAnsi" w:eastAsia="Times New Roman" w:hAnsiTheme="minorHAnsi" w:cs="Arial"/>
          <w:sz w:val="20"/>
          <w:szCs w:val="20"/>
          <w:vertAlign w:val="superscript"/>
          <w:lang w:val="de-DE" w:eastAsia="en-AU"/>
        </w:rPr>
        <w:tab/>
      </w:r>
    </w:p>
    <w:p w:rsidR="005C0CD3" w:rsidRPr="005C0CD3" w:rsidRDefault="005C0CD3" w:rsidP="005C0CD3">
      <w:pPr>
        <w:spacing w:line="276" w:lineRule="auto"/>
        <w:rPr>
          <w:rFonts w:asciiTheme="minorHAnsi" w:hAnsiTheme="minorHAnsi"/>
          <w:sz w:val="20"/>
          <w:szCs w:val="20"/>
        </w:rPr>
      </w:pPr>
      <w:hyperlink r:id="rId6" w:history="1">
        <w:r w:rsidRPr="005C0CD3">
          <w:rPr>
            <w:rStyle w:val="Hyperlink"/>
            <w:rFonts w:asciiTheme="minorHAnsi" w:hAnsiTheme="minorHAnsi"/>
            <w:sz w:val="20"/>
            <w:szCs w:val="20"/>
          </w:rPr>
          <w:t>franz.babl@rch.org.au</w:t>
        </w:r>
      </w:hyperlink>
    </w:p>
    <w:p w:rsidR="005C0CD3" w:rsidRPr="005C0CD3" w:rsidRDefault="005C0CD3" w:rsidP="005C0CD3">
      <w:pPr>
        <w:spacing w:line="276" w:lineRule="auto"/>
        <w:rPr>
          <w:rFonts w:asciiTheme="minorHAnsi" w:eastAsia="Times New Roman" w:hAnsiTheme="minorHAnsi" w:cs="Arial"/>
          <w:sz w:val="20"/>
          <w:szCs w:val="20"/>
          <w:lang w:val="de-DE" w:eastAsia="en-AU"/>
        </w:rPr>
      </w:pPr>
    </w:p>
    <w:p w:rsidR="005C0CD3" w:rsidRPr="005C0CD3" w:rsidRDefault="005C0CD3" w:rsidP="005C0CD3">
      <w:pPr>
        <w:spacing w:line="276" w:lineRule="auto"/>
        <w:rPr>
          <w:rFonts w:asciiTheme="minorHAnsi" w:eastAsia="Times New Roman" w:hAnsiTheme="minorHAnsi" w:cs="Arial"/>
          <w:sz w:val="20"/>
          <w:szCs w:val="20"/>
          <w:vertAlign w:val="superscript"/>
          <w:lang w:eastAsia="en-AU"/>
        </w:rPr>
      </w:pPr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 xml:space="preserve">Ed Oakley MBBS </w:t>
      </w:r>
      <w:r w:rsidRPr="005C0CD3">
        <w:rPr>
          <w:rFonts w:asciiTheme="minorHAnsi" w:eastAsia="Times New Roman" w:hAnsiTheme="minorHAnsi" w:cs="Arial"/>
          <w:sz w:val="20"/>
          <w:szCs w:val="20"/>
          <w:vertAlign w:val="superscript"/>
          <w:lang w:eastAsia="en-AU"/>
        </w:rPr>
        <w:t>1-3</w:t>
      </w:r>
    </w:p>
    <w:p w:rsidR="005C0CD3" w:rsidRPr="005C0CD3" w:rsidRDefault="005C0CD3" w:rsidP="005C0CD3">
      <w:pPr>
        <w:spacing w:line="276" w:lineRule="auto"/>
        <w:rPr>
          <w:rFonts w:asciiTheme="minorHAnsi" w:eastAsia="Times New Roman" w:hAnsiTheme="minorHAnsi" w:cs="Arial"/>
          <w:sz w:val="20"/>
          <w:szCs w:val="20"/>
          <w:lang w:eastAsia="en-AU"/>
        </w:rPr>
      </w:pPr>
      <w:hyperlink r:id="rId7" w:history="1">
        <w:r w:rsidRPr="005C0CD3">
          <w:rPr>
            <w:rStyle w:val="Hyperlink"/>
            <w:rFonts w:asciiTheme="minorHAnsi" w:eastAsia="Times New Roman" w:hAnsiTheme="minorHAnsi" w:cs="Arial"/>
            <w:sz w:val="20"/>
            <w:szCs w:val="20"/>
            <w:lang w:eastAsia="en-AU"/>
          </w:rPr>
          <w:t>ed.oakley@rch.org.au</w:t>
        </w:r>
      </w:hyperlink>
    </w:p>
    <w:p w:rsidR="005C0CD3" w:rsidRPr="005C0CD3" w:rsidRDefault="005C0CD3" w:rsidP="005C0CD3">
      <w:pPr>
        <w:spacing w:line="276" w:lineRule="auto"/>
        <w:rPr>
          <w:rFonts w:asciiTheme="minorHAnsi" w:eastAsia="Times New Roman" w:hAnsiTheme="minorHAnsi" w:cs="Arial"/>
          <w:sz w:val="20"/>
          <w:szCs w:val="20"/>
          <w:lang w:eastAsia="en-AU"/>
        </w:rPr>
      </w:pPr>
    </w:p>
    <w:p w:rsidR="005C0CD3" w:rsidRPr="005C0CD3" w:rsidRDefault="005C0CD3" w:rsidP="005C0CD3">
      <w:pPr>
        <w:spacing w:line="276" w:lineRule="auto"/>
        <w:rPr>
          <w:rFonts w:asciiTheme="minorHAnsi" w:eastAsia="Times New Roman" w:hAnsiTheme="minorHAnsi" w:cs="Arial"/>
          <w:sz w:val="20"/>
          <w:szCs w:val="20"/>
          <w:vertAlign w:val="superscript"/>
          <w:lang w:eastAsia="en-AU"/>
        </w:rPr>
      </w:pPr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 xml:space="preserve">Stuart R Dalziel PhD </w:t>
      </w:r>
      <w:r w:rsidRPr="005C0CD3">
        <w:rPr>
          <w:rFonts w:asciiTheme="minorHAnsi" w:eastAsia="Times New Roman" w:hAnsiTheme="minorHAnsi" w:cs="Arial"/>
          <w:sz w:val="20"/>
          <w:szCs w:val="20"/>
          <w:vertAlign w:val="superscript"/>
          <w:lang w:eastAsia="en-AU"/>
        </w:rPr>
        <w:t>15, 16</w:t>
      </w:r>
    </w:p>
    <w:p w:rsidR="005C0CD3" w:rsidRPr="005C0CD3" w:rsidRDefault="005C0CD3" w:rsidP="005C0CD3">
      <w:pPr>
        <w:spacing w:line="276" w:lineRule="auto"/>
        <w:rPr>
          <w:rFonts w:asciiTheme="minorHAnsi" w:eastAsia="Times New Roman" w:hAnsiTheme="minorHAnsi" w:cs="Arial"/>
          <w:sz w:val="20"/>
          <w:szCs w:val="20"/>
          <w:lang w:eastAsia="en-AU"/>
        </w:rPr>
      </w:pPr>
      <w:hyperlink r:id="rId8" w:history="1">
        <w:r w:rsidRPr="005C0CD3">
          <w:rPr>
            <w:rFonts w:asciiTheme="minorHAnsi" w:eastAsia="Times New Roman" w:hAnsiTheme="minorHAnsi" w:cs="Arial"/>
            <w:sz w:val="20"/>
            <w:szCs w:val="20"/>
            <w:lang w:eastAsia="en-AU"/>
          </w:rPr>
          <w:t>sdalziel@adhb.govt.nz</w:t>
        </w:r>
      </w:hyperlink>
    </w:p>
    <w:p w:rsidR="005C0CD3" w:rsidRPr="005C0CD3" w:rsidRDefault="005C0CD3" w:rsidP="005C0CD3">
      <w:pPr>
        <w:spacing w:line="276" w:lineRule="auto"/>
        <w:rPr>
          <w:rFonts w:asciiTheme="minorHAnsi" w:eastAsia="Times New Roman" w:hAnsiTheme="minorHAnsi" w:cs="Arial"/>
          <w:sz w:val="20"/>
          <w:szCs w:val="20"/>
          <w:lang w:eastAsia="en-AU"/>
        </w:rPr>
      </w:pPr>
    </w:p>
    <w:p w:rsidR="005C0CD3" w:rsidRPr="005C0CD3" w:rsidRDefault="005C0CD3" w:rsidP="005C0CD3">
      <w:pPr>
        <w:spacing w:line="276" w:lineRule="auto"/>
        <w:rPr>
          <w:rFonts w:asciiTheme="minorHAnsi" w:eastAsia="Times New Roman" w:hAnsiTheme="minorHAnsi" w:cs="Arial"/>
          <w:sz w:val="20"/>
          <w:szCs w:val="20"/>
          <w:vertAlign w:val="superscript"/>
          <w:lang w:eastAsia="en-AU"/>
        </w:rPr>
      </w:pPr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 xml:space="preserve">Meredith Borland MBBS </w:t>
      </w:r>
      <w:r w:rsidRPr="005C0CD3">
        <w:rPr>
          <w:rFonts w:asciiTheme="minorHAnsi" w:eastAsia="Times New Roman" w:hAnsiTheme="minorHAnsi" w:cs="Arial"/>
          <w:sz w:val="20"/>
          <w:szCs w:val="20"/>
          <w:vertAlign w:val="superscript"/>
          <w:lang w:eastAsia="en-AU"/>
        </w:rPr>
        <w:t>4, 5</w:t>
      </w:r>
    </w:p>
    <w:p w:rsidR="005C0CD3" w:rsidRPr="005C0CD3" w:rsidRDefault="005C0CD3" w:rsidP="005C0CD3">
      <w:pPr>
        <w:spacing w:line="276" w:lineRule="auto"/>
        <w:rPr>
          <w:rFonts w:asciiTheme="minorHAnsi" w:eastAsia="Times New Roman" w:hAnsiTheme="minorHAnsi" w:cs="Arial"/>
          <w:sz w:val="20"/>
          <w:szCs w:val="20"/>
          <w:lang w:eastAsia="en-AU"/>
        </w:rPr>
      </w:pPr>
      <w:hyperlink r:id="rId9" w:history="1">
        <w:r w:rsidRPr="005C0CD3">
          <w:rPr>
            <w:rStyle w:val="Hyperlink"/>
            <w:rFonts w:asciiTheme="minorHAnsi" w:eastAsia="Times New Roman" w:hAnsiTheme="minorHAnsi" w:cs="Arial"/>
            <w:sz w:val="20"/>
            <w:szCs w:val="20"/>
            <w:lang w:eastAsia="en-AU"/>
          </w:rPr>
          <w:t>meredith.borland@health.wa.gov.au</w:t>
        </w:r>
      </w:hyperlink>
    </w:p>
    <w:p w:rsidR="005C0CD3" w:rsidRPr="005C0CD3" w:rsidRDefault="005C0CD3" w:rsidP="005C0CD3">
      <w:pPr>
        <w:spacing w:line="276" w:lineRule="auto"/>
        <w:rPr>
          <w:rFonts w:asciiTheme="minorHAnsi" w:eastAsia="Times New Roman" w:hAnsiTheme="minorHAnsi" w:cs="Arial"/>
          <w:sz w:val="20"/>
          <w:szCs w:val="20"/>
          <w:lang w:eastAsia="en-AU"/>
        </w:rPr>
      </w:pPr>
    </w:p>
    <w:p w:rsidR="005C0CD3" w:rsidRPr="005C0CD3" w:rsidRDefault="005C0CD3" w:rsidP="005C0CD3">
      <w:pPr>
        <w:spacing w:line="276" w:lineRule="auto"/>
        <w:rPr>
          <w:rFonts w:asciiTheme="minorHAnsi" w:eastAsia="Times New Roman" w:hAnsiTheme="minorHAnsi" w:cs="Arial"/>
          <w:sz w:val="20"/>
          <w:szCs w:val="20"/>
          <w:vertAlign w:val="superscript"/>
          <w:lang w:eastAsia="en-AU"/>
        </w:rPr>
      </w:pPr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 xml:space="preserve">Natalie Phillips MBBS </w:t>
      </w:r>
      <w:r w:rsidRPr="005C0CD3">
        <w:rPr>
          <w:rFonts w:asciiTheme="minorHAnsi" w:eastAsia="Times New Roman" w:hAnsiTheme="minorHAnsi" w:cs="Arial"/>
          <w:sz w:val="20"/>
          <w:szCs w:val="20"/>
          <w:vertAlign w:val="superscript"/>
          <w:lang w:eastAsia="en-AU"/>
        </w:rPr>
        <w:t>6</w:t>
      </w:r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 xml:space="preserve"> </w:t>
      </w:r>
    </w:p>
    <w:p w:rsidR="005C0CD3" w:rsidRPr="005C0CD3" w:rsidRDefault="005C0CD3" w:rsidP="005C0CD3">
      <w:pPr>
        <w:spacing w:line="276" w:lineRule="auto"/>
        <w:rPr>
          <w:rFonts w:asciiTheme="minorHAnsi" w:eastAsia="Times New Roman" w:hAnsiTheme="minorHAnsi" w:cs="Arial"/>
          <w:sz w:val="20"/>
          <w:szCs w:val="20"/>
          <w:lang w:eastAsia="en-AU"/>
        </w:rPr>
      </w:pPr>
      <w:hyperlink r:id="rId10" w:history="1">
        <w:r w:rsidRPr="005C0CD3">
          <w:rPr>
            <w:rStyle w:val="Hyperlink"/>
            <w:rFonts w:asciiTheme="minorHAnsi" w:eastAsia="Times New Roman" w:hAnsiTheme="minorHAnsi" w:cs="Arial"/>
            <w:sz w:val="20"/>
            <w:szCs w:val="20"/>
            <w:lang w:eastAsia="en-AU"/>
          </w:rPr>
          <w:t>natalie.phillips@merton-oxford.com</w:t>
        </w:r>
      </w:hyperlink>
    </w:p>
    <w:p w:rsidR="005C0CD3" w:rsidRPr="005C0CD3" w:rsidRDefault="005C0CD3" w:rsidP="005C0CD3">
      <w:pPr>
        <w:spacing w:line="276" w:lineRule="auto"/>
        <w:rPr>
          <w:rFonts w:asciiTheme="minorHAnsi" w:eastAsia="Times New Roman" w:hAnsiTheme="minorHAnsi" w:cs="Arial"/>
          <w:sz w:val="20"/>
          <w:szCs w:val="20"/>
          <w:lang w:eastAsia="en-AU"/>
        </w:rPr>
      </w:pPr>
    </w:p>
    <w:p w:rsidR="005C0CD3" w:rsidRPr="005C0CD3" w:rsidRDefault="005C0CD3" w:rsidP="005C0CD3">
      <w:pPr>
        <w:spacing w:line="276" w:lineRule="auto"/>
        <w:rPr>
          <w:rFonts w:asciiTheme="minorHAnsi" w:eastAsia="Times New Roman" w:hAnsiTheme="minorHAnsi" w:cs="Arial"/>
          <w:sz w:val="20"/>
          <w:szCs w:val="20"/>
          <w:lang w:eastAsia="en-AU"/>
        </w:rPr>
      </w:pPr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 xml:space="preserve">Amit </w:t>
      </w:r>
      <w:proofErr w:type="spellStart"/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>Kochar</w:t>
      </w:r>
      <w:proofErr w:type="spellEnd"/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 xml:space="preserve"> MD</w:t>
      </w:r>
      <w:r w:rsidRPr="005C0CD3">
        <w:rPr>
          <w:rFonts w:asciiTheme="minorHAnsi" w:eastAsia="Times New Roman" w:hAnsiTheme="minorHAnsi" w:cs="Arial"/>
          <w:sz w:val="20"/>
          <w:szCs w:val="20"/>
          <w:vertAlign w:val="superscript"/>
          <w:lang w:eastAsia="en-AU"/>
        </w:rPr>
        <w:t xml:space="preserve"> 7</w:t>
      </w:r>
    </w:p>
    <w:p w:rsidR="005C0CD3" w:rsidRPr="005C0CD3" w:rsidRDefault="005C0CD3" w:rsidP="005C0CD3">
      <w:pPr>
        <w:spacing w:line="276" w:lineRule="auto"/>
        <w:rPr>
          <w:rFonts w:asciiTheme="minorHAnsi" w:eastAsia="Times New Roman" w:hAnsiTheme="minorHAnsi" w:cs="Arial"/>
          <w:sz w:val="20"/>
          <w:szCs w:val="20"/>
          <w:lang w:eastAsia="en-AU"/>
        </w:rPr>
      </w:pPr>
      <w:hyperlink r:id="rId11" w:history="1">
        <w:r w:rsidRPr="005C0CD3">
          <w:rPr>
            <w:rStyle w:val="Hyperlink"/>
            <w:rFonts w:asciiTheme="minorHAnsi" w:eastAsia="Times New Roman" w:hAnsiTheme="minorHAnsi" w:cs="Arial"/>
            <w:sz w:val="20"/>
            <w:szCs w:val="20"/>
            <w:lang w:eastAsia="en-AU"/>
          </w:rPr>
          <w:t>amit.kochar@health.sa.gov.au</w:t>
        </w:r>
      </w:hyperlink>
    </w:p>
    <w:p w:rsidR="005C0CD3" w:rsidRPr="005C0CD3" w:rsidRDefault="005C0CD3" w:rsidP="005C0CD3">
      <w:pPr>
        <w:spacing w:line="276" w:lineRule="auto"/>
        <w:rPr>
          <w:rFonts w:asciiTheme="minorHAnsi" w:eastAsia="Times New Roman" w:hAnsiTheme="minorHAnsi" w:cs="Arial"/>
          <w:sz w:val="20"/>
          <w:szCs w:val="20"/>
          <w:lang w:eastAsia="en-AU"/>
        </w:rPr>
      </w:pPr>
    </w:p>
    <w:p w:rsidR="005C0CD3" w:rsidRPr="005C0CD3" w:rsidRDefault="005C0CD3" w:rsidP="005C0CD3">
      <w:pPr>
        <w:spacing w:line="276" w:lineRule="auto"/>
        <w:rPr>
          <w:rFonts w:asciiTheme="minorHAnsi" w:eastAsia="Times New Roman" w:hAnsiTheme="minorHAnsi" w:cs="Arial"/>
          <w:sz w:val="20"/>
          <w:szCs w:val="20"/>
          <w:vertAlign w:val="superscript"/>
          <w:lang w:eastAsia="en-AU"/>
        </w:rPr>
      </w:pPr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 xml:space="preserve">Sarah Dalton </w:t>
      </w:r>
      <w:proofErr w:type="spellStart"/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>BMed</w:t>
      </w:r>
      <w:proofErr w:type="spellEnd"/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 xml:space="preserve"> </w:t>
      </w:r>
      <w:r w:rsidRPr="005C0CD3">
        <w:rPr>
          <w:rFonts w:asciiTheme="minorHAnsi" w:eastAsia="Times New Roman" w:hAnsiTheme="minorHAnsi" w:cs="Arial"/>
          <w:sz w:val="20"/>
          <w:szCs w:val="20"/>
          <w:vertAlign w:val="superscript"/>
          <w:lang w:eastAsia="en-AU"/>
        </w:rPr>
        <w:t>8</w:t>
      </w:r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 xml:space="preserve"> </w:t>
      </w:r>
    </w:p>
    <w:p w:rsidR="005C0CD3" w:rsidRPr="005C0CD3" w:rsidRDefault="005C0CD3" w:rsidP="005C0CD3">
      <w:pPr>
        <w:spacing w:line="276" w:lineRule="auto"/>
        <w:rPr>
          <w:rFonts w:asciiTheme="minorHAnsi" w:eastAsia="Times New Roman" w:hAnsiTheme="minorHAnsi" w:cs="Arial"/>
          <w:sz w:val="20"/>
          <w:szCs w:val="20"/>
          <w:lang w:eastAsia="en-AU"/>
        </w:rPr>
      </w:pPr>
      <w:hyperlink r:id="rId12" w:history="1">
        <w:r w:rsidRPr="005C0CD3">
          <w:rPr>
            <w:rStyle w:val="Hyperlink"/>
            <w:rFonts w:asciiTheme="minorHAnsi" w:eastAsia="Times New Roman" w:hAnsiTheme="minorHAnsi" w:cs="Arial"/>
            <w:sz w:val="20"/>
            <w:szCs w:val="20"/>
            <w:lang w:eastAsia="en-AU"/>
          </w:rPr>
          <w:t>sarah.dalton@health.nsw.gov.au</w:t>
        </w:r>
      </w:hyperlink>
    </w:p>
    <w:p w:rsidR="005C0CD3" w:rsidRPr="005C0CD3" w:rsidRDefault="005C0CD3" w:rsidP="005C0CD3">
      <w:pPr>
        <w:spacing w:line="276" w:lineRule="auto"/>
        <w:rPr>
          <w:rFonts w:asciiTheme="minorHAnsi" w:eastAsia="Times New Roman" w:hAnsiTheme="minorHAnsi" w:cs="Arial"/>
          <w:sz w:val="20"/>
          <w:szCs w:val="20"/>
          <w:lang w:eastAsia="en-AU"/>
        </w:rPr>
      </w:pPr>
    </w:p>
    <w:p w:rsidR="005C0CD3" w:rsidRPr="005C0CD3" w:rsidRDefault="005C0CD3" w:rsidP="005C0CD3">
      <w:pPr>
        <w:spacing w:line="276" w:lineRule="auto"/>
        <w:rPr>
          <w:rFonts w:asciiTheme="minorHAnsi" w:eastAsia="Times New Roman" w:hAnsiTheme="minorHAnsi" w:cs="Arial"/>
          <w:sz w:val="20"/>
          <w:szCs w:val="20"/>
          <w:lang w:eastAsia="en-AU"/>
        </w:rPr>
      </w:pPr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 xml:space="preserve">John A. Cheek MBBS </w:t>
      </w:r>
      <w:r w:rsidRPr="005C0CD3">
        <w:rPr>
          <w:rFonts w:asciiTheme="minorHAnsi" w:eastAsia="Times New Roman" w:hAnsiTheme="minorHAnsi" w:cs="Arial"/>
          <w:sz w:val="20"/>
          <w:szCs w:val="20"/>
          <w:vertAlign w:val="superscript"/>
          <w:lang w:eastAsia="en-AU"/>
        </w:rPr>
        <w:t>1, 2, 9</w:t>
      </w:r>
    </w:p>
    <w:p w:rsidR="005C0CD3" w:rsidRPr="005C0CD3" w:rsidRDefault="005C0CD3" w:rsidP="005C0CD3">
      <w:pPr>
        <w:spacing w:line="276" w:lineRule="auto"/>
        <w:rPr>
          <w:rFonts w:asciiTheme="minorHAnsi" w:eastAsia="Times New Roman" w:hAnsiTheme="minorHAnsi" w:cs="Arial"/>
          <w:sz w:val="20"/>
          <w:szCs w:val="20"/>
          <w:lang w:eastAsia="en-AU"/>
        </w:rPr>
      </w:pPr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>john.cheek@rch.org.au</w:t>
      </w:r>
    </w:p>
    <w:p w:rsidR="005C0CD3" w:rsidRPr="005C0CD3" w:rsidRDefault="005C0CD3" w:rsidP="005C0CD3">
      <w:pPr>
        <w:spacing w:line="276" w:lineRule="auto"/>
        <w:rPr>
          <w:rFonts w:asciiTheme="minorHAnsi" w:eastAsia="Times New Roman" w:hAnsiTheme="minorHAnsi" w:cs="Arial"/>
          <w:sz w:val="20"/>
          <w:szCs w:val="20"/>
          <w:lang w:eastAsia="en-AU"/>
        </w:rPr>
      </w:pPr>
    </w:p>
    <w:p w:rsidR="005C0CD3" w:rsidRPr="005C0CD3" w:rsidRDefault="005C0CD3" w:rsidP="005C0CD3">
      <w:pPr>
        <w:spacing w:line="276" w:lineRule="auto"/>
        <w:rPr>
          <w:rFonts w:asciiTheme="minorHAnsi" w:eastAsia="Times New Roman" w:hAnsiTheme="minorHAnsi" w:cs="Arial"/>
          <w:sz w:val="20"/>
          <w:szCs w:val="20"/>
          <w:vertAlign w:val="superscript"/>
          <w:lang w:eastAsia="en-AU"/>
        </w:rPr>
      </w:pPr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 xml:space="preserve">Yuri </w:t>
      </w:r>
      <w:proofErr w:type="spellStart"/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>Gilhotra</w:t>
      </w:r>
      <w:proofErr w:type="spellEnd"/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 xml:space="preserve"> MBBS </w:t>
      </w:r>
      <w:r w:rsidRPr="005C0CD3">
        <w:rPr>
          <w:rFonts w:asciiTheme="minorHAnsi" w:eastAsia="Times New Roman" w:hAnsiTheme="minorHAnsi" w:cs="Arial"/>
          <w:sz w:val="20"/>
          <w:szCs w:val="20"/>
          <w:vertAlign w:val="superscript"/>
          <w:lang w:eastAsia="en-AU"/>
        </w:rPr>
        <w:t>6</w:t>
      </w:r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 xml:space="preserve"> </w:t>
      </w:r>
    </w:p>
    <w:p w:rsidR="005C0CD3" w:rsidRPr="005C0CD3" w:rsidRDefault="005C0CD3" w:rsidP="005C0CD3">
      <w:pPr>
        <w:spacing w:line="276" w:lineRule="auto"/>
        <w:rPr>
          <w:rFonts w:asciiTheme="minorHAnsi" w:eastAsia="Times New Roman" w:hAnsiTheme="minorHAnsi" w:cs="Arial"/>
          <w:sz w:val="20"/>
          <w:szCs w:val="20"/>
          <w:lang w:eastAsia="en-AU"/>
        </w:rPr>
      </w:pPr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>yurigilhotra@me.com</w:t>
      </w:r>
    </w:p>
    <w:p w:rsidR="005C0CD3" w:rsidRPr="005C0CD3" w:rsidRDefault="005C0CD3" w:rsidP="005C0CD3">
      <w:pPr>
        <w:spacing w:line="276" w:lineRule="auto"/>
        <w:rPr>
          <w:rFonts w:asciiTheme="minorHAnsi" w:eastAsia="Times New Roman" w:hAnsiTheme="minorHAnsi" w:cs="Arial"/>
          <w:sz w:val="20"/>
          <w:szCs w:val="20"/>
          <w:lang w:eastAsia="en-AU"/>
        </w:rPr>
      </w:pPr>
    </w:p>
    <w:p w:rsidR="005C0CD3" w:rsidRPr="005C0CD3" w:rsidRDefault="005C0CD3" w:rsidP="005C0CD3">
      <w:pPr>
        <w:spacing w:line="276" w:lineRule="auto"/>
        <w:rPr>
          <w:rFonts w:asciiTheme="minorHAnsi" w:eastAsia="Times New Roman" w:hAnsiTheme="minorHAnsi" w:cs="Arial"/>
          <w:sz w:val="20"/>
          <w:szCs w:val="20"/>
          <w:lang w:eastAsia="en-AU"/>
        </w:rPr>
      </w:pPr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 xml:space="preserve">Jeremy </w:t>
      </w:r>
      <w:proofErr w:type="spellStart"/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>Furyk</w:t>
      </w:r>
      <w:proofErr w:type="spellEnd"/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 xml:space="preserve"> MBBS </w:t>
      </w:r>
      <w:r w:rsidRPr="005C0CD3">
        <w:rPr>
          <w:rFonts w:asciiTheme="minorHAnsi" w:eastAsia="Times New Roman" w:hAnsiTheme="minorHAnsi" w:cs="Arial"/>
          <w:sz w:val="20"/>
          <w:szCs w:val="20"/>
          <w:vertAlign w:val="superscript"/>
          <w:lang w:eastAsia="en-AU"/>
        </w:rPr>
        <w:t>10</w:t>
      </w:r>
    </w:p>
    <w:p w:rsidR="005C0CD3" w:rsidRPr="005C0CD3" w:rsidRDefault="005C0CD3" w:rsidP="005C0CD3">
      <w:pPr>
        <w:spacing w:line="276" w:lineRule="auto"/>
        <w:rPr>
          <w:rFonts w:asciiTheme="minorHAnsi" w:eastAsia="Times New Roman" w:hAnsiTheme="minorHAnsi" w:cs="Arial"/>
          <w:sz w:val="20"/>
          <w:szCs w:val="20"/>
          <w:lang w:eastAsia="en-AU"/>
        </w:rPr>
      </w:pPr>
      <w:hyperlink r:id="rId13" w:history="1">
        <w:r w:rsidRPr="005C0CD3">
          <w:rPr>
            <w:rStyle w:val="Hyperlink"/>
            <w:rFonts w:asciiTheme="minorHAnsi" w:eastAsia="Times New Roman" w:hAnsiTheme="minorHAnsi" w:cs="Arial"/>
            <w:sz w:val="20"/>
            <w:szCs w:val="20"/>
            <w:lang w:eastAsia="en-AU"/>
          </w:rPr>
          <w:t>jeremy.furyk@health.qld.gov.au</w:t>
        </w:r>
      </w:hyperlink>
    </w:p>
    <w:p w:rsidR="005C0CD3" w:rsidRPr="005C0CD3" w:rsidRDefault="005C0CD3" w:rsidP="005C0CD3">
      <w:pPr>
        <w:spacing w:line="276" w:lineRule="auto"/>
        <w:rPr>
          <w:rFonts w:asciiTheme="minorHAnsi" w:eastAsia="Times New Roman" w:hAnsiTheme="minorHAnsi" w:cs="Arial"/>
          <w:sz w:val="20"/>
          <w:szCs w:val="20"/>
          <w:lang w:eastAsia="en-AU"/>
        </w:rPr>
      </w:pPr>
    </w:p>
    <w:p w:rsidR="005C0CD3" w:rsidRPr="005C0CD3" w:rsidRDefault="005C0CD3" w:rsidP="005C0CD3">
      <w:pPr>
        <w:spacing w:line="276" w:lineRule="auto"/>
        <w:rPr>
          <w:rFonts w:asciiTheme="minorHAnsi" w:eastAsia="Times New Roman" w:hAnsiTheme="minorHAnsi" w:cs="Arial"/>
          <w:sz w:val="20"/>
          <w:szCs w:val="20"/>
          <w:vertAlign w:val="superscript"/>
          <w:lang w:eastAsia="en-AU"/>
        </w:rPr>
      </w:pPr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 xml:space="preserve">Jocelyn </w:t>
      </w:r>
      <w:proofErr w:type="spellStart"/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>Neutze</w:t>
      </w:r>
      <w:proofErr w:type="spellEnd"/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 xml:space="preserve"> </w:t>
      </w:r>
      <w:proofErr w:type="spellStart"/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>MBChB</w:t>
      </w:r>
      <w:proofErr w:type="spellEnd"/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 xml:space="preserve"> </w:t>
      </w:r>
      <w:r w:rsidRPr="005C0CD3">
        <w:rPr>
          <w:rFonts w:asciiTheme="minorHAnsi" w:eastAsia="Times New Roman" w:hAnsiTheme="minorHAnsi" w:cs="Arial"/>
          <w:sz w:val="20"/>
          <w:szCs w:val="20"/>
          <w:vertAlign w:val="superscript"/>
          <w:lang w:eastAsia="en-AU"/>
        </w:rPr>
        <w:t>11</w:t>
      </w:r>
    </w:p>
    <w:p w:rsidR="005C0CD3" w:rsidRPr="005C0CD3" w:rsidRDefault="005C0CD3" w:rsidP="005C0CD3">
      <w:pPr>
        <w:spacing w:line="276" w:lineRule="auto"/>
        <w:rPr>
          <w:rFonts w:asciiTheme="minorHAnsi" w:eastAsia="Times New Roman" w:hAnsiTheme="minorHAnsi" w:cs="Arial"/>
          <w:sz w:val="20"/>
          <w:szCs w:val="20"/>
          <w:lang w:eastAsia="en-AU"/>
        </w:rPr>
      </w:pPr>
      <w:hyperlink r:id="rId14" w:history="1">
        <w:r w:rsidRPr="005C0CD3">
          <w:rPr>
            <w:rStyle w:val="Hyperlink"/>
            <w:rFonts w:asciiTheme="minorHAnsi" w:eastAsia="Times New Roman" w:hAnsiTheme="minorHAnsi" w:cs="Arial"/>
            <w:sz w:val="20"/>
            <w:szCs w:val="20"/>
            <w:lang w:eastAsia="en-AU"/>
          </w:rPr>
          <w:t>jocelyn.neutze@middlemore.co.nz</w:t>
        </w:r>
      </w:hyperlink>
    </w:p>
    <w:p w:rsidR="005C0CD3" w:rsidRPr="005C0CD3" w:rsidRDefault="005C0CD3" w:rsidP="005C0CD3">
      <w:pPr>
        <w:spacing w:line="276" w:lineRule="auto"/>
        <w:rPr>
          <w:rFonts w:asciiTheme="minorHAnsi" w:eastAsia="Times New Roman" w:hAnsiTheme="minorHAnsi" w:cs="Arial"/>
          <w:sz w:val="20"/>
          <w:szCs w:val="20"/>
          <w:lang w:eastAsia="en-AU"/>
        </w:rPr>
      </w:pPr>
    </w:p>
    <w:p w:rsidR="005C0CD3" w:rsidRPr="005C0CD3" w:rsidRDefault="005C0CD3" w:rsidP="005C0CD3">
      <w:pPr>
        <w:spacing w:line="276" w:lineRule="auto"/>
        <w:rPr>
          <w:rFonts w:asciiTheme="minorHAnsi" w:eastAsia="Times New Roman" w:hAnsiTheme="minorHAnsi" w:cs="Arial"/>
          <w:sz w:val="20"/>
          <w:szCs w:val="20"/>
          <w:lang w:eastAsia="en-AU"/>
        </w:rPr>
      </w:pPr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 xml:space="preserve">Mark D. Lyttle </w:t>
      </w:r>
      <w:proofErr w:type="spellStart"/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>MBChB</w:t>
      </w:r>
      <w:proofErr w:type="spellEnd"/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 xml:space="preserve"> </w:t>
      </w:r>
      <w:r w:rsidRPr="005C0CD3">
        <w:rPr>
          <w:rFonts w:asciiTheme="minorHAnsi" w:eastAsia="Times New Roman" w:hAnsiTheme="minorHAnsi" w:cs="Arial"/>
          <w:sz w:val="20"/>
          <w:szCs w:val="20"/>
          <w:vertAlign w:val="superscript"/>
          <w:lang w:eastAsia="en-AU"/>
        </w:rPr>
        <w:t>2, 12, 13</w:t>
      </w:r>
    </w:p>
    <w:p w:rsidR="005C0CD3" w:rsidRPr="005C0CD3" w:rsidRDefault="005C0CD3" w:rsidP="005C0CD3">
      <w:pPr>
        <w:spacing w:line="276" w:lineRule="auto"/>
        <w:rPr>
          <w:rFonts w:asciiTheme="minorHAnsi" w:eastAsia="Times New Roman" w:hAnsiTheme="minorHAnsi" w:cs="Arial"/>
          <w:sz w:val="20"/>
          <w:szCs w:val="20"/>
          <w:lang w:eastAsia="en-AU"/>
        </w:rPr>
      </w:pPr>
      <w:hyperlink r:id="rId15" w:history="1">
        <w:r w:rsidRPr="005C0CD3">
          <w:rPr>
            <w:rFonts w:asciiTheme="minorHAnsi" w:eastAsia="Times New Roman" w:hAnsiTheme="minorHAnsi" w:cs="Arial"/>
            <w:sz w:val="20"/>
            <w:szCs w:val="20"/>
            <w:lang w:eastAsia="en-AU"/>
          </w:rPr>
          <w:t>mdlyttle77@gmail.com</w:t>
        </w:r>
      </w:hyperlink>
    </w:p>
    <w:p w:rsidR="005C0CD3" w:rsidRPr="005C0CD3" w:rsidRDefault="005C0CD3" w:rsidP="005C0CD3">
      <w:pPr>
        <w:spacing w:line="276" w:lineRule="auto"/>
        <w:rPr>
          <w:rFonts w:asciiTheme="minorHAnsi" w:eastAsia="Times New Roman" w:hAnsiTheme="minorHAnsi" w:cs="Arial"/>
          <w:sz w:val="20"/>
          <w:szCs w:val="20"/>
          <w:lang w:eastAsia="en-AU"/>
        </w:rPr>
      </w:pPr>
    </w:p>
    <w:p w:rsidR="005C0CD3" w:rsidRPr="005C0CD3" w:rsidRDefault="005C0CD3" w:rsidP="005C0CD3">
      <w:pPr>
        <w:spacing w:line="276" w:lineRule="auto"/>
        <w:jc w:val="both"/>
        <w:rPr>
          <w:rFonts w:asciiTheme="minorHAnsi" w:eastAsia="Times New Roman" w:hAnsiTheme="minorHAnsi" w:cs="Arial"/>
          <w:sz w:val="20"/>
          <w:szCs w:val="20"/>
          <w:lang w:eastAsia="en-AU"/>
        </w:rPr>
      </w:pPr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 xml:space="preserve">Susan Donath MA </w:t>
      </w:r>
      <w:r w:rsidRPr="005C0CD3">
        <w:rPr>
          <w:rFonts w:asciiTheme="minorHAnsi" w:eastAsia="Times New Roman" w:hAnsiTheme="minorHAnsi" w:cs="Arial"/>
          <w:sz w:val="20"/>
          <w:szCs w:val="20"/>
          <w:vertAlign w:val="superscript"/>
          <w:lang w:eastAsia="en-AU"/>
        </w:rPr>
        <w:t>2, 3</w:t>
      </w:r>
    </w:p>
    <w:p w:rsidR="005C0CD3" w:rsidRPr="005C0CD3" w:rsidRDefault="005C0CD3" w:rsidP="005C0CD3">
      <w:pPr>
        <w:spacing w:line="276" w:lineRule="auto"/>
        <w:jc w:val="both"/>
        <w:rPr>
          <w:rFonts w:asciiTheme="minorHAnsi" w:eastAsia="Times New Roman" w:hAnsiTheme="minorHAnsi" w:cs="Arial"/>
          <w:sz w:val="20"/>
          <w:szCs w:val="20"/>
          <w:lang w:eastAsia="en-AU"/>
        </w:rPr>
      </w:pPr>
      <w:hyperlink r:id="rId16" w:history="1">
        <w:r w:rsidRPr="005C0CD3">
          <w:rPr>
            <w:rStyle w:val="Hyperlink"/>
            <w:rFonts w:asciiTheme="minorHAnsi" w:eastAsia="Times New Roman" w:hAnsiTheme="minorHAnsi" w:cs="Arial"/>
            <w:sz w:val="20"/>
            <w:szCs w:val="20"/>
            <w:lang w:eastAsia="en-AU"/>
          </w:rPr>
          <w:t>susan.donath@mcri.edu.au</w:t>
        </w:r>
      </w:hyperlink>
    </w:p>
    <w:p w:rsidR="005C0CD3" w:rsidRPr="005C0CD3" w:rsidRDefault="005C0CD3" w:rsidP="005C0CD3">
      <w:pPr>
        <w:spacing w:line="276" w:lineRule="auto"/>
        <w:jc w:val="both"/>
        <w:rPr>
          <w:rFonts w:asciiTheme="minorHAnsi" w:eastAsia="Times New Roman" w:hAnsiTheme="minorHAnsi" w:cs="Arial"/>
          <w:sz w:val="20"/>
          <w:szCs w:val="20"/>
          <w:lang w:eastAsia="en-AU"/>
        </w:rPr>
      </w:pPr>
    </w:p>
    <w:p w:rsidR="005C0CD3" w:rsidRPr="005C0CD3" w:rsidRDefault="005C0CD3" w:rsidP="005C0CD3">
      <w:pPr>
        <w:spacing w:line="276" w:lineRule="auto"/>
        <w:jc w:val="both"/>
        <w:rPr>
          <w:rFonts w:asciiTheme="minorHAnsi" w:eastAsia="Times New Roman" w:hAnsiTheme="minorHAnsi" w:cs="Arial"/>
          <w:sz w:val="20"/>
          <w:szCs w:val="20"/>
          <w:lang w:eastAsia="en-AU"/>
        </w:rPr>
      </w:pPr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 xml:space="preserve">Stephen </w:t>
      </w:r>
      <w:proofErr w:type="spellStart"/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>Hearps</w:t>
      </w:r>
      <w:proofErr w:type="spellEnd"/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 xml:space="preserve"> PGDipPsych</w:t>
      </w:r>
      <w:r w:rsidRPr="005C0CD3">
        <w:rPr>
          <w:rFonts w:asciiTheme="minorHAnsi" w:eastAsia="Times New Roman" w:hAnsiTheme="minorHAnsi" w:cs="Arial"/>
          <w:sz w:val="20"/>
          <w:szCs w:val="20"/>
          <w:vertAlign w:val="superscript"/>
          <w:lang w:eastAsia="en-AU"/>
        </w:rPr>
        <w:t>2</w:t>
      </w:r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 xml:space="preserve"> </w:t>
      </w:r>
    </w:p>
    <w:p w:rsidR="005C0CD3" w:rsidRPr="005C0CD3" w:rsidRDefault="005C0CD3" w:rsidP="005C0CD3">
      <w:pPr>
        <w:spacing w:line="276" w:lineRule="auto"/>
        <w:jc w:val="both"/>
        <w:rPr>
          <w:rFonts w:asciiTheme="minorHAnsi" w:eastAsia="Times New Roman" w:hAnsiTheme="minorHAnsi" w:cs="Arial"/>
          <w:sz w:val="20"/>
          <w:szCs w:val="20"/>
          <w:lang w:eastAsia="en-AU"/>
        </w:rPr>
      </w:pPr>
      <w:hyperlink r:id="rId17" w:history="1">
        <w:r w:rsidRPr="005C0CD3">
          <w:rPr>
            <w:rStyle w:val="Hyperlink"/>
            <w:rFonts w:asciiTheme="minorHAnsi" w:eastAsia="Times New Roman" w:hAnsiTheme="minorHAnsi" w:cs="Arial"/>
            <w:sz w:val="20"/>
            <w:szCs w:val="20"/>
            <w:lang w:eastAsia="en-AU"/>
          </w:rPr>
          <w:t>stephen.hearps@mcri.edu.au</w:t>
        </w:r>
      </w:hyperlink>
    </w:p>
    <w:p w:rsidR="005C0CD3" w:rsidRPr="005C0CD3" w:rsidRDefault="005C0CD3" w:rsidP="005C0CD3">
      <w:pPr>
        <w:spacing w:line="276" w:lineRule="auto"/>
        <w:jc w:val="both"/>
        <w:rPr>
          <w:rFonts w:asciiTheme="minorHAnsi" w:eastAsia="Times New Roman" w:hAnsiTheme="minorHAnsi" w:cs="Arial"/>
          <w:sz w:val="20"/>
          <w:szCs w:val="20"/>
          <w:lang w:eastAsia="en-AU"/>
        </w:rPr>
      </w:pPr>
    </w:p>
    <w:p w:rsidR="005C0CD3" w:rsidRPr="005C0CD3" w:rsidRDefault="005C0CD3" w:rsidP="005C0CD3">
      <w:pPr>
        <w:spacing w:line="276" w:lineRule="auto"/>
        <w:jc w:val="both"/>
        <w:rPr>
          <w:rFonts w:asciiTheme="minorHAnsi" w:eastAsia="Times New Roman" w:hAnsiTheme="minorHAnsi" w:cs="Arial"/>
          <w:sz w:val="20"/>
          <w:szCs w:val="20"/>
          <w:vertAlign w:val="superscript"/>
          <w:lang w:eastAsia="en-AU"/>
        </w:rPr>
      </w:pPr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 xml:space="preserve">Louise Crowe PhD </w:t>
      </w:r>
      <w:r w:rsidRPr="005C0CD3">
        <w:rPr>
          <w:rFonts w:asciiTheme="minorHAnsi" w:eastAsia="Times New Roman" w:hAnsiTheme="minorHAnsi" w:cs="Arial"/>
          <w:sz w:val="20"/>
          <w:szCs w:val="20"/>
          <w:vertAlign w:val="superscript"/>
          <w:lang w:eastAsia="en-AU"/>
        </w:rPr>
        <w:t>2</w:t>
      </w:r>
    </w:p>
    <w:p w:rsidR="005C0CD3" w:rsidRPr="005C0CD3" w:rsidRDefault="005C0CD3" w:rsidP="005C0CD3">
      <w:pPr>
        <w:spacing w:line="276" w:lineRule="auto"/>
        <w:jc w:val="both"/>
        <w:rPr>
          <w:rFonts w:asciiTheme="minorHAnsi" w:eastAsia="Times New Roman" w:hAnsiTheme="minorHAnsi" w:cs="Arial"/>
          <w:sz w:val="20"/>
          <w:szCs w:val="20"/>
          <w:lang w:eastAsia="en-AU"/>
        </w:rPr>
      </w:pPr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>louise.crowe@mcri.edu.au</w:t>
      </w:r>
    </w:p>
    <w:p w:rsidR="005C0CD3" w:rsidRPr="005C0CD3" w:rsidRDefault="005C0CD3" w:rsidP="005C0CD3">
      <w:pPr>
        <w:spacing w:line="276" w:lineRule="auto"/>
        <w:jc w:val="both"/>
        <w:rPr>
          <w:rFonts w:asciiTheme="minorHAnsi" w:eastAsia="Times New Roman" w:hAnsiTheme="minorHAnsi" w:cs="Arial"/>
          <w:sz w:val="20"/>
          <w:szCs w:val="20"/>
          <w:lang w:eastAsia="en-AU"/>
        </w:rPr>
      </w:pPr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 xml:space="preserve"> </w:t>
      </w:r>
    </w:p>
    <w:p w:rsidR="005C0CD3" w:rsidRPr="005C0CD3" w:rsidRDefault="005C0CD3" w:rsidP="005C0CD3">
      <w:pPr>
        <w:spacing w:line="276" w:lineRule="auto"/>
        <w:jc w:val="both"/>
        <w:rPr>
          <w:rFonts w:asciiTheme="minorHAnsi" w:eastAsia="Times New Roman" w:hAnsiTheme="minorHAnsi" w:cs="Arial"/>
          <w:sz w:val="20"/>
          <w:szCs w:val="20"/>
          <w:vertAlign w:val="superscript"/>
          <w:lang w:eastAsia="en-AU"/>
        </w:rPr>
      </w:pPr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lastRenderedPageBreak/>
        <w:t xml:space="preserve">Marta </w:t>
      </w:r>
      <w:proofErr w:type="spellStart"/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>Arpone</w:t>
      </w:r>
      <w:proofErr w:type="spellEnd"/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 xml:space="preserve"> MSc </w:t>
      </w:r>
      <w:r w:rsidRPr="005C0CD3">
        <w:rPr>
          <w:rFonts w:asciiTheme="minorHAnsi" w:eastAsia="Times New Roman" w:hAnsiTheme="minorHAnsi" w:cs="Arial"/>
          <w:sz w:val="20"/>
          <w:szCs w:val="20"/>
          <w:vertAlign w:val="superscript"/>
          <w:lang w:eastAsia="en-AU"/>
        </w:rPr>
        <w:t>2, 3</w:t>
      </w:r>
    </w:p>
    <w:p w:rsidR="005C0CD3" w:rsidRPr="005C0CD3" w:rsidRDefault="005C0CD3" w:rsidP="005C0CD3">
      <w:pPr>
        <w:spacing w:line="276" w:lineRule="auto"/>
        <w:jc w:val="both"/>
        <w:rPr>
          <w:rFonts w:asciiTheme="minorHAnsi" w:eastAsia="Times New Roman" w:hAnsiTheme="minorHAnsi" w:cs="Arial"/>
          <w:sz w:val="20"/>
          <w:szCs w:val="20"/>
          <w:lang w:eastAsia="en-AU"/>
        </w:rPr>
      </w:pPr>
      <w:hyperlink r:id="rId18" w:history="1">
        <w:r w:rsidRPr="005C0CD3">
          <w:rPr>
            <w:rStyle w:val="Hyperlink"/>
            <w:rFonts w:asciiTheme="minorHAnsi" w:eastAsia="Times New Roman" w:hAnsiTheme="minorHAnsi" w:cs="Arial"/>
            <w:sz w:val="20"/>
            <w:szCs w:val="20"/>
            <w:lang w:eastAsia="en-AU"/>
          </w:rPr>
          <w:t>marta.arpone@mcri.edu.au</w:t>
        </w:r>
      </w:hyperlink>
    </w:p>
    <w:p w:rsidR="005C0CD3" w:rsidRPr="005C0CD3" w:rsidRDefault="005C0CD3" w:rsidP="005C0CD3">
      <w:pPr>
        <w:spacing w:line="276" w:lineRule="auto"/>
        <w:jc w:val="both"/>
        <w:rPr>
          <w:rFonts w:asciiTheme="minorHAnsi" w:eastAsia="Times New Roman" w:hAnsiTheme="minorHAnsi" w:cs="Arial"/>
          <w:sz w:val="20"/>
          <w:szCs w:val="20"/>
          <w:lang w:eastAsia="en-AU"/>
        </w:rPr>
      </w:pPr>
    </w:p>
    <w:p w:rsidR="005C0CD3" w:rsidRPr="005C0CD3" w:rsidRDefault="005C0CD3" w:rsidP="005C0CD3">
      <w:pPr>
        <w:spacing w:line="276" w:lineRule="auto"/>
        <w:rPr>
          <w:rFonts w:asciiTheme="minorHAnsi" w:eastAsia="Times New Roman" w:hAnsiTheme="minorHAnsi" w:cs="Arial"/>
          <w:sz w:val="20"/>
          <w:szCs w:val="20"/>
          <w:vertAlign w:val="superscript"/>
          <w:lang w:eastAsia="en-AU"/>
        </w:rPr>
      </w:pPr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 xml:space="preserve">Silvia </w:t>
      </w:r>
      <w:proofErr w:type="spellStart"/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>Bressan</w:t>
      </w:r>
      <w:proofErr w:type="spellEnd"/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 xml:space="preserve"> MD, PhD </w:t>
      </w:r>
      <w:r w:rsidRPr="005C0CD3">
        <w:rPr>
          <w:rFonts w:asciiTheme="minorHAnsi" w:eastAsia="Times New Roman" w:hAnsiTheme="minorHAnsi" w:cs="Arial"/>
          <w:sz w:val="20"/>
          <w:szCs w:val="20"/>
          <w:vertAlign w:val="superscript"/>
          <w:lang w:eastAsia="en-AU"/>
        </w:rPr>
        <w:t>2, 14</w:t>
      </w:r>
    </w:p>
    <w:p w:rsidR="005C0CD3" w:rsidRPr="005C0CD3" w:rsidRDefault="005C0CD3" w:rsidP="005C0CD3">
      <w:pPr>
        <w:spacing w:line="276" w:lineRule="auto"/>
        <w:rPr>
          <w:rFonts w:asciiTheme="minorHAnsi" w:eastAsia="Times New Roman" w:hAnsiTheme="minorHAnsi" w:cs="Arial"/>
          <w:sz w:val="20"/>
          <w:szCs w:val="20"/>
          <w:lang w:eastAsia="en-AU"/>
        </w:rPr>
      </w:pPr>
      <w:hyperlink r:id="rId19" w:history="1">
        <w:r w:rsidRPr="005C0CD3">
          <w:rPr>
            <w:rStyle w:val="Hyperlink"/>
            <w:rFonts w:asciiTheme="minorHAnsi" w:eastAsia="Times New Roman" w:hAnsiTheme="minorHAnsi" w:cs="Arial"/>
            <w:sz w:val="20"/>
            <w:szCs w:val="20"/>
            <w:lang w:eastAsia="en-AU"/>
          </w:rPr>
          <w:t>silviabress@gmail.com</w:t>
        </w:r>
      </w:hyperlink>
    </w:p>
    <w:p w:rsidR="005C0CD3" w:rsidRPr="005C0CD3" w:rsidRDefault="005C0CD3" w:rsidP="005C0CD3">
      <w:pPr>
        <w:rPr>
          <w:rFonts w:asciiTheme="minorHAnsi" w:eastAsia="Times New Roman" w:hAnsiTheme="minorHAnsi"/>
          <w:sz w:val="20"/>
          <w:szCs w:val="20"/>
          <w:lang w:eastAsia="en-AU"/>
        </w:rPr>
      </w:pPr>
    </w:p>
    <w:p w:rsidR="005C0CD3" w:rsidRPr="005C0CD3" w:rsidRDefault="005C0CD3" w:rsidP="005C0CD3">
      <w:pPr>
        <w:rPr>
          <w:rFonts w:asciiTheme="minorHAnsi" w:eastAsia="Times New Roman" w:hAnsiTheme="minorHAnsi"/>
          <w:sz w:val="20"/>
          <w:szCs w:val="20"/>
          <w:lang w:eastAsia="en-AU"/>
        </w:rPr>
      </w:pPr>
    </w:p>
    <w:p w:rsidR="005C0CD3" w:rsidRPr="005C0CD3" w:rsidRDefault="005C0CD3" w:rsidP="005C0CD3">
      <w:pPr>
        <w:rPr>
          <w:rFonts w:asciiTheme="minorHAnsi" w:eastAsia="Times New Roman" w:hAnsiTheme="minorHAnsi"/>
          <w:b/>
          <w:sz w:val="20"/>
          <w:szCs w:val="20"/>
          <w:lang w:eastAsia="en-AU"/>
        </w:rPr>
      </w:pPr>
      <w:r w:rsidRPr="005C0CD3">
        <w:rPr>
          <w:rFonts w:asciiTheme="minorHAnsi" w:eastAsia="Times New Roman" w:hAnsiTheme="minorHAnsi"/>
          <w:b/>
          <w:sz w:val="20"/>
          <w:szCs w:val="20"/>
          <w:lang w:eastAsia="en-AU"/>
        </w:rPr>
        <w:t xml:space="preserve">Affiliations: </w:t>
      </w:r>
    </w:p>
    <w:p w:rsidR="005C0CD3" w:rsidRPr="005C0CD3" w:rsidRDefault="005C0CD3" w:rsidP="005C0CD3">
      <w:pPr>
        <w:spacing w:line="276" w:lineRule="auto"/>
        <w:rPr>
          <w:rFonts w:asciiTheme="minorHAnsi" w:eastAsia="Times New Roman" w:hAnsiTheme="minorHAnsi" w:cs="Arial"/>
          <w:sz w:val="20"/>
          <w:szCs w:val="20"/>
          <w:vertAlign w:val="superscript"/>
          <w:lang w:eastAsia="en-AU"/>
        </w:rPr>
      </w:pPr>
    </w:p>
    <w:p w:rsidR="005C0CD3" w:rsidRPr="005C0CD3" w:rsidRDefault="005C0CD3" w:rsidP="005C0CD3">
      <w:pPr>
        <w:spacing w:line="276" w:lineRule="auto"/>
        <w:rPr>
          <w:rFonts w:asciiTheme="minorHAnsi" w:eastAsia="Times New Roman" w:hAnsiTheme="minorHAnsi" w:cs="Arial"/>
          <w:sz w:val="20"/>
          <w:szCs w:val="20"/>
          <w:lang w:eastAsia="en-AU"/>
        </w:rPr>
      </w:pPr>
      <w:r w:rsidRPr="005C0CD3">
        <w:rPr>
          <w:rFonts w:asciiTheme="minorHAnsi" w:eastAsia="Times New Roman" w:hAnsiTheme="minorHAnsi" w:cs="Arial"/>
          <w:sz w:val="20"/>
          <w:szCs w:val="20"/>
          <w:vertAlign w:val="superscript"/>
          <w:lang w:eastAsia="en-AU"/>
        </w:rPr>
        <w:t>1</w:t>
      </w:r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 xml:space="preserve"> Royal Children’s Hospital, Melbourne.</w:t>
      </w:r>
    </w:p>
    <w:p w:rsidR="005C0CD3" w:rsidRPr="005C0CD3" w:rsidRDefault="005C0CD3" w:rsidP="005C0CD3">
      <w:pPr>
        <w:spacing w:line="276" w:lineRule="auto"/>
        <w:rPr>
          <w:rFonts w:asciiTheme="minorHAnsi" w:eastAsia="Times New Roman" w:hAnsiTheme="minorHAnsi" w:cs="Arial"/>
          <w:sz w:val="20"/>
          <w:szCs w:val="20"/>
          <w:lang w:eastAsia="en-AU"/>
        </w:rPr>
      </w:pPr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 xml:space="preserve">Address: Emergency Department, Royal Children’s Hospital, 50 Flemington Rd, Parkville, VIC, 3052, Australia.  </w:t>
      </w:r>
    </w:p>
    <w:p w:rsidR="005C0CD3" w:rsidRPr="005C0CD3" w:rsidRDefault="005C0CD3" w:rsidP="005C0CD3">
      <w:pPr>
        <w:spacing w:line="276" w:lineRule="auto"/>
        <w:rPr>
          <w:rFonts w:asciiTheme="minorHAnsi" w:eastAsia="Times New Roman" w:hAnsiTheme="minorHAnsi" w:cs="Arial"/>
          <w:sz w:val="20"/>
          <w:szCs w:val="20"/>
          <w:vertAlign w:val="superscript"/>
          <w:lang w:eastAsia="en-AU"/>
        </w:rPr>
      </w:pPr>
    </w:p>
    <w:p w:rsidR="005C0CD3" w:rsidRPr="005C0CD3" w:rsidRDefault="005C0CD3" w:rsidP="005C0CD3">
      <w:pPr>
        <w:spacing w:line="276" w:lineRule="auto"/>
        <w:rPr>
          <w:rFonts w:asciiTheme="minorHAnsi" w:eastAsia="Times New Roman" w:hAnsiTheme="minorHAnsi" w:cs="Arial"/>
          <w:sz w:val="20"/>
          <w:szCs w:val="20"/>
          <w:lang w:eastAsia="en-AU"/>
        </w:rPr>
      </w:pPr>
      <w:r w:rsidRPr="005C0CD3">
        <w:rPr>
          <w:rFonts w:asciiTheme="minorHAnsi" w:eastAsia="Times New Roman" w:hAnsiTheme="minorHAnsi" w:cs="Arial"/>
          <w:sz w:val="20"/>
          <w:szCs w:val="20"/>
          <w:vertAlign w:val="superscript"/>
          <w:lang w:eastAsia="en-AU"/>
        </w:rPr>
        <w:t>2</w:t>
      </w:r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 xml:space="preserve"> Murdoch Children’s Research Institute, Melbourne.</w:t>
      </w:r>
    </w:p>
    <w:p w:rsidR="005C0CD3" w:rsidRPr="005C0CD3" w:rsidRDefault="005C0CD3" w:rsidP="005C0CD3">
      <w:pPr>
        <w:spacing w:line="276" w:lineRule="auto"/>
        <w:rPr>
          <w:rFonts w:asciiTheme="minorHAnsi" w:eastAsia="Times New Roman" w:hAnsiTheme="minorHAnsi" w:cs="Arial"/>
          <w:sz w:val="20"/>
          <w:szCs w:val="20"/>
          <w:lang w:eastAsia="en-AU"/>
        </w:rPr>
      </w:pPr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>Address: 50 Flemington Rd, Parkville, VIC, 3052, Australia.</w:t>
      </w:r>
    </w:p>
    <w:p w:rsidR="005C0CD3" w:rsidRPr="005C0CD3" w:rsidRDefault="005C0CD3" w:rsidP="005C0CD3">
      <w:pPr>
        <w:spacing w:line="276" w:lineRule="auto"/>
        <w:rPr>
          <w:rFonts w:asciiTheme="minorHAnsi" w:eastAsia="Times New Roman" w:hAnsiTheme="minorHAnsi" w:cs="Arial"/>
          <w:sz w:val="20"/>
          <w:szCs w:val="20"/>
          <w:vertAlign w:val="superscript"/>
          <w:lang w:eastAsia="en-AU"/>
        </w:rPr>
      </w:pPr>
    </w:p>
    <w:p w:rsidR="005C0CD3" w:rsidRPr="005C0CD3" w:rsidRDefault="005C0CD3" w:rsidP="005C0CD3">
      <w:pPr>
        <w:spacing w:line="276" w:lineRule="auto"/>
        <w:rPr>
          <w:rFonts w:asciiTheme="minorHAnsi" w:eastAsia="Times New Roman" w:hAnsiTheme="minorHAnsi" w:cs="Arial"/>
          <w:sz w:val="20"/>
          <w:szCs w:val="20"/>
          <w:lang w:eastAsia="en-AU"/>
        </w:rPr>
      </w:pPr>
      <w:r w:rsidRPr="005C0CD3">
        <w:rPr>
          <w:rFonts w:asciiTheme="minorHAnsi" w:eastAsia="Times New Roman" w:hAnsiTheme="minorHAnsi" w:cs="Arial"/>
          <w:sz w:val="20"/>
          <w:szCs w:val="20"/>
          <w:vertAlign w:val="superscript"/>
          <w:lang w:eastAsia="en-AU"/>
        </w:rPr>
        <w:t>3</w:t>
      </w:r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 xml:space="preserve"> </w:t>
      </w:r>
      <w:proofErr w:type="gramStart"/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>Department</w:t>
      </w:r>
      <w:proofErr w:type="gramEnd"/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 xml:space="preserve"> of Paediatrics, Faculty of Medicine, Dentistry and Health Sciences, University of Melbourne, Melbourne.</w:t>
      </w:r>
    </w:p>
    <w:p w:rsidR="005C0CD3" w:rsidRPr="005C0CD3" w:rsidRDefault="005C0CD3" w:rsidP="005C0CD3">
      <w:pPr>
        <w:spacing w:line="276" w:lineRule="auto"/>
        <w:rPr>
          <w:rFonts w:asciiTheme="minorHAnsi" w:eastAsia="Times New Roman" w:hAnsiTheme="minorHAnsi" w:cs="Arial"/>
          <w:sz w:val="20"/>
          <w:szCs w:val="20"/>
          <w:lang w:eastAsia="en-AU"/>
        </w:rPr>
      </w:pPr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>Address: Grattan St, Parkville, VIC, 3010, Australia.</w:t>
      </w:r>
    </w:p>
    <w:p w:rsidR="005C0CD3" w:rsidRPr="005C0CD3" w:rsidRDefault="005C0CD3" w:rsidP="005C0CD3">
      <w:pPr>
        <w:spacing w:line="276" w:lineRule="auto"/>
        <w:rPr>
          <w:rFonts w:asciiTheme="minorHAnsi" w:eastAsia="Times New Roman" w:hAnsiTheme="minorHAnsi" w:cs="Arial"/>
          <w:sz w:val="20"/>
          <w:szCs w:val="20"/>
          <w:lang w:eastAsia="en-AU"/>
        </w:rPr>
      </w:pPr>
    </w:p>
    <w:p w:rsidR="005C0CD3" w:rsidRPr="005C0CD3" w:rsidRDefault="005C0CD3" w:rsidP="005C0CD3">
      <w:pPr>
        <w:spacing w:line="276" w:lineRule="auto"/>
        <w:rPr>
          <w:rFonts w:asciiTheme="minorHAnsi" w:eastAsia="Times New Roman" w:hAnsiTheme="minorHAnsi" w:cs="Arial"/>
          <w:sz w:val="20"/>
          <w:szCs w:val="20"/>
          <w:lang w:eastAsia="en-AU"/>
        </w:rPr>
      </w:pPr>
      <w:r w:rsidRPr="005C0CD3">
        <w:rPr>
          <w:rFonts w:asciiTheme="minorHAnsi" w:eastAsia="Times New Roman" w:hAnsiTheme="minorHAnsi" w:cs="Arial"/>
          <w:sz w:val="20"/>
          <w:szCs w:val="20"/>
          <w:vertAlign w:val="superscript"/>
          <w:lang w:eastAsia="en-AU"/>
        </w:rPr>
        <w:t xml:space="preserve">4 </w:t>
      </w:r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 xml:space="preserve">Princess Margaret </w:t>
      </w:r>
      <w:proofErr w:type="gramStart"/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>Hospital</w:t>
      </w:r>
      <w:proofErr w:type="gramEnd"/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 xml:space="preserve"> for Children, Perth.</w:t>
      </w:r>
    </w:p>
    <w:p w:rsidR="005C0CD3" w:rsidRPr="005C0CD3" w:rsidRDefault="005C0CD3" w:rsidP="005C0CD3">
      <w:pPr>
        <w:spacing w:line="276" w:lineRule="auto"/>
        <w:rPr>
          <w:rFonts w:asciiTheme="minorHAnsi" w:eastAsia="Times New Roman" w:hAnsiTheme="minorHAnsi" w:cs="Arial"/>
          <w:sz w:val="20"/>
          <w:szCs w:val="20"/>
          <w:lang w:eastAsia="en-AU"/>
        </w:rPr>
      </w:pPr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>Address: Emergency Department, Princess Margaret Hospital for Children, Roberts Rd, Subiaco, Perth, WA, 6008, Australia.</w:t>
      </w:r>
    </w:p>
    <w:p w:rsidR="005C0CD3" w:rsidRPr="005C0CD3" w:rsidRDefault="005C0CD3" w:rsidP="005C0CD3">
      <w:pPr>
        <w:spacing w:line="276" w:lineRule="auto"/>
        <w:rPr>
          <w:rFonts w:asciiTheme="minorHAnsi" w:eastAsia="Times New Roman" w:hAnsiTheme="minorHAnsi" w:cs="Arial"/>
          <w:sz w:val="20"/>
          <w:szCs w:val="20"/>
          <w:lang w:eastAsia="en-AU"/>
        </w:rPr>
      </w:pPr>
    </w:p>
    <w:p w:rsidR="005C0CD3" w:rsidRPr="005C0CD3" w:rsidRDefault="005C0CD3" w:rsidP="005C0CD3">
      <w:pPr>
        <w:spacing w:line="276" w:lineRule="auto"/>
        <w:rPr>
          <w:rFonts w:asciiTheme="minorHAnsi" w:eastAsia="Times New Roman" w:hAnsiTheme="minorHAnsi" w:cs="Arial"/>
          <w:sz w:val="20"/>
          <w:szCs w:val="20"/>
          <w:lang w:eastAsia="en-AU"/>
        </w:rPr>
      </w:pPr>
      <w:proofErr w:type="gramStart"/>
      <w:r w:rsidRPr="005C0CD3">
        <w:rPr>
          <w:rFonts w:asciiTheme="minorHAnsi" w:eastAsia="Times New Roman" w:hAnsiTheme="minorHAnsi" w:cs="Arial"/>
          <w:sz w:val="20"/>
          <w:szCs w:val="20"/>
          <w:vertAlign w:val="superscript"/>
          <w:lang w:eastAsia="en-AU"/>
        </w:rPr>
        <w:t xml:space="preserve">5 </w:t>
      </w:r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>Schools of Paediatrics and Child Health and Primary, Aboriginal and Rural Healthcare, University of Western Australia.</w:t>
      </w:r>
      <w:proofErr w:type="gramEnd"/>
    </w:p>
    <w:p w:rsidR="005C0CD3" w:rsidRPr="005C0CD3" w:rsidRDefault="005C0CD3" w:rsidP="005C0CD3">
      <w:pPr>
        <w:spacing w:line="276" w:lineRule="auto"/>
        <w:rPr>
          <w:rFonts w:asciiTheme="minorHAnsi" w:eastAsia="Times New Roman" w:hAnsiTheme="minorHAnsi" w:cs="Arial"/>
          <w:sz w:val="20"/>
          <w:szCs w:val="20"/>
          <w:lang w:eastAsia="en-AU"/>
        </w:rPr>
      </w:pPr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>Address: 35 Stirling Hwy, Crawley, WA, 6009, Australia.</w:t>
      </w:r>
    </w:p>
    <w:p w:rsidR="005C0CD3" w:rsidRPr="005C0CD3" w:rsidRDefault="005C0CD3" w:rsidP="005C0CD3">
      <w:pPr>
        <w:spacing w:line="276" w:lineRule="auto"/>
        <w:rPr>
          <w:rFonts w:asciiTheme="minorHAnsi" w:eastAsia="Times New Roman" w:hAnsiTheme="minorHAnsi" w:cs="Arial"/>
          <w:sz w:val="20"/>
          <w:szCs w:val="20"/>
          <w:lang w:eastAsia="en-AU"/>
        </w:rPr>
      </w:pPr>
    </w:p>
    <w:p w:rsidR="005C0CD3" w:rsidRPr="005C0CD3" w:rsidRDefault="005C0CD3" w:rsidP="005C0CD3">
      <w:pPr>
        <w:spacing w:line="276" w:lineRule="auto"/>
        <w:rPr>
          <w:rFonts w:asciiTheme="minorHAnsi" w:eastAsia="Times New Roman" w:hAnsiTheme="minorHAnsi" w:cs="Arial"/>
          <w:sz w:val="20"/>
          <w:szCs w:val="20"/>
          <w:lang w:eastAsia="en-AU"/>
        </w:rPr>
      </w:pPr>
      <w:r w:rsidRPr="005C0CD3">
        <w:rPr>
          <w:rFonts w:asciiTheme="minorHAnsi" w:eastAsia="Times New Roman" w:hAnsiTheme="minorHAnsi" w:cs="Arial"/>
          <w:sz w:val="20"/>
          <w:szCs w:val="20"/>
          <w:vertAlign w:val="superscript"/>
          <w:lang w:eastAsia="en-AU"/>
        </w:rPr>
        <w:t xml:space="preserve">6 </w:t>
      </w:r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 xml:space="preserve">Lady </w:t>
      </w:r>
      <w:proofErr w:type="spellStart"/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>Cilento</w:t>
      </w:r>
      <w:proofErr w:type="spellEnd"/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 xml:space="preserve"> Children’s Hospital, Brisbane and Child Health Research Centre, School of Medicine, </w:t>
      </w:r>
      <w:proofErr w:type="gramStart"/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>The</w:t>
      </w:r>
      <w:proofErr w:type="gramEnd"/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 xml:space="preserve"> University of Queensland.</w:t>
      </w:r>
    </w:p>
    <w:p w:rsidR="005C0CD3" w:rsidRPr="005C0CD3" w:rsidRDefault="005C0CD3" w:rsidP="005C0CD3">
      <w:pPr>
        <w:spacing w:line="276" w:lineRule="auto"/>
        <w:rPr>
          <w:rFonts w:asciiTheme="minorHAnsi" w:eastAsia="Times New Roman" w:hAnsiTheme="minorHAnsi" w:cs="Arial"/>
          <w:sz w:val="20"/>
          <w:szCs w:val="20"/>
          <w:lang w:eastAsia="en-AU"/>
        </w:rPr>
      </w:pPr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 xml:space="preserve">Address: Emergency Department, Lady </w:t>
      </w:r>
      <w:proofErr w:type="spellStart"/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>Cilento</w:t>
      </w:r>
      <w:proofErr w:type="spellEnd"/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 xml:space="preserve"> Children’s Hospital, 501 Stanley St, South Brisbane, QLD, 4101, Australia.</w:t>
      </w:r>
    </w:p>
    <w:p w:rsidR="005C0CD3" w:rsidRPr="005C0CD3" w:rsidRDefault="005C0CD3" w:rsidP="005C0CD3">
      <w:pPr>
        <w:spacing w:line="276" w:lineRule="auto"/>
        <w:rPr>
          <w:rFonts w:asciiTheme="minorHAnsi" w:eastAsia="Times New Roman" w:hAnsiTheme="minorHAnsi" w:cs="Arial"/>
          <w:sz w:val="20"/>
          <w:szCs w:val="20"/>
          <w:lang w:eastAsia="en-AU"/>
        </w:rPr>
      </w:pPr>
    </w:p>
    <w:p w:rsidR="005C0CD3" w:rsidRPr="005C0CD3" w:rsidRDefault="005C0CD3" w:rsidP="005C0CD3">
      <w:pPr>
        <w:spacing w:line="276" w:lineRule="auto"/>
        <w:rPr>
          <w:rFonts w:asciiTheme="minorHAnsi" w:eastAsia="Times New Roman" w:hAnsiTheme="minorHAnsi" w:cs="Arial"/>
          <w:sz w:val="20"/>
          <w:szCs w:val="20"/>
          <w:lang w:eastAsia="en-AU"/>
        </w:rPr>
      </w:pPr>
      <w:proofErr w:type="gramStart"/>
      <w:r w:rsidRPr="005C0CD3">
        <w:rPr>
          <w:rFonts w:asciiTheme="minorHAnsi" w:eastAsia="Times New Roman" w:hAnsiTheme="minorHAnsi" w:cs="Arial"/>
          <w:sz w:val="20"/>
          <w:szCs w:val="20"/>
          <w:vertAlign w:val="superscript"/>
          <w:lang w:eastAsia="en-AU"/>
        </w:rPr>
        <w:t xml:space="preserve">7 </w:t>
      </w:r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>Women’s &amp; Children’s Hospital, Adelaide.</w:t>
      </w:r>
      <w:proofErr w:type="gramEnd"/>
    </w:p>
    <w:p w:rsidR="005C0CD3" w:rsidRPr="005C0CD3" w:rsidRDefault="005C0CD3" w:rsidP="005C0CD3">
      <w:pPr>
        <w:spacing w:line="276" w:lineRule="auto"/>
        <w:rPr>
          <w:rFonts w:asciiTheme="minorHAnsi" w:eastAsia="Times New Roman" w:hAnsiTheme="minorHAnsi" w:cs="Arial"/>
          <w:sz w:val="20"/>
          <w:szCs w:val="20"/>
          <w:lang w:eastAsia="en-AU"/>
        </w:rPr>
      </w:pPr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>Address: Emergency Department, Women’s &amp; Children’s Hospital, 72 King William St, North Adelaide, SA, 5006, Australia.</w:t>
      </w:r>
    </w:p>
    <w:p w:rsidR="005C0CD3" w:rsidRPr="005C0CD3" w:rsidRDefault="005C0CD3" w:rsidP="005C0CD3">
      <w:pPr>
        <w:spacing w:line="276" w:lineRule="auto"/>
        <w:rPr>
          <w:rFonts w:asciiTheme="minorHAnsi" w:eastAsia="Times New Roman" w:hAnsiTheme="minorHAnsi" w:cs="Arial"/>
          <w:sz w:val="20"/>
          <w:szCs w:val="20"/>
          <w:lang w:eastAsia="en-AU"/>
        </w:rPr>
      </w:pPr>
    </w:p>
    <w:p w:rsidR="005C0CD3" w:rsidRPr="005C0CD3" w:rsidRDefault="005C0CD3" w:rsidP="005C0CD3">
      <w:pPr>
        <w:spacing w:line="276" w:lineRule="auto"/>
        <w:rPr>
          <w:rFonts w:asciiTheme="minorHAnsi" w:eastAsia="Times New Roman" w:hAnsiTheme="minorHAnsi" w:cs="Arial"/>
          <w:sz w:val="20"/>
          <w:szCs w:val="20"/>
          <w:lang w:eastAsia="en-AU"/>
        </w:rPr>
      </w:pPr>
      <w:r w:rsidRPr="005C0CD3">
        <w:rPr>
          <w:rFonts w:asciiTheme="minorHAnsi" w:eastAsia="Times New Roman" w:hAnsiTheme="minorHAnsi" w:cs="Arial"/>
          <w:sz w:val="20"/>
          <w:szCs w:val="20"/>
          <w:vertAlign w:val="superscript"/>
          <w:lang w:eastAsia="en-AU"/>
        </w:rPr>
        <w:t>8</w:t>
      </w:r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 xml:space="preserve"> The Children’s Hospital at Westmead, Sydney.</w:t>
      </w:r>
    </w:p>
    <w:p w:rsidR="005C0CD3" w:rsidRPr="005C0CD3" w:rsidRDefault="005C0CD3" w:rsidP="005C0CD3">
      <w:pPr>
        <w:spacing w:line="276" w:lineRule="auto"/>
        <w:rPr>
          <w:rFonts w:asciiTheme="minorHAnsi" w:eastAsia="Times New Roman" w:hAnsiTheme="minorHAnsi" w:cs="Arial"/>
          <w:sz w:val="20"/>
          <w:szCs w:val="20"/>
          <w:lang w:eastAsia="en-AU"/>
        </w:rPr>
      </w:pPr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>Address: Emergency Department, The Children’s Hospital at Westmead, 212 Hawkesbury Rd, Westmead, NSW, 2145, Australia.</w:t>
      </w:r>
    </w:p>
    <w:p w:rsidR="005C0CD3" w:rsidRPr="005C0CD3" w:rsidRDefault="005C0CD3" w:rsidP="005C0CD3">
      <w:pPr>
        <w:spacing w:line="276" w:lineRule="auto"/>
        <w:rPr>
          <w:rFonts w:asciiTheme="minorHAnsi" w:eastAsia="Times New Roman" w:hAnsiTheme="minorHAnsi" w:cs="Arial"/>
          <w:sz w:val="20"/>
          <w:szCs w:val="20"/>
          <w:lang w:eastAsia="en-AU"/>
        </w:rPr>
      </w:pPr>
    </w:p>
    <w:p w:rsidR="005C0CD3" w:rsidRPr="005C0CD3" w:rsidRDefault="005C0CD3" w:rsidP="005C0CD3">
      <w:pPr>
        <w:spacing w:line="276" w:lineRule="auto"/>
        <w:rPr>
          <w:rFonts w:asciiTheme="minorHAnsi" w:eastAsia="Times New Roman" w:hAnsiTheme="minorHAnsi" w:cs="Arial"/>
          <w:sz w:val="20"/>
          <w:szCs w:val="20"/>
          <w:lang w:eastAsia="en-AU"/>
        </w:rPr>
      </w:pPr>
      <w:r w:rsidRPr="005C0CD3">
        <w:rPr>
          <w:rFonts w:asciiTheme="minorHAnsi" w:eastAsia="Times New Roman" w:hAnsiTheme="minorHAnsi" w:cs="Arial"/>
          <w:sz w:val="20"/>
          <w:szCs w:val="20"/>
          <w:vertAlign w:val="superscript"/>
          <w:lang w:eastAsia="en-AU"/>
        </w:rPr>
        <w:t>9</w:t>
      </w:r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 xml:space="preserve"> Monash Medical </w:t>
      </w:r>
      <w:proofErr w:type="gramStart"/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>Centre</w:t>
      </w:r>
      <w:proofErr w:type="gramEnd"/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>, Melbourne.</w:t>
      </w:r>
    </w:p>
    <w:p w:rsidR="005C0CD3" w:rsidRPr="005C0CD3" w:rsidRDefault="005C0CD3" w:rsidP="005C0CD3">
      <w:pPr>
        <w:spacing w:line="276" w:lineRule="auto"/>
        <w:rPr>
          <w:rFonts w:asciiTheme="minorHAnsi" w:eastAsia="Times New Roman" w:hAnsiTheme="minorHAnsi" w:cs="Arial"/>
          <w:sz w:val="20"/>
          <w:szCs w:val="20"/>
          <w:lang w:eastAsia="en-AU"/>
        </w:rPr>
      </w:pPr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 xml:space="preserve">Address: Emergency Department, Monash Medical Centre, 246 Clayton Rd, Clayton, VIC, 3186, Australia. </w:t>
      </w:r>
    </w:p>
    <w:p w:rsidR="005C0CD3" w:rsidRPr="005C0CD3" w:rsidRDefault="005C0CD3" w:rsidP="005C0CD3">
      <w:pPr>
        <w:spacing w:line="276" w:lineRule="auto"/>
        <w:rPr>
          <w:rFonts w:asciiTheme="minorHAnsi" w:eastAsia="Times New Roman" w:hAnsiTheme="minorHAnsi" w:cs="Arial"/>
          <w:i/>
          <w:sz w:val="20"/>
          <w:szCs w:val="20"/>
          <w:lang w:eastAsia="en-AU"/>
        </w:rPr>
      </w:pPr>
    </w:p>
    <w:p w:rsidR="005C0CD3" w:rsidRPr="005C0CD3" w:rsidRDefault="005C0CD3" w:rsidP="005C0CD3">
      <w:pPr>
        <w:spacing w:line="276" w:lineRule="auto"/>
        <w:rPr>
          <w:rFonts w:asciiTheme="minorHAnsi" w:eastAsia="Times New Roman" w:hAnsiTheme="minorHAnsi" w:cs="Arial"/>
          <w:sz w:val="20"/>
          <w:szCs w:val="20"/>
          <w:lang w:eastAsia="en-AU"/>
        </w:rPr>
      </w:pPr>
      <w:r w:rsidRPr="005C0CD3">
        <w:rPr>
          <w:rFonts w:asciiTheme="minorHAnsi" w:eastAsia="Times New Roman" w:hAnsiTheme="minorHAnsi" w:cs="Arial"/>
          <w:sz w:val="20"/>
          <w:szCs w:val="20"/>
          <w:vertAlign w:val="superscript"/>
          <w:lang w:eastAsia="en-AU"/>
        </w:rPr>
        <w:t>10</w:t>
      </w:r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 xml:space="preserve"> The Townsville Hospital, Townsville.</w:t>
      </w:r>
    </w:p>
    <w:p w:rsidR="005C0CD3" w:rsidRPr="005C0CD3" w:rsidRDefault="005C0CD3" w:rsidP="005C0CD3">
      <w:pPr>
        <w:spacing w:line="276" w:lineRule="auto"/>
        <w:rPr>
          <w:rFonts w:asciiTheme="minorHAnsi" w:eastAsia="Times New Roman" w:hAnsiTheme="minorHAnsi" w:cs="Arial"/>
          <w:sz w:val="20"/>
          <w:szCs w:val="20"/>
          <w:lang w:eastAsia="en-AU"/>
        </w:rPr>
      </w:pPr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 xml:space="preserve">Address: Emergency Department, </w:t>
      </w:r>
      <w:proofErr w:type="gramStart"/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>The</w:t>
      </w:r>
      <w:proofErr w:type="gramEnd"/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 xml:space="preserve"> Townsville Hospital, 100 Angus Smith Dr, Douglas, QLD, 4814, Australia.</w:t>
      </w:r>
    </w:p>
    <w:p w:rsidR="005C0CD3" w:rsidRPr="005C0CD3" w:rsidRDefault="005C0CD3" w:rsidP="005C0CD3">
      <w:pPr>
        <w:spacing w:line="276" w:lineRule="auto"/>
        <w:rPr>
          <w:rFonts w:asciiTheme="minorHAnsi" w:eastAsia="Times New Roman" w:hAnsiTheme="minorHAnsi" w:cs="Arial"/>
          <w:sz w:val="20"/>
          <w:szCs w:val="20"/>
          <w:lang w:eastAsia="en-AU"/>
        </w:rPr>
      </w:pPr>
    </w:p>
    <w:p w:rsidR="005C0CD3" w:rsidRPr="005C0CD3" w:rsidRDefault="005C0CD3" w:rsidP="005C0CD3">
      <w:pPr>
        <w:spacing w:line="276" w:lineRule="auto"/>
        <w:rPr>
          <w:rFonts w:asciiTheme="minorHAnsi" w:eastAsia="Times New Roman" w:hAnsiTheme="minorHAnsi" w:cs="Arial"/>
          <w:sz w:val="20"/>
          <w:szCs w:val="20"/>
          <w:lang w:eastAsia="en-AU"/>
        </w:rPr>
      </w:pPr>
      <w:r w:rsidRPr="005C0CD3">
        <w:rPr>
          <w:rFonts w:asciiTheme="minorHAnsi" w:eastAsia="Times New Roman" w:hAnsiTheme="minorHAnsi" w:cs="Arial"/>
          <w:sz w:val="20"/>
          <w:szCs w:val="20"/>
          <w:vertAlign w:val="superscript"/>
          <w:lang w:eastAsia="en-AU"/>
        </w:rPr>
        <w:t>11</w:t>
      </w:r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 xml:space="preserve"> </w:t>
      </w:r>
      <w:proofErr w:type="spellStart"/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>Kidzfirst</w:t>
      </w:r>
      <w:proofErr w:type="spellEnd"/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 xml:space="preserve"> Middlemore </w:t>
      </w:r>
      <w:proofErr w:type="gramStart"/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>Hospital</w:t>
      </w:r>
      <w:proofErr w:type="gramEnd"/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>, Auckland.</w:t>
      </w:r>
    </w:p>
    <w:p w:rsidR="005C0CD3" w:rsidRPr="005C0CD3" w:rsidRDefault="005C0CD3" w:rsidP="005C0CD3">
      <w:pPr>
        <w:spacing w:line="276" w:lineRule="auto"/>
        <w:rPr>
          <w:rFonts w:asciiTheme="minorHAnsi" w:eastAsia="Times New Roman" w:hAnsiTheme="minorHAnsi" w:cs="Arial"/>
          <w:sz w:val="20"/>
          <w:szCs w:val="20"/>
          <w:lang w:eastAsia="en-AU"/>
        </w:rPr>
      </w:pPr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 xml:space="preserve">Address:  Emergency Department, </w:t>
      </w:r>
      <w:proofErr w:type="spellStart"/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>Kidzfirst</w:t>
      </w:r>
      <w:proofErr w:type="spellEnd"/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 xml:space="preserve"> Middlemore Hospital, 100 Hospital Rd, Auckland, 2025, New Zealand.</w:t>
      </w:r>
    </w:p>
    <w:p w:rsidR="005C0CD3" w:rsidRPr="005C0CD3" w:rsidRDefault="005C0CD3" w:rsidP="005C0CD3">
      <w:pPr>
        <w:spacing w:line="276" w:lineRule="auto"/>
        <w:rPr>
          <w:rFonts w:asciiTheme="minorHAnsi" w:eastAsia="Times New Roman" w:hAnsiTheme="minorHAnsi" w:cs="Arial"/>
          <w:sz w:val="20"/>
          <w:szCs w:val="20"/>
          <w:lang w:eastAsia="en-AU"/>
        </w:rPr>
      </w:pPr>
    </w:p>
    <w:p w:rsidR="005C0CD3" w:rsidRPr="005C0CD3" w:rsidRDefault="005C0CD3" w:rsidP="005C0CD3">
      <w:pPr>
        <w:spacing w:line="276" w:lineRule="auto"/>
        <w:rPr>
          <w:rFonts w:asciiTheme="minorHAnsi" w:eastAsia="Times New Roman" w:hAnsiTheme="minorHAnsi" w:cs="Arial"/>
          <w:sz w:val="20"/>
          <w:szCs w:val="20"/>
          <w:lang w:eastAsia="en-AU"/>
        </w:rPr>
      </w:pPr>
      <w:r w:rsidRPr="005C0CD3">
        <w:rPr>
          <w:rFonts w:asciiTheme="minorHAnsi" w:eastAsia="Times New Roman" w:hAnsiTheme="minorHAnsi" w:cs="Arial"/>
          <w:sz w:val="20"/>
          <w:szCs w:val="20"/>
          <w:vertAlign w:val="superscript"/>
          <w:lang w:eastAsia="en-AU"/>
        </w:rPr>
        <w:lastRenderedPageBreak/>
        <w:t xml:space="preserve">12 </w:t>
      </w:r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 xml:space="preserve">Bristol Royal </w:t>
      </w:r>
      <w:proofErr w:type="gramStart"/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>Hospital</w:t>
      </w:r>
      <w:proofErr w:type="gramEnd"/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 xml:space="preserve"> for Children, Bristol.</w:t>
      </w:r>
    </w:p>
    <w:p w:rsidR="005C0CD3" w:rsidRPr="005C0CD3" w:rsidRDefault="005C0CD3" w:rsidP="005C0CD3">
      <w:pPr>
        <w:spacing w:line="276" w:lineRule="auto"/>
        <w:rPr>
          <w:rFonts w:asciiTheme="minorHAnsi" w:eastAsia="Times New Roman" w:hAnsiTheme="minorHAnsi" w:cs="Arial"/>
          <w:sz w:val="20"/>
          <w:szCs w:val="20"/>
          <w:lang w:eastAsia="en-AU"/>
        </w:rPr>
      </w:pPr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 xml:space="preserve">Address: Emergency Department, Bristol Children’s Hospital, Paul O’Gorman Building, Upper Maudlin St, Bristol, BS2 8BJ, United Kingdom. </w:t>
      </w:r>
    </w:p>
    <w:p w:rsidR="005C0CD3" w:rsidRPr="005C0CD3" w:rsidRDefault="005C0CD3" w:rsidP="005C0CD3">
      <w:pPr>
        <w:spacing w:line="276" w:lineRule="auto"/>
        <w:rPr>
          <w:rFonts w:asciiTheme="minorHAnsi" w:eastAsia="Times New Roman" w:hAnsiTheme="minorHAnsi" w:cs="Arial"/>
          <w:sz w:val="20"/>
          <w:szCs w:val="20"/>
          <w:lang w:eastAsia="en-AU"/>
        </w:rPr>
      </w:pPr>
    </w:p>
    <w:p w:rsidR="005C0CD3" w:rsidRPr="005C0CD3" w:rsidRDefault="005C0CD3" w:rsidP="005C0CD3">
      <w:pPr>
        <w:spacing w:line="276" w:lineRule="auto"/>
        <w:rPr>
          <w:rFonts w:asciiTheme="minorHAnsi" w:eastAsia="Times New Roman" w:hAnsiTheme="minorHAnsi" w:cs="Arial"/>
          <w:sz w:val="20"/>
          <w:szCs w:val="20"/>
          <w:lang w:eastAsia="en-AU"/>
        </w:rPr>
      </w:pPr>
      <w:r w:rsidRPr="005C0CD3">
        <w:rPr>
          <w:rFonts w:asciiTheme="minorHAnsi" w:eastAsia="Times New Roman" w:hAnsiTheme="minorHAnsi" w:cs="Arial"/>
          <w:sz w:val="20"/>
          <w:szCs w:val="20"/>
          <w:vertAlign w:val="superscript"/>
          <w:lang w:eastAsia="en-AU"/>
        </w:rPr>
        <w:t xml:space="preserve">13 </w:t>
      </w:r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>Academic Department of Emergency Care, University of the West of England, Bristol.</w:t>
      </w:r>
    </w:p>
    <w:p w:rsidR="005C0CD3" w:rsidRPr="005C0CD3" w:rsidRDefault="005C0CD3" w:rsidP="005C0CD3">
      <w:pPr>
        <w:spacing w:line="276" w:lineRule="auto"/>
        <w:rPr>
          <w:rFonts w:asciiTheme="minorHAnsi" w:eastAsia="Times New Roman" w:hAnsiTheme="minorHAnsi" w:cs="Arial"/>
          <w:sz w:val="20"/>
          <w:szCs w:val="20"/>
          <w:lang w:eastAsia="en-AU"/>
        </w:rPr>
      </w:pPr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>Address: Blackberry Hill, Bristol, BS16 1XS, United Kingdom.</w:t>
      </w:r>
    </w:p>
    <w:p w:rsidR="005C0CD3" w:rsidRPr="005C0CD3" w:rsidRDefault="005C0CD3" w:rsidP="005C0CD3">
      <w:pPr>
        <w:spacing w:line="276" w:lineRule="auto"/>
        <w:rPr>
          <w:rFonts w:asciiTheme="minorHAnsi" w:eastAsia="Times New Roman" w:hAnsiTheme="minorHAnsi" w:cs="Arial"/>
          <w:sz w:val="20"/>
          <w:szCs w:val="20"/>
          <w:lang w:eastAsia="en-AU"/>
        </w:rPr>
      </w:pPr>
    </w:p>
    <w:p w:rsidR="005C0CD3" w:rsidRPr="005C0CD3" w:rsidRDefault="005C0CD3" w:rsidP="005C0CD3">
      <w:pPr>
        <w:spacing w:line="276" w:lineRule="auto"/>
        <w:rPr>
          <w:rFonts w:asciiTheme="minorHAnsi" w:eastAsia="Times New Roman" w:hAnsiTheme="minorHAnsi" w:cs="Arial"/>
          <w:sz w:val="20"/>
          <w:szCs w:val="20"/>
          <w:lang w:eastAsia="en-AU"/>
        </w:rPr>
      </w:pPr>
      <w:proofErr w:type="gramStart"/>
      <w:r w:rsidRPr="005C0CD3">
        <w:rPr>
          <w:rFonts w:asciiTheme="minorHAnsi" w:eastAsia="Times New Roman" w:hAnsiTheme="minorHAnsi" w:cs="Arial"/>
          <w:sz w:val="20"/>
          <w:szCs w:val="20"/>
          <w:vertAlign w:val="superscript"/>
          <w:lang w:eastAsia="en-AU"/>
        </w:rPr>
        <w:t xml:space="preserve">14 </w:t>
      </w:r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 xml:space="preserve">Department of Women’s and Children’s Health, University of </w:t>
      </w:r>
      <w:proofErr w:type="spellStart"/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>Padova</w:t>
      </w:r>
      <w:proofErr w:type="spellEnd"/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 xml:space="preserve">, </w:t>
      </w:r>
      <w:proofErr w:type="spellStart"/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>Padova</w:t>
      </w:r>
      <w:proofErr w:type="spellEnd"/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>.</w:t>
      </w:r>
      <w:proofErr w:type="gramEnd"/>
    </w:p>
    <w:p w:rsidR="005C0CD3" w:rsidRPr="005C0CD3" w:rsidRDefault="005C0CD3" w:rsidP="005C0CD3">
      <w:pPr>
        <w:spacing w:line="276" w:lineRule="auto"/>
        <w:rPr>
          <w:rFonts w:asciiTheme="minorHAnsi" w:eastAsia="Times New Roman" w:hAnsiTheme="minorHAnsi" w:cs="Arial"/>
          <w:sz w:val="20"/>
          <w:szCs w:val="20"/>
          <w:lang w:eastAsia="en-AU"/>
        </w:rPr>
      </w:pPr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 xml:space="preserve">Address: Via Giustiniani3, 2 35128, </w:t>
      </w:r>
      <w:proofErr w:type="spellStart"/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>Padova</w:t>
      </w:r>
      <w:proofErr w:type="spellEnd"/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>, PD, Italy.</w:t>
      </w:r>
    </w:p>
    <w:p w:rsidR="005C0CD3" w:rsidRPr="005C0CD3" w:rsidRDefault="005C0CD3" w:rsidP="005C0CD3">
      <w:pPr>
        <w:spacing w:line="276" w:lineRule="auto"/>
        <w:rPr>
          <w:rFonts w:asciiTheme="minorHAnsi" w:eastAsia="Times New Roman" w:hAnsiTheme="minorHAnsi" w:cs="Arial"/>
          <w:sz w:val="20"/>
          <w:szCs w:val="20"/>
          <w:lang w:eastAsia="en-AU"/>
        </w:rPr>
      </w:pPr>
    </w:p>
    <w:p w:rsidR="005C0CD3" w:rsidRPr="005C0CD3" w:rsidRDefault="005C0CD3" w:rsidP="005C0CD3">
      <w:pPr>
        <w:spacing w:line="276" w:lineRule="auto"/>
        <w:rPr>
          <w:rFonts w:asciiTheme="minorHAnsi" w:eastAsia="Times New Roman" w:hAnsiTheme="minorHAnsi" w:cs="Arial"/>
          <w:sz w:val="20"/>
          <w:szCs w:val="20"/>
          <w:lang w:eastAsia="en-AU"/>
        </w:rPr>
      </w:pPr>
      <w:r w:rsidRPr="005C0CD3">
        <w:rPr>
          <w:rFonts w:asciiTheme="minorHAnsi" w:eastAsia="Times New Roman" w:hAnsiTheme="minorHAnsi" w:cs="Arial"/>
          <w:sz w:val="20"/>
          <w:szCs w:val="20"/>
          <w:vertAlign w:val="superscript"/>
          <w:lang w:eastAsia="en-AU"/>
        </w:rPr>
        <w:t>15</w:t>
      </w:r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 xml:space="preserve"> Starship Children’s Health, Auckland.</w:t>
      </w:r>
    </w:p>
    <w:p w:rsidR="005C0CD3" w:rsidRPr="005C0CD3" w:rsidRDefault="005C0CD3" w:rsidP="005C0CD3">
      <w:pPr>
        <w:spacing w:line="276" w:lineRule="auto"/>
        <w:rPr>
          <w:rFonts w:asciiTheme="minorHAnsi" w:eastAsia="Times New Roman" w:hAnsiTheme="minorHAnsi" w:cs="Arial"/>
          <w:sz w:val="20"/>
          <w:szCs w:val="20"/>
          <w:lang w:eastAsia="en-AU"/>
        </w:rPr>
      </w:pPr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>Address: Emergency Department, Starship Children’s Health, 2 Park Rd, Grafton, Auckland, 1023, New Zealand.</w:t>
      </w:r>
    </w:p>
    <w:p w:rsidR="005C0CD3" w:rsidRPr="005C0CD3" w:rsidRDefault="005C0CD3" w:rsidP="005C0CD3">
      <w:pPr>
        <w:spacing w:line="276" w:lineRule="auto"/>
        <w:rPr>
          <w:rFonts w:asciiTheme="minorHAnsi" w:eastAsia="Times New Roman" w:hAnsiTheme="minorHAnsi" w:cs="Arial"/>
          <w:sz w:val="20"/>
          <w:szCs w:val="20"/>
          <w:lang w:eastAsia="en-AU"/>
        </w:rPr>
      </w:pPr>
    </w:p>
    <w:p w:rsidR="005C0CD3" w:rsidRPr="005C0CD3" w:rsidRDefault="005C0CD3" w:rsidP="005C0CD3">
      <w:pPr>
        <w:spacing w:line="276" w:lineRule="auto"/>
        <w:rPr>
          <w:rFonts w:asciiTheme="minorHAnsi" w:eastAsia="Times New Roman" w:hAnsiTheme="minorHAnsi" w:cs="Arial"/>
          <w:sz w:val="20"/>
          <w:szCs w:val="20"/>
          <w:lang w:eastAsia="en-AU"/>
        </w:rPr>
      </w:pPr>
      <w:proofErr w:type="gramStart"/>
      <w:r w:rsidRPr="005C0CD3">
        <w:rPr>
          <w:rFonts w:asciiTheme="minorHAnsi" w:eastAsia="Times New Roman" w:hAnsiTheme="minorHAnsi" w:cs="Arial"/>
          <w:sz w:val="20"/>
          <w:szCs w:val="20"/>
          <w:vertAlign w:val="superscript"/>
          <w:lang w:eastAsia="en-AU"/>
        </w:rPr>
        <w:t xml:space="preserve">16 </w:t>
      </w:r>
      <w:proofErr w:type="spellStart"/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>Liggins</w:t>
      </w:r>
      <w:proofErr w:type="spellEnd"/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 xml:space="preserve"> Institute, University of Auckland, Auckland.</w:t>
      </w:r>
      <w:proofErr w:type="gramEnd"/>
    </w:p>
    <w:p w:rsidR="005C0CD3" w:rsidRPr="005C0CD3" w:rsidRDefault="005C0CD3" w:rsidP="005C0CD3">
      <w:pPr>
        <w:spacing w:line="276" w:lineRule="auto"/>
        <w:rPr>
          <w:rFonts w:asciiTheme="minorHAnsi" w:eastAsia="Times New Roman" w:hAnsiTheme="minorHAnsi" w:cs="Arial"/>
          <w:sz w:val="20"/>
          <w:szCs w:val="20"/>
          <w:lang w:eastAsia="en-AU"/>
        </w:rPr>
      </w:pPr>
      <w:r w:rsidRPr="005C0CD3">
        <w:rPr>
          <w:rFonts w:asciiTheme="minorHAnsi" w:eastAsia="Times New Roman" w:hAnsiTheme="minorHAnsi" w:cs="Arial"/>
          <w:sz w:val="20"/>
          <w:szCs w:val="20"/>
          <w:lang w:eastAsia="en-AU"/>
        </w:rPr>
        <w:t>Address: 85 Park Ave, Grafton, Auckland, 1023, New Zealand.</w:t>
      </w:r>
    </w:p>
    <w:p w:rsidR="005C0CD3" w:rsidRDefault="005C0CD3" w:rsidP="005C0CD3">
      <w:pPr>
        <w:spacing w:after="160" w:line="259" w:lineRule="auto"/>
        <w:rPr>
          <w:rFonts w:asciiTheme="minorHAnsi" w:hAnsiTheme="minorHAnsi" w:cs="Arial"/>
          <w:b/>
          <w:sz w:val="20"/>
          <w:szCs w:val="20"/>
        </w:rPr>
      </w:pPr>
    </w:p>
    <w:p w:rsidR="005C0CD3" w:rsidRDefault="005C0CD3" w:rsidP="005C0CD3">
      <w:pPr>
        <w:spacing w:after="160" w:line="259" w:lineRule="auto"/>
        <w:rPr>
          <w:rFonts w:asciiTheme="minorHAnsi" w:hAnsiTheme="minorHAnsi" w:cs="Arial"/>
          <w:b/>
          <w:sz w:val="20"/>
          <w:szCs w:val="20"/>
        </w:rPr>
      </w:pPr>
    </w:p>
    <w:p w:rsidR="005C0CD3" w:rsidRPr="005C0CD3" w:rsidRDefault="005C0CD3" w:rsidP="005C0CD3">
      <w:pPr>
        <w:rPr>
          <w:rFonts w:asciiTheme="minorHAnsi" w:hAnsiTheme="minorHAnsi" w:cs="Arial"/>
          <w:b/>
          <w:sz w:val="20"/>
          <w:szCs w:val="20"/>
        </w:rPr>
      </w:pPr>
      <w:r w:rsidRPr="005C0CD3">
        <w:rPr>
          <w:rFonts w:asciiTheme="minorHAnsi" w:hAnsiTheme="minorHAnsi" w:cs="Arial"/>
          <w:b/>
          <w:sz w:val="20"/>
          <w:szCs w:val="20"/>
        </w:rPr>
        <w:t>CORRESPONDING AUTHOR:</w:t>
      </w:r>
    </w:p>
    <w:p w:rsidR="005C0CD3" w:rsidRPr="005C0CD3" w:rsidRDefault="005C0CD3" w:rsidP="005C0CD3">
      <w:pPr>
        <w:rPr>
          <w:rFonts w:asciiTheme="minorHAnsi" w:hAnsiTheme="minorHAnsi" w:cs="Arial"/>
          <w:sz w:val="20"/>
          <w:szCs w:val="20"/>
          <w:lang w:val="it-IT"/>
        </w:rPr>
      </w:pPr>
      <w:r w:rsidRPr="005C0CD3">
        <w:rPr>
          <w:rFonts w:asciiTheme="minorHAnsi" w:hAnsiTheme="minorHAnsi" w:cs="Arial"/>
          <w:sz w:val="20"/>
          <w:szCs w:val="20"/>
        </w:rPr>
        <w:t xml:space="preserve">Franz E </w:t>
      </w:r>
      <w:proofErr w:type="spellStart"/>
      <w:r w:rsidRPr="005C0CD3">
        <w:rPr>
          <w:rFonts w:asciiTheme="minorHAnsi" w:hAnsiTheme="minorHAnsi" w:cs="Arial"/>
          <w:sz w:val="20"/>
          <w:szCs w:val="20"/>
        </w:rPr>
        <w:t>Babl</w:t>
      </w:r>
      <w:proofErr w:type="spellEnd"/>
    </w:p>
    <w:p w:rsidR="005C0CD3" w:rsidRPr="005C0CD3" w:rsidRDefault="005C0CD3" w:rsidP="005C0CD3">
      <w:pPr>
        <w:rPr>
          <w:rFonts w:asciiTheme="minorHAnsi" w:hAnsiTheme="minorHAnsi"/>
          <w:sz w:val="20"/>
          <w:szCs w:val="20"/>
          <w:lang w:eastAsia="en-AU"/>
        </w:rPr>
      </w:pPr>
      <w:r w:rsidRPr="005C0CD3">
        <w:rPr>
          <w:rFonts w:asciiTheme="minorHAnsi" w:hAnsiTheme="minorHAnsi"/>
          <w:sz w:val="20"/>
          <w:szCs w:val="20"/>
          <w:lang w:eastAsia="en-AU"/>
        </w:rPr>
        <w:t>Emergency Research</w:t>
      </w:r>
    </w:p>
    <w:p w:rsidR="005C0CD3" w:rsidRPr="005C0CD3" w:rsidRDefault="005C0CD3" w:rsidP="005C0CD3">
      <w:pPr>
        <w:rPr>
          <w:rFonts w:asciiTheme="minorHAnsi" w:hAnsiTheme="minorHAnsi" w:cs="Arial"/>
          <w:sz w:val="20"/>
          <w:szCs w:val="20"/>
          <w:lang w:val="it-IT"/>
        </w:rPr>
      </w:pPr>
      <w:r w:rsidRPr="005C0CD3">
        <w:rPr>
          <w:rFonts w:asciiTheme="minorHAnsi" w:hAnsiTheme="minorHAnsi"/>
          <w:sz w:val="20"/>
          <w:szCs w:val="20"/>
          <w:lang w:eastAsia="en-AU"/>
        </w:rPr>
        <w:t xml:space="preserve">Murdoch </w:t>
      </w:r>
      <w:proofErr w:type="spellStart"/>
      <w:r w:rsidRPr="005C0CD3">
        <w:rPr>
          <w:rFonts w:asciiTheme="minorHAnsi" w:hAnsiTheme="minorHAnsi"/>
          <w:sz w:val="20"/>
          <w:szCs w:val="20"/>
          <w:lang w:eastAsia="en-AU"/>
        </w:rPr>
        <w:t>Childrens</w:t>
      </w:r>
      <w:proofErr w:type="spellEnd"/>
      <w:r w:rsidRPr="005C0CD3">
        <w:rPr>
          <w:rFonts w:asciiTheme="minorHAnsi" w:hAnsiTheme="minorHAnsi"/>
          <w:sz w:val="20"/>
          <w:szCs w:val="20"/>
          <w:lang w:eastAsia="en-AU"/>
        </w:rPr>
        <w:t xml:space="preserve"> Research Institute</w:t>
      </w:r>
      <w:r w:rsidRPr="005C0CD3">
        <w:rPr>
          <w:rFonts w:asciiTheme="minorHAnsi" w:hAnsiTheme="minorHAnsi"/>
          <w:sz w:val="20"/>
          <w:szCs w:val="20"/>
          <w:lang w:eastAsia="en-AU"/>
        </w:rPr>
        <w:br/>
        <w:t>Flemington Rd</w:t>
      </w:r>
      <w:r w:rsidRPr="005C0CD3">
        <w:rPr>
          <w:rFonts w:asciiTheme="minorHAnsi" w:hAnsiTheme="minorHAnsi"/>
          <w:sz w:val="20"/>
          <w:szCs w:val="20"/>
          <w:lang w:eastAsia="en-AU"/>
        </w:rPr>
        <w:br/>
        <w:t>Parkville</w:t>
      </w:r>
      <w:r w:rsidRPr="005C0CD3">
        <w:rPr>
          <w:rFonts w:asciiTheme="minorHAnsi" w:hAnsiTheme="minorHAnsi"/>
          <w:sz w:val="20"/>
          <w:szCs w:val="20"/>
          <w:lang w:eastAsia="en-AU"/>
        </w:rPr>
        <w:br/>
        <w:t>Victoria 3052</w:t>
      </w:r>
      <w:r w:rsidRPr="005C0CD3">
        <w:rPr>
          <w:rFonts w:asciiTheme="minorHAnsi" w:hAnsiTheme="minorHAnsi" w:cs="Arial"/>
          <w:sz w:val="20"/>
          <w:szCs w:val="20"/>
          <w:lang w:val="it-IT"/>
        </w:rPr>
        <w:t xml:space="preserve"> </w:t>
      </w:r>
    </w:p>
    <w:p w:rsidR="005C0CD3" w:rsidRPr="005C0CD3" w:rsidRDefault="005C0CD3" w:rsidP="005C0CD3">
      <w:pPr>
        <w:rPr>
          <w:rFonts w:asciiTheme="minorHAnsi" w:hAnsiTheme="minorHAnsi" w:cs="Arial"/>
          <w:sz w:val="20"/>
          <w:szCs w:val="20"/>
          <w:lang w:val="it-IT"/>
        </w:rPr>
      </w:pPr>
      <w:r w:rsidRPr="005C0CD3">
        <w:rPr>
          <w:rFonts w:asciiTheme="minorHAnsi" w:hAnsiTheme="minorHAnsi" w:cs="Arial"/>
          <w:sz w:val="20"/>
          <w:szCs w:val="20"/>
          <w:lang w:val="it-IT"/>
        </w:rPr>
        <w:t>Australia</w:t>
      </w:r>
    </w:p>
    <w:p w:rsidR="005C0CD3" w:rsidRPr="005C0CD3" w:rsidRDefault="005C0CD3" w:rsidP="005C0CD3">
      <w:pPr>
        <w:rPr>
          <w:rFonts w:asciiTheme="minorHAnsi" w:hAnsiTheme="minorHAnsi" w:cs="Arial"/>
          <w:sz w:val="20"/>
          <w:szCs w:val="20"/>
          <w:lang w:val="it-IT"/>
        </w:rPr>
      </w:pPr>
      <w:r w:rsidRPr="005C0CD3">
        <w:rPr>
          <w:rFonts w:asciiTheme="minorHAnsi" w:hAnsiTheme="minorHAnsi" w:cs="Arial"/>
          <w:sz w:val="20"/>
          <w:szCs w:val="20"/>
          <w:lang w:val="it-IT"/>
        </w:rPr>
        <w:t>Phone 61 3 9345 6153</w:t>
      </w:r>
    </w:p>
    <w:p w:rsidR="005C0CD3" w:rsidRPr="005C0CD3" w:rsidRDefault="005C0CD3" w:rsidP="005C0CD3">
      <w:pPr>
        <w:rPr>
          <w:rFonts w:asciiTheme="minorHAnsi" w:hAnsiTheme="minorHAnsi" w:cs="Arial"/>
          <w:sz w:val="20"/>
          <w:szCs w:val="20"/>
          <w:lang w:val="it-IT"/>
        </w:rPr>
      </w:pPr>
      <w:r w:rsidRPr="005C0CD3">
        <w:rPr>
          <w:rFonts w:asciiTheme="minorHAnsi" w:hAnsiTheme="minorHAnsi" w:cs="Arial"/>
          <w:sz w:val="20"/>
          <w:szCs w:val="20"/>
          <w:lang w:val="it-IT"/>
        </w:rPr>
        <w:t>Fax 61 3 9345 600</w:t>
      </w:r>
    </w:p>
    <w:p w:rsidR="005C0CD3" w:rsidRPr="005C0CD3" w:rsidRDefault="005C0CD3" w:rsidP="005C0CD3">
      <w:pPr>
        <w:rPr>
          <w:rFonts w:asciiTheme="minorHAnsi" w:hAnsiTheme="minorHAnsi" w:cs="Arial"/>
          <w:sz w:val="20"/>
          <w:szCs w:val="20"/>
          <w:lang w:val="it-IT"/>
        </w:rPr>
      </w:pPr>
      <w:r w:rsidRPr="005C0CD3">
        <w:rPr>
          <w:rFonts w:asciiTheme="minorHAnsi" w:hAnsiTheme="minorHAnsi" w:cs="Arial"/>
          <w:sz w:val="20"/>
          <w:szCs w:val="20"/>
          <w:lang w:val="it-IT"/>
        </w:rPr>
        <w:t xml:space="preserve">Email </w:t>
      </w:r>
      <w:hyperlink r:id="rId20" w:history="1">
        <w:r w:rsidRPr="005C0CD3">
          <w:rPr>
            <w:rStyle w:val="Hyperlink"/>
            <w:rFonts w:asciiTheme="minorHAnsi" w:hAnsiTheme="minorHAnsi" w:cs="Arial"/>
            <w:sz w:val="20"/>
            <w:szCs w:val="20"/>
            <w:lang w:val="it-IT"/>
          </w:rPr>
          <w:t>franz.babl@rch.org.au</w:t>
        </w:r>
      </w:hyperlink>
    </w:p>
    <w:p w:rsidR="005C0CD3" w:rsidRPr="005C0CD3" w:rsidRDefault="005C0CD3" w:rsidP="005C0CD3">
      <w:pPr>
        <w:spacing w:line="360" w:lineRule="auto"/>
        <w:rPr>
          <w:rFonts w:asciiTheme="minorHAnsi" w:eastAsia="Calibri" w:hAnsiTheme="minorHAnsi" w:cs="Arial"/>
          <w:b/>
          <w:sz w:val="20"/>
          <w:szCs w:val="20"/>
        </w:rPr>
      </w:pPr>
    </w:p>
    <w:p w:rsidR="005C0CD3" w:rsidRPr="005C0CD3" w:rsidRDefault="005C0CD3" w:rsidP="005C0CD3">
      <w:pPr>
        <w:spacing w:line="360" w:lineRule="auto"/>
        <w:rPr>
          <w:rFonts w:asciiTheme="minorHAnsi" w:eastAsia="Calibri" w:hAnsiTheme="minorHAnsi" w:cs="Arial"/>
          <w:b/>
          <w:sz w:val="20"/>
          <w:szCs w:val="20"/>
        </w:rPr>
      </w:pPr>
    </w:p>
    <w:p w:rsidR="005C0CD3" w:rsidRPr="005C0CD3" w:rsidRDefault="005C0CD3" w:rsidP="005C0CD3">
      <w:pPr>
        <w:spacing w:line="360" w:lineRule="auto"/>
        <w:rPr>
          <w:rFonts w:asciiTheme="minorHAnsi" w:eastAsia="Calibri" w:hAnsiTheme="minorHAnsi" w:cs="Arial"/>
          <w:b/>
          <w:sz w:val="20"/>
          <w:szCs w:val="20"/>
        </w:rPr>
      </w:pPr>
    </w:p>
    <w:p w:rsidR="005C0CD3" w:rsidRPr="005C0CD3" w:rsidRDefault="005C0CD3" w:rsidP="005C0CD3">
      <w:pPr>
        <w:spacing w:line="360" w:lineRule="auto"/>
        <w:rPr>
          <w:rFonts w:asciiTheme="minorHAnsi" w:eastAsia="Calibri" w:hAnsiTheme="minorHAnsi" w:cs="Arial"/>
          <w:b/>
          <w:sz w:val="20"/>
          <w:szCs w:val="20"/>
        </w:rPr>
      </w:pPr>
    </w:p>
    <w:p w:rsidR="005C0CD3" w:rsidRPr="005C0CD3" w:rsidRDefault="005C0CD3" w:rsidP="005C0CD3">
      <w:pPr>
        <w:spacing w:line="360" w:lineRule="auto"/>
        <w:rPr>
          <w:rFonts w:asciiTheme="minorHAnsi" w:eastAsia="Calibri" w:hAnsiTheme="minorHAnsi" w:cs="Arial"/>
          <w:b/>
          <w:sz w:val="20"/>
          <w:szCs w:val="20"/>
        </w:rPr>
      </w:pPr>
    </w:p>
    <w:p w:rsidR="005C0CD3" w:rsidRPr="005C0CD3" w:rsidRDefault="005C0CD3" w:rsidP="005C0CD3">
      <w:pPr>
        <w:spacing w:line="360" w:lineRule="auto"/>
        <w:rPr>
          <w:rFonts w:asciiTheme="minorHAnsi" w:eastAsia="Calibri" w:hAnsiTheme="minorHAnsi" w:cs="Arial"/>
          <w:b/>
          <w:sz w:val="20"/>
          <w:szCs w:val="20"/>
        </w:rPr>
      </w:pPr>
    </w:p>
    <w:p w:rsidR="005C0CD3" w:rsidRPr="005C0CD3" w:rsidRDefault="005C0CD3" w:rsidP="005C0CD3">
      <w:pPr>
        <w:spacing w:line="360" w:lineRule="auto"/>
        <w:rPr>
          <w:rFonts w:asciiTheme="minorHAnsi" w:eastAsia="Calibri" w:hAnsiTheme="minorHAnsi" w:cs="Arial"/>
          <w:b/>
          <w:sz w:val="20"/>
          <w:szCs w:val="20"/>
        </w:rPr>
      </w:pPr>
    </w:p>
    <w:p w:rsidR="005C0CD3" w:rsidRPr="005C0CD3" w:rsidRDefault="005C0CD3" w:rsidP="005C0CD3">
      <w:pPr>
        <w:spacing w:line="360" w:lineRule="auto"/>
        <w:rPr>
          <w:rFonts w:asciiTheme="minorHAnsi" w:eastAsia="Calibri" w:hAnsiTheme="minorHAnsi" w:cs="Arial"/>
          <w:b/>
          <w:sz w:val="20"/>
          <w:szCs w:val="20"/>
        </w:rPr>
      </w:pPr>
    </w:p>
    <w:p w:rsidR="005C0CD3" w:rsidRPr="005C0CD3" w:rsidRDefault="005C0CD3" w:rsidP="005C0CD3">
      <w:pPr>
        <w:spacing w:line="360" w:lineRule="auto"/>
        <w:rPr>
          <w:rFonts w:asciiTheme="minorHAnsi" w:eastAsia="Calibri" w:hAnsiTheme="minorHAnsi" w:cs="Arial"/>
          <w:b/>
          <w:sz w:val="20"/>
          <w:szCs w:val="20"/>
        </w:rPr>
      </w:pPr>
    </w:p>
    <w:p w:rsidR="005C0CD3" w:rsidRPr="005C0CD3" w:rsidRDefault="005C0CD3" w:rsidP="005C0CD3">
      <w:pPr>
        <w:spacing w:line="360" w:lineRule="auto"/>
        <w:rPr>
          <w:rFonts w:asciiTheme="minorHAnsi" w:eastAsia="Calibri" w:hAnsiTheme="minorHAnsi" w:cs="Arial"/>
          <w:b/>
          <w:sz w:val="20"/>
          <w:szCs w:val="20"/>
        </w:rPr>
      </w:pPr>
    </w:p>
    <w:p w:rsidR="005C0CD3" w:rsidRPr="005C0CD3" w:rsidRDefault="005C0CD3" w:rsidP="005C0CD3">
      <w:pPr>
        <w:spacing w:line="360" w:lineRule="auto"/>
        <w:rPr>
          <w:rFonts w:asciiTheme="minorHAnsi" w:eastAsia="Calibri" w:hAnsiTheme="minorHAnsi" w:cs="Arial"/>
          <w:b/>
          <w:sz w:val="20"/>
          <w:szCs w:val="20"/>
        </w:rPr>
      </w:pPr>
    </w:p>
    <w:p w:rsidR="005C0CD3" w:rsidRPr="005C0CD3" w:rsidRDefault="005C0CD3" w:rsidP="005C0CD3">
      <w:pPr>
        <w:spacing w:line="360" w:lineRule="auto"/>
        <w:rPr>
          <w:rFonts w:asciiTheme="minorHAnsi" w:eastAsia="Calibri" w:hAnsiTheme="minorHAnsi" w:cs="Arial"/>
          <w:b/>
          <w:sz w:val="20"/>
          <w:szCs w:val="20"/>
        </w:rPr>
      </w:pPr>
    </w:p>
    <w:p w:rsidR="005C0CD3" w:rsidRPr="005C0CD3" w:rsidRDefault="005C0CD3" w:rsidP="005C0CD3">
      <w:pPr>
        <w:spacing w:line="360" w:lineRule="auto"/>
        <w:rPr>
          <w:rFonts w:asciiTheme="minorHAnsi" w:eastAsia="Calibri" w:hAnsiTheme="minorHAnsi" w:cs="Arial"/>
          <w:b/>
          <w:sz w:val="20"/>
          <w:szCs w:val="20"/>
        </w:rPr>
      </w:pPr>
    </w:p>
    <w:p w:rsidR="005C0CD3" w:rsidRPr="005C0CD3" w:rsidRDefault="005C0CD3" w:rsidP="005C0CD3">
      <w:pPr>
        <w:spacing w:line="360" w:lineRule="auto"/>
        <w:rPr>
          <w:rFonts w:asciiTheme="minorHAnsi" w:eastAsia="Calibri" w:hAnsiTheme="minorHAnsi" w:cs="Arial"/>
          <w:b/>
          <w:sz w:val="20"/>
          <w:szCs w:val="20"/>
        </w:rPr>
      </w:pPr>
    </w:p>
    <w:p w:rsidR="005C0CD3" w:rsidRPr="005C0CD3" w:rsidRDefault="005C0CD3" w:rsidP="005C0CD3">
      <w:pPr>
        <w:spacing w:line="360" w:lineRule="auto"/>
        <w:rPr>
          <w:rFonts w:asciiTheme="minorHAnsi" w:eastAsia="Calibri" w:hAnsiTheme="minorHAnsi" w:cs="Arial"/>
          <w:b/>
          <w:sz w:val="20"/>
          <w:szCs w:val="20"/>
        </w:rPr>
      </w:pPr>
    </w:p>
    <w:p w:rsidR="005C0CD3" w:rsidRPr="005C0CD3" w:rsidRDefault="005C0CD3" w:rsidP="005C0CD3">
      <w:pPr>
        <w:spacing w:line="360" w:lineRule="auto"/>
        <w:rPr>
          <w:rFonts w:asciiTheme="minorHAnsi" w:eastAsia="Calibri" w:hAnsiTheme="minorHAnsi" w:cs="Arial"/>
          <w:b/>
          <w:sz w:val="20"/>
          <w:szCs w:val="20"/>
        </w:rPr>
      </w:pPr>
    </w:p>
    <w:p w:rsidR="005C0CD3" w:rsidRPr="005C0CD3" w:rsidRDefault="005C0CD3" w:rsidP="005C0CD3">
      <w:pPr>
        <w:spacing w:line="360" w:lineRule="auto"/>
        <w:rPr>
          <w:rFonts w:asciiTheme="minorHAnsi" w:eastAsia="Calibri" w:hAnsiTheme="minorHAnsi" w:cs="Arial"/>
          <w:b/>
          <w:sz w:val="20"/>
          <w:szCs w:val="20"/>
        </w:rPr>
      </w:pPr>
    </w:p>
    <w:p w:rsidR="005C0CD3" w:rsidRPr="005C0CD3" w:rsidRDefault="005C0CD3" w:rsidP="0038420B">
      <w:pPr>
        <w:autoSpaceDE w:val="0"/>
        <w:autoSpaceDN w:val="0"/>
        <w:adjustRightInd w:val="0"/>
        <w:spacing w:after="240" w:line="360" w:lineRule="auto"/>
        <w:rPr>
          <w:rFonts w:asciiTheme="minorHAnsi" w:hAnsiTheme="minorHAnsi" w:cs="FrutigerLTPro-BoldCn"/>
          <w:b/>
          <w:bCs/>
          <w:sz w:val="20"/>
          <w:szCs w:val="20"/>
          <w:lang w:val="en-GB"/>
        </w:rPr>
      </w:pPr>
      <w:r>
        <w:rPr>
          <w:rFonts w:asciiTheme="minorHAnsi" w:hAnsiTheme="minorHAnsi" w:cs="FrutigerLTPro-BoldCn"/>
          <w:b/>
          <w:bCs/>
          <w:sz w:val="20"/>
          <w:szCs w:val="20"/>
          <w:lang w:val="en-GB"/>
        </w:rPr>
        <w:lastRenderedPageBreak/>
        <w:t>A</w:t>
      </w:r>
      <w:r w:rsidRPr="005C0CD3">
        <w:rPr>
          <w:rFonts w:asciiTheme="minorHAnsi" w:hAnsiTheme="minorHAnsi" w:cs="FrutigerLTPro-BoldCn"/>
          <w:b/>
          <w:bCs/>
          <w:sz w:val="20"/>
          <w:szCs w:val="20"/>
          <w:lang w:val="en-GB"/>
        </w:rPr>
        <w:t>STRACT</w:t>
      </w:r>
    </w:p>
    <w:p w:rsidR="005C0CD3" w:rsidRPr="005C0CD3" w:rsidRDefault="005C0CD3" w:rsidP="0038420B">
      <w:pPr>
        <w:autoSpaceDE w:val="0"/>
        <w:autoSpaceDN w:val="0"/>
        <w:adjustRightInd w:val="0"/>
        <w:spacing w:after="240" w:line="360" w:lineRule="auto"/>
        <w:rPr>
          <w:rFonts w:asciiTheme="minorHAnsi" w:hAnsiTheme="minorHAnsi" w:cs="FrutigerLTPro-LightCn"/>
          <w:sz w:val="20"/>
          <w:szCs w:val="20"/>
          <w:lang w:val="en-GB"/>
        </w:rPr>
      </w:pPr>
      <w:r w:rsidRPr="005C0CD3">
        <w:rPr>
          <w:rFonts w:asciiTheme="minorHAnsi" w:hAnsiTheme="minorHAnsi" w:cs="FrutigerLTPro-BoldCn"/>
          <w:b/>
          <w:bCs/>
          <w:sz w:val="20"/>
          <w:szCs w:val="20"/>
          <w:lang w:val="en-GB"/>
        </w:rPr>
        <w:t xml:space="preserve">Objective </w:t>
      </w:r>
      <w:r w:rsidRPr="005C0CD3">
        <w:rPr>
          <w:rFonts w:asciiTheme="minorHAnsi" w:hAnsiTheme="minorHAnsi" w:cs="FrutigerLTPro-LightCn"/>
          <w:sz w:val="20"/>
          <w:szCs w:val="20"/>
          <w:lang w:val="en-GB"/>
        </w:rPr>
        <w:t>The National Emergency X-Radiography</w:t>
      </w:r>
      <w:r>
        <w:rPr>
          <w:rFonts w:asciiTheme="minorHAnsi" w:hAnsiTheme="minorHAnsi" w:cs="FrutigerLTPro-LightCn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FrutigerLTPro-LightCn"/>
          <w:sz w:val="20"/>
          <w:szCs w:val="20"/>
          <w:lang w:val="en-GB"/>
        </w:rPr>
        <w:t>Utilisation Study II (NEXUS I</w:t>
      </w:r>
      <w:r>
        <w:rPr>
          <w:rFonts w:asciiTheme="minorHAnsi" w:hAnsiTheme="minorHAnsi" w:cs="FrutigerLTPro-LightCn"/>
          <w:sz w:val="20"/>
          <w:szCs w:val="20"/>
          <w:lang w:val="en-GB"/>
        </w:rPr>
        <w:t>I) clinical decision rule (CDR) c</w:t>
      </w:r>
      <w:r w:rsidRPr="005C0CD3">
        <w:rPr>
          <w:rFonts w:asciiTheme="minorHAnsi" w:hAnsiTheme="minorHAnsi" w:cs="FrutigerLTPro-LightCn"/>
          <w:sz w:val="20"/>
          <w:szCs w:val="20"/>
          <w:lang w:val="en-GB"/>
        </w:rPr>
        <w:t>an be used to optimise the use of CT in children with</w:t>
      </w:r>
      <w:r>
        <w:rPr>
          <w:rFonts w:asciiTheme="minorHAnsi" w:hAnsiTheme="minorHAnsi" w:cs="FrutigerLTPro-LightCn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FrutigerLTPro-LightCn"/>
          <w:sz w:val="20"/>
          <w:szCs w:val="20"/>
          <w:lang w:val="en-GB"/>
        </w:rPr>
        <w:t xml:space="preserve">head trauma. We set out </w:t>
      </w:r>
      <w:r>
        <w:rPr>
          <w:rFonts w:asciiTheme="minorHAnsi" w:hAnsiTheme="minorHAnsi" w:cs="FrutigerLTPro-LightCn"/>
          <w:sz w:val="20"/>
          <w:szCs w:val="20"/>
          <w:lang w:val="en-GB"/>
        </w:rPr>
        <w:t xml:space="preserve">to externally validate this CDR </w:t>
      </w:r>
      <w:r w:rsidRPr="005C0CD3">
        <w:rPr>
          <w:rFonts w:asciiTheme="minorHAnsi" w:hAnsiTheme="minorHAnsi" w:cs="FrutigerLTPro-LightCn"/>
          <w:sz w:val="20"/>
          <w:szCs w:val="20"/>
          <w:lang w:val="en-GB"/>
        </w:rPr>
        <w:t>in a large cohort.</w:t>
      </w:r>
    </w:p>
    <w:p w:rsidR="005C0CD3" w:rsidRPr="005C0CD3" w:rsidRDefault="005C0CD3" w:rsidP="0038420B">
      <w:pPr>
        <w:autoSpaceDE w:val="0"/>
        <w:autoSpaceDN w:val="0"/>
        <w:adjustRightInd w:val="0"/>
        <w:spacing w:after="240" w:line="360" w:lineRule="auto"/>
        <w:rPr>
          <w:rFonts w:asciiTheme="minorHAnsi" w:hAnsiTheme="minorHAnsi" w:cs="FrutigerLTPro-LightCn"/>
          <w:sz w:val="20"/>
          <w:szCs w:val="20"/>
          <w:lang w:val="en-GB"/>
        </w:rPr>
      </w:pPr>
      <w:r w:rsidRPr="005C0CD3">
        <w:rPr>
          <w:rFonts w:asciiTheme="minorHAnsi" w:hAnsiTheme="minorHAnsi" w:cs="FrutigerLTPro-BoldCn"/>
          <w:b/>
          <w:bCs/>
          <w:sz w:val="20"/>
          <w:szCs w:val="20"/>
          <w:lang w:val="en-GB"/>
        </w:rPr>
        <w:t xml:space="preserve">Methods </w:t>
      </w:r>
      <w:r w:rsidRPr="005C0CD3">
        <w:rPr>
          <w:rFonts w:asciiTheme="minorHAnsi" w:hAnsiTheme="minorHAnsi" w:cs="FrutigerLTPro-LightCn"/>
          <w:sz w:val="20"/>
          <w:szCs w:val="20"/>
          <w:lang w:val="en-GB"/>
        </w:rPr>
        <w:t>We performed a prospective observational</w:t>
      </w:r>
      <w:r>
        <w:rPr>
          <w:rFonts w:asciiTheme="minorHAnsi" w:hAnsiTheme="minorHAnsi" w:cs="FrutigerLTPro-LightCn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FrutigerLTPro-LightCn"/>
          <w:sz w:val="20"/>
          <w:szCs w:val="20"/>
          <w:lang w:val="en-GB"/>
        </w:rPr>
        <w:t>study of patients aged</w:t>
      </w:r>
      <w:r>
        <w:rPr>
          <w:rFonts w:asciiTheme="minorHAnsi" w:hAnsiTheme="minorHAnsi" w:cs="FrutigerLTPro-LightCn"/>
          <w:sz w:val="20"/>
          <w:szCs w:val="20"/>
          <w:lang w:val="en-GB"/>
        </w:rPr>
        <w:t xml:space="preserve"> &lt;18 years presenting with head </w:t>
      </w:r>
      <w:r w:rsidRPr="005C0CD3">
        <w:rPr>
          <w:rFonts w:asciiTheme="minorHAnsi" w:hAnsiTheme="minorHAnsi" w:cs="FrutigerLTPro-LightCn"/>
          <w:sz w:val="20"/>
          <w:szCs w:val="20"/>
          <w:lang w:val="en-GB"/>
        </w:rPr>
        <w:t>trauma of any severi</w:t>
      </w:r>
      <w:r>
        <w:rPr>
          <w:rFonts w:asciiTheme="minorHAnsi" w:hAnsiTheme="minorHAnsi" w:cs="FrutigerLTPro-LightCn"/>
          <w:sz w:val="20"/>
          <w:szCs w:val="20"/>
          <w:lang w:val="en-GB"/>
        </w:rPr>
        <w:t xml:space="preserve">ty to 10 Australian/New Zealand </w:t>
      </w:r>
      <w:proofErr w:type="spellStart"/>
      <w:r w:rsidRPr="005C0CD3">
        <w:rPr>
          <w:rFonts w:asciiTheme="minorHAnsi" w:hAnsiTheme="minorHAnsi" w:cs="FrutigerLTPro-LightCn"/>
          <w:sz w:val="20"/>
          <w:szCs w:val="20"/>
          <w:lang w:val="en-GB"/>
        </w:rPr>
        <w:t>EDs.</w:t>
      </w:r>
      <w:proofErr w:type="spellEnd"/>
      <w:r w:rsidRPr="005C0CD3">
        <w:rPr>
          <w:rFonts w:asciiTheme="minorHAnsi" w:hAnsiTheme="minorHAnsi" w:cs="FrutigerLTPro-LightCn"/>
          <w:sz w:val="20"/>
          <w:szCs w:val="20"/>
          <w:lang w:val="en-GB"/>
        </w:rPr>
        <w:t xml:space="preserve"> In a planned secondar</w:t>
      </w:r>
      <w:r>
        <w:rPr>
          <w:rFonts w:asciiTheme="minorHAnsi" w:hAnsiTheme="minorHAnsi" w:cs="FrutigerLTPro-LightCn"/>
          <w:sz w:val="20"/>
          <w:szCs w:val="20"/>
          <w:lang w:val="en-GB"/>
        </w:rPr>
        <w:t xml:space="preserve">y analysis, we assessed the </w:t>
      </w:r>
      <w:r w:rsidRPr="005C0CD3">
        <w:rPr>
          <w:rFonts w:asciiTheme="minorHAnsi" w:hAnsiTheme="minorHAnsi" w:cs="FrutigerLTPro-LightCn"/>
          <w:sz w:val="20"/>
          <w:szCs w:val="20"/>
          <w:lang w:val="en-GB"/>
        </w:rPr>
        <w:t>accuracy of the NEXUS</w:t>
      </w:r>
      <w:r>
        <w:rPr>
          <w:rFonts w:asciiTheme="minorHAnsi" w:hAnsiTheme="minorHAnsi" w:cs="FrutigerLTPro-LightCn"/>
          <w:sz w:val="20"/>
          <w:szCs w:val="20"/>
          <w:lang w:val="en-GB"/>
        </w:rPr>
        <w:t xml:space="preserve"> II CDR (with 95% CI) to detect </w:t>
      </w:r>
      <w:r w:rsidRPr="005C0CD3">
        <w:rPr>
          <w:rFonts w:asciiTheme="minorHAnsi" w:hAnsiTheme="minorHAnsi" w:cs="FrutigerLTPro-LightCn"/>
          <w:sz w:val="20"/>
          <w:szCs w:val="20"/>
          <w:lang w:val="en-GB"/>
        </w:rPr>
        <w:t>clinically important int</w:t>
      </w:r>
      <w:r>
        <w:rPr>
          <w:rFonts w:asciiTheme="minorHAnsi" w:hAnsiTheme="minorHAnsi" w:cs="FrutigerLTPro-LightCn"/>
          <w:sz w:val="20"/>
          <w:szCs w:val="20"/>
          <w:lang w:val="en-GB"/>
        </w:rPr>
        <w:t xml:space="preserve">racranial injury (ICI). We also </w:t>
      </w:r>
      <w:r w:rsidRPr="005C0CD3">
        <w:rPr>
          <w:rFonts w:asciiTheme="minorHAnsi" w:hAnsiTheme="minorHAnsi" w:cs="FrutigerLTPro-LightCn"/>
          <w:sz w:val="20"/>
          <w:szCs w:val="20"/>
          <w:lang w:val="en-GB"/>
        </w:rPr>
        <w:t>assessed clinician accuracy without the rule.</w:t>
      </w:r>
    </w:p>
    <w:p w:rsidR="005C0CD3" w:rsidRPr="005C0CD3" w:rsidRDefault="005C0CD3" w:rsidP="0038420B">
      <w:pPr>
        <w:autoSpaceDE w:val="0"/>
        <w:autoSpaceDN w:val="0"/>
        <w:adjustRightInd w:val="0"/>
        <w:spacing w:after="240" w:line="360" w:lineRule="auto"/>
        <w:rPr>
          <w:rFonts w:asciiTheme="minorHAnsi" w:hAnsiTheme="minorHAnsi" w:cs="FrutigerLTPro-LightCn"/>
          <w:sz w:val="20"/>
          <w:szCs w:val="20"/>
          <w:lang w:val="en-GB"/>
        </w:rPr>
      </w:pPr>
      <w:r w:rsidRPr="005C0CD3">
        <w:rPr>
          <w:rFonts w:asciiTheme="minorHAnsi" w:hAnsiTheme="minorHAnsi" w:cs="FrutigerLTPro-BoldCn"/>
          <w:b/>
          <w:bCs/>
          <w:sz w:val="20"/>
          <w:szCs w:val="20"/>
          <w:lang w:val="en-GB"/>
        </w:rPr>
        <w:t xml:space="preserve">Results </w:t>
      </w:r>
      <w:r w:rsidRPr="005C0CD3">
        <w:rPr>
          <w:rFonts w:asciiTheme="minorHAnsi" w:hAnsiTheme="minorHAnsi" w:cs="FrutigerLTPro-LightCn"/>
          <w:sz w:val="20"/>
          <w:szCs w:val="20"/>
          <w:lang w:val="en-GB"/>
        </w:rPr>
        <w:t>Of 20 137 tota</w:t>
      </w:r>
      <w:r>
        <w:rPr>
          <w:rFonts w:asciiTheme="minorHAnsi" w:hAnsiTheme="minorHAnsi" w:cs="FrutigerLTPro-LightCn"/>
          <w:sz w:val="20"/>
          <w:szCs w:val="20"/>
          <w:lang w:val="en-GB"/>
        </w:rPr>
        <w:t xml:space="preserve">l patients, we excluded 28 with </w:t>
      </w:r>
      <w:r w:rsidRPr="005C0CD3">
        <w:rPr>
          <w:rFonts w:asciiTheme="minorHAnsi" w:hAnsiTheme="minorHAnsi" w:cs="FrutigerLTPro-LightCn"/>
          <w:sz w:val="20"/>
          <w:szCs w:val="20"/>
          <w:lang w:val="en-GB"/>
        </w:rPr>
        <w:t>suspected penetrating in</w:t>
      </w:r>
      <w:r>
        <w:rPr>
          <w:rFonts w:asciiTheme="minorHAnsi" w:hAnsiTheme="minorHAnsi" w:cs="FrutigerLTPro-LightCn"/>
          <w:sz w:val="20"/>
          <w:szCs w:val="20"/>
          <w:lang w:val="en-GB"/>
        </w:rPr>
        <w:t xml:space="preserve">jury. Median age was 4.2 years. </w:t>
      </w:r>
      <w:r w:rsidRPr="005C0CD3">
        <w:rPr>
          <w:rFonts w:asciiTheme="minorHAnsi" w:hAnsiTheme="minorHAnsi" w:cs="FrutigerLTPro-LightCn"/>
          <w:sz w:val="20"/>
          <w:szCs w:val="20"/>
          <w:lang w:val="en-GB"/>
        </w:rPr>
        <w:t xml:space="preserve">CTs were obtained in </w:t>
      </w:r>
      <w:r>
        <w:rPr>
          <w:rFonts w:asciiTheme="minorHAnsi" w:hAnsiTheme="minorHAnsi" w:cs="FrutigerLTPro-LightCn"/>
          <w:sz w:val="20"/>
          <w:szCs w:val="20"/>
          <w:lang w:val="en-GB"/>
        </w:rPr>
        <w:t xml:space="preserve">ED for 1962 (9.8%), of whom 377 </w:t>
      </w:r>
      <w:r w:rsidRPr="005C0CD3">
        <w:rPr>
          <w:rFonts w:asciiTheme="minorHAnsi" w:hAnsiTheme="minorHAnsi" w:cs="FrutigerLTPro-LightCn"/>
          <w:sz w:val="20"/>
          <w:szCs w:val="20"/>
          <w:lang w:val="en-GB"/>
        </w:rPr>
        <w:t>(19.2%) had ICI as</w:t>
      </w:r>
      <w:r>
        <w:rPr>
          <w:rFonts w:asciiTheme="minorHAnsi" w:hAnsiTheme="minorHAnsi" w:cs="FrutigerLTPro-LightCn"/>
          <w:sz w:val="20"/>
          <w:szCs w:val="20"/>
          <w:lang w:val="en-GB"/>
        </w:rPr>
        <w:t xml:space="preserve"> defined by NEXUS II. 74 (19.6% </w:t>
      </w:r>
      <w:r w:rsidRPr="005C0CD3">
        <w:rPr>
          <w:rFonts w:asciiTheme="minorHAnsi" w:hAnsiTheme="minorHAnsi" w:cs="FrutigerLTPro-LightCn"/>
          <w:sz w:val="20"/>
          <w:szCs w:val="20"/>
          <w:lang w:val="en-GB"/>
        </w:rPr>
        <w:t>of ICI) patients underwent neurosurgery. Sensitivity</w:t>
      </w:r>
      <w:r>
        <w:rPr>
          <w:rFonts w:asciiTheme="minorHAnsi" w:hAnsiTheme="minorHAnsi" w:cs="FrutigerLTPro-LightCn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FrutigerLTPro-LightCn"/>
          <w:sz w:val="20"/>
          <w:szCs w:val="20"/>
          <w:lang w:val="en-GB"/>
        </w:rPr>
        <w:t>for ICI based on the</w:t>
      </w:r>
      <w:r>
        <w:rPr>
          <w:rFonts w:asciiTheme="minorHAnsi" w:hAnsiTheme="minorHAnsi" w:cs="FrutigerLTPro-LightCn"/>
          <w:sz w:val="20"/>
          <w:szCs w:val="20"/>
          <w:lang w:val="en-GB"/>
        </w:rPr>
        <w:t xml:space="preserve"> NEXUS II CDR was 379/383 (99.0 </w:t>
      </w:r>
      <w:r w:rsidRPr="005C0CD3">
        <w:rPr>
          <w:rFonts w:asciiTheme="minorHAnsi" w:hAnsiTheme="minorHAnsi" w:cs="FrutigerLTPro-LightCn"/>
          <w:sz w:val="20"/>
          <w:szCs w:val="20"/>
          <w:lang w:val="en-GB"/>
        </w:rPr>
        <w:t>(95% CI 97.3% to 99.7%)) and specificity was 9320/19</w:t>
      </w:r>
      <w:r>
        <w:rPr>
          <w:rFonts w:asciiTheme="minorHAnsi" w:hAnsiTheme="minorHAnsi" w:cs="FrutigerLTPro-LightCn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FrutigerLTPro-LightCn"/>
          <w:sz w:val="20"/>
          <w:szCs w:val="20"/>
          <w:lang w:val="en-GB"/>
        </w:rPr>
        <w:t>726 (47.2% (95% CI</w:t>
      </w:r>
      <w:r>
        <w:rPr>
          <w:rFonts w:asciiTheme="minorHAnsi" w:hAnsiTheme="minorHAnsi" w:cs="FrutigerLTPro-LightCn"/>
          <w:sz w:val="20"/>
          <w:szCs w:val="20"/>
          <w:lang w:val="en-GB"/>
        </w:rPr>
        <w:t xml:space="preserve"> 46.5% to 47.9%)) for the total cohort. </w:t>
      </w:r>
      <w:r w:rsidRPr="005C0CD3">
        <w:rPr>
          <w:rFonts w:asciiTheme="minorHAnsi" w:hAnsiTheme="minorHAnsi" w:cs="FrutigerLTPro-LightCn"/>
          <w:sz w:val="20"/>
          <w:szCs w:val="20"/>
          <w:lang w:val="en-GB"/>
        </w:rPr>
        <w:t>Sensitivity in the</w:t>
      </w:r>
      <w:r>
        <w:rPr>
          <w:rFonts w:asciiTheme="minorHAnsi" w:hAnsiTheme="minorHAnsi" w:cs="FrutigerLTPro-LightCn"/>
          <w:sz w:val="20"/>
          <w:szCs w:val="20"/>
          <w:lang w:val="en-GB"/>
        </w:rPr>
        <w:t xml:space="preserve"> CT-only cohort was similar. Of </w:t>
      </w:r>
      <w:r w:rsidRPr="005C0CD3">
        <w:rPr>
          <w:rFonts w:asciiTheme="minorHAnsi" w:hAnsiTheme="minorHAnsi" w:cs="FrutigerLTPro-LightCn"/>
          <w:sz w:val="20"/>
          <w:szCs w:val="20"/>
          <w:lang w:val="en-GB"/>
        </w:rPr>
        <w:t>the 18 022 children</w:t>
      </w:r>
      <w:r>
        <w:rPr>
          <w:rFonts w:asciiTheme="minorHAnsi" w:hAnsiTheme="minorHAnsi" w:cs="FrutigerLTPro-LightCn"/>
          <w:sz w:val="20"/>
          <w:szCs w:val="20"/>
          <w:lang w:val="en-GB"/>
        </w:rPr>
        <w:t xml:space="preserve"> without CT in ED, 49.4% had at </w:t>
      </w:r>
      <w:r w:rsidRPr="005C0CD3">
        <w:rPr>
          <w:rFonts w:asciiTheme="minorHAnsi" w:hAnsiTheme="minorHAnsi" w:cs="FrutigerLTPro-LightCn"/>
          <w:sz w:val="20"/>
          <w:szCs w:val="20"/>
          <w:lang w:val="en-GB"/>
        </w:rPr>
        <w:t>least one NEXUS II risk criterion. Sensitivity for ICI by the</w:t>
      </w:r>
      <w:r>
        <w:rPr>
          <w:rFonts w:asciiTheme="minorHAnsi" w:hAnsiTheme="minorHAnsi" w:cs="FrutigerLTPro-LightCn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FrutigerLTPro-LightCn"/>
          <w:sz w:val="20"/>
          <w:szCs w:val="20"/>
          <w:lang w:val="en-GB"/>
        </w:rPr>
        <w:t>clinicians without th</w:t>
      </w:r>
      <w:r>
        <w:rPr>
          <w:rFonts w:asciiTheme="minorHAnsi" w:hAnsiTheme="minorHAnsi" w:cs="FrutigerLTPro-LightCn"/>
          <w:sz w:val="20"/>
          <w:szCs w:val="20"/>
          <w:lang w:val="en-GB"/>
        </w:rPr>
        <w:t xml:space="preserve">e rule was 377/377 (100.0% (95% </w:t>
      </w:r>
      <w:r w:rsidRPr="005C0CD3">
        <w:rPr>
          <w:rFonts w:asciiTheme="minorHAnsi" w:hAnsiTheme="minorHAnsi" w:cs="FrutigerLTPro-LightCn"/>
          <w:sz w:val="20"/>
          <w:szCs w:val="20"/>
          <w:lang w:val="en-GB"/>
        </w:rPr>
        <w:t>CI 99.0% to 100.0%)) and specificity was 18 147/19</w:t>
      </w:r>
      <w:r>
        <w:rPr>
          <w:rFonts w:asciiTheme="minorHAnsi" w:hAnsiTheme="minorHAnsi" w:cs="FrutigerLTPro-LightCn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FrutigerLTPro-LightCn"/>
          <w:sz w:val="20"/>
          <w:szCs w:val="20"/>
          <w:lang w:val="en-GB"/>
        </w:rPr>
        <w:t>732 (92.0% (95% CI 91.6% to 92.3%)).</w:t>
      </w:r>
    </w:p>
    <w:p w:rsidR="005C0CD3" w:rsidRPr="005C0CD3" w:rsidRDefault="005C0CD3" w:rsidP="0038420B">
      <w:pPr>
        <w:autoSpaceDE w:val="0"/>
        <w:autoSpaceDN w:val="0"/>
        <w:adjustRightInd w:val="0"/>
        <w:spacing w:after="240" w:line="360" w:lineRule="auto"/>
        <w:rPr>
          <w:rFonts w:asciiTheme="minorHAnsi" w:hAnsiTheme="minorHAnsi" w:cs="FrutigerLTPro-LightCn"/>
          <w:sz w:val="20"/>
          <w:szCs w:val="20"/>
          <w:lang w:val="en-GB"/>
        </w:rPr>
      </w:pPr>
      <w:r w:rsidRPr="005C0CD3">
        <w:rPr>
          <w:rFonts w:asciiTheme="minorHAnsi" w:hAnsiTheme="minorHAnsi" w:cs="FrutigerLTPro-BoldCn"/>
          <w:b/>
          <w:bCs/>
          <w:sz w:val="20"/>
          <w:szCs w:val="20"/>
          <w:lang w:val="en-GB"/>
        </w:rPr>
        <w:t xml:space="preserve">Conclusions </w:t>
      </w:r>
      <w:r w:rsidRPr="005C0CD3">
        <w:rPr>
          <w:rFonts w:asciiTheme="minorHAnsi" w:hAnsiTheme="minorHAnsi" w:cs="FrutigerLTPro-LightCn"/>
          <w:sz w:val="20"/>
          <w:szCs w:val="20"/>
          <w:lang w:val="en-GB"/>
        </w:rPr>
        <w:t>NEXUS II had high sensitivity, similar</w:t>
      </w:r>
      <w:r>
        <w:rPr>
          <w:rFonts w:asciiTheme="minorHAnsi" w:hAnsiTheme="minorHAnsi" w:cs="FrutigerLTPro-LightCn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FrutigerLTPro-LightCn"/>
          <w:sz w:val="20"/>
          <w:szCs w:val="20"/>
          <w:lang w:val="en-GB"/>
        </w:rPr>
        <w:t>to the derivation stu</w:t>
      </w:r>
      <w:r>
        <w:rPr>
          <w:rFonts w:asciiTheme="minorHAnsi" w:hAnsiTheme="minorHAnsi" w:cs="FrutigerLTPro-LightCn"/>
          <w:sz w:val="20"/>
          <w:szCs w:val="20"/>
          <w:lang w:val="en-GB"/>
        </w:rPr>
        <w:t xml:space="preserve">dy. However, approximately half </w:t>
      </w:r>
      <w:r w:rsidRPr="005C0CD3">
        <w:rPr>
          <w:rFonts w:asciiTheme="minorHAnsi" w:hAnsiTheme="minorHAnsi" w:cs="FrutigerLTPro-LightCn"/>
          <w:sz w:val="20"/>
          <w:szCs w:val="20"/>
          <w:lang w:val="en-GB"/>
        </w:rPr>
        <w:t xml:space="preserve">of </w:t>
      </w:r>
      <w:proofErr w:type="spellStart"/>
      <w:r w:rsidRPr="005C0CD3">
        <w:rPr>
          <w:rFonts w:asciiTheme="minorHAnsi" w:hAnsiTheme="minorHAnsi" w:cs="FrutigerLTPro-LightCn"/>
          <w:sz w:val="20"/>
          <w:szCs w:val="20"/>
          <w:lang w:val="en-GB"/>
        </w:rPr>
        <w:t>unimaged</w:t>
      </w:r>
      <w:proofErr w:type="spellEnd"/>
      <w:r w:rsidRPr="005C0CD3">
        <w:rPr>
          <w:rFonts w:asciiTheme="minorHAnsi" w:hAnsiTheme="minorHAnsi" w:cs="FrutigerLTPro-LightCn"/>
          <w:sz w:val="20"/>
          <w:szCs w:val="20"/>
          <w:lang w:val="en-GB"/>
        </w:rPr>
        <w:t xml:space="preserve"> patients were positive for NEXUS II risk</w:t>
      </w:r>
      <w:r>
        <w:rPr>
          <w:rFonts w:asciiTheme="minorHAnsi" w:hAnsiTheme="minorHAnsi" w:cs="FrutigerLTPro-LightCn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FrutigerLTPro-LightCn"/>
          <w:sz w:val="20"/>
          <w:szCs w:val="20"/>
          <w:lang w:val="en-GB"/>
        </w:rPr>
        <w:t>criteria; this may resu</w:t>
      </w:r>
      <w:r>
        <w:rPr>
          <w:rFonts w:asciiTheme="minorHAnsi" w:hAnsiTheme="minorHAnsi" w:cs="FrutigerLTPro-LightCn"/>
          <w:sz w:val="20"/>
          <w:szCs w:val="20"/>
          <w:lang w:val="en-GB"/>
        </w:rPr>
        <w:t xml:space="preserve">lt in an increased CT rate in a </w:t>
      </w:r>
      <w:r w:rsidRPr="005C0CD3">
        <w:rPr>
          <w:rFonts w:asciiTheme="minorHAnsi" w:hAnsiTheme="minorHAnsi" w:cs="FrutigerLTPro-LightCn"/>
          <w:sz w:val="20"/>
          <w:szCs w:val="20"/>
          <w:lang w:val="en-GB"/>
        </w:rPr>
        <w:t>setting with high clinician accuracy.</w:t>
      </w:r>
    </w:p>
    <w:p w:rsidR="005C0CD3" w:rsidRPr="005C0CD3" w:rsidRDefault="005C0CD3" w:rsidP="0038420B">
      <w:pPr>
        <w:spacing w:after="240" w:line="360" w:lineRule="auto"/>
        <w:rPr>
          <w:rFonts w:asciiTheme="minorHAnsi" w:hAnsiTheme="minorHAnsi" w:cs="FrutigerLTPro-LightCn"/>
          <w:sz w:val="20"/>
          <w:szCs w:val="20"/>
          <w:lang w:val="en-GB"/>
        </w:rPr>
      </w:pPr>
      <w:r w:rsidRPr="005C0CD3">
        <w:rPr>
          <w:rFonts w:asciiTheme="minorHAnsi" w:hAnsiTheme="minorHAnsi" w:cs="FrutigerLTPro-LightCn"/>
          <w:sz w:val="20"/>
          <w:szCs w:val="20"/>
          <w:lang w:val="en-GB"/>
        </w:rPr>
        <w:br w:type="page"/>
      </w:r>
    </w:p>
    <w:p w:rsidR="005C0CD3" w:rsidRPr="005C0CD3" w:rsidRDefault="0038420B" w:rsidP="0038420B">
      <w:pPr>
        <w:autoSpaceDE w:val="0"/>
        <w:autoSpaceDN w:val="0"/>
        <w:adjustRightInd w:val="0"/>
        <w:spacing w:line="360" w:lineRule="auto"/>
        <w:rPr>
          <w:rFonts w:asciiTheme="minorHAnsi" w:hAnsiTheme="minorHAnsi" w:cs="FrutigerLTPro-BoldCn"/>
          <w:b/>
          <w:bCs/>
          <w:color w:val="000000"/>
          <w:sz w:val="20"/>
          <w:szCs w:val="20"/>
          <w:lang w:val="en-GB"/>
        </w:rPr>
      </w:pPr>
      <w:r w:rsidRPr="005C0CD3">
        <w:rPr>
          <w:rFonts w:asciiTheme="minorHAnsi" w:hAnsiTheme="minorHAnsi" w:cs="FrutigerLTPro-BoldCn"/>
          <w:b/>
          <w:bCs/>
          <w:color w:val="000000"/>
          <w:sz w:val="20"/>
          <w:szCs w:val="20"/>
          <w:lang w:val="en-GB"/>
        </w:rPr>
        <w:lastRenderedPageBreak/>
        <w:t>INTRODUCTION</w:t>
      </w:r>
    </w:p>
    <w:p w:rsidR="005C0CD3" w:rsidRPr="005C0CD3" w:rsidRDefault="005C0CD3" w:rsidP="0038420B">
      <w:pPr>
        <w:autoSpaceDE w:val="0"/>
        <w:autoSpaceDN w:val="0"/>
        <w:adjustRightInd w:val="0"/>
        <w:spacing w:after="240" w:line="360" w:lineRule="auto"/>
        <w:rPr>
          <w:rFonts w:asciiTheme="minorHAnsi" w:hAnsiTheme="minorHAnsi" w:cs="ClassicalGaramondBT-Roman"/>
          <w:color w:val="0000FF"/>
          <w:sz w:val="20"/>
          <w:szCs w:val="20"/>
          <w:lang w:val="en-GB"/>
        </w:rPr>
      </w:pP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Over the last 20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years, a number of head injury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clinical decision ru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les (CDRs) have been developed.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They are generally designed to determine which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patients should 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or should not undergo CT of the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head by stratifying patients into those at increased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or decreased risk o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f intracranial injury (ICI). In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children with head injuries, concerns about diagnostic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speed, accuracy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, resource use and variation in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practice are amplified by concerns about radiation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exposure and subsequent iatrogenic cancer risk</w:t>
      </w:r>
      <w:r w:rsidR="0038420B">
        <w:rPr>
          <w:rFonts w:asciiTheme="minorHAnsi" w:hAnsiTheme="minorHAnsi" w:cs="ClassicalGaramondBT-Roman"/>
          <w:color w:val="0000FF"/>
          <w:sz w:val="20"/>
          <w:szCs w:val="20"/>
          <w:lang w:val="en-GB"/>
        </w:rPr>
        <w:t xml:space="preserve">1 2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and the need for sedation in young and uncooperative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patients.</w:t>
      </w:r>
      <w:r w:rsidRPr="005C0CD3">
        <w:rPr>
          <w:rFonts w:asciiTheme="minorHAnsi" w:hAnsiTheme="minorHAnsi" w:cs="ClassicalGaramondBT-Roman"/>
          <w:color w:val="0000FF"/>
          <w:sz w:val="20"/>
          <w:szCs w:val="20"/>
          <w:lang w:val="en-GB"/>
        </w:rPr>
        <w:t>3</w:t>
      </w:r>
    </w:p>
    <w:p w:rsidR="005C0CD3" w:rsidRPr="005C0CD3" w:rsidRDefault="005C0CD3" w:rsidP="0038420B">
      <w:pPr>
        <w:autoSpaceDE w:val="0"/>
        <w:autoSpaceDN w:val="0"/>
        <w:adjustRightInd w:val="0"/>
        <w:spacing w:after="240" w:line="360" w:lineRule="auto"/>
        <w:rPr>
          <w:rFonts w:asciiTheme="minorHAnsi" w:hAnsiTheme="minorHAnsi" w:cs="ClassicalGaramondBT-Roman"/>
          <w:color w:val="000000"/>
          <w:sz w:val="20"/>
          <w:szCs w:val="20"/>
          <w:lang w:val="en-GB"/>
        </w:rPr>
      </w:pP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Several child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-specific head injury CDRs have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been developed using large data sets.</w:t>
      </w:r>
      <w:r w:rsidRPr="005C0CD3">
        <w:rPr>
          <w:rFonts w:asciiTheme="minorHAnsi" w:hAnsiTheme="minorHAnsi" w:cs="ClassicalGaramondBT-Roman"/>
          <w:color w:val="0000FF"/>
          <w:sz w:val="20"/>
          <w:szCs w:val="20"/>
          <w:lang w:val="en-GB"/>
        </w:rPr>
        <w:t xml:space="preserve">4–8 </w:t>
      </w:r>
      <w:proofErr w:type="gramStart"/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This</w:t>
      </w:r>
      <w:proofErr w:type="gramEnd"/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necessitates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that clinicians use a CDR for paediatric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patients and a sepa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rate CDR for adult patients. In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contrast, the National Emergency X-Radiography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Utilisation Study II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(NEXUS II) collaboration aimed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to provide a low-risk decision instrument for head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injured patients of all ages.</w:t>
      </w:r>
      <w:r w:rsidRPr="005C0CD3">
        <w:rPr>
          <w:rFonts w:asciiTheme="minorHAnsi" w:hAnsiTheme="minorHAnsi" w:cs="ClassicalGaramondBT-Roman"/>
          <w:color w:val="0000FF"/>
          <w:sz w:val="20"/>
          <w:szCs w:val="20"/>
          <w:lang w:val="en-GB"/>
        </w:rPr>
        <w:t xml:space="preserve">9 10 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This CDR, prospectively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derived in a multicentre data set of 13 728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patients who un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derwent CT for their blunt head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injury includes eight p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redictor variables (age over 65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years, evidence of s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kull fracture, scalp haematoma,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neurological defici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t, abnormal alertness, abnormal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behaviour, coagulop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athy or persistent vomiting). A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7-criteria NEXUS I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I instrument, excluding the age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predictor variable, was then tested in the paediatric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subgroup of 1666 ch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ildren included in the original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derivation data set, showing a very high sensitivity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(98.6%, 95% 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CI 94.9% to 99.8%) and negative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predictive value (NPV) (99.1%, 95% CI 96.9%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to 99.9%). Ho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wever, the NEXUS II CDR has not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been externally valid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ated in a child-specific cohort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of undifferentiated head injuries.</w:t>
      </w:r>
    </w:p>
    <w:p w:rsidR="005C0CD3" w:rsidRPr="005C0CD3" w:rsidRDefault="005C0CD3" w:rsidP="0038420B">
      <w:pPr>
        <w:autoSpaceDE w:val="0"/>
        <w:autoSpaceDN w:val="0"/>
        <w:adjustRightInd w:val="0"/>
        <w:spacing w:after="240" w:line="360" w:lineRule="auto"/>
        <w:rPr>
          <w:rFonts w:asciiTheme="minorHAnsi" w:hAnsiTheme="minorHAnsi" w:cs="ClassicalGaramondBT-Roman"/>
          <w:color w:val="000000"/>
          <w:sz w:val="20"/>
          <w:szCs w:val="20"/>
          <w:lang w:val="en-GB"/>
        </w:rPr>
      </w:pP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Only CDRs that have bee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n derived according to rigorous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methodological standards and are externally validated should be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implemented in routine clinical practice.</w:t>
      </w:r>
      <w:r w:rsidRPr="005C0CD3">
        <w:rPr>
          <w:rFonts w:asciiTheme="minorHAnsi" w:hAnsiTheme="minorHAnsi" w:cs="ClassicalGaramondBT-Roman"/>
          <w:color w:val="0000FF"/>
          <w:sz w:val="20"/>
          <w:szCs w:val="20"/>
          <w:lang w:val="en-GB"/>
        </w:rPr>
        <w:t xml:space="preserve">4 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As &gt;80% of paediatric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emergencies are managed in EDs that care for both adult and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paediatric patients CDRs devel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oped to be used for patients of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all ages have the potential to be ideal decision instruments for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emergency physicians in mixed departments.</w:t>
      </w:r>
    </w:p>
    <w:p w:rsidR="005C0CD3" w:rsidRPr="005C0CD3" w:rsidRDefault="005C0CD3" w:rsidP="0038420B">
      <w:pPr>
        <w:autoSpaceDE w:val="0"/>
        <w:autoSpaceDN w:val="0"/>
        <w:adjustRightInd w:val="0"/>
        <w:spacing w:after="240" w:line="360" w:lineRule="auto"/>
        <w:rPr>
          <w:rFonts w:asciiTheme="minorHAnsi" w:hAnsiTheme="minorHAnsi" w:cs="ClassicalGaramondBT-Roman"/>
          <w:color w:val="000000"/>
          <w:sz w:val="20"/>
          <w:szCs w:val="20"/>
          <w:lang w:val="en-GB"/>
        </w:rPr>
      </w:pP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We undertook an external va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lidation of the NEXUS II CDR in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head injured children using prospectively collected multicentre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data outside the derivation setting.</w:t>
      </w:r>
      <w:r w:rsidRPr="005C0CD3">
        <w:rPr>
          <w:rFonts w:asciiTheme="minorHAnsi" w:hAnsiTheme="minorHAnsi" w:cs="ClassicalGaramondBT-Roman"/>
          <w:color w:val="0000FF"/>
          <w:sz w:val="20"/>
          <w:szCs w:val="20"/>
          <w:lang w:val="en-GB"/>
        </w:rPr>
        <w:t xml:space="preserve">11 12 </w:t>
      </w:r>
      <w:proofErr w:type="gramStart"/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We</w:t>
      </w:r>
      <w:proofErr w:type="gramEnd"/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used the NEXUS II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predictor variables and the rule-specific outcome of clinically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important ICI to determine the dia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gnostic accuracy of the rule in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an undifferentiated cohort of children with head injuries of any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severity. We also analysed the accuracy in the cohort that underwent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head CT, consistent with the original 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derivation cohort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inclusion criteria.</w:t>
      </w:r>
    </w:p>
    <w:p w:rsidR="005C0CD3" w:rsidRPr="005C0CD3" w:rsidRDefault="0038420B" w:rsidP="0038420B">
      <w:pPr>
        <w:autoSpaceDE w:val="0"/>
        <w:autoSpaceDN w:val="0"/>
        <w:adjustRightInd w:val="0"/>
        <w:spacing w:line="360" w:lineRule="auto"/>
        <w:rPr>
          <w:rFonts w:asciiTheme="minorHAnsi" w:hAnsiTheme="minorHAnsi" w:cs="FrutigerLTPro-BoldCn"/>
          <w:b/>
          <w:bCs/>
          <w:color w:val="000000"/>
          <w:sz w:val="20"/>
          <w:szCs w:val="20"/>
          <w:lang w:val="en-GB"/>
        </w:rPr>
      </w:pPr>
      <w:r w:rsidRPr="005C0CD3">
        <w:rPr>
          <w:rFonts w:asciiTheme="minorHAnsi" w:hAnsiTheme="minorHAnsi" w:cs="FrutigerLTPro-BoldCn"/>
          <w:b/>
          <w:bCs/>
          <w:color w:val="000000"/>
          <w:sz w:val="20"/>
          <w:szCs w:val="20"/>
          <w:lang w:val="en-GB"/>
        </w:rPr>
        <w:t>METHODS</w:t>
      </w:r>
    </w:p>
    <w:p w:rsidR="005C0CD3" w:rsidRPr="005C0CD3" w:rsidRDefault="005C0CD3" w:rsidP="0038420B">
      <w:pPr>
        <w:autoSpaceDE w:val="0"/>
        <w:autoSpaceDN w:val="0"/>
        <w:adjustRightInd w:val="0"/>
        <w:spacing w:line="360" w:lineRule="auto"/>
        <w:rPr>
          <w:rFonts w:asciiTheme="minorHAnsi" w:hAnsiTheme="minorHAnsi" w:cs="FrutigerLTPro-BoldCn"/>
          <w:b/>
          <w:bCs/>
          <w:color w:val="000000"/>
          <w:sz w:val="20"/>
          <w:szCs w:val="20"/>
          <w:lang w:val="en-GB"/>
        </w:rPr>
      </w:pPr>
      <w:r w:rsidRPr="005C0CD3">
        <w:rPr>
          <w:rFonts w:asciiTheme="minorHAnsi" w:hAnsiTheme="minorHAnsi" w:cs="FrutigerLTPro-BoldCn"/>
          <w:b/>
          <w:bCs/>
          <w:color w:val="000000"/>
          <w:sz w:val="20"/>
          <w:szCs w:val="20"/>
          <w:lang w:val="en-GB"/>
        </w:rPr>
        <w:t>Study design and setting</w:t>
      </w:r>
    </w:p>
    <w:p w:rsidR="005C0CD3" w:rsidRPr="005C0CD3" w:rsidRDefault="005C0CD3" w:rsidP="0038420B">
      <w:pPr>
        <w:autoSpaceDE w:val="0"/>
        <w:autoSpaceDN w:val="0"/>
        <w:adjustRightInd w:val="0"/>
        <w:spacing w:after="240" w:line="360" w:lineRule="auto"/>
        <w:rPr>
          <w:rFonts w:asciiTheme="minorHAnsi" w:hAnsiTheme="minorHAnsi" w:cs="ClassicalGaramondBT-Roman"/>
          <w:color w:val="000000"/>
          <w:sz w:val="20"/>
          <w:szCs w:val="20"/>
          <w:lang w:val="en-GB"/>
        </w:rPr>
      </w:pP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This was a planned secondary analysis of a prospective multicentre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observational study, which enrolled children aged &lt;18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years presenting with head injury of any severity to 10 paediatr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ic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EDs in Australia and New Zealand between April 2011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and November 2014. All ED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s are members of the Paediatric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Research in Emergency Departm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ents International Collaborative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research network.</w:t>
      </w:r>
    </w:p>
    <w:p w:rsidR="005C0CD3" w:rsidRPr="005C0CD3" w:rsidRDefault="005C0CD3" w:rsidP="0038420B">
      <w:pPr>
        <w:autoSpaceDE w:val="0"/>
        <w:autoSpaceDN w:val="0"/>
        <w:adjustRightInd w:val="0"/>
        <w:spacing w:after="240" w:line="360" w:lineRule="auto"/>
        <w:rPr>
          <w:rFonts w:asciiTheme="minorHAnsi" w:hAnsiTheme="minorHAnsi" w:cs="ClassicalGaramondBT-Roman"/>
          <w:color w:val="000000"/>
          <w:sz w:val="20"/>
          <w:szCs w:val="20"/>
          <w:lang w:val="en-GB"/>
        </w:rPr>
      </w:pP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While the focus of the parent study</w:t>
      </w:r>
      <w:r w:rsidRPr="005C0CD3">
        <w:rPr>
          <w:rFonts w:asciiTheme="minorHAnsi" w:hAnsiTheme="minorHAnsi" w:cs="ClassicalGaramondBT-Roman"/>
          <w:color w:val="0000FF"/>
          <w:sz w:val="20"/>
          <w:szCs w:val="20"/>
          <w:lang w:val="en-GB"/>
        </w:rPr>
        <w:t xml:space="preserve">11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was on the validation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of three other paediatric-specific neuroimaging rules ((</w:t>
      </w:r>
      <w:proofErr w:type="spellStart"/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i</w:t>
      </w:r>
      <w:proofErr w:type="spellEnd"/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) the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prediction rule for the identif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ication of children at very low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risk of clinically important traumatic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lastRenderedPageBreak/>
        <w:t>brain injury developed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by the Paediatric Emergenc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y Care Applied Research Network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(PECARN),</w:t>
      </w:r>
      <w:r w:rsidRPr="005C0CD3">
        <w:rPr>
          <w:rFonts w:asciiTheme="minorHAnsi" w:hAnsiTheme="minorHAnsi" w:cs="ClassicalGaramondBT-Roman"/>
          <w:color w:val="0000FF"/>
          <w:sz w:val="20"/>
          <w:szCs w:val="20"/>
          <w:lang w:val="en-GB"/>
        </w:rPr>
        <w:t xml:space="preserve">6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(ii) the Canadian Assessment of Tomography for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Childhood Head Injury (CATCH) rule</w:t>
      </w:r>
      <w:r w:rsidRPr="005C0CD3">
        <w:rPr>
          <w:rFonts w:asciiTheme="minorHAnsi" w:hAnsiTheme="minorHAnsi" w:cs="ClassicalGaramondBT-Roman"/>
          <w:color w:val="0000FF"/>
          <w:sz w:val="20"/>
          <w:szCs w:val="20"/>
          <w:lang w:val="en-GB"/>
        </w:rPr>
        <w:t xml:space="preserve">7 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and (iii) the Children’s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Head Injury Algorithm for the Prediction of Important Clinical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Events (CHALICE))</w:t>
      </w:r>
      <w:r w:rsidRPr="005C0CD3">
        <w:rPr>
          <w:rFonts w:asciiTheme="minorHAnsi" w:hAnsiTheme="minorHAnsi" w:cs="ClassicalGaramondBT-Roman"/>
          <w:color w:val="0000FF"/>
          <w:sz w:val="20"/>
          <w:szCs w:val="20"/>
          <w:lang w:val="en-GB"/>
        </w:rPr>
        <w:t xml:space="preserve">8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published elsewhere,</w:t>
      </w:r>
      <w:r w:rsidRPr="005C0CD3">
        <w:rPr>
          <w:rFonts w:asciiTheme="minorHAnsi" w:hAnsiTheme="minorHAnsi" w:cs="ClassicalGaramondBT-Roman"/>
          <w:color w:val="0000FF"/>
          <w:sz w:val="20"/>
          <w:szCs w:val="20"/>
          <w:lang w:val="en-GB"/>
        </w:rPr>
        <w:t xml:space="preserve">11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we also collected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the predictor and outcome variables of the NEXUS II rule.</w:t>
      </w:r>
      <w:r w:rsidR="0038420B">
        <w:rPr>
          <w:rFonts w:asciiTheme="minorHAnsi" w:hAnsiTheme="minorHAnsi" w:cs="ClassicalGaramondBT-Roman"/>
          <w:color w:val="0000FF"/>
          <w:sz w:val="20"/>
          <w:szCs w:val="20"/>
          <w:lang w:val="en-GB"/>
        </w:rPr>
        <w:t xml:space="preserve">9 10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Using the published predictor variables and ICI as outcome variable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as defined by NEXUS, we asse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ssed the accuracy (sensitivity,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specificity, negative predictive value (NPV), and positive predictive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value (PPV)) of NEXUS II in 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patients in the whole cohort of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patients, using systematic telephon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e follow-up data as a surrogate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for negative primary outcome of no ICI if no CT scan had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been performed. In a secondary ana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lysis, we assessed the accuracy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of NEXUS II only in the cohort who underwent a CT scan,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similar to the original derivation papers.</w:t>
      </w:r>
      <w:r w:rsidRPr="005C0CD3">
        <w:rPr>
          <w:rFonts w:asciiTheme="minorHAnsi" w:hAnsiTheme="minorHAnsi" w:cs="ClassicalGaramondBT-Roman"/>
          <w:color w:val="0000FF"/>
          <w:sz w:val="20"/>
          <w:szCs w:val="20"/>
          <w:lang w:val="en-GB"/>
        </w:rPr>
        <w:t xml:space="preserve">9 10 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As predictor and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outcome variables were not collected verbatim as published</w:t>
      </w:r>
      <w:proofErr w:type="gramStart"/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,</w:t>
      </w:r>
      <w:r w:rsidRPr="005C0CD3">
        <w:rPr>
          <w:rFonts w:asciiTheme="minorHAnsi" w:hAnsiTheme="minorHAnsi" w:cs="ClassicalGaramondBT-Roman"/>
          <w:color w:val="0000FF"/>
          <w:sz w:val="20"/>
          <w:szCs w:val="20"/>
          <w:lang w:val="en-GB"/>
        </w:rPr>
        <w:t>9</w:t>
      </w:r>
      <w:proofErr w:type="gramEnd"/>
      <w:r w:rsidRPr="005C0CD3">
        <w:rPr>
          <w:rFonts w:asciiTheme="minorHAnsi" w:hAnsiTheme="minorHAnsi" w:cs="ClassicalGaramondBT-Roman"/>
          <w:color w:val="0000FF"/>
          <w:sz w:val="20"/>
          <w:szCs w:val="20"/>
          <w:lang w:val="en-GB"/>
        </w:rPr>
        <w:t xml:space="preserve"> 10</w:t>
      </w:r>
      <w:r w:rsidR="0038420B">
        <w:rPr>
          <w:rFonts w:asciiTheme="minorHAnsi" w:hAnsiTheme="minorHAnsi" w:cs="ClassicalGaramondBT-Roman"/>
          <w:color w:val="0000FF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we adapted them base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d on available data (see online supplementary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tables 1 and 2). We also assessed clinician accuracy for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predicting the outcome of ICI by whether they conducted a CT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in the ED and compared the res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ults with the accuracy of NEXUS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II.</w:t>
      </w:r>
    </w:p>
    <w:p w:rsidR="0038420B" w:rsidRDefault="005C0CD3" w:rsidP="0038420B">
      <w:pPr>
        <w:autoSpaceDE w:val="0"/>
        <w:autoSpaceDN w:val="0"/>
        <w:adjustRightInd w:val="0"/>
        <w:spacing w:after="240" w:line="360" w:lineRule="auto"/>
        <w:rPr>
          <w:rFonts w:asciiTheme="minorHAnsi" w:hAnsiTheme="minorHAnsi" w:cs="ClassicalGaramondBT-Roman"/>
          <w:color w:val="0000FF"/>
          <w:sz w:val="20"/>
          <w:szCs w:val="20"/>
          <w:lang w:val="en-GB"/>
        </w:rPr>
      </w:pP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We obtained informed verba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l consent from parents/guardian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apart from instances of significant life-threatening or fatal injuries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where participating ethics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committees granted a waiver of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consent.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The trial protocol was published in detail elsewhere.</w:t>
      </w:r>
      <w:r w:rsidRPr="005C0CD3">
        <w:rPr>
          <w:rFonts w:asciiTheme="minorHAnsi" w:hAnsiTheme="minorHAnsi" w:cs="ClassicalGaramondBT-Roman"/>
          <w:color w:val="0000FF"/>
          <w:sz w:val="20"/>
          <w:szCs w:val="20"/>
          <w:lang w:val="en-GB"/>
        </w:rPr>
        <w:t xml:space="preserve">12 </w:t>
      </w:r>
      <w:proofErr w:type="gramStart"/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The</w:t>
      </w:r>
      <w:proofErr w:type="gramEnd"/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study was registered with the Australian New Zealand Clinical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Trials Registry ACTRN1261400046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3673 and followed the Standards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for Reporting Diagnostic accuracy studies guidelines.</w:t>
      </w:r>
      <w:r w:rsidRPr="005C0CD3">
        <w:rPr>
          <w:rFonts w:asciiTheme="minorHAnsi" w:hAnsiTheme="minorHAnsi" w:cs="ClassicalGaramondBT-Roman"/>
          <w:color w:val="0000FF"/>
          <w:sz w:val="20"/>
          <w:szCs w:val="20"/>
          <w:lang w:val="en-GB"/>
        </w:rPr>
        <w:t>13</w:t>
      </w:r>
      <w:r w:rsidR="0038420B">
        <w:rPr>
          <w:rFonts w:asciiTheme="minorHAnsi" w:hAnsiTheme="minorHAnsi" w:cs="ClassicalGaramondBT-Roman"/>
          <w:color w:val="0000FF"/>
          <w:sz w:val="20"/>
          <w:szCs w:val="20"/>
          <w:lang w:val="en-GB"/>
        </w:rPr>
        <w:t xml:space="preserve"> </w:t>
      </w:r>
    </w:p>
    <w:p w:rsidR="005C0CD3" w:rsidRPr="0038420B" w:rsidRDefault="005C0CD3" w:rsidP="0038420B">
      <w:pPr>
        <w:autoSpaceDE w:val="0"/>
        <w:autoSpaceDN w:val="0"/>
        <w:adjustRightInd w:val="0"/>
        <w:spacing w:line="360" w:lineRule="auto"/>
        <w:rPr>
          <w:rFonts w:asciiTheme="minorHAnsi" w:eastAsia="FrutigerLTPro-Condensed" w:hAnsiTheme="minorHAnsi" w:cs="FrutigerLTPro-Condensed"/>
          <w:b/>
          <w:color w:val="000000"/>
          <w:sz w:val="20"/>
          <w:szCs w:val="20"/>
          <w:lang w:val="en-GB"/>
        </w:rPr>
      </w:pPr>
      <w:r w:rsidRPr="0038420B">
        <w:rPr>
          <w:rFonts w:asciiTheme="minorHAnsi" w:eastAsia="FrutigerLTPro-Condensed" w:hAnsiTheme="minorHAnsi" w:cs="FrutigerLTPro-Condensed"/>
          <w:b/>
          <w:color w:val="000000"/>
          <w:sz w:val="20"/>
          <w:szCs w:val="20"/>
          <w:lang w:val="en-GB"/>
        </w:rPr>
        <w:t>Selection of participants</w:t>
      </w:r>
    </w:p>
    <w:p w:rsidR="005C0CD3" w:rsidRPr="005C0CD3" w:rsidRDefault="005C0CD3" w:rsidP="0038420B">
      <w:pPr>
        <w:autoSpaceDE w:val="0"/>
        <w:autoSpaceDN w:val="0"/>
        <w:adjustRightInd w:val="0"/>
        <w:spacing w:after="240" w:line="360" w:lineRule="auto"/>
        <w:rPr>
          <w:rFonts w:asciiTheme="minorHAnsi" w:hAnsiTheme="minorHAnsi" w:cs="ClassicalGaramondBT-Roman"/>
          <w:color w:val="000000"/>
          <w:sz w:val="20"/>
          <w:szCs w:val="20"/>
          <w:lang w:val="en-GB"/>
        </w:rPr>
      </w:pP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Patients were enrolled by the trea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ting ED clinician who collected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demographic, epidemiological and clinical data on a standardised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case report form prior to 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any neuroimaging. ED clinicians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decided to obtain head CTs at the initial presentation in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ED based on their clinical judgement and their own criteria, the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study exerted no influence on this process. A research assistant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(RA) recorded ED and hospital 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management data after the visit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and conducted a telephone fol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low-up for patients who had not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undergone neuroimaging. Up to six follow-up call attempts were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made up to 90 days after injury. In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addition, data of any patients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who had representations to the study hospitals leading to a CT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scan within the follow-up peri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od prior to the phone call were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used to assess outcomes. Any patients who had representations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to other hospitals based on the telephone follow-up had neuroimaging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and neurosurgery reports requested where applicable.</w:t>
      </w:r>
    </w:p>
    <w:p w:rsidR="005C0CD3" w:rsidRPr="005C0CD3" w:rsidRDefault="005C0CD3" w:rsidP="0038420B">
      <w:pPr>
        <w:autoSpaceDE w:val="0"/>
        <w:autoSpaceDN w:val="0"/>
        <w:adjustRightInd w:val="0"/>
        <w:spacing w:after="240" w:line="360" w:lineRule="auto"/>
        <w:rPr>
          <w:rFonts w:asciiTheme="minorHAnsi" w:hAnsiTheme="minorHAnsi" w:cs="ClassicalGaramondBT-Roman"/>
          <w:color w:val="000000"/>
          <w:sz w:val="20"/>
          <w:szCs w:val="20"/>
          <w:lang w:val="en-GB"/>
        </w:rPr>
      </w:pP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Patients were excluded if th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ey had trivial facial injuries,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refused participation, had neuroimaging prior to arrival in ED,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did not wait to be seen or were r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eferred for care outside the ED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and if there were social issues preventing an approach of the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patient or family.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RAs were not blinded to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the purpose of the study. </w:t>
      </w:r>
      <w:proofErr w:type="gramStart"/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Site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investigators,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RAs and participatin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g ED clinicians received formal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training prior to and during the study.</w:t>
      </w:r>
      <w:proofErr w:type="gramEnd"/>
    </w:p>
    <w:p w:rsidR="005C0CD3" w:rsidRPr="005C0CD3" w:rsidRDefault="005C0CD3" w:rsidP="0038420B">
      <w:pPr>
        <w:autoSpaceDE w:val="0"/>
        <w:autoSpaceDN w:val="0"/>
        <w:adjustRightInd w:val="0"/>
        <w:spacing w:line="360" w:lineRule="auto"/>
        <w:rPr>
          <w:rFonts w:asciiTheme="minorHAnsi" w:hAnsiTheme="minorHAnsi" w:cs="FrutigerLTPro-BoldCn"/>
          <w:b/>
          <w:bCs/>
          <w:color w:val="000000"/>
          <w:sz w:val="20"/>
          <w:szCs w:val="20"/>
          <w:lang w:val="en-GB"/>
        </w:rPr>
      </w:pPr>
      <w:r w:rsidRPr="005C0CD3">
        <w:rPr>
          <w:rFonts w:asciiTheme="minorHAnsi" w:hAnsiTheme="minorHAnsi" w:cs="FrutigerLTPro-BoldCn"/>
          <w:b/>
          <w:bCs/>
          <w:color w:val="000000"/>
          <w:sz w:val="20"/>
          <w:szCs w:val="20"/>
          <w:lang w:val="en-GB"/>
        </w:rPr>
        <w:t>Methods and measurements</w:t>
      </w:r>
    </w:p>
    <w:p w:rsidR="005C0CD3" w:rsidRPr="005C0CD3" w:rsidRDefault="005C0CD3" w:rsidP="0038420B">
      <w:pPr>
        <w:autoSpaceDE w:val="0"/>
        <w:autoSpaceDN w:val="0"/>
        <w:adjustRightInd w:val="0"/>
        <w:spacing w:after="240" w:line="360" w:lineRule="auto"/>
        <w:rPr>
          <w:rFonts w:asciiTheme="minorHAnsi" w:hAnsiTheme="minorHAnsi" w:cs="ClassicalGaramondBT-Roman"/>
          <w:color w:val="000000"/>
          <w:sz w:val="20"/>
          <w:szCs w:val="20"/>
          <w:lang w:val="en-GB"/>
        </w:rPr>
      </w:pP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The NEXUS II decision instrument</w:t>
      </w:r>
      <w:r w:rsidRPr="005C0CD3">
        <w:rPr>
          <w:rFonts w:asciiTheme="minorHAnsi" w:hAnsiTheme="minorHAnsi" w:cs="ClassicalGaramondBT-Roman"/>
          <w:color w:val="0000FF"/>
          <w:sz w:val="20"/>
          <w:szCs w:val="20"/>
          <w:lang w:val="en-GB"/>
        </w:rPr>
        <w:t xml:space="preserve">9 10 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was used for this study.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It includes eight risk criteria: evidence of significant skull fracture,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altered level of alertness, neurological deficit, persis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tent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vomiting, presence of scalp haematoma, abnormal behaviour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and coagulopathy and age &gt;65 ye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ars. Patients fulfilling one or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more of these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lastRenderedPageBreak/>
        <w:t>criteria are considered at high risk for ICI and are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recommended to undergo a head CT. Similar to Oman </w:t>
      </w:r>
      <w:r w:rsidRPr="005C0CD3">
        <w:rPr>
          <w:rFonts w:asciiTheme="minorHAnsi" w:hAnsiTheme="minorHAnsi" w:cs="ClassicalGaramondBT-Italic"/>
          <w:i/>
          <w:iCs/>
          <w:color w:val="000000"/>
          <w:sz w:val="20"/>
          <w:szCs w:val="20"/>
          <w:lang w:val="en-GB"/>
        </w:rPr>
        <w:t>et al</w:t>
      </w:r>
      <w:proofErr w:type="gramStart"/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,</w:t>
      </w:r>
      <w:r w:rsidRPr="005C0CD3">
        <w:rPr>
          <w:rFonts w:asciiTheme="minorHAnsi" w:hAnsiTheme="minorHAnsi" w:cs="ClassicalGaramondBT-Roman"/>
          <w:color w:val="0000FF"/>
          <w:sz w:val="20"/>
          <w:szCs w:val="20"/>
          <w:lang w:val="en-GB"/>
        </w:rPr>
        <w:t>10</w:t>
      </w:r>
      <w:proofErr w:type="gramEnd"/>
      <w:r w:rsidRPr="005C0CD3">
        <w:rPr>
          <w:rFonts w:asciiTheme="minorHAnsi" w:hAnsiTheme="minorHAnsi" w:cs="ClassicalGaramondBT-Roman"/>
          <w:color w:val="0000FF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we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removed the age criterion as not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relevant; online supplementary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table 1 presents the definition of the seven risk criteria used</w:t>
      </w:r>
      <w:r w:rsidRPr="005C0CD3">
        <w:rPr>
          <w:rFonts w:asciiTheme="minorHAnsi" w:hAnsiTheme="minorHAnsi" w:cs="ClassicalGaramondBT-Roman"/>
          <w:color w:val="0000FF"/>
          <w:sz w:val="20"/>
          <w:szCs w:val="20"/>
          <w:lang w:val="en-GB"/>
        </w:rPr>
        <w:t>10</w:t>
      </w:r>
      <w:r w:rsidR="0038420B">
        <w:rPr>
          <w:rFonts w:asciiTheme="minorHAnsi" w:hAnsiTheme="minorHAnsi" w:cs="ClassicalGaramondBT-Roman"/>
          <w:color w:val="0000FF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and how closely they matched th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e predictor variables available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from PEACRN, CATCH and CHALICE.</w:t>
      </w:r>
    </w:p>
    <w:p w:rsidR="005C0CD3" w:rsidRPr="005C0CD3" w:rsidRDefault="005C0CD3" w:rsidP="0038420B">
      <w:pPr>
        <w:autoSpaceDE w:val="0"/>
        <w:autoSpaceDN w:val="0"/>
        <w:adjustRightInd w:val="0"/>
        <w:spacing w:line="360" w:lineRule="auto"/>
        <w:rPr>
          <w:rFonts w:asciiTheme="minorHAnsi" w:hAnsiTheme="minorHAnsi" w:cs="FrutigerLTPro-BoldCn"/>
          <w:b/>
          <w:bCs/>
          <w:color w:val="000000"/>
          <w:sz w:val="20"/>
          <w:szCs w:val="20"/>
          <w:lang w:val="en-GB"/>
        </w:rPr>
      </w:pPr>
      <w:r w:rsidRPr="005C0CD3">
        <w:rPr>
          <w:rFonts w:asciiTheme="minorHAnsi" w:hAnsiTheme="minorHAnsi" w:cs="FrutigerLTPro-BoldCn"/>
          <w:b/>
          <w:bCs/>
          <w:color w:val="000000"/>
          <w:sz w:val="20"/>
          <w:szCs w:val="20"/>
          <w:lang w:val="en-GB"/>
        </w:rPr>
        <w:t>Outcomes</w:t>
      </w:r>
    </w:p>
    <w:p w:rsidR="005C0CD3" w:rsidRPr="0038420B" w:rsidRDefault="005C0CD3" w:rsidP="0038420B">
      <w:pPr>
        <w:autoSpaceDE w:val="0"/>
        <w:autoSpaceDN w:val="0"/>
        <w:adjustRightInd w:val="0"/>
        <w:spacing w:after="240" w:line="360" w:lineRule="auto"/>
        <w:rPr>
          <w:rFonts w:asciiTheme="minorHAnsi" w:hAnsiTheme="minorHAnsi" w:cs="ClassicalGaramondBT-Roman"/>
          <w:color w:val="000000"/>
          <w:sz w:val="20"/>
          <w:szCs w:val="20"/>
          <w:lang w:val="en-GB"/>
        </w:rPr>
      </w:pP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The definition of ICI applied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in this study was based on the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original definition proposed by Mower </w:t>
      </w:r>
      <w:r w:rsidRPr="005C0CD3">
        <w:rPr>
          <w:rFonts w:asciiTheme="minorHAnsi" w:hAnsiTheme="minorHAnsi" w:cs="ClassicalGaramondBT-Italic"/>
          <w:i/>
          <w:iCs/>
          <w:color w:val="000000"/>
          <w:sz w:val="20"/>
          <w:szCs w:val="20"/>
          <w:lang w:val="en-GB"/>
        </w:rPr>
        <w:t>et al</w:t>
      </w:r>
      <w:proofErr w:type="gramStart"/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,</w:t>
      </w:r>
      <w:r w:rsidRPr="005C0CD3">
        <w:rPr>
          <w:rFonts w:asciiTheme="minorHAnsi" w:hAnsiTheme="minorHAnsi" w:cs="ClassicalGaramondBT-Roman"/>
          <w:color w:val="0000FF"/>
          <w:sz w:val="20"/>
          <w:szCs w:val="20"/>
          <w:lang w:val="en-GB"/>
        </w:rPr>
        <w:t>9</w:t>
      </w:r>
      <w:proofErr w:type="gramEnd"/>
      <w:r w:rsidRPr="005C0CD3">
        <w:rPr>
          <w:rFonts w:asciiTheme="minorHAnsi" w:hAnsiTheme="minorHAnsi" w:cs="ClassicalGaramondBT-Roman"/>
          <w:color w:val="0000FF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according to the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presence of one or more of a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number of CT findings shown in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online supplementary table 2. These were derived from previous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clinical work</w:t>
      </w:r>
      <w:proofErr w:type="gramStart"/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,</w:t>
      </w:r>
      <w:r w:rsidRPr="005C0CD3">
        <w:rPr>
          <w:rFonts w:asciiTheme="minorHAnsi" w:hAnsiTheme="minorHAnsi" w:cs="ClassicalGaramondBT-Roman"/>
          <w:color w:val="0000FF"/>
          <w:sz w:val="20"/>
          <w:szCs w:val="20"/>
          <w:lang w:val="en-GB"/>
        </w:rPr>
        <w:t>14</w:t>
      </w:r>
      <w:proofErr w:type="gramEnd"/>
      <w:r w:rsidRPr="005C0CD3">
        <w:rPr>
          <w:rFonts w:asciiTheme="minorHAnsi" w:hAnsiTheme="minorHAnsi" w:cs="ClassicalGaramondBT-Roman"/>
          <w:color w:val="0000FF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which showed tha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t patients with these CT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findings may require neurosurgical intervention (craniotomy,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intracranial pressure monitoring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or mechanical ventilation), or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are likely to suffer significant lon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g-term neurological impairment. </w:t>
      </w:r>
      <w:r w:rsidRPr="005C0CD3">
        <w:rPr>
          <w:rFonts w:asciiTheme="minorHAnsi" w:hAnsiTheme="minorHAnsi" w:cs="ClassicalGaramondBT-Roman"/>
          <w:color w:val="0000FF"/>
          <w:sz w:val="20"/>
          <w:szCs w:val="20"/>
          <w:lang w:val="en-GB"/>
        </w:rPr>
        <w:t>10 14</w:t>
      </w:r>
    </w:p>
    <w:p w:rsidR="005C0CD3" w:rsidRPr="005C0CD3" w:rsidRDefault="005C0CD3" w:rsidP="0038420B">
      <w:pPr>
        <w:autoSpaceDE w:val="0"/>
        <w:autoSpaceDN w:val="0"/>
        <w:adjustRightInd w:val="0"/>
        <w:spacing w:after="240" w:line="360" w:lineRule="auto"/>
        <w:rPr>
          <w:rFonts w:asciiTheme="minorHAnsi" w:hAnsiTheme="minorHAnsi" w:cs="ClassicalGaramondBT-Roman"/>
          <w:color w:val="000000"/>
          <w:sz w:val="20"/>
          <w:szCs w:val="20"/>
          <w:lang w:val="en-GB"/>
        </w:rPr>
      </w:pP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In this study, we used senior radiologist reports to determine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the results of CT scans. RAs and site investigators abstracted these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data from CT reports for agre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ement with the outcome measures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and consulted local site radiologists if there was uncertainty in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the interpretation of individual sc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ans. De-identified copies of CT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findings were provided to the centra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l site. If there was a question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as to the classification of the CT, a central site investigator would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review the reports and if needed u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se a third site investigator to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resolve disagreements.</w:t>
      </w:r>
    </w:p>
    <w:p w:rsidR="005C0CD3" w:rsidRPr="005C0CD3" w:rsidRDefault="005C0CD3" w:rsidP="0038420B">
      <w:pPr>
        <w:autoSpaceDE w:val="0"/>
        <w:autoSpaceDN w:val="0"/>
        <w:adjustRightInd w:val="0"/>
        <w:spacing w:after="240" w:line="360" w:lineRule="auto"/>
        <w:rPr>
          <w:rFonts w:asciiTheme="minorHAnsi" w:hAnsiTheme="minorHAnsi" w:cs="ClassicalGaramondBT-Roman"/>
          <w:color w:val="000000"/>
          <w:sz w:val="20"/>
          <w:szCs w:val="20"/>
          <w:lang w:val="en-GB"/>
        </w:rPr>
      </w:pP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A comparison between the NEXUS II CT criteria and the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corresponding information 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used in our study is provided in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online supplementary table 2.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For the descriptive analyses of 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neurosurgical interventions, we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used operative reports. RAs and site investigators abstracted the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information from operative repo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rts. If there was a question as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to the classification of the operative reports, a central site investigator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would review the reports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and if needed use a third site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investigator to resolve disagreements.</w:t>
      </w:r>
    </w:p>
    <w:p w:rsidR="005C0CD3" w:rsidRPr="005C0CD3" w:rsidRDefault="005C0CD3" w:rsidP="0038420B">
      <w:pPr>
        <w:autoSpaceDE w:val="0"/>
        <w:autoSpaceDN w:val="0"/>
        <w:adjustRightInd w:val="0"/>
        <w:spacing w:line="360" w:lineRule="auto"/>
        <w:rPr>
          <w:rFonts w:asciiTheme="minorHAnsi" w:hAnsiTheme="minorHAnsi" w:cs="FrutigerLTPro-BoldCn"/>
          <w:b/>
          <w:bCs/>
          <w:color w:val="000000"/>
          <w:sz w:val="20"/>
          <w:szCs w:val="20"/>
          <w:lang w:val="en-GB"/>
        </w:rPr>
      </w:pPr>
      <w:r w:rsidRPr="005C0CD3">
        <w:rPr>
          <w:rFonts w:asciiTheme="minorHAnsi" w:hAnsiTheme="minorHAnsi" w:cs="FrutigerLTPro-BoldCn"/>
          <w:b/>
          <w:bCs/>
          <w:color w:val="000000"/>
          <w:sz w:val="20"/>
          <w:szCs w:val="20"/>
          <w:lang w:val="en-GB"/>
        </w:rPr>
        <w:t>Analysis</w:t>
      </w:r>
    </w:p>
    <w:p w:rsidR="005C0CD3" w:rsidRPr="005C0CD3" w:rsidRDefault="005C0CD3" w:rsidP="0038420B">
      <w:pPr>
        <w:autoSpaceDE w:val="0"/>
        <w:autoSpaceDN w:val="0"/>
        <w:adjustRightInd w:val="0"/>
        <w:spacing w:after="240" w:line="360" w:lineRule="auto"/>
        <w:rPr>
          <w:rFonts w:asciiTheme="minorHAnsi" w:hAnsiTheme="minorHAnsi" w:cs="ClassicalGaramondBT-Roman"/>
          <w:color w:val="000000"/>
          <w:sz w:val="20"/>
          <w:szCs w:val="20"/>
          <w:lang w:val="en-GB"/>
        </w:rPr>
      </w:pP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Data were entered into </w:t>
      </w:r>
      <w:proofErr w:type="spellStart"/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Ep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idata</w:t>
      </w:r>
      <w:proofErr w:type="spellEnd"/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(The </w:t>
      </w:r>
      <w:proofErr w:type="spellStart"/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Epidata</w:t>
      </w:r>
      <w:proofErr w:type="spellEnd"/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Association,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Odense, Denmark), and later REDCap</w:t>
      </w:r>
      <w:proofErr w:type="gramStart"/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,</w:t>
      </w:r>
      <w:r w:rsidRPr="005C0CD3">
        <w:rPr>
          <w:rFonts w:asciiTheme="minorHAnsi" w:hAnsiTheme="minorHAnsi" w:cs="ClassicalGaramondBT-Roman"/>
          <w:color w:val="0000FF"/>
          <w:sz w:val="20"/>
          <w:szCs w:val="20"/>
          <w:lang w:val="en-GB"/>
        </w:rPr>
        <w:t>15</w:t>
      </w:r>
      <w:proofErr w:type="gramEnd"/>
      <w:r w:rsidRPr="005C0CD3">
        <w:rPr>
          <w:rFonts w:asciiTheme="minorHAnsi" w:hAnsiTheme="minorHAnsi" w:cs="ClassicalGaramondBT-Roman"/>
          <w:color w:val="0000FF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and analysed using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Stata 13 (</w:t>
      </w:r>
      <w:proofErr w:type="spellStart"/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StataCorp</w:t>
      </w:r>
      <w:proofErr w:type="spellEnd"/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, College St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ation, Texas, USA). Descriptive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statistics were calculated for key variables with 95% CIs where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relevant.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Primary analysis was the diagnostic accu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racy (sensitivity, specificity,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NPV and PPV) of NEXUS II for ICI in patients in the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cohort of all presenting patients.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In this analysis, patients who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did not undergo a CT scan, but were followed up by telephone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up to 90 days after the injury w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ere coded as not having ICI. In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a secondary analysis, the diagnostic accuracy (sensitivity, specificity,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NPV and PPV) of NEX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US II for ICI was tested in the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cohort who underwent a CT scan. Finally, we assesse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d the diagnostic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accuracy of clinician practice to detect ICI if a CT scan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had been conducted.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Missing predictor variables w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ere treated as missing presumed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negative. A sample size calculation had been conducted for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the parent study</w:t>
      </w:r>
      <w:r w:rsidRPr="005C0CD3">
        <w:rPr>
          <w:rFonts w:asciiTheme="minorHAnsi" w:hAnsiTheme="minorHAnsi" w:cs="ClassicalGaramondBT-Roman"/>
          <w:color w:val="0000FF"/>
          <w:sz w:val="20"/>
          <w:szCs w:val="20"/>
          <w:lang w:val="en-GB"/>
        </w:rPr>
        <w:t>11 12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; no add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itional sample size calculation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was conducted for this </w:t>
      </w:r>
      <w:proofErr w:type="spellStart"/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substudy</w:t>
      </w:r>
      <w:proofErr w:type="spellEnd"/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and all available patients who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fulfilled inclusion criteria were used.</w:t>
      </w:r>
    </w:p>
    <w:p w:rsidR="005C0CD3" w:rsidRPr="005C0CD3" w:rsidRDefault="005C0CD3" w:rsidP="0038420B">
      <w:pPr>
        <w:autoSpaceDE w:val="0"/>
        <w:autoSpaceDN w:val="0"/>
        <w:adjustRightInd w:val="0"/>
        <w:spacing w:after="240" w:line="360" w:lineRule="auto"/>
        <w:rPr>
          <w:rFonts w:asciiTheme="minorHAnsi" w:hAnsiTheme="minorHAnsi" w:cs="ClassicalGaramondBT-Roman"/>
          <w:color w:val="000000"/>
          <w:sz w:val="20"/>
          <w:szCs w:val="20"/>
          <w:lang w:val="en-GB"/>
        </w:rPr>
      </w:pP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We conducted a seconda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ry analysis where patients with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missing pre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dictor variables were excluded.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As in the study by Oman </w:t>
      </w:r>
      <w:r w:rsidRPr="005C0CD3">
        <w:rPr>
          <w:rFonts w:asciiTheme="minorHAnsi" w:hAnsiTheme="minorHAnsi" w:cs="ClassicalGaramondBT-Italic"/>
          <w:i/>
          <w:iCs/>
          <w:color w:val="000000"/>
          <w:sz w:val="20"/>
          <w:szCs w:val="20"/>
          <w:lang w:val="en-GB"/>
        </w:rPr>
        <w:t>et al</w:t>
      </w:r>
      <w:proofErr w:type="gramStart"/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,</w:t>
      </w:r>
      <w:r w:rsidRPr="005C0CD3">
        <w:rPr>
          <w:rFonts w:asciiTheme="minorHAnsi" w:hAnsiTheme="minorHAnsi" w:cs="ClassicalGaramondBT-Roman"/>
          <w:color w:val="0000FF"/>
          <w:sz w:val="20"/>
          <w:szCs w:val="20"/>
          <w:lang w:val="en-GB"/>
        </w:rPr>
        <w:t>10</w:t>
      </w:r>
      <w:proofErr w:type="gramEnd"/>
      <w:r w:rsidRPr="005C0CD3">
        <w:rPr>
          <w:rFonts w:asciiTheme="minorHAnsi" w:hAnsiTheme="minorHAnsi" w:cs="ClassicalGaramondBT-Roman"/>
          <w:color w:val="0000FF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we also performed a subgroup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analysis in children aged ≤3 years. This subgroup analysis was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performed in consideration of the f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act that assessment of criteria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pertaining to behavioural and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lastRenderedPageBreak/>
        <w:t>neurological functioning domains,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as well as to other domains, may 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be more challenging in children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of this very young age</w:t>
      </w:r>
      <w:r w:rsidRPr="005C0CD3">
        <w:rPr>
          <w:rFonts w:asciiTheme="minorHAnsi" w:hAnsiTheme="minorHAnsi" w:cs="ClassicalGaramondBT-Roman"/>
          <w:color w:val="0000FF"/>
          <w:sz w:val="20"/>
          <w:szCs w:val="20"/>
          <w:lang w:val="en-GB"/>
        </w:rPr>
        <w:t xml:space="preserve">10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and thus may affect the diagnostic accuracy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of the CDR instrument.</w:t>
      </w:r>
    </w:p>
    <w:p w:rsidR="005C0CD3" w:rsidRPr="005C0CD3" w:rsidRDefault="0038420B" w:rsidP="0038420B">
      <w:pPr>
        <w:autoSpaceDE w:val="0"/>
        <w:autoSpaceDN w:val="0"/>
        <w:adjustRightInd w:val="0"/>
        <w:spacing w:line="360" w:lineRule="auto"/>
        <w:rPr>
          <w:rFonts w:asciiTheme="minorHAnsi" w:hAnsiTheme="minorHAnsi" w:cs="FrutigerLTPro-BoldCn"/>
          <w:b/>
          <w:bCs/>
          <w:color w:val="000000"/>
          <w:sz w:val="20"/>
          <w:szCs w:val="20"/>
          <w:lang w:val="en-GB"/>
        </w:rPr>
      </w:pPr>
      <w:r w:rsidRPr="005C0CD3">
        <w:rPr>
          <w:rFonts w:asciiTheme="minorHAnsi" w:hAnsiTheme="minorHAnsi" w:cs="FrutigerLTPro-BoldCn"/>
          <w:b/>
          <w:bCs/>
          <w:color w:val="000000"/>
          <w:sz w:val="20"/>
          <w:szCs w:val="20"/>
          <w:lang w:val="en-GB"/>
        </w:rPr>
        <w:t>RESULTS</w:t>
      </w:r>
    </w:p>
    <w:p w:rsidR="005C0CD3" w:rsidRPr="005C0CD3" w:rsidRDefault="005C0CD3" w:rsidP="0038420B">
      <w:pPr>
        <w:autoSpaceDE w:val="0"/>
        <w:autoSpaceDN w:val="0"/>
        <w:adjustRightInd w:val="0"/>
        <w:spacing w:line="360" w:lineRule="auto"/>
        <w:rPr>
          <w:rFonts w:asciiTheme="minorHAnsi" w:hAnsiTheme="minorHAnsi" w:cs="FrutigerLTPro-BoldCn"/>
          <w:b/>
          <w:bCs/>
          <w:color w:val="000000"/>
          <w:sz w:val="20"/>
          <w:szCs w:val="20"/>
          <w:lang w:val="en-GB"/>
        </w:rPr>
      </w:pPr>
      <w:r w:rsidRPr="005C0CD3">
        <w:rPr>
          <w:rFonts w:asciiTheme="minorHAnsi" w:hAnsiTheme="minorHAnsi" w:cs="FrutigerLTPro-BoldCn"/>
          <w:b/>
          <w:bCs/>
          <w:color w:val="000000"/>
          <w:sz w:val="20"/>
          <w:szCs w:val="20"/>
          <w:lang w:val="en-GB"/>
        </w:rPr>
        <w:t>Characteristics of study subjects</w:t>
      </w:r>
    </w:p>
    <w:p w:rsidR="005C0CD3" w:rsidRPr="005C0CD3" w:rsidRDefault="005C0CD3" w:rsidP="0038420B">
      <w:pPr>
        <w:autoSpaceDE w:val="0"/>
        <w:autoSpaceDN w:val="0"/>
        <w:adjustRightInd w:val="0"/>
        <w:spacing w:after="240" w:line="360" w:lineRule="auto"/>
        <w:rPr>
          <w:rFonts w:asciiTheme="minorHAnsi" w:hAnsiTheme="minorHAnsi" w:cs="ClassicalGaramondBT-Roman"/>
          <w:color w:val="000000"/>
          <w:sz w:val="20"/>
          <w:szCs w:val="20"/>
          <w:lang w:val="en-GB"/>
        </w:rPr>
      </w:pP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A total of 29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,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433 patients present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ed to the ED with injury of any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severity, of which 5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,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203 were missed. Of the remaining 24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,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230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patients assessed for eligibility, 1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,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706 were excluded. Of the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22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,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524 eligible patients, 2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,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240 were lost to follow-up, 147 had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records that were not evaluable 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and 28 were suspected by the ED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clinician to have sustained a penetrating head injury; this led to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a total number of 20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,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109 patients evaluable for analyses. Patient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flow is described in </w:t>
      </w:r>
      <w:r w:rsidRPr="005C0CD3">
        <w:rPr>
          <w:rFonts w:asciiTheme="minorHAnsi" w:hAnsiTheme="minorHAnsi" w:cs="ClassicalGaramondBT-Roman"/>
          <w:color w:val="0000FF"/>
          <w:sz w:val="20"/>
          <w:szCs w:val="20"/>
          <w:lang w:val="en-GB"/>
        </w:rPr>
        <w:t>figure 1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. </w:t>
      </w:r>
      <w:proofErr w:type="gramStart"/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Of 1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,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962 (9.6%) patients wh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o received a CT scan in the ED,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377/1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,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962 (19.2%) had ICI as defined by NEXUS II (</w:t>
      </w:r>
      <w:r w:rsidRPr="005C0CD3">
        <w:rPr>
          <w:rFonts w:asciiTheme="minorHAnsi" w:hAnsiTheme="minorHAnsi" w:cs="ClassicalGaramondBT-Roman"/>
          <w:color w:val="0000FF"/>
          <w:sz w:val="20"/>
          <w:szCs w:val="20"/>
          <w:lang w:val="en-GB"/>
        </w:rPr>
        <w:t>table 1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).</w:t>
      </w:r>
      <w:proofErr w:type="gramEnd"/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Mean age of patients was 6.6 (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SD 5.2) years for patients with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ICI and 8.8 (SD 5.2) years for th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ose without ICI on CT. Overall,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26.3% of patients with a CT scan were &lt;3 years of age. Main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signs and symptoms were loss of consciousness and vomitin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g,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main mechanism of injury was fall related. Ten children died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from their head injuries. The most f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requent types of ICI identified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on CT were skull fractures, and subdural/extradural haemorrhages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and contusions, with 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the most frequent neurosurgical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interventions (74, 19.6%) being moni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toring of intracranial pressure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and craniotomy (</w:t>
      </w:r>
      <w:r w:rsidRPr="005C0CD3">
        <w:rPr>
          <w:rFonts w:asciiTheme="minorHAnsi" w:hAnsiTheme="minorHAnsi" w:cs="ClassicalGaramondBT-Roman"/>
          <w:color w:val="0000FF"/>
          <w:sz w:val="20"/>
          <w:szCs w:val="20"/>
          <w:lang w:val="en-GB"/>
        </w:rPr>
        <w:t>table 2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).</w:t>
      </w:r>
    </w:p>
    <w:p w:rsidR="005C0CD3" w:rsidRPr="0038420B" w:rsidRDefault="005C0CD3" w:rsidP="0038420B">
      <w:pPr>
        <w:autoSpaceDE w:val="0"/>
        <w:autoSpaceDN w:val="0"/>
        <w:adjustRightInd w:val="0"/>
        <w:spacing w:line="360" w:lineRule="auto"/>
        <w:rPr>
          <w:rFonts w:asciiTheme="minorHAnsi" w:eastAsia="FrutigerLTPro-Condensed" w:hAnsiTheme="minorHAnsi" w:cs="FrutigerLTPro-Condensed"/>
          <w:b/>
          <w:color w:val="000000"/>
          <w:sz w:val="20"/>
          <w:szCs w:val="20"/>
          <w:lang w:val="en-GB"/>
        </w:rPr>
      </w:pPr>
      <w:r w:rsidRPr="0038420B">
        <w:rPr>
          <w:rFonts w:asciiTheme="minorHAnsi" w:eastAsia="FrutigerLTPro-Condensed" w:hAnsiTheme="minorHAnsi" w:cs="FrutigerLTPro-Condensed"/>
          <w:b/>
          <w:color w:val="000000"/>
          <w:sz w:val="20"/>
          <w:szCs w:val="20"/>
          <w:lang w:val="en-GB"/>
        </w:rPr>
        <w:t>Main results</w:t>
      </w:r>
    </w:p>
    <w:p w:rsidR="005C0CD3" w:rsidRPr="005C0CD3" w:rsidRDefault="005C0CD3" w:rsidP="0038420B">
      <w:pPr>
        <w:autoSpaceDE w:val="0"/>
        <w:autoSpaceDN w:val="0"/>
        <w:adjustRightInd w:val="0"/>
        <w:spacing w:after="240" w:line="360" w:lineRule="auto"/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</w:pPr>
      <w:r w:rsidRPr="005C0CD3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>The most frequent positive NEXUS II risk criteria in children</w:t>
      </w:r>
      <w:r w:rsidR="0038420B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>with ICI (</w:t>
      </w:r>
      <w:r w:rsidRPr="005C0CD3">
        <w:rPr>
          <w:rFonts w:asciiTheme="minorHAnsi" w:eastAsia="FrutigerLTPro-Condensed" w:hAnsiTheme="minorHAnsi" w:cs="ClassicalGaramondBT-Roman"/>
          <w:color w:val="0000FF"/>
          <w:sz w:val="20"/>
          <w:szCs w:val="20"/>
          <w:lang w:val="en-GB"/>
        </w:rPr>
        <w:t>table 3</w:t>
      </w:r>
      <w:r w:rsidR="0038420B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 xml:space="preserve">) were scalp haematomas (217/377; 57.6%) and </w:t>
      </w:r>
      <w:r w:rsidRPr="005C0CD3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>altered level of alertness (235/</w:t>
      </w:r>
      <w:r w:rsidR="0038420B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 xml:space="preserve">377; 62.3%). Four patients with </w:t>
      </w:r>
      <w:r w:rsidRPr="005C0CD3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>CT confirmed ICI had no NEXUS II risk criteria. These four</w:t>
      </w:r>
      <w:r w:rsidR="0038420B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>children were aged between 4</w:t>
      </w:r>
      <w:r w:rsidR="0038420B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 xml:space="preserve"> and 15 years, presented with a </w:t>
      </w:r>
      <w:r w:rsidRPr="005C0CD3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>GCS of 15 and fell from height, fell off scooter or were struck by</w:t>
      </w:r>
      <w:r w:rsidR="0038420B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>another person at sch</w:t>
      </w:r>
      <w:r w:rsidR="0038420B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 xml:space="preserve">ool. All were admitted and none required </w:t>
      </w:r>
      <w:r w:rsidRPr="005C0CD3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>neurosurgery (see online supple</w:t>
      </w:r>
      <w:r w:rsidR="0038420B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 xml:space="preserve">mentary table 3). Most children </w:t>
      </w:r>
      <w:r w:rsidRPr="005C0CD3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>with ICI had two or three positive risk criteria (</w:t>
      </w:r>
      <w:r w:rsidRPr="005C0CD3">
        <w:rPr>
          <w:rFonts w:asciiTheme="minorHAnsi" w:eastAsia="FrutigerLTPro-Condensed" w:hAnsiTheme="minorHAnsi" w:cs="ClassicalGaramondBT-Roman"/>
          <w:color w:val="0000FF"/>
          <w:sz w:val="20"/>
          <w:szCs w:val="20"/>
          <w:lang w:val="en-GB"/>
        </w:rPr>
        <w:t>table 3</w:t>
      </w:r>
      <w:r w:rsidRPr="005C0CD3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>).</w:t>
      </w:r>
      <w:r w:rsidR="0038420B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>When analysing risk criteri</w:t>
      </w:r>
      <w:r w:rsidR="0038420B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 xml:space="preserve">a among 18 022 children who had </w:t>
      </w:r>
      <w:r w:rsidRPr="005C0CD3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>no initial or subsequent CT scan, 8909 (49.4%) had at least one</w:t>
      </w:r>
      <w:r w:rsidR="0038420B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>risk criterion and 2476 (13.7%)</w:t>
      </w:r>
      <w:r w:rsidR="0038420B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 xml:space="preserve"> had at least two risk criteria </w:t>
      </w:r>
      <w:r w:rsidRPr="005C0CD3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>(see online supplementary table 4).</w:t>
      </w:r>
    </w:p>
    <w:p w:rsidR="005C0CD3" w:rsidRPr="005C0CD3" w:rsidRDefault="005C0CD3" w:rsidP="0038420B">
      <w:pPr>
        <w:autoSpaceDE w:val="0"/>
        <w:autoSpaceDN w:val="0"/>
        <w:adjustRightInd w:val="0"/>
        <w:spacing w:after="240" w:line="360" w:lineRule="auto"/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</w:pPr>
      <w:r w:rsidRPr="005C0CD3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>When analysing the diagnosti</w:t>
      </w:r>
      <w:r w:rsidR="0038420B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 xml:space="preserve">c accuracy of the rule based on </w:t>
      </w:r>
      <w:r w:rsidRPr="005C0CD3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>all presenting patients, with the assumption that patients not</w:t>
      </w:r>
      <w:r w:rsidR="0038420B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>undergoing a CT scan were nega</w:t>
      </w:r>
      <w:r w:rsidR="0038420B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 xml:space="preserve">tive for ICI based on telephone </w:t>
      </w:r>
      <w:r w:rsidRPr="005C0CD3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>follow-up, it showed a sensitivity of 379/383 (99.0% (95% CI</w:t>
      </w:r>
      <w:r w:rsidR="0038420B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>97.3% to 99.7%)) and specifi</w:t>
      </w:r>
      <w:r w:rsidR="0038420B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 xml:space="preserve">city of 9320/19 726 (47.2% (95% </w:t>
      </w:r>
      <w:r w:rsidRPr="005C0CD3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>CI 46.5% to 47.9%)) (</w:t>
      </w:r>
      <w:r w:rsidRPr="005C0CD3">
        <w:rPr>
          <w:rFonts w:asciiTheme="minorHAnsi" w:eastAsia="FrutigerLTPro-Condensed" w:hAnsiTheme="minorHAnsi" w:cs="ClassicalGaramondBT-Roman"/>
          <w:color w:val="0000FF"/>
          <w:sz w:val="20"/>
          <w:szCs w:val="20"/>
          <w:lang w:val="en-GB"/>
        </w:rPr>
        <w:t>table 4</w:t>
      </w:r>
      <w:r w:rsidRPr="005C0CD3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>). When assessing the accuracy of</w:t>
      </w:r>
      <w:r w:rsidR="0038420B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 xml:space="preserve">NEXUS II based on initial CT </w:t>
      </w:r>
      <w:r w:rsidR="0038420B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 xml:space="preserve">scan in ED, the sensitivity for </w:t>
      </w:r>
      <w:r w:rsidRPr="005C0CD3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>ICI based on the NEXUS II CDR was 373/377 (98.9%; 95%</w:t>
      </w:r>
      <w:r w:rsidR="0038420B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>CI 97.3% to 99.7%) and spe</w:t>
      </w:r>
      <w:r w:rsidR="0038420B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 xml:space="preserve">cificity 156/1585 (9.8%; 95% CI </w:t>
      </w:r>
      <w:r w:rsidRPr="005C0CD3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>8.4% to 11.4%) (</w:t>
      </w:r>
      <w:proofErr w:type="gramStart"/>
      <w:r w:rsidRPr="005C0CD3">
        <w:rPr>
          <w:rFonts w:asciiTheme="minorHAnsi" w:eastAsia="FrutigerLTPro-Condensed" w:hAnsiTheme="minorHAnsi" w:cs="ClassicalGaramondBT-Roman"/>
          <w:color w:val="0000FF"/>
          <w:sz w:val="20"/>
          <w:szCs w:val="20"/>
          <w:lang w:val="en-GB"/>
        </w:rPr>
        <w:t>table</w:t>
      </w:r>
      <w:proofErr w:type="gramEnd"/>
      <w:r w:rsidRPr="005C0CD3">
        <w:rPr>
          <w:rFonts w:asciiTheme="minorHAnsi" w:eastAsia="FrutigerLTPro-Condensed" w:hAnsiTheme="minorHAnsi" w:cs="ClassicalGaramondBT-Roman"/>
          <w:color w:val="0000FF"/>
          <w:sz w:val="20"/>
          <w:szCs w:val="20"/>
          <w:lang w:val="en-GB"/>
        </w:rPr>
        <w:t xml:space="preserve"> 4</w:t>
      </w:r>
      <w:r w:rsidRPr="005C0CD3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>). Results were similar when all CTs</w:t>
      </w:r>
      <w:r w:rsidR="0038420B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 xml:space="preserve">performed at any </w:t>
      </w:r>
      <w:r w:rsidR="0038420B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 xml:space="preserve">time point were included and in children </w:t>
      </w:r>
      <w:r w:rsidRPr="005C0CD3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>aged &lt;3 and ≥3 years (</w:t>
      </w:r>
      <w:r w:rsidRPr="005C0CD3">
        <w:rPr>
          <w:rFonts w:asciiTheme="minorHAnsi" w:eastAsia="FrutigerLTPro-Condensed" w:hAnsiTheme="minorHAnsi" w:cs="ClassicalGaramondBT-Roman"/>
          <w:color w:val="0000FF"/>
          <w:sz w:val="20"/>
          <w:szCs w:val="20"/>
          <w:lang w:val="en-GB"/>
        </w:rPr>
        <w:t>table 5</w:t>
      </w:r>
      <w:r w:rsidR="0038420B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 xml:space="preserve">). The sensitivity of NEXUS II </w:t>
      </w:r>
      <w:r w:rsidRPr="005C0CD3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>increased with the number of risk criteria (</w:t>
      </w:r>
      <w:r w:rsidRPr="005C0CD3">
        <w:rPr>
          <w:rFonts w:asciiTheme="minorHAnsi" w:eastAsia="FrutigerLTPro-Condensed" w:hAnsiTheme="minorHAnsi" w:cs="ClassicalGaramondBT-Roman"/>
          <w:color w:val="0000FF"/>
          <w:sz w:val="20"/>
          <w:szCs w:val="20"/>
          <w:lang w:val="en-GB"/>
        </w:rPr>
        <w:t>table 6</w:t>
      </w:r>
      <w:r w:rsidRPr="005C0CD3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>). We also</w:t>
      </w:r>
      <w:r w:rsidR="0038420B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>conducted a sensitivity analy</w:t>
      </w:r>
      <w:r w:rsidR="0038420B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 xml:space="preserve">sis where patients who had a CT </w:t>
      </w:r>
      <w:r w:rsidRPr="005C0CD3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>scan with missing risk criteria were excluded. Accuracy results</w:t>
      </w:r>
      <w:r w:rsidR="0038420B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>were unchanged (see online su</w:t>
      </w:r>
      <w:r w:rsidR="0038420B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 xml:space="preserve">pplementary table 5). Clinician </w:t>
      </w:r>
      <w:r w:rsidRPr="005C0CD3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>accuracy in detecting ICI without the rule was 377/377 (100.0</w:t>
      </w:r>
      <w:r w:rsidR="0038420B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>(95% CI 99.0% to 100.0%)) and specificity was 18 147/19 732</w:t>
      </w:r>
      <w:r w:rsidR="0038420B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>(92.0% (95% CI 91.6% to 92.3%)) (</w:t>
      </w:r>
      <w:r w:rsidRPr="005C0CD3">
        <w:rPr>
          <w:rFonts w:asciiTheme="minorHAnsi" w:eastAsia="FrutigerLTPro-Condensed" w:hAnsiTheme="minorHAnsi" w:cs="ClassicalGaramondBT-Roman"/>
          <w:color w:val="0000FF"/>
          <w:sz w:val="20"/>
          <w:szCs w:val="20"/>
          <w:lang w:val="en-GB"/>
        </w:rPr>
        <w:t>table 4</w:t>
      </w:r>
      <w:r w:rsidRPr="005C0CD3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>).</w:t>
      </w:r>
    </w:p>
    <w:p w:rsidR="005C0CD3" w:rsidRPr="005C0CD3" w:rsidRDefault="0038420B" w:rsidP="0038420B">
      <w:pPr>
        <w:autoSpaceDE w:val="0"/>
        <w:autoSpaceDN w:val="0"/>
        <w:adjustRightInd w:val="0"/>
        <w:spacing w:line="360" w:lineRule="auto"/>
        <w:rPr>
          <w:rFonts w:asciiTheme="minorHAnsi" w:eastAsia="FrutigerLTPro-Condensed" w:hAnsiTheme="minorHAnsi" w:cs="FrutigerLTPro-BoldCn"/>
          <w:b/>
          <w:bCs/>
          <w:color w:val="000000"/>
          <w:sz w:val="20"/>
          <w:szCs w:val="20"/>
          <w:lang w:val="en-GB"/>
        </w:rPr>
      </w:pPr>
      <w:r w:rsidRPr="005C0CD3">
        <w:rPr>
          <w:rFonts w:asciiTheme="minorHAnsi" w:eastAsia="FrutigerLTPro-Condensed" w:hAnsiTheme="minorHAnsi" w:cs="FrutigerLTPro-BoldCn"/>
          <w:b/>
          <w:bCs/>
          <w:color w:val="000000"/>
          <w:sz w:val="20"/>
          <w:szCs w:val="20"/>
          <w:lang w:val="en-GB"/>
        </w:rPr>
        <w:lastRenderedPageBreak/>
        <w:t>DISCUSSION</w:t>
      </w:r>
    </w:p>
    <w:p w:rsidR="005C0CD3" w:rsidRPr="005C0CD3" w:rsidRDefault="005C0CD3" w:rsidP="0038420B">
      <w:pPr>
        <w:autoSpaceDE w:val="0"/>
        <w:autoSpaceDN w:val="0"/>
        <w:adjustRightInd w:val="0"/>
        <w:spacing w:after="240" w:line="360" w:lineRule="auto"/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</w:pPr>
      <w:r w:rsidRPr="005C0CD3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>In this multicentre validation s</w:t>
      </w:r>
      <w:r w:rsidR="0038420B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 xml:space="preserve">tudy, we found NEXUS II to have </w:t>
      </w:r>
      <w:r w:rsidRPr="005C0CD3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>high sensitivity in detecting the NEXUS-specific outcome of</w:t>
      </w:r>
      <w:r w:rsidR="0038420B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>ICI in the overall cohort and</w:t>
      </w:r>
      <w:r w:rsidR="0038420B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 xml:space="preserve"> in the cohort who underwent CT </w:t>
      </w:r>
      <w:r w:rsidRPr="005C0CD3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>scanning. Four patients were missed by the rule, that is, had no</w:t>
      </w:r>
      <w:r w:rsidR="0038420B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>NEXUS II risk criteria but were</w:t>
      </w:r>
      <w:r w:rsidR="0038420B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 xml:space="preserve"> positive for ICI; none of them </w:t>
      </w:r>
      <w:r w:rsidRPr="005C0CD3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>required neurosurgery. Overall accuracy results did not change</w:t>
      </w:r>
      <w:r w:rsidR="0038420B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 xml:space="preserve">when patients were excluded </w:t>
      </w:r>
      <w:r w:rsidR="0038420B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 xml:space="preserve">who had missing information for </w:t>
      </w:r>
      <w:r w:rsidRPr="005C0CD3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>NEXUS criteria. Both high sensitivity (98.9%; 95% CI 97.3%</w:t>
      </w:r>
      <w:r w:rsidR="0038420B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>to 99.7%) and low specifici</w:t>
      </w:r>
      <w:r w:rsidR="0038420B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 xml:space="preserve">ty (9.8%; 95% CI 8.4% to 11.4%) </w:t>
      </w:r>
      <w:r w:rsidRPr="005C0CD3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 xml:space="preserve">in the CT-only cohort were similar </w:t>
      </w:r>
      <w:r w:rsidR="0038420B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 xml:space="preserve">to the analysis of the original </w:t>
      </w:r>
      <w:r w:rsidRPr="005C0CD3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>NEXUS data overall</w:t>
      </w:r>
      <w:r w:rsidRPr="005C0CD3">
        <w:rPr>
          <w:rFonts w:asciiTheme="minorHAnsi" w:eastAsia="FrutigerLTPro-Condensed" w:hAnsiTheme="minorHAnsi" w:cs="ClassicalGaramondBT-Roman"/>
          <w:color w:val="0000FF"/>
          <w:sz w:val="20"/>
          <w:szCs w:val="20"/>
          <w:lang w:val="en-GB"/>
        </w:rPr>
        <w:t xml:space="preserve">9 </w:t>
      </w:r>
      <w:r w:rsidRPr="005C0CD3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>and for the paediatric cohort in particular</w:t>
      </w:r>
      <w:r w:rsidR="0038420B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>(sensitivity 98.6% (95% CI 94.9 to 99.8); specificity</w:t>
      </w:r>
      <w:r w:rsidR="0038420B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 xml:space="preserve"> 15.1% </w:t>
      </w:r>
      <w:r w:rsidRPr="005C0CD3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>(95% CI 13.3 to 16.9)).</w:t>
      </w:r>
      <w:r w:rsidRPr="005C0CD3">
        <w:rPr>
          <w:rFonts w:asciiTheme="minorHAnsi" w:eastAsia="FrutigerLTPro-Condensed" w:hAnsiTheme="minorHAnsi" w:cs="ClassicalGaramondBT-Roman"/>
          <w:color w:val="0000FF"/>
          <w:sz w:val="20"/>
          <w:szCs w:val="20"/>
          <w:lang w:val="en-GB"/>
        </w:rPr>
        <w:t xml:space="preserve">10 </w:t>
      </w:r>
      <w:r w:rsidRPr="005C0CD3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>Our data set differed from the NEXUS</w:t>
      </w:r>
      <w:r w:rsidR="0038420B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 xml:space="preserve">II cohort in that more young </w:t>
      </w:r>
      <w:r w:rsidR="0038420B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 xml:space="preserve">children were enrolled compared </w:t>
      </w:r>
      <w:r w:rsidRPr="005C0CD3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>with the ‘J’-shaped distribution with an increased number of</w:t>
      </w:r>
      <w:r w:rsidR="0038420B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>teenagers in NEXUS.</w:t>
      </w:r>
    </w:p>
    <w:p w:rsidR="005C0CD3" w:rsidRPr="005C0CD3" w:rsidRDefault="005C0CD3" w:rsidP="0038420B">
      <w:pPr>
        <w:autoSpaceDE w:val="0"/>
        <w:autoSpaceDN w:val="0"/>
        <w:adjustRightInd w:val="0"/>
        <w:spacing w:after="240" w:line="360" w:lineRule="auto"/>
        <w:rPr>
          <w:rFonts w:asciiTheme="minorHAnsi" w:hAnsiTheme="minorHAnsi" w:cs="ClassicalGaramondBT-Roman"/>
          <w:color w:val="000000"/>
          <w:sz w:val="20"/>
          <w:szCs w:val="20"/>
          <w:lang w:val="en-GB"/>
        </w:rPr>
      </w:pPr>
      <w:r w:rsidRPr="005C0CD3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>External validation for NEXUS II in children is limited. In</w:t>
      </w:r>
      <w:r w:rsidR="0038420B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>three paediatric studies from Finland</w:t>
      </w:r>
      <w:proofErr w:type="gramStart"/>
      <w:r w:rsidRPr="005C0CD3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>,</w:t>
      </w:r>
      <w:r w:rsidRPr="005C0CD3">
        <w:rPr>
          <w:rFonts w:asciiTheme="minorHAnsi" w:eastAsia="FrutigerLTPro-Condensed" w:hAnsiTheme="minorHAnsi" w:cs="ClassicalGaramondBT-Roman"/>
          <w:color w:val="0000FF"/>
          <w:sz w:val="20"/>
          <w:szCs w:val="20"/>
          <w:lang w:val="en-GB"/>
        </w:rPr>
        <w:t>16</w:t>
      </w:r>
      <w:proofErr w:type="gramEnd"/>
      <w:r w:rsidRPr="005C0CD3">
        <w:rPr>
          <w:rFonts w:asciiTheme="minorHAnsi" w:eastAsia="FrutigerLTPro-Condensed" w:hAnsiTheme="minorHAnsi" w:cs="ClassicalGaramondBT-Roman"/>
          <w:color w:val="0000FF"/>
          <w:sz w:val="20"/>
          <w:szCs w:val="20"/>
          <w:lang w:val="en-GB"/>
        </w:rPr>
        <w:t xml:space="preserve"> </w:t>
      </w:r>
      <w:r w:rsidRPr="005C0CD3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>Italy</w:t>
      </w:r>
      <w:r w:rsidRPr="005C0CD3">
        <w:rPr>
          <w:rFonts w:asciiTheme="minorHAnsi" w:eastAsia="FrutigerLTPro-Condensed" w:hAnsiTheme="minorHAnsi" w:cs="ClassicalGaramondBT-Roman"/>
          <w:color w:val="0000FF"/>
          <w:sz w:val="20"/>
          <w:szCs w:val="20"/>
          <w:lang w:val="en-GB"/>
        </w:rPr>
        <w:t xml:space="preserve">17 </w:t>
      </w:r>
      <w:r w:rsidRPr="005C0CD3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>and the USA</w:t>
      </w:r>
      <w:r w:rsidRPr="005C0CD3">
        <w:rPr>
          <w:rFonts w:asciiTheme="minorHAnsi" w:eastAsia="FrutigerLTPro-Condensed" w:hAnsiTheme="minorHAnsi" w:cs="ClassicalGaramondBT-Roman"/>
          <w:color w:val="0000FF"/>
          <w:sz w:val="20"/>
          <w:szCs w:val="20"/>
          <w:lang w:val="en-GB"/>
        </w:rPr>
        <w:t>18</w:t>
      </w:r>
      <w:r w:rsidR="0038420B">
        <w:rPr>
          <w:rFonts w:asciiTheme="minorHAnsi" w:eastAsia="FrutigerLTPro-Condensed" w:hAnsiTheme="minorHAnsi" w:cs="ClassicalGaramondBT-Roman"/>
          <w:color w:val="0000FF"/>
          <w:sz w:val="20"/>
          <w:szCs w:val="20"/>
          <w:lang w:val="en-GB"/>
        </w:rPr>
        <w:t xml:space="preserve"> </w:t>
      </w:r>
      <w:r w:rsidRPr="005C0CD3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>outside the derivation setting,</w:t>
      </w:r>
      <w:r w:rsidR="0038420B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 xml:space="preserve"> NEXUS II was assessed in terms </w:t>
      </w:r>
      <w:r w:rsidRPr="005C0CD3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>of accuracy and compared with other head injury rules. All</w:t>
      </w:r>
      <w:r w:rsidR="0038420B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>were limited by being conducte</w:t>
      </w:r>
      <w:r w:rsidR="0038420B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 xml:space="preserve">d in single-centre settings and </w:t>
      </w:r>
      <w:r w:rsidRPr="005C0CD3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>by the retrospective nature of data extraction</w:t>
      </w:r>
      <w:r w:rsidRPr="005C0CD3">
        <w:rPr>
          <w:rFonts w:asciiTheme="minorHAnsi" w:eastAsia="FrutigerLTPro-Condensed" w:hAnsiTheme="minorHAnsi" w:cs="ClassicalGaramondBT-Roman"/>
          <w:color w:val="0000FF"/>
          <w:sz w:val="20"/>
          <w:szCs w:val="20"/>
          <w:lang w:val="en-GB"/>
        </w:rPr>
        <w:t xml:space="preserve">16 18 </w:t>
      </w:r>
      <w:r w:rsidRPr="005C0CD3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>or the use of</w:t>
      </w:r>
      <w:r w:rsidR="0038420B">
        <w:rPr>
          <w:rFonts w:asciiTheme="minorHAnsi" w:eastAsia="FrutigerLTPro-Condensed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a prospective data set collected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before the NEXUS II derivation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data had been published.</w:t>
      </w:r>
      <w:r w:rsidRPr="005C0CD3">
        <w:rPr>
          <w:rFonts w:asciiTheme="minorHAnsi" w:hAnsiTheme="minorHAnsi" w:cs="ClassicalGaramondBT-Roman"/>
          <w:color w:val="0000FF"/>
          <w:sz w:val="20"/>
          <w:szCs w:val="20"/>
          <w:lang w:val="en-GB"/>
        </w:rPr>
        <w:t xml:space="preserve">17 </w:t>
      </w:r>
      <w:proofErr w:type="gramStart"/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Neither</w:t>
      </w:r>
      <w:proofErr w:type="gramEnd"/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paper lists in detail how the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NEXUS definitions were modifi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ed to conform with pre-existing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data sets. NEXUS sensitiviti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es were reported at 96% (95% CI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90 to 99)</w:t>
      </w:r>
      <w:proofErr w:type="gramStart"/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,</w:t>
      </w:r>
      <w:r w:rsidRPr="005C0CD3">
        <w:rPr>
          <w:rFonts w:asciiTheme="minorHAnsi" w:hAnsiTheme="minorHAnsi" w:cs="ClassicalGaramondBT-Roman"/>
          <w:color w:val="0000FF"/>
          <w:sz w:val="20"/>
          <w:szCs w:val="20"/>
          <w:lang w:val="en-GB"/>
        </w:rPr>
        <w:t>16</w:t>
      </w:r>
      <w:proofErr w:type="gramEnd"/>
      <w:r w:rsidRPr="005C0CD3">
        <w:rPr>
          <w:rFonts w:asciiTheme="minorHAnsi" w:hAnsiTheme="minorHAnsi" w:cs="ClassicalGaramondBT-Roman"/>
          <w:color w:val="0000FF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88.9% (95% CI 63.9 to 95.6)</w:t>
      </w:r>
      <w:r w:rsidRPr="005C0CD3">
        <w:rPr>
          <w:rFonts w:asciiTheme="minorHAnsi" w:hAnsiTheme="minorHAnsi" w:cs="ClassicalGaramondBT-Roman"/>
          <w:color w:val="0000FF"/>
          <w:sz w:val="20"/>
          <w:szCs w:val="20"/>
          <w:lang w:val="en-GB"/>
        </w:rPr>
        <w:t xml:space="preserve">17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and 78.3% (95%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CI 69.9 to 86.7),</w:t>
      </w:r>
      <w:r w:rsidRPr="005C0CD3">
        <w:rPr>
          <w:rFonts w:asciiTheme="minorHAnsi" w:hAnsiTheme="minorHAnsi" w:cs="ClassicalGaramondBT-Roman"/>
          <w:color w:val="0000FF"/>
          <w:sz w:val="20"/>
          <w:szCs w:val="20"/>
          <w:lang w:val="en-GB"/>
        </w:rPr>
        <w:t xml:space="preserve">18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respectively. I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t is not clear if a multicentre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prospective study of NEXUS II from Korea includes any children.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FF"/>
          <w:sz w:val="20"/>
          <w:szCs w:val="20"/>
          <w:lang w:val="en-GB"/>
        </w:rPr>
        <w:t xml:space="preserve">19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Recently, the original team which derived the NEXUS II</w:t>
      </w:r>
    </w:p>
    <w:p w:rsidR="005C0CD3" w:rsidRPr="005C0CD3" w:rsidRDefault="005C0CD3" w:rsidP="0038420B">
      <w:pPr>
        <w:autoSpaceDE w:val="0"/>
        <w:autoSpaceDN w:val="0"/>
        <w:adjustRightInd w:val="0"/>
        <w:spacing w:after="240" w:line="360" w:lineRule="auto"/>
        <w:rPr>
          <w:rFonts w:asciiTheme="minorHAnsi" w:hAnsiTheme="minorHAnsi" w:cs="ClassicalGaramondBT-Roman"/>
          <w:color w:val="000000"/>
          <w:sz w:val="20"/>
          <w:szCs w:val="20"/>
          <w:lang w:val="en-GB"/>
        </w:rPr>
      </w:pP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CDR conducted a validation st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udy in a new data set including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11 750 blunt head injuries</w:t>
      </w:r>
      <w:r w:rsidRPr="005C0CD3">
        <w:rPr>
          <w:rFonts w:asciiTheme="minorHAnsi" w:hAnsiTheme="minorHAnsi" w:cs="ClassicalGaramondBT-Roman"/>
          <w:color w:val="0000FF"/>
          <w:sz w:val="20"/>
          <w:szCs w:val="20"/>
          <w:lang w:val="en-GB"/>
        </w:rPr>
        <w:t>20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; in an analysis of the paediatric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cohort of 1018 children sens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itivity was 98.0% (95% CI 89.1%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to 99.9%) and specificity of 34.0% (95% CI 31.0% to 37.0%)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for the assessment of high-risk status in patients with ICI.</w:t>
      </w:r>
      <w:r w:rsidR="0038420B">
        <w:rPr>
          <w:rFonts w:asciiTheme="minorHAnsi" w:hAnsiTheme="minorHAnsi" w:cs="ClassicalGaramondBT-Roman"/>
          <w:color w:val="0000FF"/>
          <w:sz w:val="20"/>
          <w:szCs w:val="20"/>
          <w:lang w:val="en-GB"/>
        </w:rPr>
        <w:t xml:space="preserve">21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However, similar to the derivation cohort only patient who had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received a CT scan were included in the study.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While we also followed th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e original adult and </w:t>
      </w:r>
      <w:proofErr w:type="spellStart"/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paediatric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papers</w:t>
      </w:r>
      <w:proofErr w:type="spellEnd"/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for NEXUS II</w:t>
      </w:r>
      <w:r w:rsidRPr="005C0CD3">
        <w:rPr>
          <w:rFonts w:asciiTheme="minorHAnsi" w:hAnsiTheme="minorHAnsi" w:cs="ClassicalGaramondBT-Roman"/>
          <w:color w:val="0000FF"/>
          <w:sz w:val="20"/>
          <w:szCs w:val="20"/>
          <w:lang w:val="en-GB"/>
        </w:rPr>
        <w:t xml:space="preserve">9 10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by analysing rule accuracy (external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validation) solely based on pat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ients who actually underwent CT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scanning, in particular as CT imaging was required for outcome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assessment, this does not reflect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how rules such as NEXUS II may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actually be used in the clinical setting. Therefore, we primarily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analysed the accuracy using all patients, including those without</w:t>
      </w:r>
    </w:p>
    <w:p w:rsidR="005C0CD3" w:rsidRPr="005C0CD3" w:rsidRDefault="005C0CD3" w:rsidP="0038420B">
      <w:pPr>
        <w:autoSpaceDE w:val="0"/>
        <w:autoSpaceDN w:val="0"/>
        <w:adjustRightInd w:val="0"/>
        <w:spacing w:after="240" w:line="360" w:lineRule="auto"/>
        <w:rPr>
          <w:rFonts w:asciiTheme="minorHAnsi" w:hAnsiTheme="minorHAnsi" w:cs="ClassicalGaramondBT-Roman"/>
          <w:color w:val="000000"/>
          <w:sz w:val="20"/>
          <w:szCs w:val="20"/>
          <w:lang w:val="en-GB"/>
        </w:rPr>
      </w:pP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CT scans; while sensitivity was similar, specificity was higher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in the overall cohort compared with the CT-only cohort. Of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18 022 head injured children in our study who did not undergo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CT imaging, 49.4% of these patients fulfilled at least one of the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NEXUS predictor variables and therefore, based on 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the rule,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were deemed not at very low risk. If this rule was applied and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followed in an undifferentiated co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hort of paediatric patients, it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would have the potential to increase the head CT rate. When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adding predictor positive patients who underwent any CT scan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(n=1497) and those who 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did not (n=8909), 51.7% (10 406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of 20 109) of all head injured children would be required to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undergo CT imaging as compa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red with 10.4% (2087 of 20 109)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who actually did, an increase of about 400%. This is particularly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striking considering the high s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ensitivity—where clinicians did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not miss a single patient with ICI—and specificity of clinician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practice at the participating sites without using the NEXUS rule.</w:t>
      </w:r>
    </w:p>
    <w:p w:rsidR="005C0CD3" w:rsidRPr="005C0CD3" w:rsidRDefault="005C0CD3" w:rsidP="0038420B">
      <w:pPr>
        <w:autoSpaceDE w:val="0"/>
        <w:autoSpaceDN w:val="0"/>
        <w:adjustRightInd w:val="0"/>
        <w:spacing w:after="240" w:line="360" w:lineRule="auto"/>
        <w:rPr>
          <w:rFonts w:asciiTheme="minorHAnsi" w:hAnsiTheme="minorHAnsi" w:cs="ClassicalGaramondBT-Roman"/>
          <w:color w:val="000000"/>
          <w:sz w:val="20"/>
          <w:szCs w:val="20"/>
          <w:lang w:val="en-GB"/>
        </w:rPr>
      </w:pP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lastRenderedPageBreak/>
        <w:t>NEXUS II used ICI as primar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y outcome. Although the outcome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was consensus based and aimed to capture CT changes that may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require neurosurgical intervention, 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‘or lead to rapid deterioration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or significant long-term neurological impairment’, the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actual criteria used to define IC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I were solely based on recorded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CT changes.</w:t>
      </w:r>
      <w:r w:rsidRPr="005C0CD3">
        <w:rPr>
          <w:rFonts w:asciiTheme="minorHAnsi" w:hAnsiTheme="minorHAnsi" w:cs="ClassicalGaramondBT-Roman"/>
          <w:color w:val="0000FF"/>
          <w:sz w:val="20"/>
          <w:szCs w:val="20"/>
          <w:lang w:val="en-GB"/>
        </w:rPr>
        <w:t xml:space="preserve">9 22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Other paediatric CDRs, such as PECARN, use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definitions of clinically import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ant traumatic brain injury that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explicitly require, in addition to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specified CT changes, relevant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clinical changes, such as admission &gt;2 days or intubation &gt;1 day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(in addition to death or neurosurgery).</w:t>
      </w:r>
      <w:r w:rsidRPr="005C0CD3">
        <w:rPr>
          <w:rFonts w:asciiTheme="minorHAnsi" w:hAnsiTheme="minorHAnsi" w:cs="ClassicalGaramondBT-Roman"/>
          <w:color w:val="0000FF"/>
          <w:sz w:val="20"/>
          <w:szCs w:val="20"/>
          <w:lang w:val="en-GB"/>
        </w:rPr>
        <w:t xml:space="preserve">6 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Such tightening of the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outcome definition would likely change sensitivity and specificity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calculations of NEXUS II 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in both the derivation data set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and in our data.</w:t>
      </w:r>
    </w:p>
    <w:p w:rsidR="005C0CD3" w:rsidRPr="005C0CD3" w:rsidRDefault="005C0CD3" w:rsidP="0038420B">
      <w:pPr>
        <w:autoSpaceDE w:val="0"/>
        <w:autoSpaceDN w:val="0"/>
        <w:adjustRightInd w:val="0"/>
        <w:spacing w:after="240" w:line="360" w:lineRule="auto"/>
        <w:rPr>
          <w:rFonts w:asciiTheme="minorHAnsi" w:hAnsiTheme="minorHAnsi" w:cs="ClassicalGaramondBT-Roman"/>
          <w:color w:val="000000"/>
          <w:sz w:val="20"/>
          <w:szCs w:val="20"/>
          <w:lang w:val="en-GB"/>
        </w:rPr>
      </w:pP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This study has a number of limitations. The predictor and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outcome variables for the NEXUS II CDR would have ideally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been collected verbatim. Any changes in definitions and wording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of head injury rules have the potential to alter the final results.</w:t>
      </w:r>
      <w:r w:rsidRPr="005C0CD3">
        <w:rPr>
          <w:rFonts w:asciiTheme="minorHAnsi" w:hAnsiTheme="minorHAnsi" w:cs="ClassicalGaramondBT-Roman"/>
          <w:color w:val="0000FF"/>
          <w:sz w:val="20"/>
          <w:szCs w:val="20"/>
          <w:lang w:val="en-GB"/>
        </w:rPr>
        <w:t>23</w:t>
      </w:r>
      <w:r w:rsidR="0038420B">
        <w:rPr>
          <w:rFonts w:asciiTheme="minorHAnsi" w:hAnsiTheme="minorHAnsi" w:cs="ClassicalGaramondBT-Roman"/>
          <w:color w:val="0000FF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The focus of the parent study</w:t>
      </w:r>
      <w:r w:rsidRPr="005C0CD3">
        <w:rPr>
          <w:rFonts w:asciiTheme="minorHAnsi" w:hAnsiTheme="minorHAnsi" w:cs="ClassicalGaramondBT-Roman"/>
          <w:color w:val="0000FF"/>
          <w:sz w:val="20"/>
          <w:szCs w:val="20"/>
          <w:lang w:val="en-GB"/>
        </w:rPr>
        <w:t xml:space="preserve">11 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used for this paper, however,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was on the paediatric-specific CATCH, CHALICE and PECARN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rules.</w:t>
      </w:r>
      <w:r w:rsidRPr="005C0CD3">
        <w:rPr>
          <w:rFonts w:asciiTheme="minorHAnsi" w:hAnsiTheme="minorHAnsi" w:cs="ClassicalGaramondBT-Roman"/>
          <w:color w:val="0000FF"/>
          <w:sz w:val="20"/>
          <w:szCs w:val="20"/>
          <w:lang w:val="en-GB"/>
        </w:rPr>
        <w:t xml:space="preserve">6–8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We felt that 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by collecting the predictor and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outcome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variables of three rules in detail,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the modified definitions could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be closely approximated to the actual NEXUS II criteria used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for this study. A further limitati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on of this study was a 10% loss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to follow-up in the parent study, which may have affected the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analysis including patients who did not undergo CT scanning.</w:t>
      </w:r>
    </w:p>
    <w:p w:rsidR="005C0CD3" w:rsidRPr="005C0CD3" w:rsidRDefault="005C0CD3" w:rsidP="0038420B">
      <w:pPr>
        <w:autoSpaceDE w:val="0"/>
        <w:autoSpaceDN w:val="0"/>
        <w:adjustRightInd w:val="0"/>
        <w:spacing w:after="240" w:line="360" w:lineRule="auto"/>
        <w:rPr>
          <w:rFonts w:asciiTheme="minorHAnsi" w:hAnsiTheme="minorHAnsi" w:cs="ClassicalGaramondBT-Roman"/>
          <w:color w:val="000000"/>
          <w:sz w:val="20"/>
          <w:szCs w:val="20"/>
          <w:lang w:val="en-GB"/>
        </w:rPr>
      </w:pP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In the NEXUS derivation stud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y as well as in the validations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study by the same group, patients who were not imaged were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generally not followed up.</w:t>
      </w:r>
      <w:r w:rsidRPr="005C0CD3">
        <w:rPr>
          <w:rFonts w:asciiTheme="minorHAnsi" w:hAnsiTheme="minorHAnsi" w:cs="ClassicalGaramondBT-Roman"/>
          <w:color w:val="0000FF"/>
          <w:sz w:val="20"/>
          <w:szCs w:val="20"/>
          <w:lang w:val="en-GB"/>
        </w:rPr>
        <w:t xml:space="preserve">9 </w:t>
      </w:r>
      <w:proofErr w:type="gramStart"/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In</w:t>
      </w:r>
      <w:proofErr w:type="gramEnd"/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our 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study, participating sites were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usually also the only paediatric neurosurgical centres in the local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areas. A further limitation is 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that CT scans were not reviewed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centrally; rather CT reports were used to assess ICI. Finally, this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study reflects practice at tertiary Australian and New Zealand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centres, where imaging rates ar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e generally lower than in North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America</w:t>
      </w:r>
      <w:r w:rsidRPr="005C0CD3">
        <w:rPr>
          <w:rFonts w:asciiTheme="minorHAnsi" w:hAnsiTheme="minorHAnsi" w:cs="ClassicalGaramondBT-Roman"/>
          <w:color w:val="0000FF"/>
          <w:sz w:val="20"/>
          <w:szCs w:val="20"/>
          <w:lang w:val="en-GB"/>
        </w:rPr>
        <w:t xml:space="preserve">6 7 11 24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and no specific rule predominates.</w:t>
      </w:r>
      <w:r w:rsidRPr="005C0CD3">
        <w:rPr>
          <w:rFonts w:asciiTheme="minorHAnsi" w:hAnsiTheme="minorHAnsi" w:cs="ClassicalGaramondBT-Roman"/>
          <w:color w:val="0000FF"/>
          <w:sz w:val="20"/>
          <w:szCs w:val="20"/>
          <w:lang w:val="en-GB"/>
        </w:rPr>
        <w:t xml:space="preserve">25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The developers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of NEXUS presumed that p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atients in the derivation study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perceived by clinicians to be at high risk (independent of the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NEXUS criteria per se) would b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e imaged by treating clinicians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anyway. Therefore, no com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prehensive follow-up system was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put in place and only a small fraction of the original derivation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cohort (9.2%) were followed up by interview</w:t>
      </w:r>
      <w:r w:rsidRPr="005C0CD3">
        <w:rPr>
          <w:rFonts w:asciiTheme="minorHAnsi" w:hAnsiTheme="minorHAnsi" w:cs="ClassicalGaramondBT-Roman"/>
          <w:color w:val="0000FF"/>
          <w:sz w:val="20"/>
          <w:szCs w:val="20"/>
          <w:lang w:val="en-GB"/>
        </w:rPr>
        <w:t>9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; it is unclear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how many head injured children were included in this cohort.</w:t>
      </w:r>
    </w:p>
    <w:p w:rsidR="005C0CD3" w:rsidRPr="005C0CD3" w:rsidRDefault="005C0CD3" w:rsidP="0038420B">
      <w:pPr>
        <w:autoSpaceDE w:val="0"/>
        <w:autoSpaceDN w:val="0"/>
        <w:adjustRightInd w:val="0"/>
        <w:spacing w:after="240" w:line="360" w:lineRule="auto"/>
        <w:rPr>
          <w:rFonts w:asciiTheme="minorHAnsi" w:hAnsiTheme="minorHAnsi" w:cs="ClassicalGaramondBT-Roman"/>
          <w:color w:val="000000"/>
          <w:sz w:val="20"/>
          <w:szCs w:val="20"/>
          <w:lang w:val="en-GB"/>
        </w:rPr>
      </w:pP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Although no denominator of patie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nts presenting to participating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EDs or the actual imaging rate at NEXUS sites was provided in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the NEXUS derivation or validation papers,</w:t>
      </w:r>
      <w:r w:rsidRPr="005C0CD3">
        <w:rPr>
          <w:rFonts w:asciiTheme="minorHAnsi" w:hAnsiTheme="minorHAnsi" w:cs="ClassicalGaramondBT-Roman"/>
          <w:color w:val="0000FF"/>
          <w:sz w:val="20"/>
          <w:szCs w:val="20"/>
          <w:lang w:val="en-GB"/>
        </w:rPr>
        <w:t xml:space="preserve">9 10 20 21 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in settings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with a presumably high CT rate this may accurately capture all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or most relevant patients. In 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settings with a much lower scan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rate, such as in our setting, this may not be true and patients may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be missed unless a comprehensive follow-up system is in place.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In this multicentre prospective external validation study, the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NEXUS II CDR had high sensitivity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and low specificity similar to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the derivation study. However, as approximately half of patients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who did not receive a CT scan were positive for NEXUS II risk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criteria, this CDR has the potentia</w:t>
      </w:r>
      <w:r w:rsidR="0038420B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 xml:space="preserve">l to lead to increased scanning </w:t>
      </w:r>
      <w:r w:rsidRPr="005C0CD3">
        <w:rPr>
          <w:rFonts w:asciiTheme="minorHAnsi" w:hAnsiTheme="minorHAnsi" w:cs="ClassicalGaramondBT-Roman"/>
          <w:color w:val="000000"/>
          <w:sz w:val="20"/>
          <w:szCs w:val="20"/>
          <w:lang w:val="en-GB"/>
        </w:rPr>
        <w:t>rates in a setting with high clinician accuracy.</w:t>
      </w:r>
    </w:p>
    <w:p w:rsidR="0038420B" w:rsidRDefault="0038420B">
      <w:pPr>
        <w:spacing w:after="200" w:line="276" w:lineRule="auto"/>
        <w:rPr>
          <w:rFonts w:asciiTheme="minorHAnsi" w:hAnsiTheme="minorHAnsi" w:cs="FrutigerLTPro-BoldCn"/>
          <w:b/>
          <w:bCs/>
          <w:sz w:val="20"/>
          <w:szCs w:val="20"/>
          <w:lang w:val="en-GB"/>
        </w:rPr>
      </w:pPr>
      <w:r>
        <w:rPr>
          <w:rFonts w:asciiTheme="minorHAnsi" w:hAnsiTheme="minorHAnsi" w:cs="FrutigerLTPro-BoldCn"/>
          <w:b/>
          <w:bCs/>
          <w:sz w:val="20"/>
          <w:szCs w:val="20"/>
          <w:lang w:val="en-GB"/>
        </w:rPr>
        <w:br w:type="page"/>
      </w:r>
    </w:p>
    <w:p w:rsidR="0038420B" w:rsidRDefault="005C0CD3" w:rsidP="0038420B">
      <w:pPr>
        <w:autoSpaceDE w:val="0"/>
        <w:autoSpaceDN w:val="0"/>
        <w:adjustRightInd w:val="0"/>
        <w:spacing w:after="240" w:line="360" w:lineRule="auto"/>
        <w:rPr>
          <w:rFonts w:asciiTheme="minorHAnsi" w:hAnsiTheme="minorHAnsi" w:cs="FrutigerLTPro-LightCn"/>
          <w:sz w:val="20"/>
          <w:szCs w:val="20"/>
          <w:lang w:val="en-GB"/>
        </w:rPr>
      </w:pPr>
      <w:bookmarkStart w:id="0" w:name="_GoBack"/>
      <w:bookmarkEnd w:id="0"/>
      <w:r w:rsidRPr="005C0CD3">
        <w:rPr>
          <w:rFonts w:asciiTheme="minorHAnsi" w:hAnsiTheme="minorHAnsi" w:cs="FrutigerLTPro-BoldCn"/>
          <w:b/>
          <w:bCs/>
          <w:sz w:val="20"/>
          <w:szCs w:val="20"/>
          <w:lang w:val="en-GB"/>
        </w:rPr>
        <w:lastRenderedPageBreak/>
        <w:t xml:space="preserve">Acknowledgements </w:t>
      </w:r>
      <w:r w:rsidRPr="005C0CD3">
        <w:rPr>
          <w:rFonts w:asciiTheme="minorHAnsi" w:hAnsiTheme="minorHAnsi" w:cs="FrutigerLTPro-LightCn"/>
          <w:sz w:val="20"/>
          <w:szCs w:val="20"/>
          <w:lang w:val="en-GB"/>
        </w:rPr>
        <w:t>The authors would like to thank the participating families,</w:t>
      </w:r>
      <w:r w:rsidR="0038420B">
        <w:rPr>
          <w:rFonts w:asciiTheme="minorHAnsi" w:hAnsiTheme="minorHAnsi" w:cs="FrutigerLTPro-LightCn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FrutigerLTPro-LightCn"/>
          <w:sz w:val="20"/>
          <w:szCs w:val="20"/>
          <w:lang w:val="en-GB"/>
        </w:rPr>
        <w:t>emergency department staff and research staff at participating sites.</w:t>
      </w:r>
      <w:r w:rsidR="0038420B">
        <w:rPr>
          <w:rFonts w:asciiTheme="minorHAnsi" w:hAnsiTheme="minorHAnsi" w:cs="FrutigerLTPro-LightCn"/>
          <w:sz w:val="20"/>
          <w:szCs w:val="20"/>
          <w:lang w:val="en-GB"/>
        </w:rPr>
        <w:t xml:space="preserve"> </w:t>
      </w:r>
    </w:p>
    <w:p w:rsidR="005C0CD3" w:rsidRPr="005C0CD3" w:rsidRDefault="005C0CD3" w:rsidP="0038420B">
      <w:pPr>
        <w:autoSpaceDE w:val="0"/>
        <w:autoSpaceDN w:val="0"/>
        <w:adjustRightInd w:val="0"/>
        <w:spacing w:after="240" w:line="360" w:lineRule="auto"/>
        <w:rPr>
          <w:rFonts w:asciiTheme="minorHAnsi" w:hAnsiTheme="minorHAnsi" w:cs="FrutigerLTPro-LightCn"/>
          <w:sz w:val="20"/>
          <w:szCs w:val="20"/>
          <w:lang w:val="en-GB"/>
        </w:rPr>
      </w:pPr>
      <w:r w:rsidRPr="005C0CD3">
        <w:rPr>
          <w:rFonts w:asciiTheme="minorHAnsi" w:hAnsiTheme="minorHAnsi" w:cs="FrutigerLTPro-BoldCn"/>
          <w:b/>
          <w:bCs/>
          <w:sz w:val="20"/>
          <w:szCs w:val="20"/>
          <w:lang w:val="en-GB"/>
        </w:rPr>
        <w:t xml:space="preserve">Contributors </w:t>
      </w:r>
      <w:r w:rsidRPr="005C0CD3">
        <w:rPr>
          <w:rFonts w:asciiTheme="minorHAnsi" w:hAnsiTheme="minorHAnsi" w:cs="FrutigerLTPro-LightCn"/>
          <w:sz w:val="20"/>
          <w:szCs w:val="20"/>
          <w:lang w:val="en-GB"/>
        </w:rPr>
        <w:t>FEB: conceived the study, obtained grant funding,</w:t>
      </w:r>
      <w:r w:rsidR="0038420B">
        <w:rPr>
          <w:rFonts w:asciiTheme="minorHAnsi" w:hAnsiTheme="minorHAnsi" w:cs="FrutigerLTPro-LightCn"/>
          <w:sz w:val="20"/>
          <w:szCs w:val="20"/>
          <w:lang w:val="en-GB"/>
        </w:rPr>
        <w:t xml:space="preserve"> designed the study, </w:t>
      </w:r>
      <w:r w:rsidRPr="005C0CD3">
        <w:rPr>
          <w:rFonts w:asciiTheme="minorHAnsi" w:hAnsiTheme="minorHAnsi" w:cs="FrutigerLTPro-LightCn"/>
          <w:sz w:val="20"/>
          <w:szCs w:val="20"/>
          <w:lang w:val="en-GB"/>
        </w:rPr>
        <w:t>provided overall supervision, interpreted the data, wrote the initial draft of the paper,</w:t>
      </w:r>
      <w:r w:rsidR="0038420B">
        <w:rPr>
          <w:rFonts w:asciiTheme="minorHAnsi" w:hAnsiTheme="minorHAnsi" w:cs="FrutigerLTPro-LightCn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FrutigerLTPro-LightCn"/>
          <w:sz w:val="20"/>
          <w:szCs w:val="20"/>
          <w:lang w:val="en-GB"/>
        </w:rPr>
        <w:t>gave final approval to be published and agreed to be accountable for all aspects of</w:t>
      </w:r>
      <w:r w:rsidR="0038420B">
        <w:rPr>
          <w:rFonts w:asciiTheme="minorHAnsi" w:hAnsiTheme="minorHAnsi" w:cs="FrutigerLTPro-LightCn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FrutigerLTPro-LightCn"/>
          <w:sz w:val="20"/>
          <w:szCs w:val="20"/>
          <w:lang w:val="en-GB"/>
        </w:rPr>
        <w:t>the work. MLB, NP, AK, SD, JAC, YG, JF, JN, MDL, MA, SH, SB, LMC, EO, SRD: designed</w:t>
      </w:r>
      <w:r w:rsidR="0038420B">
        <w:rPr>
          <w:rFonts w:asciiTheme="minorHAnsi" w:hAnsiTheme="minorHAnsi" w:cs="FrutigerLTPro-LightCn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FrutigerLTPro-LightCn"/>
          <w:sz w:val="20"/>
          <w:szCs w:val="20"/>
          <w:lang w:val="en-GB"/>
        </w:rPr>
        <w:t>the study, obtained the data, provided supervision, i</w:t>
      </w:r>
      <w:r w:rsidR="0038420B">
        <w:rPr>
          <w:rFonts w:asciiTheme="minorHAnsi" w:hAnsiTheme="minorHAnsi" w:cs="FrutigerLTPro-LightCn"/>
          <w:sz w:val="20"/>
          <w:szCs w:val="20"/>
          <w:lang w:val="en-GB"/>
        </w:rPr>
        <w:t xml:space="preserve">nterpreted the data, drafted or </w:t>
      </w:r>
      <w:r w:rsidRPr="005C0CD3">
        <w:rPr>
          <w:rFonts w:asciiTheme="minorHAnsi" w:hAnsiTheme="minorHAnsi" w:cs="FrutigerLTPro-LightCn"/>
          <w:sz w:val="20"/>
          <w:szCs w:val="20"/>
          <w:lang w:val="en-GB"/>
        </w:rPr>
        <w:t>revised it critically, gave final approval to be published and agreed to be accountable</w:t>
      </w:r>
      <w:r w:rsidR="0038420B">
        <w:rPr>
          <w:rFonts w:asciiTheme="minorHAnsi" w:hAnsiTheme="minorHAnsi" w:cs="FrutigerLTPro-LightCn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FrutigerLTPro-LightCn"/>
          <w:sz w:val="20"/>
          <w:szCs w:val="20"/>
          <w:lang w:val="en-GB"/>
        </w:rPr>
        <w:t>for all aspects of the work. SD: designed the study, supervised the analysis of the data,</w:t>
      </w:r>
      <w:r w:rsidR="0038420B">
        <w:rPr>
          <w:rFonts w:asciiTheme="minorHAnsi" w:hAnsiTheme="minorHAnsi" w:cs="FrutigerLTPro-LightCn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FrutigerLTPro-LightCn"/>
          <w:sz w:val="20"/>
          <w:szCs w:val="20"/>
          <w:lang w:val="en-GB"/>
        </w:rPr>
        <w:t>contributed to the interpretation of the data, revised the paper critically, gave final</w:t>
      </w:r>
      <w:r w:rsidR="0038420B">
        <w:rPr>
          <w:rFonts w:asciiTheme="minorHAnsi" w:hAnsiTheme="minorHAnsi" w:cs="FrutigerLTPro-LightCn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FrutigerLTPro-LightCn"/>
          <w:sz w:val="20"/>
          <w:szCs w:val="20"/>
          <w:lang w:val="en-GB"/>
        </w:rPr>
        <w:t>approval to be published and agreed to be acc</w:t>
      </w:r>
      <w:r w:rsidR="0038420B">
        <w:rPr>
          <w:rFonts w:asciiTheme="minorHAnsi" w:hAnsiTheme="minorHAnsi" w:cs="FrutigerLTPro-LightCn"/>
          <w:sz w:val="20"/>
          <w:szCs w:val="20"/>
          <w:lang w:val="en-GB"/>
        </w:rPr>
        <w:t xml:space="preserve">ountable for all aspects of the </w:t>
      </w:r>
      <w:r w:rsidRPr="005C0CD3">
        <w:rPr>
          <w:rFonts w:asciiTheme="minorHAnsi" w:hAnsiTheme="minorHAnsi" w:cs="FrutigerLTPro-LightCn"/>
          <w:sz w:val="20"/>
          <w:szCs w:val="20"/>
          <w:lang w:val="en-GB"/>
        </w:rPr>
        <w:t>work.</w:t>
      </w:r>
    </w:p>
    <w:p w:rsidR="005C0CD3" w:rsidRPr="005C0CD3" w:rsidRDefault="005C0CD3" w:rsidP="0038420B">
      <w:pPr>
        <w:autoSpaceDE w:val="0"/>
        <w:autoSpaceDN w:val="0"/>
        <w:adjustRightInd w:val="0"/>
        <w:spacing w:after="240" w:line="360" w:lineRule="auto"/>
        <w:rPr>
          <w:rFonts w:asciiTheme="minorHAnsi" w:hAnsiTheme="minorHAnsi" w:cs="FrutigerLTPro-LightCn"/>
          <w:color w:val="000000"/>
          <w:sz w:val="20"/>
          <w:szCs w:val="20"/>
          <w:lang w:val="en-GB"/>
        </w:rPr>
      </w:pPr>
      <w:r w:rsidRPr="005C0CD3">
        <w:rPr>
          <w:rFonts w:asciiTheme="minorHAnsi" w:hAnsiTheme="minorHAnsi" w:cs="FrutigerLTPro-BoldCn"/>
          <w:b/>
          <w:bCs/>
          <w:color w:val="000000"/>
          <w:sz w:val="20"/>
          <w:szCs w:val="20"/>
          <w:lang w:val="en-GB"/>
        </w:rPr>
        <w:t xml:space="preserve">Funding </w:t>
      </w:r>
      <w:r w:rsidRPr="005C0CD3">
        <w:rPr>
          <w:rFonts w:asciiTheme="minorHAnsi" w:hAnsiTheme="minorHAnsi" w:cs="FrutigerLTPro-LightCn"/>
          <w:color w:val="000000"/>
          <w:sz w:val="20"/>
          <w:szCs w:val="20"/>
          <w:lang w:val="en-GB"/>
        </w:rPr>
        <w:t>The study was funded by grants from the National</w:t>
      </w:r>
      <w:r w:rsidR="0038420B">
        <w:rPr>
          <w:rFonts w:asciiTheme="minorHAnsi" w:hAnsiTheme="minorHAnsi" w:cs="FrutigerLTPro-LightCn"/>
          <w:color w:val="000000"/>
          <w:sz w:val="20"/>
          <w:szCs w:val="20"/>
          <w:lang w:val="en-GB"/>
        </w:rPr>
        <w:t xml:space="preserve"> Health and Medical </w:t>
      </w:r>
      <w:r w:rsidRPr="005C0CD3">
        <w:rPr>
          <w:rFonts w:asciiTheme="minorHAnsi" w:hAnsiTheme="minorHAnsi" w:cs="FrutigerLTPro-LightCn"/>
          <w:color w:val="000000"/>
          <w:sz w:val="20"/>
          <w:szCs w:val="20"/>
          <w:lang w:val="en-GB"/>
        </w:rPr>
        <w:t>Research Council (project grant GNT1046727, Centre of Research Excellence for</w:t>
      </w:r>
      <w:r w:rsidR="0038420B">
        <w:rPr>
          <w:rFonts w:asciiTheme="minorHAnsi" w:hAnsiTheme="minorHAnsi" w:cs="FrutigerLTPro-LightC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FrutigerLTPro-LightCn"/>
          <w:color w:val="000000"/>
          <w:sz w:val="20"/>
          <w:szCs w:val="20"/>
          <w:lang w:val="en-GB"/>
        </w:rPr>
        <w:t xml:space="preserve">Paediatric Emergency Medicine GNT1058560), </w:t>
      </w:r>
      <w:r w:rsidR="0038420B">
        <w:rPr>
          <w:rFonts w:asciiTheme="minorHAnsi" w:hAnsiTheme="minorHAnsi" w:cs="FrutigerLTPro-LightCn"/>
          <w:color w:val="000000"/>
          <w:sz w:val="20"/>
          <w:szCs w:val="20"/>
          <w:lang w:val="en-GB"/>
        </w:rPr>
        <w:t xml:space="preserve">Canberra, Australia; the Murdoc </w:t>
      </w:r>
      <w:proofErr w:type="spellStart"/>
      <w:r w:rsidRPr="005C0CD3">
        <w:rPr>
          <w:rFonts w:asciiTheme="minorHAnsi" w:hAnsiTheme="minorHAnsi" w:cs="FrutigerLTPro-LightCn"/>
          <w:color w:val="000000"/>
          <w:sz w:val="20"/>
          <w:szCs w:val="20"/>
          <w:lang w:val="en-GB"/>
        </w:rPr>
        <w:t>Childrens</w:t>
      </w:r>
      <w:proofErr w:type="spellEnd"/>
      <w:r w:rsidRPr="005C0CD3">
        <w:rPr>
          <w:rFonts w:asciiTheme="minorHAnsi" w:hAnsiTheme="minorHAnsi" w:cs="FrutigerLTPro-LightCn"/>
          <w:color w:val="000000"/>
          <w:sz w:val="20"/>
          <w:szCs w:val="20"/>
          <w:lang w:val="en-GB"/>
        </w:rPr>
        <w:t xml:space="preserve"> Research Institute, Melbourne, Au</w:t>
      </w:r>
      <w:r w:rsidR="0038420B">
        <w:rPr>
          <w:rFonts w:asciiTheme="minorHAnsi" w:hAnsiTheme="minorHAnsi" w:cs="FrutigerLTPro-LightCn"/>
          <w:color w:val="000000"/>
          <w:sz w:val="20"/>
          <w:szCs w:val="20"/>
          <w:lang w:val="en-GB"/>
        </w:rPr>
        <w:t xml:space="preserve">stralia; the Emergency Medicine </w:t>
      </w:r>
      <w:r w:rsidRPr="005C0CD3">
        <w:rPr>
          <w:rFonts w:asciiTheme="minorHAnsi" w:hAnsiTheme="minorHAnsi" w:cs="FrutigerLTPro-LightCn"/>
          <w:color w:val="000000"/>
          <w:sz w:val="20"/>
          <w:szCs w:val="20"/>
          <w:lang w:val="en-GB"/>
        </w:rPr>
        <w:t>Foundation (EMPJ-11162), Brisbane, Australia; Perpetual Philanthropic Services</w:t>
      </w:r>
      <w:r w:rsidR="0038420B">
        <w:rPr>
          <w:rFonts w:asciiTheme="minorHAnsi" w:hAnsiTheme="minorHAnsi" w:cs="FrutigerLTPro-LightC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FrutigerLTPro-LightCn"/>
          <w:color w:val="000000"/>
          <w:sz w:val="20"/>
          <w:szCs w:val="20"/>
          <w:lang w:val="en-GB"/>
        </w:rPr>
        <w:t>(2012/1140), Australia; Auckland Medical Research Foundation (No. 3112011)</w:t>
      </w:r>
      <w:r w:rsidR="0038420B">
        <w:rPr>
          <w:rFonts w:asciiTheme="minorHAnsi" w:hAnsiTheme="minorHAnsi" w:cs="FrutigerLTPro-LightC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FrutigerLTPro-LightCn"/>
          <w:color w:val="000000"/>
          <w:sz w:val="20"/>
          <w:szCs w:val="20"/>
          <w:lang w:val="en-GB"/>
        </w:rPr>
        <w:t>and the A + Trust (Auckland Distri</w:t>
      </w:r>
      <w:r w:rsidR="0038420B">
        <w:rPr>
          <w:rFonts w:asciiTheme="minorHAnsi" w:hAnsiTheme="minorHAnsi" w:cs="FrutigerLTPro-LightCn"/>
          <w:color w:val="000000"/>
          <w:sz w:val="20"/>
          <w:szCs w:val="20"/>
          <w:lang w:val="en-GB"/>
        </w:rPr>
        <w:t xml:space="preserve">ct Health Board), Auckland, New </w:t>
      </w:r>
      <w:r w:rsidRPr="005C0CD3">
        <w:rPr>
          <w:rFonts w:asciiTheme="minorHAnsi" w:hAnsiTheme="minorHAnsi" w:cs="FrutigerLTPro-LightCn"/>
          <w:color w:val="000000"/>
          <w:sz w:val="20"/>
          <w:szCs w:val="20"/>
          <w:lang w:val="en-GB"/>
        </w:rPr>
        <w:t>Zealand; WA</w:t>
      </w:r>
      <w:r w:rsidR="0038420B">
        <w:rPr>
          <w:rFonts w:asciiTheme="minorHAnsi" w:hAnsiTheme="minorHAnsi" w:cs="FrutigerLTPro-LightC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FrutigerLTPro-LightCn"/>
          <w:color w:val="000000"/>
          <w:sz w:val="20"/>
          <w:szCs w:val="20"/>
          <w:lang w:val="en-GB"/>
        </w:rPr>
        <w:t>Health Targeted Research Funds 2013, Perth, Aus</w:t>
      </w:r>
      <w:r w:rsidR="0038420B">
        <w:rPr>
          <w:rFonts w:asciiTheme="minorHAnsi" w:hAnsiTheme="minorHAnsi" w:cs="FrutigerLTPro-LightCn"/>
          <w:color w:val="000000"/>
          <w:sz w:val="20"/>
          <w:szCs w:val="20"/>
          <w:lang w:val="en-GB"/>
        </w:rPr>
        <w:t xml:space="preserve">tralia; the Townsville Hospital </w:t>
      </w:r>
      <w:r w:rsidRPr="005C0CD3">
        <w:rPr>
          <w:rFonts w:asciiTheme="minorHAnsi" w:hAnsiTheme="minorHAnsi" w:cs="FrutigerLTPro-LightCn"/>
          <w:color w:val="000000"/>
          <w:sz w:val="20"/>
          <w:szCs w:val="20"/>
          <w:lang w:val="en-GB"/>
        </w:rPr>
        <w:t>and Health Service Private Practice Research and Education Trust Fund, Townsville,</w:t>
      </w:r>
      <w:r w:rsidR="0038420B">
        <w:rPr>
          <w:rFonts w:asciiTheme="minorHAnsi" w:hAnsiTheme="minorHAnsi" w:cs="FrutigerLTPro-LightC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FrutigerLTPro-LightCn"/>
          <w:color w:val="000000"/>
          <w:sz w:val="20"/>
          <w:szCs w:val="20"/>
          <w:lang w:val="en-GB"/>
        </w:rPr>
        <w:t>Australia and supported by the Victorian Government’s Infrastructure Support</w:t>
      </w:r>
      <w:r w:rsidR="0038420B">
        <w:rPr>
          <w:rFonts w:asciiTheme="minorHAnsi" w:hAnsiTheme="minorHAnsi" w:cs="FrutigerLTPro-LightC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FrutigerLTPro-LightCn"/>
          <w:color w:val="000000"/>
          <w:sz w:val="20"/>
          <w:szCs w:val="20"/>
          <w:lang w:val="en-GB"/>
        </w:rPr>
        <w:t>Program, Melbourne, Australia. FEB’s time was part funded by a grant from the</w:t>
      </w:r>
      <w:r w:rsidR="0038420B">
        <w:rPr>
          <w:rFonts w:asciiTheme="minorHAnsi" w:hAnsiTheme="minorHAnsi" w:cs="FrutigerLTPro-LightC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FrutigerLTPro-LightCn"/>
          <w:color w:val="000000"/>
          <w:sz w:val="20"/>
          <w:szCs w:val="20"/>
          <w:lang w:val="en-GB"/>
        </w:rPr>
        <w:t>Royal Children’s Hospital Foundation, Melbourne, A</w:t>
      </w:r>
      <w:r w:rsidR="0038420B">
        <w:rPr>
          <w:rFonts w:asciiTheme="minorHAnsi" w:hAnsiTheme="minorHAnsi" w:cs="FrutigerLTPro-LightCn"/>
          <w:color w:val="000000"/>
          <w:sz w:val="20"/>
          <w:szCs w:val="20"/>
          <w:lang w:val="en-GB"/>
        </w:rPr>
        <w:t xml:space="preserve">ustralia, an NHMRC Practitioner </w:t>
      </w:r>
      <w:r w:rsidRPr="005C0CD3">
        <w:rPr>
          <w:rFonts w:asciiTheme="minorHAnsi" w:hAnsiTheme="minorHAnsi" w:cs="FrutigerLTPro-LightCn"/>
          <w:color w:val="000000"/>
          <w:sz w:val="20"/>
          <w:szCs w:val="20"/>
          <w:lang w:val="en-GB"/>
        </w:rPr>
        <w:t>Fellowship GNT1124466 and a Melbourne Children’s</w:t>
      </w:r>
      <w:r w:rsidR="0038420B">
        <w:rPr>
          <w:rFonts w:asciiTheme="minorHAnsi" w:hAnsiTheme="minorHAnsi" w:cs="FrutigerLTPro-LightCn"/>
          <w:color w:val="000000"/>
          <w:sz w:val="20"/>
          <w:szCs w:val="20"/>
          <w:lang w:val="en-GB"/>
        </w:rPr>
        <w:t xml:space="preserve"> Clinician Scientist Fellowship.  </w:t>
      </w:r>
      <w:r w:rsidRPr="005C0CD3">
        <w:rPr>
          <w:rFonts w:asciiTheme="minorHAnsi" w:hAnsiTheme="minorHAnsi" w:cs="FrutigerLTPro-LightCn"/>
          <w:color w:val="000000"/>
          <w:sz w:val="20"/>
          <w:szCs w:val="20"/>
          <w:lang w:val="en-GB"/>
        </w:rPr>
        <w:t>SRD’s time was part funded by the Health Research Council of Ne</w:t>
      </w:r>
      <w:r w:rsidR="0038420B">
        <w:rPr>
          <w:rFonts w:asciiTheme="minorHAnsi" w:hAnsiTheme="minorHAnsi" w:cs="FrutigerLTPro-LightCn"/>
          <w:color w:val="000000"/>
          <w:sz w:val="20"/>
          <w:szCs w:val="20"/>
          <w:lang w:val="en-GB"/>
        </w:rPr>
        <w:t xml:space="preserve">w Zealand </w:t>
      </w:r>
      <w:r w:rsidRPr="005C0CD3">
        <w:rPr>
          <w:rFonts w:asciiTheme="minorHAnsi" w:hAnsiTheme="minorHAnsi" w:cs="FrutigerLTPro-LightCn"/>
          <w:color w:val="000000"/>
          <w:sz w:val="20"/>
          <w:szCs w:val="20"/>
          <w:lang w:val="en-GB"/>
        </w:rPr>
        <w:t>(HRC13/556).</w:t>
      </w:r>
    </w:p>
    <w:p w:rsidR="005C0CD3" w:rsidRPr="005C0CD3" w:rsidRDefault="005C0CD3" w:rsidP="0038420B">
      <w:pPr>
        <w:autoSpaceDE w:val="0"/>
        <w:autoSpaceDN w:val="0"/>
        <w:adjustRightInd w:val="0"/>
        <w:spacing w:line="360" w:lineRule="auto"/>
        <w:rPr>
          <w:rFonts w:asciiTheme="minorHAnsi" w:hAnsiTheme="minorHAnsi" w:cs="FrutigerLTPro-LightCn"/>
          <w:color w:val="000000"/>
          <w:sz w:val="20"/>
          <w:szCs w:val="20"/>
          <w:lang w:val="en-GB"/>
        </w:rPr>
      </w:pPr>
      <w:r w:rsidRPr="005C0CD3">
        <w:rPr>
          <w:rFonts w:asciiTheme="minorHAnsi" w:hAnsiTheme="minorHAnsi" w:cs="FrutigerLTPro-BoldCn"/>
          <w:b/>
          <w:bCs/>
          <w:color w:val="000000"/>
          <w:sz w:val="20"/>
          <w:szCs w:val="20"/>
          <w:lang w:val="en-GB"/>
        </w:rPr>
        <w:t xml:space="preserve">Competing interests </w:t>
      </w:r>
      <w:proofErr w:type="gramStart"/>
      <w:r w:rsidRPr="005C0CD3">
        <w:rPr>
          <w:rFonts w:asciiTheme="minorHAnsi" w:hAnsiTheme="minorHAnsi" w:cs="FrutigerLTPro-LightCn"/>
          <w:color w:val="000000"/>
          <w:sz w:val="20"/>
          <w:szCs w:val="20"/>
          <w:lang w:val="en-GB"/>
        </w:rPr>
        <w:t>None</w:t>
      </w:r>
      <w:proofErr w:type="gramEnd"/>
      <w:r w:rsidRPr="005C0CD3">
        <w:rPr>
          <w:rFonts w:asciiTheme="minorHAnsi" w:hAnsiTheme="minorHAnsi" w:cs="FrutigerLTPro-LightCn"/>
          <w:color w:val="000000"/>
          <w:sz w:val="20"/>
          <w:szCs w:val="20"/>
          <w:lang w:val="en-GB"/>
        </w:rPr>
        <w:t xml:space="preserve"> declared.</w:t>
      </w:r>
    </w:p>
    <w:p w:rsidR="005C0CD3" w:rsidRPr="005C0CD3" w:rsidRDefault="005C0CD3" w:rsidP="0038420B">
      <w:pPr>
        <w:autoSpaceDE w:val="0"/>
        <w:autoSpaceDN w:val="0"/>
        <w:adjustRightInd w:val="0"/>
        <w:spacing w:line="360" w:lineRule="auto"/>
        <w:rPr>
          <w:rFonts w:asciiTheme="minorHAnsi" w:hAnsiTheme="minorHAnsi" w:cs="FrutigerLTPro-LightCn"/>
          <w:color w:val="000000"/>
          <w:sz w:val="20"/>
          <w:szCs w:val="20"/>
          <w:lang w:val="en-GB"/>
        </w:rPr>
      </w:pPr>
      <w:r w:rsidRPr="005C0CD3">
        <w:rPr>
          <w:rFonts w:asciiTheme="minorHAnsi" w:hAnsiTheme="minorHAnsi" w:cs="FrutigerLTPro-BoldCn"/>
          <w:b/>
          <w:bCs/>
          <w:color w:val="000000"/>
          <w:sz w:val="20"/>
          <w:szCs w:val="20"/>
          <w:lang w:val="en-GB"/>
        </w:rPr>
        <w:t xml:space="preserve">Patient consent </w:t>
      </w:r>
      <w:proofErr w:type="gramStart"/>
      <w:r w:rsidRPr="005C0CD3">
        <w:rPr>
          <w:rFonts w:asciiTheme="minorHAnsi" w:hAnsiTheme="minorHAnsi" w:cs="FrutigerLTPro-LightCn"/>
          <w:color w:val="000000"/>
          <w:sz w:val="20"/>
          <w:szCs w:val="20"/>
          <w:lang w:val="en-GB"/>
        </w:rPr>
        <w:t>Not</w:t>
      </w:r>
      <w:proofErr w:type="gramEnd"/>
      <w:r w:rsidRPr="005C0CD3">
        <w:rPr>
          <w:rFonts w:asciiTheme="minorHAnsi" w:hAnsiTheme="minorHAnsi" w:cs="FrutigerLTPro-LightCn"/>
          <w:color w:val="000000"/>
          <w:sz w:val="20"/>
          <w:szCs w:val="20"/>
          <w:lang w:val="en-GB"/>
        </w:rPr>
        <w:t xml:space="preserve"> required.</w:t>
      </w:r>
    </w:p>
    <w:p w:rsidR="005C0CD3" w:rsidRPr="005C0CD3" w:rsidRDefault="005C0CD3" w:rsidP="0038420B">
      <w:pPr>
        <w:autoSpaceDE w:val="0"/>
        <w:autoSpaceDN w:val="0"/>
        <w:adjustRightInd w:val="0"/>
        <w:spacing w:line="360" w:lineRule="auto"/>
        <w:rPr>
          <w:rFonts w:asciiTheme="minorHAnsi" w:hAnsiTheme="minorHAnsi" w:cs="FrutigerLTPro-LightCn"/>
          <w:color w:val="000000"/>
          <w:sz w:val="20"/>
          <w:szCs w:val="20"/>
          <w:lang w:val="en-GB"/>
        </w:rPr>
      </w:pPr>
      <w:r w:rsidRPr="005C0CD3">
        <w:rPr>
          <w:rFonts w:asciiTheme="minorHAnsi" w:hAnsiTheme="minorHAnsi" w:cs="FrutigerLTPro-BoldCn"/>
          <w:b/>
          <w:bCs/>
          <w:color w:val="000000"/>
          <w:sz w:val="20"/>
          <w:szCs w:val="20"/>
          <w:lang w:val="en-GB"/>
        </w:rPr>
        <w:t xml:space="preserve">Ethics approval </w:t>
      </w:r>
      <w:proofErr w:type="gramStart"/>
      <w:r w:rsidRPr="005C0CD3">
        <w:rPr>
          <w:rFonts w:asciiTheme="minorHAnsi" w:hAnsiTheme="minorHAnsi" w:cs="FrutigerLTPro-LightCn"/>
          <w:color w:val="000000"/>
          <w:sz w:val="20"/>
          <w:szCs w:val="20"/>
          <w:lang w:val="en-GB"/>
        </w:rPr>
        <w:t>The</w:t>
      </w:r>
      <w:proofErr w:type="gramEnd"/>
      <w:r w:rsidRPr="005C0CD3">
        <w:rPr>
          <w:rFonts w:asciiTheme="minorHAnsi" w:hAnsiTheme="minorHAnsi" w:cs="FrutigerLTPro-LightCn"/>
          <w:color w:val="000000"/>
          <w:sz w:val="20"/>
          <w:szCs w:val="20"/>
          <w:lang w:val="en-GB"/>
        </w:rPr>
        <w:t xml:space="preserve"> study was approved by the Royal Children’s Hospital,</w:t>
      </w:r>
      <w:r w:rsidR="0038420B">
        <w:rPr>
          <w:rFonts w:asciiTheme="minorHAnsi" w:hAnsiTheme="minorHAnsi" w:cs="FrutigerLTPro-LightCn"/>
          <w:color w:val="000000"/>
          <w:sz w:val="20"/>
          <w:szCs w:val="20"/>
          <w:lang w:val="en-GB"/>
        </w:rPr>
        <w:t xml:space="preserve"> </w:t>
      </w:r>
      <w:r w:rsidRPr="005C0CD3">
        <w:rPr>
          <w:rFonts w:asciiTheme="minorHAnsi" w:hAnsiTheme="minorHAnsi" w:cs="FrutigerLTPro-LightCn"/>
          <w:color w:val="000000"/>
          <w:sz w:val="20"/>
          <w:szCs w:val="20"/>
          <w:lang w:val="en-GB"/>
        </w:rPr>
        <w:t>Melbourne, Australia.</w:t>
      </w:r>
    </w:p>
    <w:p w:rsidR="005C0CD3" w:rsidRPr="005C0CD3" w:rsidRDefault="005C0CD3" w:rsidP="0038420B">
      <w:pPr>
        <w:autoSpaceDE w:val="0"/>
        <w:autoSpaceDN w:val="0"/>
        <w:adjustRightInd w:val="0"/>
        <w:spacing w:line="360" w:lineRule="auto"/>
        <w:rPr>
          <w:rFonts w:asciiTheme="minorHAnsi" w:hAnsiTheme="minorHAnsi" w:cs="FrutigerLTPro-LightCn"/>
          <w:color w:val="000000"/>
          <w:sz w:val="20"/>
          <w:szCs w:val="20"/>
          <w:lang w:val="en-GB"/>
        </w:rPr>
      </w:pPr>
      <w:r w:rsidRPr="005C0CD3">
        <w:rPr>
          <w:rFonts w:asciiTheme="minorHAnsi" w:hAnsiTheme="minorHAnsi" w:cs="FrutigerLTPro-BoldCn"/>
          <w:b/>
          <w:bCs/>
          <w:color w:val="000000"/>
          <w:sz w:val="20"/>
          <w:szCs w:val="20"/>
          <w:lang w:val="en-GB"/>
        </w:rPr>
        <w:t xml:space="preserve">Provenance and peer review </w:t>
      </w:r>
      <w:proofErr w:type="gramStart"/>
      <w:r w:rsidRPr="005C0CD3">
        <w:rPr>
          <w:rFonts w:asciiTheme="minorHAnsi" w:hAnsiTheme="minorHAnsi" w:cs="FrutigerLTPro-LightCn"/>
          <w:color w:val="000000"/>
          <w:sz w:val="20"/>
          <w:szCs w:val="20"/>
          <w:lang w:val="en-GB"/>
        </w:rPr>
        <w:t>Not</w:t>
      </w:r>
      <w:proofErr w:type="gramEnd"/>
      <w:r w:rsidRPr="005C0CD3">
        <w:rPr>
          <w:rFonts w:asciiTheme="minorHAnsi" w:hAnsiTheme="minorHAnsi" w:cs="FrutigerLTPro-LightCn"/>
          <w:color w:val="000000"/>
          <w:sz w:val="20"/>
          <w:szCs w:val="20"/>
          <w:lang w:val="en-GB"/>
        </w:rPr>
        <w:t xml:space="preserve"> commissioned; externally peer reviewed.</w:t>
      </w:r>
    </w:p>
    <w:p w:rsidR="005C0CD3" w:rsidRPr="005C0CD3" w:rsidRDefault="005C0CD3" w:rsidP="0038420B">
      <w:pPr>
        <w:autoSpaceDE w:val="0"/>
        <w:autoSpaceDN w:val="0"/>
        <w:adjustRightInd w:val="0"/>
        <w:spacing w:after="240" w:line="360" w:lineRule="auto"/>
        <w:rPr>
          <w:rFonts w:asciiTheme="minorHAnsi" w:hAnsiTheme="minorHAnsi" w:cs="FrutigerLTPro-LightCn"/>
          <w:color w:val="000000"/>
          <w:sz w:val="20"/>
          <w:szCs w:val="20"/>
          <w:lang w:val="en-GB"/>
        </w:rPr>
      </w:pPr>
      <w:r w:rsidRPr="005C0CD3">
        <w:rPr>
          <w:rFonts w:asciiTheme="minorHAnsi" w:hAnsiTheme="minorHAnsi" w:cs="FrutigerLTPro-BoldCn"/>
          <w:b/>
          <w:bCs/>
          <w:color w:val="000000"/>
          <w:sz w:val="20"/>
          <w:szCs w:val="20"/>
          <w:lang w:val="en-GB"/>
        </w:rPr>
        <w:t xml:space="preserve">Data sharing statement </w:t>
      </w:r>
      <w:proofErr w:type="gramStart"/>
      <w:r w:rsidRPr="005C0CD3">
        <w:rPr>
          <w:rFonts w:asciiTheme="minorHAnsi" w:hAnsiTheme="minorHAnsi" w:cs="FrutigerLTPro-LightCn"/>
          <w:color w:val="000000"/>
          <w:sz w:val="20"/>
          <w:szCs w:val="20"/>
          <w:lang w:val="en-GB"/>
        </w:rPr>
        <w:t>There</w:t>
      </w:r>
      <w:proofErr w:type="gramEnd"/>
      <w:r w:rsidRPr="005C0CD3">
        <w:rPr>
          <w:rFonts w:asciiTheme="minorHAnsi" w:hAnsiTheme="minorHAnsi" w:cs="FrutigerLTPro-LightCn"/>
          <w:color w:val="000000"/>
          <w:sz w:val="20"/>
          <w:szCs w:val="20"/>
          <w:lang w:val="en-GB"/>
        </w:rPr>
        <w:t xml:space="preserve"> are no additional data available.</w:t>
      </w:r>
    </w:p>
    <w:p w:rsidR="0038420B" w:rsidRDefault="0038420B" w:rsidP="0038420B">
      <w:pPr>
        <w:spacing w:after="240" w:line="360" w:lineRule="auto"/>
        <w:rPr>
          <w:rFonts w:asciiTheme="minorHAnsi" w:hAnsiTheme="minorHAnsi" w:cs="FrutigerLTStd-BoldCn"/>
          <w:b/>
          <w:bCs/>
          <w:color w:val="000000"/>
          <w:sz w:val="20"/>
          <w:szCs w:val="20"/>
          <w:lang w:val="en-GB"/>
        </w:rPr>
      </w:pPr>
      <w:r>
        <w:rPr>
          <w:rFonts w:asciiTheme="minorHAnsi" w:hAnsiTheme="minorHAnsi" w:cs="FrutigerLTStd-BoldCn"/>
          <w:b/>
          <w:bCs/>
          <w:color w:val="000000"/>
          <w:sz w:val="20"/>
          <w:szCs w:val="20"/>
          <w:lang w:val="en-GB"/>
        </w:rPr>
        <w:br w:type="page"/>
      </w:r>
    </w:p>
    <w:p w:rsidR="005C0CD3" w:rsidRPr="005C0CD3" w:rsidRDefault="005C0CD3" w:rsidP="005C0CD3">
      <w:pPr>
        <w:autoSpaceDE w:val="0"/>
        <w:autoSpaceDN w:val="0"/>
        <w:adjustRightInd w:val="0"/>
        <w:rPr>
          <w:rFonts w:asciiTheme="minorHAnsi" w:hAnsiTheme="minorHAnsi" w:cs="FrutigerLTStd-BoldCn"/>
          <w:b/>
          <w:bCs/>
          <w:color w:val="000000"/>
          <w:sz w:val="20"/>
          <w:szCs w:val="20"/>
          <w:lang w:val="en-GB"/>
        </w:rPr>
      </w:pPr>
      <w:r w:rsidRPr="005C0CD3">
        <w:rPr>
          <w:rFonts w:asciiTheme="minorHAnsi" w:hAnsiTheme="minorHAnsi" w:cs="FrutigerLTStd-BoldCn"/>
          <w:b/>
          <w:bCs/>
          <w:color w:val="000000"/>
          <w:sz w:val="20"/>
          <w:szCs w:val="20"/>
          <w:lang w:val="en-GB"/>
        </w:rPr>
        <w:lastRenderedPageBreak/>
        <w:t>References</w:t>
      </w:r>
    </w:p>
    <w:p w:rsidR="005C0CD3" w:rsidRPr="0038420B" w:rsidRDefault="005C0CD3" w:rsidP="0038420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480" w:lineRule="auto"/>
        <w:rPr>
          <w:rFonts w:cs="FrutigerLTPro-LightCn"/>
          <w:color w:val="000000"/>
          <w:sz w:val="20"/>
          <w:szCs w:val="20"/>
          <w:lang w:val="en-GB"/>
        </w:rPr>
      </w:pPr>
      <w:r w:rsidRPr="0038420B">
        <w:rPr>
          <w:rFonts w:cs="FrutigerLTPro-LightCn"/>
          <w:color w:val="000000"/>
          <w:sz w:val="20"/>
          <w:szCs w:val="20"/>
          <w:lang w:val="en-GB"/>
        </w:rPr>
        <w:t xml:space="preserve">Pearce MS, </w:t>
      </w:r>
      <w:proofErr w:type="spellStart"/>
      <w:r w:rsidRPr="0038420B">
        <w:rPr>
          <w:rFonts w:cs="FrutigerLTPro-LightCn"/>
          <w:color w:val="000000"/>
          <w:sz w:val="20"/>
          <w:szCs w:val="20"/>
          <w:lang w:val="en-GB"/>
        </w:rPr>
        <w:t>Salotti</w:t>
      </w:r>
      <w:proofErr w:type="spellEnd"/>
      <w:r w:rsidRPr="0038420B">
        <w:rPr>
          <w:rFonts w:cs="FrutigerLTPro-LightCn"/>
          <w:color w:val="000000"/>
          <w:sz w:val="20"/>
          <w:szCs w:val="20"/>
          <w:lang w:val="en-GB"/>
        </w:rPr>
        <w:t xml:space="preserve"> JA, Little MP, </w:t>
      </w:r>
      <w:r w:rsidRPr="0038420B">
        <w:rPr>
          <w:rFonts w:cs="FrutigerLTPro-LightCnIta"/>
          <w:color w:val="000000"/>
          <w:sz w:val="20"/>
          <w:szCs w:val="20"/>
          <w:lang w:val="en-GB"/>
        </w:rPr>
        <w:t>et al</w:t>
      </w:r>
      <w:r w:rsidRPr="0038420B">
        <w:rPr>
          <w:rFonts w:cs="FrutigerLTPro-LightCn"/>
          <w:color w:val="000000"/>
          <w:sz w:val="20"/>
          <w:szCs w:val="20"/>
          <w:lang w:val="en-GB"/>
        </w:rPr>
        <w:t>. Radiation exposure from CT scans in childhood</w:t>
      </w:r>
      <w:r w:rsidR="0038420B" w:rsidRPr="0038420B">
        <w:rPr>
          <w:rFonts w:cs="FrutigerLTPro-LightCn"/>
          <w:color w:val="000000"/>
          <w:sz w:val="20"/>
          <w:szCs w:val="20"/>
          <w:lang w:val="en-GB"/>
        </w:rPr>
        <w:t xml:space="preserve"> </w:t>
      </w:r>
      <w:r w:rsidRPr="0038420B">
        <w:rPr>
          <w:rFonts w:cs="FrutigerLTPro-LightCn"/>
          <w:color w:val="000000"/>
          <w:sz w:val="20"/>
          <w:szCs w:val="20"/>
          <w:lang w:val="en-GB"/>
        </w:rPr>
        <w:t>and subsequent risk of leukaemia and brain tumours: a retrospective cohort study.</w:t>
      </w:r>
      <w:r w:rsidR="0038420B" w:rsidRPr="0038420B">
        <w:rPr>
          <w:rFonts w:cs="FrutigerLTPro-LightCn"/>
          <w:color w:val="000000"/>
          <w:sz w:val="20"/>
          <w:szCs w:val="20"/>
          <w:lang w:val="en-GB"/>
        </w:rPr>
        <w:t xml:space="preserve"> </w:t>
      </w:r>
      <w:r w:rsidRPr="0038420B">
        <w:rPr>
          <w:rFonts w:cs="FrutigerLTPro-LightCnIta"/>
          <w:color w:val="0000FF"/>
          <w:sz w:val="20"/>
          <w:szCs w:val="20"/>
          <w:lang w:val="en-GB"/>
        </w:rPr>
        <w:t xml:space="preserve">Lancet </w:t>
      </w:r>
      <w:r w:rsidRPr="0038420B">
        <w:rPr>
          <w:rFonts w:cs="FrutigerLTPro-LightCn"/>
          <w:color w:val="000000"/>
          <w:sz w:val="20"/>
          <w:szCs w:val="20"/>
          <w:lang w:val="en-GB"/>
        </w:rPr>
        <w:t>2012</w:t>
      </w:r>
      <w:proofErr w:type="gramStart"/>
      <w:r w:rsidRPr="0038420B">
        <w:rPr>
          <w:rFonts w:cs="FrutigerLTPro-LightCn"/>
          <w:color w:val="000000"/>
          <w:sz w:val="20"/>
          <w:szCs w:val="20"/>
          <w:lang w:val="en-GB"/>
        </w:rPr>
        <w:t>;380:499</w:t>
      </w:r>
      <w:proofErr w:type="gramEnd"/>
      <w:r w:rsidRPr="0038420B">
        <w:rPr>
          <w:rFonts w:cs="FrutigerLTPro-LightCn"/>
          <w:color w:val="000000"/>
          <w:sz w:val="20"/>
          <w:szCs w:val="20"/>
          <w:lang w:val="en-GB"/>
        </w:rPr>
        <w:t>–505.</w:t>
      </w:r>
    </w:p>
    <w:p w:rsidR="005C0CD3" w:rsidRPr="0038420B" w:rsidRDefault="005C0CD3" w:rsidP="0038420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480" w:lineRule="auto"/>
        <w:rPr>
          <w:rFonts w:cs="FrutigerLTPro-LightCn"/>
          <w:color w:val="000000"/>
          <w:sz w:val="20"/>
          <w:szCs w:val="20"/>
          <w:lang w:val="en-GB"/>
        </w:rPr>
      </w:pPr>
      <w:proofErr w:type="spellStart"/>
      <w:r w:rsidRPr="0038420B">
        <w:rPr>
          <w:rFonts w:cs="FrutigerLTPro-LightCn"/>
          <w:color w:val="000000"/>
          <w:sz w:val="20"/>
          <w:szCs w:val="20"/>
          <w:lang w:val="en-GB"/>
        </w:rPr>
        <w:t>Miglioretti</w:t>
      </w:r>
      <w:proofErr w:type="spellEnd"/>
      <w:r w:rsidRPr="0038420B">
        <w:rPr>
          <w:rFonts w:cs="FrutigerLTPro-LightCn"/>
          <w:color w:val="000000"/>
          <w:sz w:val="20"/>
          <w:szCs w:val="20"/>
          <w:lang w:val="en-GB"/>
        </w:rPr>
        <w:t xml:space="preserve"> DL, Johnson E, Williams A, </w:t>
      </w:r>
      <w:r w:rsidRPr="0038420B">
        <w:rPr>
          <w:rFonts w:cs="FrutigerLTPro-LightCnIta"/>
          <w:color w:val="000000"/>
          <w:sz w:val="20"/>
          <w:szCs w:val="20"/>
          <w:lang w:val="en-GB"/>
        </w:rPr>
        <w:t>et al</w:t>
      </w:r>
      <w:r w:rsidRPr="0038420B">
        <w:rPr>
          <w:rFonts w:cs="FrutigerLTPro-LightCn"/>
          <w:color w:val="000000"/>
          <w:sz w:val="20"/>
          <w:szCs w:val="20"/>
          <w:lang w:val="en-GB"/>
        </w:rPr>
        <w:t>. The use of computed tomography in</w:t>
      </w:r>
      <w:r w:rsidR="0038420B" w:rsidRPr="0038420B">
        <w:rPr>
          <w:rFonts w:cs="FrutigerLTPro-LightCn"/>
          <w:color w:val="000000"/>
          <w:sz w:val="20"/>
          <w:szCs w:val="20"/>
          <w:lang w:val="en-GB"/>
        </w:rPr>
        <w:t xml:space="preserve"> </w:t>
      </w:r>
      <w:proofErr w:type="spellStart"/>
      <w:r w:rsidRPr="0038420B">
        <w:rPr>
          <w:rFonts w:cs="FrutigerLTPro-LightCn"/>
          <w:color w:val="000000"/>
          <w:sz w:val="20"/>
          <w:szCs w:val="20"/>
          <w:lang w:val="en-GB"/>
        </w:rPr>
        <w:t>pediatrics</w:t>
      </w:r>
      <w:proofErr w:type="spellEnd"/>
      <w:r w:rsidRPr="0038420B">
        <w:rPr>
          <w:rFonts w:cs="FrutigerLTPro-LightCn"/>
          <w:color w:val="000000"/>
          <w:sz w:val="20"/>
          <w:szCs w:val="20"/>
          <w:lang w:val="en-GB"/>
        </w:rPr>
        <w:t xml:space="preserve"> and the associated radiation exposure and estimated cancer risk. </w:t>
      </w:r>
      <w:r w:rsidRPr="0038420B">
        <w:rPr>
          <w:rFonts w:cs="FrutigerLTPro-LightCnIta"/>
          <w:color w:val="0000FF"/>
          <w:sz w:val="20"/>
          <w:szCs w:val="20"/>
          <w:lang w:val="en-GB"/>
        </w:rPr>
        <w:t>JAMA</w:t>
      </w:r>
      <w:r w:rsidR="0038420B" w:rsidRPr="0038420B">
        <w:rPr>
          <w:rFonts w:cs="FrutigerLTPro-LightCnIta"/>
          <w:color w:val="0000FF"/>
          <w:sz w:val="20"/>
          <w:szCs w:val="20"/>
          <w:lang w:val="en-GB"/>
        </w:rPr>
        <w:t xml:space="preserve"> </w:t>
      </w:r>
      <w:proofErr w:type="spellStart"/>
      <w:r w:rsidRPr="0038420B">
        <w:rPr>
          <w:rFonts w:cs="FrutigerLTPro-LightCnIta"/>
          <w:color w:val="0000FF"/>
          <w:sz w:val="20"/>
          <w:szCs w:val="20"/>
          <w:lang w:val="en-GB"/>
        </w:rPr>
        <w:t>Pediatr</w:t>
      </w:r>
      <w:proofErr w:type="spellEnd"/>
      <w:r w:rsidRPr="0038420B">
        <w:rPr>
          <w:rFonts w:cs="FrutigerLTPro-LightCnIta"/>
          <w:color w:val="0000FF"/>
          <w:sz w:val="20"/>
          <w:szCs w:val="20"/>
          <w:lang w:val="en-GB"/>
        </w:rPr>
        <w:t xml:space="preserve"> </w:t>
      </w:r>
      <w:r w:rsidRPr="0038420B">
        <w:rPr>
          <w:rFonts w:cs="FrutigerLTPro-LightCn"/>
          <w:color w:val="000000"/>
          <w:sz w:val="20"/>
          <w:szCs w:val="20"/>
          <w:lang w:val="en-GB"/>
        </w:rPr>
        <w:t>2013</w:t>
      </w:r>
      <w:proofErr w:type="gramStart"/>
      <w:r w:rsidRPr="0038420B">
        <w:rPr>
          <w:rFonts w:cs="FrutigerLTPro-LightCn"/>
          <w:color w:val="000000"/>
          <w:sz w:val="20"/>
          <w:szCs w:val="20"/>
          <w:lang w:val="en-GB"/>
        </w:rPr>
        <w:t>;167:700</w:t>
      </w:r>
      <w:proofErr w:type="gramEnd"/>
      <w:r w:rsidRPr="0038420B">
        <w:rPr>
          <w:rFonts w:cs="FrutigerLTPro-LightCn"/>
          <w:color w:val="000000"/>
          <w:sz w:val="20"/>
          <w:szCs w:val="20"/>
          <w:lang w:val="en-GB"/>
        </w:rPr>
        <w:t>–7.</w:t>
      </w:r>
    </w:p>
    <w:p w:rsidR="005C0CD3" w:rsidRPr="0038420B" w:rsidRDefault="005C0CD3" w:rsidP="0038420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480" w:lineRule="auto"/>
        <w:rPr>
          <w:rFonts w:cs="FrutigerLTPro-LightCn"/>
          <w:color w:val="000000"/>
          <w:sz w:val="20"/>
          <w:szCs w:val="20"/>
          <w:lang w:val="en-GB"/>
        </w:rPr>
      </w:pPr>
      <w:proofErr w:type="spellStart"/>
      <w:r w:rsidRPr="0038420B">
        <w:rPr>
          <w:rFonts w:cs="FrutigerLTPro-LightCn"/>
          <w:color w:val="000000"/>
          <w:sz w:val="20"/>
          <w:szCs w:val="20"/>
          <w:lang w:val="en-GB"/>
        </w:rPr>
        <w:t>Goldwasser</w:t>
      </w:r>
      <w:proofErr w:type="spellEnd"/>
      <w:r w:rsidRPr="0038420B">
        <w:rPr>
          <w:rFonts w:cs="FrutigerLTPro-LightCn"/>
          <w:color w:val="000000"/>
          <w:sz w:val="20"/>
          <w:szCs w:val="20"/>
          <w:lang w:val="en-GB"/>
        </w:rPr>
        <w:t xml:space="preserve"> T, </w:t>
      </w:r>
      <w:proofErr w:type="spellStart"/>
      <w:r w:rsidRPr="0038420B">
        <w:rPr>
          <w:rFonts w:cs="FrutigerLTPro-LightCn"/>
          <w:color w:val="000000"/>
          <w:sz w:val="20"/>
          <w:szCs w:val="20"/>
          <w:lang w:val="en-GB"/>
        </w:rPr>
        <w:t>Bressan</w:t>
      </w:r>
      <w:proofErr w:type="spellEnd"/>
      <w:r w:rsidRPr="0038420B">
        <w:rPr>
          <w:rFonts w:cs="FrutigerLTPro-LightCn"/>
          <w:color w:val="000000"/>
          <w:sz w:val="20"/>
          <w:szCs w:val="20"/>
          <w:lang w:val="en-GB"/>
        </w:rPr>
        <w:t xml:space="preserve"> S, Oakley E, </w:t>
      </w:r>
      <w:r w:rsidRPr="0038420B">
        <w:rPr>
          <w:rFonts w:cs="FrutigerLTPro-LightCnIta"/>
          <w:color w:val="000000"/>
          <w:sz w:val="20"/>
          <w:szCs w:val="20"/>
          <w:lang w:val="en-GB"/>
        </w:rPr>
        <w:t>et al</w:t>
      </w:r>
      <w:r w:rsidRPr="0038420B">
        <w:rPr>
          <w:rFonts w:cs="FrutigerLTPro-LightCn"/>
          <w:color w:val="000000"/>
          <w:sz w:val="20"/>
          <w:szCs w:val="20"/>
          <w:lang w:val="en-GB"/>
        </w:rPr>
        <w:t>. Use of sedation in children receiving</w:t>
      </w:r>
      <w:r w:rsidR="0038420B" w:rsidRPr="0038420B">
        <w:rPr>
          <w:rFonts w:cs="FrutigerLTPro-LightCn"/>
          <w:color w:val="000000"/>
          <w:sz w:val="20"/>
          <w:szCs w:val="20"/>
          <w:lang w:val="en-GB"/>
        </w:rPr>
        <w:t xml:space="preserve"> </w:t>
      </w:r>
      <w:r w:rsidRPr="0038420B">
        <w:rPr>
          <w:rFonts w:cs="FrutigerLTPro-LightCn"/>
          <w:color w:val="000000"/>
          <w:sz w:val="20"/>
          <w:szCs w:val="20"/>
          <w:lang w:val="en-GB"/>
        </w:rPr>
        <w:t xml:space="preserve">computed tomography after head injuries. </w:t>
      </w:r>
      <w:proofErr w:type="spellStart"/>
      <w:r w:rsidRPr="0038420B">
        <w:rPr>
          <w:rFonts w:cs="FrutigerLTPro-LightCnIta"/>
          <w:color w:val="0000FF"/>
          <w:sz w:val="20"/>
          <w:szCs w:val="20"/>
          <w:lang w:val="en-GB"/>
        </w:rPr>
        <w:t>Eur</w:t>
      </w:r>
      <w:proofErr w:type="spellEnd"/>
      <w:r w:rsidRPr="0038420B">
        <w:rPr>
          <w:rFonts w:cs="FrutigerLTPro-LightCnIta"/>
          <w:color w:val="0000FF"/>
          <w:sz w:val="20"/>
          <w:szCs w:val="20"/>
          <w:lang w:val="en-GB"/>
        </w:rPr>
        <w:t xml:space="preserve"> J </w:t>
      </w:r>
      <w:proofErr w:type="spellStart"/>
      <w:r w:rsidRPr="0038420B">
        <w:rPr>
          <w:rFonts w:cs="FrutigerLTPro-LightCnIta"/>
          <w:color w:val="0000FF"/>
          <w:sz w:val="20"/>
          <w:szCs w:val="20"/>
          <w:lang w:val="en-GB"/>
        </w:rPr>
        <w:t>Emerg</w:t>
      </w:r>
      <w:proofErr w:type="spellEnd"/>
      <w:r w:rsidRPr="0038420B">
        <w:rPr>
          <w:rFonts w:cs="FrutigerLTPro-LightCnIta"/>
          <w:color w:val="0000FF"/>
          <w:sz w:val="20"/>
          <w:szCs w:val="20"/>
          <w:lang w:val="en-GB"/>
        </w:rPr>
        <w:t xml:space="preserve"> Med </w:t>
      </w:r>
      <w:r w:rsidRPr="0038420B">
        <w:rPr>
          <w:rFonts w:cs="FrutigerLTPro-LightCn"/>
          <w:color w:val="000000"/>
          <w:sz w:val="20"/>
          <w:szCs w:val="20"/>
          <w:lang w:val="en-GB"/>
        </w:rPr>
        <w:t>2015</w:t>
      </w:r>
      <w:proofErr w:type="gramStart"/>
      <w:r w:rsidRPr="0038420B">
        <w:rPr>
          <w:rFonts w:cs="FrutigerLTPro-LightCn"/>
          <w:color w:val="000000"/>
          <w:sz w:val="20"/>
          <w:szCs w:val="20"/>
          <w:lang w:val="en-GB"/>
        </w:rPr>
        <w:t>;22:413</w:t>
      </w:r>
      <w:proofErr w:type="gramEnd"/>
      <w:r w:rsidRPr="0038420B">
        <w:rPr>
          <w:rFonts w:cs="FrutigerLTPro-LightCn"/>
          <w:color w:val="000000"/>
          <w:sz w:val="20"/>
          <w:szCs w:val="20"/>
          <w:lang w:val="en-GB"/>
        </w:rPr>
        <w:t>–8.</w:t>
      </w:r>
    </w:p>
    <w:p w:rsidR="005C0CD3" w:rsidRPr="0038420B" w:rsidRDefault="005C0CD3" w:rsidP="0038420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480" w:lineRule="auto"/>
        <w:rPr>
          <w:rFonts w:cs="FrutigerLTPro-LightCn"/>
          <w:color w:val="000000"/>
          <w:sz w:val="20"/>
          <w:szCs w:val="20"/>
          <w:lang w:val="en-GB"/>
        </w:rPr>
      </w:pPr>
      <w:r w:rsidRPr="0038420B">
        <w:rPr>
          <w:rFonts w:cs="FrutigerLTPro-LightCn"/>
          <w:color w:val="000000"/>
          <w:sz w:val="20"/>
          <w:szCs w:val="20"/>
          <w:lang w:val="en-GB"/>
        </w:rPr>
        <w:t xml:space="preserve">Pickering A, </w:t>
      </w:r>
      <w:proofErr w:type="spellStart"/>
      <w:r w:rsidRPr="0038420B">
        <w:rPr>
          <w:rFonts w:cs="FrutigerLTPro-LightCn"/>
          <w:color w:val="000000"/>
          <w:sz w:val="20"/>
          <w:szCs w:val="20"/>
          <w:lang w:val="en-GB"/>
        </w:rPr>
        <w:t>Harnan</w:t>
      </w:r>
      <w:proofErr w:type="spellEnd"/>
      <w:r w:rsidRPr="0038420B">
        <w:rPr>
          <w:rFonts w:cs="FrutigerLTPro-LightCn"/>
          <w:color w:val="000000"/>
          <w:sz w:val="20"/>
          <w:szCs w:val="20"/>
          <w:lang w:val="en-GB"/>
        </w:rPr>
        <w:t xml:space="preserve"> S, Fitzgerald P, </w:t>
      </w:r>
      <w:r w:rsidRPr="0038420B">
        <w:rPr>
          <w:rFonts w:cs="FrutigerLTPro-LightCnIta"/>
          <w:color w:val="000000"/>
          <w:sz w:val="20"/>
          <w:szCs w:val="20"/>
          <w:lang w:val="en-GB"/>
        </w:rPr>
        <w:t>et al</w:t>
      </w:r>
      <w:r w:rsidRPr="0038420B">
        <w:rPr>
          <w:rFonts w:cs="FrutigerLTPro-LightCn"/>
          <w:color w:val="000000"/>
          <w:sz w:val="20"/>
          <w:szCs w:val="20"/>
          <w:lang w:val="en-GB"/>
        </w:rPr>
        <w:t>. Clinical decision rules for children with minor</w:t>
      </w:r>
      <w:r w:rsidR="0038420B" w:rsidRPr="0038420B">
        <w:rPr>
          <w:rFonts w:cs="FrutigerLTPro-LightCn"/>
          <w:color w:val="000000"/>
          <w:sz w:val="20"/>
          <w:szCs w:val="20"/>
          <w:lang w:val="en-GB"/>
        </w:rPr>
        <w:t xml:space="preserve"> </w:t>
      </w:r>
      <w:r w:rsidRPr="0038420B">
        <w:rPr>
          <w:rFonts w:cs="FrutigerLTPro-LightCn"/>
          <w:color w:val="000000"/>
          <w:sz w:val="20"/>
          <w:szCs w:val="20"/>
          <w:lang w:val="en-GB"/>
        </w:rPr>
        <w:t xml:space="preserve">head injury: a systematic review. </w:t>
      </w:r>
      <w:r w:rsidRPr="0038420B">
        <w:rPr>
          <w:rFonts w:cs="FrutigerLTPro-LightCnIta"/>
          <w:color w:val="0000FF"/>
          <w:sz w:val="20"/>
          <w:szCs w:val="20"/>
          <w:lang w:val="en-GB"/>
        </w:rPr>
        <w:t xml:space="preserve">Arch Dis Child </w:t>
      </w:r>
      <w:r w:rsidRPr="0038420B">
        <w:rPr>
          <w:rFonts w:cs="FrutigerLTPro-LightCn"/>
          <w:color w:val="000000"/>
          <w:sz w:val="20"/>
          <w:szCs w:val="20"/>
          <w:lang w:val="en-GB"/>
        </w:rPr>
        <w:t>2011</w:t>
      </w:r>
      <w:proofErr w:type="gramStart"/>
      <w:r w:rsidRPr="0038420B">
        <w:rPr>
          <w:rFonts w:cs="FrutigerLTPro-LightCn"/>
          <w:color w:val="000000"/>
          <w:sz w:val="20"/>
          <w:szCs w:val="20"/>
          <w:lang w:val="en-GB"/>
        </w:rPr>
        <w:t>;96:414</w:t>
      </w:r>
      <w:proofErr w:type="gramEnd"/>
      <w:r w:rsidRPr="0038420B">
        <w:rPr>
          <w:rFonts w:cs="FrutigerLTPro-LightCn"/>
          <w:color w:val="000000"/>
          <w:sz w:val="20"/>
          <w:szCs w:val="20"/>
          <w:lang w:val="en-GB"/>
        </w:rPr>
        <w:t>–21.</w:t>
      </w:r>
    </w:p>
    <w:p w:rsidR="005C0CD3" w:rsidRPr="0038420B" w:rsidRDefault="005C0CD3" w:rsidP="0038420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480" w:lineRule="auto"/>
        <w:rPr>
          <w:rFonts w:cs="FrutigerLTPro-LightCn"/>
          <w:color w:val="000000"/>
          <w:sz w:val="20"/>
          <w:szCs w:val="20"/>
          <w:lang w:val="en-GB"/>
        </w:rPr>
      </w:pPr>
      <w:r w:rsidRPr="0038420B">
        <w:rPr>
          <w:rFonts w:cs="FrutigerLTPro-LightCn"/>
          <w:color w:val="000000"/>
          <w:sz w:val="20"/>
          <w:szCs w:val="20"/>
          <w:lang w:val="en-GB"/>
        </w:rPr>
        <w:t xml:space="preserve">Lyttle MD, Crowe L, Oakley E, </w:t>
      </w:r>
      <w:r w:rsidRPr="0038420B">
        <w:rPr>
          <w:rFonts w:cs="FrutigerLTPro-LightCnIta"/>
          <w:color w:val="000000"/>
          <w:sz w:val="20"/>
          <w:szCs w:val="20"/>
          <w:lang w:val="en-GB"/>
        </w:rPr>
        <w:t>et al</w:t>
      </w:r>
      <w:r w:rsidRPr="0038420B">
        <w:rPr>
          <w:rFonts w:cs="FrutigerLTPro-LightCn"/>
          <w:color w:val="000000"/>
          <w:sz w:val="20"/>
          <w:szCs w:val="20"/>
          <w:lang w:val="en-GB"/>
        </w:rPr>
        <w:t>. Comparing CATCH, CHALICE and PECARN clinical</w:t>
      </w:r>
      <w:r w:rsidR="0038420B" w:rsidRPr="0038420B">
        <w:rPr>
          <w:rFonts w:cs="FrutigerLTPro-LightCn"/>
          <w:color w:val="000000"/>
          <w:sz w:val="20"/>
          <w:szCs w:val="20"/>
          <w:lang w:val="en-GB"/>
        </w:rPr>
        <w:t xml:space="preserve"> </w:t>
      </w:r>
      <w:r w:rsidRPr="0038420B">
        <w:rPr>
          <w:rFonts w:cs="FrutigerLTPro-LightCn"/>
          <w:color w:val="000000"/>
          <w:sz w:val="20"/>
          <w:szCs w:val="20"/>
          <w:lang w:val="en-GB"/>
        </w:rPr>
        <w:t xml:space="preserve">decision rules for paediatric head injuries. </w:t>
      </w:r>
      <w:proofErr w:type="spellStart"/>
      <w:r w:rsidRPr="0038420B">
        <w:rPr>
          <w:rFonts w:cs="FrutigerLTPro-LightCnIta"/>
          <w:color w:val="0000FF"/>
          <w:sz w:val="20"/>
          <w:szCs w:val="20"/>
          <w:lang w:val="en-GB"/>
        </w:rPr>
        <w:t>Emerg</w:t>
      </w:r>
      <w:proofErr w:type="spellEnd"/>
      <w:r w:rsidRPr="0038420B">
        <w:rPr>
          <w:rFonts w:cs="FrutigerLTPro-LightCnIta"/>
          <w:color w:val="0000FF"/>
          <w:sz w:val="20"/>
          <w:szCs w:val="20"/>
          <w:lang w:val="en-GB"/>
        </w:rPr>
        <w:t xml:space="preserve"> Med J </w:t>
      </w:r>
      <w:r w:rsidRPr="0038420B">
        <w:rPr>
          <w:rFonts w:cs="FrutigerLTPro-LightCn"/>
          <w:color w:val="000000"/>
          <w:sz w:val="20"/>
          <w:szCs w:val="20"/>
          <w:lang w:val="en-GB"/>
        </w:rPr>
        <w:t>2012</w:t>
      </w:r>
      <w:proofErr w:type="gramStart"/>
      <w:r w:rsidRPr="0038420B">
        <w:rPr>
          <w:rFonts w:cs="FrutigerLTPro-LightCn"/>
          <w:color w:val="000000"/>
          <w:sz w:val="20"/>
          <w:szCs w:val="20"/>
          <w:lang w:val="en-GB"/>
        </w:rPr>
        <w:t>;29:785</w:t>
      </w:r>
      <w:proofErr w:type="gramEnd"/>
      <w:r w:rsidRPr="0038420B">
        <w:rPr>
          <w:rFonts w:cs="FrutigerLTPro-LightCn"/>
          <w:color w:val="000000"/>
          <w:sz w:val="20"/>
          <w:szCs w:val="20"/>
          <w:lang w:val="en-GB"/>
        </w:rPr>
        <w:t>–94.</w:t>
      </w:r>
    </w:p>
    <w:p w:rsidR="005C0CD3" w:rsidRPr="0038420B" w:rsidRDefault="005C0CD3" w:rsidP="0038420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480" w:lineRule="auto"/>
        <w:rPr>
          <w:rFonts w:cs="FrutigerLTPro-LightCn"/>
          <w:color w:val="000000"/>
          <w:sz w:val="20"/>
          <w:szCs w:val="20"/>
          <w:lang w:val="en-GB"/>
        </w:rPr>
      </w:pPr>
      <w:proofErr w:type="spellStart"/>
      <w:r w:rsidRPr="0038420B">
        <w:rPr>
          <w:rFonts w:cs="FrutigerLTPro-LightCn"/>
          <w:color w:val="000000"/>
          <w:sz w:val="20"/>
          <w:szCs w:val="20"/>
          <w:lang w:val="en-GB"/>
        </w:rPr>
        <w:t>Kuppermann</w:t>
      </w:r>
      <w:proofErr w:type="spellEnd"/>
      <w:r w:rsidRPr="0038420B">
        <w:rPr>
          <w:rFonts w:cs="FrutigerLTPro-LightCn"/>
          <w:color w:val="000000"/>
          <w:sz w:val="20"/>
          <w:szCs w:val="20"/>
          <w:lang w:val="en-GB"/>
        </w:rPr>
        <w:t xml:space="preserve"> N, Holmes JF, Dayan PS, </w:t>
      </w:r>
      <w:r w:rsidRPr="0038420B">
        <w:rPr>
          <w:rFonts w:cs="FrutigerLTPro-LightCnIta"/>
          <w:color w:val="000000"/>
          <w:sz w:val="20"/>
          <w:szCs w:val="20"/>
          <w:lang w:val="en-GB"/>
        </w:rPr>
        <w:t>et al</w:t>
      </w:r>
      <w:r w:rsidRPr="0038420B">
        <w:rPr>
          <w:rFonts w:cs="FrutigerLTPro-LightCn"/>
          <w:color w:val="000000"/>
          <w:sz w:val="20"/>
          <w:szCs w:val="20"/>
          <w:lang w:val="en-GB"/>
        </w:rPr>
        <w:t>. Identification of children at very low risk</w:t>
      </w:r>
      <w:r w:rsidR="0038420B" w:rsidRPr="0038420B">
        <w:rPr>
          <w:rFonts w:cs="FrutigerLTPro-LightCn"/>
          <w:color w:val="000000"/>
          <w:sz w:val="20"/>
          <w:szCs w:val="20"/>
          <w:lang w:val="en-GB"/>
        </w:rPr>
        <w:t xml:space="preserve"> </w:t>
      </w:r>
      <w:r w:rsidRPr="0038420B">
        <w:rPr>
          <w:rFonts w:cs="FrutigerLTPro-LightCn"/>
          <w:color w:val="000000"/>
          <w:sz w:val="20"/>
          <w:szCs w:val="20"/>
          <w:lang w:val="en-GB"/>
        </w:rPr>
        <w:t>of clinically-important brain injuries after head trauma: a prospective cohort study.</w:t>
      </w:r>
      <w:r w:rsidR="0038420B" w:rsidRPr="0038420B">
        <w:rPr>
          <w:rFonts w:cs="FrutigerLTPro-LightCn"/>
          <w:color w:val="000000"/>
          <w:sz w:val="20"/>
          <w:szCs w:val="20"/>
          <w:lang w:val="en-GB"/>
        </w:rPr>
        <w:t xml:space="preserve"> </w:t>
      </w:r>
      <w:r w:rsidRPr="0038420B">
        <w:rPr>
          <w:rFonts w:cs="FrutigerLTPro-LightCnIta"/>
          <w:color w:val="0000FF"/>
          <w:sz w:val="20"/>
          <w:szCs w:val="20"/>
          <w:lang w:val="en-GB"/>
        </w:rPr>
        <w:t xml:space="preserve">Lancet </w:t>
      </w:r>
      <w:r w:rsidRPr="0038420B">
        <w:rPr>
          <w:rFonts w:cs="FrutigerLTPro-LightCn"/>
          <w:color w:val="000000"/>
          <w:sz w:val="20"/>
          <w:szCs w:val="20"/>
          <w:lang w:val="en-GB"/>
        </w:rPr>
        <w:t>2009</w:t>
      </w:r>
      <w:proofErr w:type="gramStart"/>
      <w:r w:rsidRPr="0038420B">
        <w:rPr>
          <w:rFonts w:cs="FrutigerLTPro-LightCn"/>
          <w:color w:val="000000"/>
          <w:sz w:val="20"/>
          <w:szCs w:val="20"/>
          <w:lang w:val="en-GB"/>
        </w:rPr>
        <w:t>;374:1160</w:t>
      </w:r>
      <w:proofErr w:type="gramEnd"/>
      <w:r w:rsidRPr="0038420B">
        <w:rPr>
          <w:rFonts w:cs="FrutigerLTPro-LightCn"/>
          <w:color w:val="000000"/>
          <w:sz w:val="20"/>
          <w:szCs w:val="20"/>
          <w:lang w:val="en-GB"/>
        </w:rPr>
        <w:t>–70.</w:t>
      </w:r>
    </w:p>
    <w:p w:rsidR="005C0CD3" w:rsidRPr="0038420B" w:rsidRDefault="005C0CD3" w:rsidP="0038420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480" w:lineRule="auto"/>
        <w:rPr>
          <w:rFonts w:cs="FrutigerLTPro-LightCn"/>
          <w:color w:val="000000"/>
          <w:sz w:val="20"/>
          <w:szCs w:val="20"/>
          <w:lang w:val="en-GB"/>
        </w:rPr>
      </w:pPr>
      <w:r w:rsidRPr="0038420B">
        <w:rPr>
          <w:rFonts w:cs="FrutigerLTPro-LightCn"/>
          <w:color w:val="000000"/>
          <w:sz w:val="20"/>
          <w:szCs w:val="20"/>
          <w:lang w:val="en-GB"/>
        </w:rPr>
        <w:t xml:space="preserve">Osmond MH, Klassen TP, </w:t>
      </w:r>
      <w:proofErr w:type="gramStart"/>
      <w:r w:rsidRPr="0038420B">
        <w:rPr>
          <w:rFonts w:cs="FrutigerLTPro-LightCn"/>
          <w:color w:val="000000"/>
          <w:sz w:val="20"/>
          <w:szCs w:val="20"/>
          <w:lang w:val="en-GB"/>
        </w:rPr>
        <w:t>Wells</w:t>
      </w:r>
      <w:proofErr w:type="gramEnd"/>
      <w:r w:rsidRPr="0038420B">
        <w:rPr>
          <w:rFonts w:cs="FrutigerLTPro-LightCn"/>
          <w:color w:val="000000"/>
          <w:sz w:val="20"/>
          <w:szCs w:val="20"/>
          <w:lang w:val="en-GB"/>
        </w:rPr>
        <w:t xml:space="preserve"> GA, </w:t>
      </w:r>
      <w:r w:rsidRPr="0038420B">
        <w:rPr>
          <w:rFonts w:cs="FrutigerLTPro-LightCnIta"/>
          <w:color w:val="000000"/>
          <w:sz w:val="20"/>
          <w:szCs w:val="20"/>
          <w:lang w:val="en-GB"/>
        </w:rPr>
        <w:t>et al</w:t>
      </w:r>
      <w:r w:rsidRPr="0038420B">
        <w:rPr>
          <w:rFonts w:cs="FrutigerLTPro-LightCn"/>
          <w:color w:val="000000"/>
          <w:sz w:val="20"/>
          <w:szCs w:val="20"/>
          <w:lang w:val="en-GB"/>
        </w:rPr>
        <w:t>. CATCH: a clinical decision rule for the use of</w:t>
      </w:r>
      <w:r w:rsidR="0038420B" w:rsidRPr="0038420B">
        <w:rPr>
          <w:rFonts w:cs="FrutigerLTPro-LightCn"/>
          <w:color w:val="000000"/>
          <w:sz w:val="20"/>
          <w:szCs w:val="20"/>
          <w:lang w:val="en-GB"/>
        </w:rPr>
        <w:t xml:space="preserve"> </w:t>
      </w:r>
      <w:r w:rsidRPr="0038420B">
        <w:rPr>
          <w:rFonts w:cs="FrutigerLTPro-LightCn"/>
          <w:color w:val="000000"/>
          <w:sz w:val="20"/>
          <w:szCs w:val="20"/>
          <w:lang w:val="en-GB"/>
        </w:rPr>
        <w:t xml:space="preserve">computed tomography in children with minor head injury. </w:t>
      </w:r>
      <w:r w:rsidRPr="0038420B">
        <w:rPr>
          <w:rFonts w:cs="FrutigerLTPro-LightCnIta"/>
          <w:color w:val="0000FF"/>
          <w:sz w:val="20"/>
          <w:szCs w:val="20"/>
          <w:lang w:val="en-GB"/>
        </w:rPr>
        <w:t xml:space="preserve">CMAJ </w:t>
      </w:r>
      <w:r w:rsidRPr="0038420B">
        <w:rPr>
          <w:rFonts w:cs="FrutigerLTPro-LightCn"/>
          <w:color w:val="000000"/>
          <w:sz w:val="20"/>
          <w:szCs w:val="20"/>
          <w:lang w:val="en-GB"/>
        </w:rPr>
        <w:t>2010</w:t>
      </w:r>
      <w:proofErr w:type="gramStart"/>
      <w:r w:rsidRPr="0038420B">
        <w:rPr>
          <w:rFonts w:cs="FrutigerLTPro-LightCn"/>
          <w:color w:val="000000"/>
          <w:sz w:val="20"/>
          <w:szCs w:val="20"/>
          <w:lang w:val="en-GB"/>
        </w:rPr>
        <w:t>;182:341</w:t>
      </w:r>
      <w:proofErr w:type="gramEnd"/>
      <w:r w:rsidRPr="0038420B">
        <w:rPr>
          <w:rFonts w:cs="FrutigerLTPro-LightCn"/>
          <w:color w:val="000000"/>
          <w:sz w:val="20"/>
          <w:szCs w:val="20"/>
          <w:lang w:val="en-GB"/>
        </w:rPr>
        <w:t>–8.</w:t>
      </w:r>
    </w:p>
    <w:p w:rsidR="005C0CD3" w:rsidRPr="0038420B" w:rsidRDefault="005C0CD3" w:rsidP="0038420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480" w:lineRule="auto"/>
        <w:rPr>
          <w:rFonts w:cs="FrutigerLTPro-LightCn"/>
          <w:color w:val="000000"/>
          <w:sz w:val="20"/>
          <w:szCs w:val="20"/>
          <w:lang w:val="en-GB"/>
        </w:rPr>
      </w:pPr>
      <w:r w:rsidRPr="0038420B">
        <w:rPr>
          <w:rFonts w:cs="FrutigerLTPro-LightCn"/>
          <w:color w:val="000000"/>
          <w:sz w:val="20"/>
          <w:szCs w:val="20"/>
          <w:lang w:val="en-GB"/>
        </w:rPr>
        <w:t xml:space="preserve">Dunning J, Daly JP, Lomas JP, </w:t>
      </w:r>
      <w:r w:rsidRPr="0038420B">
        <w:rPr>
          <w:rFonts w:cs="FrutigerLTPro-LightCnIta"/>
          <w:color w:val="000000"/>
          <w:sz w:val="20"/>
          <w:szCs w:val="20"/>
          <w:lang w:val="en-GB"/>
        </w:rPr>
        <w:t>et al</w:t>
      </w:r>
      <w:r w:rsidRPr="0038420B">
        <w:rPr>
          <w:rFonts w:cs="FrutigerLTPro-LightCn"/>
          <w:color w:val="000000"/>
          <w:sz w:val="20"/>
          <w:szCs w:val="20"/>
          <w:lang w:val="en-GB"/>
        </w:rPr>
        <w:t>. Derivation of the c</w:t>
      </w:r>
      <w:r w:rsidR="0038420B" w:rsidRPr="0038420B">
        <w:rPr>
          <w:rFonts w:cs="FrutigerLTPro-LightCn"/>
          <w:color w:val="000000"/>
          <w:sz w:val="20"/>
          <w:szCs w:val="20"/>
          <w:lang w:val="en-GB"/>
        </w:rPr>
        <w:t xml:space="preserve">hildren’s head injury algorithm </w:t>
      </w:r>
      <w:r w:rsidRPr="0038420B">
        <w:rPr>
          <w:rFonts w:cs="FrutigerLTPro-LightCn"/>
          <w:color w:val="000000"/>
          <w:sz w:val="20"/>
          <w:szCs w:val="20"/>
          <w:lang w:val="en-GB"/>
        </w:rPr>
        <w:t>for the prediction of important clinical events decision rule for head injury in children.</w:t>
      </w:r>
      <w:r w:rsidR="0038420B" w:rsidRPr="0038420B">
        <w:rPr>
          <w:rFonts w:cs="FrutigerLTPro-LightCn"/>
          <w:color w:val="000000"/>
          <w:sz w:val="20"/>
          <w:szCs w:val="20"/>
          <w:lang w:val="en-GB"/>
        </w:rPr>
        <w:t xml:space="preserve"> </w:t>
      </w:r>
      <w:r w:rsidRPr="0038420B">
        <w:rPr>
          <w:rFonts w:cs="FrutigerLTPro-LightCnIta"/>
          <w:color w:val="0000FF"/>
          <w:sz w:val="20"/>
          <w:szCs w:val="20"/>
          <w:lang w:val="en-GB"/>
        </w:rPr>
        <w:t xml:space="preserve">Arch Dis Child </w:t>
      </w:r>
      <w:r w:rsidRPr="0038420B">
        <w:rPr>
          <w:rFonts w:cs="FrutigerLTPro-LightCn"/>
          <w:color w:val="000000"/>
          <w:sz w:val="20"/>
          <w:szCs w:val="20"/>
          <w:lang w:val="en-GB"/>
        </w:rPr>
        <w:t>2006</w:t>
      </w:r>
      <w:proofErr w:type="gramStart"/>
      <w:r w:rsidRPr="0038420B">
        <w:rPr>
          <w:rFonts w:cs="FrutigerLTPro-LightCn"/>
          <w:color w:val="000000"/>
          <w:sz w:val="20"/>
          <w:szCs w:val="20"/>
          <w:lang w:val="en-GB"/>
        </w:rPr>
        <w:t>;91:885</w:t>
      </w:r>
      <w:proofErr w:type="gramEnd"/>
      <w:r w:rsidRPr="0038420B">
        <w:rPr>
          <w:rFonts w:cs="FrutigerLTPro-LightCn"/>
          <w:color w:val="000000"/>
          <w:sz w:val="20"/>
          <w:szCs w:val="20"/>
          <w:lang w:val="en-GB"/>
        </w:rPr>
        <w:t>–91.</w:t>
      </w:r>
    </w:p>
    <w:p w:rsidR="005C0CD3" w:rsidRPr="0038420B" w:rsidRDefault="005C0CD3" w:rsidP="0038420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480" w:lineRule="auto"/>
        <w:rPr>
          <w:rFonts w:cs="FrutigerLTPro-LightCn"/>
          <w:color w:val="000000"/>
          <w:sz w:val="20"/>
          <w:szCs w:val="20"/>
          <w:lang w:val="en-GB"/>
        </w:rPr>
      </w:pPr>
      <w:r w:rsidRPr="0038420B">
        <w:rPr>
          <w:rFonts w:cs="FrutigerLTPro-LightCn"/>
          <w:color w:val="000000"/>
          <w:sz w:val="20"/>
          <w:szCs w:val="20"/>
          <w:lang w:val="en-GB"/>
        </w:rPr>
        <w:t xml:space="preserve">Mower WR, Hoffman JR, Herbert M, </w:t>
      </w:r>
      <w:r w:rsidRPr="0038420B">
        <w:rPr>
          <w:rFonts w:cs="FrutigerLTPro-LightCnIta"/>
          <w:color w:val="000000"/>
          <w:sz w:val="20"/>
          <w:szCs w:val="20"/>
          <w:lang w:val="en-GB"/>
        </w:rPr>
        <w:t>et al</w:t>
      </w:r>
      <w:r w:rsidRPr="0038420B">
        <w:rPr>
          <w:rFonts w:cs="FrutigerLTPro-LightCn"/>
          <w:color w:val="000000"/>
          <w:sz w:val="20"/>
          <w:szCs w:val="20"/>
          <w:lang w:val="en-GB"/>
        </w:rPr>
        <w:t xml:space="preserve">. </w:t>
      </w:r>
      <w:proofErr w:type="gramStart"/>
      <w:r w:rsidRPr="0038420B">
        <w:rPr>
          <w:rFonts w:cs="FrutigerLTPro-LightCn"/>
          <w:color w:val="000000"/>
          <w:sz w:val="20"/>
          <w:szCs w:val="20"/>
          <w:lang w:val="en-GB"/>
        </w:rPr>
        <w:t>Dev</w:t>
      </w:r>
      <w:r w:rsidR="0038420B" w:rsidRPr="0038420B">
        <w:rPr>
          <w:rFonts w:cs="FrutigerLTPro-LightCn"/>
          <w:color w:val="000000"/>
          <w:sz w:val="20"/>
          <w:szCs w:val="20"/>
          <w:lang w:val="en-GB"/>
        </w:rPr>
        <w:t>eloping</w:t>
      </w:r>
      <w:proofErr w:type="gramEnd"/>
      <w:r w:rsidR="0038420B" w:rsidRPr="0038420B">
        <w:rPr>
          <w:rFonts w:cs="FrutigerLTPro-LightCn"/>
          <w:color w:val="000000"/>
          <w:sz w:val="20"/>
          <w:szCs w:val="20"/>
          <w:lang w:val="en-GB"/>
        </w:rPr>
        <w:t xml:space="preserve"> a decision instrument to </w:t>
      </w:r>
      <w:r w:rsidRPr="0038420B">
        <w:rPr>
          <w:rFonts w:cs="FrutigerLTPro-LightCn"/>
          <w:color w:val="000000"/>
          <w:sz w:val="20"/>
          <w:szCs w:val="20"/>
          <w:lang w:val="en-GB"/>
        </w:rPr>
        <w:t xml:space="preserve">guide computed tomographic imaging of blunt head injury patients. </w:t>
      </w:r>
      <w:r w:rsidRPr="0038420B">
        <w:rPr>
          <w:rFonts w:cs="FrutigerLTPro-LightCnIta"/>
          <w:color w:val="0000FF"/>
          <w:sz w:val="20"/>
          <w:szCs w:val="20"/>
          <w:lang w:val="en-GB"/>
        </w:rPr>
        <w:t>J Trauma</w:t>
      </w:r>
      <w:r w:rsidR="0038420B" w:rsidRPr="0038420B">
        <w:rPr>
          <w:rFonts w:cs="FrutigerLTPro-LightCnIta"/>
          <w:color w:val="0000FF"/>
          <w:sz w:val="20"/>
          <w:szCs w:val="20"/>
          <w:lang w:val="en-GB"/>
        </w:rPr>
        <w:t xml:space="preserve"> </w:t>
      </w:r>
      <w:r w:rsidRPr="0038420B">
        <w:rPr>
          <w:rFonts w:cs="FrutigerLTPro-LightCn"/>
          <w:color w:val="000000"/>
          <w:sz w:val="20"/>
          <w:szCs w:val="20"/>
          <w:lang w:val="en-GB"/>
        </w:rPr>
        <w:t>2005</w:t>
      </w:r>
      <w:proofErr w:type="gramStart"/>
      <w:r w:rsidRPr="0038420B">
        <w:rPr>
          <w:rFonts w:cs="FrutigerLTPro-LightCn"/>
          <w:color w:val="000000"/>
          <w:sz w:val="20"/>
          <w:szCs w:val="20"/>
          <w:lang w:val="en-GB"/>
        </w:rPr>
        <w:t>;59:954</w:t>
      </w:r>
      <w:proofErr w:type="gramEnd"/>
      <w:r w:rsidRPr="0038420B">
        <w:rPr>
          <w:rFonts w:cs="FrutigerLTPro-LightCn"/>
          <w:color w:val="000000"/>
          <w:sz w:val="20"/>
          <w:szCs w:val="20"/>
          <w:lang w:val="en-GB"/>
        </w:rPr>
        <w:t>–9.</w:t>
      </w:r>
    </w:p>
    <w:p w:rsidR="005C0CD3" w:rsidRPr="0038420B" w:rsidRDefault="005C0CD3" w:rsidP="0038420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480" w:lineRule="auto"/>
        <w:rPr>
          <w:rFonts w:cs="FrutigerLTPro-LightCn"/>
          <w:color w:val="000000"/>
          <w:sz w:val="20"/>
          <w:szCs w:val="20"/>
          <w:lang w:val="en-GB"/>
        </w:rPr>
      </w:pPr>
      <w:r w:rsidRPr="0038420B">
        <w:rPr>
          <w:rFonts w:cs="FrutigerLTPro-LightCn"/>
          <w:color w:val="000000"/>
          <w:sz w:val="20"/>
          <w:szCs w:val="20"/>
          <w:lang w:val="en-GB"/>
        </w:rPr>
        <w:t xml:space="preserve">Oman JA, Cooper RJ, Holmes JF, </w:t>
      </w:r>
      <w:r w:rsidRPr="0038420B">
        <w:rPr>
          <w:rFonts w:cs="FrutigerLTPro-LightCnIta"/>
          <w:color w:val="000000"/>
          <w:sz w:val="20"/>
          <w:szCs w:val="20"/>
          <w:lang w:val="en-GB"/>
        </w:rPr>
        <w:t>et al</w:t>
      </w:r>
      <w:r w:rsidRPr="0038420B">
        <w:rPr>
          <w:rFonts w:cs="FrutigerLTPro-LightCn"/>
          <w:color w:val="000000"/>
          <w:sz w:val="20"/>
          <w:szCs w:val="20"/>
          <w:lang w:val="en-GB"/>
        </w:rPr>
        <w:t>. Performance of a decision rule to predict</w:t>
      </w:r>
      <w:r w:rsidR="0038420B" w:rsidRPr="0038420B">
        <w:rPr>
          <w:rFonts w:cs="FrutigerLTPro-LightCn"/>
          <w:color w:val="000000"/>
          <w:sz w:val="20"/>
          <w:szCs w:val="20"/>
          <w:lang w:val="en-GB"/>
        </w:rPr>
        <w:t xml:space="preserve"> </w:t>
      </w:r>
      <w:r w:rsidRPr="0038420B">
        <w:rPr>
          <w:rFonts w:cs="FrutigerLTPro-LightCn"/>
          <w:color w:val="000000"/>
          <w:sz w:val="20"/>
          <w:szCs w:val="20"/>
          <w:lang w:val="en-GB"/>
        </w:rPr>
        <w:t xml:space="preserve">need for computed tomography among children with blunt head trauma. </w:t>
      </w:r>
      <w:proofErr w:type="spellStart"/>
      <w:r w:rsidRPr="0038420B">
        <w:rPr>
          <w:rFonts w:cs="FrutigerLTPro-LightCnIta"/>
          <w:color w:val="0000FF"/>
          <w:sz w:val="20"/>
          <w:szCs w:val="20"/>
          <w:lang w:val="en-GB"/>
        </w:rPr>
        <w:t>Pediatrics</w:t>
      </w:r>
      <w:proofErr w:type="spellEnd"/>
      <w:r w:rsidR="0038420B" w:rsidRPr="0038420B">
        <w:rPr>
          <w:rFonts w:cs="FrutigerLTPro-LightCnIta"/>
          <w:color w:val="0000FF"/>
          <w:sz w:val="20"/>
          <w:szCs w:val="20"/>
          <w:lang w:val="en-GB"/>
        </w:rPr>
        <w:t xml:space="preserve"> </w:t>
      </w:r>
      <w:r w:rsidRPr="0038420B">
        <w:rPr>
          <w:rFonts w:cs="FrutigerLTPro-LightCn"/>
          <w:color w:val="000000"/>
          <w:sz w:val="20"/>
          <w:szCs w:val="20"/>
          <w:lang w:val="en-GB"/>
        </w:rPr>
        <w:t>2006</w:t>
      </w:r>
      <w:proofErr w:type="gramStart"/>
      <w:r w:rsidRPr="0038420B">
        <w:rPr>
          <w:rFonts w:cs="FrutigerLTPro-LightCn"/>
          <w:color w:val="000000"/>
          <w:sz w:val="20"/>
          <w:szCs w:val="20"/>
          <w:lang w:val="en-GB"/>
        </w:rPr>
        <w:t>;117:e238</w:t>
      </w:r>
      <w:proofErr w:type="gramEnd"/>
      <w:r w:rsidRPr="0038420B">
        <w:rPr>
          <w:rFonts w:cs="FrutigerLTPro-LightCn"/>
          <w:color w:val="000000"/>
          <w:sz w:val="20"/>
          <w:szCs w:val="20"/>
          <w:lang w:val="en-GB"/>
        </w:rPr>
        <w:t>–e246.</w:t>
      </w:r>
    </w:p>
    <w:p w:rsidR="005C0CD3" w:rsidRPr="0038420B" w:rsidRDefault="005C0CD3" w:rsidP="0038420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480" w:lineRule="auto"/>
        <w:rPr>
          <w:rFonts w:cs="FrutigerLTPro-LightCn"/>
          <w:color w:val="000000"/>
          <w:sz w:val="20"/>
          <w:szCs w:val="20"/>
          <w:lang w:val="en-GB"/>
        </w:rPr>
      </w:pPr>
      <w:proofErr w:type="spellStart"/>
      <w:r w:rsidRPr="0038420B">
        <w:rPr>
          <w:rFonts w:cs="FrutigerLTPro-LightCn"/>
          <w:color w:val="000000"/>
          <w:sz w:val="20"/>
          <w:szCs w:val="20"/>
          <w:lang w:val="en-GB"/>
        </w:rPr>
        <w:t>Babl</w:t>
      </w:r>
      <w:proofErr w:type="spellEnd"/>
      <w:r w:rsidRPr="0038420B">
        <w:rPr>
          <w:rFonts w:cs="FrutigerLTPro-LightCn"/>
          <w:color w:val="000000"/>
          <w:sz w:val="20"/>
          <w:szCs w:val="20"/>
          <w:lang w:val="en-GB"/>
        </w:rPr>
        <w:t xml:space="preserve"> FE, Borland ML, Phillips N, </w:t>
      </w:r>
      <w:r w:rsidRPr="0038420B">
        <w:rPr>
          <w:rFonts w:cs="FrutigerLTPro-LightCnIta"/>
          <w:color w:val="000000"/>
          <w:sz w:val="20"/>
          <w:szCs w:val="20"/>
          <w:lang w:val="en-GB"/>
        </w:rPr>
        <w:t>et al</w:t>
      </w:r>
      <w:r w:rsidRPr="0038420B">
        <w:rPr>
          <w:rFonts w:cs="FrutigerLTPro-LightCn"/>
          <w:color w:val="000000"/>
          <w:sz w:val="20"/>
          <w:szCs w:val="20"/>
          <w:lang w:val="en-GB"/>
        </w:rPr>
        <w:t>. Accuracy of PECARN, CATCH, and CHALICE</w:t>
      </w:r>
      <w:r w:rsidR="0038420B" w:rsidRPr="0038420B">
        <w:rPr>
          <w:rFonts w:cs="FrutigerLTPro-LightCn"/>
          <w:color w:val="000000"/>
          <w:sz w:val="20"/>
          <w:szCs w:val="20"/>
          <w:lang w:val="en-GB"/>
        </w:rPr>
        <w:t xml:space="preserve"> </w:t>
      </w:r>
      <w:r w:rsidRPr="0038420B">
        <w:rPr>
          <w:rFonts w:cs="FrutigerLTPro-LightCn"/>
          <w:color w:val="000000"/>
          <w:sz w:val="20"/>
          <w:szCs w:val="20"/>
          <w:lang w:val="en-GB"/>
        </w:rPr>
        <w:t xml:space="preserve">head injury decision rules in children: a prospective cohort study. </w:t>
      </w:r>
      <w:r w:rsidRPr="0038420B">
        <w:rPr>
          <w:rFonts w:cs="FrutigerLTPro-LightCnIta"/>
          <w:color w:val="0000FF"/>
          <w:sz w:val="20"/>
          <w:szCs w:val="20"/>
          <w:lang w:val="en-GB"/>
        </w:rPr>
        <w:t>Lancet</w:t>
      </w:r>
      <w:r w:rsidR="0038420B" w:rsidRPr="0038420B">
        <w:rPr>
          <w:rFonts w:cs="FrutigerLTPro-LightCnIta"/>
          <w:color w:val="0000FF"/>
          <w:sz w:val="20"/>
          <w:szCs w:val="20"/>
          <w:lang w:val="en-GB"/>
        </w:rPr>
        <w:t xml:space="preserve"> </w:t>
      </w:r>
      <w:r w:rsidRPr="0038420B">
        <w:rPr>
          <w:rFonts w:cs="FrutigerLTPro-LightCn"/>
          <w:color w:val="000000"/>
          <w:sz w:val="20"/>
          <w:szCs w:val="20"/>
          <w:lang w:val="en-GB"/>
        </w:rPr>
        <w:t>2017</w:t>
      </w:r>
      <w:proofErr w:type="gramStart"/>
      <w:r w:rsidRPr="0038420B">
        <w:rPr>
          <w:rFonts w:cs="FrutigerLTPro-LightCn"/>
          <w:color w:val="000000"/>
          <w:sz w:val="20"/>
          <w:szCs w:val="20"/>
          <w:lang w:val="en-GB"/>
        </w:rPr>
        <w:t>;389:2393</w:t>
      </w:r>
      <w:proofErr w:type="gramEnd"/>
      <w:r w:rsidRPr="0038420B">
        <w:rPr>
          <w:rFonts w:cs="FrutigerLTPro-LightCn"/>
          <w:color w:val="000000"/>
          <w:sz w:val="20"/>
          <w:szCs w:val="20"/>
          <w:lang w:val="en-GB"/>
        </w:rPr>
        <w:t>–402.</w:t>
      </w:r>
    </w:p>
    <w:p w:rsidR="005C0CD3" w:rsidRPr="0038420B" w:rsidRDefault="005C0CD3" w:rsidP="0038420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480" w:lineRule="auto"/>
        <w:rPr>
          <w:rFonts w:cs="FrutigerLTPro-LightCn"/>
          <w:color w:val="000000"/>
          <w:sz w:val="20"/>
          <w:szCs w:val="20"/>
          <w:lang w:val="en-GB"/>
        </w:rPr>
      </w:pPr>
      <w:proofErr w:type="spellStart"/>
      <w:r w:rsidRPr="0038420B">
        <w:rPr>
          <w:rFonts w:cs="FrutigerLTPro-LightCn"/>
          <w:color w:val="000000"/>
          <w:sz w:val="20"/>
          <w:szCs w:val="20"/>
          <w:lang w:val="en-GB"/>
        </w:rPr>
        <w:t>Babl</w:t>
      </w:r>
      <w:proofErr w:type="spellEnd"/>
      <w:r w:rsidRPr="0038420B">
        <w:rPr>
          <w:rFonts w:cs="FrutigerLTPro-LightCn"/>
          <w:color w:val="000000"/>
          <w:sz w:val="20"/>
          <w:szCs w:val="20"/>
          <w:lang w:val="en-GB"/>
        </w:rPr>
        <w:t xml:space="preserve"> FE, Lyttle MD, </w:t>
      </w:r>
      <w:proofErr w:type="spellStart"/>
      <w:r w:rsidRPr="0038420B">
        <w:rPr>
          <w:rFonts w:cs="FrutigerLTPro-LightCn"/>
          <w:color w:val="000000"/>
          <w:sz w:val="20"/>
          <w:szCs w:val="20"/>
          <w:lang w:val="en-GB"/>
        </w:rPr>
        <w:t>Bressan</w:t>
      </w:r>
      <w:proofErr w:type="spellEnd"/>
      <w:r w:rsidRPr="0038420B">
        <w:rPr>
          <w:rFonts w:cs="FrutigerLTPro-LightCn"/>
          <w:color w:val="000000"/>
          <w:sz w:val="20"/>
          <w:szCs w:val="20"/>
          <w:lang w:val="en-GB"/>
        </w:rPr>
        <w:t xml:space="preserve"> S, </w:t>
      </w:r>
      <w:r w:rsidRPr="0038420B">
        <w:rPr>
          <w:rFonts w:cs="FrutigerLTPro-LightCnIta"/>
          <w:color w:val="000000"/>
          <w:sz w:val="20"/>
          <w:szCs w:val="20"/>
          <w:lang w:val="en-GB"/>
        </w:rPr>
        <w:t>et al</w:t>
      </w:r>
      <w:r w:rsidRPr="0038420B">
        <w:rPr>
          <w:rFonts w:cs="FrutigerLTPro-LightCn"/>
          <w:color w:val="000000"/>
          <w:sz w:val="20"/>
          <w:szCs w:val="20"/>
          <w:lang w:val="en-GB"/>
        </w:rPr>
        <w:t>. A prospective observational study to assess the</w:t>
      </w:r>
      <w:r w:rsidR="0038420B" w:rsidRPr="0038420B">
        <w:rPr>
          <w:rFonts w:cs="FrutigerLTPro-LightCn"/>
          <w:color w:val="000000"/>
          <w:sz w:val="20"/>
          <w:szCs w:val="20"/>
          <w:lang w:val="en-GB"/>
        </w:rPr>
        <w:t xml:space="preserve"> </w:t>
      </w:r>
      <w:r w:rsidRPr="0038420B">
        <w:rPr>
          <w:rFonts w:cs="FrutigerLTPro-LightCn"/>
          <w:color w:val="000000"/>
          <w:sz w:val="20"/>
          <w:szCs w:val="20"/>
          <w:lang w:val="en-GB"/>
        </w:rPr>
        <w:t>diagnostic accuracy of clinical decision rules for children presenting to emergency</w:t>
      </w:r>
      <w:r w:rsidR="0038420B" w:rsidRPr="0038420B">
        <w:rPr>
          <w:rFonts w:cs="FrutigerLTPro-LightCn"/>
          <w:color w:val="000000"/>
          <w:sz w:val="20"/>
          <w:szCs w:val="20"/>
          <w:lang w:val="en-GB"/>
        </w:rPr>
        <w:t xml:space="preserve"> </w:t>
      </w:r>
      <w:r w:rsidRPr="0038420B">
        <w:rPr>
          <w:rFonts w:cs="FrutigerLTPro-LightCn"/>
          <w:color w:val="000000"/>
          <w:sz w:val="20"/>
          <w:szCs w:val="20"/>
          <w:lang w:val="en-GB"/>
        </w:rPr>
        <w:t xml:space="preserve">departments after head injuries (protocol): the </w:t>
      </w:r>
      <w:r w:rsidR="0038420B" w:rsidRPr="0038420B">
        <w:rPr>
          <w:rFonts w:cs="FrutigerLTPro-LightCn"/>
          <w:color w:val="000000"/>
          <w:sz w:val="20"/>
          <w:szCs w:val="20"/>
          <w:lang w:val="en-GB"/>
        </w:rPr>
        <w:t>Au</w:t>
      </w:r>
      <w:r w:rsidRPr="0038420B">
        <w:rPr>
          <w:rFonts w:cs="FrutigerLTPro-LightCn"/>
          <w:color w:val="000000"/>
          <w:sz w:val="20"/>
          <w:szCs w:val="20"/>
          <w:lang w:val="en-GB"/>
        </w:rPr>
        <w:t>stralasian Paediatric Head Injury</w:t>
      </w:r>
      <w:r w:rsidR="0038420B" w:rsidRPr="0038420B">
        <w:rPr>
          <w:rFonts w:cs="FrutigerLTPro-LightCn"/>
          <w:color w:val="000000"/>
          <w:sz w:val="20"/>
          <w:szCs w:val="20"/>
          <w:lang w:val="en-GB"/>
        </w:rPr>
        <w:t xml:space="preserve"> </w:t>
      </w:r>
      <w:r w:rsidRPr="0038420B">
        <w:rPr>
          <w:rFonts w:cs="FrutigerLTPro-LightCn"/>
          <w:color w:val="000000"/>
          <w:sz w:val="20"/>
          <w:szCs w:val="20"/>
          <w:lang w:val="en-GB"/>
        </w:rPr>
        <w:t xml:space="preserve">Rules Study (APHIRST). </w:t>
      </w:r>
      <w:r w:rsidRPr="0038420B">
        <w:rPr>
          <w:rFonts w:cs="FrutigerLTPro-LightCnIta"/>
          <w:color w:val="0000FF"/>
          <w:sz w:val="20"/>
          <w:szCs w:val="20"/>
          <w:lang w:val="en-GB"/>
        </w:rPr>
        <w:t xml:space="preserve">BMC </w:t>
      </w:r>
      <w:proofErr w:type="spellStart"/>
      <w:r w:rsidRPr="0038420B">
        <w:rPr>
          <w:rFonts w:cs="FrutigerLTPro-LightCnIta"/>
          <w:color w:val="0000FF"/>
          <w:sz w:val="20"/>
          <w:szCs w:val="20"/>
          <w:lang w:val="en-GB"/>
        </w:rPr>
        <w:t>Pediatr</w:t>
      </w:r>
      <w:proofErr w:type="spellEnd"/>
      <w:r w:rsidRPr="0038420B">
        <w:rPr>
          <w:rFonts w:cs="FrutigerLTPro-LightCnIta"/>
          <w:color w:val="0000FF"/>
          <w:sz w:val="20"/>
          <w:szCs w:val="20"/>
          <w:lang w:val="en-GB"/>
        </w:rPr>
        <w:t xml:space="preserve"> </w:t>
      </w:r>
      <w:r w:rsidRPr="0038420B">
        <w:rPr>
          <w:rFonts w:cs="FrutigerLTPro-LightCn"/>
          <w:color w:val="000000"/>
          <w:sz w:val="20"/>
          <w:szCs w:val="20"/>
          <w:lang w:val="en-GB"/>
        </w:rPr>
        <w:t>2014</w:t>
      </w:r>
      <w:proofErr w:type="gramStart"/>
      <w:r w:rsidRPr="0038420B">
        <w:rPr>
          <w:rFonts w:cs="FrutigerLTPro-LightCn"/>
          <w:color w:val="000000"/>
          <w:sz w:val="20"/>
          <w:szCs w:val="20"/>
          <w:lang w:val="en-GB"/>
        </w:rPr>
        <w:t>;14:148</w:t>
      </w:r>
      <w:proofErr w:type="gramEnd"/>
      <w:r w:rsidRPr="0038420B">
        <w:rPr>
          <w:rFonts w:cs="FrutigerLTPro-LightCn"/>
          <w:color w:val="000000"/>
          <w:sz w:val="20"/>
          <w:szCs w:val="20"/>
          <w:lang w:val="en-GB"/>
        </w:rPr>
        <w:t>.</w:t>
      </w:r>
    </w:p>
    <w:p w:rsidR="005C0CD3" w:rsidRPr="0038420B" w:rsidRDefault="005C0CD3" w:rsidP="0038420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480" w:lineRule="auto"/>
        <w:rPr>
          <w:rFonts w:cs="FrutigerLTPro-LightCn"/>
          <w:color w:val="000000"/>
          <w:sz w:val="20"/>
          <w:szCs w:val="20"/>
          <w:lang w:val="en-GB"/>
        </w:rPr>
      </w:pPr>
      <w:proofErr w:type="spellStart"/>
      <w:r w:rsidRPr="0038420B">
        <w:rPr>
          <w:rFonts w:cs="FrutigerLTPro-LightCn"/>
          <w:color w:val="000000"/>
          <w:sz w:val="20"/>
          <w:szCs w:val="20"/>
          <w:lang w:val="en-GB"/>
        </w:rPr>
        <w:t>Bossuyt</w:t>
      </w:r>
      <w:proofErr w:type="spellEnd"/>
      <w:r w:rsidRPr="0038420B">
        <w:rPr>
          <w:rFonts w:cs="FrutigerLTPro-LightCn"/>
          <w:color w:val="000000"/>
          <w:sz w:val="20"/>
          <w:szCs w:val="20"/>
          <w:lang w:val="en-GB"/>
        </w:rPr>
        <w:t xml:space="preserve"> PM, </w:t>
      </w:r>
      <w:proofErr w:type="spellStart"/>
      <w:r w:rsidRPr="0038420B">
        <w:rPr>
          <w:rFonts w:cs="FrutigerLTPro-LightCn"/>
          <w:color w:val="000000"/>
          <w:sz w:val="20"/>
          <w:szCs w:val="20"/>
          <w:lang w:val="en-GB"/>
        </w:rPr>
        <w:t>Reitsma</w:t>
      </w:r>
      <w:proofErr w:type="spellEnd"/>
      <w:r w:rsidRPr="0038420B">
        <w:rPr>
          <w:rFonts w:cs="FrutigerLTPro-LightCn"/>
          <w:color w:val="000000"/>
          <w:sz w:val="20"/>
          <w:szCs w:val="20"/>
          <w:lang w:val="en-GB"/>
        </w:rPr>
        <w:t xml:space="preserve"> JB, </w:t>
      </w:r>
      <w:proofErr w:type="spellStart"/>
      <w:r w:rsidRPr="0038420B">
        <w:rPr>
          <w:rFonts w:cs="FrutigerLTPro-LightCn"/>
          <w:color w:val="000000"/>
          <w:sz w:val="20"/>
          <w:szCs w:val="20"/>
          <w:lang w:val="en-GB"/>
        </w:rPr>
        <w:t>Bruns</w:t>
      </w:r>
      <w:proofErr w:type="spellEnd"/>
      <w:r w:rsidRPr="0038420B">
        <w:rPr>
          <w:rFonts w:cs="FrutigerLTPro-LightCn"/>
          <w:color w:val="000000"/>
          <w:sz w:val="20"/>
          <w:szCs w:val="20"/>
          <w:lang w:val="en-GB"/>
        </w:rPr>
        <w:t xml:space="preserve"> DE, </w:t>
      </w:r>
      <w:r w:rsidRPr="0038420B">
        <w:rPr>
          <w:rFonts w:cs="FrutigerLTPro-LightCnIta"/>
          <w:color w:val="000000"/>
          <w:sz w:val="20"/>
          <w:szCs w:val="20"/>
          <w:lang w:val="en-GB"/>
        </w:rPr>
        <w:t>et al</w:t>
      </w:r>
      <w:r w:rsidRPr="0038420B">
        <w:rPr>
          <w:rFonts w:cs="FrutigerLTPro-LightCn"/>
          <w:color w:val="000000"/>
          <w:sz w:val="20"/>
          <w:szCs w:val="20"/>
          <w:lang w:val="en-GB"/>
        </w:rPr>
        <w:t>. Toward complete and accurate reporting of</w:t>
      </w:r>
      <w:r w:rsidR="0038420B" w:rsidRPr="0038420B">
        <w:rPr>
          <w:rFonts w:cs="FrutigerLTPro-LightCn"/>
          <w:color w:val="000000"/>
          <w:sz w:val="20"/>
          <w:szCs w:val="20"/>
          <w:lang w:val="en-GB"/>
        </w:rPr>
        <w:t xml:space="preserve"> </w:t>
      </w:r>
      <w:r w:rsidRPr="0038420B">
        <w:rPr>
          <w:rFonts w:cs="FrutigerLTPro-LightCn"/>
          <w:color w:val="000000"/>
          <w:sz w:val="20"/>
          <w:szCs w:val="20"/>
          <w:lang w:val="en-GB"/>
        </w:rPr>
        <w:t xml:space="preserve">studies of diagnostic accuracy: the STARD initiative. </w:t>
      </w:r>
      <w:proofErr w:type="spellStart"/>
      <w:r w:rsidRPr="0038420B">
        <w:rPr>
          <w:rFonts w:cs="FrutigerLTPro-LightCnIta"/>
          <w:color w:val="0000FF"/>
          <w:sz w:val="20"/>
          <w:szCs w:val="20"/>
          <w:lang w:val="en-GB"/>
        </w:rPr>
        <w:t>Acad</w:t>
      </w:r>
      <w:proofErr w:type="spellEnd"/>
      <w:r w:rsidRPr="0038420B">
        <w:rPr>
          <w:rFonts w:cs="FrutigerLTPro-LightCnIta"/>
          <w:color w:val="0000FF"/>
          <w:sz w:val="20"/>
          <w:szCs w:val="20"/>
          <w:lang w:val="en-GB"/>
        </w:rPr>
        <w:t xml:space="preserve"> </w:t>
      </w:r>
      <w:proofErr w:type="spellStart"/>
      <w:r w:rsidRPr="0038420B">
        <w:rPr>
          <w:rFonts w:cs="FrutigerLTPro-LightCnIta"/>
          <w:color w:val="0000FF"/>
          <w:sz w:val="20"/>
          <w:szCs w:val="20"/>
          <w:lang w:val="en-GB"/>
        </w:rPr>
        <w:t>Radiol</w:t>
      </w:r>
      <w:proofErr w:type="spellEnd"/>
      <w:r w:rsidRPr="0038420B">
        <w:rPr>
          <w:rFonts w:cs="FrutigerLTPro-LightCnIta"/>
          <w:color w:val="0000FF"/>
          <w:sz w:val="20"/>
          <w:szCs w:val="20"/>
          <w:lang w:val="en-GB"/>
        </w:rPr>
        <w:t xml:space="preserve"> </w:t>
      </w:r>
      <w:r w:rsidRPr="0038420B">
        <w:rPr>
          <w:rFonts w:cs="FrutigerLTPro-LightCn"/>
          <w:color w:val="000000"/>
          <w:sz w:val="20"/>
          <w:szCs w:val="20"/>
          <w:lang w:val="en-GB"/>
        </w:rPr>
        <w:t>2003</w:t>
      </w:r>
      <w:proofErr w:type="gramStart"/>
      <w:r w:rsidRPr="0038420B">
        <w:rPr>
          <w:rFonts w:cs="FrutigerLTPro-LightCn"/>
          <w:color w:val="000000"/>
          <w:sz w:val="20"/>
          <w:szCs w:val="20"/>
          <w:lang w:val="en-GB"/>
        </w:rPr>
        <w:t>;10:664</w:t>
      </w:r>
      <w:proofErr w:type="gramEnd"/>
      <w:r w:rsidRPr="0038420B">
        <w:rPr>
          <w:rFonts w:cs="FrutigerLTPro-LightCn"/>
          <w:color w:val="000000"/>
          <w:sz w:val="20"/>
          <w:szCs w:val="20"/>
          <w:lang w:val="en-GB"/>
        </w:rPr>
        <w:t>–9.</w:t>
      </w:r>
    </w:p>
    <w:p w:rsidR="005C0CD3" w:rsidRPr="0038420B" w:rsidRDefault="005C0CD3" w:rsidP="0038420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480" w:lineRule="auto"/>
        <w:rPr>
          <w:rFonts w:cs="FrutigerLTPro-LightCn"/>
          <w:color w:val="000000"/>
          <w:sz w:val="20"/>
          <w:szCs w:val="20"/>
          <w:lang w:val="en-GB"/>
        </w:rPr>
      </w:pPr>
      <w:proofErr w:type="spellStart"/>
      <w:r w:rsidRPr="0038420B">
        <w:rPr>
          <w:rFonts w:cs="FrutigerLTPro-LightCn"/>
          <w:color w:val="000000"/>
          <w:sz w:val="20"/>
          <w:szCs w:val="20"/>
          <w:lang w:val="en-GB"/>
        </w:rPr>
        <w:lastRenderedPageBreak/>
        <w:t>Atzema</w:t>
      </w:r>
      <w:proofErr w:type="spellEnd"/>
      <w:r w:rsidRPr="0038420B">
        <w:rPr>
          <w:rFonts w:cs="FrutigerLTPro-LightCn"/>
          <w:color w:val="000000"/>
          <w:sz w:val="20"/>
          <w:szCs w:val="20"/>
          <w:lang w:val="en-GB"/>
        </w:rPr>
        <w:t xml:space="preserve"> C, Mower WR, Hoffman JR, </w:t>
      </w:r>
      <w:r w:rsidRPr="0038420B">
        <w:rPr>
          <w:rFonts w:cs="FrutigerLTPro-LightCnIta"/>
          <w:color w:val="000000"/>
          <w:sz w:val="20"/>
          <w:szCs w:val="20"/>
          <w:lang w:val="en-GB"/>
        </w:rPr>
        <w:t>et al</w:t>
      </w:r>
      <w:r w:rsidRPr="0038420B">
        <w:rPr>
          <w:rFonts w:cs="FrutigerLTPro-LightCn"/>
          <w:color w:val="000000"/>
          <w:sz w:val="20"/>
          <w:szCs w:val="20"/>
          <w:lang w:val="en-GB"/>
        </w:rPr>
        <w:t xml:space="preserve">. </w:t>
      </w:r>
      <w:proofErr w:type="gramStart"/>
      <w:r w:rsidRPr="0038420B">
        <w:rPr>
          <w:rFonts w:cs="FrutigerLTPro-LightCn"/>
          <w:color w:val="000000"/>
          <w:sz w:val="20"/>
          <w:szCs w:val="20"/>
          <w:lang w:val="en-GB"/>
        </w:rPr>
        <w:t>Defining</w:t>
      </w:r>
      <w:proofErr w:type="gramEnd"/>
      <w:r w:rsidRPr="0038420B">
        <w:rPr>
          <w:rFonts w:cs="FrutigerLTPro-LightCn"/>
          <w:color w:val="000000"/>
          <w:sz w:val="20"/>
          <w:szCs w:val="20"/>
          <w:lang w:val="en-GB"/>
        </w:rPr>
        <w:t xml:space="preserve"> "therapeutically inconsequential"</w:t>
      </w:r>
      <w:r w:rsidR="0038420B" w:rsidRPr="0038420B">
        <w:rPr>
          <w:rFonts w:cs="FrutigerLTPro-LightCn"/>
          <w:color w:val="000000"/>
          <w:sz w:val="20"/>
          <w:szCs w:val="20"/>
          <w:lang w:val="en-GB"/>
        </w:rPr>
        <w:t xml:space="preserve"> </w:t>
      </w:r>
      <w:r w:rsidRPr="0038420B">
        <w:rPr>
          <w:rFonts w:cs="FrutigerLTPro-LightCn"/>
          <w:color w:val="000000"/>
          <w:sz w:val="20"/>
          <w:szCs w:val="20"/>
          <w:lang w:val="en-GB"/>
        </w:rPr>
        <w:t xml:space="preserve">head computed tomographic findings in patients with blunt head trauma. </w:t>
      </w:r>
      <w:r w:rsidRPr="0038420B">
        <w:rPr>
          <w:rFonts w:cs="FrutigerLTPro-LightCnIta"/>
          <w:color w:val="0000FF"/>
          <w:sz w:val="20"/>
          <w:szCs w:val="20"/>
          <w:lang w:val="en-GB"/>
        </w:rPr>
        <w:t xml:space="preserve">Ann </w:t>
      </w:r>
      <w:proofErr w:type="spellStart"/>
      <w:r w:rsidRPr="0038420B">
        <w:rPr>
          <w:rFonts w:cs="FrutigerLTPro-LightCnIta"/>
          <w:color w:val="0000FF"/>
          <w:sz w:val="20"/>
          <w:szCs w:val="20"/>
          <w:lang w:val="en-GB"/>
        </w:rPr>
        <w:t>Emerg</w:t>
      </w:r>
      <w:proofErr w:type="spellEnd"/>
      <w:r w:rsidR="0038420B" w:rsidRPr="0038420B">
        <w:rPr>
          <w:rFonts w:cs="FrutigerLTPro-LightCnIta"/>
          <w:color w:val="0000FF"/>
          <w:sz w:val="20"/>
          <w:szCs w:val="20"/>
          <w:lang w:val="en-GB"/>
        </w:rPr>
        <w:t xml:space="preserve"> </w:t>
      </w:r>
      <w:r w:rsidRPr="0038420B">
        <w:rPr>
          <w:rFonts w:cs="FrutigerLTPro-LightCnIta"/>
          <w:color w:val="0000FF"/>
          <w:sz w:val="20"/>
          <w:szCs w:val="20"/>
          <w:lang w:val="en-GB"/>
        </w:rPr>
        <w:t xml:space="preserve">Med </w:t>
      </w:r>
      <w:r w:rsidRPr="0038420B">
        <w:rPr>
          <w:rFonts w:cs="FrutigerLTPro-LightCn"/>
          <w:color w:val="000000"/>
          <w:sz w:val="20"/>
          <w:szCs w:val="20"/>
          <w:lang w:val="en-GB"/>
        </w:rPr>
        <w:t>2004</w:t>
      </w:r>
      <w:proofErr w:type="gramStart"/>
      <w:r w:rsidRPr="0038420B">
        <w:rPr>
          <w:rFonts w:cs="FrutigerLTPro-LightCn"/>
          <w:color w:val="000000"/>
          <w:sz w:val="20"/>
          <w:szCs w:val="20"/>
          <w:lang w:val="en-GB"/>
        </w:rPr>
        <w:t>;44:47</w:t>
      </w:r>
      <w:proofErr w:type="gramEnd"/>
      <w:r w:rsidRPr="0038420B">
        <w:rPr>
          <w:rFonts w:cs="FrutigerLTPro-LightCn"/>
          <w:color w:val="000000"/>
          <w:sz w:val="20"/>
          <w:szCs w:val="20"/>
          <w:lang w:val="en-GB"/>
        </w:rPr>
        <w:t>–56.</w:t>
      </w:r>
    </w:p>
    <w:p w:rsidR="005C0CD3" w:rsidRPr="0038420B" w:rsidRDefault="005C0CD3" w:rsidP="0038420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480" w:lineRule="auto"/>
        <w:rPr>
          <w:rFonts w:cs="FrutigerLTPro-LightCn"/>
          <w:color w:val="000000"/>
          <w:sz w:val="20"/>
          <w:szCs w:val="20"/>
          <w:lang w:val="en-GB"/>
        </w:rPr>
      </w:pPr>
      <w:r w:rsidRPr="0038420B">
        <w:rPr>
          <w:rFonts w:cs="FrutigerLTPro-LightCn"/>
          <w:color w:val="000000"/>
          <w:sz w:val="20"/>
          <w:szCs w:val="20"/>
          <w:lang w:val="en-GB"/>
        </w:rPr>
        <w:t xml:space="preserve">Harris PA, Taylor R, </w:t>
      </w:r>
      <w:proofErr w:type="spellStart"/>
      <w:r w:rsidRPr="0038420B">
        <w:rPr>
          <w:rFonts w:cs="FrutigerLTPro-LightCn"/>
          <w:color w:val="000000"/>
          <w:sz w:val="20"/>
          <w:szCs w:val="20"/>
          <w:lang w:val="en-GB"/>
        </w:rPr>
        <w:t>Thielke</w:t>
      </w:r>
      <w:proofErr w:type="spellEnd"/>
      <w:r w:rsidRPr="0038420B">
        <w:rPr>
          <w:rFonts w:cs="FrutigerLTPro-LightCn"/>
          <w:color w:val="000000"/>
          <w:sz w:val="20"/>
          <w:szCs w:val="20"/>
          <w:lang w:val="en-GB"/>
        </w:rPr>
        <w:t xml:space="preserve"> R, </w:t>
      </w:r>
      <w:r w:rsidRPr="0038420B">
        <w:rPr>
          <w:rFonts w:cs="FrutigerLTPro-LightCnIta"/>
          <w:color w:val="000000"/>
          <w:sz w:val="20"/>
          <w:szCs w:val="20"/>
          <w:lang w:val="en-GB"/>
        </w:rPr>
        <w:t>et al</w:t>
      </w:r>
      <w:r w:rsidRPr="0038420B">
        <w:rPr>
          <w:rFonts w:cs="FrutigerLTPro-LightCn"/>
          <w:color w:val="000000"/>
          <w:sz w:val="20"/>
          <w:szCs w:val="20"/>
          <w:lang w:val="en-GB"/>
        </w:rPr>
        <w:t>. Research electronic data capture (</w:t>
      </w:r>
      <w:proofErr w:type="spellStart"/>
      <w:r w:rsidRPr="0038420B">
        <w:rPr>
          <w:rFonts w:cs="FrutigerLTPro-LightCn"/>
          <w:color w:val="000000"/>
          <w:sz w:val="20"/>
          <w:szCs w:val="20"/>
          <w:lang w:val="en-GB"/>
        </w:rPr>
        <w:t>REDCap</w:t>
      </w:r>
      <w:proofErr w:type="spellEnd"/>
      <w:r w:rsidRPr="0038420B">
        <w:rPr>
          <w:rFonts w:cs="FrutigerLTPro-LightCn"/>
          <w:color w:val="000000"/>
          <w:sz w:val="20"/>
          <w:szCs w:val="20"/>
          <w:lang w:val="en-GB"/>
        </w:rPr>
        <w:t>)</w:t>
      </w:r>
      <w:r w:rsidR="0038420B" w:rsidRPr="0038420B">
        <w:rPr>
          <w:rFonts w:cs="FrutigerLTPro-LightCn"/>
          <w:color w:val="000000"/>
          <w:sz w:val="20"/>
          <w:szCs w:val="20"/>
          <w:lang w:val="en-GB"/>
        </w:rPr>
        <w:t>—</w:t>
      </w:r>
      <w:r w:rsidRPr="0038420B">
        <w:rPr>
          <w:rFonts w:cs="FrutigerLTPro-LightCn"/>
          <w:color w:val="000000"/>
          <w:sz w:val="20"/>
          <w:szCs w:val="20"/>
          <w:lang w:val="en-GB"/>
        </w:rPr>
        <w:t>a</w:t>
      </w:r>
      <w:r w:rsidR="0038420B" w:rsidRPr="0038420B">
        <w:rPr>
          <w:rFonts w:cs="FrutigerLTPro-LightCn"/>
          <w:color w:val="000000"/>
          <w:sz w:val="20"/>
          <w:szCs w:val="20"/>
          <w:lang w:val="en-GB"/>
        </w:rPr>
        <w:t xml:space="preserve"> </w:t>
      </w:r>
      <w:r w:rsidRPr="0038420B">
        <w:rPr>
          <w:rFonts w:cs="FrutigerLTPro-LightCn"/>
          <w:color w:val="000000"/>
          <w:sz w:val="20"/>
          <w:szCs w:val="20"/>
          <w:lang w:val="en-GB"/>
        </w:rPr>
        <w:t>metadata-driven methodology and workflow process for providing translational</w:t>
      </w:r>
      <w:r w:rsidR="0038420B" w:rsidRPr="0038420B">
        <w:rPr>
          <w:rFonts w:cs="FrutigerLTPro-LightCn"/>
          <w:color w:val="000000"/>
          <w:sz w:val="20"/>
          <w:szCs w:val="20"/>
          <w:lang w:val="en-GB"/>
        </w:rPr>
        <w:t xml:space="preserve"> </w:t>
      </w:r>
      <w:r w:rsidRPr="0038420B">
        <w:rPr>
          <w:rFonts w:cs="FrutigerLTPro-LightCn"/>
          <w:color w:val="000000"/>
          <w:sz w:val="20"/>
          <w:szCs w:val="20"/>
          <w:lang w:val="en-GB"/>
        </w:rPr>
        <w:t xml:space="preserve">research informatics support. </w:t>
      </w:r>
      <w:r w:rsidRPr="0038420B">
        <w:rPr>
          <w:rFonts w:cs="FrutigerLTPro-LightCnIta"/>
          <w:color w:val="0000FF"/>
          <w:sz w:val="20"/>
          <w:szCs w:val="20"/>
          <w:lang w:val="en-GB"/>
        </w:rPr>
        <w:t xml:space="preserve">J Biomed Inform </w:t>
      </w:r>
      <w:r w:rsidRPr="0038420B">
        <w:rPr>
          <w:rFonts w:cs="FrutigerLTPro-LightCn"/>
          <w:color w:val="000000"/>
          <w:sz w:val="20"/>
          <w:szCs w:val="20"/>
          <w:lang w:val="en-GB"/>
        </w:rPr>
        <w:t>2009</w:t>
      </w:r>
      <w:proofErr w:type="gramStart"/>
      <w:r w:rsidRPr="0038420B">
        <w:rPr>
          <w:rFonts w:cs="FrutigerLTPro-LightCn"/>
          <w:color w:val="000000"/>
          <w:sz w:val="20"/>
          <w:szCs w:val="20"/>
          <w:lang w:val="en-GB"/>
        </w:rPr>
        <w:t>;42:377</w:t>
      </w:r>
      <w:proofErr w:type="gramEnd"/>
      <w:r w:rsidRPr="0038420B">
        <w:rPr>
          <w:rFonts w:cs="FrutigerLTPro-LightCn"/>
          <w:color w:val="000000"/>
          <w:sz w:val="20"/>
          <w:szCs w:val="20"/>
          <w:lang w:val="en-GB"/>
        </w:rPr>
        <w:t>–81.</w:t>
      </w:r>
    </w:p>
    <w:p w:rsidR="005C0CD3" w:rsidRPr="0038420B" w:rsidRDefault="005C0CD3" w:rsidP="0038420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480" w:lineRule="auto"/>
        <w:rPr>
          <w:rFonts w:cs="FrutigerLTPro-LightCn"/>
          <w:color w:val="000000"/>
          <w:sz w:val="20"/>
          <w:szCs w:val="20"/>
          <w:lang w:val="en-GB"/>
        </w:rPr>
      </w:pPr>
      <w:proofErr w:type="spellStart"/>
      <w:r w:rsidRPr="0038420B">
        <w:rPr>
          <w:rFonts w:cs="FrutigerLTPro-LightCn"/>
          <w:color w:val="000000"/>
          <w:sz w:val="20"/>
          <w:szCs w:val="20"/>
          <w:lang w:val="en-GB"/>
        </w:rPr>
        <w:t>Klemetti</w:t>
      </w:r>
      <w:proofErr w:type="spellEnd"/>
      <w:r w:rsidRPr="0038420B">
        <w:rPr>
          <w:rFonts w:cs="FrutigerLTPro-LightCn"/>
          <w:color w:val="000000"/>
          <w:sz w:val="20"/>
          <w:szCs w:val="20"/>
          <w:lang w:val="en-GB"/>
        </w:rPr>
        <w:t xml:space="preserve"> S, </w:t>
      </w:r>
      <w:proofErr w:type="spellStart"/>
      <w:r w:rsidRPr="0038420B">
        <w:rPr>
          <w:rFonts w:cs="FrutigerLTPro-LightCn"/>
          <w:color w:val="000000"/>
          <w:sz w:val="20"/>
          <w:szCs w:val="20"/>
          <w:lang w:val="en-GB"/>
        </w:rPr>
        <w:t>Uhari</w:t>
      </w:r>
      <w:proofErr w:type="spellEnd"/>
      <w:r w:rsidRPr="0038420B">
        <w:rPr>
          <w:rFonts w:cs="FrutigerLTPro-LightCn"/>
          <w:color w:val="000000"/>
          <w:sz w:val="20"/>
          <w:szCs w:val="20"/>
          <w:lang w:val="en-GB"/>
        </w:rPr>
        <w:t xml:space="preserve"> M, Pokka T, </w:t>
      </w:r>
      <w:r w:rsidRPr="0038420B">
        <w:rPr>
          <w:rFonts w:cs="FrutigerLTPro-LightCnIta"/>
          <w:color w:val="000000"/>
          <w:sz w:val="20"/>
          <w:szCs w:val="20"/>
          <w:lang w:val="en-GB"/>
        </w:rPr>
        <w:t>et al</w:t>
      </w:r>
      <w:r w:rsidRPr="0038420B">
        <w:rPr>
          <w:rFonts w:cs="FrutigerLTPro-LightCn"/>
          <w:color w:val="000000"/>
          <w:sz w:val="20"/>
          <w:szCs w:val="20"/>
          <w:lang w:val="en-GB"/>
        </w:rPr>
        <w:t>. Evaluation of Decision Rules for Identifying Serious</w:t>
      </w:r>
      <w:r w:rsidR="0038420B" w:rsidRPr="0038420B">
        <w:rPr>
          <w:rFonts w:cs="FrutigerLTPro-LightCn"/>
          <w:color w:val="000000"/>
          <w:sz w:val="20"/>
          <w:szCs w:val="20"/>
          <w:lang w:val="en-GB"/>
        </w:rPr>
        <w:t xml:space="preserve"> </w:t>
      </w:r>
      <w:r w:rsidRPr="0038420B">
        <w:rPr>
          <w:rFonts w:cs="FrutigerLTPro-LightCn"/>
          <w:color w:val="000000"/>
          <w:sz w:val="20"/>
          <w:szCs w:val="20"/>
          <w:lang w:val="en-GB"/>
        </w:rPr>
        <w:t xml:space="preserve">Consequences of Traumatic Head Injuries in </w:t>
      </w:r>
      <w:proofErr w:type="spellStart"/>
      <w:r w:rsidRPr="0038420B">
        <w:rPr>
          <w:rFonts w:cs="FrutigerLTPro-LightCn"/>
          <w:color w:val="000000"/>
          <w:sz w:val="20"/>
          <w:szCs w:val="20"/>
          <w:lang w:val="en-GB"/>
        </w:rPr>
        <w:t>Pediatric</w:t>
      </w:r>
      <w:proofErr w:type="spellEnd"/>
      <w:r w:rsidRPr="0038420B">
        <w:rPr>
          <w:rFonts w:cs="FrutigerLTPro-LightCn"/>
          <w:color w:val="000000"/>
          <w:sz w:val="20"/>
          <w:szCs w:val="20"/>
          <w:lang w:val="en-GB"/>
        </w:rPr>
        <w:t xml:space="preserve"> Patients. </w:t>
      </w:r>
      <w:proofErr w:type="spellStart"/>
      <w:r w:rsidRPr="0038420B">
        <w:rPr>
          <w:rFonts w:cs="FrutigerLTPro-LightCnIta"/>
          <w:color w:val="0000FF"/>
          <w:sz w:val="20"/>
          <w:szCs w:val="20"/>
          <w:lang w:val="en-GB"/>
        </w:rPr>
        <w:t>Pediatr</w:t>
      </w:r>
      <w:proofErr w:type="spellEnd"/>
      <w:r w:rsidRPr="0038420B">
        <w:rPr>
          <w:rFonts w:cs="FrutigerLTPro-LightCnIta"/>
          <w:color w:val="0000FF"/>
          <w:sz w:val="20"/>
          <w:szCs w:val="20"/>
          <w:lang w:val="en-GB"/>
        </w:rPr>
        <w:t xml:space="preserve"> </w:t>
      </w:r>
      <w:proofErr w:type="spellStart"/>
      <w:r w:rsidRPr="0038420B">
        <w:rPr>
          <w:rFonts w:cs="FrutigerLTPro-LightCnIta"/>
          <w:color w:val="0000FF"/>
          <w:sz w:val="20"/>
          <w:szCs w:val="20"/>
          <w:lang w:val="en-GB"/>
        </w:rPr>
        <w:t>Emerg</w:t>
      </w:r>
      <w:proofErr w:type="spellEnd"/>
      <w:r w:rsidRPr="0038420B">
        <w:rPr>
          <w:rFonts w:cs="FrutigerLTPro-LightCnIta"/>
          <w:color w:val="0000FF"/>
          <w:sz w:val="20"/>
          <w:szCs w:val="20"/>
          <w:lang w:val="en-GB"/>
        </w:rPr>
        <w:t xml:space="preserve"> Care</w:t>
      </w:r>
      <w:r w:rsidR="0038420B" w:rsidRPr="0038420B">
        <w:rPr>
          <w:rFonts w:cs="FrutigerLTPro-LightCnIta"/>
          <w:color w:val="0000FF"/>
          <w:sz w:val="20"/>
          <w:szCs w:val="20"/>
          <w:lang w:val="en-GB"/>
        </w:rPr>
        <w:t xml:space="preserve"> </w:t>
      </w:r>
      <w:r w:rsidRPr="0038420B">
        <w:rPr>
          <w:rFonts w:cs="FrutigerLTPro-LightCn"/>
          <w:color w:val="000000"/>
          <w:sz w:val="20"/>
          <w:szCs w:val="20"/>
          <w:lang w:val="en-GB"/>
        </w:rPr>
        <w:t>2009</w:t>
      </w:r>
      <w:proofErr w:type="gramStart"/>
      <w:r w:rsidRPr="0038420B">
        <w:rPr>
          <w:rFonts w:cs="FrutigerLTPro-LightCn"/>
          <w:color w:val="000000"/>
          <w:sz w:val="20"/>
          <w:szCs w:val="20"/>
          <w:lang w:val="en-GB"/>
        </w:rPr>
        <w:t>;25:811</w:t>
      </w:r>
      <w:proofErr w:type="gramEnd"/>
      <w:r w:rsidRPr="0038420B">
        <w:rPr>
          <w:rFonts w:cs="FrutigerLTPro-LightCn"/>
          <w:color w:val="000000"/>
          <w:sz w:val="20"/>
          <w:szCs w:val="20"/>
          <w:lang w:val="en-GB"/>
        </w:rPr>
        <w:t>–5.</w:t>
      </w:r>
    </w:p>
    <w:p w:rsidR="005C0CD3" w:rsidRPr="0038420B" w:rsidRDefault="005C0CD3" w:rsidP="0038420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480" w:lineRule="auto"/>
        <w:rPr>
          <w:rFonts w:cs="FrutigerLTPro-LightCn"/>
          <w:color w:val="000000"/>
          <w:sz w:val="20"/>
          <w:szCs w:val="20"/>
          <w:lang w:val="en-GB"/>
        </w:rPr>
      </w:pPr>
      <w:proofErr w:type="spellStart"/>
      <w:r w:rsidRPr="0038420B">
        <w:rPr>
          <w:rFonts w:cs="FrutigerLTPro-LightCn"/>
          <w:color w:val="000000"/>
          <w:sz w:val="20"/>
          <w:szCs w:val="20"/>
          <w:lang w:val="en-GB"/>
        </w:rPr>
        <w:t>Fabbri</w:t>
      </w:r>
      <w:proofErr w:type="spellEnd"/>
      <w:r w:rsidRPr="0038420B">
        <w:rPr>
          <w:rFonts w:cs="FrutigerLTPro-LightCn"/>
          <w:color w:val="000000"/>
          <w:sz w:val="20"/>
          <w:szCs w:val="20"/>
          <w:lang w:val="en-GB"/>
        </w:rPr>
        <w:t xml:space="preserve"> A, </w:t>
      </w:r>
      <w:proofErr w:type="spellStart"/>
      <w:r w:rsidRPr="0038420B">
        <w:rPr>
          <w:rFonts w:cs="FrutigerLTPro-LightCn"/>
          <w:color w:val="000000"/>
          <w:sz w:val="20"/>
          <w:szCs w:val="20"/>
          <w:lang w:val="en-GB"/>
        </w:rPr>
        <w:t>Servadei</w:t>
      </w:r>
      <w:proofErr w:type="spellEnd"/>
      <w:r w:rsidRPr="0038420B">
        <w:rPr>
          <w:rFonts w:cs="FrutigerLTPro-LightCn"/>
          <w:color w:val="000000"/>
          <w:sz w:val="20"/>
          <w:szCs w:val="20"/>
          <w:lang w:val="en-GB"/>
        </w:rPr>
        <w:t xml:space="preserve"> F, </w:t>
      </w:r>
      <w:proofErr w:type="spellStart"/>
      <w:r w:rsidRPr="0038420B">
        <w:rPr>
          <w:rFonts w:cs="FrutigerLTPro-LightCn"/>
          <w:color w:val="000000"/>
          <w:sz w:val="20"/>
          <w:szCs w:val="20"/>
          <w:lang w:val="en-GB"/>
        </w:rPr>
        <w:t>Marchesini</w:t>
      </w:r>
      <w:proofErr w:type="spellEnd"/>
      <w:r w:rsidRPr="0038420B">
        <w:rPr>
          <w:rFonts w:cs="FrutigerLTPro-LightCn"/>
          <w:color w:val="000000"/>
          <w:sz w:val="20"/>
          <w:szCs w:val="20"/>
          <w:lang w:val="en-GB"/>
        </w:rPr>
        <w:t xml:space="preserve"> G, </w:t>
      </w:r>
      <w:r w:rsidRPr="0038420B">
        <w:rPr>
          <w:rFonts w:cs="FrutigerLTPro-LightCnIta"/>
          <w:color w:val="000000"/>
          <w:sz w:val="20"/>
          <w:szCs w:val="20"/>
          <w:lang w:val="en-GB"/>
        </w:rPr>
        <w:t>et al</w:t>
      </w:r>
      <w:r w:rsidRPr="0038420B">
        <w:rPr>
          <w:rFonts w:cs="FrutigerLTPro-LightCn"/>
          <w:color w:val="000000"/>
          <w:sz w:val="20"/>
          <w:szCs w:val="20"/>
          <w:lang w:val="en-GB"/>
        </w:rPr>
        <w:t>. Analysis of different decision aids for clinical</w:t>
      </w:r>
      <w:r w:rsidR="0038420B" w:rsidRPr="0038420B">
        <w:rPr>
          <w:rFonts w:cs="FrutigerLTPro-LightCn"/>
          <w:color w:val="000000"/>
          <w:sz w:val="20"/>
          <w:szCs w:val="20"/>
          <w:lang w:val="en-GB"/>
        </w:rPr>
        <w:t xml:space="preserve"> </w:t>
      </w:r>
      <w:r w:rsidRPr="0038420B">
        <w:rPr>
          <w:rFonts w:cs="FrutigerLTPro-LightCn"/>
          <w:color w:val="000000"/>
          <w:sz w:val="20"/>
          <w:szCs w:val="20"/>
          <w:lang w:val="en-GB"/>
        </w:rPr>
        <w:t xml:space="preserve">use in </w:t>
      </w:r>
      <w:proofErr w:type="spellStart"/>
      <w:r w:rsidRPr="0038420B">
        <w:rPr>
          <w:rFonts w:cs="FrutigerLTPro-LightCn"/>
          <w:color w:val="000000"/>
          <w:sz w:val="20"/>
          <w:szCs w:val="20"/>
          <w:lang w:val="en-GB"/>
        </w:rPr>
        <w:t>pediatric</w:t>
      </w:r>
      <w:proofErr w:type="spellEnd"/>
      <w:r w:rsidRPr="0038420B">
        <w:rPr>
          <w:rFonts w:cs="FrutigerLTPro-LightCn"/>
          <w:color w:val="000000"/>
          <w:sz w:val="20"/>
          <w:szCs w:val="20"/>
          <w:lang w:val="en-GB"/>
        </w:rPr>
        <w:t xml:space="preserve"> head injury in an emergency department of a general hospital. </w:t>
      </w:r>
      <w:r w:rsidRPr="0038420B">
        <w:rPr>
          <w:rFonts w:cs="FrutigerLTPro-LightCnIta"/>
          <w:color w:val="0000FF"/>
          <w:sz w:val="20"/>
          <w:szCs w:val="20"/>
          <w:lang w:val="en-GB"/>
        </w:rPr>
        <w:t>J</w:t>
      </w:r>
      <w:r w:rsidR="0038420B" w:rsidRPr="0038420B">
        <w:rPr>
          <w:rFonts w:cs="FrutigerLTPro-LightCnIta"/>
          <w:color w:val="0000FF"/>
          <w:sz w:val="20"/>
          <w:szCs w:val="20"/>
          <w:lang w:val="en-GB"/>
        </w:rPr>
        <w:t xml:space="preserve"> </w:t>
      </w:r>
      <w:r w:rsidRPr="0038420B">
        <w:rPr>
          <w:rFonts w:cs="FrutigerLTPro-LightCnIta"/>
          <w:color w:val="0000FF"/>
          <w:sz w:val="20"/>
          <w:szCs w:val="20"/>
          <w:lang w:val="en-GB"/>
        </w:rPr>
        <w:t xml:space="preserve">Trauma </w:t>
      </w:r>
      <w:r w:rsidRPr="0038420B">
        <w:rPr>
          <w:rFonts w:cs="FrutigerLTPro-LightCn"/>
          <w:color w:val="000000"/>
          <w:sz w:val="20"/>
          <w:szCs w:val="20"/>
          <w:lang w:val="en-GB"/>
        </w:rPr>
        <w:t>2011</w:t>
      </w:r>
      <w:proofErr w:type="gramStart"/>
      <w:r w:rsidRPr="0038420B">
        <w:rPr>
          <w:rFonts w:cs="FrutigerLTPro-LightCn"/>
          <w:color w:val="000000"/>
          <w:sz w:val="20"/>
          <w:szCs w:val="20"/>
          <w:lang w:val="en-GB"/>
        </w:rPr>
        <w:t>;70:E79</w:t>
      </w:r>
      <w:proofErr w:type="gramEnd"/>
      <w:r w:rsidRPr="0038420B">
        <w:rPr>
          <w:rFonts w:cs="FrutigerLTPro-LightCn"/>
          <w:color w:val="000000"/>
          <w:sz w:val="20"/>
          <w:szCs w:val="20"/>
          <w:lang w:val="en-GB"/>
        </w:rPr>
        <w:t>–E83.</w:t>
      </w:r>
    </w:p>
    <w:p w:rsidR="005C0CD3" w:rsidRPr="0038420B" w:rsidRDefault="005C0CD3" w:rsidP="0038420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480" w:lineRule="auto"/>
        <w:rPr>
          <w:rFonts w:cs="FrutigerLTPro-LightCn"/>
          <w:color w:val="000000"/>
          <w:sz w:val="20"/>
          <w:szCs w:val="20"/>
          <w:lang w:val="en-GB"/>
        </w:rPr>
      </w:pPr>
      <w:proofErr w:type="spellStart"/>
      <w:r w:rsidRPr="0038420B">
        <w:rPr>
          <w:rFonts w:cs="FrutigerLTPro-LightCn"/>
          <w:color w:val="000000"/>
          <w:sz w:val="20"/>
          <w:szCs w:val="20"/>
          <w:lang w:val="en-GB"/>
        </w:rPr>
        <w:t>Schachar</w:t>
      </w:r>
      <w:proofErr w:type="spellEnd"/>
      <w:r w:rsidRPr="0038420B">
        <w:rPr>
          <w:rFonts w:cs="FrutigerLTPro-LightCn"/>
          <w:color w:val="000000"/>
          <w:sz w:val="20"/>
          <w:szCs w:val="20"/>
          <w:lang w:val="en-GB"/>
        </w:rPr>
        <w:t xml:space="preserve"> JL, </w:t>
      </w:r>
      <w:proofErr w:type="spellStart"/>
      <w:r w:rsidRPr="0038420B">
        <w:rPr>
          <w:rFonts w:cs="FrutigerLTPro-LightCn"/>
          <w:color w:val="000000"/>
          <w:sz w:val="20"/>
          <w:szCs w:val="20"/>
          <w:lang w:val="en-GB"/>
        </w:rPr>
        <w:t>Zampolin</w:t>
      </w:r>
      <w:proofErr w:type="spellEnd"/>
      <w:r w:rsidRPr="0038420B">
        <w:rPr>
          <w:rFonts w:cs="FrutigerLTPro-LightCn"/>
          <w:color w:val="000000"/>
          <w:sz w:val="20"/>
          <w:szCs w:val="20"/>
          <w:lang w:val="en-GB"/>
        </w:rPr>
        <w:t xml:space="preserve"> RL, Miller TS, </w:t>
      </w:r>
      <w:r w:rsidRPr="0038420B">
        <w:rPr>
          <w:rFonts w:cs="FrutigerLTPro-LightCnIta"/>
          <w:color w:val="000000"/>
          <w:sz w:val="20"/>
          <w:szCs w:val="20"/>
          <w:lang w:val="en-GB"/>
        </w:rPr>
        <w:t>et al</w:t>
      </w:r>
      <w:r w:rsidRPr="0038420B">
        <w:rPr>
          <w:rFonts w:cs="FrutigerLTPro-LightCn"/>
          <w:color w:val="000000"/>
          <w:sz w:val="20"/>
          <w:szCs w:val="20"/>
          <w:lang w:val="en-GB"/>
        </w:rPr>
        <w:t>. External validation of the New Orleans</w:t>
      </w:r>
      <w:r w:rsidR="0038420B" w:rsidRPr="0038420B">
        <w:rPr>
          <w:rFonts w:cs="FrutigerLTPro-LightCn"/>
          <w:color w:val="000000"/>
          <w:sz w:val="20"/>
          <w:szCs w:val="20"/>
          <w:lang w:val="en-GB"/>
        </w:rPr>
        <w:t xml:space="preserve"> </w:t>
      </w:r>
      <w:r w:rsidRPr="0038420B">
        <w:rPr>
          <w:rFonts w:cs="FrutigerLTPro-LightCn"/>
          <w:color w:val="000000"/>
          <w:sz w:val="20"/>
          <w:szCs w:val="20"/>
          <w:lang w:val="en-GB"/>
        </w:rPr>
        <w:t>Criteria (NOC), the Canadian CT Head Rule (CCHR) and the National Emergency</w:t>
      </w:r>
      <w:r w:rsidR="0038420B" w:rsidRPr="0038420B">
        <w:rPr>
          <w:rFonts w:cs="FrutigerLTPro-LightCn"/>
          <w:color w:val="000000"/>
          <w:sz w:val="20"/>
          <w:szCs w:val="20"/>
          <w:lang w:val="en-GB"/>
        </w:rPr>
        <w:t xml:space="preserve"> </w:t>
      </w:r>
      <w:r w:rsidRPr="0038420B">
        <w:rPr>
          <w:rFonts w:cs="FrutigerLTPro-LightCn"/>
          <w:color w:val="000000"/>
          <w:sz w:val="20"/>
          <w:szCs w:val="20"/>
          <w:lang w:val="en-GB"/>
        </w:rPr>
        <w:t xml:space="preserve">X-Radiography Utilization Study II (NEXUS II) for CT scanning in </w:t>
      </w:r>
      <w:proofErr w:type="spellStart"/>
      <w:r w:rsidRPr="0038420B">
        <w:rPr>
          <w:rFonts w:cs="FrutigerLTPro-LightCn"/>
          <w:color w:val="000000"/>
          <w:sz w:val="20"/>
          <w:szCs w:val="20"/>
          <w:lang w:val="en-GB"/>
        </w:rPr>
        <w:t>pediatric</w:t>
      </w:r>
      <w:proofErr w:type="spellEnd"/>
      <w:r w:rsidRPr="0038420B">
        <w:rPr>
          <w:rFonts w:cs="FrutigerLTPro-LightCn"/>
          <w:color w:val="000000"/>
          <w:sz w:val="20"/>
          <w:szCs w:val="20"/>
          <w:lang w:val="en-GB"/>
        </w:rPr>
        <w:t xml:space="preserve"> patients</w:t>
      </w:r>
      <w:r w:rsidR="0038420B" w:rsidRPr="0038420B">
        <w:rPr>
          <w:rFonts w:cs="FrutigerLTPro-LightCn"/>
          <w:color w:val="000000"/>
          <w:sz w:val="20"/>
          <w:szCs w:val="20"/>
          <w:lang w:val="en-GB"/>
        </w:rPr>
        <w:t xml:space="preserve"> </w:t>
      </w:r>
      <w:r w:rsidRPr="0038420B">
        <w:rPr>
          <w:rFonts w:cs="FrutigerLTPro-LightCn"/>
          <w:color w:val="000000"/>
          <w:sz w:val="20"/>
          <w:szCs w:val="20"/>
          <w:lang w:val="en-GB"/>
        </w:rPr>
        <w:t xml:space="preserve">with minor head injury in a non-trauma </w:t>
      </w:r>
      <w:proofErr w:type="spellStart"/>
      <w:r w:rsidRPr="0038420B">
        <w:rPr>
          <w:rFonts w:cs="FrutigerLTPro-LightCn"/>
          <w:color w:val="000000"/>
          <w:sz w:val="20"/>
          <w:szCs w:val="20"/>
          <w:lang w:val="en-GB"/>
        </w:rPr>
        <w:t>center</w:t>
      </w:r>
      <w:proofErr w:type="spellEnd"/>
      <w:r w:rsidRPr="0038420B">
        <w:rPr>
          <w:rFonts w:cs="FrutigerLTPro-LightCn"/>
          <w:color w:val="000000"/>
          <w:sz w:val="20"/>
          <w:szCs w:val="20"/>
          <w:lang w:val="en-GB"/>
        </w:rPr>
        <w:t xml:space="preserve">. </w:t>
      </w:r>
      <w:proofErr w:type="spellStart"/>
      <w:r w:rsidRPr="0038420B">
        <w:rPr>
          <w:rFonts w:cs="FrutigerLTPro-LightCnIta"/>
          <w:color w:val="0000FF"/>
          <w:sz w:val="20"/>
          <w:szCs w:val="20"/>
          <w:lang w:val="en-GB"/>
        </w:rPr>
        <w:t>Pediatr</w:t>
      </w:r>
      <w:proofErr w:type="spellEnd"/>
      <w:r w:rsidRPr="0038420B">
        <w:rPr>
          <w:rFonts w:cs="FrutigerLTPro-LightCnIta"/>
          <w:color w:val="0000FF"/>
          <w:sz w:val="20"/>
          <w:szCs w:val="20"/>
          <w:lang w:val="en-GB"/>
        </w:rPr>
        <w:t xml:space="preserve"> </w:t>
      </w:r>
      <w:proofErr w:type="spellStart"/>
      <w:r w:rsidRPr="0038420B">
        <w:rPr>
          <w:rFonts w:cs="FrutigerLTPro-LightCnIta"/>
          <w:color w:val="0000FF"/>
          <w:sz w:val="20"/>
          <w:szCs w:val="20"/>
          <w:lang w:val="en-GB"/>
        </w:rPr>
        <w:t>Radiol</w:t>
      </w:r>
      <w:proofErr w:type="spellEnd"/>
      <w:r w:rsidRPr="0038420B">
        <w:rPr>
          <w:rFonts w:cs="FrutigerLTPro-LightCnIta"/>
          <w:color w:val="0000FF"/>
          <w:sz w:val="20"/>
          <w:szCs w:val="20"/>
          <w:lang w:val="en-GB"/>
        </w:rPr>
        <w:t xml:space="preserve"> </w:t>
      </w:r>
      <w:r w:rsidRPr="0038420B">
        <w:rPr>
          <w:rFonts w:cs="FrutigerLTPro-LightCn"/>
          <w:color w:val="000000"/>
          <w:sz w:val="20"/>
          <w:szCs w:val="20"/>
          <w:lang w:val="en-GB"/>
        </w:rPr>
        <w:t>2011</w:t>
      </w:r>
      <w:proofErr w:type="gramStart"/>
      <w:r w:rsidRPr="0038420B">
        <w:rPr>
          <w:rFonts w:cs="FrutigerLTPro-LightCn"/>
          <w:color w:val="000000"/>
          <w:sz w:val="20"/>
          <w:szCs w:val="20"/>
          <w:lang w:val="en-GB"/>
        </w:rPr>
        <w:t>;41:971</w:t>
      </w:r>
      <w:proofErr w:type="gramEnd"/>
      <w:r w:rsidRPr="0038420B">
        <w:rPr>
          <w:rFonts w:cs="FrutigerLTPro-LightCn"/>
          <w:color w:val="000000"/>
          <w:sz w:val="20"/>
          <w:szCs w:val="20"/>
          <w:lang w:val="en-GB"/>
        </w:rPr>
        <w:t>–9.</w:t>
      </w:r>
    </w:p>
    <w:p w:rsidR="005C0CD3" w:rsidRPr="0038420B" w:rsidRDefault="005C0CD3" w:rsidP="0038420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480" w:lineRule="auto"/>
        <w:rPr>
          <w:rFonts w:cs="FrutigerLTPro-LightCn"/>
          <w:color w:val="000000"/>
          <w:sz w:val="20"/>
          <w:szCs w:val="20"/>
          <w:lang w:val="en-GB"/>
        </w:rPr>
      </w:pPr>
      <w:r w:rsidRPr="0038420B">
        <w:rPr>
          <w:rFonts w:cs="FrutigerLTPro-LightCn"/>
          <w:color w:val="000000"/>
          <w:sz w:val="20"/>
          <w:szCs w:val="20"/>
          <w:lang w:val="en-GB"/>
        </w:rPr>
        <w:t xml:space="preserve">Ro YS, Shin SD, Holmes JF, </w:t>
      </w:r>
      <w:r w:rsidRPr="0038420B">
        <w:rPr>
          <w:rFonts w:cs="FrutigerLTPro-LightCnIta"/>
          <w:color w:val="000000"/>
          <w:sz w:val="20"/>
          <w:szCs w:val="20"/>
          <w:lang w:val="en-GB"/>
        </w:rPr>
        <w:t>et al</w:t>
      </w:r>
      <w:r w:rsidRPr="0038420B">
        <w:rPr>
          <w:rFonts w:cs="FrutigerLTPro-LightCn"/>
          <w:color w:val="000000"/>
          <w:sz w:val="20"/>
          <w:szCs w:val="20"/>
          <w:lang w:val="en-GB"/>
        </w:rPr>
        <w:t>. Comparison of clinical performance of cranial</w:t>
      </w:r>
      <w:r w:rsidR="0038420B" w:rsidRPr="0038420B">
        <w:rPr>
          <w:rFonts w:cs="FrutigerLTPro-LightCn"/>
          <w:color w:val="000000"/>
          <w:sz w:val="20"/>
          <w:szCs w:val="20"/>
          <w:lang w:val="en-GB"/>
        </w:rPr>
        <w:t xml:space="preserve"> </w:t>
      </w:r>
      <w:r w:rsidRPr="0038420B">
        <w:rPr>
          <w:rFonts w:cs="FrutigerLTPro-LightCn"/>
          <w:color w:val="000000"/>
          <w:sz w:val="20"/>
          <w:szCs w:val="20"/>
          <w:lang w:val="en-GB"/>
        </w:rPr>
        <w:t xml:space="preserve">computed tomography rules in patients with minor head injury: a </w:t>
      </w:r>
      <w:r w:rsidR="0038420B" w:rsidRPr="0038420B">
        <w:rPr>
          <w:rFonts w:cs="FrutigerLTPro-LightCn"/>
          <w:color w:val="000000"/>
          <w:sz w:val="20"/>
          <w:szCs w:val="20"/>
          <w:lang w:val="en-GB"/>
        </w:rPr>
        <w:t xml:space="preserve">multicentre </w:t>
      </w:r>
      <w:r w:rsidRPr="0038420B">
        <w:rPr>
          <w:rFonts w:cs="FrutigerLTPro-LightCn"/>
          <w:color w:val="000000"/>
          <w:sz w:val="20"/>
          <w:szCs w:val="20"/>
          <w:lang w:val="en-GB"/>
        </w:rPr>
        <w:t xml:space="preserve">prospective study. </w:t>
      </w:r>
      <w:proofErr w:type="spellStart"/>
      <w:r w:rsidRPr="0038420B">
        <w:rPr>
          <w:rFonts w:cs="FrutigerLTPro-LightCnIta"/>
          <w:color w:val="0000FF"/>
          <w:sz w:val="20"/>
          <w:szCs w:val="20"/>
          <w:lang w:val="en-GB"/>
        </w:rPr>
        <w:t>Acad</w:t>
      </w:r>
      <w:proofErr w:type="spellEnd"/>
      <w:r w:rsidRPr="0038420B">
        <w:rPr>
          <w:rFonts w:cs="FrutigerLTPro-LightCnIta"/>
          <w:color w:val="0000FF"/>
          <w:sz w:val="20"/>
          <w:szCs w:val="20"/>
          <w:lang w:val="en-GB"/>
        </w:rPr>
        <w:t xml:space="preserve"> </w:t>
      </w:r>
      <w:proofErr w:type="spellStart"/>
      <w:r w:rsidRPr="0038420B">
        <w:rPr>
          <w:rFonts w:cs="FrutigerLTPro-LightCnIta"/>
          <w:color w:val="0000FF"/>
          <w:sz w:val="20"/>
          <w:szCs w:val="20"/>
          <w:lang w:val="en-GB"/>
        </w:rPr>
        <w:t>Emerg</w:t>
      </w:r>
      <w:proofErr w:type="spellEnd"/>
      <w:r w:rsidRPr="0038420B">
        <w:rPr>
          <w:rFonts w:cs="FrutigerLTPro-LightCnIta"/>
          <w:color w:val="0000FF"/>
          <w:sz w:val="20"/>
          <w:szCs w:val="20"/>
          <w:lang w:val="en-GB"/>
        </w:rPr>
        <w:t xml:space="preserve"> Med </w:t>
      </w:r>
      <w:r w:rsidRPr="0038420B">
        <w:rPr>
          <w:rFonts w:cs="FrutigerLTPro-LightCn"/>
          <w:color w:val="000000"/>
          <w:sz w:val="20"/>
          <w:szCs w:val="20"/>
          <w:lang w:val="en-GB"/>
        </w:rPr>
        <w:t>2011</w:t>
      </w:r>
      <w:proofErr w:type="gramStart"/>
      <w:r w:rsidRPr="0038420B">
        <w:rPr>
          <w:rFonts w:cs="FrutigerLTPro-LightCn"/>
          <w:color w:val="000000"/>
          <w:sz w:val="20"/>
          <w:szCs w:val="20"/>
          <w:lang w:val="en-GB"/>
        </w:rPr>
        <w:t>;18:597</w:t>
      </w:r>
      <w:proofErr w:type="gramEnd"/>
      <w:r w:rsidRPr="0038420B">
        <w:rPr>
          <w:rFonts w:cs="FrutigerLTPro-LightCn"/>
          <w:color w:val="000000"/>
          <w:sz w:val="20"/>
          <w:szCs w:val="20"/>
          <w:lang w:val="en-GB"/>
        </w:rPr>
        <w:t>–604.</w:t>
      </w:r>
    </w:p>
    <w:p w:rsidR="005C0CD3" w:rsidRPr="0038420B" w:rsidRDefault="005C0CD3" w:rsidP="0038420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480" w:lineRule="auto"/>
        <w:rPr>
          <w:rFonts w:cs="FrutigerLTPro-LightCn"/>
          <w:color w:val="000000"/>
          <w:sz w:val="20"/>
          <w:szCs w:val="20"/>
          <w:lang w:val="en-GB"/>
        </w:rPr>
      </w:pPr>
      <w:r w:rsidRPr="0038420B">
        <w:rPr>
          <w:rFonts w:cs="FrutigerLTPro-LightCn"/>
          <w:color w:val="000000"/>
          <w:sz w:val="20"/>
          <w:szCs w:val="20"/>
          <w:lang w:val="en-GB"/>
        </w:rPr>
        <w:t xml:space="preserve">Mower WR, Gupta M, Rodriguez R, </w:t>
      </w:r>
      <w:r w:rsidRPr="0038420B">
        <w:rPr>
          <w:rFonts w:cs="FrutigerLTPro-LightCnIta"/>
          <w:color w:val="000000"/>
          <w:sz w:val="20"/>
          <w:szCs w:val="20"/>
          <w:lang w:val="en-GB"/>
        </w:rPr>
        <w:t>et al</w:t>
      </w:r>
      <w:r w:rsidRPr="0038420B">
        <w:rPr>
          <w:rFonts w:cs="FrutigerLTPro-LightCn"/>
          <w:color w:val="000000"/>
          <w:sz w:val="20"/>
          <w:szCs w:val="20"/>
          <w:lang w:val="en-GB"/>
        </w:rPr>
        <w:t>. Validation of the sensitivity of the National</w:t>
      </w:r>
      <w:r w:rsidR="0038420B" w:rsidRPr="0038420B">
        <w:rPr>
          <w:rFonts w:cs="FrutigerLTPro-LightCn"/>
          <w:color w:val="000000"/>
          <w:sz w:val="20"/>
          <w:szCs w:val="20"/>
          <w:lang w:val="en-GB"/>
        </w:rPr>
        <w:t xml:space="preserve"> </w:t>
      </w:r>
      <w:r w:rsidRPr="0038420B">
        <w:rPr>
          <w:rFonts w:cs="FrutigerLTPro-LightCn"/>
          <w:color w:val="000000"/>
          <w:sz w:val="20"/>
          <w:szCs w:val="20"/>
          <w:lang w:val="en-GB"/>
        </w:rPr>
        <w:t>Emergency X-Radiography Utilization Study (NEXUS) Head computed tomographic</w:t>
      </w:r>
      <w:r w:rsidR="0038420B" w:rsidRPr="0038420B">
        <w:rPr>
          <w:rFonts w:cs="FrutigerLTPro-LightCn"/>
          <w:color w:val="000000"/>
          <w:sz w:val="20"/>
          <w:szCs w:val="20"/>
          <w:lang w:val="en-GB"/>
        </w:rPr>
        <w:t xml:space="preserve"> </w:t>
      </w:r>
      <w:r w:rsidRPr="0038420B">
        <w:rPr>
          <w:rFonts w:cs="FrutigerLTPro-LightCn"/>
          <w:color w:val="000000"/>
          <w:sz w:val="20"/>
          <w:szCs w:val="20"/>
          <w:lang w:val="en-GB"/>
        </w:rPr>
        <w:t>(CT) decision instrument for selective imaging of blunt head injury patients: An</w:t>
      </w:r>
      <w:r w:rsidR="0038420B" w:rsidRPr="0038420B">
        <w:rPr>
          <w:rFonts w:cs="FrutigerLTPro-LightCn"/>
          <w:color w:val="000000"/>
          <w:sz w:val="20"/>
          <w:szCs w:val="20"/>
          <w:lang w:val="en-GB"/>
        </w:rPr>
        <w:t xml:space="preserve"> </w:t>
      </w:r>
      <w:r w:rsidRPr="0038420B">
        <w:rPr>
          <w:rFonts w:cs="FrutigerLTPro-LightCn"/>
          <w:color w:val="000000"/>
          <w:sz w:val="20"/>
          <w:szCs w:val="20"/>
          <w:lang w:val="en-GB"/>
        </w:rPr>
        <w:t xml:space="preserve">observational study. </w:t>
      </w:r>
      <w:proofErr w:type="spellStart"/>
      <w:r w:rsidRPr="0038420B">
        <w:rPr>
          <w:rFonts w:cs="FrutigerLTPro-LightCnIta"/>
          <w:color w:val="0000FF"/>
          <w:sz w:val="20"/>
          <w:szCs w:val="20"/>
          <w:lang w:val="en-GB"/>
        </w:rPr>
        <w:t>PLoS</w:t>
      </w:r>
      <w:proofErr w:type="spellEnd"/>
      <w:r w:rsidRPr="0038420B">
        <w:rPr>
          <w:rFonts w:cs="FrutigerLTPro-LightCnIta"/>
          <w:color w:val="0000FF"/>
          <w:sz w:val="20"/>
          <w:szCs w:val="20"/>
          <w:lang w:val="en-GB"/>
        </w:rPr>
        <w:t xml:space="preserve"> Med </w:t>
      </w:r>
      <w:r w:rsidRPr="0038420B">
        <w:rPr>
          <w:rFonts w:cs="FrutigerLTPro-LightCn"/>
          <w:color w:val="000000"/>
          <w:sz w:val="20"/>
          <w:szCs w:val="20"/>
          <w:lang w:val="en-GB"/>
        </w:rPr>
        <w:t>2017</w:t>
      </w:r>
      <w:proofErr w:type="gramStart"/>
      <w:r w:rsidRPr="0038420B">
        <w:rPr>
          <w:rFonts w:cs="FrutigerLTPro-LightCn"/>
          <w:color w:val="000000"/>
          <w:sz w:val="20"/>
          <w:szCs w:val="20"/>
          <w:lang w:val="en-GB"/>
        </w:rPr>
        <w:t>;14:e1002313</w:t>
      </w:r>
      <w:proofErr w:type="gramEnd"/>
      <w:r w:rsidRPr="0038420B">
        <w:rPr>
          <w:rFonts w:cs="FrutigerLTPro-LightCn"/>
          <w:color w:val="000000"/>
          <w:sz w:val="20"/>
          <w:szCs w:val="20"/>
          <w:lang w:val="en-GB"/>
        </w:rPr>
        <w:t>.</w:t>
      </w:r>
    </w:p>
    <w:p w:rsidR="005C0CD3" w:rsidRPr="0038420B" w:rsidRDefault="005C0CD3" w:rsidP="0038420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480" w:lineRule="auto"/>
        <w:rPr>
          <w:rFonts w:cs="FrutigerLTPro-LightCn"/>
          <w:color w:val="000000"/>
          <w:sz w:val="20"/>
          <w:szCs w:val="20"/>
          <w:lang w:val="en-GB"/>
        </w:rPr>
      </w:pPr>
      <w:r w:rsidRPr="0038420B">
        <w:rPr>
          <w:rFonts w:cs="FrutigerLTPro-LightCn"/>
          <w:color w:val="000000"/>
          <w:sz w:val="20"/>
          <w:szCs w:val="20"/>
          <w:lang w:val="en-GB"/>
        </w:rPr>
        <w:t xml:space="preserve">Gupta M, Mower WR, Rodriguez RM, </w:t>
      </w:r>
      <w:r w:rsidRPr="0038420B">
        <w:rPr>
          <w:rFonts w:cs="FrutigerLTPro-LightCnIta"/>
          <w:color w:val="000000"/>
          <w:sz w:val="20"/>
          <w:szCs w:val="20"/>
          <w:lang w:val="en-GB"/>
        </w:rPr>
        <w:t>et al</w:t>
      </w:r>
      <w:r w:rsidRPr="0038420B">
        <w:rPr>
          <w:rFonts w:cs="FrutigerLTPro-LightCn"/>
          <w:color w:val="000000"/>
          <w:sz w:val="20"/>
          <w:szCs w:val="20"/>
          <w:lang w:val="en-GB"/>
        </w:rPr>
        <w:t xml:space="preserve">. Validation of the </w:t>
      </w:r>
      <w:proofErr w:type="spellStart"/>
      <w:r w:rsidRPr="0038420B">
        <w:rPr>
          <w:rFonts w:cs="FrutigerLTPro-LightCn"/>
          <w:color w:val="000000"/>
          <w:sz w:val="20"/>
          <w:szCs w:val="20"/>
          <w:lang w:val="en-GB"/>
        </w:rPr>
        <w:t>pediatric</w:t>
      </w:r>
      <w:proofErr w:type="spellEnd"/>
      <w:r w:rsidRPr="0038420B">
        <w:rPr>
          <w:rFonts w:cs="FrutigerLTPro-LightCn"/>
          <w:color w:val="000000"/>
          <w:sz w:val="20"/>
          <w:szCs w:val="20"/>
          <w:lang w:val="en-GB"/>
        </w:rPr>
        <w:t xml:space="preserve"> nexus ii head</w:t>
      </w:r>
      <w:r w:rsidR="0038420B" w:rsidRPr="0038420B">
        <w:rPr>
          <w:rFonts w:cs="FrutigerLTPro-LightCn"/>
          <w:color w:val="000000"/>
          <w:sz w:val="20"/>
          <w:szCs w:val="20"/>
          <w:lang w:val="en-GB"/>
        </w:rPr>
        <w:t xml:space="preserve"> </w:t>
      </w:r>
      <w:r w:rsidRPr="0038420B">
        <w:rPr>
          <w:rFonts w:cs="FrutigerLTPro-LightCn"/>
          <w:color w:val="000000"/>
          <w:sz w:val="20"/>
          <w:szCs w:val="20"/>
          <w:lang w:val="en-GB"/>
        </w:rPr>
        <w:t xml:space="preserve">computed tomography decision instrument for selective imaging of </w:t>
      </w:r>
      <w:proofErr w:type="spellStart"/>
      <w:r w:rsidRPr="0038420B">
        <w:rPr>
          <w:rFonts w:cs="FrutigerLTPro-LightCn"/>
          <w:color w:val="000000"/>
          <w:sz w:val="20"/>
          <w:szCs w:val="20"/>
          <w:lang w:val="en-GB"/>
        </w:rPr>
        <w:t>pediatric</w:t>
      </w:r>
      <w:proofErr w:type="spellEnd"/>
      <w:r w:rsidRPr="0038420B">
        <w:rPr>
          <w:rFonts w:cs="FrutigerLTPro-LightCn"/>
          <w:color w:val="000000"/>
          <w:sz w:val="20"/>
          <w:szCs w:val="20"/>
          <w:lang w:val="en-GB"/>
        </w:rPr>
        <w:t xml:space="preserve"> patients</w:t>
      </w:r>
      <w:r w:rsidR="0038420B" w:rsidRPr="0038420B">
        <w:rPr>
          <w:rFonts w:cs="FrutigerLTPro-LightCn"/>
          <w:color w:val="000000"/>
          <w:sz w:val="20"/>
          <w:szCs w:val="20"/>
          <w:lang w:val="en-GB"/>
        </w:rPr>
        <w:t xml:space="preserve"> </w:t>
      </w:r>
      <w:r w:rsidRPr="0038420B">
        <w:rPr>
          <w:rFonts w:cs="FrutigerLTPro-LightCn"/>
          <w:color w:val="000000"/>
          <w:sz w:val="20"/>
          <w:szCs w:val="20"/>
          <w:lang w:val="en-GB"/>
        </w:rPr>
        <w:t xml:space="preserve">with blunt head trauma. </w:t>
      </w:r>
      <w:proofErr w:type="spellStart"/>
      <w:r w:rsidRPr="0038420B">
        <w:rPr>
          <w:rFonts w:cs="FrutigerLTPro-LightCnIta"/>
          <w:color w:val="0000FF"/>
          <w:sz w:val="20"/>
          <w:szCs w:val="20"/>
          <w:lang w:val="en-GB"/>
        </w:rPr>
        <w:t>Acad</w:t>
      </w:r>
      <w:proofErr w:type="spellEnd"/>
      <w:r w:rsidRPr="0038420B">
        <w:rPr>
          <w:rFonts w:cs="FrutigerLTPro-LightCnIta"/>
          <w:color w:val="0000FF"/>
          <w:sz w:val="20"/>
          <w:szCs w:val="20"/>
          <w:lang w:val="en-GB"/>
        </w:rPr>
        <w:t xml:space="preserve"> </w:t>
      </w:r>
      <w:proofErr w:type="spellStart"/>
      <w:r w:rsidRPr="0038420B">
        <w:rPr>
          <w:rFonts w:cs="FrutigerLTPro-LightCnIta"/>
          <w:color w:val="0000FF"/>
          <w:sz w:val="20"/>
          <w:szCs w:val="20"/>
          <w:lang w:val="en-GB"/>
        </w:rPr>
        <w:t>Emerg</w:t>
      </w:r>
      <w:proofErr w:type="spellEnd"/>
      <w:r w:rsidRPr="0038420B">
        <w:rPr>
          <w:rFonts w:cs="FrutigerLTPro-LightCnIta"/>
          <w:color w:val="0000FF"/>
          <w:sz w:val="20"/>
          <w:szCs w:val="20"/>
          <w:lang w:val="en-GB"/>
        </w:rPr>
        <w:t xml:space="preserve"> Med </w:t>
      </w:r>
      <w:r w:rsidRPr="0038420B">
        <w:rPr>
          <w:rFonts w:cs="FrutigerLTPro-LightCn"/>
          <w:color w:val="000000"/>
          <w:sz w:val="20"/>
          <w:szCs w:val="20"/>
          <w:lang w:val="en-GB"/>
        </w:rPr>
        <w:t>2018:729–37.</w:t>
      </w:r>
    </w:p>
    <w:p w:rsidR="005C0CD3" w:rsidRPr="0038420B" w:rsidRDefault="005C0CD3" w:rsidP="0038420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480" w:lineRule="auto"/>
        <w:rPr>
          <w:rFonts w:cs="FrutigerLTPro-LightCn"/>
          <w:color w:val="000000"/>
          <w:sz w:val="20"/>
          <w:szCs w:val="20"/>
          <w:lang w:val="en-GB"/>
        </w:rPr>
      </w:pPr>
      <w:r w:rsidRPr="0038420B">
        <w:rPr>
          <w:rFonts w:cs="FrutigerLTPro-LightCn"/>
          <w:color w:val="000000"/>
          <w:sz w:val="20"/>
          <w:szCs w:val="20"/>
          <w:lang w:val="en-GB"/>
        </w:rPr>
        <w:t xml:space="preserve">Mower WR, Hoffman JR, Herbert M, </w:t>
      </w:r>
      <w:r w:rsidRPr="0038420B">
        <w:rPr>
          <w:rFonts w:cs="FrutigerLTPro-LightCnIta"/>
          <w:color w:val="000000"/>
          <w:sz w:val="20"/>
          <w:szCs w:val="20"/>
          <w:lang w:val="en-GB"/>
        </w:rPr>
        <w:t>et al</w:t>
      </w:r>
      <w:r w:rsidRPr="0038420B">
        <w:rPr>
          <w:rFonts w:cs="FrutigerLTPro-LightCn"/>
          <w:color w:val="000000"/>
          <w:sz w:val="20"/>
          <w:szCs w:val="20"/>
          <w:lang w:val="en-GB"/>
        </w:rPr>
        <w:t xml:space="preserve">. </w:t>
      </w:r>
      <w:proofErr w:type="gramStart"/>
      <w:r w:rsidRPr="0038420B">
        <w:rPr>
          <w:rFonts w:cs="FrutigerLTPro-LightCn"/>
          <w:color w:val="000000"/>
          <w:sz w:val="20"/>
          <w:szCs w:val="20"/>
          <w:lang w:val="en-GB"/>
        </w:rPr>
        <w:t>Developing</w:t>
      </w:r>
      <w:proofErr w:type="gramEnd"/>
      <w:r w:rsidRPr="0038420B">
        <w:rPr>
          <w:rFonts w:cs="FrutigerLTPro-LightCn"/>
          <w:color w:val="000000"/>
          <w:sz w:val="20"/>
          <w:szCs w:val="20"/>
          <w:lang w:val="en-GB"/>
        </w:rPr>
        <w:t xml:space="preserve"> a clinical decision instrument to</w:t>
      </w:r>
      <w:r w:rsidR="0038420B" w:rsidRPr="0038420B">
        <w:rPr>
          <w:rFonts w:cs="FrutigerLTPro-LightCn"/>
          <w:color w:val="000000"/>
          <w:sz w:val="20"/>
          <w:szCs w:val="20"/>
          <w:lang w:val="en-GB"/>
        </w:rPr>
        <w:t xml:space="preserve"> </w:t>
      </w:r>
      <w:r w:rsidRPr="0038420B">
        <w:rPr>
          <w:rFonts w:cs="FrutigerLTPro-LightCn"/>
          <w:color w:val="000000"/>
          <w:sz w:val="20"/>
          <w:szCs w:val="20"/>
          <w:lang w:val="en-GB"/>
        </w:rPr>
        <w:t>rule out intracranial injuries in patients with minor head trauma: methodology of the</w:t>
      </w:r>
      <w:r w:rsidR="0038420B" w:rsidRPr="0038420B">
        <w:rPr>
          <w:rFonts w:cs="FrutigerLTPro-LightCn"/>
          <w:color w:val="000000"/>
          <w:sz w:val="20"/>
          <w:szCs w:val="20"/>
          <w:lang w:val="en-GB"/>
        </w:rPr>
        <w:t xml:space="preserve"> </w:t>
      </w:r>
      <w:r w:rsidRPr="0038420B">
        <w:rPr>
          <w:rFonts w:cs="FrutigerLTPro-LightCn"/>
          <w:color w:val="000000"/>
          <w:sz w:val="20"/>
          <w:szCs w:val="20"/>
          <w:lang w:val="en-GB"/>
        </w:rPr>
        <w:t xml:space="preserve">NEXUS II investigation. </w:t>
      </w:r>
      <w:r w:rsidRPr="0038420B">
        <w:rPr>
          <w:rFonts w:cs="FrutigerLTPro-LightCnIta"/>
          <w:color w:val="0000FF"/>
          <w:sz w:val="20"/>
          <w:szCs w:val="20"/>
          <w:lang w:val="en-GB"/>
        </w:rPr>
        <w:t xml:space="preserve">Ann </w:t>
      </w:r>
      <w:proofErr w:type="spellStart"/>
      <w:r w:rsidRPr="0038420B">
        <w:rPr>
          <w:rFonts w:cs="FrutigerLTPro-LightCnIta"/>
          <w:color w:val="0000FF"/>
          <w:sz w:val="20"/>
          <w:szCs w:val="20"/>
          <w:lang w:val="en-GB"/>
        </w:rPr>
        <w:t>Emerg</w:t>
      </w:r>
      <w:proofErr w:type="spellEnd"/>
      <w:r w:rsidRPr="0038420B">
        <w:rPr>
          <w:rFonts w:cs="FrutigerLTPro-LightCnIta"/>
          <w:color w:val="0000FF"/>
          <w:sz w:val="20"/>
          <w:szCs w:val="20"/>
          <w:lang w:val="en-GB"/>
        </w:rPr>
        <w:t xml:space="preserve"> Med </w:t>
      </w:r>
      <w:r w:rsidR="0038420B" w:rsidRPr="0038420B">
        <w:rPr>
          <w:rFonts w:cs="FrutigerLTPro-LightCnIta"/>
          <w:color w:val="0000FF"/>
          <w:sz w:val="20"/>
          <w:szCs w:val="20"/>
          <w:lang w:val="en-GB"/>
        </w:rPr>
        <w:t>2</w:t>
      </w:r>
      <w:r w:rsidRPr="0038420B">
        <w:rPr>
          <w:rFonts w:cs="FrutigerLTPro-LightCn"/>
          <w:color w:val="000000"/>
          <w:sz w:val="20"/>
          <w:szCs w:val="20"/>
          <w:lang w:val="en-GB"/>
        </w:rPr>
        <w:t>002</w:t>
      </w:r>
      <w:proofErr w:type="gramStart"/>
      <w:r w:rsidRPr="0038420B">
        <w:rPr>
          <w:rFonts w:cs="FrutigerLTPro-LightCn"/>
          <w:color w:val="000000"/>
          <w:sz w:val="20"/>
          <w:szCs w:val="20"/>
          <w:lang w:val="en-GB"/>
        </w:rPr>
        <w:t>;40:505</w:t>
      </w:r>
      <w:proofErr w:type="gramEnd"/>
      <w:r w:rsidRPr="0038420B">
        <w:rPr>
          <w:rFonts w:cs="FrutigerLTPro-LightCn"/>
          <w:color w:val="000000"/>
          <w:sz w:val="20"/>
          <w:szCs w:val="20"/>
          <w:lang w:val="en-GB"/>
        </w:rPr>
        <w:t>–15.</w:t>
      </w:r>
    </w:p>
    <w:p w:rsidR="005C0CD3" w:rsidRPr="0038420B" w:rsidRDefault="005C0CD3" w:rsidP="0038420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480" w:lineRule="auto"/>
        <w:rPr>
          <w:rFonts w:cs="FrutigerLTPro-LightCn"/>
          <w:color w:val="000000"/>
          <w:sz w:val="20"/>
          <w:szCs w:val="20"/>
          <w:lang w:val="en-GB"/>
        </w:rPr>
      </w:pPr>
      <w:r w:rsidRPr="0038420B">
        <w:rPr>
          <w:rFonts w:cs="FrutigerLTPro-LightCn"/>
          <w:color w:val="000000"/>
          <w:sz w:val="20"/>
          <w:szCs w:val="20"/>
          <w:lang w:val="en-GB"/>
        </w:rPr>
        <w:t>Sun BC, Hoffman JR, Mower WR. Evaluation of a modified prediction instrument to</w:t>
      </w:r>
      <w:r w:rsidR="0038420B" w:rsidRPr="0038420B">
        <w:rPr>
          <w:rFonts w:cs="FrutigerLTPro-LightCn"/>
          <w:color w:val="000000"/>
          <w:sz w:val="20"/>
          <w:szCs w:val="20"/>
          <w:lang w:val="en-GB"/>
        </w:rPr>
        <w:t xml:space="preserve"> </w:t>
      </w:r>
      <w:r w:rsidRPr="0038420B">
        <w:rPr>
          <w:rFonts w:cs="FrutigerLTPro-LightCn"/>
          <w:color w:val="000000"/>
          <w:sz w:val="20"/>
          <w:szCs w:val="20"/>
          <w:lang w:val="en-GB"/>
        </w:rPr>
        <w:t xml:space="preserve">identify significant </w:t>
      </w:r>
      <w:proofErr w:type="spellStart"/>
      <w:r w:rsidRPr="0038420B">
        <w:rPr>
          <w:rFonts w:cs="FrutigerLTPro-LightCn"/>
          <w:color w:val="000000"/>
          <w:sz w:val="20"/>
          <w:szCs w:val="20"/>
          <w:lang w:val="en-GB"/>
        </w:rPr>
        <w:t>pediatric</w:t>
      </w:r>
      <w:proofErr w:type="spellEnd"/>
      <w:r w:rsidRPr="0038420B">
        <w:rPr>
          <w:rFonts w:cs="FrutigerLTPro-LightCn"/>
          <w:color w:val="000000"/>
          <w:sz w:val="20"/>
          <w:szCs w:val="20"/>
          <w:lang w:val="en-GB"/>
        </w:rPr>
        <w:t xml:space="preserve"> intracranial injury after blunt head trauma. </w:t>
      </w:r>
      <w:r w:rsidRPr="0038420B">
        <w:rPr>
          <w:rFonts w:cs="FrutigerLTPro-LightCnIta"/>
          <w:color w:val="0000FF"/>
          <w:sz w:val="20"/>
          <w:szCs w:val="20"/>
          <w:lang w:val="en-GB"/>
        </w:rPr>
        <w:t xml:space="preserve">Ann </w:t>
      </w:r>
      <w:proofErr w:type="spellStart"/>
      <w:r w:rsidRPr="0038420B">
        <w:rPr>
          <w:rFonts w:cs="FrutigerLTPro-LightCnIta"/>
          <w:color w:val="0000FF"/>
          <w:sz w:val="20"/>
          <w:szCs w:val="20"/>
          <w:lang w:val="en-GB"/>
        </w:rPr>
        <w:t>Emerg</w:t>
      </w:r>
      <w:proofErr w:type="spellEnd"/>
      <w:r w:rsidR="0038420B" w:rsidRPr="0038420B">
        <w:rPr>
          <w:rFonts w:cs="FrutigerLTPro-LightCnIta"/>
          <w:color w:val="0000FF"/>
          <w:sz w:val="20"/>
          <w:szCs w:val="20"/>
          <w:lang w:val="en-GB"/>
        </w:rPr>
        <w:t xml:space="preserve"> </w:t>
      </w:r>
      <w:r w:rsidRPr="0038420B">
        <w:rPr>
          <w:rFonts w:cs="FrutigerLTPro-LightCnIta"/>
          <w:color w:val="0000FF"/>
          <w:sz w:val="20"/>
          <w:szCs w:val="20"/>
          <w:lang w:val="en-GB"/>
        </w:rPr>
        <w:t xml:space="preserve">Med </w:t>
      </w:r>
      <w:r w:rsidRPr="0038420B">
        <w:rPr>
          <w:rFonts w:cs="FrutigerLTPro-LightCn"/>
          <w:color w:val="000000"/>
          <w:sz w:val="20"/>
          <w:szCs w:val="20"/>
          <w:lang w:val="en-GB"/>
        </w:rPr>
        <w:t>2007</w:t>
      </w:r>
      <w:proofErr w:type="gramStart"/>
      <w:r w:rsidRPr="0038420B">
        <w:rPr>
          <w:rFonts w:cs="FrutigerLTPro-LightCn"/>
          <w:color w:val="000000"/>
          <w:sz w:val="20"/>
          <w:szCs w:val="20"/>
          <w:lang w:val="en-GB"/>
        </w:rPr>
        <w:t>;49:325</w:t>
      </w:r>
      <w:proofErr w:type="gramEnd"/>
      <w:r w:rsidRPr="0038420B">
        <w:rPr>
          <w:rFonts w:cs="FrutigerLTPro-LightCn"/>
          <w:color w:val="000000"/>
          <w:sz w:val="20"/>
          <w:szCs w:val="20"/>
          <w:lang w:val="en-GB"/>
        </w:rPr>
        <w:t>–32.</w:t>
      </w:r>
    </w:p>
    <w:p w:rsidR="005C0CD3" w:rsidRPr="0038420B" w:rsidRDefault="005C0CD3" w:rsidP="0038420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480" w:lineRule="auto"/>
        <w:rPr>
          <w:rFonts w:cs="FrutigerLTPro-LightCn"/>
          <w:color w:val="000000"/>
          <w:sz w:val="20"/>
          <w:szCs w:val="20"/>
          <w:lang w:val="en-GB"/>
        </w:rPr>
      </w:pPr>
      <w:r w:rsidRPr="0038420B">
        <w:rPr>
          <w:rFonts w:cs="FrutigerLTPro-LightCn"/>
          <w:color w:val="000000"/>
          <w:sz w:val="20"/>
          <w:szCs w:val="20"/>
          <w:lang w:val="en-GB"/>
        </w:rPr>
        <w:t xml:space="preserve">Oakley E, May R, </w:t>
      </w:r>
      <w:proofErr w:type="spellStart"/>
      <w:r w:rsidRPr="0038420B">
        <w:rPr>
          <w:rFonts w:cs="FrutigerLTPro-LightCn"/>
          <w:color w:val="000000"/>
          <w:sz w:val="20"/>
          <w:szCs w:val="20"/>
          <w:lang w:val="en-GB"/>
        </w:rPr>
        <w:t>Hoeppner</w:t>
      </w:r>
      <w:proofErr w:type="spellEnd"/>
      <w:r w:rsidRPr="0038420B">
        <w:rPr>
          <w:rFonts w:cs="FrutigerLTPro-LightCn"/>
          <w:color w:val="000000"/>
          <w:sz w:val="20"/>
          <w:szCs w:val="20"/>
          <w:lang w:val="en-GB"/>
        </w:rPr>
        <w:t xml:space="preserve"> T, </w:t>
      </w:r>
      <w:proofErr w:type="gramStart"/>
      <w:r w:rsidRPr="0038420B">
        <w:rPr>
          <w:rFonts w:cs="FrutigerLTPro-LightCnIta"/>
          <w:color w:val="000000"/>
          <w:sz w:val="20"/>
          <w:szCs w:val="20"/>
          <w:lang w:val="en-GB"/>
        </w:rPr>
        <w:t>et</w:t>
      </w:r>
      <w:proofErr w:type="gramEnd"/>
      <w:r w:rsidRPr="0038420B">
        <w:rPr>
          <w:rFonts w:cs="FrutigerLTPro-LightCnIta"/>
          <w:color w:val="000000"/>
          <w:sz w:val="20"/>
          <w:szCs w:val="20"/>
          <w:lang w:val="en-GB"/>
        </w:rPr>
        <w:t xml:space="preserve"> al</w:t>
      </w:r>
      <w:r w:rsidRPr="0038420B">
        <w:rPr>
          <w:rFonts w:cs="FrutigerLTPro-LightCn"/>
          <w:color w:val="000000"/>
          <w:sz w:val="20"/>
          <w:szCs w:val="20"/>
          <w:lang w:val="en-GB"/>
        </w:rPr>
        <w:t>. Computed tomography for head injuries</w:t>
      </w:r>
      <w:r w:rsidR="0038420B" w:rsidRPr="0038420B">
        <w:rPr>
          <w:rFonts w:cs="FrutigerLTPro-LightCn"/>
          <w:color w:val="000000"/>
          <w:sz w:val="20"/>
          <w:szCs w:val="20"/>
          <w:lang w:val="en-GB"/>
        </w:rPr>
        <w:t xml:space="preserve"> </w:t>
      </w:r>
      <w:r w:rsidRPr="0038420B">
        <w:rPr>
          <w:rFonts w:cs="FrutigerLTPro-LightCn"/>
          <w:color w:val="000000"/>
          <w:sz w:val="20"/>
          <w:szCs w:val="20"/>
          <w:lang w:val="en-GB"/>
        </w:rPr>
        <w:t xml:space="preserve">in children: Change in Australian usage rates over time. </w:t>
      </w:r>
      <w:proofErr w:type="spellStart"/>
      <w:r w:rsidRPr="0038420B">
        <w:rPr>
          <w:rFonts w:cs="FrutigerLTPro-LightCnIta"/>
          <w:color w:val="0000FF"/>
          <w:sz w:val="20"/>
          <w:szCs w:val="20"/>
          <w:lang w:val="en-GB"/>
        </w:rPr>
        <w:t>Emerg</w:t>
      </w:r>
      <w:proofErr w:type="spellEnd"/>
      <w:r w:rsidRPr="0038420B">
        <w:rPr>
          <w:rFonts w:cs="FrutigerLTPro-LightCnIta"/>
          <w:color w:val="0000FF"/>
          <w:sz w:val="20"/>
          <w:szCs w:val="20"/>
          <w:lang w:val="en-GB"/>
        </w:rPr>
        <w:t xml:space="preserve"> Med </w:t>
      </w:r>
      <w:proofErr w:type="spellStart"/>
      <w:r w:rsidRPr="0038420B">
        <w:rPr>
          <w:rFonts w:cs="FrutigerLTPro-LightCnIta"/>
          <w:color w:val="0000FF"/>
          <w:sz w:val="20"/>
          <w:szCs w:val="20"/>
          <w:lang w:val="en-GB"/>
        </w:rPr>
        <w:t>Australas</w:t>
      </w:r>
      <w:proofErr w:type="spellEnd"/>
      <w:r w:rsidR="0038420B" w:rsidRPr="0038420B">
        <w:rPr>
          <w:rFonts w:cs="FrutigerLTPro-LightCnIta"/>
          <w:color w:val="0000FF"/>
          <w:sz w:val="20"/>
          <w:szCs w:val="20"/>
          <w:lang w:val="en-GB"/>
        </w:rPr>
        <w:t xml:space="preserve"> </w:t>
      </w:r>
      <w:r w:rsidRPr="0038420B">
        <w:rPr>
          <w:rFonts w:cs="FrutigerLTPro-LightCn"/>
          <w:color w:val="000000"/>
          <w:sz w:val="20"/>
          <w:szCs w:val="20"/>
          <w:lang w:val="en-GB"/>
        </w:rPr>
        <w:t>2017</w:t>
      </w:r>
      <w:proofErr w:type="gramStart"/>
      <w:r w:rsidRPr="0038420B">
        <w:rPr>
          <w:rFonts w:cs="FrutigerLTPro-LightCn"/>
          <w:color w:val="000000"/>
          <w:sz w:val="20"/>
          <w:szCs w:val="20"/>
          <w:lang w:val="en-GB"/>
        </w:rPr>
        <w:t>;29:192</w:t>
      </w:r>
      <w:proofErr w:type="gramEnd"/>
      <w:r w:rsidRPr="0038420B">
        <w:rPr>
          <w:rFonts w:cs="FrutigerLTPro-LightCn"/>
          <w:color w:val="000000"/>
          <w:sz w:val="20"/>
          <w:szCs w:val="20"/>
          <w:lang w:val="en-GB"/>
        </w:rPr>
        <w:t>–7.</w:t>
      </w:r>
    </w:p>
    <w:p w:rsidR="005C0CD3" w:rsidRPr="0038420B" w:rsidRDefault="005C0CD3" w:rsidP="0038420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480" w:lineRule="auto"/>
        <w:rPr>
          <w:rFonts w:cs="FrutigerLTPro-LightCn"/>
          <w:color w:val="000000"/>
          <w:sz w:val="20"/>
          <w:szCs w:val="20"/>
          <w:lang w:val="en-GB"/>
        </w:rPr>
      </w:pPr>
      <w:proofErr w:type="spellStart"/>
      <w:r w:rsidRPr="0038420B">
        <w:rPr>
          <w:rFonts w:cs="FrutigerLTPro-LightCn"/>
          <w:color w:val="000000"/>
          <w:sz w:val="20"/>
          <w:szCs w:val="20"/>
          <w:lang w:val="en-GB"/>
        </w:rPr>
        <w:lastRenderedPageBreak/>
        <w:t>Lockie</w:t>
      </w:r>
      <w:proofErr w:type="spellEnd"/>
      <w:r w:rsidRPr="0038420B">
        <w:rPr>
          <w:rFonts w:cs="FrutigerLTPro-LightCn"/>
          <w:color w:val="000000"/>
          <w:sz w:val="20"/>
          <w:szCs w:val="20"/>
          <w:lang w:val="en-GB"/>
        </w:rPr>
        <w:t xml:space="preserve"> FD, Dalton S, Oakley E, </w:t>
      </w:r>
      <w:r w:rsidRPr="0038420B">
        <w:rPr>
          <w:rFonts w:cs="FrutigerLTPro-LightCnIta"/>
          <w:color w:val="000000"/>
          <w:sz w:val="20"/>
          <w:szCs w:val="20"/>
          <w:lang w:val="en-GB"/>
        </w:rPr>
        <w:t>et al</w:t>
      </w:r>
      <w:r w:rsidRPr="0038420B">
        <w:rPr>
          <w:rFonts w:cs="FrutigerLTPro-LightCn"/>
          <w:color w:val="000000"/>
          <w:sz w:val="20"/>
          <w:szCs w:val="20"/>
          <w:lang w:val="en-GB"/>
        </w:rPr>
        <w:t>. Triggers for head computed tomography following</w:t>
      </w:r>
      <w:r w:rsidR="0038420B" w:rsidRPr="0038420B">
        <w:rPr>
          <w:rFonts w:cs="FrutigerLTPro-LightCn"/>
          <w:color w:val="000000"/>
          <w:sz w:val="20"/>
          <w:szCs w:val="20"/>
          <w:lang w:val="en-GB"/>
        </w:rPr>
        <w:t xml:space="preserve"> </w:t>
      </w:r>
      <w:r w:rsidRPr="0038420B">
        <w:rPr>
          <w:rFonts w:cs="FrutigerLTPro-LightCn"/>
          <w:color w:val="000000"/>
          <w:sz w:val="20"/>
          <w:szCs w:val="20"/>
          <w:lang w:val="en-GB"/>
        </w:rPr>
        <w:t>paediatric head injury: Comparison of physicians’ reported practice and clinical</w:t>
      </w:r>
      <w:r w:rsidR="0038420B" w:rsidRPr="0038420B">
        <w:rPr>
          <w:rFonts w:cs="FrutigerLTPro-LightCn"/>
          <w:color w:val="000000"/>
          <w:sz w:val="20"/>
          <w:szCs w:val="20"/>
          <w:lang w:val="en-GB"/>
        </w:rPr>
        <w:t xml:space="preserve"> </w:t>
      </w:r>
      <w:r w:rsidRPr="0038420B">
        <w:rPr>
          <w:rFonts w:cs="FrutigerLTPro-LightCn"/>
          <w:color w:val="000000"/>
          <w:sz w:val="20"/>
          <w:szCs w:val="20"/>
          <w:lang w:val="en-GB"/>
        </w:rPr>
        <w:t xml:space="preserve">decision rules. </w:t>
      </w:r>
      <w:proofErr w:type="spellStart"/>
      <w:r w:rsidRPr="0038420B">
        <w:rPr>
          <w:rFonts w:cs="FrutigerLTPro-LightCnIta"/>
          <w:color w:val="0000FF"/>
          <w:sz w:val="20"/>
          <w:szCs w:val="20"/>
          <w:lang w:val="en-GB"/>
        </w:rPr>
        <w:t>Emerg</w:t>
      </w:r>
      <w:proofErr w:type="spellEnd"/>
      <w:r w:rsidRPr="0038420B">
        <w:rPr>
          <w:rFonts w:cs="FrutigerLTPro-LightCnIta"/>
          <w:color w:val="0000FF"/>
          <w:sz w:val="20"/>
          <w:szCs w:val="20"/>
          <w:lang w:val="en-GB"/>
        </w:rPr>
        <w:t xml:space="preserve"> Med </w:t>
      </w:r>
      <w:proofErr w:type="spellStart"/>
      <w:r w:rsidRPr="0038420B">
        <w:rPr>
          <w:rFonts w:cs="FrutigerLTPro-LightCnIta"/>
          <w:color w:val="0000FF"/>
          <w:sz w:val="20"/>
          <w:szCs w:val="20"/>
          <w:lang w:val="en-GB"/>
        </w:rPr>
        <w:t>Australas</w:t>
      </w:r>
      <w:proofErr w:type="spellEnd"/>
      <w:r w:rsidRPr="0038420B">
        <w:rPr>
          <w:rFonts w:cs="FrutigerLTPro-LightCnIta"/>
          <w:color w:val="0000FF"/>
          <w:sz w:val="20"/>
          <w:szCs w:val="20"/>
          <w:lang w:val="en-GB"/>
        </w:rPr>
        <w:t xml:space="preserve"> </w:t>
      </w:r>
      <w:r w:rsidRPr="0038420B">
        <w:rPr>
          <w:rFonts w:cs="FrutigerLTPro-LightCn"/>
          <w:color w:val="000000"/>
          <w:sz w:val="20"/>
          <w:szCs w:val="20"/>
          <w:lang w:val="en-GB"/>
        </w:rPr>
        <w:t>2013</w:t>
      </w:r>
      <w:proofErr w:type="gramStart"/>
      <w:r w:rsidRPr="0038420B">
        <w:rPr>
          <w:rFonts w:cs="FrutigerLTPro-LightCn"/>
          <w:color w:val="000000"/>
          <w:sz w:val="20"/>
          <w:szCs w:val="20"/>
          <w:lang w:val="en-GB"/>
        </w:rPr>
        <w:t>;25:75</w:t>
      </w:r>
      <w:proofErr w:type="gramEnd"/>
      <w:r w:rsidRPr="0038420B">
        <w:rPr>
          <w:rFonts w:cs="FrutigerLTPro-LightCn"/>
          <w:color w:val="000000"/>
          <w:sz w:val="20"/>
          <w:szCs w:val="20"/>
          <w:lang w:val="en-GB"/>
        </w:rPr>
        <w:t>–82.</w:t>
      </w:r>
    </w:p>
    <w:p w:rsidR="005C0CD3" w:rsidRPr="005C0CD3" w:rsidRDefault="005C0CD3" w:rsidP="005C0CD3">
      <w:pPr>
        <w:spacing w:line="360" w:lineRule="auto"/>
        <w:rPr>
          <w:rFonts w:asciiTheme="minorHAnsi" w:hAnsiTheme="minorHAnsi" w:cs="FrutigerLTPro-LightCn"/>
          <w:color w:val="000000"/>
          <w:sz w:val="20"/>
          <w:szCs w:val="20"/>
          <w:lang w:val="en-GB"/>
        </w:rPr>
      </w:pPr>
    </w:p>
    <w:p w:rsidR="005C0CD3" w:rsidRPr="005C0CD3" w:rsidRDefault="005C0CD3" w:rsidP="005C0CD3">
      <w:pPr>
        <w:spacing w:line="360" w:lineRule="auto"/>
        <w:rPr>
          <w:rFonts w:asciiTheme="minorHAnsi" w:hAnsiTheme="minorHAnsi" w:cs="FrutigerLTPro-LightCn"/>
          <w:color w:val="000000"/>
          <w:sz w:val="20"/>
          <w:szCs w:val="20"/>
          <w:lang w:val="en-GB"/>
        </w:rPr>
      </w:pPr>
    </w:p>
    <w:p w:rsidR="005C0CD3" w:rsidRPr="005C0CD3" w:rsidRDefault="005C0CD3" w:rsidP="005C0CD3">
      <w:pPr>
        <w:spacing w:line="360" w:lineRule="auto"/>
        <w:rPr>
          <w:rFonts w:asciiTheme="minorHAnsi" w:hAnsiTheme="minorHAnsi" w:cs="FrutigerLTPro-LightCn"/>
          <w:color w:val="000000"/>
          <w:sz w:val="20"/>
          <w:szCs w:val="20"/>
          <w:lang w:val="en-GB"/>
        </w:rPr>
      </w:pPr>
    </w:p>
    <w:p w:rsidR="005C0CD3" w:rsidRPr="005C0CD3" w:rsidRDefault="005C0CD3">
      <w:pPr>
        <w:spacing w:after="200" w:line="276" w:lineRule="auto"/>
        <w:rPr>
          <w:rFonts w:asciiTheme="minorHAnsi" w:hAnsiTheme="minorHAnsi" w:cs="FrutigerLTPro-LightCn"/>
          <w:color w:val="000000"/>
          <w:sz w:val="20"/>
          <w:szCs w:val="20"/>
          <w:lang w:val="en-GB"/>
        </w:rPr>
      </w:pPr>
      <w:r w:rsidRPr="005C0CD3">
        <w:rPr>
          <w:rFonts w:asciiTheme="minorHAnsi" w:hAnsiTheme="minorHAnsi" w:cs="FrutigerLTPro-LightCn"/>
          <w:color w:val="000000"/>
          <w:sz w:val="20"/>
          <w:szCs w:val="20"/>
          <w:lang w:val="en-GB"/>
        </w:rPr>
        <w:br w:type="page"/>
      </w:r>
    </w:p>
    <w:p w:rsidR="005C0CD3" w:rsidRPr="005C0CD3" w:rsidRDefault="005C0CD3" w:rsidP="005C0CD3">
      <w:pPr>
        <w:spacing w:after="160" w:line="259" w:lineRule="auto"/>
        <w:rPr>
          <w:rFonts w:asciiTheme="minorHAnsi" w:hAnsiTheme="minorHAnsi"/>
          <w:b/>
          <w:sz w:val="20"/>
          <w:szCs w:val="20"/>
        </w:rPr>
      </w:pPr>
      <w:r w:rsidRPr="005C0CD3">
        <w:rPr>
          <w:rFonts w:asciiTheme="minorHAnsi" w:hAnsiTheme="minorHAnsi"/>
          <w:b/>
          <w:sz w:val="20"/>
          <w:szCs w:val="20"/>
        </w:rPr>
        <w:lastRenderedPageBreak/>
        <w:t xml:space="preserve">Figure 1: Patients flow </w:t>
      </w:r>
    </w:p>
    <w:p w:rsidR="005C0CD3" w:rsidRPr="005C0CD3" w:rsidRDefault="005C0CD3" w:rsidP="005C0CD3">
      <w:pPr>
        <w:spacing w:after="160" w:line="259" w:lineRule="auto"/>
        <w:jc w:val="center"/>
        <w:rPr>
          <w:rFonts w:asciiTheme="minorHAnsi" w:hAnsiTheme="minorHAnsi"/>
          <w:sz w:val="20"/>
          <w:szCs w:val="20"/>
        </w:rPr>
      </w:pPr>
      <w:r w:rsidRPr="005C0CD3">
        <w:rPr>
          <w:rFonts w:asciiTheme="minorHAnsi" w:hAnsiTheme="minorHAnsi"/>
          <w:noProof/>
          <w:sz w:val="20"/>
          <w:szCs w:val="20"/>
          <w:lang w:val="en-GB" w:eastAsia="en-GB"/>
        </w:rPr>
        <w:drawing>
          <wp:inline distT="0" distB="0" distL="0" distR="0" wp14:anchorId="6621182A" wp14:editId="1EA8ECC2">
            <wp:extent cx="5943600" cy="445643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1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CD3" w:rsidRPr="005C0CD3" w:rsidRDefault="005C0CD3" w:rsidP="005C0CD3">
      <w:pPr>
        <w:shd w:val="clear" w:color="auto" w:fill="FFFFFF"/>
        <w:rPr>
          <w:rFonts w:asciiTheme="minorHAnsi" w:eastAsia="Times New Roman" w:hAnsiTheme="minorHAnsi" w:cs="Arial"/>
          <w:color w:val="FF0000"/>
          <w:sz w:val="20"/>
          <w:szCs w:val="20"/>
          <w:lang w:val="en" w:eastAsia="en-AU"/>
        </w:rPr>
      </w:pPr>
      <w:r w:rsidRPr="005C0CD3">
        <w:rPr>
          <w:rFonts w:asciiTheme="minorHAnsi" w:eastAsia="Times New Roman" w:hAnsiTheme="minorHAnsi" w:cs="Arial"/>
          <w:sz w:val="20"/>
          <w:szCs w:val="20"/>
          <w:lang w:val="en" w:eastAsia="en-AU"/>
        </w:rPr>
        <w:t>*Head injuries not including trivial facial injuries defined as a ground level fall or walking or running into an object with no signs or symptoms of injury other than facial abrasions or lacerations below the eyebrows.</w:t>
      </w:r>
      <w:r w:rsidRPr="005C0CD3">
        <w:rPr>
          <w:rFonts w:asciiTheme="minorHAnsi" w:eastAsia="Times New Roman" w:hAnsiTheme="minorHAnsi" w:cs="Arial"/>
          <w:color w:val="FF0000"/>
          <w:sz w:val="20"/>
          <w:szCs w:val="20"/>
          <w:lang w:val="en" w:eastAsia="en-AU"/>
        </w:rPr>
        <w:t xml:space="preserve"> </w:t>
      </w:r>
    </w:p>
    <w:p w:rsidR="005C0CD3" w:rsidRPr="005C0CD3" w:rsidRDefault="005C0CD3" w:rsidP="005C0CD3">
      <w:pPr>
        <w:shd w:val="clear" w:color="auto" w:fill="FFFFFF"/>
        <w:rPr>
          <w:rFonts w:asciiTheme="minorHAnsi" w:eastAsia="Times New Roman" w:hAnsiTheme="minorHAnsi" w:cs="Arial"/>
          <w:sz w:val="20"/>
          <w:szCs w:val="20"/>
          <w:lang w:val="en" w:eastAsia="en-AU"/>
        </w:rPr>
      </w:pPr>
      <w:r w:rsidRPr="005C0CD3">
        <w:rPr>
          <w:rFonts w:asciiTheme="minorHAnsi" w:eastAsia="Times New Roman" w:hAnsiTheme="minorHAnsi" w:cs="Arial"/>
          <w:sz w:val="20"/>
          <w:szCs w:val="20"/>
          <w:lang w:val="en" w:eastAsia="en-AU"/>
        </w:rPr>
        <w:t xml:space="preserve">CT=computed tomography; ED = Emergency Department; GCS=Glasgow Coma Score; MRI=magnetic resonance imaging. </w:t>
      </w:r>
    </w:p>
    <w:p w:rsidR="005C0CD3" w:rsidRPr="005C0CD3" w:rsidRDefault="005C0CD3" w:rsidP="005C0CD3">
      <w:pPr>
        <w:spacing w:line="360" w:lineRule="auto"/>
        <w:rPr>
          <w:rFonts w:asciiTheme="minorHAnsi" w:hAnsiTheme="minorHAnsi" w:cs="Arial"/>
          <w:b/>
          <w:sz w:val="20"/>
          <w:szCs w:val="20"/>
        </w:rPr>
      </w:pPr>
    </w:p>
    <w:p w:rsidR="005C0CD3" w:rsidRPr="005C0CD3" w:rsidRDefault="005C0CD3" w:rsidP="005C0CD3">
      <w:pPr>
        <w:spacing w:after="160" w:line="259" w:lineRule="auto"/>
        <w:rPr>
          <w:rFonts w:asciiTheme="minorHAnsi" w:hAnsiTheme="minorHAnsi"/>
          <w:sz w:val="20"/>
          <w:szCs w:val="20"/>
        </w:rPr>
      </w:pPr>
      <w:r w:rsidRPr="005C0CD3">
        <w:rPr>
          <w:rFonts w:asciiTheme="minorHAnsi" w:hAnsiTheme="minorHAnsi"/>
          <w:sz w:val="20"/>
          <w:szCs w:val="20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"/>
        <w:gridCol w:w="4290"/>
        <w:gridCol w:w="4455"/>
      </w:tblGrid>
      <w:tr w:rsidR="005C0CD3" w:rsidRPr="005C0CD3" w:rsidTr="00317547">
        <w:tc>
          <w:tcPr>
            <w:tcW w:w="9576" w:type="dxa"/>
            <w:gridSpan w:val="3"/>
          </w:tcPr>
          <w:p w:rsidR="005C0CD3" w:rsidRPr="005C0CD3" w:rsidRDefault="005C0CD3" w:rsidP="0031754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0CD3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Table 1. Definition of the seven risk criteria according to Oman et al., (2006) and adaptations to fit the definitions to our dataset</w:t>
            </w:r>
          </w:p>
        </w:tc>
      </w:tr>
      <w:tr w:rsidR="005C0CD3" w:rsidRPr="005C0CD3" w:rsidTr="00317547">
        <w:tc>
          <w:tcPr>
            <w:tcW w:w="509" w:type="dxa"/>
            <w:tcBorders>
              <w:bottom w:val="single" w:sz="4" w:space="0" w:color="auto"/>
            </w:tcBorders>
          </w:tcPr>
          <w:p w:rsidR="005C0CD3" w:rsidRPr="005C0CD3" w:rsidRDefault="005C0CD3" w:rsidP="003175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1" w:type="dxa"/>
            <w:tcBorders>
              <w:bottom w:val="single" w:sz="4" w:space="0" w:color="auto"/>
            </w:tcBorders>
          </w:tcPr>
          <w:p w:rsidR="005C0CD3" w:rsidRPr="005C0CD3" w:rsidRDefault="005C0CD3" w:rsidP="0031754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5C0CD3" w:rsidRPr="005C0CD3" w:rsidRDefault="005C0CD3" w:rsidP="0031754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C0CD3" w:rsidRPr="005C0CD3" w:rsidTr="00317547"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5C0CD3" w:rsidRPr="005C0CD3" w:rsidRDefault="005C0CD3" w:rsidP="003175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1" w:type="dxa"/>
            <w:tcBorders>
              <w:top w:val="single" w:sz="4" w:space="0" w:color="auto"/>
              <w:bottom w:val="single" w:sz="4" w:space="0" w:color="auto"/>
            </w:tcBorders>
          </w:tcPr>
          <w:p w:rsidR="005C0CD3" w:rsidRPr="005C0CD3" w:rsidRDefault="005C0CD3" w:rsidP="0031754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0CD3">
              <w:rPr>
                <w:rFonts w:asciiTheme="minorHAnsi" w:hAnsiTheme="minorHAnsi" w:cstheme="minorHAnsi"/>
                <w:b/>
                <w:sz w:val="20"/>
                <w:szCs w:val="20"/>
              </w:rPr>
              <w:t>DEFINITION (Oman et al., 2006)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5C0CD3" w:rsidRPr="005C0CD3" w:rsidRDefault="005C0CD3" w:rsidP="0031754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0C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ADAPTATION </w:t>
            </w:r>
          </w:p>
        </w:tc>
      </w:tr>
      <w:tr w:rsidR="005C0CD3" w:rsidRPr="005C0CD3" w:rsidTr="00317547">
        <w:trPr>
          <w:trHeight w:val="3871"/>
        </w:trPr>
        <w:tc>
          <w:tcPr>
            <w:tcW w:w="509" w:type="dxa"/>
            <w:tcBorders>
              <w:top w:val="single" w:sz="4" w:space="0" w:color="auto"/>
            </w:tcBorders>
          </w:tcPr>
          <w:p w:rsidR="005C0CD3" w:rsidRPr="005C0CD3" w:rsidRDefault="005C0CD3" w:rsidP="003175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C0CD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461" w:type="dxa"/>
            <w:tcBorders>
              <w:top w:val="single" w:sz="4" w:space="0" w:color="auto"/>
            </w:tcBorders>
          </w:tcPr>
          <w:p w:rsidR="005C0CD3" w:rsidRPr="005C0CD3" w:rsidRDefault="005C0CD3" w:rsidP="00317547">
            <w:pPr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5C0CD3">
              <w:rPr>
                <w:rFonts w:asciiTheme="minorHAnsi" w:hAnsiTheme="minorHAnsi" w:cstheme="minorHAnsi"/>
                <w:b/>
                <w:sz w:val="20"/>
                <w:szCs w:val="20"/>
              </w:rPr>
              <w:t>Evidence of significant skull fracture</w:t>
            </w:r>
          </w:p>
          <w:p w:rsidR="005C0CD3" w:rsidRPr="005C0CD3" w:rsidRDefault="005C0CD3" w:rsidP="003175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C0CD3">
              <w:rPr>
                <w:rFonts w:asciiTheme="minorHAnsi" w:hAnsiTheme="minorHAnsi" w:cstheme="minorHAnsi"/>
                <w:iCs/>
                <w:sz w:val="20"/>
                <w:szCs w:val="20"/>
              </w:rPr>
              <w:t>Evidence of skull fracture includes</w:t>
            </w:r>
            <w:r w:rsidRPr="005C0CD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5C0CD3">
              <w:rPr>
                <w:rFonts w:asciiTheme="minorHAnsi" w:hAnsiTheme="minorHAnsi" w:cstheme="minorHAnsi"/>
                <w:iCs/>
                <w:sz w:val="20"/>
                <w:szCs w:val="20"/>
              </w:rPr>
              <w:t>but it is not limited to any signs of basilar skull fracture</w:t>
            </w:r>
            <w:r w:rsidRPr="005C0CD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5C0CD3">
              <w:rPr>
                <w:rFonts w:asciiTheme="minorHAnsi" w:hAnsiTheme="minorHAnsi" w:cstheme="minorHAnsi"/>
                <w:sz w:val="20"/>
                <w:szCs w:val="20"/>
              </w:rPr>
              <w:t xml:space="preserve">(periorbital or peri-auricular </w:t>
            </w:r>
            <w:proofErr w:type="spellStart"/>
            <w:r w:rsidRPr="005C0CD3">
              <w:rPr>
                <w:rFonts w:asciiTheme="minorHAnsi" w:hAnsiTheme="minorHAnsi" w:cstheme="minorHAnsi"/>
                <w:sz w:val="20"/>
                <w:szCs w:val="20"/>
              </w:rPr>
              <w:t>ecchymoses</w:t>
            </w:r>
            <w:proofErr w:type="spellEnd"/>
            <w:r w:rsidRPr="005C0CD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5C0CD3">
              <w:rPr>
                <w:rFonts w:asciiTheme="minorHAnsi" w:hAnsiTheme="minorHAnsi" w:cstheme="minorHAnsi"/>
                <w:sz w:val="20"/>
                <w:szCs w:val="20"/>
              </w:rPr>
              <w:t>hemotympanum</w:t>
            </w:r>
            <w:proofErr w:type="spellEnd"/>
            <w:r w:rsidRPr="005C0CD3">
              <w:rPr>
                <w:rFonts w:asciiTheme="minorHAnsi" w:hAnsiTheme="minorHAnsi" w:cstheme="minorHAnsi"/>
                <w:sz w:val="20"/>
                <w:szCs w:val="20"/>
              </w:rPr>
              <w:t xml:space="preserve">, and drainage of clear fluid from the ears or nose) or signs of </w:t>
            </w:r>
            <w:r w:rsidRPr="005C0CD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depressed or </w:t>
            </w:r>
            <w:proofErr w:type="spellStart"/>
            <w:r w:rsidRPr="005C0CD3">
              <w:rPr>
                <w:rFonts w:asciiTheme="minorHAnsi" w:hAnsiTheme="minorHAnsi" w:cstheme="minorHAnsi"/>
                <w:iCs/>
                <w:sz w:val="20"/>
                <w:szCs w:val="20"/>
              </w:rPr>
              <w:t>diastatic</w:t>
            </w:r>
            <w:proofErr w:type="spellEnd"/>
            <w:r w:rsidRPr="005C0CD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skull</w:t>
            </w:r>
            <w:r w:rsidRPr="005C0C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C0CD3">
              <w:rPr>
                <w:rFonts w:asciiTheme="minorHAnsi" w:hAnsiTheme="minorHAnsi" w:cstheme="minorHAnsi"/>
                <w:iCs/>
                <w:sz w:val="20"/>
                <w:szCs w:val="20"/>
              </w:rPr>
              <w:t>fracture</w:t>
            </w:r>
            <w:r w:rsidRPr="005C0CD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5C0CD3">
              <w:rPr>
                <w:rFonts w:asciiTheme="minorHAnsi" w:hAnsiTheme="minorHAnsi" w:cstheme="minorHAnsi"/>
                <w:iCs/>
                <w:sz w:val="20"/>
                <w:szCs w:val="20"/>
              </w:rPr>
              <w:t>(</w:t>
            </w:r>
            <w:r w:rsidRPr="005C0CD3">
              <w:rPr>
                <w:rFonts w:asciiTheme="minorHAnsi" w:hAnsiTheme="minorHAnsi" w:cstheme="minorHAnsi"/>
                <w:sz w:val="20"/>
                <w:szCs w:val="20"/>
              </w:rPr>
              <w:t>a palpable step-off of the skull, a stellate laceration from a point source, or any injury produced by an object striking a localized region of the skull (e.g. a baseball bat, club, pool cue, golf-ball, baseball, pipe).</w:t>
            </w:r>
          </w:p>
        </w:tc>
        <w:tc>
          <w:tcPr>
            <w:tcW w:w="4606" w:type="dxa"/>
            <w:tcBorders>
              <w:top w:val="single" w:sz="4" w:space="0" w:color="auto"/>
            </w:tcBorders>
          </w:tcPr>
          <w:p w:rsidR="005C0CD3" w:rsidRPr="005C0CD3" w:rsidRDefault="005C0CD3" w:rsidP="00317547">
            <w:pPr>
              <w:rPr>
                <w:rFonts w:asciiTheme="minorHAnsi" w:hAnsiTheme="minorHAnsi" w:cstheme="minorHAnsi"/>
                <w:b/>
                <w:iCs/>
                <w:sz w:val="20"/>
                <w:szCs w:val="20"/>
                <w:lang w:val="en-US"/>
              </w:rPr>
            </w:pPr>
            <w:r w:rsidRPr="005C0CD3">
              <w:rPr>
                <w:rFonts w:asciiTheme="minorHAnsi" w:hAnsiTheme="minorHAnsi" w:cstheme="minorHAnsi"/>
                <w:b/>
                <w:iCs/>
                <w:sz w:val="20"/>
                <w:szCs w:val="20"/>
                <w:lang w:val="en-US"/>
              </w:rPr>
              <w:t>Presence of either one of the following was defined as satisfying risk criterion:</w:t>
            </w:r>
          </w:p>
          <w:p w:rsidR="005C0CD3" w:rsidRPr="005C0CD3" w:rsidRDefault="005C0CD3" w:rsidP="005C0CD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Cs/>
                <w:sz w:val="20"/>
                <w:szCs w:val="20"/>
              </w:rPr>
            </w:pPr>
            <w:r w:rsidRPr="005C0CD3">
              <w:rPr>
                <w:rFonts w:cstheme="minorHAnsi"/>
                <w:iCs/>
                <w:sz w:val="20"/>
                <w:szCs w:val="20"/>
              </w:rPr>
              <w:t xml:space="preserve">Obvious palpable skull fracture: </w:t>
            </w:r>
            <w:r w:rsidRPr="005C0CD3">
              <w:rPr>
                <w:rFonts w:cstheme="minorHAnsi"/>
                <w:i/>
                <w:iCs/>
                <w:sz w:val="20"/>
                <w:szCs w:val="20"/>
                <w:u w:val="single"/>
              </w:rPr>
              <w:t>YES/unknown</w:t>
            </w:r>
            <w:r w:rsidRPr="005C0CD3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  <w:p w:rsidR="005C0CD3" w:rsidRPr="005C0CD3" w:rsidRDefault="005C0CD3" w:rsidP="005C0CD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Cs/>
                <w:sz w:val="20"/>
                <w:szCs w:val="20"/>
              </w:rPr>
            </w:pPr>
            <w:r w:rsidRPr="005C0CD3">
              <w:rPr>
                <w:rFonts w:cstheme="minorHAnsi"/>
                <w:iCs/>
                <w:sz w:val="20"/>
                <w:szCs w:val="20"/>
              </w:rPr>
              <w:t xml:space="preserve">Possible skull fracture on palpation: </w:t>
            </w:r>
            <w:r w:rsidRPr="005C0CD3">
              <w:rPr>
                <w:rFonts w:cstheme="minorHAnsi"/>
                <w:i/>
                <w:iCs/>
                <w:sz w:val="20"/>
                <w:szCs w:val="20"/>
                <w:u w:val="single"/>
              </w:rPr>
              <w:t>YES/unknown</w:t>
            </w:r>
            <w:r w:rsidRPr="005C0CD3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  <w:p w:rsidR="005C0CD3" w:rsidRPr="005C0CD3" w:rsidRDefault="005C0CD3" w:rsidP="005C0CD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Cs/>
                <w:sz w:val="20"/>
                <w:szCs w:val="20"/>
              </w:rPr>
            </w:pPr>
            <w:r w:rsidRPr="005C0CD3">
              <w:rPr>
                <w:rFonts w:cstheme="minorHAnsi"/>
                <w:iCs/>
                <w:sz w:val="20"/>
                <w:szCs w:val="20"/>
              </w:rPr>
              <w:t xml:space="preserve">Open skull fracture: </w:t>
            </w:r>
            <w:r w:rsidRPr="005C0CD3">
              <w:rPr>
                <w:rFonts w:cstheme="minorHAnsi"/>
                <w:i/>
                <w:iCs/>
                <w:sz w:val="20"/>
                <w:szCs w:val="20"/>
                <w:u w:val="single"/>
              </w:rPr>
              <w:t>YES/unknown</w:t>
            </w:r>
            <w:r w:rsidRPr="005C0CD3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  <w:p w:rsidR="005C0CD3" w:rsidRPr="005C0CD3" w:rsidRDefault="005C0CD3" w:rsidP="005C0CD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Cs/>
                <w:sz w:val="20"/>
                <w:szCs w:val="20"/>
              </w:rPr>
            </w:pPr>
            <w:r w:rsidRPr="005C0CD3">
              <w:rPr>
                <w:rFonts w:cstheme="minorHAnsi"/>
                <w:iCs/>
                <w:sz w:val="20"/>
                <w:szCs w:val="20"/>
              </w:rPr>
              <w:t xml:space="preserve">Signs of basal skull fracture: </w:t>
            </w:r>
            <w:r w:rsidRPr="005C0CD3">
              <w:rPr>
                <w:rFonts w:cstheme="minorHAnsi"/>
                <w:i/>
                <w:iCs/>
                <w:sz w:val="20"/>
                <w:szCs w:val="20"/>
                <w:u w:val="single"/>
              </w:rPr>
              <w:t>YES/unknown</w:t>
            </w:r>
            <w:r w:rsidRPr="005C0CD3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  <w:p w:rsidR="005C0CD3" w:rsidRPr="005C0CD3" w:rsidRDefault="005C0CD3" w:rsidP="005C0CD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Cs/>
                <w:sz w:val="20"/>
                <w:szCs w:val="20"/>
              </w:rPr>
            </w:pPr>
            <w:r w:rsidRPr="005C0CD3">
              <w:rPr>
                <w:rFonts w:cstheme="minorHAnsi"/>
                <w:iCs/>
                <w:sz w:val="20"/>
                <w:szCs w:val="20"/>
              </w:rPr>
              <w:t xml:space="preserve">Was the injury caused by high speed projectile? </w:t>
            </w:r>
            <w:r w:rsidRPr="005C0CD3">
              <w:rPr>
                <w:rFonts w:cstheme="minorHAnsi"/>
                <w:i/>
                <w:iCs/>
                <w:sz w:val="20"/>
                <w:szCs w:val="20"/>
                <w:u w:val="single"/>
              </w:rPr>
              <w:t>YES/unknown</w:t>
            </w:r>
          </w:p>
          <w:p w:rsidR="005C0CD3" w:rsidRPr="005C0CD3" w:rsidRDefault="005C0CD3" w:rsidP="005C0CD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Cs/>
                <w:sz w:val="20"/>
                <w:szCs w:val="20"/>
              </w:rPr>
            </w:pPr>
            <w:r w:rsidRPr="005C0CD3">
              <w:rPr>
                <w:rFonts w:cstheme="minorHAnsi"/>
                <w:iCs/>
                <w:sz w:val="20"/>
                <w:szCs w:val="20"/>
              </w:rPr>
              <w:t xml:space="preserve">Was the injury caused by a high impact object? </w:t>
            </w:r>
            <w:r w:rsidRPr="005C0CD3">
              <w:rPr>
                <w:rFonts w:cstheme="minorHAnsi"/>
                <w:i/>
                <w:iCs/>
                <w:sz w:val="20"/>
                <w:szCs w:val="20"/>
                <w:u w:val="single"/>
              </w:rPr>
              <w:t>YES/unknown</w:t>
            </w:r>
          </w:p>
          <w:p w:rsidR="005C0CD3" w:rsidRPr="005C0CD3" w:rsidRDefault="005C0CD3" w:rsidP="00317547">
            <w:pPr>
              <w:ind w:left="36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:rsidR="005C0CD3" w:rsidRPr="005C0CD3" w:rsidRDefault="005C0CD3" w:rsidP="003175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0CD3" w:rsidRPr="005C0CD3" w:rsidTr="00317547">
        <w:trPr>
          <w:trHeight w:val="2693"/>
        </w:trPr>
        <w:tc>
          <w:tcPr>
            <w:tcW w:w="509" w:type="dxa"/>
          </w:tcPr>
          <w:p w:rsidR="005C0CD3" w:rsidRPr="005C0CD3" w:rsidRDefault="005C0CD3" w:rsidP="003175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C0CD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461" w:type="dxa"/>
          </w:tcPr>
          <w:p w:rsidR="005C0CD3" w:rsidRPr="005C0CD3" w:rsidRDefault="005C0CD3" w:rsidP="0031754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0CD3">
              <w:rPr>
                <w:rFonts w:asciiTheme="minorHAnsi" w:hAnsiTheme="minorHAnsi" w:cstheme="minorHAnsi"/>
                <w:b/>
                <w:sz w:val="20"/>
                <w:szCs w:val="20"/>
              </w:rPr>
              <w:t>Altered level of alertness</w:t>
            </w:r>
          </w:p>
          <w:p w:rsidR="005C0CD3" w:rsidRPr="005C0CD3" w:rsidRDefault="005C0CD3" w:rsidP="003175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C0CD3">
              <w:rPr>
                <w:rFonts w:asciiTheme="minorHAnsi" w:hAnsiTheme="minorHAnsi" w:cstheme="minorHAnsi"/>
                <w:sz w:val="20"/>
                <w:szCs w:val="20"/>
              </w:rPr>
              <w:t>Abnormal level of alertness is evidenced by a variety of findings, including but not limited to a Glasgow coma score of 14 or less; delayed or inappropriate response to external stimuli; excessive somnolence; disorientation to person, place, time or events; inability to remember three objects.</w:t>
            </w:r>
          </w:p>
        </w:tc>
        <w:tc>
          <w:tcPr>
            <w:tcW w:w="4606" w:type="dxa"/>
          </w:tcPr>
          <w:p w:rsidR="005C0CD3" w:rsidRPr="005C0CD3" w:rsidRDefault="005C0CD3" w:rsidP="00317547">
            <w:pPr>
              <w:rPr>
                <w:rFonts w:asciiTheme="minorHAnsi" w:hAnsiTheme="minorHAnsi" w:cstheme="minorHAnsi"/>
                <w:b/>
                <w:iCs/>
                <w:sz w:val="20"/>
                <w:szCs w:val="20"/>
                <w:lang w:val="en-US"/>
              </w:rPr>
            </w:pPr>
            <w:r w:rsidRPr="005C0CD3">
              <w:rPr>
                <w:rFonts w:asciiTheme="minorHAnsi" w:hAnsiTheme="minorHAnsi" w:cstheme="minorHAnsi"/>
                <w:b/>
                <w:iCs/>
                <w:sz w:val="20"/>
                <w:szCs w:val="20"/>
                <w:lang w:val="en-US"/>
              </w:rPr>
              <w:t>Presence of either one of the following was defined as a satisfying risk criterion:</w:t>
            </w:r>
          </w:p>
          <w:p w:rsidR="005C0CD3" w:rsidRPr="005C0CD3" w:rsidRDefault="005C0CD3" w:rsidP="005C0CD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i/>
                <w:iCs/>
                <w:sz w:val="20"/>
                <w:szCs w:val="20"/>
                <w:u w:val="single"/>
              </w:rPr>
            </w:pPr>
            <w:r w:rsidRPr="005C0CD3">
              <w:rPr>
                <w:rFonts w:cstheme="minorHAnsi"/>
                <w:iCs/>
                <w:sz w:val="20"/>
                <w:szCs w:val="20"/>
              </w:rPr>
              <w:t>What is the current GCS?</w:t>
            </w:r>
            <w:r w:rsidRPr="005C0CD3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5C0CD3">
              <w:rPr>
                <w:rFonts w:cstheme="minorHAnsi"/>
                <w:i/>
                <w:iCs/>
                <w:sz w:val="20"/>
                <w:szCs w:val="20"/>
                <w:u w:val="single"/>
              </w:rPr>
              <w:t>14 or less</w:t>
            </w:r>
          </w:p>
          <w:p w:rsidR="005C0CD3" w:rsidRPr="005C0CD3" w:rsidRDefault="005C0CD3" w:rsidP="005C0CD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i/>
                <w:iCs/>
                <w:sz w:val="20"/>
                <w:szCs w:val="20"/>
                <w:u w:val="single"/>
              </w:rPr>
            </w:pPr>
            <w:r w:rsidRPr="005C0CD3">
              <w:rPr>
                <w:rFonts w:cstheme="minorHAnsi"/>
                <w:iCs/>
                <w:sz w:val="20"/>
                <w:szCs w:val="20"/>
              </w:rPr>
              <w:t xml:space="preserve">Is your patient abnormally </w:t>
            </w:r>
            <w:proofErr w:type="gramStart"/>
            <w:r w:rsidRPr="005C0CD3">
              <w:rPr>
                <w:rFonts w:cstheme="minorHAnsi"/>
                <w:iCs/>
                <w:sz w:val="20"/>
                <w:szCs w:val="20"/>
              </w:rPr>
              <w:t>drowsy/difficult</w:t>
            </w:r>
            <w:proofErr w:type="gramEnd"/>
            <w:r w:rsidRPr="005C0CD3">
              <w:rPr>
                <w:rFonts w:cstheme="minorHAnsi"/>
                <w:iCs/>
                <w:sz w:val="20"/>
                <w:szCs w:val="20"/>
              </w:rPr>
              <w:t xml:space="preserve"> to wake?</w:t>
            </w:r>
            <w:r w:rsidRPr="005C0CD3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5C0CD3">
              <w:rPr>
                <w:rFonts w:cstheme="minorHAnsi"/>
                <w:i/>
                <w:iCs/>
                <w:sz w:val="20"/>
                <w:szCs w:val="20"/>
                <w:u w:val="single"/>
              </w:rPr>
              <w:t>YES/unknown</w:t>
            </w:r>
          </w:p>
          <w:p w:rsidR="005C0CD3" w:rsidRPr="005C0CD3" w:rsidRDefault="005C0CD3" w:rsidP="005C0CD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i/>
                <w:iCs/>
                <w:sz w:val="20"/>
                <w:szCs w:val="20"/>
                <w:u w:val="single"/>
              </w:rPr>
            </w:pPr>
            <w:r w:rsidRPr="005C0CD3">
              <w:rPr>
                <w:rFonts w:cstheme="minorHAnsi"/>
                <w:iCs/>
                <w:sz w:val="20"/>
                <w:szCs w:val="20"/>
              </w:rPr>
              <w:t>Is your patient slow to respond to speech?</w:t>
            </w:r>
            <w:r w:rsidRPr="005C0CD3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5C0CD3">
              <w:rPr>
                <w:rFonts w:cstheme="minorHAnsi"/>
                <w:i/>
                <w:iCs/>
                <w:sz w:val="20"/>
                <w:szCs w:val="20"/>
                <w:u w:val="single"/>
              </w:rPr>
              <w:t>YES/unknown</w:t>
            </w:r>
          </w:p>
          <w:p w:rsidR="005C0CD3" w:rsidRPr="005C0CD3" w:rsidRDefault="005C0CD3" w:rsidP="005C0CD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i/>
                <w:iCs/>
                <w:sz w:val="20"/>
                <w:szCs w:val="20"/>
                <w:u w:val="single"/>
              </w:rPr>
            </w:pPr>
            <w:r w:rsidRPr="005C0CD3">
              <w:rPr>
                <w:rFonts w:cstheme="minorHAnsi"/>
                <w:iCs/>
                <w:sz w:val="20"/>
                <w:szCs w:val="20"/>
              </w:rPr>
              <w:t>Does your patient have an altered mental status?</w:t>
            </w:r>
            <w:r w:rsidRPr="005C0CD3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5C0CD3">
              <w:rPr>
                <w:rFonts w:cstheme="minorHAnsi"/>
                <w:i/>
                <w:iCs/>
                <w:sz w:val="20"/>
                <w:szCs w:val="20"/>
                <w:u w:val="single"/>
              </w:rPr>
              <w:t>YES/unknown</w:t>
            </w:r>
          </w:p>
          <w:p w:rsidR="005C0CD3" w:rsidRPr="005C0CD3" w:rsidRDefault="005C0CD3" w:rsidP="0031754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5C0CD3" w:rsidRPr="005C0CD3" w:rsidTr="00317547">
        <w:tc>
          <w:tcPr>
            <w:tcW w:w="509" w:type="dxa"/>
          </w:tcPr>
          <w:p w:rsidR="005C0CD3" w:rsidRPr="005C0CD3" w:rsidRDefault="005C0CD3" w:rsidP="003175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C0CD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461" w:type="dxa"/>
          </w:tcPr>
          <w:p w:rsidR="005C0CD3" w:rsidRPr="005C0CD3" w:rsidRDefault="005C0CD3" w:rsidP="0031754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0C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Neurological deficit </w:t>
            </w:r>
          </w:p>
          <w:p w:rsidR="005C0CD3" w:rsidRPr="005C0CD3" w:rsidRDefault="005C0CD3" w:rsidP="003175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C0CD3">
              <w:rPr>
                <w:rFonts w:asciiTheme="minorHAnsi" w:hAnsiTheme="minorHAnsi" w:cstheme="minorHAnsi"/>
                <w:sz w:val="20"/>
                <w:szCs w:val="20"/>
              </w:rPr>
              <w:t xml:space="preserve">Neurologic deficits may include motor deficit which is a finding of abnormal weakness in any 1 or more of the 4 extremities, as determined by systematic testing of muscle strength in all 4 limbs; gait abnormality which is the inability to walk normally as a result of inadequate strength, loss of balance, or ataxia as determined by systematic testing of gait, including tandem and heel-to-toe walking, and Romberg testing; cerebellar abnormality which is manifested by ataxia, </w:t>
            </w:r>
            <w:proofErr w:type="spellStart"/>
            <w:r w:rsidRPr="005C0CD3">
              <w:rPr>
                <w:rFonts w:asciiTheme="minorHAnsi" w:hAnsiTheme="minorHAnsi" w:cstheme="minorHAnsi"/>
                <w:sz w:val="20"/>
                <w:szCs w:val="20"/>
              </w:rPr>
              <w:t>dysmetria</w:t>
            </w:r>
            <w:proofErr w:type="spellEnd"/>
            <w:r w:rsidRPr="005C0CD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5C0CD3">
              <w:rPr>
                <w:rFonts w:asciiTheme="minorHAnsi" w:hAnsiTheme="minorHAnsi" w:cstheme="minorHAnsi"/>
                <w:sz w:val="20"/>
                <w:szCs w:val="20"/>
              </w:rPr>
              <w:t>dysdiadokinesis</w:t>
            </w:r>
            <w:proofErr w:type="spellEnd"/>
            <w:r w:rsidRPr="005C0CD3">
              <w:rPr>
                <w:rFonts w:asciiTheme="minorHAnsi" w:hAnsiTheme="minorHAnsi" w:cstheme="minorHAnsi"/>
                <w:sz w:val="20"/>
                <w:szCs w:val="20"/>
              </w:rPr>
              <w:t xml:space="preserve">, or other impairment of cerebellar function as determined by systematic testing of cerebellar function, including tests of ataxia, and finger-nose-finger, heel-to-shin, and rapid alternating movement testing; cranial nerve abnormality which is an abnormality of cranial nerve II to XII, determined by systematic testing of each of these cranial nerves.  </w:t>
            </w:r>
          </w:p>
          <w:p w:rsidR="005C0CD3" w:rsidRPr="005C0CD3" w:rsidRDefault="005C0CD3" w:rsidP="003175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5C0CD3" w:rsidRPr="005C0CD3" w:rsidRDefault="005C0CD3" w:rsidP="0031754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5C0CD3">
              <w:rPr>
                <w:rFonts w:asciiTheme="minorHAnsi" w:hAnsiTheme="minorHAnsi" w:cstheme="minorHAnsi"/>
                <w:iCs/>
                <w:sz w:val="20"/>
                <w:szCs w:val="20"/>
              </w:rPr>
              <w:t>Is there any focal neurology present?</w:t>
            </w:r>
            <w:r w:rsidRPr="005C0CD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5C0CD3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YES/unknown</w:t>
            </w:r>
          </w:p>
          <w:p w:rsidR="005C0CD3" w:rsidRPr="005C0CD3" w:rsidRDefault="005C0CD3" w:rsidP="003175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0CD3" w:rsidRPr="005C0CD3" w:rsidTr="00317547">
        <w:tc>
          <w:tcPr>
            <w:tcW w:w="509" w:type="dxa"/>
          </w:tcPr>
          <w:p w:rsidR="005C0CD3" w:rsidRPr="005C0CD3" w:rsidRDefault="005C0CD3" w:rsidP="003175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C0CD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461" w:type="dxa"/>
          </w:tcPr>
          <w:p w:rsidR="005C0CD3" w:rsidRPr="005C0CD3" w:rsidRDefault="005C0CD3" w:rsidP="0031754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0CD3">
              <w:rPr>
                <w:rFonts w:asciiTheme="minorHAnsi" w:hAnsiTheme="minorHAnsi" w:cstheme="minorHAnsi"/>
                <w:b/>
                <w:sz w:val="20"/>
                <w:szCs w:val="20"/>
              </w:rPr>
              <w:t>Persistent vomiting</w:t>
            </w:r>
          </w:p>
          <w:p w:rsidR="005C0CD3" w:rsidRPr="005C0CD3" w:rsidRDefault="005C0CD3" w:rsidP="003175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C0CD3">
              <w:rPr>
                <w:rFonts w:asciiTheme="minorHAnsi" w:hAnsiTheme="minorHAnsi" w:cstheme="minorHAnsi"/>
                <w:sz w:val="20"/>
                <w:szCs w:val="20"/>
              </w:rPr>
              <w:t xml:space="preserve">High-risk vomiting is evidenced by recurrent, projectile, or forceful emesis (either observed or by history) after trauma or vomiting associated with altered sensorium. </w:t>
            </w:r>
          </w:p>
        </w:tc>
        <w:tc>
          <w:tcPr>
            <w:tcW w:w="4606" w:type="dxa"/>
          </w:tcPr>
          <w:p w:rsidR="005C0CD3" w:rsidRPr="005C0CD3" w:rsidRDefault="005C0CD3" w:rsidP="00317547">
            <w:pPr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5C0CD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Has there been more than one episode of vomiting? </w:t>
            </w:r>
            <w:r w:rsidRPr="005C0CD3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YES</w:t>
            </w:r>
            <w:r w:rsidRPr="005C0CD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</w:t>
            </w:r>
            <w:r w:rsidRPr="005C0CD3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AND/OR</w:t>
            </w:r>
            <w:r w:rsidRPr="005C0CD3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ab/>
            </w:r>
          </w:p>
          <w:p w:rsidR="005C0CD3" w:rsidRPr="005C0CD3" w:rsidRDefault="005C0CD3" w:rsidP="0031754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5C0CD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Have there been 3 or more discrete episodes? </w:t>
            </w:r>
            <w:r w:rsidRPr="005C0CD3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YES</w:t>
            </w:r>
          </w:p>
        </w:tc>
      </w:tr>
      <w:tr w:rsidR="005C0CD3" w:rsidRPr="005C0CD3" w:rsidTr="00317547">
        <w:tc>
          <w:tcPr>
            <w:tcW w:w="509" w:type="dxa"/>
          </w:tcPr>
          <w:p w:rsidR="005C0CD3" w:rsidRPr="005C0CD3" w:rsidRDefault="005C0CD3" w:rsidP="003175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C0CD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5</w:t>
            </w:r>
          </w:p>
        </w:tc>
        <w:tc>
          <w:tcPr>
            <w:tcW w:w="4461" w:type="dxa"/>
          </w:tcPr>
          <w:p w:rsidR="005C0CD3" w:rsidRPr="005C0CD3" w:rsidRDefault="005C0CD3" w:rsidP="00317547">
            <w:pPr>
              <w:pStyle w:val="ListParagraph"/>
              <w:ind w:left="-18"/>
              <w:rPr>
                <w:rFonts w:cstheme="minorHAnsi"/>
                <w:b/>
                <w:sz w:val="20"/>
                <w:szCs w:val="20"/>
              </w:rPr>
            </w:pPr>
            <w:r w:rsidRPr="005C0CD3">
              <w:rPr>
                <w:rFonts w:cstheme="minorHAnsi"/>
                <w:b/>
                <w:sz w:val="20"/>
                <w:szCs w:val="20"/>
              </w:rPr>
              <w:t xml:space="preserve">Scalp hematoma </w:t>
            </w:r>
          </w:p>
          <w:p w:rsidR="005C0CD3" w:rsidRPr="005C0CD3" w:rsidRDefault="005C0CD3" w:rsidP="00317547">
            <w:pPr>
              <w:pStyle w:val="ListParagraph"/>
              <w:ind w:left="-18"/>
              <w:rPr>
                <w:rFonts w:cstheme="minorHAnsi"/>
                <w:b/>
                <w:sz w:val="20"/>
                <w:szCs w:val="20"/>
              </w:rPr>
            </w:pPr>
            <w:r w:rsidRPr="005C0CD3">
              <w:rPr>
                <w:rFonts w:cstheme="minorHAnsi"/>
                <w:sz w:val="20"/>
                <w:szCs w:val="20"/>
              </w:rPr>
              <w:t xml:space="preserve">A significant scalp hematoma includes any swelling of traumatic origin to the soft tissues overlying the </w:t>
            </w:r>
            <w:proofErr w:type="spellStart"/>
            <w:r w:rsidRPr="005C0CD3">
              <w:rPr>
                <w:rFonts w:cstheme="minorHAnsi"/>
                <w:sz w:val="20"/>
                <w:szCs w:val="20"/>
              </w:rPr>
              <w:t>calvarium</w:t>
            </w:r>
            <w:proofErr w:type="spellEnd"/>
            <w:r w:rsidRPr="005C0CD3">
              <w:rPr>
                <w:rFonts w:cstheme="minorHAnsi"/>
                <w:sz w:val="20"/>
                <w:szCs w:val="20"/>
              </w:rPr>
              <w:t>. Injuries to the face, neck, and jaw are not considered scalp hematomas.</w:t>
            </w:r>
          </w:p>
        </w:tc>
        <w:tc>
          <w:tcPr>
            <w:tcW w:w="4606" w:type="dxa"/>
          </w:tcPr>
          <w:p w:rsidR="005C0CD3" w:rsidRPr="005C0CD3" w:rsidRDefault="005C0CD3" w:rsidP="003175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C0CD3">
              <w:rPr>
                <w:rFonts w:asciiTheme="minorHAnsi" w:hAnsiTheme="minorHAnsi" w:cstheme="minorHAnsi"/>
                <w:iCs/>
                <w:sz w:val="20"/>
                <w:szCs w:val="20"/>
              </w:rPr>
              <w:t>Scalp Hematoma:</w:t>
            </w:r>
            <w:r w:rsidRPr="005C0CD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5C0CD3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YES/unknown</w:t>
            </w:r>
            <w:r w:rsidRPr="005C0CD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; </w:t>
            </w:r>
            <w:r w:rsidRPr="005C0CD3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AND</w:t>
            </w:r>
            <w:r w:rsidRPr="005C0CD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5C0CD3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Location</w:t>
            </w:r>
            <w:r w:rsidRPr="005C0CD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5C0CD3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MUST BE</w:t>
            </w:r>
            <w:r w:rsidRPr="005C0CD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: </w:t>
            </w:r>
            <w:r w:rsidRPr="005C0CD3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either frontal, or temporal, or occipital or parietal</w:t>
            </w:r>
            <w:r w:rsidRPr="005C0CD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(or more than one of these)</w:t>
            </w:r>
          </w:p>
        </w:tc>
      </w:tr>
      <w:tr w:rsidR="005C0CD3" w:rsidRPr="005C0CD3" w:rsidTr="00317547">
        <w:tc>
          <w:tcPr>
            <w:tcW w:w="509" w:type="dxa"/>
          </w:tcPr>
          <w:p w:rsidR="005C0CD3" w:rsidRPr="005C0CD3" w:rsidRDefault="005C0CD3" w:rsidP="003175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C0CD3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461" w:type="dxa"/>
          </w:tcPr>
          <w:p w:rsidR="005C0CD3" w:rsidRPr="005C0CD3" w:rsidRDefault="005C0CD3" w:rsidP="0031754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0C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Abnormal </w:t>
            </w:r>
            <w:proofErr w:type="spellStart"/>
            <w:r w:rsidRPr="005C0CD3">
              <w:rPr>
                <w:rFonts w:asciiTheme="minorHAnsi" w:hAnsiTheme="minorHAnsi" w:cstheme="minorHAnsi"/>
                <w:b/>
                <w:sz w:val="20"/>
                <w:szCs w:val="20"/>
              </w:rPr>
              <w:t>behavior</w:t>
            </w:r>
            <w:proofErr w:type="spellEnd"/>
          </w:p>
          <w:p w:rsidR="005C0CD3" w:rsidRPr="005C0CD3" w:rsidRDefault="005C0CD3" w:rsidP="003175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C0CD3">
              <w:rPr>
                <w:rFonts w:asciiTheme="minorHAnsi" w:hAnsiTheme="minorHAnsi" w:cstheme="minorHAnsi"/>
                <w:sz w:val="20"/>
                <w:szCs w:val="20"/>
              </w:rPr>
              <w:t xml:space="preserve">Abnormal </w:t>
            </w:r>
            <w:proofErr w:type="spellStart"/>
            <w:r w:rsidRPr="005C0CD3">
              <w:rPr>
                <w:rFonts w:asciiTheme="minorHAnsi" w:hAnsiTheme="minorHAnsi" w:cstheme="minorHAnsi"/>
                <w:sz w:val="20"/>
                <w:szCs w:val="20"/>
              </w:rPr>
              <w:t>behavior</w:t>
            </w:r>
            <w:proofErr w:type="spellEnd"/>
            <w:r w:rsidRPr="005C0CD3">
              <w:rPr>
                <w:rFonts w:asciiTheme="minorHAnsi" w:hAnsiTheme="minorHAnsi" w:cstheme="minorHAnsi"/>
                <w:sz w:val="20"/>
                <w:szCs w:val="20"/>
              </w:rPr>
              <w:t xml:space="preserve"> is any inappropriate action displayed by the victim. It includes such things as excessive agitation, inconsolability, refusal to cooperate, lack of affective response to questions or events, and violent activity.</w:t>
            </w:r>
          </w:p>
        </w:tc>
        <w:tc>
          <w:tcPr>
            <w:tcW w:w="4606" w:type="dxa"/>
          </w:tcPr>
          <w:p w:rsidR="005C0CD3" w:rsidRPr="005C0CD3" w:rsidRDefault="005C0CD3" w:rsidP="00317547">
            <w:pPr>
              <w:rPr>
                <w:rFonts w:asciiTheme="minorHAnsi" w:hAnsiTheme="minorHAnsi" w:cstheme="minorHAnsi"/>
                <w:b/>
                <w:iCs/>
                <w:sz w:val="20"/>
                <w:szCs w:val="20"/>
                <w:lang w:val="en-US"/>
              </w:rPr>
            </w:pPr>
            <w:r w:rsidRPr="005C0CD3"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  <w:t>Presence of either one of the following was defined as satisfying risk criterion</w:t>
            </w:r>
            <w:r w:rsidRPr="005C0CD3">
              <w:rPr>
                <w:rFonts w:asciiTheme="minorHAnsi" w:hAnsiTheme="minorHAnsi" w:cstheme="minorHAnsi"/>
                <w:b/>
                <w:iCs/>
                <w:sz w:val="20"/>
                <w:szCs w:val="20"/>
                <w:lang w:val="en-US"/>
              </w:rPr>
              <w:t>:</w:t>
            </w:r>
          </w:p>
          <w:p w:rsidR="005C0CD3" w:rsidRPr="005C0CD3" w:rsidRDefault="005C0CD3" w:rsidP="005C0CD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/>
                <w:iCs/>
                <w:sz w:val="20"/>
                <w:szCs w:val="20"/>
                <w:u w:val="single"/>
              </w:rPr>
            </w:pPr>
            <w:r w:rsidRPr="005C0CD3">
              <w:rPr>
                <w:rFonts w:cstheme="minorHAnsi"/>
                <w:iCs/>
                <w:sz w:val="20"/>
                <w:szCs w:val="20"/>
              </w:rPr>
              <w:t>Is your patient irritable or agitated?</w:t>
            </w:r>
            <w:r w:rsidRPr="005C0CD3">
              <w:rPr>
                <w:rFonts w:cstheme="minorHAnsi"/>
                <w:i/>
                <w:iCs/>
                <w:sz w:val="20"/>
                <w:szCs w:val="20"/>
                <w:u w:val="single"/>
              </w:rPr>
              <w:t xml:space="preserve"> YES/unknown</w:t>
            </w:r>
          </w:p>
          <w:p w:rsidR="005C0CD3" w:rsidRPr="005C0CD3" w:rsidRDefault="005C0CD3" w:rsidP="005C0CD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/>
                <w:iCs/>
                <w:sz w:val="20"/>
                <w:szCs w:val="20"/>
                <w:u w:val="single"/>
              </w:rPr>
            </w:pPr>
            <w:r w:rsidRPr="005C0CD3">
              <w:rPr>
                <w:rFonts w:cstheme="minorHAnsi"/>
                <w:iCs/>
                <w:sz w:val="20"/>
                <w:szCs w:val="20"/>
              </w:rPr>
              <w:t>Is your patient asking questions repetitively?</w:t>
            </w:r>
            <w:r w:rsidRPr="005C0CD3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5C0CD3">
              <w:rPr>
                <w:rFonts w:cstheme="minorHAnsi"/>
                <w:i/>
                <w:iCs/>
                <w:sz w:val="20"/>
                <w:szCs w:val="20"/>
                <w:u w:val="single"/>
              </w:rPr>
              <w:t>YES/unknown</w:t>
            </w:r>
          </w:p>
          <w:p w:rsidR="005C0CD3" w:rsidRPr="005C0CD3" w:rsidRDefault="005C0CD3" w:rsidP="005C0CD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C0CD3">
              <w:rPr>
                <w:rFonts w:cstheme="minorHAnsi"/>
                <w:iCs/>
                <w:sz w:val="20"/>
                <w:szCs w:val="20"/>
              </w:rPr>
              <w:t>According to the parent/guardian, is your patient acting abnormally?</w:t>
            </w:r>
            <w:r w:rsidRPr="005C0CD3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5C0CD3">
              <w:rPr>
                <w:rFonts w:cstheme="minorHAnsi"/>
                <w:i/>
                <w:iCs/>
                <w:sz w:val="20"/>
                <w:szCs w:val="20"/>
                <w:u w:val="single"/>
              </w:rPr>
              <w:t>YES/unknown</w:t>
            </w:r>
          </w:p>
        </w:tc>
      </w:tr>
      <w:tr w:rsidR="005C0CD3" w:rsidRPr="005C0CD3" w:rsidTr="00317547">
        <w:tc>
          <w:tcPr>
            <w:tcW w:w="509" w:type="dxa"/>
          </w:tcPr>
          <w:p w:rsidR="005C0CD3" w:rsidRPr="005C0CD3" w:rsidRDefault="005C0CD3" w:rsidP="003175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C0CD3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4461" w:type="dxa"/>
            <w:tcBorders>
              <w:bottom w:val="single" w:sz="4" w:space="0" w:color="auto"/>
            </w:tcBorders>
          </w:tcPr>
          <w:p w:rsidR="005C0CD3" w:rsidRPr="005C0CD3" w:rsidRDefault="005C0CD3" w:rsidP="0031754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0CD3">
              <w:rPr>
                <w:rFonts w:asciiTheme="minorHAnsi" w:hAnsiTheme="minorHAnsi" w:cstheme="minorHAnsi"/>
                <w:b/>
                <w:sz w:val="20"/>
                <w:szCs w:val="20"/>
              </w:rPr>
              <w:t>Coagulopathy</w:t>
            </w:r>
          </w:p>
          <w:p w:rsidR="005C0CD3" w:rsidRPr="005C0CD3" w:rsidRDefault="005C0CD3" w:rsidP="0031754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0CD3">
              <w:rPr>
                <w:rFonts w:asciiTheme="minorHAnsi" w:hAnsiTheme="minorHAnsi" w:cstheme="minorHAnsi"/>
                <w:sz w:val="20"/>
                <w:szCs w:val="20"/>
              </w:rPr>
              <w:t>Coagulopathy</w:t>
            </w:r>
            <w:r w:rsidRPr="005C0CD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5C0CD3">
              <w:rPr>
                <w:rFonts w:asciiTheme="minorHAnsi" w:hAnsiTheme="minorHAnsi" w:cstheme="minorHAnsi"/>
                <w:sz w:val="20"/>
                <w:szCs w:val="20"/>
              </w:rPr>
              <w:t xml:space="preserve">is any impairment of normal blood clotting such as occurs in </w:t>
            </w:r>
            <w:proofErr w:type="spellStart"/>
            <w:r w:rsidRPr="005C0CD3">
              <w:rPr>
                <w:rFonts w:asciiTheme="minorHAnsi" w:hAnsiTheme="minorHAnsi" w:cstheme="minorHAnsi"/>
                <w:sz w:val="20"/>
                <w:szCs w:val="20"/>
              </w:rPr>
              <w:t>hemophilia</w:t>
            </w:r>
            <w:proofErr w:type="spellEnd"/>
            <w:r w:rsidRPr="005C0CD3">
              <w:rPr>
                <w:rFonts w:asciiTheme="minorHAnsi" w:hAnsiTheme="minorHAnsi" w:cstheme="minorHAnsi"/>
                <w:sz w:val="20"/>
                <w:szCs w:val="20"/>
              </w:rPr>
              <w:t>, secondary to medications (e.g. Coumadin, heparin, aspirin, etc.), hepatic insufficiency and other conditions.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5C0CD3" w:rsidRPr="005C0CD3" w:rsidRDefault="005C0CD3" w:rsidP="003175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C0CD3">
              <w:rPr>
                <w:rFonts w:asciiTheme="minorHAnsi" w:hAnsiTheme="minorHAnsi" w:cstheme="minorHAnsi"/>
                <w:sz w:val="20"/>
                <w:szCs w:val="20"/>
              </w:rPr>
              <w:t>Is there a bleeding disorder?</w:t>
            </w:r>
            <w:r w:rsidRPr="005C0CD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5C0CD3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YES/unknown</w:t>
            </w:r>
          </w:p>
        </w:tc>
      </w:tr>
    </w:tbl>
    <w:p w:rsidR="005C0CD3" w:rsidRPr="005C0CD3" w:rsidRDefault="005C0CD3" w:rsidP="005C0CD3">
      <w:pPr>
        <w:spacing w:line="360" w:lineRule="auto"/>
        <w:rPr>
          <w:rFonts w:asciiTheme="minorHAnsi" w:eastAsia="Calibri" w:hAnsiTheme="minorHAnsi" w:cs="Arial"/>
          <w:b/>
          <w:sz w:val="20"/>
          <w:szCs w:val="20"/>
        </w:rPr>
      </w:pPr>
    </w:p>
    <w:p w:rsidR="005C0CD3" w:rsidRDefault="005C0CD3">
      <w:pPr>
        <w:spacing w:after="200" w:line="276" w:lineRule="auto"/>
        <w:rPr>
          <w:rFonts w:asciiTheme="minorHAnsi" w:hAnsiTheme="minorHAnsi"/>
          <w:sz w:val="20"/>
          <w:szCs w:val="20"/>
        </w:rPr>
      </w:pPr>
    </w:p>
    <w:p w:rsidR="0038420B" w:rsidRPr="005C0CD3" w:rsidRDefault="0038420B">
      <w:pPr>
        <w:spacing w:after="200" w:line="276" w:lineRule="auto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"/>
        <w:gridCol w:w="4240"/>
        <w:gridCol w:w="4459"/>
      </w:tblGrid>
      <w:tr w:rsidR="005C0CD3" w:rsidRPr="005C0CD3" w:rsidTr="00317547">
        <w:tc>
          <w:tcPr>
            <w:tcW w:w="9576" w:type="dxa"/>
            <w:gridSpan w:val="3"/>
          </w:tcPr>
          <w:p w:rsidR="005C0CD3" w:rsidRPr="005C0CD3" w:rsidRDefault="005C0CD3" w:rsidP="0031754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C0CD3">
              <w:rPr>
                <w:rFonts w:asciiTheme="minorHAnsi" w:hAnsiTheme="minorHAnsi"/>
                <w:b/>
                <w:sz w:val="20"/>
                <w:szCs w:val="20"/>
              </w:rPr>
              <w:t xml:space="preserve">Table 2. Comparison between CT findings consistent with clinically important intracranial injury (ICI) according to Mower et al., and corresponding CT findings coded in this study </w:t>
            </w:r>
          </w:p>
        </w:tc>
      </w:tr>
      <w:tr w:rsidR="005C0CD3" w:rsidRPr="005C0CD3" w:rsidTr="00317547">
        <w:tc>
          <w:tcPr>
            <w:tcW w:w="551" w:type="dxa"/>
            <w:tcBorders>
              <w:bottom w:val="single" w:sz="4" w:space="0" w:color="auto"/>
            </w:tcBorders>
          </w:tcPr>
          <w:p w:rsidR="005C0CD3" w:rsidRPr="005C0CD3" w:rsidRDefault="005C0CD3" w:rsidP="0031754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12" w:type="dxa"/>
            <w:tcBorders>
              <w:bottom w:val="single" w:sz="4" w:space="0" w:color="auto"/>
            </w:tcBorders>
          </w:tcPr>
          <w:p w:rsidR="005C0CD3" w:rsidRPr="005C0CD3" w:rsidRDefault="005C0CD3" w:rsidP="0031754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13" w:type="dxa"/>
            <w:tcBorders>
              <w:bottom w:val="single" w:sz="4" w:space="0" w:color="auto"/>
            </w:tcBorders>
          </w:tcPr>
          <w:p w:rsidR="005C0CD3" w:rsidRPr="005C0CD3" w:rsidRDefault="005C0CD3" w:rsidP="0031754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C0CD3" w:rsidRPr="005C0CD3" w:rsidTr="00317547"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D3" w:rsidRPr="005C0CD3" w:rsidRDefault="005C0CD3" w:rsidP="0031754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D3" w:rsidRPr="005C0CD3" w:rsidRDefault="005C0CD3" w:rsidP="0031754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C0CD3">
              <w:rPr>
                <w:rFonts w:asciiTheme="minorHAnsi" w:hAnsiTheme="minorHAnsi"/>
                <w:b/>
                <w:sz w:val="20"/>
                <w:szCs w:val="20"/>
              </w:rPr>
              <w:t>Clinically important ICI definitions (Mower et al., 2005)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CD3" w:rsidRPr="005C0CD3" w:rsidRDefault="005C0CD3" w:rsidP="0031754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C0CD3">
              <w:rPr>
                <w:rFonts w:asciiTheme="minorHAnsi" w:hAnsiTheme="minorHAnsi"/>
                <w:b/>
                <w:sz w:val="20"/>
                <w:szCs w:val="20"/>
              </w:rPr>
              <w:t xml:space="preserve">Clinically important ICI definition as coded in the current study </w:t>
            </w:r>
          </w:p>
        </w:tc>
      </w:tr>
      <w:tr w:rsidR="005C0CD3" w:rsidRPr="005C0CD3" w:rsidTr="00317547">
        <w:tc>
          <w:tcPr>
            <w:tcW w:w="551" w:type="dxa"/>
            <w:tcBorders>
              <w:top w:val="single" w:sz="4" w:space="0" w:color="auto"/>
            </w:tcBorders>
          </w:tcPr>
          <w:p w:rsidR="005C0CD3" w:rsidRPr="005C0CD3" w:rsidRDefault="005C0CD3" w:rsidP="00317547">
            <w:pPr>
              <w:rPr>
                <w:rFonts w:asciiTheme="minorHAnsi" w:hAnsiTheme="minorHAnsi"/>
                <w:sz w:val="20"/>
                <w:szCs w:val="20"/>
              </w:rPr>
            </w:pPr>
            <w:r w:rsidRPr="005C0CD3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412" w:type="dxa"/>
            <w:tcBorders>
              <w:top w:val="single" w:sz="4" w:space="0" w:color="auto"/>
            </w:tcBorders>
          </w:tcPr>
          <w:p w:rsidR="005C0CD3" w:rsidRPr="005C0CD3" w:rsidRDefault="005C0CD3" w:rsidP="00317547">
            <w:pPr>
              <w:rPr>
                <w:rFonts w:asciiTheme="minorHAnsi" w:hAnsiTheme="minorHAnsi"/>
                <w:sz w:val="20"/>
                <w:szCs w:val="20"/>
              </w:rPr>
            </w:pPr>
            <w:r w:rsidRPr="005C0CD3">
              <w:rPr>
                <w:rFonts w:asciiTheme="minorHAnsi" w:hAnsiTheme="minorHAnsi"/>
                <w:sz w:val="20"/>
                <w:szCs w:val="20"/>
              </w:rPr>
              <w:t>Substantial epidural or subdural hematoma (&gt;1.0 cm in width or causing mass effect)</w:t>
            </w:r>
          </w:p>
        </w:tc>
        <w:tc>
          <w:tcPr>
            <w:tcW w:w="4613" w:type="dxa"/>
            <w:tcBorders>
              <w:top w:val="single" w:sz="4" w:space="0" w:color="auto"/>
            </w:tcBorders>
          </w:tcPr>
          <w:p w:rsidR="005C0CD3" w:rsidRPr="005C0CD3" w:rsidRDefault="005C0CD3" w:rsidP="00317547">
            <w:pPr>
              <w:rPr>
                <w:rFonts w:asciiTheme="minorHAnsi" w:hAnsiTheme="minorHAnsi"/>
                <w:sz w:val="20"/>
                <w:szCs w:val="20"/>
              </w:rPr>
            </w:pPr>
            <w:r w:rsidRPr="005C0CD3">
              <w:rPr>
                <w:rFonts w:asciiTheme="minorHAnsi" w:hAnsiTheme="minorHAnsi"/>
                <w:sz w:val="20"/>
                <w:szCs w:val="20"/>
              </w:rPr>
              <w:t xml:space="preserve">Intracranial </w:t>
            </w:r>
            <w:proofErr w:type="spellStart"/>
            <w:r w:rsidRPr="005C0CD3">
              <w:rPr>
                <w:rFonts w:asciiTheme="minorHAnsi" w:hAnsiTheme="minorHAnsi"/>
                <w:sz w:val="20"/>
                <w:szCs w:val="20"/>
              </w:rPr>
              <w:t>hemorrhage</w:t>
            </w:r>
            <w:proofErr w:type="spellEnd"/>
            <w:r w:rsidRPr="005C0CD3">
              <w:rPr>
                <w:rFonts w:asciiTheme="minorHAnsi" w:hAnsiTheme="minorHAnsi"/>
                <w:sz w:val="20"/>
                <w:szCs w:val="20"/>
              </w:rPr>
              <w:t>/contusion – extra-axial (subdural/extradural)</w:t>
            </w:r>
          </w:p>
        </w:tc>
      </w:tr>
      <w:tr w:rsidR="005C0CD3" w:rsidRPr="005C0CD3" w:rsidTr="00317547">
        <w:tc>
          <w:tcPr>
            <w:tcW w:w="551" w:type="dxa"/>
          </w:tcPr>
          <w:p w:rsidR="005C0CD3" w:rsidRPr="005C0CD3" w:rsidRDefault="005C0CD3" w:rsidP="00317547">
            <w:pPr>
              <w:rPr>
                <w:rFonts w:asciiTheme="minorHAnsi" w:hAnsiTheme="minorHAnsi"/>
                <w:sz w:val="20"/>
                <w:szCs w:val="20"/>
              </w:rPr>
            </w:pPr>
            <w:r w:rsidRPr="005C0CD3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412" w:type="dxa"/>
          </w:tcPr>
          <w:p w:rsidR="005C0CD3" w:rsidRPr="005C0CD3" w:rsidRDefault="005C0CD3" w:rsidP="00317547">
            <w:pPr>
              <w:rPr>
                <w:rFonts w:asciiTheme="minorHAnsi" w:hAnsiTheme="minorHAnsi"/>
                <w:sz w:val="20"/>
                <w:szCs w:val="20"/>
              </w:rPr>
            </w:pPr>
            <w:r w:rsidRPr="005C0CD3">
              <w:rPr>
                <w:rFonts w:asciiTheme="minorHAnsi" w:hAnsiTheme="minorHAnsi"/>
                <w:sz w:val="20"/>
                <w:szCs w:val="20"/>
              </w:rPr>
              <w:t>Substantial cerebral contusion (&gt;1.0 cm in diameter or &gt;1 site)</w:t>
            </w:r>
          </w:p>
        </w:tc>
        <w:tc>
          <w:tcPr>
            <w:tcW w:w="4613" w:type="dxa"/>
          </w:tcPr>
          <w:p w:rsidR="005C0CD3" w:rsidRPr="005C0CD3" w:rsidRDefault="005C0CD3" w:rsidP="00317547">
            <w:pPr>
              <w:rPr>
                <w:rFonts w:asciiTheme="minorHAnsi" w:hAnsiTheme="minorHAnsi"/>
                <w:sz w:val="20"/>
                <w:szCs w:val="20"/>
              </w:rPr>
            </w:pPr>
            <w:r w:rsidRPr="005C0CD3">
              <w:rPr>
                <w:rFonts w:asciiTheme="minorHAnsi" w:hAnsiTheme="minorHAnsi"/>
                <w:sz w:val="20"/>
                <w:szCs w:val="20"/>
              </w:rPr>
              <w:t xml:space="preserve">Intracranial </w:t>
            </w:r>
            <w:proofErr w:type="spellStart"/>
            <w:r w:rsidRPr="005C0CD3">
              <w:rPr>
                <w:rFonts w:asciiTheme="minorHAnsi" w:hAnsiTheme="minorHAnsi"/>
                <w:sz w:val="20"/>
                <w:szCs w:val="20"/>
              </w:rPr>
              <w:t>hemorrhage</w:t>
            </w:r>
            <w:proofErr w:type="spellEnd"/>
            <w:r w:rsidRPr="005C0CD3">
              <w:rPr>
                <w:rFonts w:asciiTheme="minorHAnsi" w:hAnsiTheme="minorHAnsi"/>
                <w:sz w:val="20"/>
                <w:szCs w:val="20"/>
              </w:rPr>
              <w:t>/contusion – parenchyma</w:t>
            </w:r>
          </w:p>
        </w:tc>
      </w:tr>
      <w:tr w:rsidR="005C0CD3" w:rsidRPr="005C0CD3" w:rsidTr="00317547">
        <w:tc>
          <w:tcPr>
            <w:tcW w:w="551" w:type="dxa"/>
          </w:tcPr>
          <w:p w:rsidR="005C0CD3" w:rsidRPr="005C0CD3" w:rsidRDefault="005C0CD3" w:rsidP="00317547">
            <w:pPr>
              <w:rPr>
                <w:rFonts w:asciiTheme="minorHAnsi" w:hAnsiTheme="minorHAnsi"/>
                <w:sz w:val="20"/>
                <w:szCs w:val="20"/>
              </w:rPr>
            </w:pPr>
            <w:r w:rsidRPr="005C0CD3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4412" w:type="dxa"/>
          </w:tcPr>
          <w:p w:rsidR="005C0CD3" w:rsidRPr="005C0CD3" w:rsidRDefault="005C0CD3" w:rsidP="00317547">
            <w:pPr>
              <w:rPr>
                <w:rFonts w:asciiTheme="minorHAnsi" w:hAnsiTheme="minorHAnsi"/>
                <w:sz w:val="20"/>
                <w:szCs w:val="20"/>
              </w:rPr>
            </w:pPr>
            <w:r w:rsidRPr="005C0CD3">
              <w:rPr>
                <w:rFonts w:asciiTheme="minorHAnsi" w:hAnsiTheme="minorHAnsi"/>
                <w:sz w:val="20"/>
                <w:szCs w:val="20"/>
              </w:rPr>
              <w:t xml:space="preserve">Extensive subarachnoid </w:t>
            </w:r>
            <w:proofErr w:type="spellStart"/>
            <w:r w:rsidRPr="005C0CD3">
              <w:rPr>
                <w:rFonts w:asciiTheme="minorHAnsi" w:hAnsiTheme="minorHAnsi"/>
                <w:sz w:val="20"/>
                <w:szCs w:val="20"/>
              </w:rPr>
              <w:t>hemorrhage</w:t>
            </w:r>
            <w:proofErr w:type="spellEnd"/>
            <w:r w:rsidRPr="005C0CD3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4613" w:type="dxa"/>
          </w:tcPr>
          <w:p w:rsidR="005C0CD3" w:rsidRPr="005C0CD3" w:rsidRDefault="005C0CD3" w:rsidP="00317547">
            <w:pPr>
              <w:rPr>
                <w:rFonts w:asciiTheme="minorHAnsi" w:hAnsiTheme="minorHAnsi"/>
                <w:sz w:val="20"/>
                <w:szCs w:val="20"/>
              </w:rPr>
            </w:pPr>
            <w:r w:rsidRPr="005C0CD3">
              <w:rPr>
                <w:rFonts w:asciiTheme="minorHAnsi" w:hAnsiTheme="minorHAnsi"/>
                <w:sz w:val="20"/>
                <w:szCs w:val="20"/>
              </w:rPr>
              <w:t xml:space="preserve">Intracranial </w:t>
            </w:r>
            <w:proofErr w:type="spellStart"/>
            <w:r w:rsidRPr="005C0CD3">
              <w:rPr>
                <w:rFonts w:asciiTheme="minorHAnsi" w:hAnsiTheme="minorHAnsi"/>
                <w:sz w:val="20"/>
                <w:szCs w:val="20"/>
              </w:rPr>
              <w:t>hemorrhage</w:t>
            </w:r>
            <w:proofErr w:type="spellEnd"/>
            <w:r w:rsidRPr="005C0CD3">
              <w:rPr>
                <w:rFonts w:asciiTheme="minorHAnsi" w:hAnsiTheme="minorHAnsi"/>
                <w:sz w:val="20"/>
                <w:szCs w:val="20"/>
              </w:rPr>
              <w:t>/contusion – sub-arachnoid</w:t>
            </w:r>
          </w:p>
        </w:tc>
      </w:tr>
      <w:tr w:rsidR="005C0CD3" w:rsidRPr="005C0CD3" w:rsidTr="00317547">
        <w:tc>
          <w:tcPr>
            <w:tcW w:w="551" w:type="dxa"/>
          </w:tcPr>
          <w:p w:rsidR="005C0CD3" w:rsidRPr="005C0CD3" w:rsidRDefault="005C0CD3" w:rsidP="00317547">
            <w:pPr>
              <w:rPr>
                <w:rFonts w:asciiTheme="minorHAnsi" w:hAnsiTheme="minorHAnsi"/>
                <w:sz w:val="20"/>
                <w:szCs w:val="20"/>
              </w:rPr>
            </w:pPr>
            <w:r w:rsidRPr="005C0CD3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4412" w:type="dxa"/>
          </w:tcPr>
          <w:p w:rsidR="005C0CD3" w:rsidRPr="005C0CD3" w:rsidRDefault="005C0CD3" w:rsidP="00317547">
            <w:pPr>
              <w:rPr>
                <w:rFonts w:asciiTheme="minorHAnsi" w:hAnsiTheme="minorHAnsi"/>
                <w:sz w:val="20"/>
                <w:szCs w:val="20"/>
              </w:rPr>
            </w:pPr>
            <w:r w:rsidRPr="005C0CD3">
              <w:rPr>
                <w:rFonts w:asciiTheme="minorHAnsi" w:hAnsiTheme="minorHAnsi"/>
                <w:sz w:val="20"/>
                <w:szCs w:val="20"/>
              </w:rPr>
              <w:t xml:space="preserve">Mass effect or </w:t>
            </w:r>
            <w:proofErr w:type="spellStart"/>
            <w:r w:rsidRPr="005C0CD3">
              <w:rPr>
                <w:rFonts w:asciiTheme="minorHAnsi" w:hAnsiTheme="minorHAnsi"/>
                <w:sz w:val="20"/>
                <w:szCs w:val="20"/>
              </w:rPr>
              <w:t>sulcal</w:t>
            </w:r>
            <w:proofErr w:type="spellEnd"/>
            <w:r w:rsidRPr="005C0CD3">
              <w:rPr>
                <w:rFonts w:asciiTheme="minorHAnsi" w:hAnsiTheme="minorHAnsi"/>
                <w:sz w:val="20"/>
                <w:szCs w:val="20"/>
              </w:rPr>
              <w:t xml:space="preserve"> effacement </w:t>
            </w:r>
          </w:p>
        </w:tc>
        <w:tc>
          <w:tcPr>
            <w:tcW w:w="4613" w:type="dxa"/>
          </w:tcPr>
          <w:p w:rsidR="005C0CD3" w:rsidRPr="005C0CD3" w:rsidRDefault="005C0CD3" w:rsidP="00317547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5C0CD3">
              <w:rPr>
                <w:rFonts w:asciiTheme="minorHAnsi" w:hAnsiTheme="minorHAnsi"/>
                <w:i/>
                <w:sz w:val="20"/>
                <w:szCs w:val="20"/>
              </w:rPr>
              <w:t xml:space="preserve">Not available </w:t>
            </w:r>
          </w:p>
        </w:tc>
      </w:tr>
      <w:tr w:rsidR="005C0CD3" w:rsidRPr="005C0CD3" w:rsidTr="00317547">
        <w:tc>
          <w:tcPr>
            <w:tcW w:w="551" w:type="dxa"/>
          </w:tcPr>
          <w:p w:rsidR="005C0CD3" w:rsidRPr="005C0CD3" w:rsidRDefault="005C0CD3" w:rsidP="00317547">
            <w:pPr>
              <w:rPr>
                <w:rFonts w:asciiTheme="minorHAnsi" w:hAnsiTheme="minorHAnsi"/>
                <w:sz w:val="20"/>
                <w:szCs w:val="20"/>
              </w:rPr>
            </w:pPr>
            <w:r w:rsidRPr="005C0CD3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4412" w:type="dxa"/>
          </w:tcPr>
          <w:p w:rsidR="005C0CD3" w:rsidRPr="005C0CD3" w:rsidRDefault="005C0CD3" w:rsidP="00317547">
            <w:pPr>
              <w:rPr>
                <w:rFonts w:asciiTheme="minorHAnsi" w:hAnsiTheme="minorHAnsi"/>
                <w:sz w:val="20"/>
                <w:szCs w:val="20"/>
              </w:rPr>
            </w:pPr>
            <w:r w:rsidRPr="005C0CD3">
              <w:rPr>
                <w:rFonts w:asciiTheme="minorHAnsi" w:hAnsiTheme="minorHAnsi"/>
                <w:sz w:val="20"/>
                <w:szCs w:val="20"/>
              </w:rPr>
              <w:t xml:space="preserve">Signs of herniation </w:t>
            </w:r>
          </w:p>
        </w:tc>
        <w:tc>
          <w:tcPr>
            <w:tcW w:w="4613" w:type="dxa"/>
          </w:tcPr>
          <w:p w:rsidR="005C0CD3" w:rsidRPr="005C0CD3" w:rsidRDefault="005C0CD3" w:rsidP="00317547">
            <w:pPr>
              <w:rPr>
                <w:rFonts w:asciiTheme="minorHAnsi" w:hAnsiTheme="minorHAnsi"/>
                <w:sz w:val="20"/>
                <w:szCs w:val="20"/>
              </w:rPr>
            </w:pPr>
            <w:r w:rsidRPr="005C0CD3">
              <w:rPr>
                <w:rFonts w:asciiTheme="minorHAnsi" w:hAnsiTheme="minorHAnsi"/>
                <w:sz w:val="20"/>
                <w:szCs w:val="20"/>
              </w:rPr>
              <w:t xml:space="preserve">Midline shift or brain herniation </w:t>
            </w:r>
          </w:p>
        </w:tc>
      </w:tr>
      <w:tr w:rsidR="005C0CD3" w:rsidRPr="005C0CD3" w:rsidTr="00317547">
        <w:tc>
          <w:tcPr>
            <w:tcW w:w="551" w:type="dxa"/>
          </w:tcPr>
          <w:p w:rsidR="005C0CD3" w:rsidRPr="005C0CD3" w:rsidRDefault="005C0CD3" w:rsidP="00317547">
            <w:pPr>
              <w:rPr>
                <w:rFonts w:asciiTheme="minorHAnsi" w:hAnsiTheme="minorHAnsi"/>
                <w:sz w:val="20"/>
                <w:szCs w:val="20"/>
              </w:rPr>
            </w:pPr>
            <w:r w:rsidRPr="005C0CD3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4412" w:type="dxa"/>
          </w:tcPr>
          <w:p w:rsidR="005C0CD3" w:rsidRPr="005C0CD3" w:rsidRDefault="005C0CD3" w:rsidP="00317547">
            <w:pPr>
              <w:rPr>
                <w:rFonts w:asciiTheme="minorHAnsi" w:hAnsiTheme="minorHAnsi"/>
                <w:sz w:val="20"/>
                <w:szCs w:val="20"/>
              </w:rPr>
            </w:pPr>
            <w:r w:rsidRPr="005C0CD3">
              <w:rPr>
                <w:rFonts w:asciiTheme="minorHAnsi" w:hAnsiTheme="minorHAnsi"/>
                <w:sz w:val="20"/>
                <w:szCs w:val="20"/>
              </w:rPr>
              <w:t>Basal cistern compression or midline shift</w:t>
            </w:r>
          </w:p>
        </w:tc>
        <w:tc>
          <w:tcPr>
            <w:tcW w:w="4613" w:type="dxa"/>
          </w:tcPr>
          <w:p w:rsidR="005C0CD3" w:rsidRPr="005C0CD3" w:rsidRDefault="005C0CD3" w:rsidP="00317547">
            <w:pPr>
              <w:rPr>
                <w:rFonts w:asciiTheme="minorHAnsi" w:hAnsiTheme="minorHAnsi"/>
                <w:sz w:val="20"/>
                <w:szCs w:val="20"/>
              </w:rPr>
            </w:pPr>
            <w:r w:rsidRPr="005C0CD3">
              <w:rPr>
                <w:rFonts w:asciiTheme="minorHAnsi" w:hAnsiTheme="minorHAnsi"/>
                <w:sz w:val="20"/>
                <w:szCs w:val="20"/>
              </w:rPr>
              <w:t>Midline shift or brain herniation</w:t>
            </w:r>
          </w:p>
        </w:tc>
      </w:tr>
      <w:tr w:rsidR="005C0CD3" w:rsidRPr="005C0CD3" w:rsidTr="00317547">
        <w:tc>
          <w:tcPr>
            <w:tcW w:w="551" w:type="dxa"/>
          </w:tcPr>
          <w:p w:rsidR="005C0CD3" w:rsidRPr="005C0CD3" w:rsidRDefault="005C0CD3" w:rsidP="00317547">
            <w:pPr>
              <w:rPr>
                <w:rFonts w:asciiTheme="minorHAnsi" w:hAnsiTheme="minorHAnsi"/>
                <w:sz w:val="20"/>
                <w:szCs w:val="20"/>
              </w:rPr>
            </w:pPr>
            <w:r w:rsidRPr="005C0CD3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4412" w:type="dxa"/>
          </w:tcPr>
          <w:p w:rsidR="005C0CD3" w:rsidRPr="005C0CD3" w:rsidRDefault="005C0CD3" w:rsidP="00317547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C0CD3">
              <w:rPr>
                <w:rFonts w:asciiTheme="minorHAnsi" w:hAnsiTheme="minorHAnsi"/>
                <w:sz w:val="20"/>
                <w:szCs w:val="20"/>
              </w:rPr>
              <w:t>Hemorrhage</w:t>
            </w:r>
            <w:proofErr w:type="spellEnd"/>
            <w:r w:rsidRPr="005C0CD3">
              <w:rPr>
                <w:rFonts w:asciiTheme="minorHAnsi" w:hAnsiTheme="minorHAnsi"/>
                <w:sz w:val="20"/>
                <w:szCs w:val="20"/>
              </w:rPr>
              <w:t xml:space="preserve"> in the posterior fossa</w:t>
            </w:r>
          </w:p>
        </w:tc>
        <w:tc>
          <w:tcPr>
            <w:tcW w:w="4613" w:type="dxa"/>
          </w:tcPr>
          <w:p w:rsidR="005C0CD3" w:rsidRPr="005C0CD3" w:rsidRDefault="005C0CD3" w:rsidP="00317547">
            <w:pPr>
              <w:rPr>
                <w:rFonts w:asciiTheme="minorHAnsi" w:hAnsiTheme="minorHAnsi"/>
                <w:sz w:val="20"/>
                <w:szCs w:val="20"/>
              </w:rPr>
            </w:pPr>
            <w:r w:rsidRPr="005C0CD3">
              <w:rPr>
                <w:rFonts w:asciiTheme="minorHAnsi" w:hAnsiTheme="minorHAnsi"/>
                <w:sz w:val="20"/>
                <w:szCs w:val="20"/>
              </w:rPr>
              <w:t xml:space="preserve">Intracranial </w:t>
            </w:r>
            <w:proofErr w:type="spellStart"/>
            <w:r w:rsidRPr="005C0CD3">
              <w:rPr>
                <w:rFonts w:asciiTheme="minorHAnsi" w:hAnsiTheme="minorHAnsi"/>
                <w:sz w:val="20"/>
                <w:szCs w:val="20"/>
              </w:rPr>
              <w:t>hemorrhage</w:t>
            </w:r>
            <w:proofErr w:type="spellEnd"/>
            <w:r w:rsidRPr="005C0CD3">
              <w:rPr>
                <w:rFonts w:asciiTheme="minorHAnsi" w:hAnsiTheme="minorHAnsi"/>
                <w:sz w:val="20"/>
                <w:szCs w:val="20"/>
              </w:rPr>
              <w:t>/contusion</w:t>
            </w:r>
          </w:p>
        </w:tc>
      </w:tr>
      <w:tr w:rsidR="005C0CD3" w:rsidRPr="005C0CD3" w:rsidTr="00317547">
        <w:tc>
          <w:tcPr>
            <w:tcW w:w="551" w:type="dxa"/>
          </w:tcPr>
          <w:p w:rsidR="005C0CD3" w:rsidRPr="005C0CD3" w:rsidRDefault="005C0CD3" w:rsidP="00317547">
            <w:pPr>
              <w:rPr>
                <w:rFonts w:asciiTheme="minorHAnsi" w:hAnsiTheme="minorHAnsi"/>
                <w:sz w:val="20"/>
                <w:szCs w:val="20"/>
              </w:rPr>
            </w:pPr>
            <w:r w:rsidRPr="005C0CD3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4412" w:type="dxa"/>
          </w:tcPr>
          <w:p w:rsidR="005C0CD3" w:rsidRPr="005C0CD3" w:rsidRDefault="005C0CD3" w:rsidP="00317547">
            <w:pPr>
              <w:rPr>
                <w:rFonts w:asciiTheme="minorHAnsi" w:hAnsiTheme="minorHAnsi"/>
                <w:sz w:val="20"/>
                <w:szCs w:val="20"/>
              </w:rPr>
            </w:pPr>
            <w:r w:rsidRPr="005C0CD3">
              <w:rPr>
                <w:rFonts w:asciiTheme="minorHAnsi" w:hAnsiTheme="minorHAnsi"/>
                <w:sz w:val="20"/>
                <w:szCs w:val="20"/>
              </w:rPr>
              <w:t xml:space="preserve">Intraventricular </w:t>
            </w:r>
            <w:proofErr w:type="spellStart"/>
            <w:r w:rsidRPr="005C0CD3">
              <w:rPr>
                <w:rFonts w:asciiTheme="minorHAnsi" w:hAnsiTheme="minorHAnsi"/>
                <w:sz w:val="20"/>
                <w:szCs w:val="20"/>
              </w:rPr>
              <w:t>hemorrhage</w:t>
            </w:r>
            <w:proofErr w:type="spellEnd"/>
            <w:r w:rsidRPr="005C0CD3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4613" w:type="dxa"/>
          </w:tcPr>
          <w:p w:rsidR="005C0CD3" w:rsidRPr="005C0CD3" w:rsidRDefault="005C0CD3" w:rsidP="00317547">
            <w:pPr>
              <w:rPr>
                <w:rFonts w:asciiTheme="minorHAnsi" w:hAnsiTheme="minorHAnsi"/>
                <w:sz w:val="20"/>
                <w:szCs w:val="20"/>
              </w:rPr>
            </w:pPr>
            <w:r w:rsidRPr="005C0CD3">
              <w:rPr>
                <w:rFonts w:asciiTheme="minorHAnsi" w:hAnsiTheme="minorHAnsi"/>
                <w:sz w:val="20"/>
                <w:szCs w:val="20"/>
              </w:rPr>
              <w:t xml:space="preserve">Intracranial </w:t>
            </w:r>
            <w:proofErr w:type="spellStart"/>
            <w:r w:rsidRPr="005C0CD3">
              <w:rPr>
                <w:rFonts w:asciiTheme="minorHAnsi" w:hAnsiTheme="minorHAnsi"/>
                <w:sz w:val="20"/>
                <w:szCs w:val="20"/>
              </w:rPr>
              <w:t>hemorrhage</w:t>
            </w:r>
            <w:proofErr w:type="spellEnd"/>
            <w:r w:rsidRPr="005C0CD3">
              <w:rPr>
                <w:rFonts w:asciiTheme="minorHAnsi" w:hAnsiTheme="minorHAnsi"/>
                <w:sz w:val="20"/>
                <w:szCs w:val="20"/>
              </w:rPr>
              <w:t xml:space="preserve">/contusion </w:t>
            </w:r>
          </w:p>
        </w:tc>
      </w:tr>
      <w:tr w:rsidR="005C0CD3" w:rsidRPr="005C0CD3" w:rsidTr="00317547">
        <w:tc>
          <w:tcPr>
            <w:tcW w:w="551" w:type="dxa"/>
          </w:tcPr>
          <w:p w:rsidR="005C0CD3" w:rsidRPr="005C0CD3" w:rsidRDefault="005C0CD3" w:rsidP="00317547">
            <w:pPr>
              <w:rPr>
                <w:rFonts w:asciiTheme="minorHAnsi" w:hAnsiTheme="minorHAnsi"/>
                <w:sz w:val="20"/>
                <w:szCs w:val="20"/>
              </w:rPr>
            </w:pPr>
            <w:r w:rsidRPr="005C0CD3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4412" w:type="dxa"/>
          </w:tcPr>
          <w:p w:rsidR="005C0CD3" w:rsidRPr="005C0CD3" w:rsidRDefault="005C0CD3" w:rsidP="00317547">
            <w:pPr>
              <w:rPr>
                <w:rFonts w:asciiTheme="minorHAnsi" w:hAnsiTheme="minorHAnsi"/>
                <w:sz w:val="20"/>
                <w:szCs w:val="20"/>
              </w:rPr>
            </w:pPr>
            <w:r w:rsidRPr="005C0CD3">
              <w:rPr>
                <w:rFonts w:asciiTheme="minorHAnsi" w:hAnsiTheme="minorHAnsi"/>
                <w:sz w:val="20"/>
                <w:szCs w:val="20"/>
              </w:rPr>
              <w:t xml:space="preserve">Bilateral </w:t>
            </w:r>
            <w:proofErr w:type="spellStart"/>
            <w:r w:rsidRPr="005C0CD3">
              <w:rPr>
                <w:rFonts w:asciiTheme="minorHAnsi" w:hAnsiTheme="minorHAnsi"/>
                <w:sz w:val="20"/>
                <w:szCs w:val="20"/>
              </w:rPr>
              <w:t>hemorrhage</w:t>
            </w:r>
            <w:proofErr w:type="spellEnd"/>
            <w:r w:rsidRPr="005C0CD3">
              <w:rPr>
                <w:rFonts w:asciiTheme="minorHAnsi" w:hAnsiTheme="minorHAnsi"/>
                <w:sz w:val="20"/>
                <w:szCs w:val="20"/>
              </w:rPr>
              <w:t xml:space="preserve"> of any type </w:t>
            </w:r>
          </w:p>
        </w:tc>
        <w:tc>
          <w:tcPr>
            <w:tcW w:w="4613" w:type="dxa"/>
          </w:tcPr>
          <w:p w:rsidR="005C0CD3" w:rsidRPr="005C0CD3" w:rsidRDefault="005C0CD3" w:rsidP="00317547">
            <w:pPr>
              <w:rPr>
                <w:rFonts w:asciiTheme="minorHAnsi" w:hAnsiTheme="minorHAnsi"/>
                <w:sz w:val="20"/>
                <w:szCs w:val="20"/>
              </w:rPr>
            </w:pPr>
            <w:r w:rsidRPr="005C0CD3">
              <w:rPr>
                <w:rFonts w:asciiTheme="minorHAnsi" w:hAnsiTheme="minorHAnsi"/>
                <w:sz w:val="20"/>
                <w:szCs w:val="20"/>
              </w:rPr>
              <w:t xml:space="preserve">Intracranial </w:t>
            </w:r>
            <w:proofErr w:type="spellStart"/>
            <w:r w:rsidRPr="005C0CD3">
              <w:rPr>
                <w:rFonts w:asciiTheme="minorHAnsi" w:hAnsiTheme="minorHAnsi"/>
                <w:sz w:val="20"/>
                <w:szCs w:val="20"/>
              </w:rPr>
              <w:t>hemorrhage</w:t>
            </w:r>
            <w:proofErr w:type="spellEnd"/>
            <w:r w:rsidRPr="005C0CD3">
              <w:rPr>
                <w:rFonts w:asciiTheme="minorHAnsi" w:hAnsiTheme="minorHAnsi"/>
                <w:sz w:val="20"/>
                <w:szCs w:val="20"/>
              </w:rPr>
              <w:t xml:space="preserve">/contusion </w:t>
            </w:r>
          </w:p>
        </w:tc>
      </w:tr>
      <w:tr w:rsidR="005C0CD3" w:rsidRPr="005C0CD3" w:rsidTr="00317547">
        <w:tc>
          <w:tcPr>
            <w:tcW w:w="551" w:type="dxa"/>
          </w:tcPr>
          <w:p w:rsidR="005C0CD3" w:rsidRPr="005C0CD3" w:rsidRDefault="005C0CD3" w:rsidP="00317547">
            <w:pPr>
              <w:rPr>
                <w:rFonts w:asciiTheme="minorHAnsi" w:hAnsiTheme="minorHAnsi"/>
                <w:sz w:val="20"/>
                <w:szCs w:val="20"/>
              </w:rPr>
            </w:pPr>
            <w:r w:rsidRPr="005C0CD3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4412" w:type="dxa"/>
          </w:tcPr>
          <w:p w:rsidR="005C0CD3" w:rsidRPr="005C0CD3" w:rsidRDefault="005C0CD3" w:rsidP="00317547">
            <w:pPr>
              <w:rPr>
                <w:rFonts w:asciiTheme="minorHAnsi" w:hAnsiTheme="minorHAnsi"/>
                <w:sz w:val="20"/>
                <w:szCs w:val="20"/>
              </w:rPr>
            </w:pPr>
            <w:r w:rsidRPr="005C0CD3">
              <w:rPr>
                <w:rFonts w:asciiTheme="minorHAnsi" w:hAnsiTheme="minorHAnsi"/>
                <w:sz w:val="20"/>
                <w:szCs w:val="20"/>
              </w:rPr>
              <w:t xml:space="preserve">Depressed or </w:t>
            </w:r>
            <w:proofErr w:type="spellStart"/>
            <w:r w:rsidRPr="005C0CD3">
              <w:rPr>
                <w:rFonts w:asciiTheme="minorHAnsi" w:hAnsiTheme="minorHAnsi"/>
                <w:sz w:val="20"/>
                <w:szCs w:val="20"/>
              </w:rPr>
              <w:t>diastatic</w:t>
            </w:r>
            <w:proofErr w:type="spellEnd"/>
            <w:r w:rsidRPr="005C0CD3">
              <w:rPr>
                <w:rFonts w:asciiTheme="minorHAnsi" w:hAnsiTheme="minorHAnsi"/>
                <w:sz w:val="20"/>
                <w:szCs w:val="20"/>
              </w:rPr>
              <w:t xml:space="preserve"> skull fracture </w:t>
            </w:r>
          </w:p>
        </w:tc>
        <w:tc>
          <w:tcPr>
            <w:tcW w:w="4613" w:type="dxa"/>
          </w:tcPr>
          <w:p w:rsidR="005C0CD3" w:rsidRPr="005C0CD3" w:rsidRDefault="005C0CD3" w:rsidP="00317547">
            <w:pPr>
              <w:rPr>
                <w:rFonts w:asciiTheme="minorHAnsi" w:hAnsiTheme="minorHAnsi"/>
                <w:sz w:val="20"/>
                <w:szCs w:val="20"/>
              </w:rPr>
            </w:pPr>
            <w:r w:rsidRPr="005C0CD3">
              <w:rPr>
                <w:rFonts w:asciiTheme="minorHAnsi" w:hAnsiTheme="minorHAnsi"/>
                <w:sz w:val="20"/>
                <w:szCs w:val="20"/>
              </w:rPr>
              <w:t xml:space="preserve">Diastasis of skull OR/AND Skull fracture - depressed </w:t>
            </w:r>
          </w:p>
        </w:tc>
      </w:tr>
      <w:tr w:rsidR="005C0CD3" w:rsidRPr="005C0CD3" w:rsidTr="00317547">
        <w:tc>
          <w:tcPr>
            <w:tcW w:w="551" w:type="dxa"/>
          </w:tcPr>
          <w:p w:rsidR="005C0CD3" w:rsidRPr="005C0CD3" w:rsidRDefault="005C0CD3" w:rsidP="00317547">
            <w:pPr>
              <w:rPr>
                <w:rFonts w:asciiTheme="minorHAnsi" w:hAnsiTheme="minorHAnsi"/>
                <w:sz w:val="20"/>
                <w:szCs w:val="20"/>
              </w:rPr>
            </w:pPr>
            <w:r w:rsidRPr="005C0CD3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4412" w:type="dxa"/>
          </w:tcPr>
          <w:p w:rsidR="005C0CD3" w:rsidRPr="005C0CD3" w:rsidRDefault="005C0CD3" w:rsidP="00317547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C0CD3">
              <w:rPr>
                <w:rFonts w:asciiTheme="minorHAnsi" w:hAnsiTheme="minorHAnsi"/>
                <w:sz w:val="20"/>
                <w:szCs w:val="20"/>
              </w:rPr>
              <w:t>Pneumocephalus</w:t>
            </w:r>
            <w:proofErr w:type="spellEnd"/>
            <w:r w:rsidRPr="005C0CD3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4613" w:type="dxa"/>
          </w:tcPr>
          <w:p w:rsidR="005C0CD3" w:rsidRPr="005C0CD3" w:rsidRDefault="005C0CD3" w:rsidP="00317547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C0CD3">
              <w:rPr>
                <w:rFonts w:asciiTheme="minorHAnsi" w:hAnsiTheme="minorHAnsi"/>
                <w:sz w:val="20"/>
                <w:szCs w:val="20"/>
              </w:rPr>
              <w:t>Pneumocephalus</w:t>
            </w:r>
            <w:proofErr w:type="spellEnd"/>
          </w:p>
        </w:tc>
      </w:tr>
      <w:tr w:rsidR="005C0CD3" w:rsidRPr="005C0CD3" w:rsidTr="00317547">
        <w:tc>
          <w:tcPr>
            <w:tcW w:w="551" w:type="dxa"/>
          </w:tcPr>
          <w:p w:rsidR="005C0CD3" w:rsidRPr="005C0CD3" w:rsidRDefault="005C0CD3" w:rsidP="00317547">
            <w:pPr>
              <w:rPr>
                <w:rFonts w:asciiTheme="minorHAnsi" w:hAnsiTheme="minorHAnsi"/>
                <w:sz w:val="20"/>
                <w:szCs w:val="20"/>
              </w:rPr>
            </w:pPr>
            <w:r w:rsidRPr="005C0CD3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4412" w:type="dxa"/>
          </w:tcPr>
          <w:p w:rsidR="005C0CD3" w:rsidRPr="005C0CD3" w:rsidRDefault="005C0CD3" w:rsidP="00317547">
            <w:pPr>
              <w:rPr>
                <w:rFonts w:asciiTheme="minorHAnsi" w:hAnsiTheme="minorHAnsi"/>
                <w:sz w:val="20"/>
                <w:szCs w:val="20"/>
              </w:rPr>
            </w:pPr>
            <w:r w:rsidRPr="005C0CD3">
              <w:rPr>
                <w:rFonts w:asciiTheme="minorHAnsi" w:hAnsiTheme="minorHAnsi"/>
                <w:sz w:val="20"/>
                <w:szCs w:val="20"/>
              </w:rPr>
              <w:t xml:space="preserve">Diffuse cerebral </w:t>
            </w:r>
            <w:proofErr w:type="spellStart"/>
            <w:r w:rsidRPr="005C0CD3">
              <w:rPr>
                <w:rFonts w:asciiTheme="minorHAnsi" w:hAnsiTheme="minorHAnsi"/>
                <w:sz w:val="20"/>
                <w:szCs w:val="20"/>
              </w:rPr>
              <w:t>edema</w:t>
            </w:r>
            <w:proofErr w:type="spellEnd"/>
          </w:p>
        </w:tc>
        <w:tc>
          <w:tcPr>
            <w:tcW w:w="4613" w:type="dxa"/>
          </w:tcPr>
          <w:p w:rsidR="005C0CD3" w:rsidRPr="005C0CD3" w:rsidRDefault="005C0CD3" w:rsidP="00317547">
            <w:pPr>
              <w:rPr>
                <w:rFonts w:asciiTheme="minorHAnsi" w:hAnsiTheme="minorHAnsi"/>
                <w:sz w:val="20"/>
                <w:szCs w:val="20"/>
              </w:rPr>
            </w:pPr>
            <w:r w:rsidRPr="005C0CD3">
              <w:rPr>
                <w:rFonts w:asciiTheme="minorHAnsi" w:hAnsiTheme="minorHAnsi"/>
                <w:sz w:val="20"/>
                <w:szCs w:val="20"/>
              </w:rPr>
              <w:t xml:space="preserve">Cerebral </w:t>
            </w:r>
            <w:proofErr w:type="spellStart"/>
            <w:r w:rsidRPr="005C0CD3">
              <w:rPr>
                <w:rFonts w:asciiTheme="minorHAnsi" w:hAnsiTheme="minorHAnsi"/>
                <w:sz w:val="20"/>
                <w:szCs w:val="20"/>
              </w:rPr>
              <w:t>edema</w:t>
            </w:r>
            <w:proofErr w:type="spellEnd"/>
            <w:r w:rsidRPr="005C0CD3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5C0CD3" w:rsidRPr="005C0CD3" w:rsidTr="00317547">
        <w:tc>
          <w:tcPr>
            <w:tcW w:w="551" w:type="dxa"/>
            <w:tcBorders>
              <w:bottom w:val="single" w:sz="4" w:space="0" w:color="auto"/>
            </w:tcBorders>
          </w:tcPr>
          <w:p w:rsidR="005C0CD3" w:rsidRPr="005C0CD3" w:rsidRDefault="005C0CD3" w:rsidP="00317547">
            <w:pPr>
              <w:rPr>
                <w:rFonts w:asciiTheme="minorHAnsi" w:hAnsiTheme="minorHAnsi"/>
                <w:sz w:val="20"/>
                <w:szCs w:val="20"/>
              </w:rPr>
            </w:pPr>
            <w:r w:rsidRPr="005C0CD3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4412" w:type="dxa"/>
            <w:tcBorders>
              <w:bottom w:val="single" w:sz="4" w:space="0" w:color="auto"/>
            </w:tcBorders>
          </w:tcPr>
          <w:p w:rsidR="005C0CD3" w:rsidRPr="005C0CD3" w:rsidRDefault="005C0CD3" w:rsidP="00317547">
            <w:pPr>
              <w:rPr>
                <w:rFonts w:asciiTheme="minorHAnsi" w:hAnsiTheme="minorHAnsi"/>
                <w:sz w:val="20"/>
                <w:szCs w:val="20"/>
              </w:rPr>
            </w:pPr>
            <w:r w:rsidRPr="005C0CD3">
              <w:rPr>
                <w:rFonts w:asciiTheme="minorHAnsi" w:hAnsiTheme="minorHAnsi"/>
                <w:sz w:val="20"/>
                <w:szCs w:val="20"/>
              </w:rPr>
              <w:t xml:space="preserve">Diffuse axonal injury </w:t>
            </w:r>
          </w:p>
        </w:tc>
        <w:tc>
          <w:tcPr>
            <w:tcW w:w="4613" w:type="dxa"/>
            <w:tcBorders>
              <w:bottom w:val="single" w:sz="4" w:space="0" w:color="auto"/>
            </w:tcBorders>
          </w:tcPr>
          <w:p w:rsidR="005C0CD3" w:rsidRPr="005C0CD3" w:rsidRDefault="005C0CD3" w:rsidP="00317547">
            <w:pPr>
              <w:rPr>
                <w:rFonts w:asciiTheme="minorHAnsi" w:hAnsiTheme="minorHAnsi"/>
                <w:sz w:val="20"/>
                <w:szCs w:val="20"/>
              </w:rPr>
            </w:pPr>
            <w:r w:rsidRPr="005C0CD3">
              <w:rPr>
                <w:rFonts w:asciiTheme="minorHAnsi" w:hAnsiTheme="minorHAnsi"/>
                <w:sz w:val="20"/>
                <w:szCs w:val="20"/>
              </w:rPr>
              <w:t>Diffuse axonal injury</w:t>
            </w:r>
          </w:p>
        </w:tc>
      </w:tr>
    </w:tbl>
    <w:p w:rsidR="005C0CD3" w:rsidRPr="005C0CD3" w:rsidRDefault="005C0CD3">
      <w:pPr>
        <w:rPr>
          <w:rFonts w:asciiTheme="minorHAnsi" w:hAnsiTheme="minorHAnsi"/>
          <w:sz w:val="20"/>
          <w:szCs w:val="20"/>
        </w:rPr>
      </w:pPr>
    </w:p>
    <w:p w:rsidR="005C0CD3" w:rsidRPr="005C0CD3" w:rsidRDefault="005C0CD3">
      <w:pPr>
        <w:spacing w:after="200" w:line="276" w:lineRule="auto"/>
        <w:rPr>
          <w:rFonts w:asciiTheme="minorHAnsi" w:hAnsiTheme="minorHAnsi"/>
          <w:sz w:val="20"/>
          <w:szCs w:val="20"/>
        </w:rPr>
      </w:pPr>
      <w:r w:rsidRPr="005C0CD3">
        <w:rPr>
          <w:rFonts w:asciiTheme="minorHAnsi" w:hAnsiTheme="minorHAnsi"/>
          <w:sz w:val="20"/>
          <w:szCs w:val="20"/>
        </w:rPr>
        <w:br w:type="page"/>
      </w:r>
    </w:p>
    <w:tbl>
      <w:tblPr>
        <w:tblW w:w="9557" w:type="dxa"/>
        <w:tblLook w:val="04A0" w:firstRow="1" w:lastRow="0" w:firstColumn="1" w:lastColumn="0" w:noHBand="0" w:noVBand="1"/>
      </w:tblPr>
      <w:tblGrid>
        <w:gridCol w:w="2790"/>
        <w:gridCol w:w="630"/>
        <w:gridCol w:w="1010"/>
        <w:gridCol w:w="717"/>
        <w:gridCol w:w="990"/>
        <w:gridCol w:w="864"/>
        <w:gridCol w:w="846"/>
        <w:gridCol w:w="864"/>
        <w:gridCol w:w="846"/>
      </w:tblGrid>
      <w:tr w:rsidR="005C0CD3" w:rsidRPr="005C0CD3" w:rsidTr="00317547">
        <w:trPr>
          <w:trHeight w:val="300"/>
        </w:trPr>
        <w:tc>
          <w:tcPr>
            <w:tcW w:w="9557" w:type="dxa"/>
            <w:gridSpan w:val="9"/>
            <w:tcBorders>
              <w:left w:val="nil"/>
            </w:tcBorders>
            <w:shd w:val="clear" w:color="auto" w:fill="auto"/>
            <w:noWrap/>
            <w:vAlign w:val="bottom"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b/>
                <w:sz w:val="20"/>
                <w:szCs w:val="20"/>
                <w:lang w:val="en-US"/>
              </w:rPr>
              <w:lastRenderedPageBreak/>
              <w:t>Table 3. Demographics of the evaluable patients</w:t>
            </w:r>
            <w:r w:rsidRPr="005C0CD3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5C0CD3" w:rsidRPr="005C0CD3" w:rsidTr="00317547">
        <w:trPr>
          <w:trHeight w:val="300"/>
        </w:trPr>
        <w:tc>
          <w:tcPr>
            <w:tcW w:w="27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tabs>
                <w:tab w:val="left" w:pos="4482"/>
              </w:tabs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3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CT in ED 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C0CD3" w:rsidRPr="005C0CD3" w:rsidRDefault="005C0CD3" w:rsidP="00317547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/>
              </w:rPr>
              <w:t>No CT (in ED)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CD3" w:rsidRPr="005C0CD3" w:rsidRDefault="005C0CD3" w:rsidP="00317547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/>
              </w:rPr>
              <w:t>Entire Sample</w:t>
            </w:r>
          </w:p>
        </w:tc>
      </w:tr>
      <w:tr w:rsidR="005C0CD3" w:rsidRPr="005C0CD3" w:rsidTr="00317547">
        <w:trPr>
          <w:trHeight w:val="600"/>
        </w:trPr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CD3" w:rsidRPr="005C0CD3" w:rsidRDefault="005C0CD3" w:rsidP="00317547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/>
              </w:rPr>
              <w:t>Clinically Important ICI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CD3" w:rsidRPr="005C0CD3" w:rsidRDefault="005C0CD3" w:rsidP="00317547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/>
              </w:rPr>
              <w:t>No Clinically Important ICI</w:t>
            </w: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5C0CD3" w:rsidRPr="005C0CD3" w:rsidTr="00317547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377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1,585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18,147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20,109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5C0CD3" w:rsidRPr="005C0CD3" w:rsidTr="00317547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</w:tr>
      <w:tr w:rsidR="005C0CD3" w:rsidRPr="005C0CD3" w:rsidTr="00317547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val="en-US"/>
              </w:rPr>
              <w:t>Demographics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</w:tr>
      <w:tr w:rsidR="005C0CD3" w:rsidRPr="005C0CD3" w:rsidTr="00317547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5C0CD3">
            <w:pPr>
              <w:ind w:firstLineChars="100" w:firstLine="200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Age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5C0CD3">
            <w:pPr>
              <w:ind w:firstLineChars="100" w:firstLine="200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</w:tr>
      <w:tr w:rsidR="005C0CD3" w:rsidRPr="005C0CD3" w:rsidTr="00317547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5C0CD3">
            <w:pPr>
              <w:ind w:firstLineChars="200" w:firstLine="400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Mean, SD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6.6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5.2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8.2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5.2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5.5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4.5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5.7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4.7</w:t>
            </w:r>
          </w:p>
        </w:tc>
      </w:tr>
      <w:tr w:rsidR="005C0CD3" w:rsidRPr="005C0CD3" w:rsidTr="00317547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5C0CD3">
            <w:pPr>
              <w:ind w:firstLineChars="200" w:firstLine="400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&lt;3 years, n %</w:t>
            </w:r>
          </w:p>
        </w:tc>
        <w:tc>
          <w:tcPr>
            <w:tcW w:w="630" w:type="dxa"/>
            <w:noWrap/>
            <w:vAlign w:val="bottom"/>
          </w:tcPr>
          <w:p w:rsidR="005C0CD3" w:rsidRPr="005C0CD3" w:rsidRDefault="005C0CD3" w:rsidP="00317547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  <w:lang w:val="en-US" w:eastAsia="en-AU"/>
              </w:rPr>
            </w:pPr>
            <w:r w:rsidRPr="005C0CD3">
              <w:rPr>
                <w:rFonts w:asciiTheme="minorHAnsi" w:hAnsiTheme="minorHAns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10" w:type="dxa"/>
            <w:noWrap/>
            <w:vAlign w:val="bottom"/>
          </w:tcPr>
          <w:p w:rsidR="005C0CD3" w:rsidRPr="005C0CD3" w:rsidRDefault="005C0CD3" w:rsidP="00317547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C0CD3">
              <w:rPr>
                <w:rFonts w:asciiTheme="minorHAnsi" w:hAnsiTheme="minorHAnsi"/>
                <w:color w:val="000000"/>
                <w:sz w:val="20"/>
                <w:szCs w:val="20"/>
              </w:rPr>
              <w:t>34.2</w:t>
            </w:r>
          </w:p>
        </w:tc>
        <w:tc>
          <w:tcPr>
            <w:tcW w:w="717" w:type="dxa"/>
            <w:noWrap/>
            <w:vAlign w:val="bottom"/>
          </w:tcPr>
          <w:p w:rsidR="005C0CD3" w:rsidRPr="005C0CD3" w:rsidRDefault="005C0CD3" w:rsidP="00317547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C0CD3">
              <w:rPr>
                <w:rFonts w:asciiTheme="minorHAnsi" w:hAnsiTheme="minorHAns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990" w:type="dxa"/>
            <w:noWrap/>
            <w:vAlign w:val="bottom"/>
          </w:tcPr>
          <w:p w:rsidR="005C0CD3" w:rsidRPr="005C0CD3" w:rsidRDefault="005C0CD3" w:rsidP="00317547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C0CD3">
              <w:rPr>
                <w:rFonts w:asciiTheme="minorHAnsi" w:hAnsiTheme="minorHAnsi"/>
                <w:color w:val="000000"/>
                <w:sz w:val="20"/>
                <w:szCs w:val="20"/>
              </w:rPr>
              <w:t>22.7</w:t>
            </w:r>
          </w:p>
        </w:tc>
        <w:tc>
          <w:tcPr>
            <w:tcW w:w="864" w:type="dxa"/>
            <w:noWrap/>
            <w:vAlign w:val="bottom"/>
          </w:tcPr>
          <w:p w:rsidR="005C0CD3" w:rsidRPr="005C0CD3" w:rsidRDefault="005C0CD3" w:rsidP="00317547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C0CD3">
              <w:rPr>
                <w:rFonts w:asciiTheme="minorHAnsi" w:hAnsiTheme="minorHAnsi"/>
                <w:color w:val="000000"/>
                <w:sz w:val="20"/>
                <w:szCs w:val="20"/>
              </w:rPr>
              <w:t>7,383</w:t>
            </w:r>
          </w:p>
        </w:tc>
        <w:tc>
          <w:tcPr>
            <w:tcW w:w="846" w:type="dxa"/>
            <w:noWrap/>
            <w:vAlign w:val="bottom"/>
          </w:tcPr>
          <w:p w:rsidR="005C0CD3" w:rsidRPr="005C0CD3" w:rsidRDefault="005C0CD3" w:rsidP="00317547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C0CD3">
              <w:rPr>
                <w:rFonts w:asciiTheme="minorHAnsi" w:hAnsiTheme="minorHAnsi"/>
                <w:color w:val="000000"/>
                <w:sz w:val="20"/>
                <w:szCs w:val="20"/>
              </w:rPr>
              <w:t>40.7</w:t>
            </w:r>
          </w:p>
        </w:tc>
        <w:tc>
          <w:tcPr>
            <w:tcW w:w="864" w:type="dxa"/>
            <w:noWrap/>
            <w:vAlign w:val="bottom"/>
          </w:tcPr>
          <w:p w:rsidR="005C0CD3" w:rsidRPr="005C0CD3" w:rsidRDefault="005C0CD3" w:rsidP="00317547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C0CD3">
              <w:rPr>
                <w:rFonts w:asciiTheme="minorHAnsi" w:hAnsiTheme="minorHAnsi"/>
                <w:color w:val="000000"/>
                <w:sz w:val="20"/>
                <w:szCs w:val="20"/>
              </w:rPr>
              <w:t>7,872</w:t>
            </w:r>
          </w:p>
        </w:tc>
        <w:tc>
          <w:tcPr>
            <w:tcW w:w="846" w:type="dxa"/>
            <w:noWrap/>
            <w:vAlign w:val="bottom"/>
          </w:tcPr>
          <w:p w:rsidR="005C0CD3" w:rsidRPr="005C0CD3" w:rsidRDefault="005C0CD3" w:rsidP="00317547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C0CD3">
              <w:rPr>
                <w:rFonts w:asciiTheme="minorHAnsi" w:hAnsiTheme="minorHAnsi"/>
                <w:color w:val="000000"/>
                <w:sz w:val="20"/>
                <w:szCs w:val="20"/>
              </w:rPr>
              <w:t>39.1</w:t>
            </w:r>
          </w:p>
        </w:tc>
      </w:tr>
      <w:tr w:rsidR="005C0CD3" w:rsidRPr="005C0CD3" w:rsidTr="00317547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5C0CD3">
            <w:pPr>
              <w:ind w:firstLineChars="100" w:firstLine="200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Male, n %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242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64.2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1,061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66.9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11,502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63.4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12,805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63.7</w:t>
            </w:r>
          </w:p>
        </w:tc>
      </w:tr>
      <w:tr w:rsidR="005C0CD3" w:rsidRPr="005C0CD3" w:rsidTr="00317547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val="en-US"/>
              </w:rPr>
              <w:t>Symptoms and signs, n %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</w:tr>
      <w:tr w:rsidR="005C0CD3" w:rsidRPr="005C0CD3" w:rsidTr="00317547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5C0CD3">
            <w:pPr>
              <w:ind w:firstLineChars="100" w:firstLine="200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Known or suspected LOC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164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43.5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528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33.3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2,006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11.1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2,698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13.4</w:t>
            </w:r>
          </w:p>
        </w:tc>
      </w:tr>
      <w:tr w:rsidR="005C0CD3" w:rsidRPr="005C0CD3" w:rsidTr="00317547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5C0CD3">
            <w:pPr>
              <w:ind w:firstLineChars="100" w:firstLine="200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History of amnesia*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66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17.5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473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29.8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1,144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6.3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1,683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8.4</w:t>
            </w:r>
          </w:p>
        </w:tc>
      </w:tr>
      <w:tr w:rsidR="005C0CD3" w:rsidRPr="005C0CD3" w:rsidTr="00317547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5C0CD3">
            <w:pPr>
              <w:ind w:firstLineChars="100" w:firstLine="200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History of vomiting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148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39.3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682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43.0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2,618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14.4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3,448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17.1</w:t>
            </w:r>
          </w:p>
        </w:tc>
      </w:tr>
      <w:tr w:rsidR="005C0CD3" w:rsidRPr="005C0CD3" w:rsidTr="00317547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5C0CD3">
            <w:pPr>
              <w:ind w:firstLineChars="100" w:firstLine="200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Headache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122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32.4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762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48.1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3,233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17.8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4,117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20.5</w:t>
            </w:r>
          </w:p>
        </w:tc>
      </w:tr>
      <w:tr w:rsidR="005C0CD3" w:rsidRPr="005C0CD3" w:rsidTr="00317547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5C0CD3">
            <w:pPr>
              <w:ind w:firstLineChars="100" w:firstLine="200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Witnessed disorientation*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132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35.0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604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38.1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1,955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10.8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2,691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13.4</w:t>
            </w:r>
          </w:p>
        </w:tc>
      </w:tr>
      <w:tr w:rsidR="005C0CD3" w:rsidRPr="005C0CD3" w:rsidTr="00317547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val="en-US"/>
              </w:rPr>
              <w:t>Mechanism of Injury, n %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</w:tr>
      <w:tr w:rsidR="005C0CD3" w:rsidRPr="005C0CD3" w:rsidTr="00317547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5C0CD3">
            <w:pPr>
              <w:ind w:firstLineChars="100" w:firstLine="200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Fall related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210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55.7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997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62.9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12,904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71.1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14,111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70.2</w:t>
            </w:r>
          </w:p>
        </w:tc>
      </w:tr>
      <w:tr w:rsidR="005C0CD3" w:rsidRPr="005C0CD3" w:rsidTr="00317547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5C0CD3">
            <w:pPr>
              <w:ind w:firstLineChars="100" w:firstLine="200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Motor vehicle incident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26.5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207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13.1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537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3.0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844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4.2</w:t>
            </w:r>
          </w:p>
        </w:tc>
      </w:tr>
      <w:tr w:rsidR="005C0CD3" w:rsidRPr="005C0CD3" w:rsidTr="00317547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5C0CD3">
            <w:pPr>
              <w:ind w:firstLineChars="100" w:firstLine="200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Bicycle-related; wearing no helmet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6.4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3.9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297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1.6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382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1.9</w:t>
            </w:r>
          </w:p>
        </w:tc>
      </w:tr>
      <w:tr w:rsidR="005C0CD3" w:rsidRPr="005C0CD3" w:rsidTr="00317547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5C0CD3">
            <w:pPr>
              <w:ind w:firstLineChars="100" w:firstLine="200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Head hit by high impact object/projectile,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9.6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10.4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1,110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6.1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1,310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6.5</w:t>
            </w:r>
          </w:p>
        </w:tc>
      </w:tr>
      <w:tr w:rsidR="005C0CD3" w:rsidRPr="005C0CD3" w:rsidTr="00317547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5C0CD3">
            <w:pPr>
              <w:ind w:firstLineChars="100" w:firstLine="200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Suspected NAI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6.4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2.8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0.2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112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0.6</w:t>
            </w:r>
          </w:p>
        </w:tc>
      </w:tr>
      <w:tr w:rsidR="005C0CD3" w:rsidRPr="005C0CD3" w:rsidTr="00317547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val="en-US"/>
              </w:rPr>
              <w:t>Cranial CT rate**, n %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377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100.0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1,585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100.0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125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0.7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2,087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10.4</w:t>
            </w:r>
          </w:p>
        </w:tc>
      </w:tr>
      <w:tr w:rsidR="005C0CD3" w:rsidRPr="005C0CD3" w:rsidTr="00317547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val="en-US"/>
              </w:rPr>
              <w:t>Neurosurgery rate, n %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74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19.6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0.1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76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0.4</w:t>
            </w:r>
          </w:p>
        </w:tc>
      </w:tr>
      <w:tr w:rsidR="005C0CD3" w:rsidRPr="005C0CD3" w:rsidTr="00317547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val="en-US"/>
              </w:rPr>
              <w:t>Admission rate, n %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354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93.9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982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62.0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3,192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17.6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4,528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22.5</w:t>
            </w:r>
          </w:p>
        </w:tc>
      </w:tr>
      <w:tr w:rsidR="005C0CD3" w:rsidRPr="005C0CD3" w:rsidTr="00317547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val="en-US"/>
              </w:rPr>
              <w:t>Mortality, n 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2.7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0.1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0.1</w:t>
            </w:r>
          </w:p>
        </w:tc>
      </w:tr>
      <w:tr w:rsidR="005C0CD3" w:rsidRPr="005C0CD3" w:rsidTr="00317547">
        <w:trPr>
          <w:trHeight w:val="300"/>
        </w:trPr>
        <w:tc>
          <w:tcPr>
            <w:tcW w:w="95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* = Preverbal cases excluded.</w:t>
            </w:r>
          </w:p>
        </w:tc>
      </w:tr>
      <w:tr w:rsidR="005C0CD3" w:rsidRPr="005C0CD3" w:rsidTr="00317547">
        <w:trPr>
          <w:trHeight w:val="300"/>
        </w:trPr>
        <w:tc>
          <w:tcPr>
            <w:tcW w:w="95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  <w:lang w:val="en-US"/>
              </w:rPr>
              <w:t xml:space="preserve">**= CT either in ED or subsequently (CT2) </w:t>
            </w:r>
          </w:p>
        </w:tc>
      </w:tr>
    </w:tbl>
    <w:p w:rsidR="005C0CD3" w:rsidRPr="005C0CD3" w:rsidRDefault="005C0CD3">
      <w:pPr>
        <w:rPr>
          <w:rFonts w:asciiTheme="minorHAnsi" w:hAnsiTheme="minorHAnsi"/>
          <w:sz w:val="20"/>
          <w:szCs w:val="20"/>
        </w:rPr>
      </w:pPr>
    </w:p>
    <w:p w:rsidR="005C0CD3" w:rsidRPr="005C0CD3" w:rsidRDefault="005C0CD3">
      <w:pPr>
        <w:spacing w:after="200" w:line="276" w:lineRule="auto"/>
        <w:rPr>
          <w:rFonts w:asciiTheme="minorHAnsi" w:hAnsiTheme="minorHAnsi"/>
          <w:sz w:val="20"/>
          <w:szCs w:val="20"/>
        </w:rPr>
      </w:pPr>
      <w:r w:rsidRPr="005C0CD3">
        <w:rPr>
          <w:rFonts w:asciiTheme="minorHAnsi" w:hAnsiTheme="minorHAnsi"/>
          <w:sz w:val="20"/>
          <w:szCs w:val="20"/>
        </w:rPr>
        <w:br w:type="page"/>
      </w:r>
    </w:p>
    <w:tbl>
      <w:tblPr>
        <w:tblW w:w="8864" w:type="dxa"/>
        <w:jc w:val="center"/>
        <w:tblLook w:val="04A0" w:firstRow="1" w:lastRow="0" w:firstColumn="1" w:lastColumn="0" w:noHBand="0" w:noVBand="1"/>
      </w:tblPr>
      <w:tblGrid>
        <w:gridCol w:w="266"/>
        <w:gridCol w:w="6484"/>
        <w:gridCol w:w="990"/>
        <w:gridCol w:w="1124"/>
      </w:tblGrid>
      <w:tr w:rsidR="005C0CD3" w:rsidRPr="005C0CD3" w:rsidTr="00317547">
        <w:trPr>
          <w:trHeight w:val="300"/>
          <w:jc w:val="center"/>
        </w:trPr>
        <w:tc>
          <w:tcPr>
            <w:tcW w:w="8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val="en-US"/>
              </w:rPr>
              <w:lastRenderedPageBreak/>
              <w:t>Table 4. Types of injuries and neurosurgical interventions in patients with clinically important ICI identified on ED CT  (n=377)</w:t>
            </w:r>
          </w:p>
        </w:tc>
      </w:tr>
      <w:tr w:rsidR="005C0CD3" w:rsidRPr="005C0CD3" w:rsidTr="00317547">
        <w:trPr>
          <w:trHeight w:val="900"/>
          <w:jc w:val="center"/>
        </w:trPr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CD3" w:rsidRPr="005C0CD3" w:rsidRDefault="005C0CD3" w:rsidP="0031754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Patients With Clinically Important ICI</w:t>
            </w: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CD3" w:rsidRPr="005C0CD3" w:rsidRDefault="005C0CD3" w:rsidP="0031754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6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Type of Injury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CD3" w:rsidRPr="005C0CD3" w:rsidRDefault="005C0CD3" w:rsidP="0031754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 xml:space="preserve">           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CD3" w:rsidRPr="005C0CD3" w:rsidRDefault="005C0CD3" w:rsidP="0031754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%</w:t>
            </w: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6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Skull Fracture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Depressed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87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23.1</w:t>
            </w: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Non-depressed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152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40.3</w:t>
            </w: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Basal skull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9.3</w:t>
            </w: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 xml:space="preserve">Diastasis of Skull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34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9.0</w:t>
            </w: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6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/>
              </w:rPr>
              <w:t>Extra-axial bleed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Subdural/extradural hemorrhage/contusion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203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53.8</w:t>
            </w: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 xml:space="preserve">Sub-arachnoid hemorrhage/contusion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65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17.2</w:t>
            </w: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6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/>
              </w:rPr>
              <w:t>Parenchymal lesions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Parenchyma hemorrhage/contusion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102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27.1</w:t>
            </w: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 xml:space="preserve">Cerebral edema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71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18.8</w:t>
            </w: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 xml:space="preserve">Diffuse axonal injury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6.9</w:t>
            </w: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 xml:space="preserve">Midline shift or brain herniation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10.1</w:t>
            </w: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6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C0CD3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/>
              </w:rPr>
              <w:t>Pneumocephalus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57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15.1</w:t>
            </w: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6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/>
              </w:rPr>
              <w:t>Other (shearing injury, traumatic infarction, sigmoid sinus thrombosis)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3.2</w:t>
            </w:r>
          </w:p>
        </w:tc>
      </w:tr>
    </w:tbl>
    <w:p w:rsidR="005C0CD3" w:rsidRPr="005C0CD3" w:rsidRDefault="005C0CD3">
      <w:pPr>
        <w:rPr>
          <w:rFonts w:asciiTheme="minorHAnsi" w:hAnsiTheme="minorHAnsi"/>
          <w:sz w:val="20"/>
          <w:szCs w:val="20"/>
        </w:rPr>
      </w:pPr>
    </w:p>
    <w:p w:rsidR="005C0CD3" w:rsidRPr="005C0CD3" w:rsidRDefault="005C0CD3">
      <w:pPr>
        <w:spacing w:after="200" w:line="276" w:lineRule="auto"/>
        <w:rPr>
          <w:rFonts w:asciiTheme="minorHAnsi" w:hAnsiTheme="minorHAnsi"/>
          <w:sz w:val="20"/>
          <w:szCs w:val="20"/>
        </w:rPr>
      </w:pPr>
      <w:r w:rsidRPr="005C0CD3">
        <w:rPr>
          <w:rFonts w:asciiTheme="minorHAnsi" w:hAnsiTheme="minorHAnsi"/>
          <w:sz w:val="20"/>
          <w:szCs w:val="20"/>
        </w:rPr>
        <w:br w:type="page"/>
      </w: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4351"/>
        <w:gridCol w:w="2350"/>
        <w:gridCol w:w="49"/>
        <w:gridCol w:w="990"/>
        <w:gridCol w:w="57"/>
        <w:gridCol w:w="1067"/>
        <w:gridCol w:w="208"/>
      </w:tblGrid>
      <w:tr w:rsidR="005C0CD3" w:rsidRPr="005C0CD3" w:rsidTr="00317547">
        <w:trPr>
          <w:gridAfter w:val="1"/>
          <w:wAfter w:w="208" w:type="dxa"/>
          <w:trHeight w:val="300"/>
          <w:jc w:val="center"/>
        </w:trPr>
        <w:tc>
          <w:tcPr>
            <w:tcW w:w="67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val="en-US"/>
              </w:rPr>
              <w:lastRenderedPageBreak/>
              <w:t xml:space="preserve">Neurosurgical intervention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 xml:space="preserve">          n      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 xml:space="preserve">         %</w:t>
            </w:r>
          </w:p>
        </w:tc>
      </w:tr>
      <w:tr w:rsidR="005C0CD3" w:rsidRPr="005C0CD3" w:rsidTr="00317547">
        <w:trPr>
          <w:gridAfter w:val="2"/>
          <w:wAfter w:w="1275" w:type="dxa"/>
          <w:trHeight w:val="315"/>
          <w:jc w:val="center"/>
        </w:trPr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3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CD3" w:rsidRPr="005C0CD3" w:rsidRDefault="005C0CD3" w:rsidP="00317547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Monitoring of intracranial pressure</w:t>
            </w:r>
          </w:p>
        </w:tc>
        <w:tc>
          <w:tcPr>
            <w:tcW w:w="3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59.5</w:t>
            </w: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Elevation of depressed skull fracture</w:t>
            </w:r>
          </w:p>
        </w:tc>
        <w:tc>
          <w:tcPr>
            <w:tcW w:w="3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18.9</w:t>
            </w: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Ventriculostomy</w:t>
            </w:r>
            <w:proofErr w:type="spellEnd"/>
          </w:p>
        </w:tc>
        <w:tc>
          <w:tcPr>
            <w:tcW w:w="3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0.0</w:t>
            </w: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Craniotomy</w:t>
            </w:r>
          </w:p>
        </w:tc>
        <w:tc>
          <w:tcPr>
            <w:tcW w:w="3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43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58.1</w:t>
            </w: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 xml:space="preserve">Hematoma Evacuation </w:t>
            </w:r>
          </w:p>
        </w:tc>
        <w:tc>
          <w:tcPr>
            <w:tcW w:w="3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43.2</w:t>
            </w: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 xml:space="preserve">Lobectomy </w:t>
            </w:r>
          </w:p>
        </w:tc>
        <w:tc>
          <w:tcPr>
            <w:tcW w:w="3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1.4</w:t>
            </w: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43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Tissue debridement</w:t>
            </w:r>
          </w:p>
        </w:tc>
        <w:tc>
          <w:tcPr>
            <w:tcW w:w="344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2.7</w:t>
            </w: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Dura repair</w:t>
            </w:r>
          </w:p>
        </w:tc>
        <w:tc>
          <w:tcPr>
            <w:tcW w:w="34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12.2</w:t>
            </w:r>
          </w:p>
        </w:tc>
      </w:tr>
    </w:tbl>
    <w:p w:rsidR="005C0CD3" w:rsidRPr="005C0CD3" w:rsidRDefault="005C0CD3">
      <w:pPr>
        <w:rPr>
          <w:rFonts w:asciiTheme="minorHAnsi" w:hAnsiTheme="minorHAnsi"/>
          <w:sz w:val="20"/>
          <w:szCs w:val="20"/>
        </w:rPr>
      </w:pPr>
    </w:p>
    <w:tbl>
      <w:tblPr>
        <w:tblW w:w="9289" w:type="dxa"/>
        <w:jc w:val="center"/>
        <w:tblLook w:val="04A0" w:firstRow="1" w:lastRow="0" w:firstColumn="1" w:lastColumn="0" w:noHBand="0" w:noVBand="1"/>
      </w:tblPr>
      <w:tblGrid>
        <w:gridCol w:w="2700"/>
        <w:gridCol w:w="829"/>
        <w:gridCol w:w="810"/>
        <w:gridCol w:w="810"/>
        <w:gridCol w:w="900"/>
        <w:gridCol w:w="810"/>
        <w:gridCol w:w="810"/>
        <w:gridCol w:w="810"/>
        <w:gridCol w:w="810"/>
      </w:tblGrid>
      <w:tr w:rsidR="005C0CD3" w:rsidRPr="005C0CD3" w:rsidTr="00317547">
        <w:trPr>
          <w:trHeight w:val="300"/>
          <w:jc w:val="center"/>
        </w:trPr>
        <w:tc>
          <w:tcPr>
            <w:tcW w:w="92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20B" w:rsidRDefault="005C0CD3" w:rsidP="00317547">
            <w:pPr>
              <w:rPr>
                <w:rFonts w:asciiTheme="minorHAnsi" w:hAnsiTheme="minorHAnsi"/>
                <w:sz w:val="20"/>
                <w:szCs w:val="20"/>
              </w:rPr>
            </w:pPr>
            <w:r w:rsidRPr="005C0CD3">
              <w:rPr>
                <w:rFonts w:asciiTheme="minorHAnsi" w:hAnsiTheme="minorHAnsi"/>
                <w:sz w:val="20"/>
                <w:szCs w:val="20"/>
              </w:rPr>
              <w:br w:type="page"/>
            </w:r>
          </w:p>
          <w:p w:rsidR="005C0CD3" w:rsidRPr="005C0CD3" w:rsidRDefault="005C0CD3" w:rsidP="00317547">
            <w:pPr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val="en-US"/>
              </w:rPr>
              <w:t>Table 5. Frequency and count of Individual Risk Criteria for all children, and for subsample ≤3 years</w:t>
            </w: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27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 xml:space="preserve">Criterion 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&lt;18 years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 xml:space="preserve">&lt;3 years </w:t>
            </w: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CD3" w:rsidRPr="005C0CD3" w:rsidRDefault="005C0CD3" w:rsidP="0031754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 xml:space="preserve">no ICI     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CD3" w:rsidRPr="005C0CD3" w:rsidRDefault="005C0CD3" w:rsidP="0031754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ICI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CD3" w:rsidRPr="005C0CD3" w:rsidRDefault="005C0CD3" w:rsidP="0031754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 xml:space="preserve">no ICI    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CD3" w:rsidRPr="005C0CD3" w:rsidRDefault="005C0CD3" w:rsidP="0031754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ICI</w:t>
            </w: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CD3" w:rsidRPr="005C0CD3" w:rsidRDefault="005C0CD3" w:rsidP="0031754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CD3" w:rsidRPr="005C0CD3" w:rsidRDefault="005C0CD3" w:rsidP="0031754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CD3" w:rsidRPr="005C0CD3" w:rsidRDefault="005C0CD3" w:rsidP="0031754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CD3" w:rsidRPr="005C0CD3" w:rsidRDefault="005C0CD3" w:rsidP="0031754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CD3" w:rsidRPr="005C0CD3" w:rsidRDefault="005C0CD3" w:rsidP="0031754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CD3" w:rsidRPr="005C0CD3" w:rsidRDefault="005C0CD3" w:rsidP="0031754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CD3" w:rsidRPr="005C0CD3" w:rsidRDefault="005C0CD3" w:rsidP="0031754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CD3" w:rsidRPr="005C0CD3" w:rsidRDefault="005C0CD3" w:rsidP="0031754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%</w:t>
            </w: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19,732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377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7,743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Risk Criteria Count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9,320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47.2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3,503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45.2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0.0</w:t>
            </w: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6,902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35.0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14.1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2,899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37.4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7.0</w:t>
            </w: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2,435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12.3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26.3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969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12.5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31.0</w:t>
            </w: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783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4.0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31.0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283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3.7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34.1</w:t>
            </w: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74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19.6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73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0.9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19.4</w:t>
            </w: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0.3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6.9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0.2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7.0</w:t>
            </w: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1.6</w:t>
            </w: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0.0</w:t>
            </w: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Risk Criteria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1 - Evidence of skull fracture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1,819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9.2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214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56.8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394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5.1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93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72.1</w:t>
            </w: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2 - Scalp hematoma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5,570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28.2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237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62.9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2,641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34.1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80.6</w:t>
            </w: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3 - Neurological deficits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585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3.0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10.9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2.3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12.4</w:t>
            </w: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4 - Altered levels of alertness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1,663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8.4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235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62.3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604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7.8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51.2</w:t>
            </w: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5 - Abnormal behavior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3,382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17.1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216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57.3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1,372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17.7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58.1</w:t>
            </w: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6 - Persistent vomiting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2,019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10.2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26.0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756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9.8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17.1</w:t>
            </w: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7 – Coagulopathy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306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1.6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2.9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1.6</w:t>
            </w:r>
          </w:p>
        </w:tc>
      </w:tr>
    </w:tbl>
    <w:p w:rsidR="005C0CD3" w:rsidRPr="005C0CD3" w:rsidRDefault="005C0CD3">
      <w:pPr>
        <w:rPr>
          <w:rFonts w:asciiTheme="minorHAnsi" w:hAnsiTheme="minorHAnsi"/>
          <w:sz w:val="20"/>
          <w:szCs w:val="20"/>
        </w:rPr>
      </w:pPr>
    </w:p>
    <w:p w:rsidR="005C0CD3" w:rsidRPr="005C0CD3" w:rsidRDefault="005C0CD3">
      <w:pPr>
        <w:spacing w:after="200" w:line="276" w:lineRule="auto"/>
        <w:rPr>
          <w:rFonts w:asciiTheme="minorHAnsi" w:hAnsiTheme="minorHAnsi"/>
          <w:sz w:val="20"/>
          <w:szCs w:val="20"/>
        </w:rPr>
      </w:pPr>
      <w:r w:rsidRPr="005C0CD3">
        <w:rPr>
          <w:rFonts w:asciiTheme="minorHAnsi" w:hAnsiTheme="minorHAnsi"/>
          <w:sz w:val="20"/>
          <w:szCs w:val="20"/>
        </w:rPr>
        <w:br w:type="page"/>
      </w:r>
    </w:p>
    <w:tbl>
      <w:tblPr>
        <w:tblW w:w="12780" w:type="dxa"/>
        <w:jc w:val="center"/>
        <w:tblLook w:val="04A0" w:firstRow="1" w:lastRow="0" w:firstColumn="1" w:lastColumn="0" w:noHBand="0" w:noVBand="1"/>
      </w:tblPr>
      <w:tblGrid>
        <w:gridCol w:w="2880"/>
        <w:gridCol w:w="630"/>
        <w:gridCol w:w="720"/>
        <w:gridCol w:w="720"/>
        <w:gridCol w:w="720"/>
        <w:gridCol w:w="720"/>
        <w:gridCol w:w="720"/>
        <w:gridCol w:w="720"/>
        <w:gridCol w:w="720"/>
        <w:gridCol w:w="810"/>
        <w:gridCol w:w="720"/>
        <w:gridCol w:w="2700"/>
      </w:tblGrid>
      <w:tr w:rsidR="005C0CD3" w:rsidRPr="005C0CD3" w:rsidTr="00317547">
        <w:trPr>
          <w:trHeight w:val="300"/>
          <w:jc w:val="center"/>
        </w:trPr>
        <w:tc>
          <w:tcPr>
            <w:tcW w:w="127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val="en-US"/>
              </w:rPr>
              <w:lastRenderedPageBreak/>
              <w:t>Table 6. Frequency and count of Individual Risk Criteria by ICI +/- for initial and follow up CT scans</w:t>
            </w: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5C0CD3" w:rsidRPr="005C0CD3" w:rsidTr="00317547">
        <w:trPr>
          <w:gridAfter w:val="1"/>
          <w:wAfter w:w="2700" w:type="dxa"/>
          <w:trHeight w:val="300"/>
          <w:jc w:val="center"/>
        </w:trPr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ED CT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Either CT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5C0CD3" w:rsidRPr="005C0CD3" w:rsidTr="00317547">
        <w:trPr>
          <w:gridAfter w:val="1"/>
          <w:wAfter w:w="2700" w:type="dxa"/>
          <w:trHeight w:val="30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ICI+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ICI-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ICI+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ICI-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CT-</w:t>
            </w:r>
          </w:p>
        </w:tc>
      </w:tr>
      <w:tr w:rsidR="005C0CD3" w:rsidRPr="005C0CD3" w:rsidTr="00317547">
        <w:trPr>
          <w:gridAfter w:val="1"/>
          <w:wAfter w:w="2700" w:type="dxa"/>
          <w:trHeight w:val="300"/>
          <w:jc w:val="center"/>
        </w:trPr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%</w:t>
            </w:r>
          </w:p>
        </w:tc>
      </w:tr>
      <w:tr w:rsidR="005C0CD3" w:rsidRPr="005C0CD3" w:rsidTr="00317547">
        <w:trPr>
          <w:gridAfter w:val="1"/>
          <w:wAfter w:w="2700" w:type="dxa"/>
          <w:trHeight w:val="30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377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1585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383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1704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18022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5C0CD3" w:rsidRPr="005C0CD3" w:rsidTr="00317547">
        <w:trPr>
          <w:gridAfter w:val="1"/>
          <w:wAfter w:w="2700" w:type="dxa"/>
          <w:trHeight w:val="30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</w:tr>
      <w:tr w:rsidR="005C0CD3" w:rsidRPr="005C0CD3" w:rsidTr="00317547">
        <w:trPr>
          <w:gridAfter w:val="1"/>
          <w:wAfter w:w="2700" w:type="dxa"/>
          <w:trHeight w:val="30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Risk Criteria Count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</w:tr>
      <w:tr w:rsidR="005C0CD3" w:rsidRPr="005C0CD3" w:rsidTr="00317547">
        <w:trPr>
          <w:gridAfter w:val="1"/>
          <w:wAfter w:w="2700" w:type="dxa"/>
          <w:trHeight w:val="30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9.8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207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12.2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9113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50.6</w:t>
            </w:r>
          </w:p>
        </w:tc>
      </w:tr>
      <w:tr w:rsidR="005C0CD3" w:rsidRPr="005C0CD3" w:rsidTr="00317547">
        <w:trPr>
          <w:gridAfter w:val="1"/>
          <w:wAfter w:w="2700" w:type="dxa"/>
          <w:trHeight w:val="30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14.1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429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27.1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14.6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466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27.4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6433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35.7</w:t>
            </w:r>
          </w:p>
        </w:tc>
      </w:tr>
      <w:tr w:rsidR="005C0CD3" w:rsidRPr="005C0CD3" w:rsidTr="00317547">
        <w:trPr>
          <w:gridAfter w:val="1"/>
          <w:wAfter w:w="2700" w:type="dxa"/>
          <w:trHeight w:val="30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26.3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488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30.8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26.4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512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30.1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1921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10.7</w:t>
            </w:r>
          </w:p>
        </w:tc>
      </w:tr>
      <w:tr w:rsidR="005C0CD3" w:rsidRPr="005C0CD3" w:rsidTr="00317547">
        <w:trPr>
          <w:gridAfter w:val="1"/>
          <w:wAfter w:w="2700" w:type="dxa"/>
          <w:trHeight w:val="30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31.0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324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20.4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30.8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331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19.4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451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2.5</w:t>
            </w:r>
          </w:p>
        </w:tc>
      </w:tr>
      <w:tr w:rsidR="005C0CD3" w:rsidRPr="005C0CD3" w:rsidTr="00317547">
        <w:trPr>
          <w:gridAfter w:val="1"/>
          <w:wAfter w:w="2700" w:type="dxa"/>
          <w:trHeight w:val="30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19.6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9.2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19.3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8.6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0.5</w:t>
            </w:r>
          </w:p>
        </w:tc>
      </w:tr>
      <w:tr w:rsidR="005C0CD3" w:rsidRPr="005C0CD3" w:rsidTr="00317547">
        <w:trPr>
          <w:gridAfter w:val="1"/>
          <w:wAfter w:w="2700" w:type="dxa"/>
          <w:trHeight w:val="30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6.9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2.5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6.8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2.3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0.1</w:t>
            </w:r>
          </w:p>
        </w:tc>
      </w:tr>
      <w:tr w:rsidR="005C0CD3" w:rsidRPr="005C0CD3" w:rsidTr="00317547">
        <w:trPr>
          <w:gridAfter w:val="1"/>
          <w:wAfter w:w="2700" w:type="dxa"/>
          <w:trHeight w:val="30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0.2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0.2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0.0</w:t>
            </w:r>
          </w:p>
        </w:tc>
      </w:tr>
      <w:tr w:rsidR="005C0CD3" w:rsidRPr="005C0CD3" w:rsidTr="00317547">
        <w:trPr>
          <w:gridAfter w:val="1"/>
          <w:wAfter w:w="2700" w:type="dxa"/>
          <w:trHeight w:val="30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0.0</w:t>
            </w:r>
          </w:p>
        </w:tc>
      </w:tr>
      <w:tr w:rsidR="005C0CD3" w:rsidRPr="005C0CD3" w:rsidTr="00317547">
        <w:trPr>
          <w:gridAfter w:val="1"/>
          <w:wAfter w:w="2700" w:type="dxa"/>
          <w:trHeight w:val="30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</w:tr>
      <w:tr w:rsidR="005C0CD3" w:rsidRPr="005C0CD3" w:rsidTr="00317547">
        <w:trPr>
          <w:gridAfter w:val="1"/>
          <w:wAfter w:w="2700" w:type="dxa"/>
          <w:trHeight w:val="30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Risk Criteria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</w:tr>
      <w:tr w:rsidR="005C0CD3" w:rsidRPr="005C0CD3" w:rsidTr="00317547">
        <w:trPr>
          <w:gridAfter w:val="1"/>
          <w:wAfter w:w="2700" w:type="dxa"/>
          <w:trHeight w:val="30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1 - Evidence of skull fracture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214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56.8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443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28.0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216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56.4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460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27.0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1357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7.5</w:t>
            </w:r>
          </w:p>
        </w:tc>
      </w:tr>
      <w:tr w:rsidR="005C0CD3" w:rsidRPr="005C0CD3" w:rsidTr="00317547">
        <w:trPr>
          <w:gridAfter w:val="1"/>
          <w:wAfter w:w="2700" w:type="dxa"/>
          <w:trHeight w:val="30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2 - Scalp hematoma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237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62.9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631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39.8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239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62.4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654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38.4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4914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27.3</w:t>
            </w:r>
          </w:p>
        </w:tc>
      </w:tr>
      <w:tr w:rsidR="005C0CD3" w:rsidRPr="005C0CD3" w:rsidTr="00317547">
        <w:trPr>
          <w:gridAfter w:val="1"/>
          <w:wAfter w:w="2700" w:type="dxa"/>
          <w:trHeight w:val="30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3 - Neurological deficits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9.3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10.7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8.9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433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2.4</w:t>
            </w:r>
          </w:p>
        </w:tc>
      </w:tr>
      <w:tr w:rsidR="005C0CD3" w:rsidRPr="005C0CD3" w:rsidTr="00317547">
        <w:trPr>
          <w:gridAfter w:val="1"/>
          <w:wAfter w:w="2700" w:type="dxa"/>
          <w:trHeight w:val="30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4 - Altered levels of alertness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235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62.3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618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39.0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235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61.4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631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37.0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1032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5.7</w:t>
            </w:r>
          </w:p>
        </w:tc>
      </w:tr>
      <w:tr w:rsidR="005C0CD3" w:rsidRPr="005C0CD3" w:rsidTr="00317547">
        <w:trPr>
          <w:gridAfter w:val="1"/>
          <w:wAfter w:w="2700" w:type="dxa"/>
          <w:trHeight w:val="30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5 - Abnormal behavior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216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57.3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770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48.6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218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56.9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798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46.8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2582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14.3</w:t>
            </w:r>
          </w:p>
        </w:tc>
      </w:tr>
      <w:tr w:rsidR="005C0CD3" w:rsidRPr="005C0CD3" w:rsidTr="00317547">
        <w:trPr>
          <w:gridAfter w:val="1"/>
          <w:wAfter w:w="2700" w:type="dxa"/>
          <w:trHeight w:val="30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6 - Persistent vomiting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26.0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522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32.9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26.4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538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31.6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1478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8.2</w:t>
            </w:r>
          </w:p>
        </w:tc>
      </w:tr>
      <w:tr w:rsidR="005C0CD3" w:rsidRPr="005C0CD3" w:rsidTr="00317547">
        <w:trPr>
          <w:gridAfter w:val="1"/>
          <w:wAfter w:w="2700" w:type="dxa"/>
          <w:trHeight w:val="300"/>
          <w:jc w:val="center"/>
        </w:trPr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7 - Coagulopathy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2.9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2.7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3.1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2.8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258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1.4</w:t>
            </w:r>
          </w:p>
        </w:tc>
      </w:tr>
    </w:tbl>
    <w:p w:rsidR="005C0CD3" w:rsidRPr="005C0CD3" w:rsidRDefault="005C0CD3">
      <w:pPr>
        <w:rPr>
          <w:rFonts w:asciiTheme="minorHAnsi" w:hAnsiTheme="minorHAnsi"/>
          <w:sz w:val="20"/>
          <w:szCs w:val="20"/>
        </w:rPr>
      </w:pPr>
    </w:p>
    <w:p w:rsidR="005C0CD3" w:rsidRPr="005C0CD3" w:rsidRDefault="005C0CD3">
      <w:pPr>
        <w:spacing w:after="200" w:line="276" w:lineRule="auto"/>
        <w:rPr>
          <w:rFonts w:asciiTheme="minorHAnsi" w:hAnsiTheme="minorHAnsi"/>
          <w:sz w:val="20"/>
          <w:szCs w:val="20"/>
        </w:rPr>
      </w:pPr>
      <w:r w:rsidRPr="005C0CD3">
        <w:rPr>
          <w:rFonts w:asciiTheme="minorHAnsi" w:hAnsiTheme="minorHAnsi"/>
          <w:sz w:val="20"/>
          <w:szCs w:val="20"/>
        </w:rPr>
        <w:br w:type="page"/>
      </w:r>
    </w:p>
    <w:tbl>
      <w:tblPr>
        <w:tblW w:w="8962" w:type="dxa"/>
        <w:jc w:val="center"/>
        <w:tblLook w:val="04A0" w:firstRow="1" w:lastRow="0" w:firstColumn="1" w:lastColumn="0" w:noHBand="0" w:noVBand="1"/>
      </w:tblPr>
      <w:tblGrid>
        <w:gridCol w:w="2600"/>
        <w:gridCol w:w="2980"/>
        <w:gridCol w:w="360"/>
        <w:gridCol w:w="3022"/>
      </w:tblGrid>
      <w:tr w:rsidR="005C0CD3" w:rsidRPr="005C0CD3" w:rsidTr="00317547">
        <w:trPr>
          <w:trHeight w:val="300"/>
          <w:jc w:val="center"/>
        </w:trPr>
        <w:tc>
          <w:tcPr>
            <w:tcW w:w="89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val="en-US"/>
              </w:rPr>
              <w:lastRenderedPageBreak/>
              <w:t>Table 7. Diagnostic testing of NEXUS II clinically important ICI, tested by presence of any risk criteria (of the 7)</w:t>
            </w:r>
          </w:p>
        </w:tc>
      </w:tr>
      <w:tr w:rsidR="005C0CD3" w:rsidRPr="005C0CD3" w:rsidTr="00317547">
        <w:trPr>
          <w:trHeight w:val="450"/>
          <w:jc w:val="center"/>
        </w:trPr>
        <w:tc>
          <w:tcPr>
            <w:tcW w:w="89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8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center"/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val="en-US"/>
              </w:rPr>
              <w:t xml:space="preserve">Initial CT Scan (ED CT) </w:t>
            </w: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63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Risk Criteria</w:t>
            </w: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Positive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Negative</w:t>
            </w: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Positive ICI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373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Negative ICI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1429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156</w:t>
            </w: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Sensitivity (95% CI)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373/377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98.9 (97.3-99.7)</w:t>
            </w: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Specificity (95% CI)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156/1585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9.8 (8.4-11.4)</w:t>
            </w: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PPV (95% CI)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373/1802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20.7 (18.8-22.6)</w:t>
            </w: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NPV (95% CI)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156/160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97.5 (93.7-99.3)</w:t>
            </w: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8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center"/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val="en-US"/>
              </w:rPr>
              <w:t xml:space="preserve">CT at any time </w:t>
            </w: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63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Risk Criteria</w:t>
            </w: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Positive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Negative</w:t>
            </w: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Positive ICI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379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Negative ICI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highlight w:val="red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1497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highlight w:val="red"/>
                <w:lang w:val="en-US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highlight w:val="red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207</w:t>
            </w: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Sensitivity (95% CI)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379/383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99.0 (97.3-99.7)</w:t>
            </w: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Specificity (95% CI)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207/1704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12.1 (10.6-13.8)</w:t>
            </w: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2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PPV (95% CI)</w:t>
            </w:r>
          </w:p>
        </w:tc>
        <w:tc>
          <w:tcPr>
            <w:tcW w:w="2980" w:type="dxa"/>
            <w:tcBorders>
              <w:top w:val="nil"/>
              <w:left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379/1876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20.2 (18.4-22.1)</w:t>
            </w: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2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NPV (95% CI)</w:t>
            </w:r>
          </w:p>
        </w:tc>
        <w:tc>
          <w:tcPr>
            <w:tcW w:w="2980" w:type="dxa"/>
            <w:tcBorders>
              <w:top w:val="nil"/>
              <w:left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207/211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98.1 (95.2-99.5)</w:t>
            </w: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8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center"/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val="en-US"/>
              </w:rPr>
              <w:t xml:space="preserve">Total Cohort </w:t>
            </w: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63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Risk Criteria</w:t>
            </w: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Positive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Negative</w:t>
            </w: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Positive ICI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379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Negative ICI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highlight w:val="red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10406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highlight w:val="red"/>
                <w:lang w:val="en-US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highlight w:val="red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9320</w:t>
            </w: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Sensitivity (95% CI)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379/383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99.0 (97.3-99.7)</w:t>
            </w: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Specificity (95% CI)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9320/19726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47.2 (46.5-47.9)</w:t>
            </w: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2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PPV (95% CI)</w:t>
            </w:r>
          </w:p>
        </w:tc>
        <w:tc>
          <w:tcPr>
            <w:tcW w:w="2980" w:type="dxa"/>
            <w:tcBorders>
              <w:top w:val="nil"/>
              <w:left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379/10785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3.5 (3.2-3.9)</w:t>
            </w: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NPV (95% CI)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9320/9324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100.0 (99.9-100.0)</w:t>
            </w:r>
          </w:p>
        </w:tc>
      </w:tr>
    </w:tbl>
    <w:p w:rsidR="005C0CD3" w:rsidRPr="005C0CD3" w:rsidRDefault="005C0CD3">
      <w:pPr>
        <w:rPr>
          <w:rFonts w:asciiTheme="minorHAnsi" w:hAnsiTheme="minorHAnsi"/>
          <w:sz w:val="20"/>
          <w:szCs w:val="20"/>
        </w:rPr>
      </w:pPr>
    </w:p>
    <w:p w:rsidR="005C0CD3" w:rsidRPr="005C0CD3" w:rsidRDefault="005C0CD3">
      <w:pPr>
        <w:spacing w:after="200" w:line="276" w:lineRule="auto"/>
        <w:rPr>
          <w:rFonts w:asciiTheme="minorHAnsi" w:hAnsiTheme="minorHAnsi"/>
          <w:sz w:val="20"/>
          <w:szCs w:val="20"/>
        </w:rPr>
      </w:pPr>
      <w:r w:rsidRPr="005C0CD3">
        <w:rPr>
          <w:rFonts w:asciiTheme="minorHAnsi" w:hAnsiTheme="minorHAnsi"/>
          <w:sz w:val="20"/>
          <w:szCs w:val="20"/>
        </w:rPr>
        <w:br w:type="page"/>
      </w:r>
    </w:p>
    <w:tbl>
      <w:tblPr>
        <w:tblW w:w="4478" w:type="pct"/>
        <w:tblLayout w:type="fixed"/>
        <w:tblLook w:val="04A0" w:firstRow="1" w:lastRow="0" w:firstColumn="1" w:lastColumn="0" w:noHBand="0" w:noVBand="1"/>
      </w:tblPr>
      <w:tblGrid>
        <w:gridCol w:w="817"/>
        <w:gridCol w:w="659"/>
        <w:gridCol w:w="568"/>
        <w:gridCol w:w="621"/>
        <w:gridCol w:w="1442"/>
        <w:gridCol w:w="2412"/>
        <w:gridCol w:w="1758"/>
      </w:tblGrid>
      <w:tr w:rsidR="005C0CD3" w:rsidRPr="005C0CD3" w:rsidTr="00317547">
        <w:trPr>
          <w:trHeight w:val="510"/>
        </w:trPr>
        <w:tc>
          <w:tcPr>
            <w:tcW w:w="494" w:type="pct"/>
            <w:tcBorders>
              <w:bottom w:val="single" w:sz="4" w:space="0" w:color="auto"/>
            </w:tcBorders>
            <w:shd w:val="clear" w:color="000000" w:fill="000000"/>
            <w:vAlign w:val="center"/>
          </w:tcPr>
          <w:p w:rsidR="005C0CD3" w:rsidRPr="005C0CD3" w:rsidRDefault="005C0CD3" w:rsidP="00317547">
            <w:pPr>
              <w:jc w:val="center"/>
              <w:rPr>
                <w:rFonts w:asciiTheme="minorHAnsi" w:eastAsia="Times New Roman" w:hAnsiTheme="minorHAnsi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5C0CD3">
              <w:rPr>
                <w:rFonts w:asciiTheme="minorHAnsi" w:eastAsia="Times New Roman" w:hAnsiTheme="minorHAnsi"/>
                <w:b/>
                <w:bCs/>
                <w:color w:val="FFFFFF"/>
                <w:sz w:val="20"/>
                <w:szCs w:val="20"/>
                <w:lang w:eastAsia="en-AU"/>
              </w:rPr>
              <w:lastRenderedPageBreak/>
              <w:t>ID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000000" w:fill="000000"/>
            <w:vAlign w:val="center"/>
            <w:hideMark/>
          </w:tcPr>
          <w:p w:rsidR="005C0CD3" w:rsidRPr="005C0CD3" w:rsidRDefault="005C0CD3" w:rsidP="00317547">
            <w:pPr>
              <w:jc w:val="center"/>
              <w:rPr>
                <w:rFonts w:asciiTheme="minorHAnsi" w:eastAsia="Times New Roman" w:hAnsiTheme="minorHAnsi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5C0CD3">
              <w:rPr>
                <w:rFonts w:asciiTheme="minorHAnsi" w:eastAsia="Times New Roman" w:hAnsiTheme="minorHAnsi"/>
                <w:b/>
                <w:bCs/>
                <w:color w:val="FFFFFF"/>
                <w:sz w:val="20"/>
                <w:szCs w:val="20"/>
                <w:lang w:eastAsia="en-AU"/>
              </w:rPr>
              <w:t>Age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000000" w:fill="000000"/>
            <w:vAlign w:val="center"/>
            <w:hideMark/>
          </w:tcPr>
          <w:p w:rsidR="005C0CD3" w:rsidRPr="005C0CD3" w:rsidRDefault="005C0CD3" w:rsidP="00317547">
            <w:pPr>
              <w:jc w:val="center"/>
              <w:rPr>
                <w:rFonts w:asciiTheme="minorHAnsi" w:eastAsia="Times New Roman" w:hAnsiTheme="minorHAnsi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5C0CD3">
              <w:rPr>
                <w:rFonts w:asciiTheme="minorHAnsi" w:eastAsia="Times New Roman" w:hAnsiTheme="minorHAnsi"/>
                <w:b/>
                <w:bCs/>
                <w:color w:val="FFFFFF"/>
                <w:sz w:val="20"/>
                <w:szCs w:val="20"/>
                <w:lang w:eastAsia="en-AU"/>
              </w:rPr>
              <w:t>Sex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000000" w:fill="000000"/>
            <w:vAlign w:val="center"/>
            <w:hideMark/>
          </w:tcPr>
          <w:p w:rsidR="005C0CD3" w:rsidRPr="005C0CD3" w:rsidRDefault="005C0CD3" w:rsidP="00317547">
            <w:pPr>
              <w:jc w:val="center"/>
              <w:rPr>
                <w:rFonts w:asciiTheme="minorHAnsi" w:eastAsia="Times New Roman" w:hAnsiTheme="minorHAnsi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5C0CD3">
              <w:rPr>
                <w:rFonts w:asciiTheme="minorHAnsi" w:eastAsia="Times New Roman" w:hAnsiTheme="minorHAnsi"/>
                <w:b/>
                <w:bCs/>
                <w:color w:val="FFFFFF"/>
                <w:sz w:val="20"/>
                <w:szCs w:val="20"/>
                <w:lang w:eastAsia="en-AU"/>
              </w:rPr>
              <w:t>GCS</w:t>
            </w:r>
          </w:p>
        </w:tc>
        <w:tc>
          <w:tcPr>
            <w:tcW w:w="871" w:type="pct"/>
            <w:tcBorders>
              <w:bottom w:val="single" w:sz="4" w:space="0" w:color="auto"/>
            </w:tcBorders>
            <w:shd w:val="clear" w:color="000000" w:fill="000000"/>
            <w:vAlign w:val="center"/>
            <w:hideMark/>
          </w:tcPr>
          <w:p w:rsidR="005C0CD3" w:rsidRPr="005C0CD3" w:rsidRDefault="005C0CD3" w:rsidP="00317547">
            <w:pPr>
              <w:jc w:val="center"/>
              <w:rPr>
                <w:rFonts w:asciiTheme="minorHAnsi" w:eastAsia="Times New Roman" w:hAnsiTheme="minorHAnsi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5C0CD3">
              <w:rPr>
                <w:rFonts w:asciiTheme="minorHAnsi" w:eastAsia="Times New Roman" w:hAnsiTheme="minorHAnsi"/>
                <w:b/>
                <w:bCs/>
                <w:color w:val="FFFFFF"/>
                <w:sz w:val="20"/>
                <w:szCs w:val="20"/>
                <w:lang w:eastAsia="en-AU"/>
              </w:rPr>
              <w:t>Mechanism of injury</w:t>
            </w:r>
          </w:p>
        </w:tc>
        <w:tc>
          <w:tcPr>
            <w:tcW w:w="1457" w:type="pct"/>
            <w:tcBorders>
              <w:bottom w:val="single" w:sz="4" w:space="0" w:color="auto"/>
            </w:tcBorders>
            <w:shd w:val="clear" w:color="000000" w:fill="000000"/>
            <w:vAlign w:val="center"/>
            <w:hideMark/>
          </w:tcPr>
          <w:p w:rsidR="005C0CD3" w:rsidRPr="005C0CD3" w:rsidRDefault="005C0CD3" w:rsidP="00317547">
            <w:pPr>
              <w:jc w:val="center"/>
              <w:rPr>
                <w:rFonts w:asciiTheme="minorHAnsi" w:eastAsia="Times New Roman" w:hAnsiTheme="minorHAnsi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5C0CD3">
              <w:rPr>
                <w:rFonts w:asciiTheme="minorHAnsi" w:eastAsia="Times New Roman" w:hAnsiTheme="minorHAnsi"/>
                <w:b/>
                <w:bCs/>
                <w:color w:val="FFFFFF"/>
                <w:sz w:val="20"/>
                <w:szCs w:val="20"/>
                <w:lang w:eastAsia="en-AU"/>
              </w:rPr>
              <w:t>Injury recorded</w:t>
            </w:r>
          </w:p>
        </w:tc>
        <w:tc>
          <w:tcPr>
            <w:tcW w:w="1062" w:type="pct"/>
            <w:tcBorders>
              <w:bottom w:val="single" w:sz="4" w:space="0" w:color="auto"/>
            </w:tcBorders>
            <w:shd w:val="clear" w:color="000000" w:fill="000000"/>
            <w:vAlign w:val="center"/>
            <w:hideMark/>
          </w:tcPr>
          <w:p w:rsidR="005C0CD3" w:rsidRPr="005C0CD3" w:rsidRDefault="005C0CD3" w:rsidP="00317547">
            <w:pPr>
              <w:jc w:val="center"/>
              <w:rPr>
                <w:rFonts w:asciiTheme="minorHAnsi" w:eastAsia="Times New Roman" w:hAnsiTheme="minorHAnsi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5C0CD3">
              <w:rPr>
                <w:rFonts w:asciiTheme="minorHAnsi" w:eastAsia="Times New Roman" w:hAnsiTheme="minorHAnsi"/>
                <w:b/>
                <w:bCs/>
                <w:color w:val="FFFFFF"/>
                <w:sz w:val="20"/>
                <w:szCs w:val="20"/>
                <w:lang w:eastAsia="en-AU"/>
              </w:rPr>
              <w:t>Treatment</w:t>
            </w:r>
          </w:p>
        </w:tc>
      </w:tr>
      <w:tr w:rsidR="005C0CD3" w:rsidRPr="005C0CD3" w:rsidTr="00317547">
        <w:trPr>
          <w:trHeight w:val="1020"/>
        </w:trPr>
        <w:tc>
          <w:tcPr>
            <w:tcW w:w="494" w:type="pct"/>
          </w:tcPr>
          <w:p w:rsidR="005C0CD3" w:rsidRPr="005C0CD3" w:rsidRDefault="005C0CD3" w:rsidP="0031754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398" w:type="pct"/>
            <w:shd w:val="clear" w:color="auto" w:fill="auto"/>
            <w:noWrap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4 y</w:t>
            </w:r>
          </w:p>
        </w:tc>
        <w:tc>
          <w:tcPr>
            <w:tcW w:w="343" w:type="pct"/>
            <w:shd w:val="clear" w:color="auto" w:fill="auto"/>
            <w:noWrap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M</w:t>
            </w:r>
          </w:p>
        </w:tc>
        <w:tc>
          <w:tcPr>
            <w:tcW w:w="375" w:type="pct"/>
            <w:shd w:val="clear" w:color="auto" w:fill="auto"/>
            <w:noWrap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871" w:type="pct"/>
            <w:shd w:val="clear" w:color="auto" w:fill="auto"/>
            <w:noWrap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Fell from scooter without wearing helmet</w:t>
            </w:r>
          </w:p>
        </w:tc>
        <w:tc>
          <w:tcPr>
            <w:tcW w:w="1457" w:type="pct"/>
            <w:shd w:val="clear" w:color="auto" w:fill="auto"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Pneumocephalus</w:t>
            </w:r>
            <w:proofErr w:type="spellEnd"/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; basal skull fracture.</w:t>
            </w:r>
          </w:p>
        </w:tc>
        <w:tc>
          <w:tcPr>
            <w:tcW w:w="1062" w:type="pct"/>
            <w:shd w:val="clear" w:color="auto" w:fill="auto"/>
            <w:noWrap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Neurosurgery: No; Admission: 2 days</w:t>
            </w:r>
          </w:p>
        </w:tc>
      </w:tr>
      <w:tr w:rsidR="005C0CD3" w:rsidRPr="005C0CD3" w:rsidTr="00317547">
        <w:trPr>
          <w:trHeight w:val="1530"/>
        </w:trPr>
        <w:tc>
          <w:tcPr>
            <w:tcW w:w="494" w:type="pct"/>
            <w:shd w:val="clear" w:color="auto" w:fill="FFFFFF" w:themeFill="background1"/>
          </w:tcPr>
          <w:p w:rsidR="005C0CD3" w:rsidRPr="005C0CD3" w:rsidRDefault="005C0CD3" w:rsidP="0031754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398" w:type="pct"/>
            <w:shd w:val="clear" w:color="auto" w:fill="FFFFFF" w:themeFill="background1"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5 y</w:t>
            </w:r>
          </w:p>
        </w:tc>
        <w:tc>
          <w:tcPr>
            <w:tcW w:w="343" w:type="pct"/>
            <w:shd w:val="clear" w:color="auto" w:fill="FFFFFF" w:themeFill="background1"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M</w:t>
            </w:r>
          </w:p>
        </w:tc>
        <w:tc>
          <w:tcPr>
            <w:tcW w:w="375" w:type="pct"/>
            <w:shd w:val="clear" w:color="auto" w:fill="FFFFFF" w:themeFill="background1"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871" w:type="pct"/>
            <w:shd w:val="clear" w:color="auto" w:fill="FFFFFF" w:themeFill="background1"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Fall &gt;3 m</w:t>
            </w:r>
          </w:p>
        </w:tc>
        <w:tc>
          <w:tcPr>
            <w:tcW w:w="1457" w:type="pct"/>
            <w:shd w:val="clear" w:color="auto" w:fill="FFFFFF" w:themeFill="background1"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 xml:space="preserve">Intracranial </w:t>
            </w:r>
            <w:proofErr w:type="spellStart"/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hemorrhage</w:t>
            </w:r>
            <w:proofErr w:type="spellEnd"/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 xml:space="preserve">/contusion - extra-axial; </w:t>
            </w:r>
            <w:proofErr w:type="spellStart"/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pneumocephalus</w:t>
            </w:r>
            <w:proofErr w:type="spellEnd"/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 xml:space="preserve">; basal skull fracture –non depressed </w:t>
            </w:r>
          </w:p>
        </w:tc>
        <w:tc>
          <w:tcPr>
            <w:tcW w:w="1062" w:type="pct"/>
            <w:shd w:val="clear" w:color="auto" w:fill="FFFFFF" w:themeFill="background1"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Neurosurgery: No;</w:t>
            </w:r>
          </w:p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Admission: 4 days</w:t>
            </w:r>
          </w:p>
        </w:tc>
      </w:tr>
      <w:tr w:rsidR="005C0CD3" w:rsidRPr="005C0CD3" w:rsidTr="00317547">
        <w:trPr>
          <w:trHeight w:val="1275"/>
        </w:trPr>
        <w:tc>
          <w:tcPr>
            <w:tcW w:w="494" w:type="pct"/>
            <w:shd w:val="clear" w:color="auto" w:fill="FFFFFF" w:themeFill="background1"/>
          </w:tcPr>
          <w:p w:rsidR="005C0CD3" w:rsidRPr="005C0CD3" w:rsidRDefault="005C0CD3" w:rsidP="0031754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398" w:type="pct"/>
            <w:shd w:val="clear" w:color="auto" w:fill="FFFFFF" w:themeFill="background1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6 y</w:t>
            </w:r>
          </w:p>
        </w:tc>
        <w:tc>
          <w:tcPr>
            <w:tcW w:w="343" w:type="pct"/>
            <w:shd w:val="clear" w:color="auto" w:fill="FFFFFF" w:themeFill="background1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F</w:t>
            </w:r>
          </w:p>
        </w:tc>
        <w:tc>
          <w:tcPr>
            <w:tcW w:w="375" w:type="pct"/>
            <w:shd w:val="clear" w:color="auto" w:fill="FFFFFF" w:themeFill="background1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871" w:type="pct"/>
            <w:shd w:val="clear" w:color="auto" w:fill="FFFFFF" w:themeFill="background1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 xml:space="preserve">Fall 1.8m from home stairs. </w:t>
            </w:r>
          </w:p>
        </w:tc>
        <w:tc>
          <w:tcPr>
            <w:tcW w:w="1457" w:type="pct"/>
            <w:shd w:val="clear" w:color="auto" w:fill="FFFFFF" w:themeFill="background1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 xml:space="preserve">Intracranial </w:t>
            </w:r>
            <w:proofErr w:type="spellStart"/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hemorrhage</w:t>
            </w:r>
            <w:proofErr w:type="spellEnd"/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 xml:space="preserve">/contusion - extra-axial; </w:t>
            </w:r>
            <w:proofErr w:type="spellStart"/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pneumocephalus</w:t>
            </w:r>
            <w:proofErr w:type="spellEnd"/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 xml:space="preserve">; skull fracture – non-depressed. </w:t>
            </w:r>
          </w:p>
        </w:tc>
        <w:tc>
          <w:tcPr>
            <w:tcW w:w="1062" w:type="pct"/>
            <w:shd w:val="clear" w:color="auto" w:fill="FFFFFF" w:themeFill="background1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Neurosurgery: No;</w:t>
            </w:r>
          </w:p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Admission: 5 days</w:t>
            </w:r>
          </w:p>
        </w:tc>
      </w:tr>
      <w:tr w:rsidR="005C0CD3" w:rsidRPr="005C0CD3" w:rsidTr="00317547">
        <w:trPr>
          <w:trHeight w:val="1020"/>
        </w:trPr>
        <w:tc>
          <w:tcPr>
            <w:tcW w:w="49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5C0CD3" w:rsidRPr="005C0CD3" w:rsidRDefault="005C0CD3" w:rsidP="0031754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15 y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M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87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 xml:space="preserve">Struck by/or collision with person at school. </w:t>
            </w:r>
          </w:p>
        </w:tc>
        <w:tc>
          <w:tcPr>
            <w:tcW w:w="145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 xml:space="preserve">Intracranial </w:t>
            </w:r>
            <w:proofErr w:type="spellStart"/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hemorrhage</w:t>
            </w:r>
            <w:proofErr w:type="spellEnd"/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 xml:space="preserve">/contusion- parenchyma. </w:t>
            </w:r>
          </w:p>
        </w:tc>
        <w:tc>
          <w:tcPr>
            <w:tcW w:w="106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Neurosurgery: No;</w:t>
            </w:r>
          </w:p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Admission: 5 days</w:t>
            </w:r>
          </w:p>
        </w:tc>
      </w:tr>
    </w:tbl>
    <w:p w:rsidR="005C0CD3" w:rsidRPr="005C0CD3" w:rsidRDefault="005C0CD3">
      <w:pPr>
        <w:rPr>
          <w:rFonts w:asciiTheme="minorHAnsi" w:hAnsiTheme="minorHAnsi"/>
          <w:sz w:val="20"/>
          <w:szCs w:val="20"/>
        </w:rPr>
      </w:pPr>
    </w:p>
    <w:p w:rsidR="005C0CD3" w:rsidRPr="005C0CD3" w:rsidRDefault="005C0CD3">
      <w:pPr>
        <w:spacing w:after="200" w:line="276" w:lineRule="auto"/>
        <w:rPr>
          <w:rFonts w:asciiTheme="minorHAnsi" w:hAnsiTheme="minorHAnsi"/>
          <w:sz w:val="20"/>
          <w:szCs w:val="20"/>
        </w:rPr>
      </w:pPr>
    </w:p>
    <w:tbl>
      <w:tblPr>
        <w:tblW w:w="8962" w:type="dxa"/>
        <w:jc w:val="center"/>
        <w:tblLook w:val="04A0" w:firstRow="1" w:lastRow="0" w:firstColumn="1" w:lastColumn="0" w:noHBand="0" w:noVBand="1"/>
      </w:tblPr>
      <w:tblGrid>
        <w:gridCol w:w="2600"/>
        <w:gridCol w:w="2980"/>
        <w:gridCol w:w="360"/>
        <w:gridCol w:w="3022"/>
      </w:tblGrid>
      <w:tr w:rsidR="005C0CD3" w:rsidRPr="005C0CD3" w:rsidTr="00317547">
        <w:trPr>
          <w:trHeight w:val="300"/>
          <w:jc w:val="center"/>
        </w:trPr>
        <w:tc>
          <w:tcPr>
            <w:tcW w:w="89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val="en-US"/>
              </w:rPr>
              <w:t>Supplement Table 2. Diagnostic testing of NEXUS II clinically important ICI, tested by presence of any risk criteria (of the 7) – MISSING EXCLUDED</w:t>
            </w:r>
          </w:p>
        </w:tc>
      </w:tr>
      <w:tr w:rsidR="005C0CD3" w:rsidRPr="005C0CD3" w:rsidTr="00317547">
        <w:trPr>
          <w:trHeight w:val="450"/>
          <w:jc w:val="center"/>
        </w:trPr>
        <w:tc>
          <w:tcPr>
            <w:tcW w:w="89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8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center"/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val="en-US"/>
              </w:rPr>
              <w:t xml:space="preserve">Initial CT Scan (ED CT) </w:t>
            </w: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63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Risk Criteria</w:t>
            </w: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Positive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Negative</w:t>
            </w: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Positive ICI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373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Negative ICI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1429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154</w:t>
            </w: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Sensitivity (95% CI)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373/377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98.9 (97.3-99.7)</w:t>
            </w: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Specificity (95% CI)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154/1583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9.7 (8.3-11.3)</w:t>
            </w: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PPV (95% CI)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373/1802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20.7 (18.8-22.6)</w:t>
            </w: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NPV (95% CI)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154/158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97.5 (93.6-99.3)</w:t>
            </w: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8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center"/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val="en-US"/>
              </w:rPr>
              <w:t xml:space="preserve">CT at any time </w:t>
            </w: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63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Risk Criteria</w:t>
            </w: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sz w:val="20"/>
                <w:szCs w:val="20"/>
                <w:lang w:val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Positive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Negative</w:t>
            </w: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Positive ICI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379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Negative ICI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highlight w:val="red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1497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highlight w:val="red"/>
                <w:lang w:val="en-US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highlight w:val="red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204</w:t>
            </w: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Sensitivity (95% CI)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379/383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99.0 (97.3-99.7)</w:t>
            </w: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Specificity (95% CI)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204/1701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12.0 (10.5-13.6)</w:t>
            </w: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2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PPV (95% CI)</w:t>
            </w:r>
          </w:p>
        </w:tc>
        <w:tc>
          <w:tcPr>
            <w:tcW w:w="2980" w:type="dxa"/>
            <w:tcBorders>
              <w:top w:val="nil"/>
              <w:left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379/1876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20.2 (18.4-22.1)</w:t>
            </w:r>
          </w:p>
        </w:tc>
      </w:tr>
      <w:tr w:rsidR="005C0CD3" w:rsidRPr="005C0CD3" w:rsidTr="00317547">
        <w:trPr>
          <w:trHeight w:val="300"/>
          <w:jc w:val="center"/>
        </w:trPr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NPV (95% CI)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5C0CD3" w:rsidRPr="005C0CD3" w:rsidRDefault="005C0CD3" w:rsidP="00317547">
            <w:pPr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204/208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5C0CD3" w:rsidRPr="005C0CD3" w:rsidRDefault="005C0CD3" w:rsidP="0031754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 w:rsidRPr="005C0CD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98.1 (95.1-99.5)</w:t>
            </w:r>
          </w:p>
        </w:tc>
      </w:tr>
    </w:tbl>
    <w:p w:rsidR="005C0CD3" w:rsidRPr="005C0CD3" w:rsidRDefault="005C0CD3">
      <w:pPr>
        <w:rPr>
          <w:rFonts w:asciiTheme="minorHAnsi" w:hAnsiTheme="minorHAnsi"/>
          <w:sz w:val="20"/>
          <w:szCs w:val="20"/>
        </w:rPr>
      </w:pPr>
    </w:p>
    <w:p w:rsidR="0059761E" w:rsidRPr="005C0CD3" w:rsidRDefault="0059761E" w:rsidP="005C0CD3">
      <w:pPr>
        <w:spacing w:after="200" w:line="276" w:lineRule="auto"/>
        <w:rPr>
          <w:rFonts w:asciiTheme="minorHAnsi" w:hAnsiTheme="minorHAnsi"/>
          <w:sz w:val="20"/>
          <w:szCs w:val="20"/>
        </w:rPr>
      </w:pPr>
    </w:p>
    <w:sectPr w:rsidR="0059761E" w:rsidRPr="005C0C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LTPro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LTPro-Ligh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lassicalGaramondBT-Roman"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FrutigerLTPro-Condense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lassicalGaramondBT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LTStd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LTPro-LightCnIt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871B3"/>
    <w:multiLevelType w:val="hybridMultilevel"/>
    <w:tmpl w:val="73E0E8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1A1A4A"/>
    <w:multiLevelType w:val="hybridMultilevel"/>
    <w:tmpl w:val="66EA80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9760A"/>
    <w:multiLevelType w:val="hybridMultilevel"/>
    <w:tmpl w:val="D3B4565E"/>
    <w:lvl w:ilvl="0" w:tplc="DD06AB0C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F3495"/>
    <w:multiLevelType w:val="hybridMultilevel"/>
    <w:tmpl w:val="71A673CE"/>
    <w:lvl w:ilvl="0" w:tplc="3D74E3DC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CD3"/>
    <w:rsid w:val="0038420B"/>
    <w:rsid w:val="0059761E"/>
    <w:rsid w:val="005C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CD3"/>
    <w:pPr>
      <w:spacing w:after="0" w:line="240" w:lineRule="auto"/>
    </w:pPr>
    <w:rPr>
      <w:rFonts w:ascii="Calibri" w:hAnsi="Calibri" w:cs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C0CD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C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CD3"/>
    <w:rPr>
      <w:rFonts w:ascii="Tahoma" w:hAnsi="Tahoma" w:cs="Tahoma"/>
      <w:sz w:val="16"/>
      <w:szCs w:val="16"/>
      <w:lang w:val="en-AU"/>
    </w:rPr>
  </w:style>
  <w:style w:type="table" w:styleId="TableGrid">
    <w:name w:val="Table Grid"/>
    <w:basedOn w:val="TableNormal"/>
    <w:uiPriority w:val="39"/>
    <w:rsid w:val="005C0CD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0CD3"/>
    <w:pPr>
      <w:spacing w:after="160" w:line="259" w:lineRule="auto"/>
      <w:ind w:left="720"/>
      <w:contextualSpacing/>
    </w:pPr>
    <w:rPr>
      <w:rFonts w:asciiTheme="minorHAnsi" w:hAnsiTheme="minorHAnsi" w:cstheme="minorBid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CD3"/>
    <w:pPr>
      <w:spacing w:after="0" w:line="240" w:lineRule="auto"/>
    </w:pPr>
    <w:rPr>
      <w:rFonts w:ascii="Calibri" w:hAnsi="Calibri" w:cs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C0CD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C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CD3"/>
    <w:rPr>
      <w:rFonts w:ascii="Tahoma" w:hAnsi="Tahoma" w:cs="Tahoma"/>
      <w:sz w:val="16"/>
      <w:szCs w:val="16"/>
      <w:lang w:val="en-AU"/>
    </w:rPr>
  </w:style>
  <w:style w:type="table" w:styleId="TableGrid">
    <w:name w:val="Table Grid"/>
    <w:basedOn w:val="TableNormal"/>
    <w:uiPriority w:val="39"/>
    <w:rsid w:val="005C0CD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0CD3"/>
    <w:pPr>
      <w:spacing w:after="160" w:line="259" w:lineRule="auto"/>
      <w:ind w:left="720"/>
      <w:contextualSpacing/>
    </w:pPr>
    <w:rPr>
      <w:rFonts w:ascii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alziel@adhb.govt.nz" TargetMode="External"/><Relationship Id="rId13" Type="http://schemas.openxmlformats.org/officeDocument/2006/relationships/hyperlink" Target="mailto:jeremy.furyk@health.qld.gov.au" TargetMode="External"/><Relationship Id="rId18" Type="http://schemas.openxmlformats.org/officeDocument/2006/relationships/hyperlink" Target="mailto:marta.arpone@mcri.edu.au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.jpeg"/><Relationship Id="rId7" Type="http://schemas.openxmlformats.org/officeDocument/2006/relationships/hyperlink" Target="mailto:ed.oakley@rch.org.au" TargetMode="External"/><Relationship Id="rId12" Type="http://schemas.openxmlformats.org/officeDocument/2006/relationships/hyperlink" Target="mailto:sarah.dalton@health.nsw.gov.au" TargetMode="External"/><Relationship Id="rId17" Type="http://schemas.openxmlformats.org/officeDocument/2006/relationships/hyperlink" Target="mailto:stephen.hearps@mcri.edu.au" TargetMode="External"/><Relationship Id="rId2" Type="http://schemas.openxmlformats.org/officeDocument/2006/relationships/styles" Target="styles.xml"/><Relationship Id="rId16" Type="http://schemas.openxmlformats.org/officeDocument/2006/relationships/hyperlink" Target="mailto:susan.donath@mcri.edu.au" TargetMode="External"/><Relationship Id="rId20" Type="http://schemas.openxmlformats.org/officeDocument/2006/relationships/hyperlink" Target="mailto:franz.babl@rch.org.a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franz.babl@rch.org.au" TargetMode="External"/><Relationship Id="rId11" Type="http://schemas.openxmlformats.org/officeDocument/2006/relationships/hyperlink" Target="mailto:amit.kochar@health.sa.gov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dlyttle77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natalie.phillips@merton-oxford.com" TargetMode="External"/><Relationship Id="rId19" Type="http://schemas.openxmlformats.org/officeDocument/2006/relationships/hyperlink" Target="mailto:silviabres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redith.borland@health.wa.gov.au" TargetMode="External"/><Relationship Id="rId14" Type="http://schemas.openxmlformats.org/officeDocument/2006/relationships/hyperlink" Target="mailto:jocelyn.neutze@middlemore.co.n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23</Pages>
  <Words>6940</Words>
  <Characters>39560</Characters>
  <Application>Microsoft Office Word</Application>
  <DocSecurity>0</DocSecurity>
  <Lines>329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UHBrstiol</Company>
  <LinksUpToDate>false</LinksUpToDate>
  <CharactersWithSpaces>46408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Lyttle, Mark</dc:creator>
  <cp:lastModifiedBy>Lyttle, Mark</cp:lastModifiedBy>
  <cp:revision>2</cp:revision>
  <dcterms:created xsi:type="dcterms:W3CDTF">2018-10-22T13:38:00Z</dcterms:created>
  <dcterms:modified xsi:type="dcterms:W3CDTF">2018-10-22T15:39:00Z</dcterms:modified>
</cp:coreProperties>
</file>