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60C" w:rsidRPr="004A4751" w:rsidRDefault="00A40BB8">
      <w:pPr>
        <w:pStyle w:val="BodyA"/>
        <w:spacing w:line="360" w:lineRule="auto"/>
        <w:ind w:right="1677"/>
        <w:outlineLvl w:val="0"/>
        <w:rPr>
          <w:rFonts w:ascii="Arial" w:eastAsia="Arial" w:hAnsi="Arial" w:cs="Arial"/>
          <w:color w:val="auto"/>
          <w:sz w:val="24"/>
          <w:szCs w:val="24"/>
        </w:rPr>
      </w:pPr>
      <w:r w:rsidRPr="004A4751">
        <w:rPr>
          <w:rFonts w:ascii="Arial" w:hAnsi="Arial"/>
          <w:color w:val="auto"/>
          <w:sz w:val="24"/>
          <w:szCs w:val="24"/>
        </w:rPr>
        <w:t xml:space="preserve">Title: Epidemiology of Adolescent Trauma in England: a review of TARN data 2008-2017 </w:t>
      </w:r>
    </w:p>
    <w:p w:rsidR="007F060C" w:rsidRPr="004A4751" w:rsidRDefault="00A40BB8">
      <w:pPr>
        <w:pStyle w:val="BodyA"/>
        <w:spacing w:line="360" w:lineRule="auto"/>
        <w:ind w:right="1677"/>
        <w:outlineLvl w:val="0"/>
        <w:rPr>
          <w:rFonts w:ascii="Arial" w:eastAsia="Arial" w:hAnsi="Arial" w:cs="Arial"/>
          <w:color w:val="auto"/>
          <w:sz w:val="24"/>
          <w:szCs w:val="24"/>
        </w:rPr>
      </w:pPr>
      <w:r w:rsidRPr="004A4751">
        <w:rPr>
          <w:rFonts w:ascii="Arial" w:hAnsi="Arial"/>
          <w:color w:val="auto"/>
          <w:sz w:val="24"/>
          <w:szCs w:val="24"/>
        </w:rPr>
        <w:t xml:space="preserve">List of authors and affiliations </w:t>
      </w:r>
    </w:p>
    <w:p w:rsidR="007F060C" w:rsidRPr="004A4751" w:rsidRDefault="00A40BB8">
      <w:pPr>
        <w:pStyle w:val="BodyA"/>
        <w:spacing w:line="360" w:lineRule="auto"/>
        <w:ind w:right="1677"/>
        <w:outlineLvl w:val="0"/>
        <w:rPr>
          <w:rFonts w:ascii="Arial" w:eastAsia="Arial" w:hAnsi="Arial" w:cs="Arial"/>
          <w:color w:val="auto"/>
          <w:sz w:val="24"/>
          <w:szCs w:val="24"/>
        </w:rPr>
      </w:pPr>
      <w:r w:rsidRPr="004A4751">
        <w:rPr>
          <w:rFonts w:ascii="Arial" w:hAnsi="Arial"/>
          <w:color w:val="auto"/>
          <w:sz w:val="24"/>
          <w:szCs w:val="24"/>
        </w:rPr>
        <w:t>Roberts, Z MBBS, MRCPCH Paediatric Emergency Medicine, University Hospital of Wales, Cardiff, UK</w:t>
      </w:r>
    </w:p>
    <w:p w:rsidR="007F060C" w:rsidRPr="004A4751" w:rsidRDefault="00A40BB8">
      <w:pPr>
        <w:pStyle w:val="BodyA"/>
        <w:spacing w:line="360" w:lineRule="auto"/>
        <w:ind w:right="1677"/>
        <w:outlineLvl w:val="0"/>
        <w:rPr>
          <w:rFonts w:ascii="Arial" w:eastAsia="Arial" w:hAnsi="Arial" w:cs="Arial"/>
          <w:color w:val="auto"/>
          <w:sz w:val="24"/>
          <w:szCs w:val="24"/>
          <w:shd w:val="clear" w:color="auto" w:fill="FFFF00"/>
        </w:rPr>
      </w:pPr>
      <w:r w:rsidRPr="004A4751">
        <w:rPr>
          <w:rFonts w:ascii="Arial" w:hAnsi="Arial"/>
          <w:color w:val="auto"/>
          <w:sz w:val="24"/>
          <w:szCs w:val="24"/>
        </w:rPr>
        <w:t>Collins J-A, MB ChB MRCPCH Paediatric Emergency Medicine, Royal Belfast Hospital for Sick Children, Belfast, UK</w:t>
      </w:r>
    </w:p>
    <w:p w:rsidR="007F060C" w:rsidRPr="004A4751" w:rsidRDefault="00A40BB8">
      <w:pPr>
        <w:pStyle w:val="BodyA"/>
        <w:spacing w:line="360" w:lineRule="auto"/>
        <w:ind w:right="1677"/>
        <w:outlineLvl w:val="0"/>
        <w:rPr>
          <w:rFonts w:ascii="Arial" w:eastAsia="Arial" w:hAnsi="Arial" w:cs="Arial"/>
          <w:color w:val="auto"/>
          <w:sz w:val="24"/>
          <w:szCs w:val="24"/>
        </w:rPr>
      </w:pPr>
      <w:r w:rsidRPr="004A4751">
        <w:rPr>
          <w:rFonts w:ascii="Arial" w:hAnsi="Arial"/>
          <w:color w:val="auto"/>
          <w:sz w:val="24"/>
          <w:szCs w:val="24"/>
        </w:rPr>
        <w:t>James D R, MBChB MRCPCH Paediatric Emergency Medicine, University Hospital Southampton, Southampton UK</w:t>
      </w:r>
      <w:bookmarkStart w:id="0" w:name="_GoBack"/>
      <w:bookmarkEnd w:id="0"/>
    </w:p>
    <w:p w:rsidR="007F060C" w:rsidRPr="004A4751" w:rsidRDefault="00A40BB8">
      <w:pPr>
        <w:pStyle w:val="BodyA"/>
        <w:spacing w:line="360" w:lineRule="auto"/>
        <w:ind w:right="1677"/>
        <w:outlineLvl w:val="0"/>
        <w:rPr>
          <w:rFonts w:ascii="Arial" w:eastAsia="Arial" w:hAnsi="Arial" w:cs="Arial"/>
          <w:color w:val="auto"/>
          <w:sz w:val="24"/>
          <w:szCs w:val="24"/>
        </w:rPr>
      </w:pPr>
      <w:proofErr w:type="spellStart"/>
      <w:r w:rsidRPr="004A4751">
        <w:rPr>
          <w:rFonts w:ascii="Arial" w:hAnsi="Arial"/>
          <w:color w:val="auto"/>
          <w:sz w:val="24"/>
          <w:szCs w:val="24"/>
        </w:rPr>
        <w:t>Lyttle</w:t>
      </w:r>
      <w:proofErr w:type="spellEnd"/>
      <w:r w:rsidRPr="004A4751">
        <w:rPr>
          <w:rFonts w:ascii="Arial" w:hAnsi="Arial"/>
          <w:color w:val="auto"/>
          <w:sz w:val="24"/>
          <w:szCs w:val="24"/>
        </w:rPr>
        <w:t xml:space="preserve"> MD, MBChB</w:t>
      </w:r>
    </w:p>
    <w:p w:rsidR="007F060C" w:rsidRPr="004A4751" w:rsidRDefault="00A40BB8">
      <w:pPr>
        <w:pStyle w:val="BodyA"/>
        <w:spacing w:line="360" w:lineRule="auto"/>
        <w:ind w:right="1677"/>
        <w:outlineLvl w:val="0"/>
        <w:rPr>
          <w:rFonts w:ascii="Arial" w:eastAsia="Arial" w:hAnsi="Arial" w:cs="Arial"/>
          <w:color w:val="auto"/>
          <w:sz w:val="24"/>
          <w:szCs w:val="24"/>
        </w:rPr>
      </w:pPr>
      <w:r w:rsidRPr="004A4751">
        <w:rPr>
          <w:rFonts w:ascii="Arial" w:hAnsi="Arial"/>
          <w:color w:val="auto"/>
          <w:sz w:val="24"/>
          <w:szCs w:val="24"/>
        </w:rPr>
        <w:t>Emergency Department, Bristol Royal Hospital for Children, Bristol, UK</w:t>
      </w:r>
    </w:p>
    <w:p w:rsidR="007F060C" w:rsidRPr="004A4751" w:rsidRDefault="00A40BB8">
      <w:pPr>
        <w:pStyle w:val="BodyA"/>
        <w:spacing w:line="360" w:lineRule="auto"/>
        <w:ind w:right="1677"/>
        <w:outlineLvl w:val="0"/>
        <w:rPr>
          <w:rFonts w:ascii="Arial" w:eastAsia="Arial" w:hAnsi="Arial" w:cs="Arial"/>
          <w:color w:val="auto"/>
          <w:sz w:val="24"/>
          <w:szCs w:val="24"/>
        </w:rPr>
      </w:pPr>
      <w:r w:rsidRPr="004A4751">
        <w:rPr>
          <w:rFonts w:ascii="Arial" w:hAnsi="Arial"/>
          <w:color w:val="auto"/>
          <w:sz w:val="24"/>
          <w:szCs w:val="24"/>
        </w:rPr>
        <w:t>Faculty of Health and Applied Sciences, University of the West of England, Bristol, UK</w:t>
      </w:r>
    </w:p>
    <w:p w:rsidR="007F060C" w:rsidRPr="004A4751" w:rsidRDefault="00A40BB8">
      <w:pPr>
        <w:pStyle w:val="BodyA"/>
        <w:spacing w:line="360" w:lineRule="auto"/>
        <w:ind w:right="1677"/>
        <w:outlineLvl w:val="0"/>
        <w:rPr>
          <w:rFonts w:ascii="Arial" w:eastAsia="Arial" w:hAnsi="Arial" w:cs="Arial"/>
          <w:color w:val="auto"/>
          <w:sz w:val="24"/>
          <w:szCs w:val="24"/>
        </w:rPr>
      </w:pPr>
      <w:proofErr w:type="spellStart"/>
      <w:r w:rsidRPr="004A4751">
        <w:rPr>
          <w:rFonts w:ascii="Arial" w:hAnsi="Arial"/>
          <w:color w:val="auto"/>
          <w:sz w:val="24"/>
          <w:szCs w:val="24"/>
        </w:rPr>
        <w:t>Bouamra</w:t>
      </w:r>
      <w:proofErr w:type="spellEnd"/>
      <w:r w:rsidRPr="004A4751">
        <w:rPr>
          <w:rFonts w:ascii="Arial" w:hAnsi="Arial"/>
          <w:color w:val="auto"/>
          <w:sz w:val="24"/>
          <w:szCs w:val="24"/>
        </w:rPr>
        <w:t xml:space="preserve"> O, PhD, The Trauma Audit &amp; Research Network, The University of Manchester, M13 9PL Manchester, UK </w:t>
      </w:r>
    </w:p>
    <w:p w:rsidR="007F060C" w:rsidRPr="004A4751" w:rsidRDefault="00A40BB8">
      <w:pPr>
        <w:pStyle w:val="BodyA"/>
        <w:spacing w:line="360" w:lineRule="auto"/>
        <w:ind w:right="1677"/>
        <w:outlineLvl w:val="0"/>
        <w:rPr>
          <w:rFonts w:ascii="Arial" w:eastAsia="Arial" w:hAnsi="Arial" w:cs="Arial"/>
          <w:color w:val="auto"/>
          <w:sz w:val="24"/>
          <w:szCs w:val="24"/>
        </w:rPr>
      </w:pPr>
      <w:r w:rsidRPr="004A4751">
        <w:rPr>
          <w:rFonts w:ascii="Arial" w:hAnsi="Arial"/>
          <w:color w:val="auto"/>
          <w:sz w:val="24"/>
          <w:szCs w:val="24"/>
        </w:rPr>
        <w:t>Young M, The Trauma Audit &amp; Research Network, The University of Manchester, M13 9PL Manchester, UK</w:t>
      </w:r>
    </w:p>
    <w:p w:rsidR="007F060C" w:rsidRPr="004A4751" w:rsidRDefault="00A40BB8">
      <w:pPr>
        <w:pStyle w:val="BodyA"/>
        <w:spacing w:line="360" w:lineRule="auto"/>
        <w:ind w:right="1677"/>
        <w:outlineLvl w:val="0"/>
        <w:rPr>
          <w:rFonts w:ascii="Arial" w:eastAsia="Arial" w:hAnsi="Arial" w:cs="Arial"/>
          <w:color w:val="auto"/>
          <w:sz w:val="24"/>
          <w:szCs w:val="24"/>
        </w:rPr>
      </w:pPr>
      <w:r w:rsidRPr="004A4751">
        <w:rPr>
          <w:rFonts w:ascii="Arial" w:hAnsi="Arial"/>
          <w:color w:val="auto"/>
          <w:sz w:val="24"/>
          <w:szCs w:val="24"/>
        </w:rPr>
        <w:t xml:space="preserve">Roland D, BMBS MRCPCH PhD, </w:t>
      </w:r>
    </w:p>
    <w:p w:rsidR="007F060C" w:rsidRPr="004A4751" w:rsidRDefault="00A40BB8">
      <w:pPr>
        <w:pStyle w:val="BodyA"/>
        <w:numPr>
          <w:ilvl w:val="0"/>
          <w:numId w:val="2"/>
        </w:numPr>
        <w:spacing w:line="360" w:lineRule="auto"/>
        <w:ind w:right="1677"/>
        <w:outlineLvl w:val="0"/>
        <w:rPr>
          <w:rFonts w:ascii="Arial" w:hAnsi="Arial"/>
          <w:color w:val="auto"/>
          <w:sz w:val="24"/>
          <w:szCs w:val="24"/>
        </w:rPr>
      </w:pPr>
      <w:r w:rsidRPr="004A4751">
        <w:rPr>
          <w:rFonts w:ascii="Arial" w:hAnsi="Arial"/>
          <w:color w:val="auto"/>
          <w:sz w:val="24"/>
          <w:szCs w:val="24"/>
        </w:rPr>
        <w:t xml:space="preserve">Paediatric Emergency Medicine Leicester Academic (PEMLA) group, Leicester Royal Infirmary, Leicester, UK </w:t>
      </w:r>
    </w:p>
    <w:p w:rsidR="007F060C" w:rsidRPr="004A4751" w:rsidRDefault="00A40BB8">
      <w:pPr>
        <w:pStyle w:val="BodyA"/>
        <w:numPr>
          <w:ilvl w:val="0"/>
          <w:numId w:val="2"/>
        </w:numPr>
        <w:spacing w:line="360" w:lineRule="auto"/>
        <w:ind w:right="1677"/>
        <w:outlineLvl w:val="0"/>
        <w:rPr>
          <w:rFonts w:ascii="Arial" w:hAnsi="Arial"/>
          <w:color w:val="auto"/>
          <w:sz w:val="24"/>
          <w:szCs w:val="24"/>
        </w:rPr>
      </w:pPr>
      <w:r w:rsidRPr="004A4751">
        <w:rPr>
          <w:rFonts w:ascii="Arial" w:hAnsi="Arial"/>
          <w:color w:val="auto"/>
          <w:sz w:val="24"/>
          <w:szCs w:val="24"/>
        </w:rPr>
        <w:t xml:space="preserve">SAPPHIRE group, Health Sciences, Leicester University, Leicester, UK </w:t>
      </w:r>
    </w:p>
    <w:p w:rsidR="007F060C" w:rsidRPr="004A4751" w:rsidRDefault="00A40BB8">
      <w:pPr>
        <w:pStyle w:val="BodyA"/>
        <w:spacing w:line="360" w:lineRule="auto"/>
        <w:ind w:right="1677"/>
        <w:outlineLvl w:val="0"/>
        <w:rPr>
          <w:rFonts w:ascii="Arial" w:eastAsia="Arial" w:hAnsi="Arial" w:cs="Arial"/>
          <w:color w:val="auto"/>
          <w:sz w:val="24"/>
          <w:szCs w:val="24"/>
          <w:shd w:val="clear" w:color="auto" w:fill="FFFF00"/>
        </w:rPr>
      </w:pPr>
      <w:r w:rsidRPr="004A4751">
        <w:rPr>
          <w:rFonts w:ascii="Arial" w:hAnsi="Arial"/>
          <w:color w:val="auto"/>
          <w:sz w:val="24"/>
          <w:szCs w:val="24"/>
        </w:rPr>
        <w:lastRenderedPageBreak/>
        <w:t>Mullen S, MB Bch BAO MRCPCH MSc Clin Ed.  Paediatric Emergency Medicine, Royal Belfast Hospital for Sick Children, Belfast, UK (corresponding author)</w:t>
      </w:r>
    </w:p>
    <w:p w:rsidR="007F060C" w:rsidRPr="004A4751" w:rsidRDefault="00A40BB8">
      <w:pPr>
        <w:pStyle w:val="BodyA"/>
        <w:spacing w:line="360" w:lineRule="auto"/>
        <w:ind w:right="1677"/>
        <w:outlineLvl w:val="0"/>
        <w:rPr>
          <w:rFonts w:ascii="Arial" w:eastAsia="Arial" w:hAnsi="Arial" w:cs="Arial"/>
          <w:color w:val="auto"/>
          <w:sz w:val="24"/>
          <w:szCs w:val="24"/>
          <w:shd w:val="clear" w:color="auto" w:fill="FFFF00"/>
        </w:rPr>
      </w:pPr>
      <w:r w:rsidRPr="004A4751">
        <w:rPr>
          <w:rFonts w:ascii="Arial" w:hAnsi="Arial"/>
          <w:color w:val="auto"/>
          <w:sz w:val="24"/>
          <w:szCs w:val="24"/>
        </w:rPr>
        <w:t xml:space="preserve">On behalf of PERUKI </w:t>
      </w:r>
    </w:p>
    <w:p w:rsidR="007F060C" w:rsidRPr="004A4751" w:rsidRDefault="00A40BB8">
      <w:pPr>
        <w:pStyle w:val="BodyA"/>
        <w:spacing w:line="360" w:lineRule="auto"/>
        <w:ind w:right="1677"/>
        <w:outlineLvl w:val="0"/>
        <w:rPr>
          <w:rFonts w:ascii="Arial" w:eastAsia="Arial" w:hAnsi="Arial" w:cs="Arial"/>
          <w:color w:val="auto"/>
          <w:sz w:val="24"/>
          <w:szCs w:val="24"/>
        </w:rPr>
      </w:pPr>
      <w:r w:rsidRPr="004A4751">
        <w:rPr>
          <w:rFonts w:ascii="Arial" w:hAnsi="Arial"/>
          <w:color w:val="auto"/>
          <w:sz w:val="24"/>
          <w:szCs w:val="24"/>
        </w:rPr>
        <w:t>Conflict of interest</w:t>
      </w:r>
    </w:p>
    <w:p w:rsidR="007F060C" w:rsidRPr="004A4751" w:rsidRDefault="00A40BB8">
      <w:pPr>
        <w:pStyle w:val="BodyA"/>
        <w:spacing w:line="360" w:lineRule="auto"/>
        <w:ind w:right="1677"/>
        <w:outlineLvl w:val="0"/>
        <w:rPr>
          <w:rFonts w:ascii="Arial" w:eastAsia="Arial" w:hAnsi="Arial" w:cs="Arial"/>
          <w:color w:val="auto"/>
          <w:sz w:val="24"/>
          <w:szCs w:val="24"/>
        </w:rPr>
      </w:pPr>
      <w:r w:rsidRPr="004A4751">
        <w:rPr>
          <w:rFonts w:ascii="Arial" w:hAnsi="Arial"/>
          <w:color w:val="auto"/>
          <w:sz w:val="24"/>
          <w:szCs w:val="24"/>
        </w:rPr>
        <w:t xml:space="preserve">SM, DJ, JC, ZR, ML – no conflict of interest. </w:t>
      </w:r>
    </w:p>
    <w:p w:rsidR="007F060C" w:rsidRPr="004A4751" w:rsidRDefault="007F060C">
      <w:pPr>
        <w:pStyle w:val="BodyB"/>
        <w:spacing w:line="360" w:lineRule="auto"/>
        <w:rPr>
          <w:rFonts w:ascii="Arial Unicode MS" w:eastAsia="Arial Unicode MS" w:hAnsi="Arial Unicode MS" w:cs="Arial Unicode MS"/>
          <w:color w:val="auto"/>
        </w:rPr>
      </w:pPr>
    </w:p>
    <w:p w:rsidR="007F060C" w:rsidRPr="004A4751" w:rsidRDefault="00A40BB8">
      <w:pPr>
        <w:pStyle w:val="BodyB"/>
        <w:spacing w:line="360" w:lineRule="auto"/>
        <w:rPr>
          <w:color w:val="auto"/>
        </w:rPr>
      </w:pPr>
      <w:r w:rsidRPr="004A4751">
        <w:rPr>
          <w:rFonts w:ascii="Arial Unicode MS" w:hAnsi="Arial Unicode MS"/>
          <w:color w:val="auto"/>
        </w:rPr>
        <w:t>Corresponding author: Stephen Mullen; smullen001@gmail.com</w:t>
      </w:r>
      <w:r w:rsidRPr="004A4751">
        <w:rPr>
          <w:rFonts w:ascii="Arial Unicode MS" w:eastAsia="Arial Unicode MS" w:hAnsi="Arial Unicode MS" w:cs="Arial Unicode MS"/>
          <w:color w:val="auto"/>
        </w:rPr>
        <w:br w:type="page"/>
      </w:r>
    </w:p>
    <w:p w:rsidR="007F060C" w:rsidRPr="004A4751" w:rsidRDefault="007F060C">
      <w:pPr>
        <w:pStyle w:val="BodyB"/>
        <w:spacing w:line="360" w:lineRule="auto"/>
        <w:rPr>
          <w:rFonts w:ascii="Arial" w:eastAsia="Arial" w:hAnsi="Arial" w:cs="Arial"/>
          <w:color w:val="auto"/>
          <w:sz w:val="22"/>
          <w:szCs w:val="22"/>
        </w:rPr>
      </w:pPr>
    </w:p>
    <w:p w:rsidR="007F060C" w:rsidRPr="004A4751" w:rsidRDefault="00A40BB8">
      <w:pPr>
        <w:pStyle w:val="BodyB"/>
        <w:spacing w:line="360" w:lineRule="auto"/>
        <w:rPr>
          <w:rFonts w:ascii="Arial" w:eastAsia="Arial" w:hAnsi="Arial" w:cs="Arial"/>
          <w:color w:val="auto"/>
          <w:sz w:val="22"/>
          <w:szCs w:val="22"/>
        </w:rPr>
      </w:pPr>
      <w:r w:rsidRPr="004A4751">
        <w:rPr>
          <w:rFonts w:ascii="Arial" w:hAnsi="Arial"/>
          <w:color w:val="auto"/>
          <w:sz w:val="22"/>
          <w:szCs w:val="22"/>
        </w:rPr>
        <w:t xml:space="preserve"> </w:t>
      </w:r>
      <w:r w:rsidRPr="004A4751">
        <w:rPr>
          <w:rFonts w:ascii="Arial Unicode MS" w:eastAsia="Arial Unicode MS" w:hAnsi="Arial Unicode MS" w:cs="Arial Unicode MS"/>
          <w:color w:val="auto"/>
        </w:rPr>
        <w:br/>
      </w:r>
    </w:p>
    <w:p w:rsidR="007F060C" w:rsidRPr="004A4751" w:rsidRDefault="00A40BB8">
      <w:pPr>
        <w:pStyle w:val="BodyB"/>
        <w:spacing w:line="360" w:lineRule="auto"/>
        <w:rPr>
          <w:color w:val="auto"/>
        </w:rPr>
      </w:pPr>
      <w:r w:rsidRPr="004A4751">
        <w:rPr>
          <w:rFonts w:ascii="Arial Unicode MS" w:eastAsia="Arial Unicode MS" w:hAnsi="Arial Unicode MS" w:cs="Arial Unicode MS"/>
          <w:color w:val="auto"/>
        </w:rPr>
        <w:br w:type="page"/>
      </w:r>
    </w:p>
    <w:p w:rsidR="007F060C" w:rsidRPr="004A4751" w:rsidRDefault="00A40BB8">
      <w:pPr>
        <w:pStyle w:val="BodyC"/>
        <w:spacing w:line="360" w:lineRule="auto"/>
        <w:outlineLvl w:val="0"/>
        <w:rPr>
          <w:rFonts w:ascii="Arial" w:eastAsia="Arial" w:hAnsi="Arial" w:cs="Arial"/>
          <w:color w:val="auto"/>
        </w:rPr>
      </w:pPr>
      <w:r w:rsidRPr="004A4751">
        <w:rPr>
          <w:rFonts w:ascii="Arial" w:hAnsi="Arial"/>
          <w:color w:val="auto"/>
        </w:rPr>
        <w:lastRenderedPageBreak/>
        <w:t>Title</w:t>
      </w:r>
    </w:p>
    <w:p w:rsidR="007F060C" w:rsidRPr="004A4751" w:rsidRDefault="00A40BB8">
      <w:pPr>
        <w:pStyle w:val="BodyC"/>
        <w:spacing w:line="360" w:lineRule="auto"/>
        <w:outlineLvl w:val="0"/>
        <w:rPr>
          <w:rFonts w:ascii="Arial" w:eastAsia="Arial" w:hAnsi="Arial" w:cs="Arial"/>
          <w:b/>
          <w:bCs/>
          <w:color w:val="auto"/>
        </w:rPr>
      </w:pPr>
      <w:r w:rsidRPr="004A4751">
        <w:rPr>
          <w:rFonts w:ascii="Arial" w:hAnsi="Arial"/>
          <w:b/>
          <w:bCs/>
          <w:color w:val="auto"/>
        </w:rPr>
        <w:t>Epidemiology of Adolescent Trauma in England: a review </w:t>
      </w:r>
      <w:proofErr w:type="spellStart"/>
      <w:r w:rsidRPr="004A4751">
        <w:rPr>
          <w:rFonts w:ascii="Arial" w:hAnsi="Arial"/>
          <w:b/>
          <w:bCs/>
          <w:color w:val="auto"/>
          <w:lang w:val="pt-PT"/>
        </w:rPr>
        <w:t>of</w:t>
      </w:r>
      <w:proofErr w:type="spellEnd"/>
      <w:r w:rsidRPr="004A4751">
        <w:rPr>
          <w:rFonts w:ascii="Arial" w:hAnsi="Arial"/>
          <w:b/>
          <w:bCs/>
          <w:color w:val="auto"/>
          <w:lang w:val="pt-PT"/>
        </w:rPr>
        <w:t xml:space="preserve"> TARN data 2008-2017 </w:t>
      </w:r>
    </w:p>
    <w:p w:rsidR="007F060C" w:rsidRPr="004A4751" w:rsidRDefault="007F060C">
      <w:pPr>
        <w:pStyle w:val="BodyC"/>
        <w:spacing w:line="360" w:lineRule="auto"/>
        <w:outlineLvl w:val="0"/>
        <w:rPr>
          <w:rFonts w:ascii="Arial" w:eastAsia="Arial" w:hAnsi="Arial" w:cs="Arial"/>
          <w:b/>
          <w:bCs/>
          <w:color w:val="auto"/>
          <w:lang w:val="pt-PT"/>
        </w:rPr>
      </w:pPr>
    </w:p>
    <w:p w:rsidR="007F060C" w:rsidRPr="004A4751" w:rsidRDefault="007F060C">
      <w:pPr>
        <w:pStyle w:val="BodyC"/>
        <w:spacing w:line="360" w:lineRule="auto"/>
        <w:outlineLvl w:val="0"/>
        <w:rPr>
          <w:rFonts w:ascii="Arial" w:eastAsia="Arial" w:hAnsi="Arial" w:cs="Arial"/>
          <w:b/>
          <w:bCs/>
          <w:color w:val="auto"/>
        </w:rPr>
      </w:pPr>
    </w:p>
    <w:p w:rsidR="007F060C" w:rsidRPr="004A4751" w:rsidRDefault="00FD63B9">
      <w:pPr>
        <w:pStyle w:val="BodyD"/>
        <w:spacing w:after="200" w:line="360" w:lineRule="auto"/>
        <w:outlineLvl w:val="0"/>
        <w:rPr>
          <w:rFonts w:ascii="Arial" w:eastAsia="Arial" w:hAnsi="Arial" w:cs="Arial"/>
          <w:color w:val="auto"/>
        </w:rPr>
      </w:pPr>
      <w:r w:rsidRPr="004A4751">
        <w:rPr>
          <w:rFonts w:ascii="Arial" w:hAnsi="Arial"/>
          <w:color w:val="auto"/>
        </w:rPr>
        <w:t>Objectives</w:t>
      </w:r>
    </w:p>
    <w:p w:rsidR="007F060C" w:rsidRPr="004A4751" w:rsidRDefault="00A40BB8">
      <w:pPr>
        <w:pStyle w:val="BodyC"/>
        <w:spacing w:line="360" w:lineRule="auto"/>
        <w:jc w:val="both"/>
        <w:rPr>
          <w:rFonts w:ascii="Arial" w:eastAsia="Arial" w:hAnsi="Arial" w:cs="Arial"/>
          <w:color w:val="auto"/>
        </w:rPr>
      </w:pPr>
      <w:r w:rsidRPr="004A4751">
        <w:rPr>
          <w:rFonts w:ascii="Arial" w:hAnsi="Arial"/>
          <w:color w:val="auto"/>
        </w:rPr>
        <w:t>Trauma contributes significantly to adolescent morbidity and mortality. We aimed to ascertain the epidemiology of adolescent trauma to inform prevention strategies.</w:t>
      </w:r>
    </w:p>
    <w:p w:rsidR="007F060C" w:rsidRPr="004A4751" w:rsidRDefault="007F060C">
      <w:pPr>
        <w:pStyle w:val="BodyC"/>
        <w:spacing w:line="360" w:lineRule="auto"/>
        <w:jc w:val="both"/>
        <w:rPr>
          <w:rFonts w:ascii="Arial" w:eastAsia="Arial" w:hAnsi="Arial" w:cs="Arial"/>
          <w:color w:val="auto"/>
        </w:rPr>
      </w:pPr>
    </w:p>
    <w:p w:rsidR="007F060C" w:rsidRPr="004A4751" w:rsidRDefault="00A40BB8">
      <w:pPr>
        <w:pStyle w:val="BodyD"/>
        <w:spacing w:after="200" w:line="360" w:lineRule="auto"/>
        <w:jc w:val="both"/>
        <w:outlineLvl w:val="0"/>
        <w:rPr>
          <w:rFonts w:ascii="Arial" w:eastAsia="Arial" w:hAnsi="Arial" w:cs="Arial"/>
          <w:color w:val="auto"/>
        </w:rPr>
      </w:pPr>
      <w:r w:rsidRPr="004A4751">
        <w:rPr>
          <w:rFonts w:ascii="Arial" w:hAnsi="Arial"/>
          <w:color w:val="auto"/>
        </w:rPr>
        <w:t>Methods</w:t>
      </w:r>
    </w:p>
    <w:p w:rsidR="007F060C" w:rsidRPr="004A4751" w:rsidRDefault="00A40BB8">
      <w:pPr>
        <w:pStyle w:val="BodyD"/>
        <w:spacing w:after="200" w:line="360" w:lineRule="auto"/>
        <w:jc w:val="both"/>
        <w:outlineLvl w:val="0"/>
        <w:rPr>
          <w:rFonts w:ascii="Arial" w:eastAsia="Arial" w:hAnsi="Arial" w:cs="Arial"/>
          <w:color w:val="auto"/>
        </w:rPr>
      </w:pPr>
      <w:r w:rsidRPr="004A4751">
        <w:rPr>
          <w:rFonts w:ascii="Arial" w:hAnsi="Arial"/>
          <w:color w:val="auto"/>
        </w:rPr>
        <w:t xml:space="preserve">Data were abstracted from TARN (Trauma Audit Research Network) from English sites over a ten-year period (2008-2017). Adolescents were defined as 10-24 completed years. Descriptive statistical analysis was </w:t>
      </w:r>
      <w:proofErr w:type="spellStart"/>
      <w:r w:rsidRPr="004A4751">
        <w:rPr>
          <w:rFonts w:ascii="Arial" w:hAnsi="Arial"/>
          <w:color w:val="auto"/>
        </w:rPr>
        <w:t>utilised</w:t>
      </w:r>
      <w:proofErr w:type="spellEnd"/>
      <w:r w:rsidRPr="004A4751">
        <w:rPr>
          <w:rFonts w:ascii="Arial" w:hAnsi="Arial"/>
          <w:color w:val="auto"/>
        </w:rPr>
        <w:t xml:space="preserve"> in this study.</w:t>
      </w:r>
    </w:p>
    <w:p w:rsidR="007F060C" w:rsidRPr="004A4751" w:rsidRDefault="007F060C">
      <w:pPr>
        <w:pStyle w:val="BodyD"/>
        <w:spacing w:after="200" w:line="360" w:lineRule="auto"/>
        <w:outlineLvl w:val="0"/>
        <w:rPr>
          <w:rFonts w:ascii="Arial" w:eastAsia="Arial" w:hAnsi="Arial" w:cs="Arial"/>
          <w:color w:val="auto"/>
        </w:rPr>
      </w:pPr>
    </w:p>
    <w:p w:rsidR="007F060C" w:rsidRPr="004A4751" w:rsidRDefault="00A40BB8">
      <w:pPr>
        <w:pStyle w:val="BodyD"/>
        <w:spacing w:after="200" w:line="360" w:lineRule="auto"/>
        <w:outlineLvl w:val="0"/>
        <w:rPr>
          <w:rFonts w:ascii="Arial" w:eastAsia="Arial" w:hAnsi="Arial" w:cs="Arial"/>
          <w:color w:val="auto"/>
        </w:rPr>
      </w:pPr>
      <w:r w:rsidRPr="004A4751">
        <w:rPr>
          <w:rFonts w:ascii="Arial" w:hAnsi="Arial"/>
          <w:color w:val="auto"/>
        </w:rPr>
        <w:t>Results</w:t>
      </w:r>
    </w:p>
    <w:p w:rsidR="007F060C" w:rsidRPr="004A4751" w:rsidRDefault="00A40BB8">
      <w:pPr>
        <w:pStyle w:val="BodyC"/>
        <w:spacing w:line="360" w:lineRule="auto"/>
        <w:jc w:val="both"/>
        <w:outlineLvl w:val="0"/>
        <w:rPr>
          <w:rFonts w:ascii="Arial" w:eastAsia="Arial" w:hAnsi="Arial" w:cs="Arial"/>
          <w:color w:val="auto"/>
        </w:rPr>
      </w:pPr>
      <w:r w:rsidRPr="004A4751">
        <w:rPr>
          <w:rFonts w:ascii="Arial" w:hAnsi="Arial"/>
          <w:color w:val="auto"/>
        </w:rPr>
        <w:t>There were 40,680 recorded cases of adolescent trauma. The majority were male (77.3%) and aged 16-24 years old (80%). There was a 2.6-fold increase during the study time frame (p&lt;0.0001) in the total annual number of cases reported to TARN. To account for increasing hospital participation, the unit trauma cases per hospital per year was used, noting an increasing trend (p=0.048).   Road traffic collision (RTC) was the leading cause of adolescent trauma (50.3%). Pedestrians (44.5%) and cyclists (29.9%) were more prevalent in the 10-15-year group, while drivers (22.7%) and passengers (17.4%) predominated in the 16-24-year-group.</w:t>
      </w:r>
    </w:p>
    <w:p w:rsidR="007F060C" w:rsidRPr="004A4751" w:rsidRDefault="00A40BB8">
      <w:pPr>
        <w:pStyle w:val="BodyD"/>
        <w:spacing w:line="360" w:lineRule="auto"/>
        <w:jc w:val="both"/>
        <w:rPr>
          <w:color w:val="auto"/>
        </w:rPr>
      </w:pPr>
      <w:r w:rsidRPr="004A4751">
        <w:rPr>
          <w:rFonts w:ascii="Arial" w:hAnsi="Arial"/>
          <w:color w:val="auto"/>
        </w:rPr>
        <w:t>Intentional injury was reported in 20.7% (alleged assault in 17.2% and suspected self-harm in 3.5%).  This was more prevalent in the 16-24 year group.</w:t>
      </w:r>
      <w:r w:rsidRPr="004A4751">
        <w:rPr>
          <w:color w:val="auto"/>
        </w:rPr>
        <w:t xml:space="preserve"> </w:t>
      </w:r>
      <w:r w:rsidRPr="004A4751">
        <w:rPr>
          <w:rFonts w:ascii="Arial" w:hAnsi="Arial"/>
          <w:color w:val="auto"/>
        </w:rPr>
        <w:t xml:space="preserve">The proportion of trauma reported due to violence has increased with stabbings increasing from 6.9% in 2008 to 10.2% in 2017 (p&lt;0.0001).  Evidence of alcohol or drug use was recorded in 20.1% of cases. </w:t>
      </w:r>
    </w:p>
    <w:p w:rsidR="007F060C" w:rsidRPr="004A4751" w:rsidRDefault="00A40BB8">
      <w:pPr>
        <w:pStyle w:val="BodyC"/>
        <w:spacing w:line="360" w:lineRule="auto"/>
        <w:jc w:val="both"/>
        <w:outlineLvl w:val="0"/>
        <w:rPr>
          <w:color w:val="auto"/>
        </w:rPr>
      </w:pPr>
      <w:r w:rsidRPr="004A4751">
        <w:rPr>
          <w:rFonts w:ascii="Arial" w:hAnsi="Arial"/>
          <w:color w:val="auto"/>
        </w:rPr>
        <w:lastRenderedPageBreak/>
        <w:t xml:space="preserve">There was an increase in the number treated in MTCs (45.7% 2008 vs 63.4% 2017, p&lt;0.0001). Trauma was more likely to occur between 08.00 and 00:00, at weekends and between April and October. Overall mortality rate was 4.1%. Those with a known psychiatric diagnosis had a higher mortality (6.3% vs 4.0%; p&lt;0.001). </w:t>
      </w:r>
    </w:p>
    <w:p w:rsidR="007F060C" w:rsidRPr="004A4751" w:rsidRDefault="007F060C">
      <w:pPr>
        <w:pStyle w:val="BodyC"/>
        <w:spacing w:line="360" w:lineRule="auto"/>
        <w:outlineLvl w:val="0"/>
        <w:rPr>
          <w:rFonts w:ascii="Arial" w:eastAsia="Arial" w:hAnsi="Arial" w:cs="Arial"/>
          <w:color w:val="auto"/>
        </w:rPr>
      </w:pPr>
    </w:p>
    <w:p w:rsidR="007F060C" w:rsidRPr="004A4751" w:rsidRDefault="00A40BB8">
      <w:pPr>
        <w:pStyle w:val="BodyC"/>
        <w:spacing w:line="360" w:lineRule="auto"/>
        <w:outlineLvl w:val="0"/>
        <w:rPr>
          <w:rFonts w:ascii="Arial" w:eastAsia="Arial" w:hAnsi="Arial" w:cs="Arial"/>
          <w:color w:val="auto"/>
          <w:lang w:val="fr-FR"/>
        </w:rPr>
      </w:pPr>
      <w:r w:rsidRPr="004A4751">
        <w:rPr>
          <w:rFonts w:ascii="Arial" w:hAnsi="Arial"/>
          <w:color w:val="auto"/>
          <w:lang w:val="fr-FR"/>
        </w:rPr>
        <w:t>Conclusions</w:t>
      </w:r>
    </w:p>
    <w:p w:rsidR="007F060C" w:rsidRPr="004A4751" w:rsidRDefault="00A40BB8">
      <w:pPr>
        <w:pStyle w:val="BodyC"/>
        <w:spacing w:line="360" w:lineRule="auto"/>
        <w:jc w:val="both"/>
        <w:outlineLvl w:val="0"/>
        <w:rPr>
          <w:rFonts w:ascii="Arial" w:eastAsia="Arial" w:hAnsi="Arial" w:cs="Arial"/>
          <w:color w:val="auto"/>
        </w:rPr>
      </w:pPr>
      <w:r w:rsidRPr="004A4751">
        <w:rPr>
          <w:rFonts w:ascii="Arial" w:hAnsi="Arial"/>
          <w:color w:val="auto"/>
        </w:rPr>
        <w:t xml:space="preserve">RTC and intentional injuries are leading </w:t>
      </w:r>
      <w:proofErr w:type="spellStart"/>
      <w:r w:rsidRPr="004A4751">
        <w:rPr>
          <w:rFonts w:ascii="Arial" w:hAnsi="Arial"/>
          <w:color w:val="auto"/>
        </w:rPr>
        <w:t>aetiologies</w:t>
      </w:r>
      <w:proofErr w:type="spellEnd"/>
      <w:r w:rsidRPr="004A4751">
        <w:rPr>
          <w:rFonts w:ascii="Arial" w:hAnsi="Arial"/>
          <w:color w:val="auto"/>
        </w:rPr>
        <w:t xml:space="preserve">.  Health care professionals and policy makers need to </w:t>
      </w:r>
      <w:proofErr w:type="spellStart"/>
      <w:r w:rsidRPr="004A4751">
        <w:rPr>
          <w:rFonts w:ascii="Arial" w:hAnsi="Arial"/>
          <w:color w:val="auto"/>
        </w:rPr>
        <w:t>prioritise</w:t>
      </w:r>
      <w:proofErr w:type="spellEnd"/>
      <w:r w:rsidRPr="004A4751">
        <w:rPr>
          <w:rFonts w:ascii="Arial" w:hAnsi="Arial"/>
          <w:color w:val="auto"/>
        </w:rPr>
        <w:t xml:space="preserve"> national preventative public health measures and early interventions to reduce the incidence of trauma in this vulnerable age group.</w:t>
      </w:r>
    </w:p>
    <w:p w:rsidR="007F060C" w:rsidRPr="004A4751" w:rsidRDefault="007F060C">
      <w:pPr>
        <w:pStyle w:val="BodyA"/>
        <w:spacing w:line="360" w:lineRule="auto"/>
        <w:outlineLvl w:val="0"/>
        <w:rPr>
          <w:rFonts w:ascii="Arial" w:eastAsia="Arial" w:hAnsi="Arial" w:cs="Arial"/>
          <w:color w:val="auto"/>
          <w:sz w:val="24"/>
          <w:szCs w:val="24"/>
        </w:rPr>
      </w:pPr>
    </w:p>
    <w:p w:rsidR="007F060C" w:rsidRPr="004A4751" w:rsidRDefault="007F060C">
      <w:pPr>
        <w:pStyle w:val="BodyA"/>
        <w:spacing w:line="360" w:lineRule="auto"/>
        <w:outlineLvl w:val="0"/>
        <w:rPr>
          <w:rFonts w:ascii="Arial" w:eastAsia="Arial" w:hAnsi="Arial" w:cs="Arial"/>
          <w:color w:val="auto"/>
          <w:sz w:val="24"/>
          <w:szCs w:val="24"/>
        </w:rPr>
      </w:pPr>
    </w:p>
    <w:p w:rsidR="007F060C" w:rsidRPr="004A4751" w:rsidRDefault="007F060C">
      <w:pPr>
        <w:pStyle w:val="BodyA"/>
        <w:spacing w:line="360" w:lineRule="auto"/>
        <w:ind w:right="1677"/>
        <w:outlineLvl w:val="0"/>
        <w:rPr>
          <w:rFonts w:ascii="Arial" w:eastAsia="Arial" w:hAnsi="Arial" w:cs="Arial"/>
          <w:color w:val="auto"/>
          <w:sz w:val="24"/>
          <w:szCs w:val="24"/>
        </w:rPr>
      </w:pPr>
    </w:p>
    <w:p w:rsidR="007F060C" w:rsidRPr="004A4751" w:rsidRDefault="007F060C">
      <w:pPr>
        <w:pStyle w:val="BodyA"/>
        <w:spacing w:line="360" w:lineRule="auto"/>
        <w:ind w:right="1677"/>
        <w:outlineLvl w:val="0"/>
        <w:rPr>
          <w:rFonts w:ascii="Arial" w:eastAsia="Arial" w:hAnsi="Arial" w:cs="Arial"/>
          <w:color w:val="auto"/>
        </w:rPr>
      </w:pPr>
    </w:p>
    <w:p w:rsidR="007F060C" w:rsidRPr="004A4751" w:rsidRDefault="00A40BB8">
      <w:pPr>
        <w:pStyle w:val="BodyA"/>
        <w:spacing w:line="360" w:lineRule="auto"/>
        <w:ind w:right="1677"/>
        <w:outlineLvl w:val="0"/>
        <w:rPr>
          <w:rFonts w:ascii="Arial" w:eastAsia="Arial" w:hAnsi="Arial" w:cs="Arial"/>
          <w:color w:val="auto"/>
        </w:rPr>
      </w:pPr>
      <w:r w:rsidRPr="004A4751">
        <w:rPr>
          <w:color w:val="auto"/>
        </w:rPr>
        <w:br/>
      </w:r>
    </w:p>
    <w:p w:rsidR="007F060C" w:rsidRPr="004A4751" w:rsidRDefault="007F060C">
      <w:pPr>
        <w:pStyle w:val="BodyB"/>
        <w:spacing w:line="360" w:lineRule="auto"/>
        <w:rPr>
          <w:rFonts w:ascii="Arial Unicode MS" w:eastAsia="Arial Unicode MS" w:hAnsi="Arial Unicode MS" w:cs="Arial Unicode MS"/>
          <w:color w:val="auto"/>
          <w:sz w:val="28"/>
          <w:szCs w:val="28"/>
        </w:rPr>
      </w:pPr>
    </w:p>
    <w:p w:rsidR="007F060C" w:rsidRPr="004A4751" w:rsidRDefault="007F060C">
      <w:pPr>
        <w:pStyle w:val="BodyA"/>
        <w:spacing w:line="360" w:lineRule="auto"/>
        <w:ind w:right="1677"/>
        <w:outlineLvl w:val="0"/>
        <w:rPr>
          <w:color w:val="auto"/>
        </w:rPr>
      </w:pPr>
    </w:p>
    <w:p w:rsidR="007F060C" w:rsidRPr="004A4751" w:rsidRDefault="007F060C">
      <w:pPr>
        <w:pStyle w:val="BodyA"/>
        <w:spacing w:line="360" w:lineRule="auto"/>
        <w:ind w:right="1677"/>
        <w:outlineLvl w:val="0"/>
        <w:rPr>
          <w:color w:val="auto"/>
        </w:rPr>
      </w:pPr>
    </w:p>
    <w:p w:rsidR="007F060C" w:rsidRPr="004A4751" w:rsidRDefault="007F060C">
      <w:pPr>
        <w:pStyle w:val="BodyA"/>
        <w:spacing w:line="360" w:lineRule="auto"/>
        <w:ind w:right="1677"/>
        <w:outlineLvl w:val="0"/>
        <w:rPr>
          <w:color w:val="auto"/>
        </w:rPr>
      </w:pPr>
    </w:p>
    <w:p w:rsidR="007F060C" w:rsidRPr="004A4751" w:rsidRDefault="007F060C">
      <w:pPr>
        <w:pStyle w:val="BodyA"/>
        <w:spacing w:line="360" w:lineRule="auto"/>
        <w:ind w:right="1677"/>
        <w:outlineLvl w:val="0"/>
        <w:rPr>
          <w:color w:val="auto"/>
        </w:rPr>
      </w:pPr>
    </w:p>
    <w:p w:rsidR="007F060C" w:rsidRPr="004A4751" w:rsidRDefault="007F060C">
      <w:pPr>
        <w:pStyle w:val="BodyA"/>
        <w:spacing w:line="360" w:lineRule="auto"/>
        <w:ind w:right="1677"/>
        <w:outlineLvl w:val="0"/>
        <w:rPr>
          <w:color w:val="auto"/>
        </w:rPr>
      </w:pPr>
    </w:p>
    <w:p w:rsidR="007F060C" w:rsidRPr="004A4751" w:rsidRDefault="007F060C">
      <w:pPr>
        <w:pStyle w:val="BodyA"/>
        <w:spacing w:line="360" w:lineRule="auto"/>
        <w:ind w:right="1677"/>
        <w:outlineLvl w:val="0"/>
        <w:rPr>
          <w:color w:val="auto"/>
        </w:rPr>
      </w:pPr>
    </w:p>
    <w:p w:rsidR="007F060C" w:rsidRPr="004A4751" w:rsidRDefault="007F060C">
      <w:pPr>
        <w:pStyle w:val="BodyA"/>
        <w:spacing w:line="360" w:lineRule="auto"/>
        <w:ind w:right="1677"/>
        <w:outlineLvl w:val="0"/>
        <w:rPr>
          <w:color w:val="auto"/>
        </w:rPr>
      </w:pPr>
    </w:p>
    <w:p w:rsidR="007F060C" w:rsidRPr="004A4751" w:rsidRDefault="007F060C">
      <w:pPr>
        <w:pStyle w:val="BodyA"/>
        <w:spacing w:line="360" w:lineRule="auto"/>
        <w:ind w:right="1677"/>
        <w:outlineLvl w:val="0"/>
        <w:rPr>
          <w:color w:val="auto"/>
        </w:rPr>
      </w:pPr>
    </w:p>
    <w:p w:rsidR="007F060C" w:rsidRPr="004A4751" w:rsidRDefault="007F060C">
      <w:pPr>
        <w:pStyle w:val="BodyA"/>
        <w:spacing w:line="360" w:lineRule="auto"/>
        <w:ind w:right="1677"/>
        <w:outlineLvl w:val="0"/>
        <w:rPr>
          <w:color w:val="auto"/>
        </w:rPr>
      </w:pPr>
    </w:p>
    <w:p w:rsidR="007F060C" w:rsidRPr="004A4751" w:rsidRDefault="007F060C">
      <w:pPr>
        <w:pStyle w:val="BodyA"/>
        <w:spacing w:line="360" w:lineRule="auto"/>
        <w:ind w:right="1677"/>
        <w:outlineLvl w:val="0"/>
        <w:rPr>
          <w:color w:val="auto"/>
        </w:rPr>
      </w:pPr>
    </w:p>
    <w:p w:rsidR="00FD63B9" w:rsidRPr="004A4751" w:rsidRDefault="00FD63B9">
      <w:pPr>
        <w:pStyle w:val="BodyA"/>
        <w:spacing w:line="360" w:lineRule="auto"/>
        <w:ind w:right="1677"/>
        <w:outlineLvl w:val="0"/>
        <w:rPr>
          <w:b/>
          <w:bCs/>
          <w:color w:val="auto"/>
          <w:sz w:val="24"/>
          <w:szCs w:val="24"/>
        </w:rPr>
      </w:pPr>
      <w:r w:rsidRPr="004A4751">
        <w:rPr>
          <w:rFonts w:ascii="Arial" w:hAnsi="Arial" w:cs="Arial"/>
          <w:b/>
          <w:bCs/>
          <w:color w:val="auto"/>
          <w:sz w:val="28"/>
          <w:szCs w:val="28"/>
        </w:rPr>
        <w:t>What this paper adds</w:t>
      </w:r>
      <w:r w:rsidR="00A40BB8" w:rsidRPr="004A4751">
        <w:rPr>
          <w:b/>
          <w:bCs/>
          <w:color w:val="auto"/>
          <w:sz w:val="24"/>
          <w:szCs w:val="24"/>
        </w:rPr>
        <w:t xml:space="preserve"> </w:t>
      </w:r>
    </w:p>
    <w:p w:rsidR="00FD63B9" w:rsidRPr="004A4751" w:rsidRDefault="00FD63B9">
      <w:pPr>
        <w:pStyle w:val="BodyA"/>
        <w:spacing w:line="360" w:lineRule="auto"/>
        <w:ind w:right="1677"/>
        <w:outlineLvl w:val="0"/>
        <w:rPr>
          <w:rFonts w:ascii="Arial" w:hAnsi="Arial"/>
          <w:b/>
          <w:bCs/>
          <w:color w:val="auto"/>
          <w:sz w:val="24"/>
          <w:szCs w:val="24"/>
        </w:rPr>
      </w:pPr>
      <w:r w:rsidRPr="004A4751">
        <w:rPr>
          <w:rFonts w:ascii="Arial" w:hAnsi="Arial"/>
          <w:b/>
          <w:bCs/>
          <w:color w:val="auto"/>
          <w:sz w:val="24"/>
          <w:szCs w:val="24"/>
        </w:rPr>
        <w:t>What is already know on this subject</w:t>
      </w:r>
    </w:p>
    <w:p w:rsidR="00EE4C49" w:rsidRPr="004A4751" w:rsidRDefault="00EE4C49" w:rsidP="00635F2E">
      <w:pPr>
        <w:pStyle w:val="BodyA"/>
        <w:numPr>
          <w:ilvl w:val="0"/>
          <w:numId w:val="5"/>
        </w:numPr>
        <w:spacing w:line="360" w:lineRule="auto"/>
        <w:ind w:right="1677"/>
        <w:outlineLvl w:val="0"/>
        <w:rPr>
          <w:rFonts w:ascii="Arial" w:hAnsi="Arial"/>
          <w:b/>
          <w:bCs/>
          <w:color w:val="auto"/>
          <w:sz w:val="28"/>
          <w:szCs w:val="28"/>
        </w:rPr>
      </w:pPr>
      <w:r w:rsidRPr="004A4751">
        <w:rPr>
          <w:rFonts w:ascii="Arial" w:hAnsi="Arial"/>
          <w:color w:val="auto"/>
          <w:sz w:val="24"/>
          <w:szCs w:val="24"/>
        </w:rPr>
        <w:t>After the first year of life, adolescence is the period when children and young people are most likely to die</w:t>
      </w:r>
      <w:r w:rsidR="00635F2E" w:rsidRPr="004A4751">
        <w:rPr>
          <w:rFonts w:ascii="Arial" w:hAnsi="Arial"/>
          <w:color w:val="auto"/>
          <w:sz w:val="24"/>
          <w:szCs w:val="24"/>
        </w:rPr>
        <w:t xml:space="preserve"> with the </w:t>
      </w:r>
      <w:r w:rsidRPr="004A4751">
        <w:rPr>
          <w:rFonts w:ascii="Arial" w:hAnsi="Arial"/>
          <w:color w:val="auto"/>
          <w:sz w:val="24"/>
          <w:szCs w:val="24"/>
        </w:rPr>
        <w:t xml:space="preserve"> leading causes of adolescent mortality includ</w:t>
      </w:r>
      <w:r w:rsidR="00635F2E" w:rsidRPr="004A4751">
        <w:rPr>
          <w:rFonts w:ascii="Arial" w:hAnsi="Arial"/>
          <w:color w:val="auto"/>
          <w:sz w:val="24"/>
          <w:szCs w:val="24"/>
        </w:rPr>
        <w:t>ing</w:t>
      </w:r>
      <w:r w:rsidRPr="004A4751">
        <w:rPr>
          <w:rFonts w:ascii="Arial" w:hAnsi="Arial"/>
          <w:color w:val="auto"/>
          <w:sz w:val="24"/>
          <w:szCs w:val="24"/>
        </w:rPr>
        <w:t xml:space="preserve"> risk takin</w:t>
      </w:r>
      <w:r w:rsidR="00635F2E" w:rsidRPr="004A4751">
        <w:rPr>
          <w:rFonts w:ascii="Arial" w:hAnsi="Arial"/>
          <w:color w:val="auto"/>
          <w:sz w:val="24"/>
          <w:szCs w:val="24"/>
        </w:rPr>
        <w:t xml:space="preserve">g </w:t>
      </w:r>
      <w:proofErr w:type="spellStart"/>
      <w:r w:rsidR="00635F2E" w:rsidRPr="004A4751">
        <w:rPr>
          <w:rFonts w:ascii="Arial" w:hAnsi="Arial"/>
          <w:color w:val="auto"/>
          <w:sz w:val="24"/>
          <w:szCs w:val="24"/>
        </w:rPr>
        <w:t>behaviours</w:t>
      </w:r>
      <w:proofErr w:type="spellEnd"/>
      <w:r w:rsidR="00635F2E" w:rsidRPr="004A4751">
        <w:rPr>
          <w:rFonts w:ascii="Arial" w:hAnsi="Arial"/>
          <w:color w:val="auto"/>
          <w:sz w:val="24"/>
          <w:szCs w:val="24"/>
        </w:rPr>
        <w:t xml:space="preserve"> and trauma.</w:t>
      </w:r>
    </w:p>
    <w:p w:rsidR="00635F2E" w:rsidRPr="004A4751" w:rsidRDefault="00635F2E" w:rsidP="00635F2E">
      <w:pPr>
        <w:pStyle w:val="BodyA"/>
        <w:numPr>
          <w:ilvl w:val="0"/>
          <w:numId w:val="5"/>
        </w:numPr>
        <w:spacing w:line="360" w:lineRule="auto"/>
        <w:ind w:right="1677"/>
        <w:outlineLvl w:val="0"/>
        <w:rPr>
          <w:rFonts w:ascii="Arial" w:hAnsi="Arial"/>
          <w:b/>
          <w:bCs/>
          <w:color w:val="auto"/>
          <w:sz w:val="28"/>
          <w:szCs w:val="28"/>
        </w:rPr>
      </w:pPr>
      <w:r w:rsidRPr="004A4751">
        <w:rPr>
          <w:rFonts w:ascii="Arial" w:hAnsi="Arial"/>
          <w:color w:val="auto"/>
          <w:sz w:val="24"/>
          <w:szCs w:val="24"/>
        </w:rPr>
        <w:t xml:space="preserve">There are limited epidemiological studies specific to adolescent trauma and none which have accessed the TARN database in the UK. </w:t>
      </w:r>
    </w:p>
    <w:p w:rsidR="00635F2E" w:rsidRPr="004A4751" w:rsidRDefault="00635F2E" w:rsidP="00635F2E">
      <w:pPr>
        <w:pStyle w:val="BodyA"/>
        <w:numPr>
          <w:ilvl w:val="0"/>
          <w:numId w:val="5"/>
        </w:numPr>
        <w:spacing w:line="360" w:lineRule="auto"/>
        <w:ind w:right="1677"/>
        <w:outlineLvl w:val="0"/>
        <w:rPr>
          <w:rFonts w:ascii="Arial" w:hAnsi="Arial"/>
          <w:b/>
          <w:bCs/>
          <w:color w:val="auto"/>
          <w:sz w:val="24"/>
          <w:szCs w:val="24"/>
        </w:rPr>
      </w:pPr>
      <w:r w:rsidRPr="004A4751">
        <w:rPr>
          <w:rFonts w:ascii="Arial" w:hAnsi="Arial"/>
          <w:color w:val="auto"/>
          <w:sz w:val="24"/>
          <w:szCs w:val="24"/>
        </w:rPr>
        <w:t xml:space="preserve">Epidemiology studies are required to inform the public and policy makers of current trends in adolescent trauma, allowing up to date evidence to be </w:t>
      </w:r>
      <w:proofErr w:type="spellStart"/>
      <w:r w:rsidRPr="004A4751">
        <w:rPr>
          <w:rFonts w:ascii="Arial" w:hAnsi="Arial"/>
          <w:color w:val="auto"/>
          <w:sz w:val="24"/>
          <w:szCs w:val="24"/>
        </w:rPr>
        <w:t>utilised</w:t>
      </w:r>
      <w:proofErr w:type="spellEnd"/>
      <w:r w:rsidRPr="004A4751">
        <w:rPr>
          <w:rFonts w:ascii="Arial" w:hAnsi="Arial"/>
          <w:color w:val="auto"/>
          <w:sz w:val="24"/>
          <w:szCs w:val="24"/>
        </w:rPr>
        <w:t xml:space="preserve"> to drive prevention campaigns</w:t>
      </w:r>
      <w:r w:rsidRPr="004A4751">
        <w:rPr>
          <w:rFonts w:ascii="Arial" w:hAnsi="Arial"/>
          <w:color w:val="auto"/>
        </w:rPr>
        <w:t xml:space="preserve">. </w:t>
      </w:r>
    </w:p>
    <w:p w:rsidR="00FD63B9" w:rsidRPr="004A4751" w:rsidRDefault="00FD63B9" w:rsidP="00635F2E">
      <w:pPr>
        <w:pStyle w:val="BodyA"/>
        <w:spacing w:line="360" w:lineRule="auto"/>
        <w:ind w:right="1677"/>
        <w:outlineLvl w:val="0"/>
        <w:rPr>
          <w:rFonts w:ascii="Arial" w:hAnsi="Arial"/>
          <w:b/>
          <w:bCs/>
          <w:color w:val="auto"/>
          <w:sz w:val="24"/>
          <w:szCs w:val="24"/>
        </w:rPr>
      </w:pPr>
    </w:p>
    <w:p w:rsidR="00FD63B9" w:rsidRPr="004A4751" w:rsidRDefault="00FD63B9" w:rsidP="00635F2E">
      <w:pPr>
        <w:pStyle w:val="BodyA"/>
        <w:spacing w:line="360" w:lineRule="auto"/>
        <w:ind w:right="1677"/>
        <w:outlineLvl w:val="0"/>
        <w:rPr>
          <w:rFonts w:ascii="Arial" w:hAnsi="Arial"/>
          <w:b/>
          <w:bCs/>
          <w:color w:val="auto"/>
          <w:sz w:val="24"/>
          <w:szCs w:val="24"/>
        </w:rPr>
      </w:pPr>
      <w:r w:rsidRPr="004A4751">
        <w:rPr>
          <w:rFonts w:ascii="Arial" w:hAnsi="Arial"/>
          <w:b/>
          <w:bCs/>
          <w:color w:val="auto"/>
          <w:sz w:val="24"/>
          <w:szCs w:val="24"/>
        </w:rPr>
        <w:t>What this paper adds</w:t>
      </w:r>
    </w:p>
    <w:p w:rsidR="00EE4C49" w:rsidRPr="004A4751" w:rsidRDefault="00EE4C49" w:rsidP="00635F2E">
      <w:pPr>
        <w:pStyle w:val="BodyA"/>
        <w:numPr>
          <w:ilvl w:val="0"/>
          <w:numId w:val="6"/>
        </w:numPr>
        <w:spacing w:line="360" w:lineRule="auto"/>
        <w:ind w:right="1677"/>
        <w:outlineLvl w:val="0"/>
        <w:rPr>
          <w:rFonts w:ascii="Arial" w:hAnsi="Arial"/>
          <w:b/>
          <w:bCs/>
          <w:color w:val="auto"/>
          <w:sz w:val="24"/>
          <w:szCs w:val="24"/>
        </w:rPr>
      </w:pPr>
      <w:r w:rsidRPr="004A4751">
        <w:rPr>
          <w:rFonts w:ascii="Arial" w:hAnsi="Arial"/>
          <w:color w:val="auto"/>
          <w:sz w:val="24"/>
          <w:szCs w:val="24"/>
        </w:rPr>
        <w:t>Road traffic accidents are the most common cause of trauma in adolescents</w:t>
      </w:r>
      <w:r w:rsidR="00635F2E" w:rsidRPr="004A4751">
        <w:rPr>
          <w:rFonts w:ascii="Arial" w:hAnsi="Arial"/>
          <w:color w:val="auto"/>
          <w:sz w:val="24"/>
          <w:szCs w:val="24"/>
        </w:rPr>
        <w:t>, followed by falls, blast/blows and stabbings</w:t>
      </w:r>
      <w:r w:rsidRPr="004A4751">
        <w:rPr>
          <w:rFonts w:ascii="Arial" w:hAnsi="Arial"/>
          <w:color w:val="auto"/>
          <w:sz w:val="24"/>
          <w:szCs w:val="24"/>
        </w:rPr>
        <w:t>.</w:t>
      </w:r>
    </w:p>
    <w:p w:rsidR="00EE4C49" w:rsidRPr="004A4751" w:rsidRDefault="00EE4C49" w:rsidP="00635F2E">
      <w:pPr>
        <w:pStyle w:val="BodyA"/>
        <w:numPr>
          <w:ilvl w:val="0"/>
          <w:numId w:val="6"/>
        </w:numPr>
        <w:spacing w:line="360" w:lineRule="auto"/>
        <w:ind w:right="1677"/>
        <w:outlineLvl w:val="0"/>
        <w:rPr>
          <w:rFonts w:ascii="Arial" w:eastAsia="Arial" w:hAnsi="Arial" w:cs="Arial"/>
          <w:b/>
          <w:bCs/>
          <w:i/>
          <w:iCs/>
          <w:color w:val="auto"/>
          <w:sz w:val="28"/>
          <w:szCs w:val="28"/>
        </w:rPr>
      </w:pPr>
      <w:r w:rsidRPr="004A4751">
        <w:rPr>
          <w:rFonts w:ascii="Arial" w:hAnsi="Arial"/>
          <w:color w:val="auto"/>
          <w:sz w:val="24"/>
          <w:szCs w:val="24"/>
        </w:rPr>
        <w:t>The overall proportion of trauma cases due to stabbing increased from 6.9% to 10.2% with a greater than three-fold increase in the number of reported stabbings per year.</w:t>
      </w:r>
    </w:p>
    <w:p w:rsidR="00EE4C49" w:rsidRPr="004A4751" w:rsidRDefault="00EE4C49" w:rsidP="00635F2E">
      <w:pPr>
        <w:pStyle w:val="BodyA"/>
        <w:numPr>
          <w:ilvl w:val="0"/>
          <w:numId w:val="6"/>
        </w:numPr>
        <w:spacing w:line="360" w:lineRule="auto"/>
        <w:ind w:right="1677"/>
        <w:outlineLvl w:val="0"/>
        <w:rPr>
          <w:rFonts w:ascii="Arial" w:eastAsia="Arial" w:hAnsi="Arial" w:cs="Arial"/>
          <w:b/>
          <w:bCs/>
          <w:i/>
          <w:iCs/>
          <w:color w:val="auto"/>
          <w:sz w:val="28"/>
          <w:szCs w:val="28"/>
        </w:rPr>
      </w:pPr>
      <w:r w:rsidRPr="004A4751">
        <w:rPr>
          <w:rFonts w:ascii="Arial" w:hAnsi="Arial"/>
          <w:color w:val="auto"/>
          <w:sz w:val="24"/>
          <w:szCs w:val="24"/>
        </w:rPr>
        <w:t>Evidence of alcohol or drug use was recorded at time of injury in 20.1%</w:t>
      </w:r>
      <w:r w:rsidR="009658B7" w:rsidRPr="004A4751">
        <w:rPr>
          <w:rFonts w:ascii="Arial" w:hAnsi="Arial"/>
          <w:color w:val="auto"/>
          <w:sz w:val="24"/>
          <w:szCs w:val="24"/>
        </w:rPr>
        <w:t xml:space="preserve"> of adolescent trauma cases. </w:t>
      </w:r>
    </w:p>
    <w:p w:rsidR="009658B7" w:rsidRPr="004A4751" w:rsidRDefault="009658B7" w:rsidP="009658B7">
      <w:pPr>
        <w:pStyle w:val="BodyA"/>
        <w:spacing w:line="360" w:lineRule="auto"/>
        <w:ind w:left="720" w:right="1677"/>
        <w:outlineLvl w:val="0"/>
        <w:rPr>
          <w:rFonts w:ascii="Arial" w:eastAsia="Arial" w:hAnsi="Arial" w:cs="Arial"/>
          <w:b/>
          <w:bCs/>
          <w:i/>
          <w:iCs/>
          <w:color w:val="auto"/>
          <w:sz w:val="28"/>
          <w:szCs w:val="28"/>
        </w:rPr>
      </w:pPr>
    </w:p>
    <w:p w:rsidR="00EE4C49" w:rsidRPr="004A4751" w:rsidRDefault="00EE4C49" w:rsidP="00EE4C49">
      <w:pPr>
        <w:pStyle w:val="BodyA"/>
        <w:spacing w:line="360" w:lineRule="auto"/>
        <w:ind w:right="1677"/>
        <w:outlineLvl w:val="0"/>
        <w:rPr>
          <w:rFonts w:ascii="Arial" w:eastAsia="Arial" w:hAnsi="Arial" w:cs="Arial"/>
          <w:b/>
          <w:bCs/>
          <w:i/>
          <w:iCs/>
          <w:color w:val="auto"/>
          <w:sz w:val="28"/>
          <w:szCs w:val="28"/>
        </w:rPr>
      </w:pPr>
    </w:p>
    <w:p w:rsidR="007F060C" w:rsidRPr="004A4751" w:rsidRDefault="00A40BB8" w:rsidP="00EE4C49">
      <w:pPr>
        <w:pStyle w:val="BodyA"/>
        <w:spacing w:line="360" w:lineRule="auto"/>
        <w:ind w:right="1677"/>
        <w:outlineLvl w:val="0"/>
        <w:rPr>
          <w:rFonts w:ascii="Arial" w:eastAsia="Arial" w:hAnsi="Arial" w:cs="Arial"/>
          <w:b/>
          <w:bCs/>
          <w:i/>
          <w:iCs/>
          <w:color w:val="auto"/>
          <w:sz w:val="28"/>
          <w:szCs w:val="28"/>
        </w:rPr>
      </w:pPr>
      <w:r w:rsidRPr="004A4751">
        <w:rPr>
          <w:rFonts w:ascii="Arial" w:hAnsi="Arial"/>
          <w:b/>
          <w:bCs/>
          <w:i/>
          <w:iCs/>
          <w:color w:val="auto"/>
          <w:sz w:val="28"/>
          <w:szCs w:val="28"/>
        </w:rPr>
        <w:lastRenderedPageBreak/>
        <w:t xml:space="preserve">Background </w:t>
      </w:r>
    </w:p>
    <w:p w:rsidR="007F060C" w:rsidRPr="004A4751" w:rsidRDefault="00A40BB8">
      <w:pPr>
        <w:pStyle w:val="BodyAA"/>
        <w:spacing w:line="360" w:lineRule="auto"/>
        <w:jc w:val="both"/>
        <w:rPr>
          <w:rFonts w:ascii="Arial" w:eastAsia="Arial" w:hAnsi="Arial" w:cs="Arial"/>
          <w:color w:val="auto"/>
        </w:rPr>
      </w:pPr>
      <w:r w:rsidRPr="004A4751">
        <w:rPr>
          <w:rFonts w:ascii="Arial" w:hAnsi="Arial"/>
          <w:color w:val="auto"/>
        </w:rPr>
        <w:t>After the first year of life, adolescence is the period when children and young people (CYP) are most likely to die, with almost 1300 deaths in the UK in 2014</w:t>
      </w:r>
      <w:r w:rsidRPr="004A4751">
        <w:rPr>
          <w:rFonts w:ascii="Arial" w:hAnsi="Arial"/>
          <w:color w:val="auto"/>
          <w:vertAlign w:val="superscript"/>
        </w:rPr>
        <w:t>1</w:t>
      </w:r>
      <w:r w:rsidRPr="004A4751">
        <w:rPr>
          <w:rFonts w:ascii="Arial" w:hAnsi="Arial"/>
          <w:color w:val="auto"/>
        </w:rPr>
        <w:t>. Adolescent mortality rates have decreased only minimally in the last 50 years, and to a lesser extent than most other age groups.</w:t>
      </w:r>
      <w:r w:rsidRPr="004A4751">
        <w:rPr>
          <w:rFonts w:ascii="Arial" w:hAnsi="Arial"/>
          <w:color w:val="auto"/>
          <w:vertAlign w:val="superscript"/>
        </w:rPr>
        <w:t xml:space="preserve">1 </w:t>
      </w:r>
    </w:p>
    <w:p w:rsidR="007F060C" w:rsidRPr="004A4751" w:rsidRDefault="007F060C">
      <w:pPr>
        <w:pStyle w:val="BodyAA"/>
        <w:spacing w:line="360" w:lineRule="auto"/>
        <w:jc w:val="both"/>
        <w:rPr>
          <w:rFonts w:ascii="Arial" w:eastAsia="Arial" w:hAnsi="Arial" w:cs="Arial"/>
          <w:color w:val="auto"/>
        </w:rPr>
      </w:pPr>
    </w:p>
    <w:p w:rsidR="007F060C" w:rsidRPr="004A4751" w:rsidRDefault="00A40BB8">
      <w:pPr>
        <w:pStyle w:val="BodyAA"/>
        <w:spacing w:line="360" w:lineRule="auto"/>
        <w:jc w:val="both"/>
        <w:rPr>
          <w:rFonts w:ascii="Arial" w:eastAsia="Arial" w:hAnsi="Arial" w:cs="Arial"/>
          <w:color w:val="auto"/>
        </w:rPr>
      </w:pPr>
      <w:r w:rsidRPr="004A4751">
        <w:rPr>
          <w:rFonts w:ascii="Arial" w:hAnsi="Arial"/>
          <w:color w:val="auto"/>
        </w:rPr>
        <w:t xml:space="preserve">Adolescent medicine is a unique subspecialty encompassing paediatric and adult services. With no uniform age for transition, an adolescent trauma patient may receive treatment in a paediatric, adult or mixed trauma </w:t>
      </w:r>
      <w:proofErr w:type="spellStart"/>
      <w:r w:rsidRPr="004A4751">
        <w:rPr>
          <w:rFonts w:ascii="Arial" w:hAnsi="Arial"/>
          <w:color w:val="auto"/>
        </w:rPr>
        <w:t>centre</w:t>
      </w:r>
      <w:proofErr w:type="spellEnd"/>
      <w:r w:rsidRPr="004A4751">
        <w:rPr>
          <w:rFonts w:ascii="Arial" w:hAnsi="Arial"/>
          <w:color w:val="auto"/>
        </w:rPr>
        <w:t xml:space="preserve"> depending on their age and geographical location. Age, as the sole determinant is difficult, given the lack of consistency in the definition of an adolescent. The WHO (World Health </w:t>
      </w:r>
      <w:proofErr w:type="spellStart"/>
      <w:r w:rsidRPr="004A4751">
        <w:rPr>
          <w:rFonts w:ascii="Arial" w:hAnsi="Arial"/>
          <w:color w:val="auto"/>
        </w:rPr>
        <w:t>Organisation</w:t>
      </w:r>
      <w:proofErr w:type="spellEnd"/>
      <w:r w:rsidRPr="004A4751">
        <w:rPr>
          <w:rFonts w:ascii="Arial" w:hAnsi="Arial"/>
          <w:color w:val="auto"/>
        </w:rPr>
        <w:t>) and UNICEF both define adolescent in terms of age as 10-19, with further definitions of youth being 15-24 and young people 10-24</w:t>
      </w:r>
      <w:r w:rsidRPr="004A4751">
        <w:rPr>
          <w:rFonts w:ascii="Arial" w:hAnsi="Arial"/>
          <w:color w:val="auto"/>
          <w:vertAlign w:val="superscript"/>
        </w:rPr>
        <w:t>2,3</w:t>
      </w:r>
      <w:r w:rsidRPr="004A4751">
        <w:rPr>
          <w:rFonts w:ascii="Arial" w:hAnsi="Arial"/>
          <w:color w:val="auto"/>
        </w:rPr>
        <w:t>. A recent international position paper , however, recommended the extended age range of 10 to 24 completed years in order to better acknowledge ‘</w:t>
      </w:r>
      <w:proofErr w:type="spellStart"/>
      <w:r w:rsidRPr="004A4751">
        <w:rPr>
          <w:rFonts w:ascii="Arial" w:hAnsi="Arial"/>
          <w:i/>
          <w:iCs/>
          <w:color w:val="auto"/>
        </w:rPr>
        <w:t>recognised</w:t>
      </w:r>
      <w:proofErr w:type="spellEnd"/>
      <w:r w:rsidRPr="004A4751">
        <w:rPr>
          <w:rFonts w:ascii="Arial" w:hAnsi="Arial"/>
          <w:i/>
          <w:iCs/>
          <w:color w:val="auto"/>
        </w:rPr>
        <w:t xml:space="preserve"> shifts in events of biological growth and social role transitions</w:t>
      </w:r>
      <w:r w:rsidRPr="004A4751">
        <w:rPr>
          <w:rFonts w:ascii="Arial" w:hAnsi="Arial"/>
          <w:color w:val="auto"/>
        </w:rPr>
        <w:t>’</w:t>
      </w:r>
      <w:r w:rsidRPr="004A4751">
        <w:rPr>
          <w:rFonts w:ascii="Arial" w:hAnsi="Arial"/>
          <w:color w:val="auto"/>
          <w:vertAlign w:val="superscript"/>
        </w:rPr>
        <w:t>4</w:t>
      </w:r>
      <w:r w:rsidRPr="004A4751">
        <w:rPr>
          <w:rFonts w:ascii="Arial" w:hAnsi="Arial"/>
          <w:color w:val="auto"/>
        </w:rPr>
        <w:t>.This trend for extended age is gaining traction within the UK with the RCPCH supporting this change</w:t>
      </w:r>
      <w:r w:rsidRPr="004A4751">
        <w:rPr>
          <w:rFonts w:ascii="Arial" w:hAnsi="Arial"/>
          <w:color w:val="auto"/>
          <w:vertAlign w:val="superscript"/>
        </w:rPr>
        <w:t>5</w:t>
      </w:r>
      <w:r w:rsidRPr="004A4751">
        <w:rPr>
          <w:rFonts w:ascii="Arial" w:hAnsi="Arial"/>
          <w:color w:val="auto"/>
        </w:rPr>
        <w:t>. Internationally, the US youth violence prevention strategies are targeted for the 10-24 age bracket</w:t>
      </w:r>
      <w:r w:rsidRPr="004A4751">
        <w:rPr>
          <w:rFonts w:ascii="Arial" w:hAnsi="Arial"/>
          <w:color w:val="auto"/>
          <w:vertAlign w:val="superscript"/>
        </w:rPr>
        <w:t>6</w:t>
      </w:r>
      <w:r w:rsidRPr="004A4751">
        <w:rPr>
          <w:rFonts w:ascii="Arial" w:hAnsi="Arial"/>
          <w:color w:val="auto"/>
        </w:rPr>
        <w:t xml:space="preserve">. </w:t>
      </w:r>
    </w:p>
    <w:p w:rsidR="007F060C" w:rsidRPr="004A4751" w:rsidRDefault="007F060C">
      <w:pPr>
        <w:pStyle w:val="BodyAA"/>
        <w:spacing w:line="360" w:lineRule="auto"/>
        <w:jc w:val="both"/>
        <w:rPr>
          <w:rFonts w:ascii="Arial" w:eastAsia="Arial" w:hAnsi="Arial" w:cs="Arial"/>
          <w:color w:val="auto"/>
        </w:rPr>
      </w:pPr>
    </w:p>
    <w:p w:rsidR="007F060C" w:rsidRPr="004A4751" w:rsidRDefault="00A40BB8">
      <w:pPr>
        <w:pStyle w:val="BodyAA"/>
        <w:spacing w:line="360" w:lineRule="auto"/>
        <w:jc w:val="both"/>
        <w:rPr>
          <w:rFonts w:ascii="Arial" w:eastAsia="Arial" w:hAnsi="Arial" w:cs="Arial"/>
          <w:color w:val="auto"/>
        </w:rPr>
      </w:pPr>
      <w:r w:rsidRPr="004A4751">
        <w:rPr>
          <w:rFonts w:ascii="Arial" w:hAnsi="Arial"/>
          <w:color w:val="auto"/>
        </w:rPr>
        <w:t xml:space="preserve">With growing independence, there may be reduced self-control, increased risk-taking </w:t>
      </w:r>
      <w:proofErr w:type="spellStart"/>
      <w:r w:rsidRPr="004A4751">
        <w:rPr>
          <w:rFonts w:ascii="Arial" w:hAnsi="Arial"/>
          <w:color w:val="auto"/>
        </w:rPr>
        <w:t>behaviours</w:t>
      </w:r>
      <w:proofErr w:type="spellEnd"/>
      <w:r w:rsidRPr="004A4751">
        <w:rPr>
          <w:rFonts w:ascii="Arial" w:hAnsi="Arial"/>
          <w:color w:val="auto"/>
        </w:rPr>
        <w:t xml:space="preserve"> and experimentation with alcohol and drugs. Mental illness often presents during this time with suicide among the leading causes of death in young people</w:t>
      </w:r>
      <w:r w:rsidRPr="004A4751">
        <w:rPr>
          <w:rFonts w:ascii="Arial" w:hAnsi="Arial"/>
          <w:color w:val="auto"/>
          <w:vertAlign w:val="superscript"/>
        </w:rPr>
        <w:t>1</w:t>
      </w:r>
      <w:r w:rsidRPr="004A4751">
        <w:rPr>
          <w:rFonts w:ascii="Arial" w:hAnsi="Arial"/>
          <w:color w:val="auto"/>
        </w:rPr>
        <w:t>. Adolescence is therefore a key juncture at which to intervene positively with health promotion and preventative messages and measures.</w:t>
      </w:r>
      <w:r w:rsidRPr="004A4751">
        <w:rPr>
          <w:rFonts w:ascii="Arial" w:hAnsi="Arial"/>
          <w:color w:val="auto"/>
          <w:vertAlign w:val="superscript"/>
        </w:rPr>
        <w:t>7</w:t>
      </w:r>
    </w:p>
    <w:p w:rsidR="007F060C" w:rsidRPr="004A4751" w:rsidRDefault="007F060C">
      <w:pPr>
        <w:pStyle w:val="BodyAA"/>
        <w:spacing w:line="360" w:lineRule="auto"/>
        <w:jc w:val="both"/>
        <w:rPr>
          <w:rFonts w:ascii="Arial" w:eastAsia="Arial" w:hAnsi="Arial" w:cs="Arial"/>
          <w:color w:val="auto"/>
        </w:rPr>
      </w:pPr>
    </w:p>
    <w:p w:rsidR="007F060C" w:rsidRPr="004A4751" w:rsidRDefault="00A40BB8">
      <w:pPr>
        <w:pStyle w:val="BodyAA"/>
        <w:spacing w:line="360" w:lineRule="auto"/>
        <w:jc w:val="both"/>
        <w:rPr>
          <w:rFonts w:ascii="Arial" w:eastAsia="Arial" w:hAnsi="Arial" w:cs="Arial"/>
          <w:color w:val="auto"/>
        </w:rPr>
      </w:pPr>
      <w:r w:rsidRPr="004A4751">
        <w:rPr>
          <w:rFonts w:ascii="Arial" w:hAnsi="Arial"/>
          <w:color w:val="auto"/>
        </w:rPr>
        <w:t xml:space="preserve">With very little research published on the epidemiology of adolescent trauma, there are only a handful of papers providing any resources to drive prevention campaigns and legislation. Using population datasets can help inform this work and may decrease the relatively high morbidity and mortality that remains in this age group.  </w:t>
      </w:r>
    </w:p>
    <w:p w:rsidR="007F060C" w:rsidRPr="004A4751" w:rsidRDefault="007F060C">
      <w:pPr>
        <w:pStyle w:val="BodyAA"/>
        <w:spacing w:line="360" w:lineRule="auto"/>
        <w:jc w:val="both"/>
        <w:rPr>
          <w:rFonts w:ascii="Arial" w:eastAsia="Arial" w:hAnsi="Arial" w:cs="Arial"/>
          <w:color w:val="auto"/>
        </w:rPr>
      </w:pPr>
    </w:p>
    <w:p w:rsidR="007F060C" w:rsidRPr="004A4751" w:rsidRDefault="00A40BB8">
      <w:pPr>
        <w:pStyle w:val="BodyAA"/>
        <w:spacing w:line="360" w:lineRule="auto"/>
        <w:jc w:val="both"/>
        <w:rPr>
          <w:rFonts w:ascii="Arial" w:eastAsia="Arial" w:hAnsi="Arial" w:cs="Arial"/>
          <w:color w:val="auto"/>
        </w:rPr>
      </w:pPr>
      <w:r w:rsidRPr="004A4751">
        <w:rPr>
          <w:rFonts w:ascii="Arial" w:hAnsi="Arial"/>
          <w:color w:val="auto"/>
        </w:rPr>
        <w:lastRenderedPageBreak/>
        <w:t xml:space="preserve">TARN (Trauma and Audit Research Network) is a UK based database collating trauma data from England, Wales and N. Ireland. No publication specific to the adolescent age group has been published </w:t>
      </w:r>
      <w:proofErr w:type="spellStart"/>
      <w:r w:rsidRPr="004A4751">
        <w:rPr>
          <w:rFonts w:ascii="Arial" w:hAnsi="Arial"/>
          <w:color w:val="auto"/>
        </w:rPr>
        <w:t>utilising</w:t>
      </w:r>
      <w:proofErr w:type="spellEnd"/>
      <w:r w:rsidRPr="004A4751">
        <w:rPr>
          <w:rFonts w:ascii="Arial" w:hAnsi="Arial"/>
          <w:color w:val="auto"/>
        </w:rPr>
        <w:t xml:space="preserve"> TARN data. We therefore aimed to interrogate these data to ascertain the current epidemiology of adolescent trauma in England using TARN data and explore patterns of change over a 10-year period. </w:t>
      </w:r>
    </w:p>
    <w:p w:rsidR="007F060C" w:rsidRPr="004A4751" w:rsidRDefault="007F060C">
      <w:pPr>
        <w:pStyle w:val="BodyAA"/>
        <w:spacing w:line="360" w:lineRule="auto"/>
        <w:jc w:val="both"/>
        <w:rPr>
          <w:rFonts w:ascii="Arial" w:eastAsia="Arial" w:hAnsi="Arial" w:cs="Arial"/>
          <w:b/>
          <w:bCs/>
          <w:i/>
          <w:iCs/>
          <w:color w:val="auto"/>
          <w:sz w:val="28"/>
          <w:szCs w:val="28"/>
        </w:rPr>
      </w:pPr>
    </w:p>
    <w:p w:rsidR="007F060C" w:rsidRPr="004A4751" w:rsidRDefault="00A40BB8">
      <w:pPr>
        <w:pStyle w:val="Heading2"/>
        <w:spacing w:line="360" w:lineRule="auto"/>
        <w:rPr>
          <w:rFonts w:ascii="Arial" w:eastAsia="Arial" w:hAnsi="Arial" w:cs="Arial"/>
          <w:color w:val="auto"/>
          <w:u w:color="000000"/>
        </w:rPr>
      </w:pPr>
      <w:r w:rsidRPr="004A4751">
        <w:rPr>
          <w:rFonts w:ascii="Arial" w:hAnsi="Arial"/>
          <w:color w:val="auto"/>
          <w:u w:color="000000"/>
        </w:rPr>
        <w:t xml:space="preserve"> </w:t>
      </w:r>
    </w:p>
    <w:p w:rsidR="007F060C" w:rsidRPr="004A4751" w:rsidRDefault="00A40BB8">
      <w:pPr>
        <w:pStyle w:val="Heading2"/>
        <w:spacing w:line="360" w:lineRule="auto"/>
        <w:jc w:val="both"/>
        <w:rPr>
          <w:rFonts w:ascii="Arial" w:eastAsia="Arial" w:hAnsi="Arial" w:cs="Arial"/>
          <w:b/>
          <w:bCs/>
          <w:i/>
          <w:iCs/>
          <w:color w:val="auto"/>
          <w:sz w:val="28"/>
          <w:szCs w:val="28"/>
          <w:u w:color="000000"/>
        </w:rPr>
      </w:pPr>
      <w:r w:rsidRPr="004A4751">
        <w:rPr>
          <w:rFonts w:ascii="Arial" w:hAnsi="Arial"/>
          <w:b/>
          <w:bCs/>
          <w:i/>
          <w:iCs/>
          <w:color w:val="auto"/>
          <w:sz w:val="28"/>
          <w:szCs w:val="28"/>
          <w:u w:color="000000"/>
          <w:lang w:val="en-US"/>
        </w:rPr>
        <w:t>Methods</w:t>
      </w:r>
      <w:r w:rsidRPr="004A4751">
        <w:rPr>
          <w:rFonts w:ascii="Arial" w:hAnsi="Arial"/>
          <w:b/>
          <w:bCs/>
          <w:i/>
          <w:iCs/>
          <w:color w:val="auto"/>
          <w:sz w:val="28"/>
          <w:szCs w:val="28"/>
          <w:u w:color="000000"/>
        </w:rPr>
        <w:t xml:space="preserve"> </w:t>
      </w:r>
    </w:p>
    <w:p w:rsidR="007F060C" w:rsidRPr="004A4751" w:rsidRDefault="007F060C">
      <w:pPr>
        <w:pStyle w:val="BodyB"/>
        <w:spacing w:line="360" w:lineRule="auto"/>
        <w:jc w:val="both"/>
        <w:rPr>
          <w:rFonts w:ascii="Arial" w:eastAsia="Arial" w:hAnsi="Arial" w:cs="Arial"/>
          <w:color w:val="auto"/>
        </w:rPr>
      </w:pPr>
    </w:p>
    <w:p w:rsidR="007F060C" w:rsidRPr="004A4751" w:rsidRDefault="00A40BB8">
      <w:pPr>
        <w:pStyle w:val="BodyBA"/>
        <w:spacing w:line="360" w:lineRule="auto"/>
        <w:jc w:val="both"/>
        <w:rPr>
          <w:rFonts w:ascii="Arial" w:eastAsia="Arial" w:hAnsi="Arial" w:cs="Arial"/>
          <w:color w:val="auto"/>
        </w:rPr>
      </w:pPr>
      <w:r w:rsidRPr="004A4751">
        <w:rPr>
          <w:rFonts w:ascii="Arial" w:hAnsi="Arial"/>
          <w:color w:val="auto"/>
        </w:rPr>
        <w:t>TARN data for all trauma episodes, from English sites, over a ten-year period were included in this analysis (1</w:t>
      </w:r>
      <w:r w:rsidRPr="004A4751">
        <w:rPr>
          <w:rFonts w:ascii="Arial" w:hAnsi="Arial"/>
          <w:color w:val="auto"/>
          <w:vertAlign w:val="superscript"/>
        </w:rPr>
        <w:t>st</w:t>
      </w:r>
      <w:r w:rsidRPr="004A4751">
        <w:rPr>
          <w:rFonts w:ascii="Arial" w:hAnsi="Arial"/>
          <w:color w:val="auto"/>
        </w:rPr>
        <w:t xml:space="preserve"> January 2008 to 31</w:t>
      </w:r>
      <w:r w:rsidRPr="004A4751">
        <w:rPr>
          <w:rFonts w:ascii="Arial" w:hAnsi="Arial"/>
          <w:color w:val="auto"/>
          <w:vertAlign w:val="superscript"/>
        </w:rPr>
        <w:t>st</w:t>
      </w:r>
      <w:r w:rsidRPr="004A4751">
        <w:rPr>
          <w:rFonts w:ascii="Arial" w:hAnsi="Arial"/>
          <w:color w:val="auto"/>
        </w:rPr>
        <w:t xml:space="preserve"> December 2017).  Pre-hospital deaths were excluded as these are not collected by TARN. Data is entered into TARN by the hospital research team retrospectively. For this research project, the analysis was run 17</w:t>
      </w:r>
      <w:r w:rsidRPr="004A4751">
        <w:rPr>
          <w:rFonts w:ascii="Arial" w:hAnsi="Arial"/>
          <w:color w:val="auto"/>
          <w:vertAlign w:val="superscript"/>
        </w:rPr>
        <w:t>th</w:t>
      </w:r>
      <w:r w:rsidRPr="004A4751">
        <w:rPr>
          <w:rFonts w:ascii="Arial" w:hAnsi="Arial"/>
          <w:color w:val="auto"/>
        </w:rPr>
        <w:t xml:space="preserve"> April 2019.</w:t>
      </w:r>
      <w:r w:rsidRPr="004A4751">
        <w:rPr>
          <w:color w:val="auto"/>
        </w:rPr>
        <w:t xml:space="preserve"> </w:t>
      </w:r>
      <w:r w:rsidRPr="004A4751">
        <w:rPr>
          <w:rFonts w:ascii="Arial" w:hAnsi="Arial"/>
          <w:color w:val="auto"/>
        </w:rPr>
        <w:t xml:space="preserve">Polytrauma is defined as Abbreviated Injury Scale (AIS) 3+ in more than one body area. </w:t>
      </w:r>
    </w:p>
    <w:p w:rsidR="007F060C" w:rsidRPr="004A4751" w:rsidRDefault="007F060C">
      <w:pPr>
        <w:pStyle w:val="BodyBA"/>
        <w:spacing w:line="360" w:lineRule="auto"/>
        <w:jc w:val="both"/>
        <w:rPr>
          <w:rFonts w:ascii="Arial" w:eastAsia="Arial" w:hAnsi="Arial" w:cs="Arial"/>
          <w:color w:val="auto"/>
        </w:rPr>
      </w:pPr>
    </w:p>
    <w:p w:rsidR="007F060C" w:rsidRPr="004A4751" w:rsidRDefault="00A40BB8">
      <w:pPr>
        <w:pStyle w:val="BodyBA"/>
        <w:spacing w:line="360" w:lineRule="auto"/>
        <w:jc w:val="both"/>
        <w:rPr>
          <w:rFonts w:ascii="Arial" w:eastAsia="Arial" w:hAnsi="Arial" w:cs="Arial"/>
          <w:color w:val="auto"/>
        </w:rPr>
      </w:pPr>
      <w:r w:rsidRPr="004A4751">
        <w:rPr>
          <w:rFonts w:ascii="Arial" w:hAnsi="Arial"/>
          <w:color w:val="auto"/>
        </w:rPr>
        <w:t xml:space="preserve">The TARN database includes patients of any age who sustain injury resulting in: hospital admission &gt; 3 days, intensive care admission, transfer to a tertiary/specialist </w:t>
      </w:r>
      <w:proofErr w:type="spellStart"/>
      <w:r w:rsidRPr="004A4751">
        <w:rPr>
          <w:rFonts w:ascii="Arial" w:hAnsi="Arial"/>
          <w:color w:val="auto"/>
        </w:rPr>
        <w:t>centre</w:t>
      </w:r>
      <w:proofErr w:type="spellEnd"/>
      <w:r w:rsidRPr="004A4751">
        <w:rPr>
          <w:rFonts w:ascii="Arial" w:hAnsi="Arial"/>
          <w:color w:val="auto"/>
        </w:rPr>
        <w:t xml:space="preserve"> or in-hospital death within 30 days.  A patient can meet inclusion criteria with an ISS&lt;15. </w:t>
      </w:r>
    </w:p>
    <w:p w:rsidR="007F060C" w:rsidRPr="004A4751" w:rsidRDefault="007F060C">
      <w:pPr>
        <w:pStyle w:val="BodyBA"/>
        <w:spacing w:line="360" w:lineRule="auto"/>
        <w:jc w:val="both"/>
        <w:rPr>
          <w:rFonts w:ascii="Arial" w:eastAsia="Arial" w:hAnsi="Arial" w:cs="Arial"/>
          <w:color w:val="auto"/>
        </w:rPr>
      </w:pPr>
    </w:p>
    <w:p w:rsidR="007F060C" w:rsidRPr="004A4751" w:rsidRDefault="00A40BB8">
      <w:pPr>
        <w:pStyle w:val="BodyBA"/>
        <w:spacing w:line="360" w:lineRule="auto"/>
        <w:jc w:val="both"/>
        <w:rPr>
          <w:rFonts w:ascii="Arial" w:eastAsia="Arial" w:hAnsi="Arial" w:cs="Arial"/>
          <w:color w:val="auto"/>
        </w:rPr>
      </w:pPr>
      <w:r w:rsidRPr="004A4751">
        <w:rPr>
          <w:rFonts w:ascii="Arial" w:hAnsi="Arial"/>
          <w:color w:val="auto"/>
        </w:rPr>
        <w:t xml:space="preserve">The study was limited to English sites as Wales and Northern Ireland started entering data at a later date. Scotland trauma data is captured by STAG (Scottish Trauma Audit Group) and so was not included in this analysis. </w:t>
      </w:r>
    </w:p>
    <w:p w:rsidR="007F060C" w:rsidRPr="004A4751" w:rsidRDefault="007F060C">
      <w:pPr>
        <w:pStyle w:val="BodyBA"/>
        <w:spacing w:line="360" w:lineRule="auto"/>
        <w:jc w:val="both"/>
        <w:rPr>
          <w:rFonts w:ascii="Arial" w:eastAsia="Arial" w:hAnsi="Arial" w:cs="Arial"/>
          <w:color w:val="auto"/>
        </w:rPr>
      </w:pPr>
    </w:p>
    <w:p w:rsidR="007F060C" w:rsidRPr="004A4751" w:rsidRDefault="00A40BB8">
      <w:pPr>
        <w:pStyle w:val="BodyBA"/>
        <w:spacing w:line="360" w:lineRule="auto"/>
        <w:jc w:val="both"/>
        <w:rPr>
          <w:rFonts w:ascii="Arial" w:eastAsia="Arial" w:hAnsi="Arial" w:cs="Arial"/>
          <w:color w:val="auto"/>
        </w:rPr>
      </w:pPr>
      <w:r w:rsidRPr="004A4751">
        <w:rPr>
          <w:rFonts w:ascii="Arial" w:hAnsi="Arial"/>
          <w:color w:val="auto"/>
        </w:rPr>
        <w:t>Adolescence was defined as 10-24.99 years and this was the age range of patient included in the analysis.  The cohort was sub-</w:t>
      </w:r>
      <w:proofErr w:type="spellStart"/>
      <w:r w:rsidRPr="004A4751">
        <w:rPr>
          <w:rFonts w:ascii="Arial" w:hAnsi="Arial"/>
          <w:color w:val="auto"/>
        </w:rPr>
        <w:t>categorised</w:t>
      </w:r>
      <w:proofErr w:type="spellEnd"/>
      <w:r w:rsidRPr="004A4751">
        <w:rPr>
          <w:rFonts w:ascii="Arial" w:hAnsi="Arial"/>
          <w:color w:val="auto"/>
        </w:rPr>
        <w:t xml:space="preserve"> for analysis into 10-15 years and 16-24 years to reflect the current model of care in the UK; the younger cohort are usually managed in paediatric services, and the older cohort in adult services. </w:t>
      </w:r>
    </w:p>
    <w:p w:rsidR="007F060C" w:rsidRPr="004A4751" w:rsidRDefault="007F060C">
      <w:pPr>
        <w:pStyle w:val="BodyBA"/>
        <w:spacing w:line="360" w:lineRule="auto"/>
        <w:jc w:val="both"/>
        <w:rPr>
          <w:rFonts w:ascii="Arial" w:eastAsia="Arial" w:hAnsi="Arial" w:cs="Arial"/>
          <w:color w:val="auto"/>
        </w:rPr>
      </w:pPr>
    </w:p>
    <w:p w:rsidR="007F060C" w:rsidRPr="004A4751" w:rsidRDefault="00A40BB8">
      <w:pPr>
        <w:pStyle w:val="BodyBA"/>
        <w:spacing w:line="360" w:lineRule="auto"/>
        <w:jc w:val="both"/>
        <w:rPr>
          <w:rFonts w:ascii="Arial" w:eastAsia="Arial" w:hAnsi="Arial" w:cs="Arial"/>
          <w:color w:val="auto"/>
        </w:rPr>
      </w:pPr>
      <w:r w:rsidRPr="004A4751">
        <w:rPr>
          <w:rFonts w:ascii="Arial" w:hAnsi="Arial"/>
          <w:color w:val="auto"/>
        </w:rPr>
        <w:lastRenderedPageBreak/>
        <w:t xml:space="preserve">Abstracted data included age, gender, mechanism of injury (MOI), timing of injury, type of </w:t>
      </w:r>
      <w:proofErr w:type="spellStart"/>
      <w:r w:rsidRPr="004A4751">
        <w:rPr>
          <w:rFonts w:ascii="Arial" w:hAnsi="Arial"/>
          <w:color w:val="auto"/>
        </w:rPr>
        <w:t>centre</w:t>
      </w:r>
      <w:proofErr w:type="spellEnd"/>
      <w:r w:rsidRPr="004A4751">
        <w:rPr>
          <w:rFonts w:ascii="Arial" w:hAnsi="Arial"/>
          <w:color w:val="auto"/>
        </w:rPr>
        <w:t xml:space="preserve"> (Trauma Unit [TU] or level 2 trauma </w:t>
      </w:r>
      <w:proofErr w:type="spellStart"/>
      <w:r w:rsidRPr="004A4751">
        <w:rPr>
          <w:rFonts w:ascii="Arial" w:hAnsi="Arial"/>
          <w:color w:val="auto"/>
        </w:rPr>
        <w:t>centre</w:t>
      </w:r>
      <w:proofErr w:type="spellEnd"/>
      <w:r w:rsidRPr="004A4751">
        <w:rPr>
          <w:rFonts w:ascii="Arial" w:hAnsi="Arial"/>
          <w:color w:val="auto"/>
        </w:rPr>
        <w:t xml:space="preserve">  vs Major Trauma Centre [MTC]or level 1 trauma </w:t>
      </w:r>
      <w:proofErr w:type="spellStart"/>
      <w:r w:rsidRPr="004A4751">
        <w:rPr>
          <w:rFonts w:ascii="Arial" w:hAnsi="Arial"/>
          <w:color w:val="auto"/>
        </w:rPr>
        <w:t>centre</w:t>
      </w:r>
      <w:proofErr w:type="spellEnd"/>
      <w:r w:rsidRPr="004A4751">
        <w:rPr>
          <w:rFonts w:ascii="Arial" w:hAnsi="Arial"/>
          <w:color w:val="auto"/>
        </w:rPr>
        <w:t xml:space="preserve">), injury severity score (ISS), number of operations, length of stay (LOS), mortality and total number of cases per calendar year. To account for the increasing hospital membership of TARN over the study period, trauma cases per hospital per year was </w:t>
      </w:r>
      <w:proofErr w:type="spellStart"/>
      <w:r w:rsidRPr="004A4751">
        <w:rPr>
          <w:rFonts w:ascii="Arial" w:hAnsi="Arial"/>
          <w:color w:val="auto"/>
        </w:rPr>
        <w:t>utilised</w:t>
      </w:r>
      <w:proofErr w:type="spellEnd"/>
      <w:r w:rsidRPr="004A4751">
        <w:rPr>
          <w:rFonts w:ascii="Arial" w:hAnsi="Arial"/>
          <w:color w:val="auto"/>
        </w:rPr>
        <w:t>. Concurrent Hospital Episode Statistics (HES) data was also interrogated to identify hospitals whose data submission was consistent and in keeping with that expected for their population. These hospitals were defined as ‘consistent submitters’ and 34 were included for this analysis</w:t>
      </w:r>
      <w:r w:rsidRPr="004A4751">
        <w:rPr>
          <w:rFonts w:ascii="Arial" w:hAnsi="Arial"/>
          <w:color w:val="auto"/>
          <w:vertAlign w:val="superscript"/>
        </w:rPr>
        <w:t>8</w:t>
      </w:r>
      <w:r w:rsidRPr="004A4751">
        <w:rPr>
          <w:rFonts w:ascii="Arial" w:hAnsi="Arial"/>
          <w:color w:val="auto"/>
        </w:rPr>
        <w:t xml:space="preserve">. </w:t>
      </w:r>
    </w:p>
    <w:p w:rsidR="007F060C" w:rsidRPr="004A4751" w:rsidRDefault="00A40BB8">
      <w:pPr>
        <w:pStyle w:val="BodyBA"/>
        <w:spacing w:line="360" w:lineRule="auto"/>
        <w:jc w:val="both"/>
        <w:rPr>
          <w:color w:val="auto"/>
        </w:rPr>
      </w:pPr>
      <w:r w:rsidRPr="004A4751">
        <w:rPr>
          <w:color w:val="auto"/>
        </w:rPr>
        <w:t xml:space="preserve">. </w:t>
      </w:r>
    </w:p>
    <w:p w:rsidR="007F060C" w:rsidRPr="004A4751" w:rsidRDefault="00A40BB8">
      <w:pPr>
        <w:pStyle w:val="BodyB"/>
        <w:spacing w:line="360" w:lineRule="auto"/>
        <w:jc w:val="both"/>
        <w:rPr>
          <w:rFonts w:ascii="Arial" w:eastAsia="Arial" w:hAnsi="Arial" w:cs="Arial"/>
          <w:color w:val="auto"/>
        </w:rPr>
      </w:pPr>
      <w:r w:rsidRPr="004A4751">
        <w:rPr>
          <w:rFonts w:ascii="Arial" w:hAnsi="Arial"/>
          <w:color w:val="auto"/>
        </w:rPr>
        <w:t xml:space="preserve">Continuous variables are displayed as median and interquartile range whereas categorical variables as number and percentage.  Linear regression was used to </w:t>
      </w:r>
      <w:proofErr w:type="spellStart"/>
      <w:r w:rsidRPr="004A4751">
        <w:rPr>
          <w:rFonts w:ascii="Arial" w:hAnsi="Arial"/>
          <w:color w:val="auto"/>
        </w:rPr>
        <w:t>analyse</w:t>
      </w:r>
      <w:proofErr w:type="spellEnd"/>
      <w:r w:rsidRPr="004A4751">
        <w:rPr>
          <w:rFonts w:ascii="Arial" w:hAnsi="Arial"/>
          <w:color w:val="auto"/>
        </w:rPr>
        <w:t xml:space="preserve"> change in trauma cases over time. Pearson’s </w:t>
      </w:r>
      <w:r w:rsidRPr="004A4751">
        <w:rPr>
          <w:rFonts w:ascii="Symbol" w:hAnsi="Symbol"/>
          <w:color w:val="auto"/>
        </w:rPr>
        <w:t></w:t>
      </w:r>
      <w:r w:rsidRPr="004A4751">
        <w:rPr>
          <w:rFonts w:ascii="Arial" w:hAnsi="Arial"/>
          <w:i/>
          <w:iCs/>
          <w:color w:val="auto"/>
          <w:vertAlign w:val="superscript"/>
        </w:rPr>
        <w:t>2</w:t>
      </w:r>
      <w:r w:rsidRPr="004A4751">
        <w:rPr>
          <w:rFonts w:ascii="Arial" w:hAnsi="Arial"/>
          <w:color w:val="auto"/>
        </w:rPr>
        <w:t xml:space="preserve"> test to compare proportions was used for categorical variables, a chi square test goodness of fit for uniform distribution, </w:t>
      </w:r>
      <w:proofErr w:type="spellStart"/>
      <w:r w:rsidRPr="004A4751">
        <w:rPr>
          <w:rFonts w:ascii="Arial" w:hAnsi="Arial"/>
          <w:color w:val="auto"/>
        </w:rPr>
        <w:t>Bonett</w:t>
      </w:r>
      <w:proofErr w:type="spellEnd"/>
      <w:r w:rsidRPr="004A4751">
        <w:rPr>
          <w:rFonts w:ascii="Arial" w:hAnsi="Arial"/>
          <w:color w:val="auto"/>
        </w:rPr>
        <w:t>-Price test to compare 2 medians</w:t>
      </w:r>
      <w:r w:rsidRPr="004A4751">
        <w:rPr>
          <w:rFonts w:ascii="Arial" w:hAnsi="Arial"/>
          <w:color w:val="auto"/>
          <w:vertAlign w:val="superscript"/>
        </w:rPr>
        <w:t xml:space="preserve">9 </w:t>
      </w:r>
      <w:r w:rsidRPr="004A4751">
        <w:rPr>
          <w:rFonts w:ascii="Arial" w:hAnsi="Arial"/>
          <w:color w:val="auto"/>
        </w:rPr>
        <w:t xml:space="preserve">for non-normally distributed data, and Kruskal-Wallis test for comparing 3 or more medians for continuous variables.  The threshold for statistical significance was set at a p-value &lt; 0.05. Data were </w:t>
      </w:r>
      <w:proofErr w:type="spellStart"/>
      <w:r w:rsidRPr="004A4751">
        <w:rPr>
          <w:rFonts w:ascii="Arial" w:hAnsi="Arial"/>
          <w:color w:val="auto"/>
        </w:rPr>
        <w:t>analysed</w:t>
      </w:r>
      <w:proofErr w:type="spellEnd"/>
      <w:r w:rsidRPr="004A4751">
        <w:rPr>
          <w:rFonts w:ascii="Arial" w:hAnsi="Arial"/>
          <w:color w:val="auto"/>
        </w:rPr>
        <w:t xml:space="preserve"> using the Stata V.14.2 (Stator). Stata Statistical Software: Release 14.2. College Station).</w:t>
      </w:r>
    </w:p>
    <w:p w:rsidR="007F060C" w:rsidRPr="004A4751" w:rsidRDefault="00A40BB8" w:rsidP="00FD63B9">
      <w:pPr>
        <w:pStyle w:val="Heading3"/>
        <w:spacing w:line="360" w:lineRule="auto"/>
        <w:jc w:val="both"/>
        <w:rPr>
          <w:rFonts w:ascii="Arial" w:eastAsia="Arial" w:hAnsi="Arial" w:cs="Arial"/>
          <w:color w:val="auto"/>
          <w:u w:color="000000"/>
        </w:rPr>
      </w:pPr>
      <w:r w:rsidRPr="004A4751">
        <w:rPr>
          <w:rFonts w:ascii="Arial" w:hAnsi="Arial"/>
          <w:color w:val="auto"/>
          <w:u w:color="000000"/>
        </w:rPr>
        <w:t>Subgroup analysis was performed on two specific variables; evidence of substance misuse and previous psychiatric history. Both are known risk factors for adolescent morbidity and mortality but their role in adolescent trauma is unclear. Outcomes (ISS, LOS, mortality) were compared for those with evidence of substance misuse and previous psychiatric history and those without.</w:t>
      </w:r>
    </w:p>
    <w:p w:rsidR="007F060C" w:rsidRPr="004A4751" w:rsidRDefault="007F060C" w:rsidP="00FD63B9">
      <w:pPr>
        <w:pStyle w:val="Heading2"/>
        <w:spacing w:line="360" w:lineRule="auto"/>
        <w:jc w:val="both"/>
        <w:rPr>
          <w:rFonts w:ascii="Arial" w:eastAsia="Arial" w:hAnsi="Arial" w:cs="Arial"/>
          <w:color w:val="auto"/>
          <w:sz w:val="24"/>
          <w:szCs w:val="24"/>
          <w:u w:color="000000"/>
        </w:rPr>
      </w:pPr>
    </w:p>
    <w:p w:rsidR="007F060C" w:rsidRPr="004A4751" w:rsidRDefault="00A40BB8" w:rsidP="00FD63B9">
      <w:pPr>
        <w:pStyle w:val="BodyB"/>
        <w:spacing w:line="360" w:lineRule="auto"/>
        <w:jc w:val="both"/>
        <w:rPr>
          <w:rFonts w:ascii="Arial" w:eastAsia="Arial" w:hAnsi="Arial" w:cs="Arial"/>
          <w:color w:val="auto"/>
        </w:rPr>
      </w:pPr>
      <w:r w:rsidRPr="004A4751">
        <w:rPr>
          <w:rFonts w:ascii="Arial" w:hAnsi="Arial"/>
          <w:color w:val="auto"/>
        </w:rPr>
        <w:t xml:space="preserve">TARN has ethical approval (PIAG section 60) for research on the </w:t>
      </w:r>
      <w:proofErr w:type="spellStart"/>
      <w:r w:rsidRPr="004A4751">
        <w:rPr>
          <w:rFonts w:ascii="Arial" w:hAnsi="Arial"/>
          <w:color w:val="auto"/>
        </w:rPr>
        <w:t>anonymised</w:t>
      </w:r>
      <w:proofErr w:type="spellEnd"/>
      <w:r w:rsidRPr="004A4751">
        <w:rPr>
          <w:rFonts w:ascii="Arial" w:hAnsi="Arial"/>
          <w:color w:val="auto"/>
        </w:rPr>
        <w:t xml:space="preserve"> data that are stored securely on the University of Manchester server.</w:t>
      </w:r>
    </w:p>
    <w:p w:rsidR="00FD63B9" w:rsidRPr="004A4751" w:rsidRDefault="00FD63B9" w:rsidP="00FD63B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shd w:val="clear" w:color="auto" w:fill="FFFFFF"/>
          <w:lang w:val="en-GB" w:eastAsia="en-GB"/>
        </w:rPr>
      </w:pPr>
    </w:p>
    <w:p w:rsidR="00FD63B9" w:rsidRPr="004A4751" w:rsidRDefault="00FD63B9" w:rsidP="00FD63B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bdr w:val="none" w:sz="0" w:space="0" w:color="auto"/>
          <w:lang w:val="en-GB" w:eastAsia="en-GB"/>
        </w:rPr>
      </w:pPr>
      <w:r w:rsidRPr="004A4751">
        <w:rPr>
          <w:rFonts w:ascii="Arial" w:eastAsia="Times New Roman" w:hAnsi="Arial" w:cs="Arial"/>
          <w:b/>
          <w:bCs/>
          <w:bdr w:val="none" w:sz="0" w:space="0" w:color="auto"/>
          <w:shd w:val="clear" w:color="auto" w:fill="FFFFFF"/>
          <w:lang w:val="en-GB" w:eastAsia="en-GB"/>
        </w:rPr>
        <w:t>Patient and Public Involvement</w:t>
      </w:r>
    </w:p>
    <w:p w:rsidR="007F060C" w:rsidRPr="004A4751" w:rsidRDefault="00FD63B9" w:rsidP="00FD63B9">
      <w:pPr>
        <w:pStyle w:val="Heading2"/>
        <w:spacing w:line="276" w:lineRule="auto"/>
        <w:rPr>
          <w:rFonts w:ascii="Arial" w:eastAsia="Arial" w:hAnsi="Arial" w:cs="Arial"/>
          <w:b/>
          <w:bCs/>
          <w:i/>
          <w:iCs/>
          <w:color w:val="auto"/>
          <w:sz w:val="28"/>
          <w:szCs w:val="28"/>
          <w:u w:color="000000"/>
        </w:rPr>
      </w:pPr>
      <w:r w:rsidRPr="004A4751">
        <w:rPr>
          <w:rFonts w:ascii="Arial Unicode MS" w:hAnsi="Arial Unicode MS"/>
          <w:color w:val="auto"/>
          <w:sz w:val="24"/>
          <w:szCs w:val="24"/>
          <w:u w:color="000000"/>
        </w:rPr>
        <w:lastRenderedPageBreak/>
        <w:t xml:space="preserve">Retrospective data from the TARN database was used in this study, limiting the role of patient and public involvement in design, recruitment and conduct of this study. The research team plan to share the results with the relevant patient and public groups </w:t>
      </w:r>
      <w:r w:rsidR="0018310F" w:rsidRPr="004A4751">
        <w:rPr>
          <w:rFonts w:ascii="Arial Unicode MS" w:hAnsi="Arial Unicode MS"/>
          <w:color w:val="auto"/>
          <w:sz w:val="24"/>
          <w:szCs w:val="24"/>
          <w:u w:color="000000"/>
        </w:rPr>
        <w:t xml:space="preserve">to </w:t>
      </w:r>
      <w:r w:rsidRPr="004A4751">
        <w:rPr>
          <w:rFonts w:ascii="Arial Unicode MS" w:hAnsi="Arial Unicode MS"/>
          <w:color w:val="auto"/>
          <w:sz w:val="24"/>
          <w:szCs w:val="24"/>
          <w:u w:color="000000"/>
        </w:rPr>
        <w:t xml:space="preserve">inform prevention campaigns and education. </w:t>
      </w:r>
    </w:p>
    <w:p w:rsidR="007F060C" w:rsidRPr="004A4751" w:rsidRDefault="007F060C">
      <w:pPr>
        <w:pStyle w:val="BodyB"/>
        <w:rPr>
          <w:color w:val="auto"/>
        </w:rPr>
      </w:pPr>
    </w:p>
    <w:p w:rsidR="007F060C" w:rsidRPr="004A4751" w:rsidRDefault="007F060C">
      <w:pPr>
        <w:pStyle w:val="BodyB"/>
        <w:rPr>
          <w:color w:val="auto"/>
        </w:rPr>
      </w:pPr>
    </w:p>
    <w:p w:rsidR="007F060C" w:rsidRPr="004A4751" w:rsidRDefault="00A40BB8">
      <w:pPr>
        <w:pStyle w:val="Heading2"/>
        <w:spacing w:line="360" w:lineRule="auto"/>
        <w:jc w:val="both"/>
        <w:rPr>
          <w:rFonts w:ascii="Arial" w:eastAsia="Arial" w:hAnsi="Arial" w:cs="Arial"/>
          <w:color w:val="auto"/>
          <w:sz w:val="24"/>
          <w:szCs w:val="24"/>
          <w:u w:color="000000"/>
        </w:rPr>
      </w:pPr>
      <w:r w:rsidRPr="004A4751">
        <w:rPr>
          <w:rFonts w:ascii="Arial" w:hAnsi="Arial"/>
          <w:b/>
          <w:bCs/>
          <w:i/>
          <w:iCs/>
          <w:color w:val="auto"/>
          <w:sz w:val="28"/>
          <w:szCs w:val="28"/>
          <w:u w:color="000000"/>
          <w:lang w:val="en-US"/>
        </w:rPr>
        <w:t xml:space="preserve">Results </w:t>
      </w:r>
    </w:p>
    <w:p w:rsidR="007F060C" w:rsidRPr="004A4751" w:rsidRDefault="00A40BB8">
      <w:pPr>
        <w:pStyle w:val="BodyD"/>
        <w:spacing w:line="360" w:lineRule="auto"/>
        <w:jc w:val="both"/>
        <w:rPr>
          <w:rFonts w:ascii="Arial" w:eastAsia="Arial" w:hAnsi="Arial" w:cs="Arial"/>
          <w:i/>
          <w:iCs/>
          <w:color w:val="auto"/>
        </w:rPr>
      </w:pPr>
      <w:r w:rsidRPr="004A4751">
        <w:rPr>
          <w:rFonts w:ascii="Arial" w:hAnsi="Arial"/>
          <w:i/>
          <w:iCs/>
          <w:color w:val="auto"/>
        </w:rPr>
        <w:t>Demographics</w:t>
      </w:r>
    </w:p>
    <w:p w:rsidR="007F060C" w:rsidRPr="004A4751" w:rsidRDefault="00A40BB8">
      <w:pPr>
        <w:pStyle w:val="BodyB"/>
        <w:spacing w:after="200" w:line="360" w:lineRule="auto"/>
        <w:jc w:val="both"/>
        <w:rPr>
          <w:rFonts w:ascii="Arial" w:eastAsia="Arial" w:hAnsi="Arial" w:cs="Arial"/>
          <w:color w:val="auto"/>
        </w:rPr>
      </w:pPr>
      <w:r w:rsidRPr="004A4751">
        <w:rPr>
          <w:rFonts w:ascii="Arial" w:hAnsi="Arial"/>
          <w:color w:val="auto"/>
        </w:rPr>
        <w:t>There were 40,680 trauma cases in total, 7,914 (19.5%) aged 10-15 years, and 32,766 (80.5%) aged 16-24 years (Table 1). There was a 2.6-fold increase in the total annual number of cases recorded by TARN during this time period. Over the study period, hospital TARN membership almost doubled, therefore this variation was expressed as trauma cases per hospital per year. This identified a low of 15.9 trauma cases per hospital per year in 2010 which increased to 21.52 in 2016 (Figure 1). Using linear regression an increasing trend was observed (p=0.048; Figure 1). In the consistent submitters group, a 2.3-fold increase in the total annual number of cases was noted during this time period (Appendix Figure 1).</w:t>
      </w:r>
    </w:p>
    <w:p w:rsidR="007F060C" w:rsidRPr="004A4751" w:rsidRDefault="007F060C">
      <w:pPr>
        <w:pStyle w:val="BodyD"/>
        <w:spacing w:line="360" w:lineRule="auto"/>
        <w:jc w:val="both"/>
        <w:rPr>
          <w:rFonts w:ascii="Arial" w:eastAsia="Arial" w:hAnsi="Arial" w:cs="Arial"/>
          <w:color w:val="auto"/>
        </w:rPr>
      </w:pPr>
    </w:p>
    <w:p w:rsidR="007F060C" w:rsidRPr="004A4751" w:rsidRDefault="00A40BB8">
      <w:pPr>
        <w:pStyle w:val="BodyD"/>
        <w:spacing w:line="360" w:lineRule="auto"/>
        <w:jc w:val="both"/>
        <w:rPr>
          <w:rFonts w:ascii="Arial" w:eastAsia="Arial" w:hAnsi="Arial" w:cs="Arial"/>
          <w:color w:val="auto"/>
        </w:rPr>
      </w:pPr>
      <w:r w:rsidRPr="004A4751">
        <w:rPr>
          <w:rFonts w:ascii="Arial" w:hAnsi="Arial"/>
          <w:color w:val="auto"/>
        </w:rPr>
        <w:t xml:space="preserve">The mean age for the overall study cohort was 19.2 years (SD 3.7 years). Males accounted for 78.7% (n=31,439), a pattern which was consistent when the cohort was divided into sub-groups by age (Table 1). </w:t>
      </w:r>
    </w:p>
    <w:p w:rsidR="007F060C" w:rsidRPr="004A4751" w:rsidRDefault="007F060C">
      <w:pPr>
        <w:pStyle w:val="BodyD"/>
        <w:spacing w:line="360" w:lineRule="auto"/>
        <w:rPr>
          <w:color w:val="auto"/>
        </w:rPr>
      </w:pPr>
    </w:p>
    <w:p w:rsidR="007F060C" w:rsidRPr="004A4751" w:rsidRDefault="007F060C">
      <w:pPr>
        <w:pStyle w:val="CommentText"/>
        <w:rPr>
          <w:rFonts w:ascii="Arial" w:eastAsia="Arial" w:hAnsi="Arial" w:cs="Arial"/>
          <w:b/>
          <w:bCs/>
          <w:color w:val="auto"/>
        </w:rPr>
      </w:pPr>
    </w:p>
    <w:p w:rsidR="007F060C" w:rsidRPr="004A4751" w:rsidRDefault="007F060C">
      <w:pPr>
        <w:pStyle w:val="CommentText"/>
        <w:rPr>
          <w:rFonts w:ascii="Arial" w:eastAsia="Arial" w:hAnsi="Arial" w:cs="Arial"/>
          <w:b/>
          <w:bCs/>
          <w:color w:val="auto"/>
        </w:rPr>
      </w:pPr>
    </w:p>
    <w:p w:rsidR="007F060C" w:rsidRPr="004A4751" w:rsidRDefault="007F060C">
      <w:pPr>
        <w:pStyle w:val="CommentText"/>
        <w:rPr>
          <w:rFonts w:ascii="Arial" w:eastAsia="Arial" w:hAnsi="Arial" w:cs="Arial"/>
          <w:b/>
          <w:bCs/>
          <w:color w:val="auto"/>
        </w:rPr>
      </w:pPr>
    </w:p>
    <w:p w:rsidR="007F060C" w:rsidRPr="004A4751" w:rsidRDefault="007F060C">
      <w:pPr>
        <w:pStyle w:val="CommentText"/>
        <w:rPr>
          <w:rFonts w:ascii="Arial" w:eastAsia="Arial" w:hAnsi="Arial" w:cs="Arial"/>
          <w:b/>
          <w:bCs/>
          <w:color w:val="auto"/>
        </w:rPr>
      </w:pPr>
    </w:p>
    <w:p w:rsidR="007F060C" w:rsidRPr="004A4751" w:rsidRDefault="007F060C">
      <w:pPr>
        <w:pStyle w:val="CommentText"/>
        <w:rPr>
          <w:rFonts w:ascii="Arial" w:eastAsia="Arial" w:hAnsi="Arial" w:cs="Arial"/>
          <w:b/>
          <w:bCs/>
          <w:color w:val="auto"/>
        </w:rPr>
      </w:pPr>
    </w:p>
    <w:p w:rsidR="007F060C" w:rsidRPr="004A4751" w:rsidRDefault="007F060C">
      <w:pPr>
        <w:pStyle w:val="CommentText"/>
        <w:rPr>
          <w:rFonts w:ascii="Arial" w:eastAsia="Arial" w:hAnsi="Arial" w:cs="Arial"/>
          <w:b/>
          <w:bCs/>
          <w:color w:val="auto"/>
        </w:rPr>
      </w:pPr>
    </w:p>
    <w:p w:rsidR="007F060C" w:rsidRPr="004A4751" w:rsidRDefault="007F060C">
      <w:pPr>
        <w:pStyle w:val="CommentText"/>
        <w:rPr>
          <w:rFonts w:ascii="Arial" w:eastAsia="Arial" w:hAnsi="Arial" w:cs="Arial"/>
          <w:b/>
          <w:bCs/>
          <w:color w:val="auto"/>
        </w:rPr>
      </w:pPr>
    </w:p>
    <w:p w:rsidR="007F060C" w:rsidRPr="004A4751" w:rsidRDefault="007F060C">
      <w:pPr>
        <w:pStyle w:val="CommentText"/>
        <w:rPr>
          <w:rFonts w:ascii="Arial" w:eastAsia="Arial" w:hAnsi="Arial" w:cs="Arial"/>
          <w:b/>
          <w:bCs/>
          <w:color w:val="auto"/>
        </w:rPr>
      </w:pPr>
    </w:p>
    <w:p w:rsidR="007F060C" w:rsidRPr="004A4751" w:rsidRDefault="007F060C">
      <w:pPr>
        <w:pStyle w:val="CommentText"/>
        <w:rPr>
          <w:rFonts w:ascii="Arial" w:eastAsia="Arial" w:hAnsi="Arial" w:cs="Arial"/>
          <w:b/>
          <w:bCs/>
          <w:color w:val="auto"/>
        </w:rPr>
      </w:pPr>
    </w:p>
    <w:p w:rsidR="007F060C" w:rsidRPr="004A4751" w:rsidRDefault="007F060C">
      <w:pPr>
        <w:pStyle w:val="CommentText"/>
        <w:rPr>
          <w:rFonts w:ascii="Arial" w:eastAsia="Arial" w:hAnsi="Arial" w:cs="Arial"/>
          <w:b/>
          <w:bCs/>
          <w:color w:val="auto"/>
        </w:rPr>
      </w:pPr>
    </w:p>
    <w:p w:rsidR="007F060C" w:rsidRPr="004A4751" w:rsidRDefault="007F060C">
      <w:pPr>
        <w:pStyle w:val="CommentText"/>
        <w:rPr>
          <w:rFonts w:ascii="Arial" w:eastAsia="Arial" w:hAnsi="Arial" w:cs="Arial"/>
          <w:b/>
          <w:bCs/>
          <w:color w:val="auto"/>
        </w:rPr>
      </w:pPr>
    </w:p>
    <w:p w:rsidR="007F060C" w:rsidRPr="004A4751" w:rsidRDefault="007F060C">
      <w:pPr>
        <w:pStyle w:val="CommentText"/>
        <w:rPr>
          <w:rFonts w:ascii="Arial" w:eastAsia="Arial" w:hAnsi="Arial" w:cs="Arial"/>
          <w:b/>
          <w:bCs/>
          <w:color w:val="auto"/>
        </w:rPr>
      </w:pPr>
    </w:p>
    <w:p w:rsidR="007F060C" w:rsidRPr="004A4751" w:rsidRDefault="007F060C">
      <w:pPr>
        <w:pStyle w:val="CommentText"/>
        <w:rPr>
          <w:rFonts w:ascii="Arial" w:eastAsia="Arial" w:hAnsi="Arial" w:cs="Arial"/>
          <w:b/>
          <w:bCs/>
          <w:color w:val="auto"/>
        </w:rPr>
      </w:pPr>
    </w:p>
    <w:p w:rsidR="007F060C" w:rsidRPr="004A4751" w:rsidRDefault="007F060C">
      <w:pPr>
        <w:pStyle w:val="CommentText"/>
        <w:rPr>
          <w:rFonts w:ascii="Arial" w:eastAsia="Arial" w:hAnsi="Arial" w:cs="Arial"/>
          <w:b/>
          <w:bCs/>
          <w:color w:val="auto"/>
        </w:rPr>
      </w:pPr>
    </w:p>
    <w:p w:rsidR="007F060C" w:rsidRPr="004A4751" w:rsidRDefault="007F060C">
      <w:pPr>
        <w:pStyle w:val="CommentText"/>
        <w:rPr>
          <w:rFonts w:ascii="Arial" w:eastAsia="Arial" w:hAnsi="Arial" w:cs="Arial"/>
          <w:b/>
          <w:bCs/>
          <w:color w:val="auto"/>
        </w:rPr>
      </w:pPr>
    </w:p>
    <w:p w:rsidR="007F060C" w:rsidRPr="004A4751" w:rsidRDefault="007F060C">
      <w:pPr>
        <w:pStyle w:val="CommentText"/>
        <w:rPr>
          <w:rFonts w:ascii="Arial" w:eastAsia="Arial" w:hAnsi="Arial" w:cs="Arial"/>
          <w:b/>
          <w:bCs/>
          <w:color w:val="auto"/>
        </w:rPr>
      </w:pPr>
    </w:p>
    <w:p w:rsidR="007F060C" w:rsidRPr="004A4751" w:rsidRDefault="007F060C">
      <w:pPr>
        <w:pStyle w:val="CommentText"/>
        <w:rPr>
          <w:rFonts w:ascii="Arial" w:eastAsia="Arial" w:hAnsi="Arial" w:cs="Arial"/>
          <w:b/>
          <w:bCs/>
          <w:color w:val="auto"/>
        </w:rPr>
      </w:pPr>
    </w:p>
    <w:p w:rsidR="007F060C" w:rsidRPr="004A4751" w:rsidRDefault="007F060C">
      <w:pPr>
        <w:pStyle w:val="CommentText"/>
        <w:rPr>
          <w:rFonts w:ascii="Arial" w:eastAsia="Arial" w:hAnsi="Arial" w:cs="Arial"/>
          <w:b/>
          <w:bCs/>
          <w:color w:val="auto"/>
        </w:rPr>
      </w:pPr>
    </w:p>
    <w:p w:rsidR="007F060C" w:rsidRPr="004A4751" w:rsidRDefault="007F060C">
      <w:pPr>
        <w:pStyle w:val="BodyB"/>
        <w:spacing w:after="200" w:line="276" w:lineRule="auto"/>
        <w:rPr>
          <w:rFonts w:ascii="Arial" w:eastAsia="Arial" w:hAnsi="Arial" w:cs="Arial"/>
          <w:b/>
          <w:bCs/>
          <w:color w:val="auto"/>
          <w:sz w:val="22"/>
          <w:szCs w:val="22"/>
        </w:rPr>
      </w:pPr>
    </w:p>
    <w:p w:rsidR="007F060C" w:rsidRPr="004A4751" w:rsidRDefault="00A40BB8">
      <w:pPr>
        <w:pStyle w:val="BodyB"/>
        <w:spacing w:after="200" w:line="276" w:lineRule="auto"/>
        <w:rPr>
          <w:rFonts w:ascii="Arial" w:eastAsia="Arial" w:hAnsi="Arial" w:cs="Arial"/>
          <w:b/>
          <w:bCs/>
          <w:color w:val="auto"/>
          <w:sz w:val="22"/>
          <w:szCs w:val="22"/>
        </w:rPr>
      </w:pPr>
      <w:r w:rsidRPr="004A4751">
        <w:rPr>
          <w:rFonts w:ascii="Arial" w:hAnsi="Arial"/>
          <w:b/>
          <w:bCs/>
          <w:color w:val="auto"/>
          <w:sz w:val="22"/>
          <w:szCs w:val="22"/>
        </w:rPr>
        <w:t>Table 1: Trauma cases reported to TARN, 10-24 years, England, 2008-2017, displayed by subgroup and total cohort </w:t>
      </w:r>
    </w:p>
    <w:tbl>
      <w:tblPr>
        <w:tblW w:w="9405" w:type="dxa"/>
        <w:tblInd w:w="1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45"/>
        <w:gridCol w:w="1843"/>
        <w:gridCol w:w="1876"/>
        <w:gridCol w:w="1841"/>
      </w:tblGrid>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538DD5"/>
            <w:tcMar>
              <w:top w:w="80" w:type="dxa"/>
              <w:left w:w="80" w:type="dxa"/>
              <w:bottom w:w="80" w:type="dxa"/>
              <w:right w:w="80" w:type="dxa"/>
            </w:tcMar>
            <w:vAlign w:val="bottom"/>
          </w:tcPr>
          <w:p w:rsidR="007F060C" w:rsidRPr="004A4751" w:rsidRDefault="00A40BB8">
            <w:pPr>
              <w:pStyle w:val="BodyB"/>
              <w:rPr>
                <w:color w:val="auto"/>
              </w:rPr>
            </w:pPr>
            <w:r w:rsidRPr="004A4751">
              <w:rPr>
                <w:rFonts w:ascii="Arial" w:hAnsi="Arial"/>
                <w:color w:val="auto"/>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538DD5"/>
            <w:tcMar>
              <w:top w:w="80" w:type="dxa"/>
              <w:left w:w="80" w:type="dxa"/>
              <w:bottom w:w="80" w:type="dxa"/>
              <w:right w:w="80" w:type="dxa"/>
            </w:tcMar>
            <w:vAlign w:val="bottom"/>
          </w:tcPr>
          <w:p w:rsidR="007F060C" w:rsidRPr="004A4751" w:rsidRDefault="00A40BB8">
            <w:pPr>
              <w:pStyle w:val="BodyB"/>
              <w:jc w:val="center"/>
              <w:rPr>
                <w:color w:val="auto"/>
              </w:rPr>
            </w:pPr>
            <w:r w:rsidRPr="004A4751">
              <w:rPr>
                <w:rFonts w:ascii="Arial" w:hAnsi="Arial"/>
                <w:b/>
                <w:bCs/>
                <w:color w:val="auto"/>
                <w:sz w:val="20"/>
                <w:szCs w:val="20"/>
                <w:u w:color="FFFFFF"/>
              </w:rPr>
              <w:t>10 -15</w:t>
            </w:r>
          </w:p>
        </w:tc>
        <w:tc>
          <w:tcPr>
            <w:tcW w:w="1876" w:type="dxa"/>
            <w:tcBorders>
              <w:top w:val="single" w:sz="4" w:space="0" w:color="000000"/>
              <w:left w:val="single" w:sz="4" w:space="0" w:color="000000"/>
              <w:bottom w:val="single" w:sz="4" w:space="0" w:color="000000"/>
              <w:right w:val="single" w:sz="4" w:space="0" w:color="000000"/>
            </w:tcBorders>
            <w:shd w:val="clear" w:color="auto" w:fill="538DD5"/>
            <w:tcMar>
              <w:top w:w="80" w:type="dxa"/>
              <w:left w:w="80" w:type="dxa"/>
              <w:bottom w:w="80" w:type="dxa"/>
              <w:right w:w="80" w:type="dxa"/>
            </w:tcMar>
            <w:vAlign w:val="bottom"/>
          </w:tcPr>
          <w:p w:rsidR="007F060C" w:rsidRPr="004A4751" w:rsidRDefault="00A40BB8">
            <w:pPr>
              <w:pStyle w:val="BodyB"/>
              <w:jc w:val="center"/>
              <w:rPr>
                <w:color w:val="auto"/>
              </w:rPr>
            </w:pPr>
            <w:r w:rsidRPr="004A4751">
              <w:rPr>
                <w:rFonts w:ascii="Arial" w:hAnsi="Arial"/>
                <w:b/>
                <w:bCs/>
                <w:color w:val="auto"/>
                <w:sz w:val="20"/>
                <w:szCs w:val="20"/>
                <w:u w:color="FFFFFF"/>
              </w:rPr>
              <w:t>16 - 24</w:t>
            </w:r>
          </w:p>
        </w:tc>
        <w:tc>
          <w:tcPr>
            <w:tcW w:w="1841" w:type="dxa"/>
            <w:tcBorders>
              <w:top w:val="single" w:sz="4" w:space="0" w:color="000000"/>
              <w:left w:val="single" w:sz="4" w:space="0" w:color="000000"/>
              <w:bottom w:val="single" w:sz="4" w:space="0" w:color="000000"/>
              <w:right w:val="single" w:sz="4" w:space="0" w:color="000000"/>
            </w:tcBorders>
            <w:shd w:val="clear" w:color="auto" w:fill="538DD5"/>
            <w:tcMar>
              <w:top w:w="80" w:type="dxa"/>
              <w:left w:w="80" w:type="dxa"/>
              <w:bottom w:w="80" w:type="dxa"/>
              <w:right w:w="80" w:type="dxa"/>
            </w:tcMar>
            <w:vAlign w:val="bottom"/>
          </w:tcPr>
          <w:p w:rsidR="007F060C" w:rsidRPr="004A4751" w:rsidRDefault="00A40BB8">
            <w:pPr>
              <w:pStyle w:val="BodyB"/>
              <w:jc w:val="center"/>
              <w:rPr>
                <w:color w:val="auto"/>
              </w:rPr>
            </w:pPr>
            <w:r w:rsidRPr="004A4751">
              <w:rPr>
                <w:rFonts w:ascii="Arial" w:hAnsi="Arial"/>
                <w:b/>
                <w:bCs/>
                <w:color w:val="auto"/>
                <w:sz w:val="20"/>
                <w:szCs w:val="20"/>
                <w:u w:color="FFFFFF"/>
              </w:rPr>
              <w:t>Total</w:t>
            </w:r>
          </w:p>
        </w:tc>
      </w:tr>
      <w:tr w:rsidR="004A4751" w:rsidRPr="004A4751">
        <w:trPr>
          <w:trHeight w:val="293"/>
        </w:trPr>
        <w:tc>
          <w:tcPr>
            <w:tcW w:w="3845"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vAlign w:val="bottom"/>
          </w:tcPr>
          <w:p w:rsidR="007F060C" w:rsidRPr="004A4751" w:rsidRDefault="00A40BB8">
            <w:pPr>
              <w:pStyle w:val="BodyB"/>
              <w:rPr>
                <w:color w:val="auto"/>
              </w:rPr>
            </w:pPr>
            <w:r w:rsidRPr="004A4751">
              <w:rPr>
                <w:rFonts w:ascii="Arial" w:hAnsi="Arial"/>
                <w:b/>
                <w:bCs/>
                <w:color w:val="auto"/>
                <w:sz w:val="20"/>
                <w:szCs w:val="20"/>
              </w:rPr>
              <w:t>CASES</w:t>
            </w:r>
          </w:p>
        </w:tc>
        <w:tc>
          <w:tcPr>
            <w:tcW w:w="1843"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7914</w:t>
            </w:r>
          </w:p>
        </w:tc>
        <w:tc>
          <w:tcPr>
            <w:tcW w:w="1876"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32766</w:t>
            </w:r>
          </w:p>
        </w:tc>
        <w:tc>
          <w:tcPr>
            <w:tcW w:w="1841"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40680</w:t>
            </w:r>
          </w:p>
        </w:tc>
      </w:tr>
      <w:tr w:rsidR="004A4751" w:rsidRPr="004A4751">
        <w:trPr>
          <w:trHeight w:val="29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 xml:space="preserve"> Male n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5647 (71.4%)</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25792 (78.7%)</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31439 (77.3%)</w:t>
            </w:r>
          </w:p>
        </w:tc>
      </w:tr>
      <w:tr w:rsidR="004A4751" w:rsidRPr="004A4751">
        <w:trPr>
          <w:trHeight w:val="29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Female n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2267 (28.6%)</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6974 (21.3%)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9241 (22.7%)</w:t>
            </w:r>
          </w:p>
        </w:tc>
      </w:tr>
      <w:tr w:rsidR="004A4751" w:rsidRPr="004A4751">
        <w:trPr>
          <w:trHeight w:val="490"/>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Mean age (SD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xml:space="preserve"> 13.3 (1.70)</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xml:space="preserve"> 20.7 (2.5)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xml:space="preserve"> 19.2 (3.7)</w:t>
            </w:r>
          </w:p>
        </w:tc>
      </w:tr>
      <w:tr w:rsidR="004A4751" w:rsidRPr="004A4751">
        <w:trPr>
          <w:trHeight w:val="293"/>
        </w:trPr>
        <w:tc>
          <w:tcPr>
            <w:tcW w:w="3845"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MECHANISM OF INJURY n (%)</w:t>
            </w:r>
          </w:p>
        </w:tc>
        <w:tc>
          <w:tcPr>
            <w:tcW w:w="1843"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w:t>
            </w:r>
          </w:p>
        </w:tc>
        <w:tc>
          <w:tcPr>
            <w:tcW w:w="1841"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 xml:space="preserve">RTC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3786 (47.8%)</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16663 (50.9%)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20449 (50.3%)</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 xml:space="preserve">       Driver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44 (1.2%)</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3811 (22.9%)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3855 (18.9%)</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 xml:space="preserve">       Passenger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402 (10.6%)</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2956 (17.8%)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3358 (16.5%)</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 xml:space="preserve">       Pedestrian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1558 (41.2%)</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2343 (14.1%)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3901 (19.1%)</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 xml:space="preserve">       Motorcyclist</w:t>
            </w:r>
            <w:r w:rsidRPr="004A4751">
              <w:rPr>
                <w:rFonts w:ascii="Arial" w:hAnsi="Arial"/>
                <w:b/>
                <w:bCs/>
                <w:color w:val="auto"/>
                <w:sz w:val="20"/>
                <w:szCs w:val="20"/>
                <w:vertAlign w:val="superscript"/>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412 (10.9%)</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5390 (32.4%)</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5802 (28.4%)</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 xml:space="preserve">       Cyclist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1234 (32.6%)</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1486 (8.9%)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2720 (13.3%)</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 xml:space="preserve">       Other</w:t>
            </w:r>
            <w:r w:rsidRPr="004A4751">
              <w:rPr>
                <w:rFonts w:ascii="Arial" w:hAnsi="Arial"/>
                <w:b/>
                <w:bCs/>
                <w:color w:val="auto"/>
                <w:sz w:val="20"/>
                <w:szCs w:val="20"/>
                <w:vertAlign w:val="superscript"/>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133 (3.5%)</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644 (3.9%)</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777 (3.8%)</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Fall&gt;2m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895 (11.3%)</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3798 (11.6%)</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4693 (11.5%)</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Fall&lt;2m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1775 (22.4%)</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3247 (9.9%)</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5022 (12.3%)</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Shooting</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38 (0.5%)</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411 (1.3%)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449 (1.1%)</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Stabbing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235 (3%)</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2783 (8.5%)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3018 (7.4%)</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Blast</w:t>
            </w:r>
            <w:r w:rsidRPr="004A4751">
              <w:rPr>
                <w:rFonts w:ascii="Arial" w:hAnsi="Arial"/>
                <w:b/>
                <w:bCs/>
                <w:color w:val="auto"/>
                <w:sz w:val="20"/>
                <w:szCs w:val="20"/>
                <w:vertAlign w:val="superscript"/>
              </w:rPr>
              <w:t>3</w:t>
            </w:r>
            <w:r w:rsidRPr="004A4751">
              <w:rPr>
                <w:rFonts w:ascii="Arial" w:hAnsi="Arial"/>
                <w:b/>
                <w:bCs/>
                <w:color w:val="auto"/>
                <w:sz w:val="20"/>
                <w:szCs w:val="20"/>
              </w:rPr>
              <w:t>/Blow(s)</w:t>
            </w:r>
            <w:r w:rsidRPr="004A4751">
              <w:rPr>
                <w:rFonts w:ascii="Arial" w:hAnsi="Arial"/>
                <w:b/>
                <w:bCs/>
                <w:color w:val="auto"/>
                <w:sz w:val="20"/>
                <w:szCs w:val="20"/>
                <w:vertAlign w:val="superscript"/>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741 (9.4%)</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4583 (14%)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5324 (13.1%)</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Other</w:t>
            </w:r>
            <w:r w:rsidRPr="004A4751">
              <w:rPr>
                <w:rFonts w:ascii="Arial" w:hAnsi="Arial"/>
                <w:b/>
                <w:bCs/>
                <w:color w:val="auto"/>
                <w:sz w:val="20"/>
                <w:szCs w:val="20"/>
                <w:vertAlign w:val="superscript"/>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450 (5.7%)</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1286 (3.9%)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1736 (4.3%)</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INJURY INTENT n (%)</w:t>
            </w:r>
          </w:p>
        </w:tc>
        <w:tc>
          <w:tcPr>
            <w:tcW w:w="1843"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w:t>
            </w:r>
          </w:p>
        </w:tc>
        <w:tc>
          <w:tcPr>
            <w:tcW w:w="1841"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Alleged assault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418 (5.3%)</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6569 (20.0%)</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6987 (17.2%)</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Suspected self-harm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202 (2.6%)</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1235 (3.8%)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1437 (3.51%)</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PMH PSYCH n (%)</w:t>
            </w:r>
          </w:p>
        </w:tc>
        <w:tc>
          <w:tcPr>
            <w:tcW w:w="1843"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w:t>
            </w:r>
          </w:p>
        </w:tc>
        <w:tc>
          <w:tcPr>
            <w:tcW w:w="1841"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7F060C" w:rsidRPr="004A4751" w:rsidRDefault="00A40BB8">
            <w:pPr>
              <w:pStyle w:val="BodyB"/>
              <w:rPr>
                <w:color w:val="auto"/>
              </w:rPr>
            </w:pPr>
            <w:r w:rsidRPr="004A4751">
              <w:rPr>
                <w:rFonts w:ascii="Arial" w:hAnsi="Arial"/>
                <w:b/>
                <w:bCs/>
                <w:color w:val="auto"/>
                <w:sz w:val="20"/>
                <w:szCs w:val="20"/>
              </w:rPr>
              <w:t>Yes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335 (4.2%)</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2314 (7.1%)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2649 (6.5%)</w:t>
            </w:r>
          </w:p>
        </w:tc>
      </w:tr>
      <w:tr w:rsidR="004A4751" w:rsidRPr="004A4751">
        <w:trPr>
          <w:trHeight w:val="543"/>
        </w:trPr>
        <w:tc>
          <w:tcPr>
            <w:tcW w:w="3845"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EVIDENCE OF ALCOHOL/DRUG USE n (%)</w:t>
            </w:r>
          </w:p>
        </w:tc>
        <w:tc>
          <w:tcPr>
            <w:tcW w:w="1843"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w:t>
            </w:r>
          </w:p>
        </w:tc>
        <w:tc>
          <w:tcPr>
            <w:tcW w:w="1841"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w:t>
            </w:r>
          </w:p>
        </w:tc>
      </w:tr>
      <w:tr w:rsidR="004A4751" w:rsidRPr="004A4751">
        <w:trPr>
          <w:trHeight w:val="29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lastRenderedPageBreak/>
              <w:t>Alcohol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171 (2.2%)</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6476 (19.8%)</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6647 (16.3%)</w:t>
            </w:r>
          </w:p>
        </w:tc>
      </w:tr>
      <w:tr w:rsidR="004A4751" w:rsidRPr="004A4751">
        <w:trPr>
          <w:trHeight w:val="29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Drugs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52 (0.7%)</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1497 (4.6%)</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1549 (3.8%)</w:t>
            </w:r>
          </w:p>
        </w:tc>
      </w:tr>
      <w:tr w:rsidR="004A4751" w:rsidRPr="004A4751">
        <w:trPr>
          <w:trHeight w:val="293"/>
        </w:trPr>
        <w:tc>
          <w:tcPr>
            <w:tcW w:w="3845"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INJURIES n (%)</w:t>
            </w:r>
          </w:p>
        </w:tc>
        <w:tc>
          <w:tcPr>
            <w:tcW w:w="1843"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w:t>
            </w:r>
          </w:p>
        </w:tc>
        <w:tc>
          <w:tcPr>
            <w:tcW w:w="1841"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Polytrauma</w:t>
            </w:r>
            <w:r w:rsidRPr="004A4751">
              <w:rPr>
                <w:rFonts w:ascii="Arial" w:hAnsi="Arial"/>
                <w:b/>
                <w:bCs/>
                <w:color w:val="auto"/>
                <w:sz w:val="20"/>
                <w:szCs w:val="20"/>
                <w:vertAlign w:val="superscript"/>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831 (10.5%)</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6107 (18.6%)</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6938 (17.1%)</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Isolated injury</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7083 (89.5%)</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26659 (81.4%)</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33742 (82.9%)</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OUTCOME</w:t>
            </w:r>
          </w:p>
        </w:tc>
        <w:tc>
          <w:tcPr>
            <w:tcW w:w="1843"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w:t>
            </w:r>
          </w:p>
        </w:tc>
        <w:tc>
          <w:tcPr>
            <w:tcW w:w="1841"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 </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Died n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234 (3.2%)</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1346 (4.4%)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1580 (4.1%)</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Rehab n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2237 (28.3%)</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10863 (33.2%)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13100 (32.2%)</w:t>
            </w:r>
          </w:p>
        </w:tc>
      </w:tr>
      <w:tr w:rsidR="004A4751" w:rsidRPr="004A4751">
        <w:trPr>
          <w:trHeight w:val="303"/>
        </w:trPr>
        <w:tc>
          <w:tcPr>
            <w:tcW w:w="3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rPr>
                <w:color w:val="auto"/>
              </w:rPr>
            </w:pPr>
            <w:r w:rsidRPr="004A4751">
              <w:rPr>
                <w:rFonts w:ascii="Arial" w:hAnsi="Arial"/>
                <w:b/>
                <w:bCs/>
                <w:color w:val="auto"/>
                <w:sz w:val="20"/>
                <w:szCs w:val="20"/>
              </w:rPr>
              <w:t>Median no of operations (IQR)</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 (1 - 1)</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 (1 - 2)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BodyB"/>
              <w:jc w:val="center"/>
              <w:rPr>
                <w:color w:val="auto"/>
              </w:rPr>
            </w:pPr>
            <w:r w:rsidRPr="004A4751">
              <w:rPr>
                <w:rFonts w:ascii="Arial" w:hAnsi="Arial"/>
                <w:color w:val="auto"/>
                <w:sz w:val="20"/>
                <w:szCs w:val="20"/>
              </w:rPr>
              <w:t>1 (1 - 2)</w:t>
            </w:r>
          </w:p>
        </w:tc>
      </w:tr>
    </w:tbl>
    <w:p w:rsidR="007F060C" w:rsidRPr="004A4751" w:rsidRDefault="007F060C">
      <w:pPr>
        <w:pStyle w:val="BodyB"/>
        <w:widowControl w:val="0"/>
        <w:spacing w:after="200"/>
        <w:ind w:left="6" w:hanging="6"/>
        <w:rPr>
          <w:rFonts w:ascii="Arial" w:eastAsia="Arial" w:hAnsi="Arial" w:cs="Arial"/>
          <w:b/>
          <w:bCs/>
          <w:color w:val="auto"/>
          <w:sz w:val="22"/>
          <w:szCs w:val="22"/>
        </w:rPr>
      </w:pPr>
    </w:p>
    <w:p w:rsidR="007F060C" w:rsidRPr="004A4751" w:rsidRDefault="007F060C">
      <w:pPr>
        <w:pStyle w:val="BodyB"/>
        <w:widowControl w:val="0"/>
        <w:spacing w:after="200"/>
        <w:ind w:left="220" w:hanging="220"/>
        <w:rPr>
          <w:rFonts w:ascii="Arial" w:eastAsia="Arial" w:hAnsi="Arial" w:cs="Arial"/>
          <w:b/>
          <w:bCs/>
          <w:color w:val="auto"/>
          <w:sz w:val="22"/>
          <w:szCs w:val="22"/>
        </w:rPr>
      </w:pPr>
    </w:p>
    <w:p w:rsidR="007F060C" w:rsidRPr="004A4751" w:rsidRDefault="007F060C">
      <w:pPr>
        <w:pStyle w:val="BodyB"/>
        <w:widowControl w:val="0"/>
        <w:spacing w:after="200"/>
        <w:ind w:left="112" w:hanging="112"/>
        <w:rPr>
          <w:rFonts w:ascii="Arial" w:eastAsia="Arial" w:hAnsi="Arial" w:cs="Arial"/>
          <w:b/>
          <w:bCs/>
          <w:color w:val="auto"/>
          <w:sz w:val="22"/>
          <w:szCs w:val="22"/>
        </w:rPr>
      </w:pPr>
    </w:p>
    <w:p w:rsidR="007F060C" w:rsidRPr="004A4751" w:rsidRDefault="007F060C">
      <w:pPr>
        <w:pStyle w:val="BodyB"/>
        <w:widowControl w:val="0"/>
        <w:spacing w:after="200"/>
        <w:ind w:left="4" w:hanging="4"/>
        <w:rPr>
          <w:rFonts w:ascii="Calibri" w:eastAsia="Calibri" w:hAnsi="Calibri" w:cs="Calibri"/>
          <w:b/>
          <w:bCs/>
          <w:color w:val="auto"/>
          <w:sz w:val="22"/>
          <w:szCs w:val="22"/>
        </w:rPr>
      </w:pPr>
    </w:p>
    <w:p w:rsidR="007F060C" w:rsidRPr="004A4751" w:rsidRDefault="00A40BB8">
      <w:pPr>
        <w:pStyle w:val="BodyB"/>
        <w:widowControl w:val="0"/>
        <w:spacing w:after="200"/>
        <w:ind w:left="4" w:hanging="4"/>
        <w:rPr>
          <w:rFonts w:ascii="Arial" w:eastAsia="Arial" w:hAnsi="Arial" w:cs="Arial"/>
          <w:b/>
          <w:bCs/>
          <w:color w:val="auto"/>
          <w:sz w:val="22"/>
          <w:szCs w:val="22"/>
        </w:rPr>
      </w:pPr>
      <w:r w:rsidRPr="004A4751">
        <w:rPr>
          <w:rFonts w:ascii="Calibri" w:eastAsia="Calibri" w:hAnsi="Calibri" w:cs="Calibri"/>
          <w:b/>
          <w:bCs/>
          <w:color w:val="auto"/>
          <w:sz w:val="22"/>
          <w:szCs w:val="22"/>
        </w:rPr>
        <w:t xml:space="preserve"> </w:t>
      </w:r>
      <w:r w:rsidRPr="004A4751">
        <w:rPr>
          <w:rFonts w:ascii="Arial" w:hAnsi="Arial"/>
          <w:b/>
          <w:bCs/>
          <w:color w:val="auto"/>
          <w:sz w:val="22"/>
          <w:szCs w:val="22"/>
        </w:rPr>
        <w:t xml:space="preserve">All forms of motored bike </w:t>
      </w:r>
    </w:p>
    <w:p w:rsidR="007F060C" w:rsidRPr="004A4751" w:rsidRDefault="00A40BB8">
      <w:pPr>
        <w:pStyle w:val="BodyB"/>
        <w:widowControl w:val="0"/>
        <w:spacing w:after="200"/>
        <w:ind w:left="4" w:hanging="4"/>
        <w:rPr>
          <w:rFonts w:ascii="Arial" w:eastAsia="Arial" w:hAnsi="Arial" w:cs="Arial"/>
          <w:b/>
          <w:bCs/>
          <w:color w:val="auto"/>
          <w:sz w:val="22"/>
          <w:szCs w:val="22"/>
        </w:rPr>
      </w:pPr>
      <w:r w:rsidRPr="004A4751">
        <w:rPr>
          <w:rFonts w:ascii="Arial" w:hAnsi="Arial"/>
          <w:b/>
          <w:bCs/>
          <w:color w:val="auto"/>
          <w:sz w:val="22"/>
          <w:szCs w:val="22"/>
          <w:vertAlign w:val="superscript"/>
        </w:rPr>
        <w:t xml:space="preserve">2 </w:t>
      </w:r>
      <w:r w:rsidRPr="004A4751">
        <w:rPr>
          <w:rFonts w:ascii="Arial" w:hAnsi="Arial"/>
          <w:b/>
          <w:bCs/>
          <w:color w:val="auto"/>
          <w:sz w:val="22"/>
          <w:szCs w:val="22"/>
        </w:rPr>
        <w:t>Other includes pillion passengers, mass transport passengers, mobility scooter and unknown</w:t>
      </w:r>
    </w:p>
    <w:p w:rsidR="007F060C" w:rsidRPr="004A4751" w:rsidRDefault="00A40BB8">
      <w:pPr>
        <w:pStyle w:val="BodyB"/>
        <w:widowControl w:val="0"/>
        <w:spacing w:after="200"/>
        <w:ind w:left="4" w:hanging="4"/>
        <w:rPr>
          <w:rFonts w:ascii="Arial" w:eastAsia="Arial" w:hAnsi="Arial" w:cs="Arial"/>
          <w:b/>
          <w:bCs/>
          <w:color w:val="auto"/>
          <w:sz w:val="22"/>
          <w:szCs w:val="22"/>
        </w:rPr>
      </w:pPr>
      <w:r w:rsidRPr="004A4751">
        <w:rPr>
          <w:rFonts w:ascii="Arial" w:hAnsi="Arial"/>
          <w:b/>
          <w:bCs/>
          <w:color w:val="auto"/>
          <w:sz w:val="22"/>
          <w:szCs w:val="22"/>
          <w:vertAlign w:val="superscript"/>
        </w:rPr>
        <w:t>3</w:t>
      </w:r>
      <w:r w:rsidRPr="004A4751">
        <w:rPr>
          <w:rFonts w:ascii="Arial" w:hAnsi="Arial"/>
          <w:b/>
          <w:bCs/>
          <w:color w:val="auto"/>
          <w:sz w:val="22"/>
          <w:szCs w:val="22"/>
        </w:rPr>
        <w:t xml:space="preserve"> Defined as an explosion </w:t>
      </w:r>
    </w:p>
    <w:p w:rsidR="007F060C" w:rsidRPr="004A4751" w:rsidRDefault="00A40BB8">
      <w:pPr>
        <w:pStyle w:val="BodyB"/>
        <w:widowControl w:val="0"/>
        <w:spacing w:after="200"/>
        <w:ind w:left="4" w:hanging="4"/>
        <w:rPr>
          <w:rFonts w:ascii="Arial" w:eastAsia="Arial" w:hAnsi="Arial" w:cs="Arial"/>
          <w:b/>
          <w:bCs/>
          <w:color w:val="auto"/>
          <w:sz w:val="22"/>
          <w:szCs w:val="22"/>
        </w:rPr>
      </w:pPr>
      <w:r w:rsidRPr="004A4751">
        <w:rPr>
          <w:rFonts w:ascii="Arial" w:hAnsi="Arial"/>
          <w:b/>
          <w:bCs/>
          <w:color w:val="auto"/>
          <w:sz w:val="22"/>
          <w:szCs w:val="22"/>
          <w:vertAlign w:val="superscript"/>
        </w:rPr>
        <w:t>4</w:t>
      </w:r>
      <w:r w:rsidRPr="004A4751">
        <w:rPr>
          <w:rFonts w:ascii="Arial" w:hAnsi="Arial"/>
          <w:b/>
          <w:bCs/>
          <w:color w:val="auto"/>
          <w:sz w:val="22"/>
          <w:szCs w:val="22"/>
        </w:rPr>
        <w:t xml:space="preserve"> Defined as blunt contact e.g. punch/kick</w:t>
      </w:r>
    </w:p>
    <w:p w:rsidR="007F060C" w:rsidRPr="004A4751" w:rsidRDefault="00A40BB8">
      <w:pPr>
        <w:pStyle w:val="BodyB"/>
        <w:widowControl w:val="0"/>
        <w:spacing w:after="200"/>
        <w:ind w:left="4" w:hanging="4"/>
        <w:rPr>
          <w:rFonts w:ascii="Arial" w:eastAsia="Arial" w:hAnsi="Arial" w:cs="Arial"/>
          <w:b/>
          <w:bCs/>
          <w:color w:val="auto"/>
          <w:sz w:val="22"/>
          <w:szCs w:val="22"/>
        </w:rPr>
      </w:pPr>
      <w:r w:rsidRPr="004A4751">
        <w:rPr>
          <w:rFonts w:ascii="Arial" w:hAnsi="Arial"/>
          <w:b/>
          <w:bCs/>
          <w:color w:val="auto"/>
          <w:sz w:val="22"/>
          <w:szCs w:val="22"/>
          <w:vertAlign w:val="superscript"/>
        </w:rPr>
        <w:t xml:space="preserve">5 </w:t>
      </w:r>
      <w:r w:rsidRPr="004A4751">
        <w:rPr>
          <w:rFonts w:ascii="Arial" w:hAnsi="Arial"/>
          <w:b/>
          <w:bCs/>
          <w:color w:val="auto"/>
          <w:sz w:val="22"/>
          <w:szCs w:val="22"/>
        </w:rPr>
        <w:t xml:space="preserve">Other includes crush injuries, burns, asphyxia, drowning, dog bites   </w:t>
      </w:r>
    </w:p>
    <w:p w:rsidR="007F060C" w:rsidRPr="004A4751" w:rsidRDefault="00A40BB8">
      <w:pPr>
        <w:pStyle w:val="BodyB"/>
        <w:widowControl w:val="0"/>
        <w:spacing w:after="200"/>
        <w:ind w:left="4" w:hanging="4"/>
        <w:rPr>
          <w:rFonts w:ascii="Arial" w:eastAsia="Arial" w:hAnsi="Arial" w:cs="Arial"/>
          <w:b/>
          <w:bCs/>
          <w:color w:val="auto"/>
          <w:sz w:val="22"/>
          <w:szCs w:val="22"/>
        </w:rPr>
      </w:pPr>
      <w:r w:rsidRPr="004A4751">
        <w:rPr>
          <w:rFonts w:ascii="Arial" w:hAnsi="Arial"/>
          <w:b/>
          <w:bCs/>
          <w:color w:val="auto"/>
          <w:sz w:val="22"/>
          <w:szCs w:val="22"/>
          <w:vertAlign w:val="superscript"/>
        </w:rPr>
        <w:t xml:space="preserve">6 </w:t>
      </w:r>
      <w:r w:rsidRPr="004A4751">
        <w:rPr>
          <w:rFonts w:ascii="Arial" w:hAnsi="Arial"/>
          <w:b/>
          <w:bCs/>
          <w:color w:val="auto"/>
          <w:sz w:val="22"/>
          <w:szCs w:val="22"/>
        </w:rPr>
        <w:t>Defined as Abbreviated Injury Scale (AIS) 3+ injuries in &gt; 1 body area</w:t>
      </w:r>
    </w:p>
    <w:p w:rsidR="007F060C" w:rsidRPr="004A4751" w:rsidRDefault="007F060C">
      <w:pPr>
        <w:pStyle w:val="NoSpacing"/>
        <w:spacing w:line="360" w:lineRule="auto"/>
        <w:rPr>
          <w:rFonts w:ascii="Arial" w:eastAsia="Arial" w:hAnsi="Arial" w:cs="Arial"/>
          <w:color w:val="auto"/>
        </w:rPr>
      </w:pPr>
    </w:p>
    <w:p w:rsidR="007F060C" w:rsidRPr="004A4751" w:rsidRDefault="00A40BB8">
      <w:pPr>
        <w:pStyle w:val="BodyA"/>
        <w:spacing w:line="360" w:lineRule="auto"/>
        <w:rPr>
          <w:rFonts w:ascii="Arial" w:eastAsia="Arial" w:hAnsi="Arial" w:cs="Arial"/>
          <w:i/>
          <w:iCs/>
          <w:color w:val="auto"/>
          <w:sz w:val="24"/>
          <w:szCs w:val="24"/>
        </w:rPr>
      </w:pPr>
      <w:r w:rsidRPr="004A4751">
        <w:rPr>
          <w:rFonts w:ascii="Arial" w:hAnsi="Arial"/>
          <w:i/>
          <w:iCs/>
          <w:color w:val="auto"/>
          <w:sz w:val="24"/>
          <w:szCs w:val="24"/>
        </w:rPr>
        <w:t>Timing of incident</w:t>
      </w:r>
    </w:p>
    <w:p w:rsidR="007F060C" w:rsidRPr="004A4751" w:rsidRDefault="00A40BB8">
      <w:pPr>
        <w:pStyle w:val="BodyA"/>
        <w:spacing w:line="360" w:lineRule="auto"/>
        <w:jc w:val="both"/>
        <w:rPr>
          <w:rFonts w:ascii="Arial" w:eastAsia="Arial" w:hAnsi="Arial" w:cs="Arial"/>
          <w:color w:val="auto"/>
          <w:sz w:val="24"/>
          <w:szCs w:val="24"/>
        </w:rPr>
      </w:pPr>
      <w:r w:rsidRPr="004A4751">
        <w:rPr>
          <w:color w:val="auto"/>
        </w:rPr>
        <w:br/>
      </w:r>
      <w:r w:rsidRPr="004A4751">
        <w:rPr>
          <w:rFonts w:ascii="Arial" w:hAnsi="Arial"/>
          <w:color w:val="auto"/>
          <w:sz w:val="24"/>
          <w:szCs w:val="24"/>
        </w:rPr>
        <w:t xml:space="preserve"> The majority of trauma incidents occurred between 08:00 and 00:00 (76.6%) (Appendix Figure 2a). In the 10-15 year old group, 93.9% presented between 08:00 and 00:00, with only 6.1% presenting after midnight. In the 16-24 year old group, 72.5% presented between 08:00. and 00:00 and 27.5% after midnight (p&lt;0.0001). </w:t>
      </w:r>
    </w:p>
    <w:p w:rsidR="007F060C" w:rsidRPr="004A4751" w:rsidRDefault="00A40BB8">
      <w:pPr>
        <w:pStyle w:val="BodyA"/>
        <w:spacing w:line="360" w:lineRule="auto"/>
        <w:jc w:val="both"/>
        <w:rPr>
          <w:rFonts w:ascii="Arial" w:eastAsia="Arial" w:hAnsi="Arial" w:cs="Arial"/>
          <w:color w:val="auto"/>
          <w:sz w:val="24"/>
          <w:szCs w:val="24"/>
        </w:rPr>
      </w:pPr>
      <w:r w:rsidRPr="004A4751">
        <w:rPr>
          <w:rFonts w:ascii="Arial" w:hAnsi="Arial"/>
          <w:color w:val="auto"/>
          <w:sz w:val="24"/>
          <w:szCs w:val="24"/>
        </w:rPr>
        <w:t xml:space="preserve">Patients were more likely to present to ED between Friday and Sunday, with 14.8% on Friday, 19.4% on Saturday and 18.6% on Sunday. This was most marked in 16-24 than 10-15 years old (54.1% versus 47.6%, p&lt;0.0001) </w:t>
      </w:r>
      <w:r w:rsidRPr="004A4751">
        <w:rPr>
          <w:rFonts w:ascii="Arial" w:hAnsi="Arial"/>
          <w:color w:val="auto"/>
          <w:sz w:val="24"/>
          <w:szCs w:val="24"/>
        </w:rPr>
        <w:lastRenderedPageBreak/>
        <w:t>(Appendix Figure 2b). There was little variation between weekday presentations (11.5%-12.4%). Most adolescent trauma (64.5%) presented between April and October, with a peak number of cases of 9.7% in May (Appendix Figure 2c).</w:t>
      </w:r>
    </w:p>
    <w:p w:rsidR="007F060C" w:rsidRPr="004A4751" w:rsidRDefault="00A40BB8">
      <w:pPr>
        <w:pStyle w:val="BodyA"/>
        <w:spacing w:line="360" w:lineRule="auto"/>
        <w:jc w:val="both"/>
        <w:rPr>
          <w:rFonts w:ascii="Arial" w:eastAsia="Arial" w:hAnsi="Arial" w:cs="Arial"/>
          <w:color w:val="auto"/>
          <w:sz w:val="24"/>
          <w:szCs w:val="24"/>
        </w:rPr>
      </w:pPr>
      <w:r w:rsidRPr="004A4751">
        <w:rPr>
          <w:rFonts w:ascii="Arial Unicode MS" w:eastAsia="Arial Unicode MS" w:hAnsi="Arial Unicode MS" w:cs="Arial Unicode MS"/>
          <w:color w:val="auto"/>
          <w:sz w:val="24"/>
          <w:szCs w:val="24"/>
        </w:rPr>
        <w:br/>
      </w:r>
    </w:p>
    <w:p w:rsidR="007F060C" w:rsidRPr="004A4751" w:rsidRDefault="007F060C">
      <w:pPr>
        <w:pStyle w:val="BodyA"/>
        <w:spacing w:line="360" w:lineRule="auto"/>
        <w:jc w:val="both"/>
        <w:outlineLvl w:val="0"/>
        <w:rPr>
          <w:rFonts w:ascii="Arial" w:eastAsia="Arial" w:hAnsi="Arial" w:cs="Arial"/>
          <w:i/>
          <w:iCs/>
          <w:color w:val="auto"/>
          <w:sz w:val="24"/>
          <w:szCs w:val="24"/>
        </w:rPr>
      </w:pPr>
    </w:p>
    <w:p w:rsidR="007F060C" w:rsidRPr="004A4751" w:rsidRDefault="00A40BB8">
      <w:pPr>
        <w:pStyle w:val="BodyA"/>
        <w:spacing w:line="360" w:lineRule="auto"/>
        <w:jc w:val="both"/>
        <w:outlineLvl w:val="0"/>
        <w:rPr>
          <w:rFonts w:ascii="Arial" w:eastAsia="Arial" w:hAnsi="Arial" w:cs="Arial"/>
          <w:i/>
          <w:iCs/>
          <w:color w:val="auto"/>
          <w:sz w:val="24"/>
          <w:szCs w:val="24"/>
        </w:rPr>
      </w:pPr>
      <w:r w:rsidRPr="004A4751">
        <w:rPr>
          <w:rFonts w:ascii="Arial" w:hAnsi="Arial"/>
          <w:i/>
          <w:iCs/>
          <w:color w:val="auto"/>
          <w:sz w:val="24"/>
          <w:szCs w:val="24"/>
        </w:rPr>
        <w:t xml:space="preserve">Mechanism of Injury </w:t>
      </w:r>
    </w:p>
    <w:p w:rsidR="007F060C" w:rsidRPr="004A4751" w:rsidRDefault="00A40BB8">
      <w:pPr>
        <w:pStyle w:val="BodyA"/>
        <w:spacing w:line="360" w:lineRule="auto"/>
        <w:jc w:val="both"/>
        <w:rPr>
          <w:rFonts w:ascii="Arial" w:eastAsia="Arial" w:hAnsi="Arial" w:cs="Arial"/>
          <w:color w:val="auto"/>
          <w:sz w:val="24"/>
          <w:szCs w:val="24"/>
        </w:rPr>
      </w:pPr>
      <w:r w:rsidRPr="004A4751">
        <w:rPr>
          <w:rFonts w:ascii="Arial" w:hAnsi="Arial"/>
          <w:color w:val="auto"/>
          <w:sz w:val="24"/>
          <w:szCs w:val="24"/>
        </w:rPr>
        <w:t xml:space="preserve">Results regarding mechanism of injury (MOI) are displayed in Table 1 and Table 2.  Involvement in a road traffic collision (RTC) was the most prevalent MOI overall (50.3%) and in both subgroups (47.8% of 10-15 years old and 50.9% of 16-24 years old, p&lt;0.0001). On further analysis of RTC involvement by position in vehicle, differences emerged between the subgroups. In the 10-15-year group, pedestrians (41.2%) and cyclists (32.6%) predominated. In contrast, drivers (22.9%), motorcyclists (32.4%) and passengers (17.8%) were more prevalent in the 16-24-year group.  Of note, 1.2% (n=44) of 10-15-year group were drivers. </w:t>
      </w:r>
    </w:p>
    <w:p w:rsidR="007F060C" w:rsidRPr="004A4751" w:rsidRDefault="00A40BB8">
      <w:pPr>
        <w:pStyle w:val="BodyD"/>
        <w:spacing w:line="360" w:lineRule="auto"/>
        <w:jc w:val="both"/>
        <w:rPr>
          <w:rFonts w:ascii="Arial" w:eastAsia="Arial" w:hAnsi="Arial" w:cs="Arial"/>
          <w:color w:val="auto"/>
          <w:shd w:val="clear" w:color="auto" w:fill="FFFFFF"/>
        </w:rPr>
      </w:pPr>
      <w:r w:rsidRPr="004A4751">
        <w:rPr>
          <w:rFonts w:ascii="Arial" w:hAnsi="Arial"/>
          <w:color w:val="auto"/>
        </w:rPr>
        <w:t>Intentional injury was reported in 20.7% (n= 8,424), with 17.2% reporting alleged assault and 3.5% suspected self-harm. Both alleged assault and suspected self-harm were more prevalent in the 16-24 year group compared with the 10-15-years old (</w:t>
      </w:r>
      <w:r w:rsidRPr="004A4751">
        <w:rPr>
          <w:rFonts w:ascii="Arial" w:hAnsi="Arial"/>
          <w:color w:val="auto"/>
          <w:shd w:val="clear" w:color="auto" w:fill="FFFFFF"/>
        </w:rPr>
        <w:t>20.0% v 5.3%; p&lt;0.0001 for assault and 3.8% v 2.6%; p&lt;0.0001 for self-harm).</w:t>
      </w:r>
    </w:p>
    <w:p w:rsidR="007F060C" w:rsidRPr="004A4751" w:rsidRDefault="007F060C">
      <w:pPr>
        <w:pStyle w:val="BodyD"/>
        <w:rPr>
          <w:color w:val="auto"/>
          <w:shd w:val="clear" w:color="auto" w:fill="FFFFFF"/>
        </w:rPr>
      </w:pPr>
    </w:p>
    <w:p w:rsidR="007F060C" w:rsidRPr="004A4751" w:rsidRDefault="00A40BB8">
      <w:pPr>
        <w:pStyle w:val="NoSpacing"/>
        <w:spacing w:line="360" w:lineRule="auto"/>
        <w:jc w:val="both"/>
        <w:rPr>
          <w:rFonts w:ascii="Arial" w:eastAsia="Arial" w:hAnsi="Arial" w:cs="Arial"/>
          <w:color w:val="auto"/>
          <w:sz w:val="24"/>
          <w:szCs w:val="24"/>
        </w:rPr>
      </w:pPr>
      <w:r w:rsidRPr="004A4751">
        <w:rPr>
          <w:rFonts w:ascii="Arial" w:hAnsi="Arial"/>
          <w:color w:val="auto"/>
          <w:sz w:val="24"/>
          <w:szCs w:val="24"/>
        </w:rPr>
        <w:t xml:space="preserve">The overall proportion of trauma cases due to stabbing increased from 6.9% to 10.2% (2008 vs 2017; p&lt;0.0001) with greater than three-fold increase in the number of reported stabbings per year (n=140 in 2008 vs n=544 in 2017; p&lt;0.0001; Table 2, Figure 2). There was an increase in number of reported shootings although a decrease in overall proportion of trauma cases (1.4% (n=29) in 2008, 1.0% (n=56) in 2017; Table 2, Figure 2). Both stabbings and shootings were more prevalent in 16-24 years old compared with 10-15 years old (8.5% vs 3.0%; p&lt;0.0001 and 1.3% vs 0.5%; p&lt;0.0001 Table 1). </w:t>
      </w:r>
    </w:p>
    <w:p w:rsidR="007F060C" w:rsidRPr="004A4751" w:rsidRDefault="007F060C">
      <w:pPr>
        <w:pStyle w:val="NoSpacing"/>
        <w:spacing w:line="360" w:lineRule="auto"/>
        <w:jc w:val="both"/>
        <w:rPr>
          <w:rFonts w:ascii="Arial" w:eastAsia="Arial" w:hAnsi="Arial" w:cs="Arial"/>
          <w:color w:val="auto"/>
          <w:sz w:val="24"/>
          <w:szCs w:val="24"/>
        </w:rPr>
      </w:pPr>
    </w:p>
    <w:p w:rsidR="007F060C" w:rsidRPr="004A4751" w:rsidRDefault="007F060C">
      <w:pPr>
        <w:pStyle w:val="BodyB"/>
        <w:spacing w:after="200" w:line="360" w:lineRule="auto"/>
        <w:rPr>
          <w:rFonts w:ascii="Arial" w:eastAsia="Arial" w:hAnsi="Arial" w:cs="Arial"/>
          <w:b/>
          <w:bCs/>
          <w:color w:val="auto"/>
          <w:sz w:val="22"/>
          <w:szCs w:val="22"/>
        </w:rPr>
      </w:pPr>
    </w:p>
    <w:p w:rsidR="007F060C" w:rsidRPr="004A4751" w:rsidRDefault="007F060C">
      <w:pPr>
        <w:pStyle w:val="BodyB"/>
        <w:spacing w:after="200" w:line="360" w:lineRule="auto"/>
        <w:rPr>
          <w:rFonts w:ascii="Arial" w:eastAsia="Arial" w:hAnsi="Arial" w:cs="Arial"/>
          <w:b/>
          <w:bCs/>
          <w:color w:val="auto"/>
          <w:sz w:val="22"/>
          <w:szCs w:val="22"/>
        </w:rPr>
      </w:pPr>
    </w:p>
    <w:tbl>
      <w:tblPr>
        <w:tblW w:w="107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708"/>
        <w:gridCol w:w="992"/>
        <w:gridCol w:w="709"/>
        <w:gridCol w:w="850"/>
        <w:gridCol w:w="993"/>
        <w:gridCol w:w="1134"/>
        <w:gridCol w:w="850"/>
        <w:gridCol w:w="1134"/>
        <w:gridCol w:w="1134"/>
        <w:gridCol w:w="992"/>
        <w:gridCol w:w="709"/>
      </w:tblGrid>
      <w:tr w:rsidR="004A4751" w:rsidRPr="004A4751" w:rsidTr="0061220C">
        <w:trPr>
          <w:trHeight w:val="87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bottom"/>
          </w:tcPr>
          <w:p w:rsidR="007F060C" w:rsidRPr="004A4751" w:rsidRDefault="00A40BB8">
            <w:pPr>
              <w:pStyle w:val="NoSpacing"/>
              <w:spacing w:line="360" w:lineRule="auto"/>
              <w:jc w:val="both"/>
              <w:rPr>
                <w:color w:val="auto"/>
                <w:sz w:val="16"/>
                <w:szCs w:val="16"/>
              </w:rPr>
            </w:pPr>
            <w:r w:rsidRPr="004A4751">
              <w:rPr>
                <w:rFonts w:ascii="Arial" w:hAnsi="Arial"/>
                <w:b/>
                <w:bCs/>
                <w:i/>
                <w:iCs/>
                <w:color w:val="auto"/>
                <w:sz w:val="16"/>
                <w:szCs w:val="16"/>
              </w:rPr>
              <w:t xml:space="preserve">Year </w:t>
            </w:r>
          </w:p>
        </w:tc>
        <w:tc>
          <w:tcPr>
            <w:tcW w:w="708"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bottom"/>
          </w:tcPr>
          <w:p w:rsidR="007F060C" w:rsidRPr="004A4751" w:rsidRDefault="00A40BB8">
            <w:pPr>
              <w:pStyle w:val="NoSpacing"/>
              <w:spacing w:line="360" w:lineRule="auto"/>
              <w:jc w:val="both"/>
              <w:rPr>
                <w:color w:val="auto"/>
                <w:sz w:val="16"/>
                <w:szCs w:val="16"/>
              </w:rPr>
            </w:pPr>
            <w:r w:rsidRPr="004A4751">
              <w:rPr>
                <w:rFonts w:ascii="Arial" w:hAnsi="Arial"/>
                <w:b/>
                <w:bCs/>
                <w:color w:val="auto"/>
                <w:sz w:val="16"/>
                <w:szCs w:val="16"/>
              </w:rPr>
              <w:t>Blast</w:t>
            </w:r>
          </w:p>
        </w:tc>
        <w:tc>
          <w:tcPr>
            <w:tcW w:w="992"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bottom"/>
          </w:tcPr>
          <w:p w:rsidR="007F060C" w:rsidRPr="004A4751" w:rsidRDefault="00A40BB8">
            <w:pPr>
              <w:pStyle w:val="NoSpacing"/>
              <w:spacing w:line="360" w:lineRule="auto"/>
              <w:jc w:val="both"/>
              <w:rPr>
                <w:color w:val="auto"/>
                <w:sz w:val="16"/>
                <w:szCs w:val="16"/>
              </w:rPr>
            </w:pPr>
            <w:r w:rsidRPr="004A4751">
              <w:rPr>
                <w:rFonts w:ascii="Arial" w:hAnsi="Arial"/>
                <w:b/>
                <w:bCs/>
                <w:color w:val="auto"/>
                <w:sz w:val="16"/>
                <w:szCs w:val="16"/>
              </w:rPr>
              <w:t>Blow(s)</w:t>
            </w:r>
          </w:p>
        </w:tc>
        <w:tc>
          <w:tcPr>
            <w:tcW w:w="709"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bottom"/>
          </w:tcPr>
          <w:p w:rsidR="007F060C" w:rsidRPr="004A4751" w:rsidRDefault="00A40BB8">
            <w:pPr>
              <w:pStyle w:val="NoSpacing"/>
              <w:spacing w:line="360" w:lineRule="auto"/>
              <w:jc w:val="both"/>
              <w:rPr>
                <w:color w:val="auto"/>
                <w:sz w:val="16"/>
                <w:szCs w:val="16"/>
              </w:rPr>
            </w:pPr>
            <w:r w:rsidRPr="004A4751">
              <w:rPr>
                <w:rFonts w:ascii="Arial" w:hAnsi="Arial"/>
                <w:b/>
                <w:bCs/>
                <w:color w:val="auto"/>
                <w:sz w:val="16"/>
                <w:szCs w:val="16"/>
              </w:rPr>
              <w:t>Burn</w:t>
            </w:r>
          </w:p>
        </w:tc>
        <w:tc>
          <w:tcPr>
            <w:tcW w:w="850"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bottom"/>
          </w:tcPr>
          <w:p w:rsidR="007F060C" w:rsidRPr="004A4751" w:rsidRDefault="00A40BB8">
            <w:pPr>
              <w:pStyle w:val="NoSpacing"/>
              <w:spacing w:line="360" w:lineRule="auto"/>
              <w:jc w:val="both"/>
              <w:rPr>
                <w:color w:val="auto"/>
                <w:sz w:val="16"/>
                <w:szCs w:val="16"/>
              </w:rPr>
            </w:pPr>
            <w:r w:rsidRPr="004A4751">
              <w:rPr>
                <w:rFonts w:ascii="Arial" w:hAnsi="Arial"/>
                <w:b/>
                <w:bCs/>
                <w:color w:val="auto"/>
                <w:sz w:val="16"/>
                <w:szCs w:val="16"/>
              </w:rPr>
              <w:t>Crush</w:t>
            </w:r>
          </w:p>
        </w:tc>
        <w:tc>
          <w:tcPr>
            <w:tcW w:w="993"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bottom"/>
          </w:tcPr>
          <w:p w:rsidR="007F060C" w:rsidRPr="004A4751" w:rsidRDefault="00A40BB8">
            <w:pPr>
              <w:pStyle w:val="NoSpacing"/>
              <w:spacing w:line="360" w:lineRule="auto"/>
              <w:jc w:val="both"/>
              <w:rPr>
                <w:color w:val="auto"/>
                <w:sz w:val="16"/>
                <w:szCs w:val="16"/>
              </w:rPr>
            </w:pPr>
            <w:r w:rsidRPr="004A4751">
              <w:rPr>
                <w:rFonts w:ascii="Arial" w:hAnsi="Arial"/>
                <w:b/>
                <w:bCs/>
                <w:color w:val="auto"/>
                <w:sz w:val="16"/>
                <w:szCs w:val="16"/>
              </w:rPr>
              <w:t>Fall &lt;2m</w:t>
            </w:r>
          </w:p>
        </w:tc>
        <w:tc>
          <w:tcPr>
            <w:tcW w:w="1134"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bottom"/>
          </w:tcPr>
          <w:p w:rsidR="007F060C" w:rsidRPr="004A4751" w:rsidRDefault="00A40BB8">
            <w:pPr>
              <w:pStyle w:val="NoSpacing"/>
              <w:spacing w:line="360" w:lineRule="auto"/>
              <w:jc w:val="both"/>
              <w:rPr>
                <w:color w:val="auto"/>
                <w:sz w:val="16"/>
                <w:szCs w:val="16"/>
              </w:rPr>
            </w:pPr>
            <w:r w:rsidRPr="004A4751">
              <w:rPr>
                <w:rFonts w:ascii="Arial" w:hAnsi="Arial"/>
                <w:b/>
                <w:bCs/>
                <w:color w:val="auto"/>
                <w:sz w:val="16"/>
                <w:szCs w:val="16"/>
              </w:rPr>
              <w:t>Fall &gt;2m</w:t>
            </w:r>
          </w:p>
        </w:tc>
        <w:tc>
          <w:tcPr>
            <w:tcW w:w="850"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bottom"/>
          </w:tcPr>
          <w:p w:rsidR="007F060C" w:rsidRPr="004A4751" w:rsidRDefault="00A40BB8">
            <w:pPr>
              <w:pStyle w:val="NoSpacing"/>
              <w:spacing w:line="360" w:lineRule="auto"/>
              <w:jc w:val="both"/>
              <w:rPr>
                <w:color w:val="auto"/>
                <w:sz w:val="16"/>
                <w:szCs w:val="16"/>
              </w:rPr>
            </w:pPr>
            <w:r w:rsidRPr="004A4751">
              <w:rPr>
                <w:rFonts w:ascii="Arial" w:hAnsi="Arial"/>
                <w:b/>
                <w:bCs/>
                <w:color w:val="auto"/>
                <w:sz w:val="16"/>
                <w:szCs w:val="16"/>
              </w:rPr>
              <w:t>Other</w:t>
            </w:r>
          </w:p>
        </w:tc>
        <w:tc>
          <w:tcPr>
            <w:tcW w:w="1134"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bottom"/>
          </w:tcPr>
          <w:p w:rsidR="007F060C" w:rsidRPr="004A4751" w:rsidRDefault="00A40BB8" w:rsidP="0061220C">
            <w:pPr>
              <w:pStyle w:val="NoSpacing"/>
              <w:spacing w:line="360" w:lineRule="auto"/>
              <w:jc w:val="center"/>
              <w:rPr>
                <w:color w:val="auto"/>
                <w:sz w:val="16"/>
                <w:szCs w:val="16"/>
              </w:rPr>
            </w:pPr>
            <w:r w:rsidRPr="004A4751">
              <w:rPr>
                <w:rFonts w:ascii="Arial" w:hAnsi="Arial"/>
                <w:b/>
                <w:bCs/>
                <w:color w:val="auto"/>
                <w:sz w:val="16"/>
                <w:szCs w:val="16"/>
              </w:rPr>
              <w:t>Shooting</w:t>
            </w:r>
          </w:p>
        </w:tc>
        <w:tc>
          <w:tcPr>
            <w:tcW w:w="1134"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bottom"/>
          </w:tcPr>
          <w:p w:rsidR="007F060C" w:rsidRPr="004A4751" w:rsidRDefault="00A40BB8">
            <w:pPr>
              <w:pStyle w:val="NoSpacing"/>
              <w:spacing w:line="360" w:lineRule="auto"/>
              <w:jc w:val="both"/>
              <w:rPr>
                <w:color w:val="auto"/>
                <w:sz w:val="16"/>
                <w:szCs w:val="16"/>
              </w:rPr>
            </w:pPr>
            <w:r w:rsidRPr="004A4751">
              <w:rPr>
                <w:rFonts w:ascii="Arial" w:hAnsi="Arial"/>
                <w:b/>
                <w:bCs/>
                <w:color w:val="auto"/>
                <w:sz w:val="16"/>
                <w:szCs w:val="16"/>
              </w:rPr>
              <w:t>Stabbing</w:t>
            </w:r>
          </w:p>
        </w:tc>
        <w:tc>
          <w:tcPr>
            <w:tcW w:w="992"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bottom"/>
          </w:tcPr>
          <w:p w:rsidR="007F060C" w:rsidRPr="004A4751" w:rsidRDefault="00A40BB8">
            <w:pPr>
              <w:pStyle w:val="NoSpacing"/>
              <w:spacing w:line="360" w:lineRule="auto"/>
              <w:jc w:val="both"/>
              <w:rPr>
                <w:color w:val="auto"/>
                <w:sz w:val="16"/>
                <w:szCs w:val="16"/>
              </w:rPr>
            </w:pPr>
            <w:r w:rsidRPr="004A4751">
              <w:rPr>
                <w:rFonts w:ascii="Arial" w:hAnsi="Arial"/>
                <w:b/>
                <w:bCs/>
                <w:color w:val="auto"/>
                <w:sz w:val="16"/>
                <w:szCs w:val="16"/>
              </w:rPr>
              <w:t>RTC</w:t>
            </w:r>
          </w:p>
        </w:tc>
        <w:tc>
          <w:tcPr>
            <w:tcW w:w="709"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tcPr>
          <w:p w:rsidR="007F060C" w:rsidRPr="004A4751" w:rsidRDefault="007F060C">
            <w:pPr>
              <w:pStyle w:val="NoSpacing"/>
              <w:spacing w:line="360" w:lineRule="auto"/>
              <w:jc w:val="both"/>
              <w:rPr>
                <w:rFonts w:ascii="Arial" w:eastAsia="Arial" w:hAnsi="Arial" w:cs="Arial"/>
                <w:b/>
                <w:bCs/>
                <w:color w:val="auto"/>
                <w:sz w:val="16"/>
                <w:szCs w:val="16"/>
              </w:rPr>
            </w:pPr>
          </w:p>
          <w:p w:rsidR="007F060C" w:rsidRPr="004A4751" w:rsidRDefault="00A40BB8">
            <w:pPr>
              <w:pStyle w:val="NoSpacing"/>
              <w:spacing w:line="360" w:lineRule="auto"/>
              <w:jc w:val="both"/>
              <w:rPr>
                <w:color w:val="auto"/>
                <w:sz w:val="16"/>
                <w:szCs w:val="16"/>
              </w:rPr>
            </w:pPr>
            <w:r w:rsidRPr="004A4751">
              <w:rPr>
                <w:rFonts w:ascii="Arial" w:hAnsi="Arial"/>
                <w:b/>
                <w:bCs/>
                <w:i/>
                <w:iCs/>
                <w:color w:val="auto"/>
                <w:sz w:val="16"/>
                <w:szCs w:val="16"/>
              </w:rPr>
              <w:t>Total</w:t>
            </w:r>
          </w:p>
        </w:tc>
      </w:tr>
      <w:tr w:rsidR="004A4751" w:rsidRPr="004A4751" w:rsidTr="0061220C">
        <w:trPr>
          <w:trHeight w:val="57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b/>
                <w:bCs/>
                <w:i/>
                <w:iCs/>
                <w:color w:val="auto"/>
                <w:sz w:val="16"/>
                <w:szCs w:val="16"/>
              </w:rPr>
              <w:t>2008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254(12.5)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1(0.1)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8(0.4)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155(7.7)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238(11.8)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99(4.9)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rsidP="0061220C">
            <w:pPr>
              <w:pStyle w:val="NoSpacing"/>
              <w:spacing w:line="360" w:lineRule="auto"/>
              <w:jc w:val="center"/>
              <w:rPr>
                <w:color w:val="auto"/>
                <w:sz w:val="16"/>
                <w:szCs w:val="16"/>
              </w:rPr>
            </w:pPr>
            <w:r w:rsidRPr="004A4751">
              <w:rPr>
                <w:rFonts w:ascii="Arial" w:hAnsi="Arial"/>
                <w:color w:val="auto"/>
                <w:sz w:val="16"/>
                <w:szCs w:val="16"/>
              </w:rPr>
              <w:t>29(1.4)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140(6.9)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1099(54.3)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i/>
                <w:iCs/>
                <w:color w:val="auto"/>
                <w:sz w:val="16"/>
                <w:szCs w:val="16"/>
              </w:rPr>
              <w:t>2024</w:t>
            </w:r>
          </w:p>
        </w:tc>
      </w:tr>
      <w:tr w:rsidR="004A4751" w:rsidRPr="004A4751" w:rsidTr="0061220C">
        <w:trPr>
          <w:trHeight w:val="57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b/>
                <w:bCs/>
                <w:i/>
                <w:iCs/>
                <w:color w:val="auto"/>
                <w:sz w:val="16"/>
                <w:szCs w:val="16"/>
              </w:rPr>
              <w:t>2009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6(0.2)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339(12.5)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4(0.1)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13(0.5)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272(10.0)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295(10.9)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119(4.4)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rsidP="0061220C">
            <w:pPr>
              <w:pStyle w:val="NoSpacing"/>
              <w:spacing w:line="360" w:lineRule="auto"/>
              <w:jc w:val="center"/>
              <w:rPr>
                <w:color w:val="auto"/>
                <w:sz w:val="16"/>
                <w:szCs w:val="16"/>
              </w:rPr>
            </w:pPr>
            <w:r w:rsidRPr="004A4751">
              <w:rPr>
                <w:rFonts w:ascii="Arial" w:hAnsi="Arial"/>
                <w:color w:val="auto"/>
                <w:sz w:val="16"/>
                <w:szCs w:val="16"/>
              </w:rPr>
              <w:t>41(1.5)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193(7.1)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1425(52.6)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i/>
                <w:iCs/>
                <w:color w:val="auto"/>
                <w:sz w:val="16"/>
                <w:szCs w:val="16"/>
              </w:rPr>
              <w:t>2707</w:t>
            </w:r>
          </w:p>
        </w:tc>
      </w:tr>
      <w:tr w:rsidR="004A4751" w:rsidRPr="004A4751" w:rsidTr="0061220C">
        <w:trPr>
          <w:trHeight w:val="57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b/>
                <w:bCs/>
                <w:i/>
                <w:iCs/>
                <w:color w:val="auto"/>
                <w:sz w:val="16"/>
                <w:szCs w:val="16"/>
              </w:rPr>
              <w:t>2010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10(0.3)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481(14.5)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5(0.2)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39(1.2)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312(9.4)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436(13.2)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160(4.8)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rsidP="0061220C">
            <w:pPr>
              <w:pStyle w:val="NoSpacing"/>
              <w:spacing w:line="360" w:lineRule="auto"/>
              <w:jc w:val="center"/>
              <w:rPr>
                <w:color w:val="auto"/>
                <w:sz w:val="16"/>
                <w:szCs w:val="16"/>
              </w:rPr>
            </w:pPr>
            <w:r w:rsidRPr="004A4751">
              <w:rPr>
                <w:rFonts w:ascii="Arial" w:hAnsi="Arial"/>
                <w:color w:val="auto"/>
                <w:sz w:val="16"/>
                <w:szCs w:val="16"/>
              </w:rPr>
              <w:t>52(1.6)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225(6.8)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1594(48.0)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i/>
                <w:iCs/>
                <w:color w:val="auto"/>
                <w:sz w:val="16"/>
                <w:szCs w:val="16"/>
              </w:rPr>
              <w:t>3314</w:t>
            </w:r>
          </w:p>
        </w:tc>
      </w:tr>
      <w:tr w:rsidR="004A4751" w:rsidRPr="004A4751" w:rsidTr="0061220C">
        <w:trPr>
          <w:trHeight w:val="57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b/>
                <w:bCs/>
                <w:i/>
                <w:iCs/>
                <w:color w:val="auto"/>
                <w:sz w:val="16"/>
                <w:szCs w:val="16"/>
              </w:rPr>
              <w:t>2011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13(0.3)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655(15.5)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3(0.1)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50(1.2)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498(11.8)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490(11.6)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121(2.9)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rsidP="0061220C">
            <w:pPr>
              <w:pStyle w:val="NoSpacing"/>
              <w:spacing w:line="360" w:lineRule="auto"/>
              <w:jc w:val="center"/>
              <w:rPr>
                <w:color w:val="auto"/>
                <w:sz w:val="16"/>
                <w:szCs w:val="16"/>
              </w:rPr>
            </w:pPr>
            <w:r w:rsidRPr="004A4751">
              <w:rPr>
                <w:rFonts w:ascii="Arial" w:hAnsi="Arial"/>
                <w:color w:val="auto"/>
                <w:sz w:val="16"/>
                <w:szCs w:val="16"/>
              </w:rPr>
              <w:t>53(1.3)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308(7.3)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2030(48.0)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i/>
                <w:iCs/>
                <w:color w:val="auto"/>
                <w:sz w:val="16"/>
                <w:szCs w:val="16"/>
              </w:rPr>
              <w:t>4221</w:t>
            </w:r>
          </w:p>
        </w:tc>
      </w:tr>
      <w:tr w:rsidR="004A4751" w:rsidRPr="004A4751" w:rsidTr="0061220C">
        <w:trPr>
          <w:trHeight w:val="57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b/>
                <w:bCs/>
                <w:i/>
                <w:iCs/>
                <w:color w:val="auto"/>
                <w:sz w:val="16"/>
                <w:szCs w:val="16"/>
              </w:rPr>
              <w:t>2012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5(0.1)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634(14.3)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6(0.1)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51(1.2)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577(13.0)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511(11.6)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129(2.9)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rsidP="0061220C">
            <w:pPr>
              <w:pStyle w:val="NoSpacing"/>
              <w:spacing w:line="360" w:lineRule="auto"/>
              <w:jc w:val="center"/>
              <w:rPr>
                <w:color w:val="auto"/>
                <w:sz w:val="16"/>
                <w:szCs w:val="16"/>
              </w:rPr>
            </w:pPr>
            <w:r w:rsidRPr="004A4751">
              <w:rPr>
                <w:rFonts w:ascii="Arial" w:hAnsi="Arial"/>
                <w:color w:val="auto"/>
                <w:sz w:val="16"/>
                <w:szCs w:val="16"/>
              </w:rPr>
              <w:t>40(0.9)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264(6.0)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2207(49.9)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i/>
                <w:iCs/>
                <w:color w:val="auto"/>
                <w:sz w:val="16"/>
                <w:szCs w:val="16"/>
              </w:rPr>
              <w:t>4424</w:t>
            </w:r>
          </w:p>
        </w:tc>
      </w:tr>
      <w:tr w:rsidR="004A4751" w:rsidRPr="004A4751" w:rsidTr="0061220C">
        <w:trPr>
          <w:trHeight w:val="57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b/>
                <w:bCs/>
                <w:i/>
                <w:iCs/>
                <w:color w:val="auto"/>
                <w:sz w:val="16"/>
                <w:szCs w:val="16"/>
              </w:rPr>
              <w:t>2013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3(0.1)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538(12.2)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3(0.1)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40(0.9)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607(13.7)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508(11.5)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156(3.5)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rsidP="0061220C">
            <w:pPr>
              <w:pStyle w:val="NoSpacing"/>
              <w:spacing w:line="360" w:lineRule="auto"/>
              <w:jc w:val="center"/>
              <w:rPr>
                <w:color w:val="auto"/>
                <w:sz w:val="16"/>
                <w:szCs w:val="16"/>
              </w:rPr>
            </w:pPr>
            <w:r w:rsidRPr="004A4751">
              <w:rPr>
                <w:rFonts w:ascii="Arial" w:hAnsi="Arial"/>
                <w:color w:val="auto"/>
                <w:sz w:val="16"/>
                <w:szCs w:val="16"/>
              </w:rPr>
              <w:t>40(0.9)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282(6.4)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2241(50.7)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i/>
                <w:iCs/>
                <w:color w:val="auto"/>
                <w:sz w:val="16"/>
                <w:szCs w:val="16"/>
              </w:rPr>
              <w:t>4418</w:t>
            </w:r>
          </w:p>
        </w:tc>
      </w:tr>
      <w:tr w:rsidR="004A4751" w:rsidRPr="004A4751" w:rsidTr="0061220C">
        <w:trPr>
          <w:trHeight w:val="57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b/>
                <w:bCs/>
                <w:i/>
                <w:iCs/>
                <w:color w:val="auto"/>
                <w:sz w:val="16"/>
                <w:szCs w:val="16"/>
              </w:rPr>
              <w:t>2014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3(0.1)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516(11.5)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9(0.2)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34(0.8)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624(14.0)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518(11.6)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137(3.1)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rsidP="0061220C">
            <w:pPr>
              <w:pStyle w:val="NoSpacing"/>
              <w:spacing w:line="360" w:lineRule="auto"/>
              <w:jc w:val="center"/>
              <w:rPr>
                <w:color w:val="auto"/>
                <w:sz w:val="16"/>
                <w:szCs w:val="16"/>
              </w:rPr>
            </w:pPr>
            <w:r w:rsidRPr="004A4751">
              <w:rPr>
                <w:rFonts w:ascii="Arial" w:hAnsi="Arial"/>
                <w:color w:val="auto"/>
                <w:sz w:val="16"/>
                <w:szCs w:val="16"/>
              </w:rPr>
              <w:t>35(0.8)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260(5.8)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2337(52.2)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i/>
                <w:iCs/>
                <w:color w:val="auto"/>
                <w:sz w:val="16"/>
                <w:szCs w:val="16"/>
              </w:rPr>
              <w:t>4473</w:t>
            </w:r>
          </w:p>
        </w:tc>
      </w:tr>
      <w:tr w:rsidR="004A4751" w:rsidRPr="004A4751" w:rsidTr="0061220C">
        <w:trPr>
          <w:trHeight w:val="57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b/>
                <w:bCs/>
                <w:i/>
                <w:iCs/>
                <w:color w:val="auto"/>
                <w:sz w:val="16"/>
                <w:szCs w:val="16"/>
              </w:rPr>
              <w:t>2015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597(12.3)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8(0.2)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44(0.9)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658(13.6)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538(11.1)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132(2.7)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rsidP="0061220C">
            <w:pPr>
              <w:pStyle w:val="NoSpacing"/>
              <w:spacing w:line="360" w:lineRule="auto"/>
              <w:jc w:val="center"/>
              <w:rPr>
                <w:color w:val="auto"/>
                <w:sz w:val="16"/>
                <w:szCs w:val="16"/>
              </w:rPr>
            </w:pPr>
            <w:r w:rsidRPr="004A4751">
              <w:rPr>
                <w:rFonts w:ascii="Arial" w:hAnsi="Arial"/>
                <w:color w:val="auto"/>
                <w:sz w:val="16"/>
                <w:szCs w:val="16"/>
              </w:rPr>
              <w:t>46(1.0)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369(7.6)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2448(50.6)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i/>
                <w:iCs/>
                <w:color w:val="auto"/>
                <w:sz w:val="16"/>
                <w:szCs w:val="16"/>
              </w:rPr>
              <w:t>4842</w:t>
            </w:r>
          </w:p>
        </w:tc>
      </w:tr>
      <w:tr w:rsidR="004A4751" w:rsidRPr="004A4751" w:rsidTr="0061220C">
        <w:trPr>
          <w:trHeight w:val="57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b/>
                <w:bCs/>
                <w:i/>
                <w:iCs/>
                <w:color w:val="auto"/>
                <w:sz w:val="16"/>
                <w:szCs w:val="16"/>
              </w:rPr>
              <w:t>2016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9(0.2)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612(12.4)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4(0.1)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38(0.8)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633(12.9)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547(11.1)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118(2.4)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rsidP="0061220C">
            <w:pPr>
              <w:pStyle w:val="NoSpacing"/>
              <w:spacing w:line="360" w:lineRule="auto"/>
              <w:jc w:val="center"/>
              <w:rPr>
                <w:color w:val="auto"/>
                <w:sz w:val="16"/>
                <w:szCs w:val="16"/>
              </w:rPr>
            </w:pPr>
            <w:r w:rsidRPr="004A4751">
              <w:rPr>
                <w:rFonts w:ascii="Arial" w:hAnsi="Arial"/>
                <w:color w:val="auto"/>
                <w:sz w:val="16"/>
                <w:szCs w:val="16"/>
              </w:rPr>
              <w:t>57(1.2)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433(8.8)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2471(50.2)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i/>
                <w:iCs/>
                <w:color w:val="auto"/>
                <w:sz w:val="16"/>
                <w:szCs w:val="16"/>
              </w:rPr>
              <w:t>4922</w:t>
            </w:r>
          </w:p>
        </w:tc>
      </w:tr>
      <w:tr w:rsidR="004A4751" w:rsidRPr="004A4751" w:rsidTr="0061220C">
        <w:trPr>
          <w:trHeight w:val="57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b/>
                <w:bCs/>
                <w:i/>
                <w:iCs/>
                <w:color w:val="auto"/>
                <w:sz w:val="16"/>
                <w:szCs w:val="16"/>
              </w:rPr>
              <w:t>2017</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21(0.4)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625(11.7)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6(0.1)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27(0.5)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686(12.9)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612(11.5)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172(3.2)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rsidP="0061220C">
            <w:pPr>
              <w:pStyle w:val="NoSpacing"/>
              <w:spacing w:line="360" w:lineRule="auto"/>
              <w:jc w:val="center"/>
              <w:rPr>
                <w:color w:val="auto"/>
                <w:sz w:val="16"/>
                <w:szCs w:val="16"/>
              </w:rPr>
            </w:pPr>
            <w:r w:rsidRPr="004A4751">
              <w:rPr>
                <w:rFonts w:ascii="Arial" w:hAnsi="Arial"/>
                <w:color w:val="auto"/>
                <w:sz w:val="16"/>
                <w:szCs w:val="16"/>
              </w:rPr>
              <w:t>56(1.0)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544(10.2)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color w:val="auto"/>
                <w:sz w:val="16"/>
                <w:szCs w:val="16"/>
              </w:rPr>
              <w:t>2586(48.5)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60C" w:rsidRPr="004A4751" w:rsidRDefault="00A40BB8">
            <w:pPr>
              <w:pStyle w:val="NoSpacing"/>
              <w:spacing w:line="360" w:lineRule="auto"/>
              <w:jc w:val="both"/>
              <w:rPr>
                <w:color w:val="auto"/>
                <w:sz w:val="16"/>
                <w:szCs w:val="16"/>
              </w:rPr>
            </w:pPr>
            <w:r w:rsidRPr="004A4751">
              <w:rPr>
                <w:rFonts w:ascii="Arial" w:hAnsi="Arial"/>
                <w:i/>
                <w:iCs/>
                <w:color w:val="auto"/>
                <w:sz w:val="16"/>
                <w:szCs w:val="16"/>
              </w:rPr>
              <w:t>5335</w:t>
            </w:r>
          </w:p>
        </w:tc>
      </w:tr>
    </w:tbl>
    <w:p w:rsidR="007F060C" w:rsidRPr="004A4751" w:rsidRDefault="00A40BB8">
      <w:pPr>
        <w:pStyle w:val="BodyB"/>
        <w:spacing w:after="200" w:line="360" w:lineRule="auto"/>
        <w:rPr>
          <w:rFonts w:ascii="Arial" w:eastAsia="Arial" w:hAnsi="Arial" w:cs="Arial"/>
          <w:b/>
          <w:bCs/>
          <w:color w:val="auto"/>
          <w:sz w:val="22"/>
          <w:szCs w:val="22"/>
        </w:rPr>
      </w:pPr>
      <w:r w:rsidRPr="004A4751">
        <w:rPr>
          <w:rFonts w:ascii="Arial" w:hAnsi="Arial"/>
          <w:b/>
          <w:bCs/>
          <w:color w:val="auto"/>
          <w:sz w:val="22"/>
          <w:szCs w:val="22"/>
        </w:rPr>
        <w:t>Table 2: Trauma cases reported to TARN by mechanism of injury, 10-24 years, England, 2008-2017, n(</w:t>
      </w:r>
      <w:r w:rsidRPr="004A4751">
        <w:rPr>
          <w:rFonts w:ascii="Arial" w:hAnsi="Arial"/>
          <w:b/>
          <w:bCs/>
          <w:i/>
          <w:iCs/>
          <w:color w:val="auto"/>
          <w:sz w:val="22"/>
          <w:szCs w:val="22"/>
        </w:rPr>
        <w:t>%</w:t>
      </w:r>
      <w:r w:rsidRPr="004A4751">
        <w:rPr>
          <w:rFonts w:ascii="Arial" w:hAnsi="Arial"/>
          <w:b/>
          <w:bCs/>
          <w:color w:val="auto"/>
          <w:sz w:val="22"/>
          <w:szCs w:val="22"/>
        </w:rPr>
        <w:t>)</w:t>
      </w:r>
    </w:p>
    <w:p w:rsidR="007F060C" w:rsidRPr="004A4751" w:rsidRDefault="007F060C">
      <w:pPr>
        <w:pStyle w:val="BodyB"/>
        <w:spacing w:after="200" w:line="360" w:lineRule="auto"/>
        <w:rPr>
          <w:rFonts w:ascii="Arial" w:eastAsia="Arial" w:hAnsi="Arial" w:cs="Arial"/>
          <w:b/>
          <w:bCs/>
          <w:color w:val="auto"/>
          <w:sz w:val="22"/>
          <w:szCs w:val="22"/>
        </w:rPr>
      </w:pPr>
    </w:p>
    <w:p w:rsidR="007F060C" w:rsidRPr="004A4751" w:rsidRDefault="007F060C">
      <w:pPr>
        <w:pStyle w:val="BodyB"/>
        <w:spacing w:after="200" w:line="360" w:lineRule="auto"/>
        <w:rPr>
          <w:rFonts w:ascii="Arial" w:eastAsia="Arial" w:hAnsi="Arial" w:cs="Arial"/>
          <w:b/>
          <w:bCs/>
          <w:color w:val="auto"/>
          <w:sz w:val="22"/>
          <w:szCs w:val="22"/>
        </w:rPr>
      </w:pPr>
    </w:p>
    <w:p w:rsidR="007F060C" w:rsidRPr="004A4751" w:rsidRDefault="007F060C">
      <w:pPr>
        <w:pStyle w:val="NoSpacing"/>
        <w:spacing w:line="360" w:lineRule="auto"/>
        <w:jc w:val="both"/>
        <w:rPr>
          <w:rFonts w:ascii="Arial" w:eastAsia="Arial" w:hAnsi="Arial" w:cs="Arial"/>
          <w:b/>
          <w:bCs/>
          <w:color w:val="auto"/>
          <w:sz w:val="22"/>
          <w:szCs w:val="22"/>
        </w:rPr>
      </w:pPr>
    </w:p>
    <w:p w:rsidR="007F060C" w:rsidRPr="004A4751" w:rsidRDefault="007F060C">
      <w:pPr>
        <w:pStyle w:val="NoSpacing"/>
        <w:widowControl w:val="0"/>
        <w:ind w:left="108" w:hanging="108"/>
        <w:jc w:val="both"/>
        <w:rPr>
          <w:rFonts w:ascii="Arial" w:eastAsia="Arial" w:hAnsi="Arial" w:cs="Arial"/>
          <w:b/>
          <w:bCs/>
          <w:color w:val="auto"/>
          <w:sz w:val="22"/>
          <w:szCs w:val="22"/>
        </w:rPr>
      </w:pPr>
    </w:p>
    <w:p w:rsidR="007F060C" w:rsidRPr="004A4751" w:rsidRDefault="007F060C">
      <w:pPr>
        <w:pStyle w:val="NoSpacing"/>
        <w:widowControl w:val="0"/>
        <w:jc w:val="both"/>
        <w:rPr>
          <w:rFonts w:ascii="Arial" w:eastAsia="Arial" w:hAnsi="Arial" w:cs="Arial"/>
          <w:b/>
          <w:bCs/>
          <w:color w:val="auto"/>
          <w:sz w:val="22"/>
          <w:szCs w:val="22"/>
        </w:rPr>
      </w:pPr>
    </w:p>
    <w:p w:rsidR="007F060C" w:rsidRPr="004A4751" w:rsidRDefault="007F060C">
      <w:pPr>
        <w:pStyle w:val="NoSpacing"/>
        <w:spacing w:line="360" w:lineRule="auto"/>
        <w:jc w:val="both"/>
        <w:rPr>
          <w:rFonts w:ascii="Arial" w:eastAsia="Arial" w:hAnsi="Arial" w:cs="Arial"/>
          <w:color w:val="auto"/>
          <w:sz w:val="24"/>
          <w:szCs w:val="24"/>
        </w:rPr>
      </w:pPr>
    </w:p>
    <w:p w:rsidR="007F060C" w:rsidRPr="004A4751" w:rsidRDefault="007F060C">
      <w:pPr>
        <w:pStyle w:val="NoSpacing"/>
        <w:spacing w:line="360" w:lineRule="auto"/>
        <w:jc w:val="both"/>
        <w:rPr>
          <w:rFonts w:ascii="Arial" w:eastAsia="Arial" w:hAnsi="Arial" w:cs="Arial"/>
          <w:color w:val="auto"/>
          <w:sz w:val="24"/>
          <w:szCs w:val="24"/>
        </w:rPr>
      </w:pPr>
    </w:p>
    <w:p w:rsidR="007F060C" w:rsidRPr="004A4751" w:rsidRDefault="00A40BB8">
      <w:pPr>
        <w:pStyle w:val="Heading3"/>
        <w:spacing w:line="360" w:lineRule="auto"/>
        <w:jc w:val="both"/>
        <w:rPr>
          <w:rFonts w:ascii="Arial" w:eastAsia="Arial" w:hAnsi="Arial" w:cs="Arial"/>
          <w:i/>
          <w:iCs/>
          <w:color w:val="auto"/>
          <w:u w:color="000000"/>
        </w:rPr>
      </w:pPr>
      <w:r w:rsidRPr="004A4751">
        <w:rPr>
          <w:rFonts w:ascii="Arial" w:hAnsi="Arial"/>
          <w:i/>
          <w:iCs/>
          <w:color w:val="auto"/>
          <w:u w:color="000000"/>
        </w:rPr>
        <w:lastRenderedPageBreak/>
        <w:t>MTC vs TU</w:t>
      </w:r>
    </w:p>
    <w:p w:rsidR="007F060C" w:rsidRPr="004A4751" w:rsidRDefault="00A40BB8">
      <w:pPr>
        <w:pStyle w:val="CaptionA"/>
        <w:keepNext/>
        <w:spacing w:line="360" w:lineRule="auto"/>
        <w:rPr>
          <w:rFonts w:ascii="Arial" w:eastAsia="Arial" w:hAnsi="Arial" w:cs="Arial"/>
          <w:b w:val="0"/>
          <w:bCs w:val="0"/>
          <w:color w:val="auto"/>
          <w:sz w:val="24"/>
          <w:szCs w:val="24"/>
          <w:u w:color="000000"/>
        </w:rPr>
      </w:pPr>
      <w:r w:rsidRPr="004A4751">
        <w:rPr>
          <w:rFonts w:ascii="Arial" w:hAnsi="Arial"/>
          <w:b w:val="0"/>
          <w:bCs w:val="0"/>
          <w:color w:val="auto"/>
          <w:sz w:val="24"/>
          <w:szCs w:val="24"/>
          <w:u w:color="000000"/>
        </w:rPr>
        <w:t>Overall, 57.4% (n=23,361) presented to a Major Trauma Centre (MTC) and 42.6% (n=17,319) to a Trauma Unit. Figure 3 shows the increasing number of trauma cases attending MTCs each year. The overall proportion of cases attending MTCs increased from 45.7% in 2008 to 63.5% in 2017 (p&lt;0.0001).</w:t>
      </w:r>
    </w:p>
    <w:p w:rsidR="007F060C" w:rsidRPr="004A4751" w:rsidRDefault="007F060C">
      <w:pPr>
        <w:pStyle w:val="Heading3"/>
        <w:spacing w:line="360" w:lineRule="auto"/>
        <w:rPr>
          <w:rFonts w:ascii="Arial" w:eastAsia="Arial" w:hAnsi="Arial" w:cs="Arial"/>
          <w:color w:val="auto"/>
          <w:u w:color="000000"/>
        </w:rPr>
      </w:pPr>
    </w:p>
    <w:p w:rsidR="007F060C" w:rsidRPr="004A4751" w:rsidRDefault="00A40BB8">
      <w:pPr>
        <w:pStyle w:val="Heading3"/>
        <w:spacing w:line="360" w:lineRule="auto"/>
        <w:rPr>
          <w:rFonts w:ascii="Arial" w:eastAsia="Arial" w:hAnsi="Arial" w:cs="Arial"/>
          <w:i/>
          <w:iCs/>
          <w:color w:val="auto"/>
          <w:u w:color="000000"/>
        </w:rPr>
      </w:pPr>
      <w:r w:rsidRPr="004A4751">
        <w:rPr>
          <w:rFonts w:ascii="Arial" w:hAnsi="Arial"/>
          <w:i/>
          <w:iCs/>
          <w:color w:val="auto"/>
          <w:u w:color="000000"/>
        </w:rPr>
        <w:t xml:space="preserve">Morbidity and mortality </w:t>
      </w:r>
    </w:p>
    <w:p w:rsidR="007F060C" w:rsidRPr="004A4751" w:rsidRDefault="00A40BB8">
      <w:pPr>
        <w:pStyle w:val="BodyB"/>
        <w:spacing w:line="360" w:lineRule="auto"/>
        <w:jc w:val="both"/>
        <w:rPr>
          <w:rFonts w:ascii="Arial" w:eastAsia="Arial" w:hAnsi="Arial" w:cs="Arial"/>
          <w:color w:val="auto"/>
        </w:rPr>
      </w:pPr>
      <w:r w:rsidRPr="004A4751">
        <w:rPr>
          <w:rFonts w:ascii="Arial" w:hAnsi="Arial"/>
          <w:color w:val="auto"/>
        </w:rPr>
        <w:t>Isolated injuries were reported in 82.9% (n=33,742) with 17.1% (n=6,938) sustaining polytrauma (Table 1). Median number of operations was 1. Median length of stay in hospital was 6 days (IQR 4-9 days) for 10-15-years old and 6 days (IQR 4-12 days) for 16-24-years old. Rehabilitation was required in 32.2% (n=13,100).</w:t>
      </w:r>
    </w:p>
    <w:p w:rsidR="007F060C" w:rsidRPr="004A4751" w:rsidRDefault="007F060C">
      <w:pPr>
        <w:pStyle w:val="BodyB"/>
        <w:spacing w:line="360" w:lineRule="auto"/>
        <w:rPr>
          <w:rFonts w:ascii="Arial" w:eastAsia="Arial" w:hAnsi="Arial" w:cs="Arial"/>
          <w:color w:val="auto"/>
        </w:rPr>
      </w:pPr>
    </w:p>
    <w:p w:rsidR="007F060C" w:rsidRPr="004A4751" w:rsidRDefault="00A40BB8">
      <w:pPr>
        <w:pStyle w:val="BodyBAA"/>
        <w:spacing w:line="360" w:lineRule="auto"/>
        <w:jc w:val="both"/>
        <w:rPr>
          <w:rFonts w:ascii="Arial" w:eastAsia="Arial" w:hAnsi="Arial" w:cs="Arial"/>
          <w:i/>
          <w:iCs/>
          <w:color w:val="auto"/>
        </w:rPr>
      </w:pPr>
      <w:r w:rsidRPr="004A4751">
        <w:rPr>
          <w:rFonts w:ascii="Arial" w:hAnsi="Arial"/>
          <w:color w:val="auto"/>
          <w:sz w:val="24"/>
          <w:szCs w:val="24"/>
        </w:rPr>
        <w:t xml:space="preserve">From 2008-2017, there were 1,580 (4.1%) adolescent trauma-related deaths. Mortality was higher in the 16-24 year old group, with 1,346 (4.4%) deaths recorded compared with 234 (3.2%) deaths in 10-15 year old group. </w:t>
      </w:r>
    </w:p>
    <w:p w:rsidR="007F060C" w:rsidRPr="004A4751" w:rsidRDefault="00A40BB8">
      <w:pPr>
        <w:pStyle w:val="BodyBAA"/>
        <w:spacing w:line="360" w:lineRule="auto"/>
        <w:rPr>
          <w:rFonts w:ascii="Arial" w:eastAsia="Arial" w:hAnsi="Arial" w:cs="Arial"/>
          <w:i/>
          <w:iCs/>
          <w:color w:val="auto"/>
        </w:rPr>
      </w:pPr>
      <w:r w:rsidRPr="004A4751">
        <w:rPr>
          <w:rFonts w:ascii="Arial" w:hAnsi="Arial"/>
          <w:i/>
          <w:iCs/>
          <w:color w:val="auto"/>
          <w:sz w:val="24"/>
          <w:szCs w:val="24"/>
        </w:rPr>
        <w:t>Past medical history</w:t>
      </w:r>
      <w:r w:rsidRPr="004A4751">
        <w:rPr>
          <w:rFonts w:ascii="Arial" w:hAnsi="Arial"/>
          <w:i/>
          <w:iCs/>
          <w:color w:val="auto"/>
        </w:rPr>
        <w:t xml:space="preserve"> </w:t>
      </w:r>
    </w:p>
    <w:p w:rsidR="007F060C" w:rsidRPr="004A4751" w:rsidRDefault="00A40BB8">
      <w:pPr>
        <w:pStyle w:val="BodyBAA"/>
        <w:spacing w:line="360" w:lineRule="auto"/>
        <w:jc w:val="both"/>
        <w:rPr>
          <w:rFonts w:ascii="Arial" w:eastAsia="Arial" w:hAnsi="Arial" w:cs="Arial"/>
          <w:b/>
          <w:bCs/>
          <w:i/>
          <w:iCs/>
          <w:color w:val="auto"/>
          <w:sz w:val="24"/>
          <w:szCs w:val="24"/>
        </w:rPr>
      </w:pPr>
      <w:r w:rsidRPr="004A4751">
        <w:rPr>
          <w:rFonts w:ascii="Arial" w:hAnsi="Arial"/>
          <w:color w:val="auto"/>
          <w:sz w:val="24"/>
          <w:szCs w:val="24"/>
        </w:rPr>
        <w:t>‘</w:t>
      </w:r>
      <w:r w:rsidRPr="004A4751">
        <w:rPr>
          <w:rFonts w:ascii="Arial" w:hAnsi="Arial"/>
          <w:i/>
          <w:iCs/>
          <w:color w:val="auto"/>
          <w:sz w:val="24"/>
          <w:szCs w:val="24"/>
        </w:rPr>
        <w:t>No previous medical conditions</w:t>
      </w:r>
      <w:r w:rsidRPr="004A4751">
        <w:rPr>
          <w:rFonts w:ascii="Arial" w:hAnsi="Arial"/>
          <w:color w:val="auto"/>
          <w:sz w:val="24"/>
          <w:szCs w:val="24"/>
        </w:rPr>
        <w:t>’ were reported in 61.7%. The most prevalent conditions for the cohort were respiratory (6.4%), psychiatric (6.5%) and substance misuse (2.6%).  For the 10-15 year group, the most prevalent conditions remained respiratory (6.9%), psychiatric (4.2%) followed by neurological (2.6%). In the 16-24-years old, psychiatric conditions and respiratory were the most prevalent (7.1% and 6.3 respectively), followed by substance misuse (3.1%) - (Appendix Table 1).</w:t>
      </w:r>
    </w:p>
    <w:p w:rsidR="007F060C" w:rsidRPr="004A4751" w:rsidRDefault="00A40BB8">
      <w:pPr>
        <w:pStyle w:val="BodyBAA"/>
        <w:spacing w:line="360" w:lineRule="auto"/>
        <w:rPr>
          <w:rFonts w:ascii="Arial" w:eastAsia="Arial" w:hAnsi="Arial" w:cs="Arial"/>
          <w:i/>
          <w:iCs/>
          <w:color w:val="auto"/>
          <w:sz w:val="24"/>
          <w:szCs w:val="24"/>
        </w:rPr>
      </w:pPr>
      <w:r w:rsidRPr="004A4751">
        <w:rPr>
          <w:rFonts w:ascii="Arial" w:hAnsi="Arial"/>
          <w:i/>
          <w:iCs/>
          <w:color w:val="auto"/>
          <w:sz w:val="24"/>
          <w:szCs w:val="24"/>
        </w:rPr>
        <w:t>Psychiatric history</w:t>
      </w:r>
    </w:p>
    <w:p w:rsidR="007F060C" w:rsidRPr="004A4751" w:rsidRDefault="00A40BB8">
      <w:pPr>
        <w:pStyle w:val="BodyBAA"/>
        <w:spacing w:line="360" w:lineRule="auto"/>
        <w:jc w:val="both"/>
        <w:rPr>
          <w:rFonts w:ascii="Arial" w:eastAsia="Arial" w:hAnsi="Arial" w:cs="Arial"/>
          <w:color w:val="auto"/>
          <w:sz w:val="24"/>
          <w:szCs w:val="24"/>
        </w:rPr>
      </w:pPr>
      <w:r w:rsidRPr="004A4751">
        <w:rPr>
          <w:rFonts w:ascii="Arial" w:hAnsi="Arial"/>
          <w:color w:val="auto"/>
          <w:sz w:val="24"/>
          <w:szCs w:val="24"/>
        </w:rPr>
        <w:t xml:space="preserve">Analysis of the impact of pre-existing mental health conditions found there was statistically significant difference in age (psychiatric history 20.6years vs no psychiatric history 19.7 years; p&lt;0.0001) and in ISS (psychiatric history 13 vs no psychiatric history 10; p&lt;0.0001, Table 5). There was a statistically significant difference in mortality, which was higher in those with a previous </w:t>
      </w:r>
      <w:r w:rsidRPr="004A4751">
        <w:rPr>
          <w:rFonts w:ascii="Arial" w:hAnsi="Arial"/>
          <w:color w:val="auto"/>
          <w:sz w:val="24"/>
          <w:szCs w:val="24"/>
        </w:rPr>
        <w:lastRenderedPageBreak/>
        <w:t xml:space="preserve">psychiatric history (psychiatric history 6.3% vs no psychiatric history 4.4%; p&lt;0.0001, Table 3).   </w:t>
      </w:r>
    </w:p>
    <w:p w:rsidR="007F060C" w:rsidRPr="004A4751" w:rsidRDefault="007F060C">
      <w:pPr>
        <w:pStyle w:val="BodyBAA"/>
        <w:spacing w:line="360" w:lineRule="auto"/>
        <w:jc w:val="both"/>
        <w:rPr>
          <w:rFonts w:ascii="Arial" w:eastAsia="Arial" w:hAnsi="Arial" w:cs="Arial"/>
          <w:b/>
          <w:bCs/>
          <w:color w:val="auto"/>
          <w:sz w:val="24"/>
          <w:szCs w:val="24"/>
        </w:rPr>
      </w:pPr>
    </w:p>
    <w:p w:rsidR="007F060C" w:rsidRPr="004A4751" w:rsidRDefault="00A40BB8">
      <w:pPr>
        <w:pStyle w:val="Heading3"/>
        <w:spacing w:line="360" w:lineRule="auto"/>
        <w:rPr>
          <w:rFonts w:ascii="Arial" w:eastAsia="Arial" w:hAnsi="Arial" w:cs="Arial"/>
          <w:i/>
          <w:iCs/>
          <w:color w:val="auto"/>
          <w:u w:color="000000"/>
        </w:rPr>
      </w:pPr>
      <w:r w:rsidRPr="004A4751">
        <w:rPr>
          <w:rFonts w:ascii="Arial" w:hAnsi="Arial"/>
          <w:i/>
          <w:iCs/>
          <w:color w:val="auto"/>
          <w:u w:color="000000"/>
        </w:rPr>
        <w:t>Evidence of substance misuse</w:t>
      </w:r>
      <w:r w:rsidRPr="004A4751">
        <w:rPr>
          <w:rFonts w:ascii="Arial Unicode MS" w:eastAsia="Arial Unicode MS" w:hAnsi="Arial Unicode MS" w:cs="Arial Unicode MS"/>
          <w:color w:val="auto"/>
          <w:u w:color="000000"/>
        </w:rPr>
        <w:br/>
      </w:r>
    </w:p>
    <w:p w:rsidR="007F060C" w:rsidRPr="004A4751" w:rsidRDefault="00A40BB8">
      <w:pPr>
        <w:pStyle w:val="BodyBAA"/>
        <w:keepNext/>
        <w:spacing w:line="360" w:lineRule="auto"/>
        <w:jc w:val="both"/>
        <w:rPr>
          <w:rFonts w:ascii="Arial" w:eastAsia="Arial" w:hAnsi="Arial" w:cs="Arial"/>
          <w:color w:val="auto"/>
          <w:sz w:val="24"/>
          <w:szCs w:val="24"/>
        </w:rPr>
      </w:pPr>
      <w:r w:rsidRPr="004A4751">
        <w:rPr>
          <w:rFonts w:ascii="Arial" w:hAnsi="Arial"/>
          <w:color w:val="auto"/>
          <w:sz w:val="24"/>
          <w:szCs w:val="24"/>
        </w:rPr>
        <w:t xml:space="preserve">Evidence of alcohol or drug use was recorded at time of injury in 20.1% (n=8,196) (Table 1). This was most notable in the 16-24 year group (19.8% having evidence of alcohol use and 4.6% evidence of drug vs 2.2% and 0.7% of 10-15 year old group, respectively). Those who had ingested alcohol or drugs had a statistically significantly higher median ISS (ingestion 14 v no ingestion 10; p&lt;0.0001, Appendix Table 5). There was a statistically significant difference in mortality, which was lower in those who had ingested alcohol or drugs (ingestion mortality 2.6% vs no ingestion 4.2%; p&lt;0.0001, Appendix Table 2). </w:t>
      </w:r>
    </w:p>
    <w:p w:rsidR="007F060C" w:rsidRPr="004A4751" w:rsidRDefault="007F060C">
      <w:pPr>
        <w:pStyle w:val="BodyA"/>
        <w:spacing w:line="360" w:lineRule="auto"/>
        <w:rPr>
          <w:rFonts w:ascii="Arial" w:eastAsia="Arial" w:hAnsi="Arial" w:cs="Arial"/>
          <w:b/>
          <w:bCs/>
          <w:i/>
          <w:iCs/>
          <w:color w:val="auto"/>
          <w:sz w:val="24"/>
          <w:szCs w:val="24"/>
        </w:rPr>
      </w:pPr>
    </w:p>
    <w:p w:rsidR="007F060C" w:rsidRPr="004A4751" w:rsidRDefault="00A40BB8">
      <w:pPr>
        <w:pStyle w:val="BodyA"/>
        <w:spacing w:line="360" w:lineRule="auto"/>
        <w:rPr>
          <w:rFonts w:ascii="Arial" w:eastAsia="Arial" w:hAnsi="Arial" w:cs="Arial"/>
          <w:b/>
          <w:bCs/>
          <w:i/>
          <w:iCs/>
          <w:color w:val="auto"/>
          <w:sz w:val="24"/>
          <w:szCs w:val="24"/>
        </w:rPr>
      </w:pPr>
      <w:r w:rsidRPr="004A4751">
        <w:rPr>
          <w:rFonts w:ascii="Arial" w:hAnsi="Arial"/>
          <w:b/>
          <w:bCs/>
          <w:i/>
          <w:iCs/>
          <w:color w:val="auto"/>
          <w:sz w:val="24"/>
          <w:szCs w:val="24"/>
        </w:rPr>
        <w:t xml:space="preserve">Discussion </w:t>
      </w:r>
    </w:p>
    <w:p w:rsidR="007F060C" w:rsidRPr="004A4751" w:rsidRDefault="00A40BB8">
      <w:pPr>
        <w:pStyle w:val="BodyBAA"/>
        <w:spacing w:line="360" w:lineRule="auto"/>
        <w:jc w:val="both"/>
        <w:rPr>
          <w:rFonts w:ascii="Arial" w:eastAsia="Arial" w:hAnsi="Arial" w:cs="Arial"/>
          <w:color w:val="auto"/>
          <w:sz w:val="24"/>
          <w:szCs w:val="24"/>
        </w:rPr>
      </w:pPr>
      <w:r w:rsidRPr="004A4751">
        <w:rPr>
          <w:rFonts w:ascii="Arial" w:hAnsi="Arial"/>
          <w:color w:val="auto"/>
          <w:sz w:val="24"/>
          <w:szCs w:val="24"/>
        </w:rPr>
        <w:t>This paper describes for the first time the epidemiology of adolescent trauma in England. It provides a unique viewpoint on trauma over the extended age range from 10-24 years, that is in keeping with the most recent definition of adolescence</w:t>
      </w:r>
      <w:r w:rsidRPr="004A4751">
        <w:rPr>
          <w:rFonts w:ascii="Arial" w:hAnsi="Arial"/>
          <w:color w:val="auto"/>
          <w:sz w:val="24"/>
          <w:szCs w:val="24"/>
          <w:vertAlign w:val="superscript"/>
        </w:rPr>
        <w:t>4</w:t>
      </w:r>
      <w:r w:rsidRPr="004A4751">
        <w:rPr>
          <w:rFonts w:ascii="Arial" w:hAnsi="Arial"/>
          <w:color w:val="auto"/>
          <w:sz w:val="24"/>
          <w:szCs w:val="24"/>
        </w:rPr>
        <w:t xml:space="preserve">. It compliments work </w:t>
      </w:r>
      <w:proofErr w:type="spellStart"/>
      <w:r w:rsidRPr="004A4751">
        <w:rPr>
          <w:rFonts w:ascii="Arial" w:hAnsi="Arial"/>
          <w:color w:val="auto"/>
          <w:sz w:val="24"/>
          <w:szCs w:val="24"/>
        </w:rPr>
        <w:t>analysing</w:t>
      </w:r>
      <w:proofErr w:type="spellEnd"/>
      <w:r w:rsidRPr="004A4751">
        <w:rPr>
          <w:rFonts w:ascii="Arial" w:hAnsi="Arial"/>
          <w:color w:val="auto"/>
          <w:sz w:val="24"/>
          <w:szCs w:val="24"/>
        </w:rPr>
        <w:t xml:space="preserve"> trauma patterns in children and adults which may predominantly focus on younger children and the elderly</w:t>
      </w:r>
      <w:r w:rsidRPr="004A4751">
        <w:rPr>
          <w:rFonts w:ascii="Arial" w:hAnsi="Arial"/>
          <w:color w:val="auto"/>
          <w:sz w:val="24"/>
          <w:szCs w:val="24"/>
          <w:vertAlign w:val="superscript"/>
        </w:rPr>
        <w:t>10,11</w:t>
      </w:r>
      <w:r w:rsidRPr="004A4751">
        <w:rPr>
          <w:rFonts w:ascii="Arial" w:hAnsi="Arial"/>
          <w:color w:val="auto"/>
          <w:sz w:val="24"/>
          <w:szCs w:val="24"/>
        </w:rPr>
        <w:t xml:space="preserve">.  It sets out the increase in reported incidence and the changes in injury patterns both over time and between younger and older adolescents. It also highlights a troubling correlation between psychiatric co-morbidity and increased mortality. It should provide guidance for policy makers both nationally and internationally to guide much needed future prevention strategies.  </w:t>
      </w:r>
    </w:p>
    <w:p w:rsidR="007F060C" w:rsidRPr="004A4751" w:rsidRDefault="00A40BB8">
      <w:pPr>
        <w:pStyle w:val="BodyBAA"/>
        <w:spacing w:line="360" w:lineRule="auto"/>
        <w:jc w:val="both"/>
        <w:rPr>
          <w:rFonts w:ascii="Arial" w:eastAsia="Arial" w:hAnsi="Arial" w:cs="Arial"/>
          <w:color w:val="auto"/>
          <w:sz w:val="24"/>
          <w:szCs w:val="24"/>
        </w:rPr>
      </w:pPr>
      <w:r w:rsidRPr="004A4751">
        <w:rPr>
          <w:rFonts w:ascii="Arial" w:hAnsi="Arial"/>
          <w:color w:val="auto"/>
          <w:sz w:val="24"/>
          <w:szCs w:val="24"/>
        </w:rPr>
        <w:t xml:space="preserve">Over the period studied, there was an increase in the overall annual incidence of adolescent trauma including in the consistent submitters cohort. This increase is at least in part down to improved recording practice. However, given that the increase is seen across hospitals that reported consistently against their predicted cases using HES data, consideration has to be given </w:t>
      </w:r>
      <w:r w:rsidRPr="004A4751">
        <w:rPr>
          <w:rFonts w:ascii="Arial" w:hAnsi="Arial"/>
          <w:color w:val="auto"/>
          <w:sz w:val="24"/>
          <w:szCs w:val="24"/>
        </w:rPr>
        <w:lastRenderedPageBreak/>
        <w:t>to the possibility of a true increase in the incidence of adolescent trauma. This potential increase in trauma incidence is seen at a time in which the total number of young people in the UK actually reduced by 2% while overall UK ED attendance in this age group rose by 5% between 2012/13 and 2017/18</w:t>
      </w:r>
      <w:r w:rsidRPr="004A4751">
        <w:rPr>
          <w:rFonts w:ascii="Arial" w:hAnsi="Arial"/>
          <w:color w:val="auto"/>
          <w:sz w:val="24"/>
          <w:szCs w:val="24"/>
          <w:vertAlign w:val="superscript"/>
        </w:rPr>
        <w:t>1</w:t>
      </w:r>
      <w:r w:rsidR="00D75C07" w:rsidRPr="004A4751">
        <w:rPr>
          <w:rFonts w:ascii="Arial" w:hAnsi="Arial"/>
          <w:color w:val="auto"/>
          <w:sz w:val="24"/>
          <w:szCs w:val="24"/>
          <w:vertAlign w:val="superscript"/>
        </w:rPr>
        <w:t>2,1</w:t>
      </w:r>
      <w:r w:rsidRPr="004A4751">
        <w:rPr>
          <w:rFonts w:ascii="Arial" w:hAnsi="Arial"/>
          <w:color w:val="auto"/>
          <w:sz w:val="24"/>
          <w:szCs w:val="24"/>
          <w:vertAlign w:val="superscript"/>
        </w:rPr>
        <w:t>3</w:t>
      </w:r>
      <w:r w:rsidR="00D75C07" w:rsidRPr="004A4751">
        <w:rPr>
          <w:rFonts w:ascii="Arial" w:hAnsi="Arial"/>
          <w:color w:val="auto"/>
          <w:sz w:val="24"/>
          <w:szCs w:val="24"/>
        </w:rPr>
        <w:t>.</w:t>
      </w:r>
      <w:r w:rsidRPr="004A4751">
        <w:rPr>
          <w:rFonts w:ascii="Arial" w:hAnsi="Arial"/>
          <w:color w:val="auto"/>
          <w:sz w:val="24"/>
          <w:szCs w:val="24"/>
        </w:rPr>
        <w:t xml:space="preserve"> This increase in recorded trauma is also seen in contrast to international data. In the US, where trauma reporting processes have been more stable, an 8.3% reduction in injury related presentations was noted between 2006-2012</w:t>
      </w:r>
      <w:r w:rsidRPr="004A4751">
        <w:rPr>
          <w:rFonts w:ascii="Arial" w:hAnsi="Arial"/>
          <w:color w:val="auto"/>
          <w:sz w:val="24"/>
          <w:szCs w:val="24"/>
          <w:vertAlign w:val="superscript"/>
        </w:rPr>
        <w:t>14</w:t>
      </w:r>
      <w:r w:rsidRPr="004A4751">
        <w:rPr>
          <w:rFonts w:ascii="Arial" w:hAnsi="Arial"/>
          <w:color w:val="auto"/>
          <w:sz w:val="24"/>
          <w:szCs w:val="24"/>
        </w:rPr>
        <w:t>. Similarly, there has been no increase in reported paediatric major trauma in recently reported data from Australia</w:t>
      </w:r>
      <w:r w:rsidRPr="004A4751">
        <w:rPr>
          <w:rFonts w:ascii="Arial" w:hAnsi="Arial"/>
          <w:color w:val="auto"/>
          <w:sz w:val="24"/>
          <w:szCs w:val="24"/>
          <w:vertAlign w:val="superscript"/>
        </w:rPr>
        <w:t>15</w:t>
      </w:r>
      <w:r w:rsidRPr="004A4751">
        <w:rPr>
          <w:rFonts w:ascii="Arial" w:hAnsi="Arial"/>
          <w:color w:val="auto"/>
          <w:sz w:val="24"/>
          <w:szCs w:val="24"/>
        </w:rPr>
        <w:t>.</w:t>
      </w:r>
    </w:p>
    <w:p w:rsidR="007F060C" w:rsidRPr="004A4751" w:rsidRDefault="00A40BB8">
      <w:pPr>
        <w:pStyle w:val="BodyBAA"/>
        <w:spacing w:line="360" w:lineRule="auto"/>
        <w:jc w:val="both"/>
        <w:rPr>
          <w:rFonts w:ascii="Arial" w:eastAsia="Arial" w:hAnsi="Arial" w:cs="Arial"/>
          <w:color w:val="auto"/>
          <w:sz w:val="24"/>
          <w:szCs w:val="24"/>
        </w:rPr>
      </w:pPr>
      <w:r w:rsidRPr="004A4751">
        <w:rPr>
          <w:rFonts w:ascii="Arial" w:hAnsi="Arial"/>
          <w:color w:val="auto"/>
          <w:sz w:val="24"/>
          <w:szCs w:val="24"/>
        </w:rPr>
        <w:t>The paper describes a male predominance in adolescent trauma presentations and an increasing incidence with age. It confirms the seasonal and day specific variation seen in adult and paediatric trauma with adolescent trauma more common in summer months and at weekends</w:t>
      </w:r>
      <w:r w:rsidRPr="004A4751">
        <w:rPr>
          <w:rFonts w:ascii="Arial" w:hAnsi="Arial"/>
          <w:color w:val="auto"/>
          <w:sz w:val="24"/>
          <w:szCs w:val="24"/>
          <w:vertAlign w:val="superscript"/>
        </w:rPr>
        <w:t>16,17</w:t>
      </w:r>
      <w:r w:rsidRPr="004A4751">
        <w:rPr>
          <w:rFonts w:ascii="Arial" w:hAnsi="Arial"/>
          <w:color w:val="auto"/>
          <w:sz w:val="24"/>
          <w:szCs w:val="24"/>
        </w:rPr>
        <w:t xml:space="preserve">. Timing of injury noted 6.1% of younger adolescents (10-15 years old) presenting between midnight and 8 a.m. as opposed to 27.5% of those aged 16-24 years. This has a direct impact on staffing models of Major Trauma </w:t>
      </w:r>
      <w:proofErr w:type="spellStart"/>
      <w:r w:rsidRPr="004A4751">
        <w:rPr>
          <w:rFonts w:ascii="Arial" w:hAnsi="Arial"/>
          <w:color w:val="auto"/>
          <w:sz w:val="24"/>
          <w:szCs w:val="24"/>
        </w:rPr>
        <w:t>Centres</w:t>
      </w:r>
      <w:proofErr w:type="spellEnd"/>
      <w:r w:rsidRPr="004A4751">
        <w:rPr>
          <w:rFonts w:ascii="Arial" w:hAnsi="Arial"/>
          <w:color w:val="auto"/>
          <w:sz w:val="24"/>
          <w:szCs w:val="24"/>
        </w:rPr>
        <w:t xml:space="preserve"> and supports current practice of non-resident consultant working overnight in units only caring for those under 16. </w:t>
      </w:r>
    </w:p>
    <w:p w:rsidR="007F060C" w:rsidRPr="004A4751" w:rsidRDefault="00A40BB8">
      <w:pPr>
        <w:pStyle w:val="BodyA"/>
        <w:spacing w:line="360" w:lineRule="auto"/>
        <w:jc w:val="both"/>
        <w:rPr>
          <w:rFonts w:ascii="Arial" w:eastAsia="Arial" w:hAnsi="Arial" w:cs="Arial"/>
          <w:color w:val="auto"/>
          <w:sz w:val="24"/>
          <w:szCs w:val="24"/>
        </w:rPr>
      </w:pPr>
      <w:r w:rsidRPr="004A4751">
        <w:rPr>
          <w:rFonts w:ascii="Arial" w:hAnsi="Arial"/>
          <w:color w:val="auto"/>
          <w:sz w:val="24"/>
          <w:szCs w:val="24"/>
        </w:rPr>
        <w:t>Road traffic collisions (RTC) were consistently the leading cause of trauma in adolescents across the study period accounting for 50.3% of all cases. This comes at a time of rising vehicle safety standards and increased public health measures, such as the introduction of 20mph speed limits.  There was variation between the adolescent sub-groups in how they were injured in RTC’s, suggesting the need for tailored prevention campaigns. A higher proportion were passengers in the 16-24 year group, potentially reflecting the dangers of young drivers transporting friends. Recommendations for a graduated driver’s license and who they transport may have merit.</w:t>
      </w:r>
      <w:r w:rsidRPr="004A4751">
        <w:rPr>
          <w:rFonts w:ascii="Arial" w:hAnsi="Arial"/>
          <w:color w:val="auto"/>
          <w:sz w:val="24"/>
          <w:szCs w:val="24"/>
          <w:vertAlign w:val="superscript"/>
        </w:rPr>
        <w:t>18,19</w:t>
      </w:r>
    </w:p>
    <w:p w:rsidR="007F060C" w:rsidRPr="004A4751" w:rsidRDefault="00A40BB8">
      <w:pPr>
        <w:pStyle w:val="BodyB"/>
        <w:spacing w:after="200" w:line="360" w:lineRule="auto"/>
        <w:jc w:val="both"/>
        <w:rPr>
          <w:rFonts w:ascii="Arial" w:eastAsia="Arial" w:hAnsi="Arial" w:cs="Arial"/>
          <w:color w:val="auto"/>
          <w:shd w:val="clear" w:color="auto" w:fill="FFFF00"/>
        </w:rPr>
      </w:pPr>
      <w:r w:rsidRPr="004A4751">
        <w:rPr>
          <w:rFonts w:ascii="Arial" w:hAnsi="Arial"/>
          <w:color w:val="auto"/>
        </w:rPr>
        <w:t xml:space="preserve">We note with concern the increase in the proportion of presentations related to violence, in particular the increase in reported stabbings with the incidence </w:t>
      </w:r>
      <w:r w:rsidRPr="004A4751">
        <w:rPr>
          <w:rFonts w:ascii="Arial" w:hAnsi="Arial"/>
          <w:color w:val="auto"/>
          <w:u w:color="333333"/>
        </w:rPr>
        <w:t>more than doubling between 2014 and 2017. This corroborates both UK police and hospital data which has shown recent year on year rises in crimes and injuries related to knives and sharp objects of 16 and 14% respectively</w:t>
      </w:r>
      <w:r w:rsidRPr="004A4751">
        <w:rPr>
          <w:rFonts w:ascii="Arial" w:hAnsi="Arial"/>
          <w:color w:val="auto"/>
          <w:u w:color="333333"/>
          <w:vertAlign w:val="superscript"/>
        </w:rPr>
        <w:t>20</w:t>
      </w:r>
      <w:r w:rsidRPr="004A4751">
        <w:rPr>
          <w:rFonts w:ascii="Arial" w:hAnsi="Arial"/>
          <w:color w:val="auto"/>
          <w:u w:color="333333"/>
        </w:rPr>
        <w:t xml:space="preserve">. This </w:t>
      </w:r>
      <w:r w:rsidRPr="004A4751">
        <w:rPr>
          <w:rFonts w:ascii="Arial" w:hAnsi="Arial"/>
          <w:color w:val="auto"/>
          <w:u w:color="333333"/>
        </w:rPr>
        <w:lastRenderedPageBreak/>
        <w:t>holds a particular relevance to paediatric emergency departments (PED), which traditionally had low numbers of stabbings. The increase re-enforces the need for PED’s to ensure trauma skills are maintained and to have a working knowledge of the legislation regarding reporting of stabbings. The increase in stabbings is most likely multifaceted but may be contributed to by an increase in gang related violence in urban areas. Further research is required to confirm this and we note that the UK government does not publish data on reported gang membership</w:t>
      </w:r>
      <w:r w:rsidRPr="004A4751">
        <w:rPr>
          <w:rFonts w:ascii="Arial" w:hAnsi="Arial"/>
          <w:color w:val="auto"/>
          <w:u w:color="333333"/>
          <w:vertAlign w:val="superscript"/>
        </w:rPr>
        <w:t>21</w:t>
      </w:r>
      <w:r w:rsidRPr="004A4751">
        <w:rPr>
          <w:rFonts w:ascii="Arial" w:hAnsi="Arial"/>
          <w:color w:val="auto"/>
          <w:u w:color="333333"/>
        </w:rPr>
        <w:t xml:space="preserve">. We would urge politicians and legislators as well as professionals working in health and education to commit appropriate resource to address this concerning increase. </w:t>
      </w:r>
    </w:p>
    <w:p w:rsidR="007F060C" w:rsidRPr="004A4751" w:rsidRDefault="00A40BB8">
      <w:pPr>
        <w:pStyle w:val="BodyA"/>
        <w:spacing w:line="360" w:lineRule="auto"/>
        <w:jc w:val="both"/>
        <w:rPr>
          <w:rFonts w:ascii="Arial" w:eastAsia="Arial" w:hAnsi="Arial" w:cs="Arial"/>
          <w:color w:val="auto"/>
          <w:sz w:val="24"/>
          <w:szCs w:val="24"/>
          <w:vertAlign w:val="superscript"/>
        </w:rPr>
      </w:pPr>
      <w:r w:rsidRPr="004A4751">
        <w:rPr>
          <w:rFonts w:ascii="Arial" w:hAnsi="Arial"/>
          <w:color w:val="auto"/>
          <w:sz w:val="24"/>
          <w:szCs w:val="24"/>
        </w:rPr>
        <w:t>During the 10-year study period mortality was reported as 4.1%. This however is likely to be an underestimation of true mortality from adolescent trauma as it only records those who die after reaching hospital and not those that die at the scene. While there is no directly comparable data, the number of adolescents dying from trauma may be significantly higher with 1,334 deaths attributed to external causes (also includes poisoning) in England and Wales in 2015 alone</w:t>
      </w:r>
      <w:r w:rsidRPr="004A4751">
        <w:rPr>
          <w:rFonts w:ascii="Arial" w:hAnsi="Arial"/>
          <w:color w:val="auto"/>
          <w:sz w:val="24"/>
          <w:szCs w:val="24"/>
          <w:vertAlign w:val="superscript"/>
        </w:rPr>
        <w:t>22</w:t>
      </w:r>
      <w:r w:rsidRPr="004A4751">
        <w:rPr>
          <w:rFonts w:ascii="Arial" w:hAnsi="Arial"/>
          <w:color w:val="auto"/>
          <w:sz w:val="24"/>
          <w:szCs w:val="24"/>
        </w:rPr>
        <w:t>.</w:t>
      </w:r>
    </w:p>
    <w:p w:rsidR="007F060C" w:rsidRPr="004A4751" w:rsidRDefault="00A40BB8">
      <w:pPr>
        <w:pStyle w:val="BodyBAA"/>
        <w:spacing w:line="360" w:lineRule="auto"/>
        <w:jc w:val="both"/>
        <w:rPr>
          <w:rFonts w:ascii="Arial" w:eastAsia="Arial" w:hAnsi="Arial" w:cs="Arial"/>
          <w:color w:val="auto"/>
          <w:sz w:val="24"/>
          <w:szCs w:val="24"/>
        </w:rPr>
      </w:pPr>
      <w:r w:rsidRPr="004A4751">
        <w:rPr>
          <w:rFonts w:ascii="Arial" w:hAnsi="Arial"/>
          <w:color w:val="auto"/>
          <w:sz w:val="24"/>
          <w:szCs w:val="24"/>
        </w:rPr>
        <w:t>Sub-group analysis highlighted the impact of a pre-existing psychiatric diagnosis and the use of alcohol or drugs on adolescent trauma. Those with a known psychiatric diagnosis had a higher ISS and mortality when compared to those without but this may be a skewed sample given the data base that was interrogated. However, other studies would support this</w:t>
      </w:r>
      <w:r w:rsidRPr="004A4751">
        <w:rPr>
          <w:rFonts w:ascii="Arial" w:hAnsi="Arial"/>
          <w:color w:val="auto"/>
          <w:sz w:val="24"/>
          <w:szCs w:val="24"/>
          <w:vertAlign w:val="superscript"/>
        </w:rPr>
        <w:t>23,24</w:t>
      </w:r>
      <w:r w:rsidRPr="004A4751">
        <w:rPr>
          <w:rFonts w:ascii="Arial" w:hAnsi="Arial"/>
          <w:color w:val="auto"/>
          <w:sz w:val="24"/>
          <w:szCs w:val="24"/>
        </w:rPr>
        <w:t>. Targeted intervention in this ‘at-risk’ group would be warranted. Alcohol and drugs had a role in 20.1% of cases. This would appear lower than that described in the US (21-34% of adolescent trauma patients</w:t>
      </w:r>
      <w:r w:rsidRPr="004A4751">
        <w:rPr>
          <w:rFonts w:ascii="Arial" w:hAnsi="Arial"/>
          <w:color w:val="auto"/>
          <w:sz w:val="24"/>
          <w:szCs w:val="24"/>
          <w:vertAlign w:val="superscript"/>
        </w:rPr>
        <w:t>25,26</w:t>
      </w:r>
      <w:r w:rsidRPr="004A4751">
        <w:rPr>
          <w:rFonts w:ascii="Arial" w:hAnsi="Arial"/>
          <w:color w:val="auto"/>
          <w:sz w:val="24"/>
          <w:szCs w:val="24"/>
        </w:rPr>
        <w:t>).  Although cases involving alcohol and drugs had a higher ISS compared to those without, the opposite was true for mortality, being lower in those who consumed alcohol or drugs. We are unable to explain this finding which is contrary to US data</w:t>
      </w:r>
      <w:r w:rsidRPr="004A4751">
        <w:rPr>
          <w:rFonts w:ascii="Arial" w:hAnsi="Arial"/>
          <w:color w:val="auto"/>
          <w:sz w:val="24"/>
          <w:szCs w:val="24"/>
          <w:vertAlign w:val="superscript"/>
        </w:rPr>
        <w:t>27</w:t>
      </w:r>
      <w:r w:rsidRPr="004A4751">
        <w:rPr>
          <w:rFonts w:ascii="Arial" w:hAnsi="Arial"/>
          <w:color w:val="auto"/>
          <w:sz w:val="24"/>
          <w:szCs w:val="24"/>
        </w:rPr>
        <w:t xml:space="preserve"> and needs further research to help understand its significance. </w:t>
      </w:r>
    </w:p>
    <w:p w:rsidR="007F060C" w:rsidRPr="004A4751" w:rsidRDefault="00A40BB8">
      <w:pPr>
        <w:pStyle w:val="BodyBAA"/>
        <w:spacing w:line="360" w:lineRule="auto"/>
        <w:jc w:val="both"/>
        <w:rPr>
          <w:rFonts w:ascii="Arial" w:eastAsia="Arial" w:hAnsi="Arial" w:cs="Arial"/>
          <w:color w:val="auto"/>
          <w:sz w:val="24"/>
          <w:szCs w:val="24"/>
        </w:rPr>
      </w:pPr>
      <w:r w:rsidRPr="004A4751">
        <w:rPr>
          <w:rFonts w:ascii="Arial" w:hAnsi="Arial"/>
          <w:color w:val="auto"/>
          <w:sz w:val="24"/>
          <w:szCs w:val="24"/>
        </w:rPr>
        <w:t xml:space="preserve">The paper reflects the changes in practice seen in national trauma management in England since the inception of the major trauma networks with the increased numbers seen in MTCs indicating adherence to the trauma </w:t>
      </w:r>
      <w:r w:rsidRPr="004A4751">
        <w:rPr>
          <w:rFonts w:ascii="Arial" w:hAnsi="Arial"/>
          <w:color w:val="auto"/>
          <w:sz w:val="24"/>
          <w:szCs w:val="24"/>
        </w:rPr>
        <w:lastRenderedPageBreak/>
        <w:t xml:space="preserve">bypass process. Parallel work now needs to be undertaken to ascertain whether this has led to improvements in morbidity and mortality for this cohort. There is a mixed national picture of provision between adult, paediatric and mixed major trauma </w:t>
      </w:r>
      <w:proofErr w:type="spellStart"/>
      <w:r w:rsidRPr="004A4751">
        <w:rPr>
          <w:rFonts w:ascii="Arial" w:hAnsi="Arial"/>
          <w:color w:val="auto"/>
          <w:sz w:val="24"/>
          <w:szCs w:val="24"/>
        </w:rPr>
        <w:t>centres</w:t>
      </w:r>
      <w:proofErr w:type="spellEnd"/>
      <w:r w:rsidRPr="004A4751">
        <w:rPr>
          <w:rFonts w:ascii="Arial" w:hAnsi="Arial"/>
          <w:color w:val="auto"/>
          <w:sz w:val="24"/>
          <w:szCs w:val="24"/>
        </w:rPr>
        <w:t>, with variable age cut offs within these services. Further questions need to be asked about where care is best delivered and if there even needs to be consideration of adolescent emergency medicine as an entity in its own right.</w:t>
      </w:r>
    </w:p>
    <w:p w:rsidR="007F060C" w:rsidRPr="004A4751" w:rsidRDefault="00A40BB8">
      <w:pPr>
        <w:pStyle w:val="BodyBAA"/>
        <w:spacing w:line="360" w:lineRule="auto"/>
        <w:rPr>
          <w:rFonts w:ascii="Arial" w:eastAsia="Arial" w:hAnsi="Arial" w:cs="Arial"/>
          <w:b/>
          <w:bCs/>
          <w:i/>
          <w:iCs/>
          <w:color w:val="auto"/>
          <w:sz w:val="24"/>
          <w:szCs w:val="24"/>
        </w:rPr>
      </w:pPr>
      <w:r w:rsidRPr="004A4751">
        <w:rPr>
          <w:rFonts w:ascii="Arial" w:hAnsi="Arial"/>
          <w:b/>
          <w:bCs/>
          <w:i/>
          <w:iCs/>
          <w:color w:val="auto"/>
          <w:sz w:val="24"/>
          <w:szCs w:val="24"/>
        </w:rPr>
        <w:t>Limitations</w:t>
      </w:r>
    </w:p>
    <w:p w:rsidR="007F060C" w:rsidRPr="004A4751" w:rsidRDefault="00A40BB8">
      <w:pPr>
        <w:pStyle w:val="BodyBA"/>
        <w:spacing w:line="360" w:lineRule="auto"/>
        <w:jc w:val="both"/>
        <w:rPr>
          <w:rFonts w:ascii="Arial" w:eastAsia="Arial" w:hAnsi="Arial" w:cs="Arial"/>
          <w:color w:val="auto"/>
        </w:rPr>
      </w:pPr>
      <w:r w:rsidRPr="004A4751">
        <w:rPr>
          <w:rFonts w:ascii="Arial" w:hAnsi="Arial"/>
          <w:color w:val="auto"/>
        </w:rPr>
        <w:t xml:space="preserve">This study used data from England only and may not be </w:t>
      </w:r>
      <w:proofErr w:type="spellStart"/>
      <w:r w:rsidRPr="004A4751">
        <w:rPr>
          <w:rFonts w:ascii="Arial" w:hAnsi="Arial"/>
          <w:color w:val="auto"/>
        </w:rPr>
        <w:t>generalisable</w:t>
      </w:r>
      <w:proofErr w:type="spellEnd"/>
      <w:r w:rsidRPr="004A4751">
        <w:rPr>
          <w:rFonts w:ascii="Arial" w:hAnsi="Arial"/>
          <w:color w:val="auto"/>
        </w:rPr>
        <w:t xml:space="preserve"> over the whole of United Kingdom or internationally. The quality of data from trauma registries is reliant on the quality of data submitted by participating units. The dataset only included those cases that met TARN inclusion criteria. Therefore, cases that died at scene or had injuries that did not meet TARN inclusion criteria were not included in this analysis. Population changes in England did not form part of this analysis which may have impacted on the reported increase in overall trauma and in trauma cases secondary to violence. The data was sub-dived pragmatically into 10-15 and 16-24 years old given the current service delivery of care in the UK. This sub-classification may limit application of these results to international audiences. Finally, we acknowledge the challenge in comparing this data with that previously reported in the UK and internationally due to the differing definitions of an adolescent and the different patterns of injury seen, particularly with the US. We hope that the now accepted age definition of 10-24 years will make future comparative work easier and more reliable.</w:t>
      </w:r>
    </w:p>
    <w:p w:rsidR="007F060C" w:rsidRPr="004A4751" w:rsidRDefault="007F060C">
      <w:pPr>
        <w:pStyle w:val="BodyBA"/>
        <w:spacing w:line="360" w:lineRule="auto"/>
        <w:rPr>
          <w:rFonts w:ascii="Arial" w:eastAsia="Arial" w:hAnsi="Arial" w:cs="Arial"/>
          <w:color w:val="auto"/>
        </w:rPr>
      </w:pPr>
    </w:p>
    <w:p w:rsidR="007F060C" w:rsidRPr="004A4751" w:rsidRDefault="00A40BB8">
      <w:pPr>
        <w:pStyle w:val="BodyBA"/>
        <w:spacing w:line="360" w:lineRule="auto"/>
        <w:rPr>
          <w:rFonts w:ascii="Arial" w:eastAsia="Arial" w:hAnsi="Arial" w:cs="Arial"/>
          <w:b/>
          <w:bCs/>
          <w:i/>
          <w:iCs/>
          <w:color w:val="auto"/>
          <w:sz w:val="28"/>
          <w:szCs w:val="28"/>
        </w:rPr>
      </w:pPr>
      <w:r w:rsidRPr="004A4751">
        <w:rPr>
          <w:rFonts w:ascii="Arial" w:hAnsi="Arial"/>
          <w:b/>
          <w:bCs/>
          <w:i/>
          <w:iCs/>
          <w:color w:val="auto"/>
          <w:sz w:val="28"/>
          <w:szCs w:val="28"/>
        </w:rPr>
        <w:t xml:space="preserve">Conclusions </w:t>
      </w:r>
    </w:p>
    <w:p w:rsidR="007F060C" w:rsidRPr="004A4751" w:rsidRDefault="007F060C">
      <w:pPr>
        <w:pStyle w:val="BodyBA"/>
        <w:spacing w:line="360" w:lineRule="auto"/>
        <w:jc w:val="both"/>
        <w:rPr>
          <w:rFonts w:ascii="Arial" w:eastAsia="Arial" w:hAnsi="Arial" w:cs="Arial"/>
          <w:color w:val="auto"/>
        </w:rPr>
      </w:pPr>
    </w:p>
    <w:p w:rsidR="007F060C" w:rsidRPr="004A4751" w:rsidRDefault="00A40BB8">
      <w:pPr>
        <w:pStyle w:val="BodyBA"/>
        <w:spacing w:after="200" w:line="360" w:lineRule="auto"/>
        <w:jc w:val="both"/>
        <w:rPr>
          <w:rFonts w:ascii="Arial" w:eastAsia="Arial" w:hAnsi="Arial" w:cs="Arial"/>
          <w:color w:val="auto"/>
        </w:rPr>
      </w:pPr>
      <w:r w:rsidRPr="004A4751">
        <w:rPr>
          <w:rFonts w:ascii="Arial" w:hAnsi="Arial"/>
          <w:color w:val="auto"/>
        </w:rPr>
        <w:t xml:space="preserve">The incidence of recorded trauma in England in those aged 10-24 years has increased significantly over the last decade and there has been a concurrent rise in the number of those treated in major trauma </w:t>
      </w:r>
      <w:proofErr w:type="spellStart"/>
      <w:r w:rsidRPr="004A4751">
        <w:rPr>
          <w:rFonts w:ascii="Arial" w:hAnsi="Arial"/>
          <w:color w:val="auto"/>
        </w:rPr>
        <w:t>centres</w:t>
      </w:r>
      <w:proofErr w:type="spellEnd"/>
      <w:r w:rsidRPr="004A4751">
        <w:rPr>
          <w:rFonts w:ascii="Arial" w:hAnsi="Arial"/>
          <w:color w:val="auto"/>
        </w:rPr>
        <w:t xml:space="preserve">. This is likely in part due to improved reporting practice and increased TARN hospital membership but the possibly of a true increase cannot be excluded. There is </w:t>
      </w:r>
      <w:r w:rsidRPr="004A4751">
        <w:rPr>
          <w:rFonts w:ascii="Arial" w:hAnsi="Arial"/>
          <w:color w:val="auto"/>
        </w:rPr>
        <w:lastRenderedPageBreak/>
        <w:t>a summer and weekend predominance in presentations with a considerable proportion of cases reporting alcohol or drug ingestion. While the majority were involved in road traffic collisions the proportion of stabbings has increased. Those with psychiatric comorbidities have a poorer outcome. This paper reminds health care professionals and policy makers of the potential importance of preventative public health measures and early interventions in these at-risk groups to reduce the incidence of trauma in this vulnerable age group.</w:t>
      </w:r>
    </w:p>
    <w:p w:rsidR="007F060C" w:rsidRPr="004A4751" w:rsidRDefault="007F060C">
      <w:pPr>
        <w:pStyle w:val="BodyBA"/>
        <w:spacing w:line="360" w:lineRule="auto"/>
        <w:rPr>
          <w:rFonts w:ascii="Arial" w:eastAsia="Arial" w:hAnsi="Arial" w:cs="Arial"/>
          <w:color w:val="auto"/>
        </w:rPr>
      </w:pPr>
    </w:p>
    <w:p w:rsidR="007F060C" w:rsidRPr="004A4751" w:rsidRDefault="00A40BB8">
      <w:pPr>
        <w:pStyle w:val="BodyBA"/>
        <w:spacing w:line="360" w:lineRule="auto"/>
        <w:rPr>
          <w:rFonts w:ascii="Arial" w:eastAsia="Arial" w:hAnsi="Arial" w:cs="Arial"/>
          <w:b/>
          <w:bCs/>
          <w:i/>
          <w:iCs/>
          <w:color w:val="auto"/>
        </w:rPr>
      </w:pPr>
      <w:r w:rsidRPr="004A4751">
        <w:rPr>
          <w:rFonts w:ascii="Arial" w:hAnsi="Arial"/>
          <w:b/>
          <w:bCs/>
          <w:i/>
          <w:iCs/>
          <w:color w:val="auto"/>
        </w:rPr>
        <w:t>References</w:t>
      </w:r>
    </w:p>
    <w:p w:rsidR="007F060C" w:rsidRPr="004A4751" w:rsidRDefault="00A40BB8">
      <w:pPr>
        <w:pStyle w:val="BodyBA"/>
        <w:numPr>
          <w:ilvl w:val="0"/>
          <w:numId w:val="4"/>
        </w:numPr>
        <w:spacing w:after="200" w:line="360" w:lineRule="auto"/>
        <w:rPr>
          <w:rFonts w:ascii="Arial" w:hAnsi="Arial"/>
          <w:color w:val="auto"/>
          <w:sz w:val="20"/>
          <w:szCs w:val="20"/>
        </w:rPr>
      </w:pPr>
      <w:r w:rsidRPr="004A4751">
        <w:rPr>
          <w:rFonts w:ascii="Arial" w:hAnsi="Arial"/>
          <w:color w:val="auto"/>
          <w:sz w:val="20"/>
          <w:szCs w:val="20"/>
        </w:rPr>
        <w:t xml:space="preserve">RCPCH. State of Child Health report 2017; </w:t>
      </w:r>
      <w:hyperlink r:id="rId7" w:history="1">
        <w:r w:rsidRPr="004A4751">
          <w:rPr>
            <w:rStyle w:val="Hyperlink0"/>
            <w:rFonts w:ascii="Arial" w:hAnsi="Arial"/>
            <w:color w:val="auto"/>
            <w:sz w:val="20"/>
            <w:szCs w:val="20"/>
          </w:rPr>
          <w:t>http://rcpch.ac.uk/state-of-child-health</w:t>
        </w:r>
      </w:hyperlink>
      <w:r w:rsidRPr="004A4751">
        <w:rPr>
          <w:rStyle w:val="None"/>
          <w:rFonts w:ascii="Arial" w:hAnsi="Arial"/>
          <w:color w:val="auto"/>
          <w:sz w:val="20"/>
          <w:szCs w:val="20"/>
        </w:rPr>
        <w:t>; published January 2017</w:t>
      </w:r>
    </w:p>
    <w:p w:rsidR="007F060C" w:rsidRPr="004A4751" w:rsidRDefault="00A40BB8">
      <w:pPr>
        <w:pStyle w:val="BodyBA"/>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rPr>
        <w:t xml:space="preserve">World Health Organization; Recognizing Adolescence 2014; http://apps.who.int/adolescent/second-decade/section2/page1/recognizing-adolescence.html </w:t>
      </w:r>
    </w:p>
    <w:p w:rsidR="007F060C" w:rsidRPr="004A4751" w:rsidRDefault="00A40BB8">
      <w:pPr>
        <w:pStyle w:val="BodyBA"/>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rPr>
        <w:t>UNICEF: https://unicef.org/adolescence/</w:t>
      </w:r>
    </w:p>
    <w:p w:rsidR="007F060C" w:rsidRPr="004A4751" w:rsidRDefault="00A40BB8">
      <w:pPr>
        <w:pStyle w:val="BodyBA"/>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rPr>
        <w:t xml:space="preserve">Sawyer SM, Azzopardi P, Patton G et al; The age of adolescence. The Lancet – Child and Adolescent Health; Published January 17, 2018, </w:t>
      </w:r>
      <w:proofErr w:type="spellStart"/>
      <w:r w:rsidRPr="004A4751">
        <w:rPr>
          <w:rStyle w:val="None"/>
          <w:rFonts w:ascii="Arial" w:hAnsi="Arial"/>
          <w:color w:val="auto"/>
          <w:sz w:val="20"/>
          <w:szCs w:val="20"/>
        </w:rPr>
        <w:t>doi</w:t>
      </w:r>
      <w:proofErr w:type="spellEnd"/>
      <w:r w:rsidRPr="004A4751">
        <w:rPr>
          <w:rStyle w:val="None"/>
          <w:rFonts w:ascii="Arial" w:hAnsi="Arial"/>
          <w:color w:val="auto"/>
          <w:sz w:val="20"/>
          <w:szCs w:val="20"/>
        </w:rPr>
        <w:t xml:space="preserve">: </w:t>
      </w:r>
      <w:hyperlink r:id="rId8" w:history="1">
        <w:r w:rsidRPr="004A4751">
          <w:rPr>
            <w:rStyle w:val="Hyperlink0"/>
            <w:rFonts w:ascii="Arial" w:hAnsi="Arial"/>
            <w:color w:val="auto"/>
            <w:sz w:val="20"/>
            <w:szCs w:val="20"/>
          </w:rPr>
          <w:t>https://doi.org/10.1016/S2352-4642(18)30022-1</w:t>
        </w:r>
      </w:hyperlink>
    </w:p>
    <w:p w:rsidR="007F060C" w:rsidRPr="004A4751" w:rsidRDefault="00A40BB8">
      <w:pPr>
        <w:pStyle w:val="BodyBA"/>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rPr>
        <w:t>Silver, K. Adolescence now lasts from 10 to 24. BBC Website. Viewed 27.5.19. (</w:t>
      </w:r>
      <w:hyperlink r:id="rId9" w:history="1">
        <w:r w:rsidRPr="004A4751">
          <w:rPr>
            <w:rStyle w:val="Hyperlink0"/>
            <w:rFonts w:ascii="Arial" w:hAnsi="Arial"/>
            <w:color w:val="auto"/>
            <w:sz w:val="20"/>
            <w:szCs w:val="20"/>
          </w:rPr>
          <w:t>https://www.bbc.co.uk/news/health-42732442</w:t>
        </w:r>
      </w:hyperlink>
      <w:r w:rsidRPr="004A4751">
        <w:rPr>
          <w:rStyle w:val="None"/>
          <w:rFonts w:ascii="Arial" w:hAnsi="Arial"/>
          <w:color w:val="auto"/>
          <w:sz w:val="20"/>
          <w:szCs w:val="20"/>
        </w:rPr>
        <w:t>)</w:t>
      </w:r>
    </w:p>
    <w:p w:rsidR="007F060C" w:rsidRPr="004A4751" w:rsidRDefault="00A40BB8">
      <w:pPr>
        <w:pStyle w:val="BodyBA"/>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rPr>
        <w:t>Centre for Disease Control and Prevention. Preventing youth violence.  Viewed 27.5.19. (https://www.cdc.gov/violenceprevention/youthviolence/fastfact.html)</w:t>
      </w:r>
    </w:p>
    <w:p w:rsidR="007F060C" w:rsidRPr="004A4751" w:rsidRDefault="00A40BB8">
      <w:pPr>
        <w:pStyle w:val="BodyBA"/>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rPr>
        <w:t xml:space="preserve">Patton, GC, Sawyer SM; Our future: a Lancet commission on adolescent health and wellbeing. Lancet 2016 Jun11;387 (10036): 2423-78. </w:t>
      </w:r>
      <w:proofErr w:type="spellStart"/>
      <w:r w:rsidRPr="004A4751">
        <w:rPr>
          <w:rStyle w:val="None"/>
          <w:rFonts w:ascii="Arial" w:hAnsi="Arial"/>
          <w:color w:val="auto"/>
          <w:sz w:val="20"/>
          <w:szCs w:val="20"/>
        </w:rPr>
        <w:t>doi</w:t>
      </w:r>
      <w:proofErr w:type="spellEnd"/>
      <w:r w:rsidRPr="004A4751">
        <w:rPr>
          <w:rStyle w:val="None"/>
          <w:rFonts w:ascii="Arial" w:hAnsi="Arial"/>
          <w:color w:val="auto"/>
          <w:sz w:val="20"/>
          <w:szCs w:val="20"/>
        </w:rPr>
        <w:t xml:space="preserve">: 10.1016/SO140-6736(16)00579-1. Pub 2016 May 9 </w:t>
      </w:r>
    </w:p>
    <w:p w:rsidR="007F060C" w:rsidRPr="004A4751" w:rsidRDefault="00A40BB8">
      <w:pPr>
        <w:pStyle w:val="BodyBA"/>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rPr>
        <w:t xml:space="preserve">Moran CG, Lecky F, </w:t>
      </w:r>
      <w:proofErr w:type="spellStart"/>
      <w:r w:rsidRPr="004A4751">
        <w:rPr>
          <w:rStyle w:val="None"/>
          <w:rFonts w:ascii="Arial" w:hAnsi="Arial"/>
          <w:color w:val="auto"/>
          <w:sz w:val="20"/>
          <w:szCs w:val="20"/>
        </w:rPr>
        <w:t>Bouamra</w:t>
      </w:r>
      <w:proofErr w:type="spellEnd"/>
      <w:r w:rsidRPr="004A4751">
        <w:rPr>
          <w:rStyle w:val="None"/>
          <w:rFonts w:ascii="Arial" w:hAnsi="Arial"/>
          <w:color w:val="auto"/>
          <w:sz w:val="20"/>
          <w:szCs w:val="20"/>
        </w:rPr>
        <w:t xml:space="preserve"> O, Lawrence T, Edwards A, Woodford M, Willett K, Coats TJ.  Changing the System - Major Trauma Patients and Their Outcomes in the NHS (England)  2008–17, (2018), </w:t>
      </w:r>
      <w:proofErr w:type="spellStart"/>
      <w:r w:rsidRPr="004A4751">
        <w:rPr>
          <w:rStyle w:val="None"/>
          <w:rFonts w:ascii="Arial" w:hAnsi="Arial"/>
          <w:color w:val="auto"/>
          <w:sz w:val="20"/>
          <w:szCs w:val="20"/>
        </w:rPr>
        <w:t>EClinicalMedicine</w:t>
      </w:r>
      <w:proofErr w:type="spellEnd"/>
      <w:r w:rsidRPr="004A4751">
        <w:rPr>
          <w:rStyle w:val="None"/>
          <w:rFonts w:ascii="Arial" w:hAnsi="Arial"/>
          <w:color w:val="auto"/>
          <w:sz w:val="20"/>
          <w:szCs w:val="20"/>
        </w:rPr>
        <w:t> 2–3 (2018) 13–21 </w:t>
      </w:r>
      <w:hyperlink r:id="rId10" w:history="1">
        <w:r w:rsidRPr="004A4751">
          <w:rPr>
            <w:rStyle w:val="Hyperlink0"/>
            <w:rFonts w:ascii="Arial" w:hAnsi="Arial"/>
            <w:color w:val="auto"/>
            <w:sz w:val="20"/>
            <w:szCs w:val="20"/>
          </w:rPr>
          <w:t>https://doi.org/10.1016/j.eclinm.2018.07.001</w:t>
        </w:r>
      </w:hyperlink>
      <w:r w:rsidRPr="004A4751">
        <w:rPr>
          <w:rStyle w:val="None"/>
          <w:rFonts w:ascii="Arial" w:hAnsi="Arial"/>
          <w:color w:val="auto"/>
          <w:sz w:val="20"/>
          <w:szCs w:val="20"/>
        </w:rPr>
        <w:t>.</w:t>
      </w:r>
    </w:p>
    <w:p w:rsidR="007F060C" w:rsidRPr="004A4751" w:rsidRDefault="00A40BB8">
      <w:pPr>
        <w:pStyle w:val="BodyBA"/>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rPr>
        <w:t xml:space="preserve">Price, R. M. and </w:t>
      </w:r>
      <w:proofErr w:type="spellStart"/>
      <w:r w:rsidRPr="004A4751">
        <w:rPr>
          <w:rStyle w:val="None"/>
          <w:rFonts w:ascii="Arial" w:hAnsi="Arial"/>
          <w:color w:val="auto"/>
          <w:sz w:val="20"/>
          <w:szCs w:val="20"/>
        </w:rPr>
        <w:t>Bonett</w:t>
      </w:r>
      <w:proofErr w:type="spellEnd"/>
      <w:r w:rsidRPr="004A4751">
        <w:rPr>
          <w:rStyle w:val="None"/>
          <w:rFonts w:ascii="Arial" w:hAnsi="Arial"/>
          <w:color w:val="auto"/>
          <w:sz w:val="20"/>
          <w:szCs w:val="20"/>
        </w:rPr>
        <w:t>, D. G.  2002.  Distribution-free confidence  intervals for difference and ratio of medians.  Journal of Statistical Computation and Simulation 72(2): 119-124.</w:t>
      </w:r>
    </w:p>
    <w:p w:rsidR="007F060C" w:rsidRPr="004A4751" w:rsidRDefault="00A40BB8">
      <w:pPr>
        <w:pStyle w:val="BodyBA"/>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rPr>
        <w:lastRenderedPageBreak/>
        <w:t>Jones S, Tyson S, Young M, et al Patterns of moderate and severe injury in children after the introduction of major trauma networks Archives of Disease in Childhood 2019;104:366-371</w:t>
      </w:r>
    </w:p>
    <w:p w:rsidR="007F060C" w:rsidRPr="004A4751" w:rsidRDefault="00A40BB8">
      <w:pPr>
        <w:pStyle w:val="BodyBA"/>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rPr>
        <w:t>Kehoe A, Smith JE, Edwards A, et al The changing face of major trauma in the UK Emergency Medicine Journal 2015;32:911-915</w:t>
      </w:r>
    </w:p>
    <w:p w:rsidR="007F060C" w:rsidRPr="004A4751" w:rsidRDefault="00A40BB8">
      <w:pPr>
        <w:pStyle w:val="BodyBA"/>
        <w:numPr>
          <w:ilvl w:val="0"/>
          <w:numId w:val="4"/>
        </w:numPr>
        <w:spacing w:after="200" w:line="360" w:lineRule="auto"/>
        <w:rPr>
          <w:rFonts w:ascii="Arial" w:hAnsi="Arial"/>
          <w:color w:val="auto"/>
          <w:sz w:val="20"/>
          <w:szCs w:val="20"/>
        </w:rPr>
      </w:pPr>
      <w:proofErr w:type="spellStart"/>
      <w:r w:rsidRPr="004A4751">
        <w:rPr>
          <w:rStyle w:val="None"/>
          <w:rFonts w:ascii="Arial" w:hAnsi="Arial"/>
          <w:color w:val="auto"/>
          <w:sz w:val="20"/>
          <w:szCs w:val="20"/>
        </w:rPr>
        <w:t>Hagell</w:t>
      </w:r>
      <w:proofErr w:type="spellEnd"/>
      <w:r w:rsidRPr="004A4751">
        <w:rPr>
          <w:rStyle w:val="None"/>
          <w:rFonts w:ascii="Arial" w:hAnsi="Arial"/>
          <w:color w:val="auto"/>
          <w:sz w:val="20"/>
          <w:szCs w:val="20"/>
        </w:rPr>
        <w:t xml:space="preserve"> A and Shah R (2019) Key Data on Young People 2019. London: Association for Young People’s Health. </w:t>
      </w:r>
    </w:p>
    <w:p w:rsidR="007F060C" w:rsidRPr="004A4751" w:rsidRDefault="00A40BB8">
      <w:pPr>
        <w:pStyle w:val="BodyBA"/>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rPr>
        <w:t>NHS Digital; Hospital Accident and Emergency Activity; views 7/10/2019 (https://digital.nhs.uk/data-and-information/publications/statistical/hospital-accident--emergency-activity)</w:t>
      </w:r>
    </w:p>
    <w:p w:rsidR="007F060C" w:rsidRPr="004A4751" w:rsidRDefault="00A40BB8">
      <w:pPr>
        <w:pStyle w:val="ListParagraph"/>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rPr>
        <w:t>Avraham JB, Bhandari M, </w:t>
      </w:r>
      <w:proofErr w:type="spellStart"/>
      <w:r w:rsidRPr="004A4751">
        <w:rPr>
          <w:rStyle w:val="None"/>
          <w:rFonts w:ascii="Arial" w:hAnsi="Arial"/>
          <w:color w:val="auto"/>
          <w:sz w:val="20"/>
          <w:szCs w:val="20"/>
        </w:rPr>
        <w:t>Frangos</w:t>
      </w:r>
      <w:proofErr w:type="spellEnd"/>
      <w:r w:rsidRPr="004A4751">
        <w:rPr>
          <w:rStyle w:val="None"/>
          <w:rFonts w:ascii="Arial" w:hAnsi="Arial"/>
          <w:color w:val="auto"/>
          <w:sz w:val="20"/>
          <w:szCs w:val="20"/>
        </w:rPr>
        <w:t> SG</w:t>
      </w:r>
      <w:r w:rsidRPr="004A4751">
        <w:rPr>
          <w:rStyle w:val="None"/>
          <w:rFonts w:ascii="Arial" w:hAnsi="Arial"/>
          <w:i/>
          <w:iCs/>
          <w:color w:val="auto"/>
          <w:sz w:val="20"/>
          <w:szCs w:val="20"/>
        </w:rPr>
        <w:t xml:space="preserve">, et al; </w:t>
      </w:r>
      <w:r w:rsidRPr="004A4751">
        <w:rPr>
          <w:rStyle w:val="None"/>
          <w:rFonts w:ascii="Arial" w:hAnsi="Arial"/>
          <w:color w:val="auto"/>
          <w:sz w:val="20"/>
          <w:szCs w:val="20"/>
        </w:rPr>
        <w:t xml:space="preserve">Epidemiology of paediatric trauma presenting to US emergency departments: 2006–2012 </w:t>
      </w:r>
      <w:r w:rsidRPr="004A4751">
        <w:rPr>
          <w:rStyle w:val="None"/>
          <w:rFonts w:ascii="Arial" w:hAnsi="Arial"/>
          <w:i/>
          <w:iCs/>
          <w:color w:val="auto"/>
          <w:sz w:val="20"/>
          <w:szCs w:val="20"/>
        </w:rPr>
        <w:t>Injury Prevention; </w:t>
      </w:r>
      <w:r w:rsidRPr="004A4751">
        <w:rPr>
          <w:rStyle w:val="None"/>
          <w:rFonts w:ascii="Arial" w:hAnsi="Arial"/>
          <w:color w:val="auto"/>
          <w:sz w:val="20"/>
          <w:szCs w:val="20"/>
        </w:rPr>
        <w:t xml:space="preserve">Published Online First: 22 October 2017. </w:t>
      </w:r>
      <w:proofErr w:type="spellStart"/>
      <w:r w:rsidRPr="004A4751">
        <w:rPr>
          <w:rStyle w:val="None"/>
          <w:rFonts w:ascii="Arial" w:hAnsi="Arial"/>
          <w:color w:val="auto"/>
          <w:sz w:val="20"/>
          <w:szCs w:val="20"/>
        </w:rPr>
        <w:t>doi</w:t>
      </w:r>
      <w:proofErr w:type="spellEnd"/>
      <w:r w:rsidRPr="004A4751">
        <w:rPr>
          <w:rStyle w:val="None"/>
          <w:rFonts w:ascii="Arial" w:hAnsi="Arial"/>
          <w:color w:val="auto"/>
          <w:sz w:val="20"/>
          <w:szCs w:val="20"/>
        </w:rPr>
        <w:t>: 10.1136/injuryprev-2017-042435</w:t>
      </w:r>
    </w:p>
    <w:p w:rsidR="007F060C" w:rsidRPr="004A4751" w:rsidRDefault="00A40BB8">
      <w:pPr>
        <w:pStyle w:val="ListParagraph"/>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rPr>
        <w:t xml:space="preserve">Beck B, Teague W, Cameron P, </w:t>
      </w:r>
      <w:proofErr w:type="spellStart"/>
      <w:r w:rsidRPr="004A4751">
        <w:rPr>
          <w:rStyle w:val="None"/>
          <w:rFonts w:ascii="Arial" w:hAnsi="Arial"/>
          <w:color w:val="auto"/>
          <w:sz w:val="20"/>
          <w:szCs w:val="20"/>
        </w:rPr>
        <w:t>Gabbe</w:t>
      </w:r>
      <w:proofErr w:type="spellEnd"/>
      <w:r w:rsidRPr="004A4751">
        <w:rPr>
          <w:rStyle w:val="None"/>
          <w:rFonts w:ascii="Arial" w:hAnsi="Arial"/>
          <w:color w:val="auto"/>
          <w:sz w:val="20"/>
          <w:szCs w:val="20"/>
        </w:rPr>
        <w:t xml:space="preserve"> BJ; Causes and characteristics of injury in paediatric major trauma and trends over time. Arch Dis Child. 2018 Oct 2. </w:t>
      </w:r>
      <w:proofErr w:type="spellStart"/>
      <w:r w:rsidRPr="004A4751">
        <w:rPr>
          <w:rStyle w:val="None"/>
          <w:rFonts w:ascii="Arial" w:hAnsi="Arial"/>
          <w:color w:val="auto"/>
          <w:sz w:val="20"/>
          <w:szCs w:val="20"/>
        </w:rPr>
        <w:t>doi</w:t>
      </w:r>
      <w:proofErr w:type="spellEnd"/>
      <w:r w:rsidRPr="004A4751">
        <w:rPr>
          <w:rStyle w:val="None"/>
          <w:rFonts w:ascii="Arial" w:hAnsi="Arial"/>
          <w:color w:val="auto"/>
          <w:sz w:val="20"/>
          <w:szCs w:val="20"/>
        </w:rPr>
        <w:t>: 10.1136/archdischild-2018-315565. [</w:t>
      </w:r>
      <w:proofErr w:type="spellStart"/>
      <w:r w:rsidRPr="004A4751">
        <w:rPr>
          <w:rStyle w:val="None"/>
          <w:rFonts w:ascii="Arial" w:hAnsi="Arial"/>
          <w:color w:val="auto"/>
          <w:sz w:val="20"/>
          <w:szCs w:val="20"/>
        </w:rPr>
        <w:t>Epub</w:t>
      </w:r>
      <w:proofErr w:type="spellEnd"/>
      <w:r w:rsidRPr="004A4751">
        <w:rPr>
          <w:rStyle w:val="None"/>
          <w:rFonts w:ascii="Arial" w:hAnsi="Arial"/>
          <w:color w:val="auto"/>
          <w:sz w:val="20"/>
          <w:szCs w:val="20"/>
        </w:rPr>
        <w:t xml:space="preserve"> ahead of print]</w:t>
      </w:r>
    </w:p>
    <w:p w:rsidR="007F060C" w:rsidRPr="004A4751" w:rsidRDefault="002C603D">
      <w:pPr>
        <w:pStyle w:val="ListParagraph"/>
        <w:numPr>
          <w:ilvl w:val="0"/>
          <w:numId w:val="4"/>
        </w:numPr>
        <w:spacing w:after="200" w:line="360" w:lineRule="auto"/>
        <w:rPr>
          <w:rFonts w:ascii="Arial" w:eastAsia="Arial" w:hAnsi="Arial" w:cs="Arial"/>
          <w:color w:val="auto"/>
          <w:sz w:val="20"/>
          <w:szCs w:val="20"/>
        </w:rPr>
      </w:pPr>
      <w:hyperlink r:id="rId11" w:history="1">
        <w:r w:rsidR="00A40BB8" w:rsidRPr="004A4751">
          <w:rPr>
            <w:rStyle w:val="Hyperlink1"/>
            <w:rFonts w:ascii="Arial" w:hAnsi="Arial"/>
            <w:color w:val="auto"/>
            <w:sz w:val="20"/>
            <w:szCs w:val="20"/>
          </w:rPr>
          <w:t>Bhattacharyya T</w:t>
        </w:r>
      </w:hyperlink>
      <w:r w:rsidR="00A40BB8" w:rsidRPr="004A4751">
        <w:rPr>
          <w:rStyle w:val="None"/>
          <w:rFonts w:ascii="Arial" w:hAnsi="Arial"/>
          <w:color w:val="auto"/>
          <w:sz w:val="20"/>
          <w:szCs w:val="20"/>
        </w:rPr>
        <w:t>, </w:t>
      </w:r>
      <w:proofErr w:type="spellStart"/>
      <w:r w:rsidR="00A40BB8" w:rsidRPr="004A4751">
        <w:rPr>
          <w:rStyle w:val="Hyperlink1"/>
          <w:color w:val="auto"/>
        </w:rPr>
        <w:fldChar w:fldCharType="begin"/>
      </w:r>
      <w:r w:rsidR="00A40BB8" w:rsidRPr="004A4751">
        <w:rPr>
          <w:rStyle w:val="Hyperlink1"/>
          <w:rFonts w:ascii="Arial" w:eastAsia="Arial" w:hAnsi="Arial" w:cs="Arial"/>
          <w:color w:val="auto"/>
          <w:sz w:val="20"/>
          <w:szCs w:val="20"/>
        </w:rPr>
        <w:instrText xml:space="preserve"> HYPERLINK "https://www.ncbi.nlm.nih.gov/pubmed/?term=Millham%25252525252525252520FH%2525252525252525255BAuthor%2525252525252525255D&amp;cauthor=true&amp;cauthor_uid=11468478"</w:instrText>
      </w:r>
      <w:r w:rsidR="00A40BB8" w:rsidRPr="004A4751">
        <w:rPr>
          <w:rStyle w:val="Hyperlink1"/>
          <w:color w:val="auto"/>
        </w:rPr>
        <w:fldChar w:fldCharType="separate"/>
      </w:r>
      <w:r w:rsidR="00A40BB8" w:rsidRPr="004A4751">
        <w:rPr>
          <w:rStyle w:val="Hyperlink1"/>
          <w:rFonts w:ascii="Arial" w:hAnsi="Arial"/>
          <w:color w:val="auto"/>
          <w:sz w:val="20"/>
          <w:szCs w:val="20"/>
        </w:rPr>
        <w:t>Millham</w:t>
      </w:r>
      <w:proofErr w:type="spellEnd"/>
      <w:r w:rsidR="00A40BB8" w:rsidRPr="004A4751">
        <w:rPr>
          <w:rStyle w:val="Hyperlink1"/>
          <w:rFonts w:ascii="Arial" w:hAnsi="Arial"/>
          <w:color w:val="auto"/>
          <w:sz w:val="20"/>
          <w:szCs w:val="20"/>
        </w:rPr>
        <w:t xml:space="preserve"> FH</w:t>
      </w:r>
      <w:r w:rsidR="00A40BB8" w:rsidRPr="004A4751">
        <w:rPr>
          <w:rFonts w:ascii="Arial" w:eastAsia="Arial" w:hAnsi="Arial" w:cs="Arial"/>
          <w:color w:val="auto"/>
          <w:sz w:val="20"/>
          <w:szCs w:val="20"/>
        </w:rPr>
        <w:fldChar w:fldCharType="end"/>
      </w:r>
      <w:r w:rsidR="00A40BB8" w:rsidRPr="004A4751">
        <w:rPr>
          <w:rStyle w:val="None"/>
          <w:rFonts w:ascii="Arial" w:hAnsi="Arial"/>
          <w:color w:val="auto"/>
          <w:sz w:val="20"/>
          <w:szCs w:val="20"/>
        </w:rPr>
        <w:t xml:space="preserve">; Relationship between weather and seasonal factors and trauma admission volume at a Level I trauma center; </w:t>
      </w:r>
      <w:hyperlink r:id="rId12" w:history="1">
        <w:r w:rsidR="00A40BB8" w:rsidRPr="004A4751">
          <w:rPr>
            <w:rStyle w:val="Hyperlink1"/>
            <w:rFonts w:ascii="Arial" w:hAnsi="Arial"/>
            <w:color w:val="auto"/>
            <w:sz w:val="20"/>
            <w:szCs w:val="20"/>
          </w:rPr>
          <w:t>J Trauma.</w:t>
        </w:r>
      </w:hyperlink>
      <w:r w:rsidR="00A40BB8" w:rsidRPr="004A4751">
        <w:rPr>
          <w:rStyle w:val="None"/>
          <w:rFonts w:ascii="Arial" w:hAnsi="Arial"/>
          <w:color w:val="auto"/>
          <w:sz w:val="20"/>
          <w:szCs w:val="20"/>
        </w:rPr>
        <w:t> 2001 Jul;51(1):118-22.</w:t>
      </w:r>
    </w:p>
    <w:p w:rsidR="007F060C" w:rsidRPr="004A4751" w:rsidRDefault="002C603D">
      <w:pPr>
        <w:pStyle w:val="Heading"/>
        <w:numPr>
          <w:ilvl w:val="0"/>
          <w:numId w:val="4"/>
        </w:numPr>
        <w:spacing w:before="0" w:after="200" w:line="360" w:lineRule="auto"/>
        <w:rPr>
          <w:rFonts w:ascii="Arial" w:eastAsia="Arial" w:hAnsi="Arial" w:cs="Arial"/>
          <w:b w:val="0"/>
          <w:bCs w:val="0"/>
          <w:color w:val="auto"/>
          <w:sz w:val="20"/>
          <w:szCs w:val="20"/>
        </w:rPr>
      </w:pPr>
      <w:hyperlink r:id="rId13" w:history="1">
        <w:r w:rsidR="00A40BB8" w:rsidRPr="004A4751">
          <w:rPr>
            <w:rStyle w:val="Hyperlink2"/>
            <w:rFonts w:ascii="Arial" w:hAnsi="Arial"/>
            <w:b w:val="0"/>
            <w:bCs w:val="0"/>
            <w:color w:val="auto"/>
            <w:sz w:val="20"/>
            <w:szCs w:val="20"/>
          </w:rPr>
          <w:t>Pape-</w:t>
        </w:r>
        <w:proofErr w:type="spellStart"/>
        <w:r w:rsidR="00A40BB8" w:rsidRPr="004A4751">
          <w:rPr>
            <w:rStyle w:val="Hyperlink2"/>
            <w:rFonts w:ascii="Arial" w:hAnsi="Arial"/>
            <w:b w:val="0"/>
            <w:bCs w:val="0"/>
            <w:color w:val="auto"/>
            <w:sz w:val="20"/>
            <w:szCs w:val="20"/>
          </w:rPr>
          <w:t>K</w:t>
        </w:r>
        <w:r w:rsidR="00A40BB8" w:rsidRPr="004A4751">
          <w:rPr>
            <w:rStyle w:val="None"/>
            <w:rFonts w:ascii="Arial" w:hAnsi="Arial"/>
            <w:b w:val="0"/>
            <w:bCs w:val="0"/>
            <w:color w:val="auto"/>
            <w:sz w:val="20"/>
            <w:szCs w:val="20"/>
          </w:rPr>
          <w:t>ö</w:t>
        </w:r>
        <w:r w:rsidR="00A40BB8" w:rsidRPr="004A4751">
          <w:rPr>
            <w:rStyle w:val="None"/>
            <w:rFonts w:ascii="Arial" w:hAnsi="Arial"/>
            <w:b w:val="0"/>
            <w:bCs w:val="0"/>
            <w:color w:val="auto"/>
            <w:sz w:val="20"/>
            <w:szCs w:val="20"/>
            <w:lang w:val="de-DE"/>
          </w:rPr>
          <w:t>hler</w:t>
        </w:r>
        <w:proofErr w:type="spellEnd"/>
        <w:r w:rsidR="00A40BB8" w:rsidRPr="004A4751">
          <w:rPr>
            <w:rStyle w:val="None"/>
            <w:rFonts w:ascii="Arial" w:hAnsi="Arial"/>
            <w:b w:val="0"/>
            <w:bCs w:val="0"/>
            <w:color w:val="auto"/>
            <w:sz w:val="20"/>
            <w:szCs w:val="20"/>
            <w:lang w:val="de-DE"/>
          </w:rPr>
          <w:t xml:space="preserve"> CI</w:t>
        </w:r>
      </w:hyperlink>
      <w:r w:rsidR="00A40BB8" w:rsidRPr="004A4751">
        <w:rPr>
          <w:rStyle w:val="None"/>
          <w:rFonts w:ascii="Arial" w:hAnsi="Arial"/>
          <w:b w:val="0"/>
          <w:bCs w:val="0"/>
          <w:color w:val="auto"/>
          <w:sz w:val="20"/>
          <w:szCs w:val="20"/>
        </w:rPr>
        <w:t>, </w:t>
      </w:r>
      <w:proofErr w:type="spellStart"/>
      <w:r w:rsidR="00A40BB8" w:rsidRPr="004A4751">
        <w:rPr>
          <w:rStyle w:val="Hyperlink2"/>
          <w:rFonts w:eastAsia="Arial"/>
          <w:color w:val="auto"/>
        </w:rPr>
        <w:fldChar w:fldCharType="begin"/>
      </w:r>
      <w:r w:rsidR="00A40BB8" w:rsidRPr="004A4751">
        <w:rPr>
          <w:rStyle w:val="Hyperlink2"/>
          <w:rFonts w:ascii="Arial" w:eastAsia="Arial" w:hAnsi="Arial" w:cs="Arial"/>
          <w:b w:val="0"/>
          <w:bCs w:val="0"/>
          <w:color w:val="auto"/>
          <w:sz w:val="20"/>
          <w:szCs w:val="20"/>
        </w:rPr>
        <w:instrText xml:space="preserve"> HYPERLINK "https://www.ncbi.nlm.nih.gov/pubmed/?term=Simanski%25252525252525252520C%2525252525252525255BAuthor%2525252525252525255D&amp;cauthor=true&amp;cauthor_uid=25284243"</w:instrText>
      </w:r>
      <w:r w:rsidR="00A40BB8" w:rsidRPr="004A4751">
        <w:rPr>
          <w:rStyle w:val="Hyperlink2"/>
          <w:rFonts w:eastAsia="Arial"/>
          <w:color w:val="auto"/>
        </w:rPr>
        <w:fldChar w:fldCharType="separate"/>
      </w:r>
      <w:r w:rsidR="00A40BB8" w:rsidRPr="004A4751">
        <w:rPr>
          <w:rStyle w:val="Hyperlink2"/>
          <w:rFonts w:ascii="Arial" w:hAnsi="Arial"/>
          <w:b w:val="0"/>
          <w:bCs w:val="0"/>
          <w:color w:val="auto"/>
          <w:sz w:val="20"/>
          <w:szCs w:val="20"/>
        </w:rPr>
        <w:t>Simanski</w:t>
      </w:r>
      <w:proofErr w:type="spellEnd"/>
      <w:r w:rsidR="00A40BB8" w:rsidRPr="004A4751">
        <w:rPr>
          <w:rStyle w:val="Hyperlink2"/>
          <w:rFonts w:ascii="Arial" w:hAnsi="Arial"/>
          <w:b w:val="0"/>
          <w:bCs w:val="0"/>
          <w:color w:val="auto"/>
          <w:sz w:val="20"/>
          <w:szCs w:val="20"/>
        </w:rPr>
        <w:t xml:space="preserve"> C</w:t>
      </w:r>
      <w:r w:rsidR="00A40BB8" w:rsidRPr="004A4751">
        <w:rPr>
          <w:rFonts w:ascii="Arial" w:eastAsia="Arial" w:hAnsi="Arial" w:cs="Arial"/>
          <w:b w:val="0"/>
          <w:bCs w:val="0"/>
          <w:color w:val="auto"/>
          <w:sz w:val="20"/>
          <w:szCs w:val="20"/>
        </w:rPr>
        <w:fldChar w:fldCharType="end"/>
      </w:r>
      <w:r w:rsidR="00A40BB8" w:rsidRPr="004A4751">
        <w:rPr>
          <w:rStyle w:val="None"/>
          <w:rFonts w:ascii="Arial" w:hAnsi="Arial"/>
          <w:b w:val="0"/>
          <w:bCs w:val="0"/>
          <w:color w:val="auto"/>
          <w:sz w:val="20"/>
          <w:szCs w:val="20"/>
        </w:rPr>
        <w:t>, </w:t>
      </w:r>
      <w:hyperlink r:id="rId14" w:history="1">
        <w:proofErr w:type="spellStart"/>
        <w:r w:rsidR="00A40BB8" w:rsidRPr="004A4751">
          <w:rPr>
            <w:rStyle w:val="Hyperlink3"/>
            <w:rFonts w:ascii="Arial" w:hAnsi="Arial"/>
            <w:b w:val="0"/>
            <w:bCs w:val="0"/>
            <w:color w:val="auto"/>
            <w:sz w:val="20"/>
            <w:szCs w:val="20"/>
          </w:rPr>
          <w:t>Nienaber</w:t>
        </w:r>
        <w:proofErr w:type="spellEnd"/>
        <w:r w:rsidR="00A40BB8" w:rsidRPr="004A4751">
          <w:rPr>
            <w:rStyle w:val="Hyperlink3"/>
            <w:rFonts w:ascii="Arial" w:hAnsi="Arial"/>
            <w:b w:val="0"/>
            <w:bCs w:val="0"/>
            <w:color w:val="auto"/>
            <w:sz w:val="20"/>
            <w:szCs w:val="20"/>
          </w:rPr>
          <w:t xml:space="preserve"> U</w:t>
        </w:r>
      </w:hyperlink>
      <w:r w:rsidR="00A40BB8" w:rsidRPr="004A4751">
        <w:rPr>
          <w:rStyle w:val="None"/>
          <w:rFonts w:ascii="Arial" w:hAnsi="Arial"/>
          <w:b w:val="0"/>
          <w:bCs w:val="0"/>
          <w:color w:val="auto"/>
          <w:sz w:val="20"/>
          <w:szCs w:val="20"/>
        </w:rPr>
        <w:t>, </w:t>
      </w:r>
      <w:proofErr w:type="spellStart"/>
      <w:r w:rsidR="00FD63B9" w:rsidRPr="004A4751">
        <w:rPr>
          <w:color w:val="auto"/>
        </w:rPr>
        <w:fldChar w:fldCharType="begin"/>
      </w:r>
      <w:r w:rsidR="00FD63B9" w:rsidRPr="004A4751">
        <w:rPr>
          <w:color w:val="auto"/>
        </w:rPr>
        <w:instrText xml:space="preserve"> HYPERLINK "https://www.ncbi.nlm.nih.gov/pubmed/?term=Lefering%25252525252525252520R%2525252525252525255BAuthor%2525252525252525255D&amp;cauthor=true&amp;cauthor_uid=25284243" </w:instrText>
      </w:r>
      <w:r w:rsidR="00FD63B9" w:rsidRPr="004A4751">
        <w:rPr>
          <w:color w:val="auto"/>
        </w:rPr>
        <w:fldChar w:fldCharType="separate"/>
      </w:r>
      <w:r w:rsidR="00A40BB8" w:rsidRPr="004A4751">
        <w:rPr>
          <w:rStyle w:val="Hyperlink4"/>
          <w:rFonts w:ascii="Arial" w:hAnsi="Arial"/>
          <w:b w:val="0"/>
          <w:bCs w:val="0"/>
          <w:color w:val="auto"/>
          <w:sz w:val="20"/>
          <w:szCs w:val="20"/>
        </w:rPr>
        <w:t>Lefering</w:t>
      </w:r>
      <w:proofErr w:type="spellEnd"/>
      <w:r w:rsidR="00A40BB8" w:rsidRPr="004A4751">
        <w:rPr>
          <w:rStyle w:val="Hyperlink4"/>
          <w:rFonts w:ascii="Arial" w:hAnsi="Arial"/>
          <w:b w:val="0"/>
          <w:bCs w:val="0"/>
          <w:color w:val="auto"/>
          <w:sz w:val="20"/>
          <w:szCs w:val="20"/>
        </w:rPr>
        <w:t xml:space="preserve"> R</w:t>
      </w:r>
      <w:r w:rsidR="00FD63B9" w:rsidRPr="004A4751">
        <w:rPr>
          <w:rStyle w:val="Hyperlink4"/>
          <w:rFonts w:ascii="Arial" w:hAnsi="Arial"/>
          <w:b w:val="0"/>
          <w:bCs w:val="0"/>
          <w:color w:val="auto"/>
          <w:sz w:val="20"/>
          <w:szCs w:val="20"/>
        </w:rPr>
        <w:fldChar w:fldCharType="end"/>
      </w:r>
      <w:r w:rsidR="00A40BB8" w:rsidRPr="004A4751">
        <w:rPr>
          <w:rStyle w:val="None"/>
          <w:rFonts w:ascii="Arial" w:hAnsi="Arial"/>
          <w:b w:val="0"/>
          <w:bCs w:val="0"/>
          <w:color w:val="auto"/>
          <w:sz w:val="20"/>
          <w:szCs w:val="20"/>
        </w:rPr>
        <w:t xml:space="preserve">; External factors and the incidence of severe trauma: time, date, season and moon. Injury. 2014 Oct;45 Suppl 3:S93-9. </w:t>
      </w:r>
      <w:proofErr w:type="spellStart"/>
      <w:r w:rsidR="00A40BB8" w:rsidRPr="004A4751">
        <w:rPr>
          <w:rStyle w:val="None"/>
          <w:rFonts w:ascii="Arial" w:hAnsi="Arial"/>
          <w:b w:val="0"/>
          <w:bCs w:val="0"/>
          <w:color w:val="auto"/>
          <w:sz w:val="20"/>
          <w:szCs w:val="20"/>
        </w:rPr>
        <w:t>doi</w:t>
      </w:r>
      <w:proofErr w:type="spellEnd"/>
      <w:r w:rsidR="00A40BB8" w:rsidRPr="004A4751">
        <w:rPr>
          <w:rStyle w:val="None"/>
          <w:rFonts w:ascii="Arial" w:hAnsi="Arial"/>
          <w:b w:val="0"/>
          <w:bCs w:val="0"/>
          <w:color w:val="auto"/>
          <w:sz w:val="20"/>
          <w:szCs w:val="20"/>
        </w:rPr>
        <w:t>: 10.1016/j.injury.2014.08.027.</w:t>
      </w:r>
    </w:p>
    <w:p w:rsidR="007F060C" w:rsidRPr="004A4751" w:rsidRDefault="00A40BB8">
      <w:pPr>
        <w:pStyle w:val="ListParagraph"/>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shd w:val="clear" w:color="auto" w:fill="FFFFFF"/>
        </w:rPr>
        <w:t xml:space="preserve">Russell KF, </w:t>
      </w:r>
      <w:proofErr w:type="spellStart"/>
      <w:r w:rsidRPr="004A4751">
        <w:rPr>
          <w:rStyle w:val="None"/>
          <w:rFonts w:ascii="Arial" w:hAnsi="Arial"/>
          <w:color w:val="auto"/>
          <w:sz w:val="20"/>
          <w:szCs w:val="20"/>
          <w:shd w:val="clear" w:color="auto" w:fill="FFFFFF"/>
        </w:rPr>
        <w:t>Vandermeer</w:t>
      </w:r>
      <w:proofErr w:type="spellEnd"/>
      <w:r w:rsidRPr="004A4751">
        <w:rPr>
          <w:rStyle w:val="None"/>
          <w:rFonts w:ascii="Arial" w:hAnsi="Arial"/>
          <w:color w:val="auto"/>
          <w:sz w:val="20"/>
          <w:szCs w:val="20"/>
          <w:shd w:val="clear" w:color="auto" w:fill="FFFFFF"/>
        </w:rPr>
        <w:t xml:space="preserve"> B, Hartling L; Graduated driver licensing for reducing motor vehicle crashes among young drivers. Cochrane Database of Systematic Reviews 2011, Issue 10. Art. No.: CD003300. DOI: 10.1002/14651858.CD003300.pub3</w:t>
      </w:r>
    </w:p>
    <w:p w:rsidR="007F060C" w:rsidRPr="004A4751" w:rsidRDefault="00A40BB8">
      <w:pPr>
        <w:pStyle w:val="ListParagraph"/>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rPr>
        <w:t xml:space="preserve">Williams AF; Young driver risk factors: successful and unsuccessful approaches for dealing with them and an agenda for the future. </w:t>
      </w:r>
      <w:proofErr w:type="spellStart"/>
      <w:r w:rsidRPr="004A4751">
        <w:rPr>
          <w:rStyle w:val="None"/>
          <w:rFonts w:ascii="Arial" w:hAnsi="Arial"/>
          <w:color w:val="auto"/>
          <w:sz w:val="20"/>
          <w:szCs w:val="20"/>
        </w:rPr>
        <w:t>Inj</w:t>
      </w:r>
      <w:proofErr w:type="spellEnd"/>
      <w:r w:rsidRPr="004A4751">
        <w:rPr>
          <w:rStyle w:val="None"/>
          <w:rFonts w:ascii="Arial" w:hAnsi="Arial"/>
          <w:color w:val="auto"/>
          <w:sz w:val="20"/>
          <w:szCs w:val="20"/>
        </w:rPr>
        <w:t xml:space="preserve"> Prev. 2006 Jun;12 Suppl 1:i4-8.</w:t>
      </w:r>
    </w:p>
    <w:p w:rsidR="007F060C" w:rsidRPr="004A4751" w:rsidRDefault="00A40BB8">
      <w:pPr>
        <w:pStyle w:val="BodyBA"/>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rPr>
        <w:t>Office for National Statistics; Crime in England and Wales: year ending March 2018; London; ONS</w:t>
      </w:r>
    </w:p>
    <w:p w:rsidR="007F060C" w:rsidRPr="004A4751" w:rsidRDefault="00A40BB8">
      <w:pPr>
        <w:pStyle w:val="BodyBA"/>
        <w:numPr>
          <w:ilvl w:val="0"/>
          <w:numId w:val="4"/>
        </w:numPr>
        <w:spacing w:after="200" w:line="360" w:lineRule="auto"/>
        <w:rPr>
          <w:rFonts w:ascii="Arial" w:hAnsi="Arial"/>
          <w:color w:val="auto"/>
          <w:sz w:val="20"/>
          <w:szCs w:val="20"/>
        </w:rPr>
      </w:pPr>
      <w:proofErr w:type="spellStart"/>
      <w:r w:rsidRPr="004A4751">
        <w:rPr>
          <w:rStyle w:val="None"/>
          <w:rFonts w:ascii="Arial" w:hAnsi="Arial"/>
          <w:color w:val="auto"/>
          <w:sz w:val="20"/>
          <w:szCs w:val="20"/>
        </w:rPr>
        <w:t>Politowski</w:t>
      </w:r>
      <w:proofErr w:type="spellEnd"/>
      <w:r w:rsidRPr="004A4751">
        <w:rPr>
          <w:rStyle w:val="None"/>
          <w:rFonts w:ascii="Arial" w:hAnsi="Arial"/>
          <w:color w:val="auto"/>
          <w:sz w:val="20"/>
          <w:szCs w:val="20"/>
        </w:rPr>
        <w:t xml:space="preserve"> B; Gangs and Serious Youth Violence. House of Commons Library. February 2016 Number 2016/045. London </w:t>
      </w:r>
    </w:p>
    <w:p w:rsidR="007F060C" w:rsidRPr="004A4751" w:rsidRDefault="00A40BB8">
      <w:pPr>
        <w:pStyle w:val="Heading"/>
        <w:numPr>
          <w:ilvl w:val="0"/>
          <w:numId w:val="4"/>
        </w:numPr>
        <w:spacing w:before="0" w:after="200" w:line="360" w:lineRule="auto"/>
        <w:rPr>
          <w:rFonts w:ascii="Arial" w:hAnsi="Arial"/>
          <w:b w:val="0"/>
          <w:bCs w:val="0"/>
          <w:color w:val="auto"/>
          <w:sz w:val="20"/>
          <w:szCs w:val="20"/>
        </w:rPr>
      </w:pPr>
      <w:r w:rsidRPr="004A4751">
        <w:rPr>
          <w:rStyle w:val="None"/>
          <w:rFonts w:ascii="Arial" w:hAnsi="Arial"/>
          <w:b w:val="0"/>
          <w:bCs w:val="0"/>
          <w:color w:val="auto"/>
          <w:sz w:val="20"/>
          <w:szCs w:val="20"/>
        </w:rPr>
        <w:t xml:space="preserve">Office for National Statistics. Health Analysis and Life Events, Public Policy Analysis. (2018). Number of deaths by selected causes, sex, age and place of </w:t>
      </w:r>
      <w:r w:rsidRPr="004A4751">
        <w:rPr>
          <w:rStyle w:val="None"/>
          <w:rFonts w:ascii="Arial" w:hAnsi="Arial"/>
          <w:b w:val="0"/>
          <w:bCs w:val="0"/>
          <w:color w:val="auto"/>
          <w:sz w:val="20"/>
          <w:szCs w:val="20"/>
        </w:rPr>
        <w:lastRenderedPageBreak/>
        <w:t xml:space="preserve">death, deaths registered in England and Wales, 2006 to 2016. UK Data Service. Retrieved from https://www.ons.gov.uk/peoplepopulationandcommunity/healthandsocialcare/causesofdeath/adhocs/008466numberofdeathsbyselectedcausessexageandplaceofdeathdeathsregisteredinenglandandwales2006to2016. </w:t>
      </w:r>
    </w:p>
    <w:p w:rsidR="007F060C" w:rsidRPr="004A4751" w:rsidRDefault="00A40BB8">
      <w:pPr>
        <w:pStyle w:val="Heading"/>
        <w:numPr>
          <w:ilvl w:val="0"/>
          <w:numId w:val="4"/>
        </w:numPr>
        <w:spacing w:before="0" w:after="200" w:line="360" w:lineRule="auto"/>
        <w:rPr>
          <w:rFonts w:ascii="Arial" w:hAnsi="Arial"/>
          <w:b w:val="0"/>
          <w:bCs w:val="0"/>
          <w:color w:val="auto"/>
          <w:sz w:val="20"/>
          <w:szCs w:val="20"/>
        </w:rPr>
      </w:pPr>
      <w:proofErr w:type="spellStart"/>
      <w:r w:rsidRPr="004A4751">
        <w:rPr>
          <w:rStyle w:val="None"/>
          <w:rFonts w:ascii="Arial" w:hAnsi="Arial"/>
          <w:b w:val="0"/>
          <w:bCs w:val="0"/>
          <w:color w:val="auto"/>
          <w:sz w:val="20"/>
          <w:szCs w:val="20"/>
        </w:rPr>
        <w:t>Falsgraf</w:t>
      </w:r>
      <w:proofErr w:type="spellEnd"/>
      <w:r w:rsidRPr="004A4751">
        <w:rPr>
          <w:rStyle w:val="None"/>
          <w:rFonts w:ascii="Arial" w:hAnsi="Arial"/>
          <w:b w:val="0"/>
          <w:bCs w:val="0"/>
          <w:color w:val="auto"/>
          <w:sz w:val="20"/>
          <w:szCs w:val="20"/>
        </w:rPr>
        <w:t xml:space="preserve"> E, Inaba, Kenji M, de </w:t>
      </w:r>
      <w:proofErr w:type="spellStart"/>
      <w:r w:rsidRPr="004A4751">
        <w:rPr>
          <w:rStyle w:val="None"/>
          <w:rFonts w:ascii="Arial" w:hAnsi="Arial"/>
          <w:b w:val="0"/>
          <w:bCs w:val="0"/>
          <w:color w:val="auto"/>
          <w:sz w:val="20"/>
          <w:szCs w:val="20"/>
        </w:rPr>
        <w:t>Roulet</w:t>
      </w:r>
      <w:proofErr w:type="spellEnd"/>
      <w:r w:rsidRPr="004A4751">
        <w:rPr>
          <w:rStyle w:val="None"/>
          <w:rFonts w:ascii="Arial" w:hAnsi="Arial"/>
          <w:b w:val="0"/>
          <w:bCs w:val="0"/>
          <w:color w:val="auto"/>
          <w:sz w:val="20"/>
          <w:szCs w:val="20"/>
        </w:rPr>
        <w:t xml:space="preserve"> A et.al; Outcomes after traumatic injury in patients with preexisting psychiatric illness Journal of </w:t>
      </w:r>
      <w:r w:rsidRPr="004A4751">
        <w:rPr>
          <w:rStyle w:val="None"/>
          <w:rFonts w:ascii="Arial" w:hAnsi="Arial"/>
          <w:b w:val="0"/>
          <w:bCs w:val="0"/>
          <w:color w:val="auto"/>
          <w:sz w:val="20"/>
          <w:szCs w:val="20"/>
          <w:lang w:val="de-DE"/>
        </w:rPr>
        <w:t>Trauma</w:t>
      </w:r>
      <w:r w:rsidRPr="004A4751">
        <w:rPr>
          <w:rStyle w:val="None"/>
          <w:rFonts w:ascii="Arial" w:hAnsi="Arial"/>
          <w:b w:val="0"/>
          <w:bCs w:val="0"/>
          <w:color w:val="auto"/>
          <w:sz w:val="20"/>
          <w:szCs w:val="20"/>
        </w:rPr>
        <w:t> and Acute Care Surgery: </w:t>
      </w:r>
      <w:hyperlink r:id="rId15" w:history="1">
        <w:r w:rsidRPr="004A4751">
          <w:rPr>
            <w:rStyle w:val="Hyperlink5"/>
            <w:rFonts w:ascii="Arial" w:hAnsi="Arial"/>
            <w:b w:val="0"/>
            <w:bCs w:val="0"/>
            <w:color w:val="auto"/>
            <w:sz w:val="20"/>
            <w:szCs w:val="20"/>
          </w:rPr>
          <w:t>November 2017 - Volume 83 - Issue 5 - p 882</w:t>
        </w:r>
        <w:r w:rsidRPr="004A4751">
          <w:rPr>
            <w:rStyle w:val="None"/>
            <w:rFonts w:ascii="Arial" w:hAnsi="Arial"/>
            <w:b w:val="0"/>
            <w:bCs w:val="0"/>
            <w:color w:val="auto"/>
            <w:sz w:val="20"/>
            <w:szCs w:val="20"/>
            <w:u w:color="0000FF"/>
          </w:rPr>
          <w:t>–</w:t>
        </w:r>
        <w:r w:rsidRPr="004A4751">
          <w:rPr>
            <w:rStyle w:val="None"/>
            <w:rFonts w:ascii="Arial" w:hAnsi="Arial"/>
            <w:b w:val="0"/>
            <w:bCs w:val="0"/>
            <w:color w:val="auto"/>
            <w:sz w:val="20"/>
            <w:szCs w:val="20"/>
            <w:u w:val="single"/>
          </w:rPr>
          <w:t>887</w:t>
        </w:r>
      </w:hyperlink>
      <w:r w:rsidRPr="004A4751">
        <w:rPr>
          <w:rStyle w:val="None"/>
          <w:rFonts w:ascii="Arial" w:hAnsi="Arial"/>
          <w:b w:val="0"/>
          <w:bCs w:val="0"/>
          <w:color w:val="auto"/>
          <w:sz w:val="20"/>
          <w:szCs w:val="20"/>
          <w:lang w:val="pt-PT"/>
        </w:rPr>
        <w:t xml:space="preserve"> </w:t>
      </w:r>
      <w:proofErr w:type="spellStart"/>
      <w:r w:rsidRPr="004A4751">
        <w:rPr>
          <w:rStyle w:val="None"/>
          <w:rFonts w:ascii="Arial" w:hAnsi="Arial"/>
          <w:b w:val="0"/>
          <w:bCs w:val="0"/>
          <w:color w:val="auto"/>
          <w:sz w:val="20"/>
          <w:szCs w:val="20"/>
          <w:lang w:val="pt-PT"/>
        </w:rPr>
        <w:t>doi</w:t>
      </w:r>
      <w:proofErr w:type="spellEnd"/>
      <w:r w:rsidRPr="004A4751">
        <w:rPr>
          <w:rStyle w:val="None"/>
          <w:rFonts w:ascii="Arial" w:hAnsi="Arial"/>
          <w:b w:val="0"/>
          <w:bCs w:val="0"/>
          <w:color w:val="auto"/>
          <w:sz w:val="20"/>
          <w:szCs w:val="20"/>
          <w:lang w:val="pt-PT"/>
        </w:rPr>
        <w:t>: 10.1097/TA.0000000000001588</w:t>
      </w:r>
    </w:p>
    <w:p w:rsidR="007F060C" w:rsidRPr="004A4751" w:rsidRDefault="00A40BB8">
      <w:pPr>
        <w:pStyle w:val="ListParagraph"/>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shd w:val="clear" w:color="auto" w:fill="FFFFFF"/>
        </w:rPr>
        <w:t>Herbert A, Gilbert R, González-</w:t>
      </w:r>
      <w:proofErr w:type="spellStart"/>
      <w:r w:rsidRPr="004A4751">
        <w:rPr>
          <w:rStyle w:val="None"/>
          <w:rFonts w:ascii="Arial" w:hAnsi="Arial"/>
          <w:color w:val="auto"/>
          <w:sz w:val="20"/>
          <w:szCs w:val="20"/>
          <w:shd w:val="clear" w:color="auto" w:fill="FFFFFF"/>
        </w:rPr>
        <w:t>Izquierdo</w:t>
      </w:r>
      <w:proofErr w:type="spellEnd"/>
      <w:r w:rsidRPr="004A4751">
        <w:rPr>
          <w:rStyle w:val="None"/>
          <w:rFonts w:ascii="Arial" w:hAnsi="Arial"/>
          <w:color w:val="auto"/>
          <w:sz w:val="20"/>
          <w:szCs w:val="20"/>
          <w:shd w:val="clear" w:color="auto" w:fill="FFFFFF"/>
        </w:rPr>
        <w:t xml:space="preserve"> A, Pitman A et.al; 10-y Risks of Death and Emergency Re-admission in Adolescents </w:t>
      </w:r>
      <w:proofErr w:type="spellStart"/>
      <w:r w:rsidRPr="004A4751">
        <w:rPr>
          <w:rStyle w:val="None"/>
          <w:rFonts w:ascii="Arial" w:hAnsi="Arial"/>
          <w:color w:val="auto"/>
          <w:sz w:val="20"/>
          <w:szCs w:val="20"/>
          <w:shd w:val="clear" w:color="auto" w:fill="FFFFFF"/>
        </w:rPr>
        <w:t>Hospitalised</w:t>
      </w:r>
      <w:proofErr w:type="spellEnd"/>
      <w:r w:rsidRPr="004A4751">
        <w:rPr>
          <w:rStyle w:val="None"/>
          <w:rFonts w:ascii="Arial" w:hAnsi="Arial"/>
          <w:color w:val="auto"/>
          <w:sz w:val="20"/>
          <w:szCs w:val="20"/>
          <w:shd w:val="clear" w:color="auto" w:fill="FFFFFF"/>
        </w:rPr>
        <w:t xml:space="preserve"> with Violent, Drug- or Alcohol-Related, or Self-Inflicted Injury: A Population-Based Cohort Study. Hay PJ, ed. </w:t>
      </w:r>
      <w:proofErr w:type="spellStart"/>
      <w:r w:rsidRPr="004A4751">
        <w:rPr>
          <w:rStyle w:val="None"/>
          <w:rFonts w:ascii="Arial" w:hAnsi="Arial"/>
          <w:i/>
          <w:iCs/>
          <w:color w:val="auto"/>
          <w:sz w:val="20"/>
          <w:szCs w:val="20"/>
        </w:rPr>
        <w:t>PLoS</w:t>
      </w:r>
      <w:proofErr w:type="spellEnd"/>
      <w:r w:rsidRPr="004A4751">
        <w:rPr>
          <w:rStyle w:val="None"/>
          <w:rFonts w:ascii="Arial" w:hAnsi="Arial"/>
          <w:i/>
          <w:iCs/>
          <w:color w:val="auto"/>
          <w:sz w:val="20"/>
          <w:szCs w:val="20"/>
        </w:rPr>
        <w:t xml:space="preserve"> Medicine</w:t>
      </w:r>
      <w:r w:rsidRPr="004A4751">
        <w:rPr>
          <w:rStyle w:val="None"/>
          <w:rFonts w:ascii="Arial" w:hAnsi="Arial"/>
          <w:color w:val="auto"/>
          <w:sz w:val="20"/>
          <w:szCs w:val="20"/>
          <w:shd w:val="clear" w:color="auto" w:fill="FFFFFF"/>
        </w:rPr>
        <w:t>. 2015;12(12):e1001931. doi:10.1371/journal.pmed.1001931.</w:t>
      </w:r>
    </w:p>
    <w:p w:rsidR="007F060C" w:rsidRPr="004A4751" w:rsidRDefault="00A40BB8">
      <w:pPr>
        <w:pStyle w:val="ListParagraph"/>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rPr>
        <w:t>Spain DA, Boaz PW, Davidson DJ, Miller FB et. al; Risk-Taking Behaviors among Adolescent Trauma Patients Journal of Trauma and Acute Care Surgery: </w:t>
      </w:r>
      <w:hyperlink r:id="rId16" w:history="1">
        <w:r w:rsidRPr="004A4751">
          <w:rPr>
            <w:rStyle w:val="Hyperlink1"/>
            <w:rFonts w:ascii="Arial" w:hAnsi="Arial"/>
            <w:color w:val="auto"/>
            <w:sz w:val="20"/>
            <w:szCs w:val="20"/>
          </w:rPr>
          <w:t>September 1997 - Volume 43 - Issue 3 - p 423-426</w:t>
        </w:r>
      </w:hyperlink>
    </w:p>
    <w:p w:rsidR="007F060C" w:rsidRPr="004A4751" w:rsidRDefault="00A40BB8">
      <w:pPr>
        <w:pStyle w:val="ListParagraph"/>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rPr>
        <w:t xml:space="preserve">Loiselle, John M et al; Substance abuse in adolescent trauma Annals of Emergency Medicine, Volume 22 , Issue 10 , 1530 - 1534 </w:t>
      </w:r>
    </w:p>
    <w:p w:rsidR="007F060C" w:rsidRPr="004A4751" w:rsidRDefault="00A40BB8">
      <w:pPr>
        <w:pStyle w:val="ListParagraph"/>
        <w:numPr>
          <w:ilvl w:val="0"/>
          <w:numId w:val="4"/>
        </w:numPr>
        <w:spacing w:after="200" w:line="360" w:lineRule="auto"/>
        <w:rPr>
          <w:rFonts w:ascii="Arial" w:hAnsi="Arial"/>
          <w:color w:val="auto"/>
          <w:sz w:val="20"/>
          <w:szCs w:val="20"/>
        </w:rPr>
      </w:pPr>
      <w:r w:rsidRPr="004A4751">
        <w:rPr>
          <w:rStyle w:val="None"/>
          <w:rFonts w:ascii="Arial" w:hAnsi="Arial"/>
          <w:color w:val="auto"/>
          <w:sz w:val="20"/>
          <w:szCs w:val="20"/>
        </w:rPr>
        <w:t xml:space="preserve">Aziz, Hassan MD; </w:t>
      </w:r>
      <w:proofErr w:type="spellStart"/>
      <w:r w:rsidRPr="004A4751">
        <w:rPr>
          <w:rStyle w:val="None"/>
          <w:rFonts w:ascii="Arial" w:hAnsi="Arial"/>
          <w:color w:val="auto"/>
          <w:sz w:val="20"/>
          <w:szCs w:val="20"/>
        </w:rPr>
        <w:t>Siordia</w:t>
      </w:r>
      <w:proofErr w:type="spellEnd"/>
      <w:r w:rsidRPr="004A4751">
        <w:rPr>
          <w:rStyle w:val="None"/>
          <w:rFonts w:ascii="Arial" w:hAnsi="Arial"/>
          <w:color w:val="auto"/>
          <w:sz w:val="20"/>
          <w:szCs w:val="20"/>
        </w:rPr>
        <w:t xml:space="preserve">, Juan A. MD; Rhee, Peter MD; Pandit, Viraj MD; O’Keeffe, Terence MD; </w:t>
      </w:r>
      <w:proofErr w:type="spellStart"/>
      <w:r w:rsidRPr="004A4751">
        <w:rPr>
          <w:rStyle w:val="None"/>
          <w:rFonts w:ascii="Arial" w:hAnsi="Arial"/>
          <w:color w:val="auto"/>
          <w:sz w:val="20"/>
          <w:szCs w:val="20"/>
        </w:rPr>
        <w:t>Kulvatunyou</w:t>
      </w:r>
      <w:proofErr w:type="spellEnd"/>
      <w:r w:rsidRPr="004A4751">
        <w:rPr>
          <w:rStyle w:val="None"/>
          <w:rFonts w:ascii="Arial" w:hAnsi="Arial"/>
          <w:color w:val="auto"/>
          <w:sz w:val="20"/>
          <w:szCs w:val="20"/>
        </w:rPr>
        <w:t xml:space="preserve">, Narong MD; Joseph, </w:t>
      </w:r>
      <w:proofErr w:type="spellStart"/>
      <w:r w:rsidRPr="004A4751">
        <w:rPr>
          <w:rStyle w:val="None"/>
          <w:rFonts w:ascii="Arial" w:hAnsi="Arial"/>
          <w:color w:val="auto"/>
          <w:sz w:val="20"/>
          <w:szCs w:val="20"/>
        </w:rPr>
        <w:t>Bellal</w:t>
      </w:r>
      <w:proofErr w:type="spellEnd"/>
      <w:r w:rsidRPr="004A4751">
        <w:rPr>
          <w:rStyle w:val="None"/>
          <w:rFonts w:ascii="Arial" w:hAnsi="Arial"/>
          <w:color w:val="auto"/>
          <w:sz w:val="20"/>
          <w:szCs w:val="20"/>
        </w:rPr>
        <w:t xml:space="preserve"> MD Analyzing the effects of alcohol on adolescent trauma using the National Trauma Data Bank Journal of Trauma and Acute Care Surgery: </w:t>
      </w:r>
      <w:hyperlink r:id="rId17" w:history="1">
        <w:r w:rsidRPr="004A4751">
          <w:rPr>
            <w:rStyle w:val="Hyperlink1"/>
            <w:rFonts w:ascii="Arial" w:hAnsi="Arial"/>
            <w:color w:val="auto"/>
            <w:sz w:val="20"/>
            <w:szCs w:val="20"/>
          </w:rPr>
          <w:t>September 2015 - Volume 79 - Issue 3 - p 463–467</w:t>
        </w:r>
      </w:hyperlink>
      <w:r w:rsidRPr="004A4751">
        <w:rPr>
          <w:rStyle w:val="None"/>
          <w:rFonts w:ascii="Arial" w:hAnsi="Arial"/>
          <w:color w:val="auto"/>
          <w:sz w:val="20"/>
          <w:szCs w:val="20"/>
        </w:rPr>
        <w:t xml:space="preserve"> </w:t>
      </w:r>
      <w:proofErr w:type="spellStart"/>
      <w:r w:rsidRPr="004A4751">
        <w:rPr>
          <w:rStyle w:val="None"/>
          <w:rFonts w:ascii="Arial" w:hAnsi="Arial"/>
          <w:color w:val="auto"/>
          <w:sz w:val="20"/>
          <w:szCs w:val="20"/>
        </w:rPr>
        <w:t>doi</w:t>
      </w:r>
      <w:proofErr w:type="spellEnd"/>
      <w:r w:rsidRPr="004A4751">
        <w:rPr>
          <w:rStyle w:val="None"/>
          <w:rFonts w:ascii="Arial" w:hAnsi="Arial"/>
          <w:color w:val="auto"/>
          <w:sz w:val="20"/>
          <w:szCs w:val="20"/>
        </w:rPr>
        <w:t>: 10.1097/TA.0000000000000777</w:t>
      </w:r>
    </w:p>
    <w:p w:rsidR="007F060C" w:rsidRPr="004A4751" w:rsidRDefault="007F060C">
      <w:pPr>
        <w:pStyle w:val="Heading3"/>
        <w:rPr>
          <w:rStyle w:val="None"/>
          <w:rFonts w:ascii="Trebuchet MS" w:eastAsia="Trebuchet MS" w:hAnsi="Trebuchet MS" w:cs="Trebuchet MS"/>
          <w:i/>
          <w:iCs/>
          <w:color w:val="auto"/>
          <w:u w:color="002060"/>
          <w:lang w:val="fr-FR"/>
        </w:rPr>
      </w:pPr>
    </w:p>
    <w:p w:rsidR="007F060C" w:rsidRPr="004A4751" w:rsidRDefault="007F060C">
      <w:pPr>
        <w:pStyle w:val="Heading3"/>
        <w:rPr>
          <w:rStyle w:val="None"/>
          <w:rFonts w:ascii="Trebuchet MS" w:eastAsia="Trebuchet MS" w:hAnsi="Trebuchet MS" w:cs="Trebuchet MS"/>
          <w:i/>
          <w:iCs/>
          <w:color w:val="auto"/>
          <w:u w:color="002060"/>
          <w:lang w:val="fr-FR"/>
        </w:rPr>
      </w:pPr>
    </w:p>
    <w:p w:rsidR="007F060C" w:rsidRPr="004A4751" w:rsidRDefault="007F060C">
      <w:pPr>
        <w:pStyle w:val="Heading3"/>
        <w:spacing w:line="360" w:lineRule="auto"/>
        <w:rPr>
          <w:rStyle w:val="None"/>
          <w:rFonts w:ascii="Trebuchet MS" w:eastAsia="Trebuchet MS" w:hAnsi="Trebuchet MS" w:cs="Trebuchet MS"/>
          <w:i/>
          <w:iCs/>
          <w:color w:val="auto"/>
          <w:u w:color="002060"/>
          <w:lang w:val="fr-FR"/>
        </w:rPr>
      </w:pPr>
    </w:p>
    <w:p w:rsidR="007F060C" w:rsidRPr="004A4751" w:rsidRDefault="00A40BB8">
      <w:pPr>
        <w:pStyle w:val="BodyD"/>
        <w:spacing w:line="360" w:lineRule="auto"/>
        <w:rPr>
          <w:rStyle w:val="None"/>
          <w:rFonts w:ascii="Arial" w:eastAsia="Arial" w:hAnsi="Arial" w:cs="Arial"/>
          <w:color w:val="auto"/>
          <w:u w:color="222222"/>
          <w:shd w:val="clear" w:color="auto" w:fill="FFFFFF"/>
        </w:rPr>
      </w:pPr>
      <w:r w:rsidRPr="004A4751">
        <w:rPr>
          <w:rStyle w:val="None"/>
          <w:rFonts w:ascii="Arial" w:hAnsi="Arial"/>
          <w:color w:val="auto"/>
          <w:u w:color="222222"/>
          <w:shd w:val="clear" w:color="auto" w:fill="FFFFFF"/>
        </w:rPr>
        <w:t>Ethical approval statement</w:t>
      </w:r>
    </w:p>
    <w:p w:rsidR="007F060C" w:rsidRPr="004A4751" w:rsidRDefault="00A40BB8">
      <w:pPr>
        <w:pStyle w:val="BodyD"/>
        <w:spacing w:line="360" w:lineRule="auto"/>
        <w:rPr>
          <w:rStyle w:val="None"/>
          <w:color w:val="auto"/>
        </w:rPr>
      </w:pPr>
      <w:r w:rsidRPr="004A4751">
        <w:rPr>
          <w:rStyle w:val="None"/>
          <w:rFonts w:ascii="Arial" w:hAnsi="Arial"/>
          <w:color w:val="auto"/>
        </w:rPr>
        <w:t xml:space="preserve">TARN has ethical approval (PIAG section 60) for research using </w:t>
      </w:r>
      <w:proofErr w:type="spellStart"/>
      <w:r w:rsidRPr="004A4751">
        <w:rPr>
          <w:rStyle w:val="None"/>
          <w:rFonts w:ascii="Arial" w:hAnsi="Arial"/>
          <w:color w:val="auto"/>
        </w:rPr>
        <w:t>anonymised</w:t>
      </w:r>
      <w:proofErr w:type="spellEnd"/>
      <w:r w:rsidRPr="004A4751">
        <w:rPr>
          <w:rStyle w:val="None"/>
          <w:rFonts w:ascii="Arial" w:hAnsi="Arial"/>
          <w:color w:val="auto"/>
        </w:rPr>
        <w:t xml:space="preserve"> data that are stored securely on the University of Manchester server.</w:t>
      </w:r>
      <w:r w:rsidRPr="004A4751">
        <w:rPr>
          <w:rStyle w:val="None"/>
          <w:rFonts w:ascii="Arial" w:hAnsi="Arial"/>
          <w:color w:val="auto"/>
          <w:u w:color="222222"/>
          <w:shd w:val="clear" w:color="auto" w:fill="FFFFFF"/>
        </w:rPr>
        <w:t xml:space="preserve"> Ethics </w:t>
      </w:r>
      <w:proofErr w:type="spellStart"/>
      <w:r w:rsidRPr="004A4751">
        <w:rPr>
          <w:rStyle w:val="None"/>
          <w:rFonts w:ascii="Arial" w:hAnsi="Arial"/>
          <w:color w:val="auto"/>
          <w:u w:color="222222"/>
          <w:shd w:val="clear" w:color="auto" w:fill="FFFFFF"/>
        </w:rPr>
        <w:t>approval:TARN</w:t>
      </w:r>
      <w:proofErr w:type="spellEnd"/>
      <w:r w:rsidRPr="004A4751">
        <w:rPr>
          <w:rStyle w:val="None"/>
          <w:rFonts w:ascii="Arial" w:hAnsi="Arial"/>
          <w:color w:val="auto"/>
          <w:u w:color="222222"/>
          <w:shd w:val="clear" w:color="auto" w:fill="FFFFFF"/>
        </w:rPr>
        <w:t xml:space="preserve"> holds HRA CAG section 251 approval for research on </w:t>
      </w:r>
      <w:proofErr w:type="spellStart"/>
      <w:r w:rsidRPr="004A4751">
        <w:rPr>
          <w:rStyle w:val="None"/>
          <w:rFonts w:ascii="Arial" w:hAnsi="Arial"/>
          <w:color w:val="auto"/>
          <w:u w:color="222222"/>
          <w:shd w:val="clear" w:color="auto" w:fill="FFFFFF"/>
        </w:rPr>
        <w:t>anonymised</w:t>
      </w:r>
      <w:proofErr w:type="spellEnd"/>
      <w:r w:rsidRPr="004A4751">
        <w:rPr>
          <w:rStyle w:val="None"/>
          <w:rFonts w:ascii="Arial" w:hAnsi="Arial"/>
          <w:color w:val="auto"/>
          <w:u w:color="222222"/>
          <w:shd w:val="clear" w:color="auto" w:fill="FFFFFF"/>
        </w:rPr>
        <w:t xml:space="preserve"> data submitted by member hospitals</w:t>
      </w:r>
    </w:p>
    <w:p w:rsidR="007F060C" w:rsidRPr="004A4751" w:rsidRDefault="007F060C">
      <w:pPr>
        <w:pStyle w:val="BodyB"/>
        <w:spacing w:line="360" w:lineRule="auto"/>
        <w:jc w:val="both"/>
        <w:rPr>
          <w:rStyle w:val="None"/>
          <w:rFonts w:ascii="Arial" w:eastAsia="Arial" w:hAnsi="Arial" w:cs="Arial"/>
          <w:color w:val="auto"/>
        </w:rPr>
      </w:pPr>
    </w:p>
    <w:p w:rsidR="007F060C" w:rsidRPr="004A4751" w:rsidRDefault="007F060C">
      <w:pPr>
        <w:pStyle w:val="BodyB"/>
        <w:spacing w:line="360" w:lineRule="auto"/>
        <w:jc w:val="both"/>
        <w:rPr>
          <w:rStyle w:val="None"/>
          <w:rFonts w:ascii="Arial" w:eastAsia="Arial" w:hAnsi="Arial" w:cs="Arial"/>
          <w:color w:val="auto"/>
        </w:rPr>
      </w:pPr>
    </w:p>
    <w:p w:rsidR="007F060C" w:rsidRPr="004A4751" w:rsidRDefault="00A40BB8">
      <w:pPr>
        <w:pStyle w:val="BodyB"/>
        <w:spacing w:line="360" w:lineRule="auto"/>
        <w:jc w:val="both"/>
        <w:rPr>
          <w:rStyle w:val="None"/>
          <w:rFonts w:ascii="Arial" w:eastAsia="Arial" w:hAnsi="Arial" w:cs="Arial"/>
          <w:color w:val="auto"/>
          <w:u w:color="222222"/>
          <w:shd w:val="clear" w:color="auto" w:fill="FFFFFF"/>
        </w:rPr>
      </w:pPr>
      <w:r w:rsidRPr="004A4751">
        <w:rPr>
          <w:rStyle w:val="None"/>
          <w:rFonts w:ascii="Arial" w:hAnsi="Arial"/>
          <w:color w:val="auto"/>
          <w:u w:color="222222"/>
          <w:shd w:val="clear" w:color="auto" w:fill="FFFFFF"/>
        </w:rPr>
        <w:t>Clinical Trial Registration</w:t>
      </w:r>
    </w:p>
    <w:p w:rsidR="007F060C" w:rsidRPr="004A4751" w:rsidRDefault="00A40BB8">
      <w:pPr>
        <w:pStyle w:val="BodyB"/>
        <w:spacing w:line="360" w:lineRule="auto"/>
        <w:jc w:val="both"/>
        <w:rPr>
          <w:rStyle w:val="None"/>
          <w:rFonts w:ascii="Arial" w:eastAsia="Arial" w:hAnsi="Arial" w:cs="Arial"/>
          <w:color w:val="auto"/>
          <w:u w:color="222222"/>
          <w:shd w:val="clear" w:color="auto" w:fill="FFFFFF"/>
        </w:rPr>
      </w:pPr>
      <w:r w:rsidRPr="004A4751">
        <w:rPr>
          <w:rStyle w:val="None"/>
          <w:rFonts w:ascii="Arial" w:hAnsi="Arial"/>
          <w:color w:val="auto"/>
          <w:u w:color="222222"/>
          <w:shd w:val="clear" w:color="auto" w:fill="FFFFFF"/>
        </w:rPr>
        <w:t>Clinical Trial Registration- Not applicable</w:t>
      </w:r>
    </w:p>
    <w:p w:rsidR="007F060C" w:rsidRPr="004A4751" w:rsidRDefault="007F060C">
      <w:pPr>
        <w:pStyle w:val="BodyB"/>
        <w:spacing w:line="360" w:lineRule="auto"/>
        <w:jc w:val="both"/>
        <w:rPr>
          <w:rStyle w:val="None"/>
          <w:rFonts w:ascii="Arial" w:eastAsia="Arial" w:hAnsi="Arial" w:cs="Arial"/>
          <w:color w:val="auto"/>
          <w:u w:color="222222"/>
          <w:shd w:val="clear" w:color="auto" w:fill="FFFFFF"/>
        </w:rPr>
      </w:pPr>
    </w:p>
    <w:p w:rsidR="007F060C" w:rsidRPr="004A4751" w:rsidRDefault="00A40BB8">
      <w:pPr>
        <w:pStyle w:val="BodyB"/>
        <w:spacing w:line="360" w:lineRule="auto"/>
        <w:jc w:val="both"/>
        <w:rPr>
          <w:rStyle w:val="None"/>
          <w:rFonts w:ascii="Arial" w:eastAsia="Arial" w:hAnsi="Arial" w:cs="Arial"/>
          <w:color w:val="auto"/>
          <w:u w:color="222222"/>
          <w:shd w:val="clear" w:color="auto" w:fill="FFFFFF"/>
        </w:rPr>
      </w:pPr>
      <w:r w:rsidRPr="004A4751">
        <w:rPr>
          <w:rStyle w:val="None"/>
          <w:rFonts w:ascii="Arial" w:hAnsi="Arial"/>
          <w:color w:val="auto"/>
          <w:u w:color="222222"/>
          <w:shd w:val="clear" w:color="auto" w:fill="FFFFFF"/>
        </w:rPr>
        <w:t xml:space="preserve">Funding statement </w:t>
      </w:r>
    </w:p>
    <w:p w:rsidR="007F060C" w:rsidRPr="004A4751" w:rsidRDefault="00A40BB8">
      <w:pPr>
        <w:pStyle w:val="BodyB"/>
        <w:spacing w:line="360" w:lineRule="auto"/>
        <w:jc w:val="both"/>
        <w:rPr>
          <w:rStyle w:val="None"/>
          <w:rFonts w:ascii="Arial" w:eastAsia="Arial" w:hAnsi="Arial" w:cs="Arial"/>
          <w:color w:val="auto"/>
          <w:u w:color="222222"/>
          <w:shd w:val="clear" w:color="auto" w:fill="FFFFFF"/>
        </w:rPr>
      </w:pPr>
      <w:r w:rsidRPr="004A4751">
        <w:rPr>
          <w:rStyle w:val="None"/>
          <w:rFonts w:ascii="Arial" w:hAnsi="Arial"/>
          <w:color w:val="auto"/>
          <w:u w:color="222222"/>
          <w:shd w:val="clear" w:color="auto" w:fill="FFFFFF"/>
        </w:rPr>
        <w:t>This research received no specific grant from any funding agency in the public, commercial or not-for-profit sectors</w:t>
      </w:r>
    </w:p>
    <w:p w:rsidR="007F060C" w:rsidRPr="004A4751" w:rsidRDefault="007F060C">
      <w:pPr>
        <w:pStyle w:val="BodyB"/>
        <w:spacing w:line="360" w:lineRule="auto"/>
        <w:jc w:val="both"/>
        <w:rPr>
          <w:rStyle w:val="None"/>
          <w:rFonts w:ascii="Arial" w:eastAsia="Arial" w:hAnsi="Arial" w:cs="Arial"/>
          <w:color w:val="auto"/>
        </w:rPr>
      </w:pPr>
    </w:p>
    <w:p w:rsidR="007F060C" w:rsidRPr="004A4751" w:rsidRDefault="007F060C">
      <w:pPr>
        <w:pStyle w:val="BodyB"/>
        <w:spacing w:line="360" w:lineRule="auto"/>
        <w:jc w:val="both"/>
        <w:rPr>
          <w:rStyle w:val="None"/>
          <w:rFonts w:ascii="Arial" w:eastAsia="Arial" w:hAnsi="Arial" w:cs="Arial"/>
          <w:color w:val="auto"/>
        </w:rPr>
      </w:pPr>
    </w:p>
    <w:p w:rsidR="007F060C" w:rsidRPr="004A4751" w:rsidRDefault="00A40BB8">
      <w:pPr>
        <w:pStyle w:val="BodyD"/>
        <w:spacing w:line="360" w:lineRule="auto"/>
        <w:rPr>
          <w:rStyle w:val="None"/>
          <w:rFonts w:ascii="Arial" w:eastAsia="Arial" w:hAnsi="Arial" w:cs="Arial"/>
          <w:color w:val="auto"/>
          <w:u w:color="222222"/>
          <w:shd w:val="clear" w:color="auto" w:fill="FFFFFF"/>
        </w:rPr>
      </w:pPr>
      <w:r w:rsidRPr="004A4751">
        <w:rPr>
          <w:rStyle w:val="None"/>
          <w:rFonts w:ascii="Arial" w:hAnsi="Arial"/>
          <w:color w:val="auto"/>
          <w:u w:color="222222"/>
          <w:shd w:val="clear" w:color="auto" w:fill="FFFFFF"/>
        </w:rPr>
        <w:t>Competing Interest: None declared.</w:t>
      </w:r>
    </w:p>
    <w:p w:rsidR="007F060C" w:rsidRPr="004A4751" w:rsidRDefault="00A40BB8">
      <w:pPr>
        <w:pStyle w:val="Heading3"/>
        <w:rPr>
          <w:rStyle w:val="None"/>
          <w:rFonts w:ascii="Trebuchet MS" w:eastAsia="Trebuchet MS" w:hAnsi="Trebuchet MS" w:cs="Trebuchet MS"/>
          <w:color w:val="auto"/>
          <w:u w:color="002060"/>
        </w:rPr>
      </w:pPr>
      <w:r w:rsidRPr="004A4751">
        <w:rPr>
          <w:rStyle w:val="None"/>
          <w:rFonts w:ascii="Arial Unicode MS" w:eastAsia="Arial Unicode MS" w:hAnsi="Arial Unicode MS" w:cs="Arial Unicode MS"/>
          <w:color w:val="auto"/>
          <w:u w:color="222222"/>
        </w:rPr>
        <w:br/>
      </w:r>
      <w:r w:rsidRPr="004A4751">
        <w:rPr>
          <w:rStyle w:val="None"/>
          <w:rFonts w:ascii="Arial" w:hAnsi="Arial"/>
          <w:color w:val="auto"/>
          <w:u w:color="222222"/>
          <w:lang w:val="fr-FR"/>
        </w:rPr>
        <w:t>Contributions</w:t>
      </w:r>
      <w:r w:rsidRPr="004A4751">
        <w:rPr>
          <w:rStyle w:val="None"/>
          <w:rFonts w:ascii="Arial Unicode MS" w:eastAsia="Arial Unicode MS" w:hAnsi="Arial Unicode MS" w:cs="Arial Unicode MS"/>
          <w:color w:val="auto"/>
          <w:u w:color="222222"/>
        </w:rPr>
        <w:br/>
      </w:r>
      <w:r w:rsidRPr="004A4751">
        <w:rPr>
          <w:rStyle w:val="None"/>
          <w:rFonts w:ascii="Arial" w:hAnsi="Arial"/>
          <w:color w:val="auto"/>
          <w:u w:color="222222"/>
        </w:rPr>
        <w:t>SM planned the study, was an author and reviewed manuscript. ZR was an author and reviewed manuscript. JAC was an author and reviewed manuscript. DJ was an author and reviewed manuscript. OB collated the results and reviewed manuscript. MY collated the results and reviewed manuscript. ML was an author and reviewed manuscript. DR was an author and reviewed manuscript.</w:t>
      </w:r>
    </w:p>
    <w:p w:rsidR="007F060C" w:rsidRPr="004A4751" w:rsidRDefault="007F060C">
      <w:pPr>
        <w:pStyle w:val="BodyA"/>
        <w:rPr>
          <w:rStyle w:val="None"/>
          <w:color w:val="auto"/>
          <w:lang w:val="fr-FR"/>
        </w:rPr>
      </w:pPr>
    </w:p>
    <w:p w:rsidR="007F060C" w:rsidRPr="004A4751" w:rsidRDefault="007F060C">
      <w:pPr>
        <w:pStyle w:val="BodyA"/>
        <w:rPr>
          <w:rStyle w:val="None"/>
          <w:color w:val="auto"/>
          <w:lang w:val="fr-FR"/>
        </w:rPr>
      </w:pPr>
    </w:p>
    <w:p w:rsidR="007F060C" w:rsidRPr="004A4751" w:rsidRDefault="007F060C">
      <w:pPr>
        <w:pStyle w:val="BodyA"/>
        <w:rPr>
          <w:rStyle w:val="None"/>
          <w:color w:val="auto"/>
          <w:lang w:val="fr-FR"/>
        </w:rPr>
      </w:pPr>
    </w:p>
    <w:p w:rsidR="007F060C" w:rsidRPr="004A4751" w:rsidRDefault="007F060C">
      <w:pPr>
        <w:pStyle w:val="BodyA"/>
        <w:rPr>
          <w:rStyle w:val="None"/>
          <w:color w:val="auto"/>
          <w:lang w:val="fr-FR"/>
        </w:rPr>
      </w:pPr>
    </w:p>
    <w:p w:rsidR="007F060C" w:rsidRPr="004A4751" w:rsidRDefault="007F060C">
      <w:pPr>
        <w:pStyle w:val="BodyA"/>
        <w:rPr>
          <w:rStyle w:val="None"/>
          <w:color w:val="auto"/>
          <w:lang w:val="fr-FR"/>
        </w:rPr>
      </w:pPr>
    </w:p>
    <w:p w:rsidR="007F060C" w:rsidRPr="004A4751" w:rsidRDefault="007F060C">
      <w:pPr>
        <w:pStyle w:val="BodyA"/>
        <w:rPr>
          <w:rStyle w:val="None"/>
          <w:color w:val="auto"/>
          <w:lang w:val="fr-FR"/>
        </w:rPr>
      </w:pPr>
    </w:p>
    <w:p w:rsidR="007F060C" w:rsidRPr="004A4751" w:rsidRDefault="007F060C">
      <w:pPr>
        <w:pStyle w:val="BodyA"/>
        <w:rPr>
          <w:rStyle w:val="None"/>
          <w:color w:val="auto"/>
          <w:lang w:val="fr-FR"/>
        </w:rPr>
      </w:pPr>
    </w:p>
    <w:p w:rsidR="007F060C" w:rsidRPr="004A4751" w:rsidRDefault="007F060C">
      <w:pPr>
        <w:pStyle w:val="BodyA"/>
        <w:rPr>
          <w:rStyle w:val="None"/>
          <w:color w:val="auto"/>
          <w:lang w:val="fr-FR"/>
        </w:rPr>
      </w:pPr>
    </w:p>
    <w:p w:rsidR="007F060C" w:rsidRPr="004A4751" w:rsidRDefault="007F060C">
      <w:pPr>
        <w:pStyle w:val="BodyA"/>
        <w:rPr>
          <w:rStyle w:val="None"/>
          <w:color w:val="auto"/>
          <w:lang w:val="fr-FR"/>
        </w:rPr>
      </w:pPr>
    </w:p>
    <w:p w:rsidR="007F060C" w:rsidRPr="004A4751" w:rsidRDefault="007F060C">
      <w:pPr>
        <w:pStyle w:val="BodyA"/>
        <w:rPr>
          <w:rStyle w:val="None"/>
          <w:color w:val="auto"/>
          <w:lang w:val="fr-FR"/>
        </w:rPr>
      </w:pPr>
    </w:p>
    <w:p w:rsidR="007F060C" w:rsidRPr="004A4751" w:rsidRDefault="007F060C">
      <w:pPr>
        <w:pStyle w:val="BodyA"/>
        <w:rPr>
          <w:rStyle w:val="None"/>
          <w:rFonts w:ascii="Trebuchet MS" w:eastAsia="Trebuchet MS" w:hAnsi="Trebuchet MS" w:cs="Trebuchet MS"/>
          <w:i/>
          <w:iCs/>
          <w:color w:val="auto"/>
          <w:u w:color="002060"/>
          <w:lang w:val="fr-FR"/>
        </w:rPr>
      </w:pPr>
    </w:p>
    <w:p w:rsidR="007F060C" w:rsidRPr="004A4751" w:rsidRDefault="007F060C">
      <w:pPr>
        <w:pStyle w:val="BodyB"/>
        <w:tabs>
          <w:tab w:val="left" w:pos="1172"/>
        </w:tabs>
        <w:rPr>
          <w:rStyle w:val="None"/>
          <w:rFonts w:ascii="Trebuchet MS" w:eastAsia="Trebuchet MS" w:hAnsi="Trebuchet MS" w:cs="Trebuchet MS"/>
          <w:color w:val="auto"/>
          <w:u w:color="002060"/>
        </w:rPr>
      </w:pPr>
    </w:p>
    <w:p w:rsidR="007F060C" w:rsidRPr="004A4751" w:rsidRDefault="007F060C">
      <w:pPr>
        <w:pStyle w:val="BodyB"/>
        <w:tabs>
          <w:tab w:val="left" w:pos="1172"/>
        </w:tabs>
        <w:rPr>
          <w:rStyle w:val="None"/>
          <w:rFonts w:ascii="Trebuchet MS" w:eastAsia="Trebuchet MS" w:hAnsi="Trebuchet MS" w:cs="Trebuchet MS"/>
          <w:color w:val="auto"/>
          <w:u w:color="002060"/>
        </w:rPr>
      </w:pPr>
    </w:p>
    <w:p w:rsidR="007F060C" w:rsidRPr="004A4751" w:rsidRDefault="007F060C">
      <w:pPr>
        <w:pStyle w:val="BodyB"/>
        <w:widowControl w:val="0"/>
        <w:spacing w:after="200"/>
        <w:ind w:left="324" w:hanging="324"/>
        <w:rPr>
          <w:rStyle w:val="None"/>
          <w:rFonts w:ascii="Arial" w:eastAsia="Arial" w:hAnsi="Arial" w:cs="Arial"/>
          <w:color w:val="auto"/>
          <w:sz w:val="22"/>
          <w:szCs w:val="22"/>
        </w:rPr>
      </w:pPr>
    </w:p>
    <w:p w:rsidR="007F060C" w:rsidRPr="004A4751" w:rsidRDefault="007F060C">
      <w:pPr>
        <w:pStyle w:val="BodyB"/>
        <w:widowControl w:val="0"/>
        <w:spacing w:after="200"/>
        <w:ind w:left="216" w:hanging="216"/>
        <w:rPr>
          <w:rStyle w:val="None"/>
          <w:rFonts w:ascii="Arial" w:eastAsia="Arial" w:hAnsi="Arial" w:cs="Arial"/>
          <w:color w:val="auto"/>
          <w:sz w:val="22"/>
          <w:szCs w:val="22"/>
        </w:rPr>
      </w:pPr>
    </w:p>
    <w:p w:rsidR="007F060C" w:rsidRPr="004A4751" w:rsidRDefault="007F060C">
      <w:pPr>
        <w:pStyle w:val="BodyB"/>
        <w:widowControl w:val="0"/>
        <w:spacing w:after="200"/>
        <w:ind w:left="108" w:hanging="108"/>
        <w:rPr>
          <w:rStyle w:val="None"/>
          <w:rFonts w:ascii="Arial" w:eastAsia="Arial" w:hAnsi="Arial" w:cs="Arial"/>
          <w:color w:val="auto"/>
          <w:sz w:val="22"/>
          <w:szCs w:val="22"/>
        </w:rPr>
      </w:pPr>
    </w:p>
    <w:p w:rsidR="007F060C" w:rsidRPr="004A4751" w:rsidRDefault="007F060C">
      <w:pPr>
        <w:pStyle w:val="BodyB"/>
        <w:spacing w:after="200"/>
        <w:rPr>
          <w:rStyle w:val="None"/>
          <w:rFonts w:ascii="Arial" w:eastAsia="Arial" w:hAnsi="Arial" w:cs="Arial"/>
          <w:color w:val="auto"/>
          <w:sz w:val="22"/>
          <w:szCs w:val="22"/>
        </w:rPr>
      </w:pPr>
    </w:p>
    <w:p w:rsidR="007F060C" w:rsidRPr="004A4751" w:rsidRDefault="007F060C">
      <w:pPr>
        <w:pStyle w:val="BodyB"/>
        <w:spacing w:after="200" w:line="360" w:lineRule="auto"/>
        <w:rPr>
          <w:rStyle w:val="None"/>
          <w:rFonts w:ascii="Arial" w:eastAsia="Arial" w:hAnsi="Arial" w:cs="Arial"/>
          <w:b/>
          <w:bCs/>
          <w:color w:val="auto"/>
          <w:sz w:val="22"/>
          <w:szCs w:val="22"/>
        </w:rPr>
      </w:pPr>
    </w:p>
    <w:p w:rsidR="007F060C" w:rsidRPr="004A4751" w:rsidRDefault="007F060C">
      <w:pPr>
        <w:pStyle w:val="BodyB"/>
        <w:tabs>
          <w:tab w:val="left" w:pos="1172"/>
        </w:tabs>
        <w:rPr>
          <w:rStyle w:val="None"/>
          <w:rFonts w:ascii="Arial" w:eastAsia="Arial" w:hAnsi="Arial" w:cs="Arial"/>
          <w:color w:val="auto"/>
          <w:u w:color="002060"/>
        </w:rPr>
      </w:pPr>
    </w:p>
    <w:p w:rsidR="007F060C" w:rsidRPr="004A4751" w:rsidRDefault="007F060C">
      <w:pPr>
        <w:pStyle w:val="BodyB"/>
        <w:tabs>
          <w:tab w:val="left" w:pos="1172"/>
        </w:tabs>
        <w:rPr>
          <w:rStyle w:val="None"/>
          <w:rFonts w:ascii="Arial" w:eastAsia="Arial" w:hAnsi="Arial" w:cs="Arial"/>
          <w:b/>
          <w:bCs/>
          <w:color w:val="auto"/>
          <w:u w:color="002060"/>
        </w:rPr>
      </w:pPr>
    </w:p>
    <w:p w:rsidR="007F060C" w:rsidRPr="004A4751" w:rsidRDefault="007F060C">
      <w:pPr>
        <w:pStyle w:val="BodyB"/>
        <w:tabs>
          <w:tab w:val="left" w:pos="1172"/>
        </w:tabs>
        <w:ind w:left="993"/>
        <w:jc w:val="center"/>
        <w:rPr>
          <w:rStyle w:val="None"/>
          <w:rFonts w:ascii="Arial" w:eastAsia="Arial" w:hAnsi="Arial" w:cs="Arial"/>
          <w:color w:val="auto"/>
        </w:rPr>
      </w:pPr>
    </w:p>
    <w:p w:rsidR="007F060C" w:rsidRPr="004A4751" w:rsidRDefault="007F060C">
      <w:pPr>
        <w:pStyle w:val="BodyBA"/>
        <w:spacing w:line="360" w:lineRule="auto"/>
        <w:ind w:left="360"/>
        <w:rPr>
          <w:rStyle w:val="None"/>
          <w:rFonts w:ascii="Arial" w:eastAsia="Arial" w:hAnsi="Arial" w:cs="Arial"/>
          <w:color w:val="auto"/>
        </w:rPr>
      </w:pPr>
    </w:p>
    <w:p w:rsidR="007F060C" w:rsidRPr="004A4751" w:rsidRDefault="007F060C">
      <w:pPr>
        <w:pStyle w:val="BodyA"/>
        <w:spacing w:line="360" w:lineRule="auto"/>
        <w:rPr>
          <w:rStyle w:val="None"/>
          <w:rFonts w:ascii="Arial" w:eastAsia="Arial" w:hAnsi="Arial" w:cs="Arial"/>
          <w:color w:val="auto"/>
          <w:sz w:val="24"/>
          <w:szCs w:val="24"/>
        </w:rPr>
      </w:pPr>
    </w:p>
    <w:p w:rsidR="007F060C" w:rsidRPr="004A4751" w:rsidRDefault="007F060C">
      <w:pPr>
        <w:pStyle w:val="BodyA"/>
        <w:spacing w:line="360" w:lineRule="auto"/>
        <w:rPr>
          <w:color w:val="auto"/>
        </w:rPr>
      </w:pPr>
    </w:p>
    <w:sectPr w:rsidR="007F060C" w:rsidRPr="004A4751">
      <w:headerReference w:type="default" r:id="rId18"/>
      <w:footerReference w:type="default" r:id="rId19"/>
      <w:pgSz w:w="11900" w:h="16840"/>
      <w:pgMar w:top="1440" w:right="2261"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03D" w:rsidRDefault="002C603D">
      <w:r>
        <w:separator/>
      </w:r>
    </w:p>
  </w:endnote>
  <w:endnote w:type="continuationSeparator" w:id="0">
    <w:p w:rsidR="002C603D" w:rsidRDefault="002C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3B9" w:rsidRDefault="00FD63B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03D" w:rsidRDefault="002C603D">
      <w:r>
        <w:separator/>
      </w:r>
    </w:p>
  </w:footnote>
  <w:footnote w:type="continuationSeparator" w:id="0">
    <w:p w:rsidR="002C603D" w:rsidRDefault="002C6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3B9" w:rsidRDefault="00FD63B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97556"/>
    <w:multiLevelType w:val="hybridMultilevel"/>
    <w:tmpl w:val="625021F6"/>
    <w:styleLink w:val="ImportedStyle2"/>
    <w:lvl w:ilvl="0" w:tplc="4A02A73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EE4A39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67EA950">
      <w:start w:val="1"/>
      <w:numFmt w:val="lowerRoman"/>
      <w:lvlText w:val="%3."/>
      <w:lvlJc w:val="left"/>
      <w:pPr>
        <w:ind w:left="21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9BA00A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48E181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8BE2C00">
      <w:start w:val="1"/>
      <w:numFmt w:val="lowerRoman"/>
      <w:lvlText w:val="%6."/>
      <w:lvlJc w:val="left"/>
      <w:pPr>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984583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33E407C">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568F9E">
      <w:start w:val="1"/>
      <w:numFmt w:val="lowerRoman"/>
      <w:lvlText w:val="%9."/>
      <w:lvlJc w:val="left"/>
      <w:pPr>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42BC615D"/>
    <w:multiLevelType w:val="hybridMultilevel"/>
    <w:tmpl w:val="625021F6"/>
    <w:numStyleLink w:val="ImportedStyle2"/>
  </w:abstractNum>
  <w:abstractNum w:abstractNumId="2" w15:restartNumberingAfterBreak="0">
    <w:nsid w:val="5B731237"/>
    <w:multiLevelType w:val="hybridMultilevel"/>
    <w:tmpl w:val="15C0BAEE"/>
    <w:numStyleLink w:val="ImportedStyle1"/>
  </w:abstractNum>
  <w:abstractNum w:abstractNumId="3" w15:restartNumberingAfterBreak="0">
    <w:nsid w:val="651B0293"/>
    <w:multiLevelType w:val="hybridMultilevel"/>
    <w:tmpl w:val="F4A63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F51D7B"/>
    <w:multiLevelType w:val="hybridMultilevel"/>
    <w:tmpl w:val="75E6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2694A"/>
    <w:multiLevelType w:val="hybridMultilevel"/>
    <w:tmpl w:val="15C0BAEE"/>
    <w:styleLink w:val="ImportedStyle1"/>
    <w:lvl w:ilvl="0" w:tplc="DC265C82">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0DCC70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3366D86">
      <w:start w:val="1"/>
      <w:numFmt w:val="lowerRoman"/>
      <w:lvlText w:val="%3."/>
      <w:lvlJc w:val="left"/>
      <w:pPr>
        <w:ind w:left="21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F288D02">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5E7EF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7FC0478">
      <w:start w:val="1"/>
      <w:numFmt w:val="lowerRoman"/>
      <w:lvlText w:val="%6."/>
      <w:lvlJc w:val="left"/>
      <w:pPr>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F3ABDD4">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72C4568">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5BAAB2E">
      <w:start w:val="1"/>
      <w:numFmt w:val="lowerRoman"/>
      <w:lvlText w:val="%9."/>
      <w:lvlJc w:val="left"/>
      <w:pPr>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60C"/>
    <w:rsid w:val="0018310F"/>
    <w:rsid w:val="002C603D"/>
    <w:rsid w:val="00363075"/>
    <w:rsid w:val="004A4751"/>
    <w:rsid w:val="0061220C"/>
    <w:rsid w:val="00635F2E"/>
    <w:rsid w:val="007D1C5C"/>
    <w:rsid w:val="007F060C"/>
    <w:rsid w:val="009658B7"/>
    <w:rsid w:val="00A40BB8"/>
    <w:rsid w:val="00C33886"/>
    <w:rsid w:val="00D75C07"/>
    <w:rsid w:val="00EE4C49"/>
    <w:rsid w:val="00FD6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D36C3E"/>
  <w15:docId w15:val="{01CF43C6-6742-5045-98E4-73A664E8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paragraph" w:styleId="Heading2">
    <w:name w:val="heading 2"/>
    <w:next w:val="BodyB"/>
    <w:uiPriority w:val="9"/>
    <w:unhideWhenUsed/>
    <w:qFormat/>
    <w:pPr>
      <w:keepNext/>
      <w:keepLines/>
      <w:spacing w:before="40"/>
      <w:outlineLvl w:val="1"/>
    </w:pPr>
    <w:rPr>
      <w:rFonts w:ascii="Helvetica Neue" w:hAnsi="Helvetica Neue" w:cs="Arial Unicode MS"/>
      <w:color w:val="365F91"/>
      <w:sz w:val="26"/>
      <w:szCs w:val="26"/>
      <w:u w:color="365F91"/>
      <w14:textOutline w14:w="12700" w14:cap="flat" w14:cmpd="sng" w14:algn="ctr">
        <w14:noFill/>
        <w14:prstDash w14:val="solid"/>
        <w14:miter w14:lim="400000"/>
      </w14:textOutline>
    </w:rPr>
  </w:style>
  <w:style w:type="paragraph" w:styleId="Heading3">
    <w:name w:val="heading 3"/>
    <w:next w:val="BodyA"/>
    <w:uiPriority w:val="9"/>
    <w:unhideWhenUsed/>
    <w:qFormat/>
    <w:pPr>
      <w:keepNext/>
      <w:keepLines/>
      <w:spacing w:before="40" w:line="276" w:lineRule="auto"/>
      <w:outlineLvl w:val="2"/>
    </w:pPr>
    <w:rPr>
      <w:rFonts w:ascii="Cambria" w:eastAsia="Cambria" w:hAnsi="Cambria" w:cs="Cambria"/>
      <w:color w:val="243F60"/>
      <w:sz w:val="24"/>
      <w:szCs w:val="24"/>
      <w:u w:color="243F6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customStyle="1" w:styleId="BodyB">
    <w:name w:val="Body B"/>
    <w:rPr>
      <w:rFonts w:eastAsia="Times New Roman"/>
      <w:color w:val="000000"/>
      <w:sz w:val="24"/>
      <w:szCs w:val="24"/>
      <w:u w:color="000000"/>
      <w:lang w:val="en-US"/>
    </w:rPr>
  </w:style>
  <w:style w:type="paragraph" w:customStyle="1" w:styleId="BodyC">
    <w:name w:val="Body C"/>
    <w:rPr>
      <w:rFonts w:cs="Arial Unicode MS"/>
      <w:color w:val="000000"/>
      <w:sz w:val="24"/>
      <w:szCs w:val="24"/>
      <w:u w:color="000000"/>
      <w:lang w:val="en-US"/>
    </w:rPr>
  </w:style>
  <w:style w:type="paragraph" w:customStyle="1" w:styleId="BodyD">
    <w:name w:val="Body D"/>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A">
    <w:name w:val="Body A A"/>
    <w:rPr>
      <w:rFonts w:ascii="Cambria" w:eastAsia="Cambria" w:hAnsi="Cambria" w:cs="Cambria"/>
      <w:color w:val="000000"/>
      <w:sz w:val="24"/>
      <w:szCs w:val="24"/>
      <w:u w:color="000000"/>
      <w:lang w:val="en-US"/>
    </w:rPr>
  </w:style>
  <w:style w:type="paragraph" w:customStyle="1" w:styleId="BodyBA">
    <w:name w:val="Body B A"/>
    <w:rPr>
      <w:rFonts w:cs="Arial Unicode MS"/>
      <w:color w:val="000000"/>
      <w:sz w:val="24"/>
      <w:szCs w:val="24"/>
      <w:u w:color="000000"/>
      <w:lang w:val="en-US"/>
    </w:rPr>
  </w:style>
  <w:style w:type="paragraph" w:styleId="CommentText">
    <w:name w:val="annotation text"/>
    <w:rPr>
      <w:rFonts w:eastAsia="Times New Roman"/>
      <w:color w:val="000000"/>
      <w:u w:color="000000"/>
      <w:lang w:val="en-US"/>
    </w:rPr>
  </w:style>
  <w:style w:type="paragraph" w:styleId="NoSpacing">
    <w:name w:val="No Spacing"/>
    <w:rPr>
      <w:rFonts w:eastAsia="Times New Roman"/>
      <w:color w:val="000000"/>
      <w:u w:color="000000"/>
      <w:lang w:val="en-US"/>
    </w:rPr>
  </w:style>
  <w:style w:type="paragraph" w:customStyle="1" w:styleId="CaptionA">
    <w:name w:val="Caption A"/>
    <w:next w:val="BodyA"/>
    <w:pPr>
      <w:spacing w:after="200"/>
    </w:pPr>
    <w:rPr>
      <w:rFonts w:ascii="Calibri" w:eastAsia="Calibri" w:hAnsi="Calibri" w:cs="Calibri"/>
      <w:b/>
      <w:bCs/>
      <w:color w:val="4F81BD"/>
      <w:sz w:val="18"/>
      <w:szCs w:val="18"/>
      <w:u w:color="4F81BD"/>
      <w:lang w:val="en-US"/>
    </w:rPr>
  </w:style>
  <w:style w:type="paragraph" w:customStyle="1" w:styleId="BodyBAA">
    <w:name w:val="Body B A A"/>
    <w:pPr>
      <w:spacing w:after="200" w:line="276" w:lineRule="auto"/>
    </w:pPr>
    <w:rPr>
      <w:rFonts w:ascii="Calibri" w:eastAsia="Calibri" w:hAnsi="Calibri" w:cs="Calibri"/>
      <w:color w:val="000000"/>
      <w:sz w:val="22"/>
      <w:szCs w:val="22"/>
      <w:u w:color="000000"/>
      <w:lang w:val="en-US"/>
    </w:r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outline w:val="0"/>
      <w:color w:val="000000"/>
      <w:u w:val="single" w:color="000000"/>
    </w:rPr>
  </w:style>
  <w:style w:type="paragraph" w:styleId="ListParagraph">
    <w:name w:val="List Paragraph"/>
    <w:pPr>
      <w:ind w:left="720"/>
    </w:pPr>
    <w:rPr>
      <w:rFonts w:cs="Arial Unicode MS"/>
      <w:color w:val="000000"/>
      <w:sz w:val="24"/>
      <w:szCs w:val="24"/>
      <w:u w:color="000000"/>
      <w:lang w:val="en-US"/>
    </w:rPr>
  </w:style>
  <w:style w:type="character" w:customStyle="1" w:styleId="Hyperlink1">
    <w:name w:val="Hyperlink.1"/>
    <w:basedOn w:val="None"/>
    <w:rPr>
      <w:outline w:val="0"/>
      <w:color w:val="000000"/>
      <w:u w:val="none" w:color="000000"/>
    </w:rPr>
  </w:style>
  <w:style w:type="character" w:customStyle="1" w:styleId="Hyperlink2">
    <w:name w:val="Hyperlink.2"/>
    <w:basedOn w:val="None"/>
    <w:rPr>
      <w:outline w:val="0"/>
      <w:color w:val="000000"/>
      <w:u w:val="none" w:color="000000"/>
      <w:lang w:val="en-US"/>
    </w:rPr>
  </w:style>
  <w:style w:type="paragraph" w:customStyle="1" w:styleId="Heading">
    <w:name w:val="Heading"/>
    <w:next w:val="BodyBA"/>
    <w:pPr>
      <w:keepNext/>
      <w:spacing w:before="240" w:after="60"/>
      <w:outlineLvl w:val="0"/>
    </w:pPr>
    <w:rPr>
      <w:rFonts w:eastAsia="Times New Roman"/>
      <w:b/>
      <w:bCs/>
      <w:color w:val="000000"/>
      <w:kern w:val="32"/>
      <w:sz w:val="32"/>
      <w:szCs w:val="32"/>
      <w:u w:color="000000"/>
      <w:lang w:val="en-US"/>
      <w14:textOutline w14:w="12700" w14:cap="flat" w14:cmpd="sng" w14:algn="ctr">
        <w14:noFill/>
        <w14:prstDash w14:val="solid"/>
        <w14:miter w14:lim="400000"/>
      </w14:textOutline>
    </w:rPr>
  </w:style>
  <w:style w:type="character" w:customStyle="1" w:styleId="Hyperlink3">
    <w:name w:val="Hyperlink.3"/>
    <w:basedOn w:val="None"/>
    <w:rPr>
      <w:outline w:val="0"/>
      <w:color w:val="000000"/>
      <w:u w:val="none" w:color="000000"/>
      <w:lang w:val="de-DE"/>
    </w:rPr>
  </w:style>
  <w:style w:type="character" w:customStyle="1" w:styleId="Hyperlink4">
    <w:name w:val="Hyperlink.4"/>
    <w:basedOn w:val="None"/>
    <w:rPr>
      <w:outline w:val="0"/>
      <w:color w:val="000000"/>
      <w:u w:val="none" w:color="000000"/>
      <w:lang w:val="en-US"/>
    </w:rPr>
  </w:style>
  <w:style w:type="character" w:customStyle="1" w:styleId="Hyperlink5">
    <w:name w:val="Hyperlink.5"/>
    <w:basedOn w:val="None"/>
    <w:rPr>
      <w:outline w:val="0"/>
      <w:color w:val="000000"/>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51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2352-4642(18)30022-1" TargetMode="External"/><Relationship Id="rId13" Type="http://schemas.openxmlformats.org/officeDocument/2006/relationships/hyperlink" Target="https://www.ncbi.nlm.nih.gov/pubmed/?term=Pape-K%252525252525252525C3%252525252525252525B6hler%25252525252525252520CI%2525252525252525255BAuthor%2525252525252525255D&amp;cauthor=true&amp;cauthor_uid=2528424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cpch.ac.uk/state-of-child-health" TargetMode="External"/><Relationship Id="rId12" Type="http://schemas.openxmlformats.org/officeDocument/2006/relationships/hyperlink" Target="https://www.ncbi.nlm.nih.gov/pubmed/11468478" TargetMode="External"/><Relationship Id="rId17" Type="http://schemas.openxmlformats.org/officeDocument/2006/relationships/hyperlink" Target="https://journals.lww.com/jtrauma/toc/2015/09000" TargetMode="External"/><Relationship Id="rId2" Type="http://schemas.openxmlformats.org/officeDocument/2006/relationships/styles" Target="styles.xml"/><Relationship Id="rId16" Type="http://schemas.openxmlformats.org/officeDocument/2006/relationships/hyperlink" Target="https://journals.lww.com/jtrauma/toc/1997/090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Bhattacharyya%25252525252525252520T%2525252525252525255BAuthor%2525252525252525255D&amp;cauthor=true&amp;cauthor_uid=11468478" TargetMode="External"/><Relationship Id="rId5" Type="http://schemas.openxmlformats.org/officeDocument/2006/relationships/footnotes" Target="footnotes.xml"/><Relationship Id="rId15" Type="http://schemas.openxmlformats.org/officeDocument/2006/relationships/hyperlink" Target="https://journals.lww.com/jtrauma/toc/2017/11000" TargetMode="External"/><Relationship Id="rId10" Type="http://schemas.openxmlformats.org/officeDocument/2006/relationships/hyperlink" Target="https://doi.org/10.1016/j.eclinm.2018.07.00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bc.co.uk/news/health-42732442" TargetMode="External"/><Relationship Id="rId14" Type="http://schemas.openxmlformats.org/officeDocument/2006/relationships/hyperlink" Target="https://www.ncbi.nlm.nih.gov/pubmed/?term=Nienaber%25252525252525252520U%2525252525252525255BAuthor%2525252525252525255D&amp;cauthor=true&amp;cauthor_uid=25284243"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5281</Words>
  <Characters>30108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mullen</cp:lastModifiedBy>
  <cp:revision>2</cp:revision>
  <dcterms:created xsi:type="dcterms:W3CDTF">2019-10-18T18:44:00Z</dcterms:created>
  <dcterms:modified xsi:type="dcterms:W3CDTF">2019-10-18T18:44:00Z</dcterms:modified>
</cp:coreProperties>
</file>