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D3294" w14:textId="62BA2676" w:rsidR="00713356" w:rsidRPr="00E2625D" w:rsidRDefault="002E10DC" w:rsidP="007171E7">
      <w:pPr>
        <w:spacing w:line="276" w:lineRule="auto"/>
        <w:jc w:val="center"/>
        <w:rPr>
          <w:b/>
          <w:color w:val="000000" w:themeColor="text1"/>
          <w:sz w:val="30"/>
          <w:szCs w:val="30"/>
        </w:rPr>
      </w:pPr>
      <w:r w:rsidRPr="00E2625D">
        <w:rPr>
          <w:b/>
          <w:color w:val="000000" w:themeColor="text1"/>
          <w:sz w:val="30"/>
          <w:szCs w:val="30"/>
        </w:rPr>
        <w:t xml:space="preserve">An evaluation into </w:t>
      </w:r>
      <w:r w:rsidR="007171E7" w:rsidRPr="00E2625D">
        <w:rPr>
          <w:b/>
          <w:color w:val="000000" w:themeColor="text1"/>
          <w:sz w:val="30"/>
          <w:szCs w:val="30"/>
        </w:rPr>
        <w:t>p</w:t>
      </w:r>
      <w:r w:rsidR="00950088" w:rsidRPr="00E2625D">
        <w:rPr>
          <w:b/>
          <w:color w:val="000000" w:themeColor="text1"/>
          <w:sz w:val="30"/>
          <w:szCs w:val="30"/>
        </w:rPr>
        <w:t xml:space="preserve">rocalcitonin levels </w:t>
      </w:r>
      <w:r w:rsidR="007171E7" w:rsidRPr="00E2625D">
        <w:rPr>
          <w:b/>
          <w:color w:val="000000" w:themeColor="text1"/>
          <w:sz w:val="30"/>
          <w:szCs w:val="30"/>
        </w:rPr>
        <w:t xml:space="preserve">in </w:t>
      </w:r>
      <w:r w:rsidR="003267AA" w:rsidRPr="00E2625D">
        <w:rPr>
          <w:b/>
          <w:color w:val="000000" w:themeColor="text1"/>
          <w:sz w:val="30"/>
          <w:szCs w:val="30"/>
        </w:rPr>
        <w:t xml:space="preserve">full term </w:t>
      </w:r>
      <w:r w:rsidR="007171E7" w:rsidRPr="00E2625D">
        <w:rPr>
          <w:b/>
          <w:color w:val="000000" w:themeColor="text1"/>
          <w:sz w:val="30"/>
          <w:szCs w:val="30"/>
        </w:rPr>
        <w:t xml:space="preserve">neonates managed for suspected </w:t>
      </w:r>
      <w:r w:rsidR="00950088" w:rsidRPr="00E2625D">
        <w:rPr>
          <w:b/>
          <w:color w:val="000000" w:themeColor="text1"/>
          <w:sz w:val="30"/>
          <w:szCs w:val="30"/>
        </w:rPr>
        <w:t xml:space="preserve">early </w:t>
      </w:r>
      <w:r w:rsidRPr="00E2625D">
        <w:rPr>
          <w:b/>
          <w:color w:val="000000" w:themeColor="text1"/>
          <w:sz w:val="30"/>
          <w:szCs w:val="30"/>
        </w:rPr>
        <w:t>onset sepsis</w:t>
      </w:r>
      <w:r w:rsidR="00E2625D" w:rsidRPr="00E2625D">
        <w:rPr>
          <w:b/>
          <w:color w:val="000000" w:themeColor="text1"/>
          <w:sz w:val="30"/>
          <w:szCs w:val="30"/>
        </w:rPr>
        <w:t xml:space="preserve"> due to probable maternal intrapartum sepsis </w:t>
      </w:r>
    </w:p>
    <w:p w14:paraId="744452E0" w14:textId="77777777" w:rsidR="0078589D" w:rsidRDefault="0078589D" w:rsidP="0078589D">
      <w:pPr>
        <w:spacing w:line="480" w:lineRule="auto"/>
        <w:rPr>
          <w:b/>
          <w:bCs/>
          <w:color w:val="1C1D1E"/>
          <w:sz w:val="22"/>
          <w:szCs w:val="22"/>
        </w:rPr>
      </w:pPr>
    </w:p>
    <w:p w14:paraId="3BCD524A" w14:textId="1DC3513D" w:rsidR="00EF3A15" w:rsidRDefault="00205F4F" w:rsidP="00EF3A15">
      <w:pPr>
        <w:spacing w:line="480" w:lineRule="auto"/>
        <w:jc w:val="center"/>
        <w:rPr>
          <w:b/>
          <w:bCs/>
          <w:color w:val="1C1D1E"/>
          <w:sz w:val="22"/>
          <w:szCs w:val="22"/>
        </w:rPr>
      </w:pPr>
      <w:r w:rsidRPr="0078589D">
        <w:rPr>
          <w:b/>
          <w:bCs/>
          <w:color w:val="1C1D1E"/>
          <w:sz w:val="22"/>
          <w:szCs w:val="22"/>
        </w:rPr>
        <w:t>Abstract</w:t>
      </w:r>
    </w:p>
    <w:p w14:paraId="69104E60" w14:textId="77777777" w:rsidR="00E8687E" w:rsidRPr="0078589D" w:rsidRDefault="00E8687E" w:rsidP="00EF3A15">
      <w:pPr>
        <w:spacing w:line="480" w:lineRule="auto"/>
        <w:jc w:val="center"/>
        <w:rPr>
          <w:b/>
          <w:bCs/>
          <w:color w:val="1C1D1E"/>
          <w:sz w:val="22"/>
          <w:szCs w:val="22"/>
        </w:rPr>
      </w:pPr>
    </w:p>
    <w:p w14:paraId="20C070B3" w14:textId="46268890" w:rsidR="00205F4F" w:rsidRPr="009D2FFB" w:rsidRDefault="00205F4F" w:rsidP="00205F4F">
      <w:pPr>
        <w:spacing w:line="480" w:lineRule="auto"/>
        <w:jc w:val="both"/>
        <w:rPr>
          <w:color w:val="000000" w:themeColor="text1"/>
          <w:sz w:val="22"/>
          <w:szCs w:val="22"/>
        </w:rPr>
      </w:pPr>
      <w:r w:rsidRPr="009D2FFB">
        <w:rPr>
          <w:color w:val="000000" w:themeColor="text1"/>
          <w:sz w:val="22"/>
          <w:szCs w:val="22"/>
        </w:rPr>
        <w:t xml:space="preserve">Purpose: To investigate Procalcitonin (PCT) levels in </w:t>
      </w:r>
      <w:r w:rsidR="003267AA" w:rsidRPr="009D2FFB">
        <w:rPr>
          <w:color w:val="000000" w:themeColor="text1"/>
          <w:sz w:val="22"/>
          <w:szCs w:val="22"/>
        </w:rPr>
        <w:t>full</w:t>
      </w:r>
      <w:r w:rsidR="007E7781">
        <w:rPr>
          <w:color w:val="000000" w:themeColor="text1"/>
          <w:sz w:val="22"/>
          <w:szCs w:val="22"/>
        </w:rPr>
        <w:t xml:space="preserve"> </w:t>
      </w:r>
      <w:r w:rsidR="003267AA" w:rsidRPr="009D2FFB">
        <w:rPr>
          <w:color w:val="000000" w:themeColor="text1"/>
          <w:sz w:val="22"/>
          <w:szCs w:val="22"/>
        </w:rPr>
        <w:t xml:space="preserve">term </w:t>
      </w:r>
      <w:r w:rsidRPr="009D2FFB">
        <w:rPr>
          <w:color w:val="000000" w:themeColor="text1"/>
          <w:sz w:val="22"/>
          <w:szCs w:val="22"/>
        </w:rPr>
        <w:t>neonates managed for suspected</w:t>
      </w:r>
      <w:r w:rsidR="007171E7" w:rsidRPr="009D2FFB">
        <w:rPr>
          <w:color w:val="000000" w:themeColor="text1"/>
          <w:sz w:val="22"/>
          <w:szCs w:val="22"/>
        </w:rPr>
        <w:t xml:space="preserve"> early onset sepsis (EOS)</w:t>
      </w:r>
      <w:r w:rsidR="009D2FFB" w:rsidRPr="009D2FFB">
        <w:rPr>
          <w:color w:val="000000" w:themeColor="text1"/>
          <w:sz w:val="22"/>
          <w:szCs w:val="22"/>
        </w:rPr>
        <w:t xml:space="preserve"> due to probable maternal intrapartum sepsis</w:t>
      </w:r>
      <w:r w:rsidR="007171E7" w:rsidRPr="009D2FFB">
        <w:rPr>
          <w:color w:val="000000" w:themeColor="text1"/>
          <w:sz w:val="22"/>
          <w:szCs w:val="22"/>
        </w:rPr>
        <w:t xml:space="preserve">. </w:t>
      </w:r>
    </w:p>
    <w:p w14:paraId="11B05753" w14:textId="77777777" w:rsidR="00205F4F" w:rsidRPr="0078589D" w:rsidRDefault="00205F4F" w:rsidP="00205F4F">
      <w:pPr>
        <w:spacing w:line="480" w:lineRule="auto"/>
        <w:jc w:val="both"/>
        <w:rPr>
          <w:color w:val="1C1D1E"/>
          <w:sz w:val="22"/>
          <w:szCs w:val="22"/>
        </w:rPr>
      </w:pPr>
    </w:p>
    <w:p w14:paraId="2D24C145" w14:textId="7030EB03" w:rsidR="00205F4F" w:rsidRPr="0078589D" w:rsidRDefault="00205F4F" w:rsidP="00205F4F">
      <w:pPr>
        <w:spacing w:line="480" w:lineRule="auto"/>
        <w:jc w:val="both"/>
        <w:rPr>
          <w:color w:val="1C1D1E"/>
          <w:sz w:val="22"/>
          <w:szCs w:val="22"/>
        </w:rPr>
      </w:pPr>
      <w:r w:rsidRPr="0078589D">
        <w:rPr>
          <w:color w:val="1C1D1E"/>
          <w:sz w:val="22"/>
          <w:szCs w:val="22"/>
        </w:rPr>
        <w:t xml:space="preserve">Methods:  Prospective </w:t>
      </w:r>
      <w:r w:rsidR="007171E7">
        <w:rPr>
          <w:color w:val="1C1D1E"/>
          <w:sz w:val="22"/>
          <w:szCs w:val="22"/>
        </w:rPr>
        <w:t xml:space="preserve">longitudinal </w:t>
      </w:r>
      <w:r w:rsidRPr="0078589D">
        <w:rPr>
          <w:color w:val="1C1D1E"/>
          <w:sz w:val="22"/>
          <w:szCs w:val="22"/>
        </w:rPr>
        <w:t xml:space="preserve">observational study at University Hospitals of Bristol NHS Foundation trust. </w:t>
      </w:r>
      <w:r w:rsidR="00A62947">
        <w:rPr>
          <w:color w:val="1C1D1E"/>
          <w:sz w:val="22"/>
          <w:szCs w:val="22"/>
        </w:rPr>
        <w:t xml:space="preserve">Included were a total of </w:t>
      </w:r>
      <w:r w:rsidRPr="0078589D">
        <w:rPr>
          <w:color w:val="1C1D1E"/>
          <w:sz w:val="22"/>
          <w:szCs w:val="22"/>
        </w:rPr>
        <w:t xml:space="preserve">117 neonates managed for suspected </w:t>
      </w:r>
      <w:r w:rsidR="007171E7">
        <w:rPr>
          <w:color w:val="1C1D1E"/>
          <w:sz w:val="22"/>
          <w:szCs w:val="22"/>
        </w:rPr>
        <w:t>EOS</w:t>
      </w:r>
      <w:r w:rsidR="007B219A">
        <w:rPr>
          <w:color w:val="1C1D1E"/>
          <w:sz w:val="22"/>
          <w:szCs w:val="22"/>
        </w:rPr>
        <w:t xml:space="preserve"> </w:t>
      </w:r>
      <w:r w:rsidRPr="0078589D">
        <w:rPr>
          <w:color w:val="1C1D1E"/>
          <w:sz w:val="22"/>
          <w:szCs w:val="22"/>
        </w:rPr>
        <w:t xml:space="preserve">from June-October 2020. </w:t>
      </w:r>
      <w:r w:rsidR="003267AA">
        <w:rPr>
          <w:color w:val="1C1D1E"/>
          <w:sz w:val="22"/>
          <w:szCs w:val="22"/>
        </w:rPr>
        <w:t xml:space="preserve">In addition to routine full-blood-counts and c-reactive protein (CRP) tests, serum </w:t>
      </w:r>
      <w:r w:rsidRPr="0078589D">
        <w:rPr>
          <w:color w:val="1C1D1E"/>
          <w:sz w:val="22"/>
          <w:szCs w:val="22"/>
        </w:rPr>
        <w:t xml:space="preserve">PCT levels were </w:t>
      </w:r>
      <w:r w:rsidR="003267AA">
        <w:rPr>
          <w:color w:val="1C1D1E"/>
          <w:sz w:val="22"/>
          <w:szCs w:val="22"/>
        </w:rPr>
        <w:t xml:space="preserve">also </w:t>
      </w:r>
      <w:r w:rsidRPr="0078589D">
        <w:rPr>
          <w:color w:val="1C1D1E"/>
          <w:sz w:val="22"/>
          <w:szCs w:val="22"/>
        </w:rPr>
        <w:t xml:space="preserve">measured </w:t>
      </w:r>
      <w:r w:rsidR="003267AA">
        <w:rPr>
          <w:color w:val="1C1D1E"/>
          <w:sz w:val="22"/>
          <w:szCs w:val="22"/>
        </w:rPr>
        <w:t xml:space="preserve">as part of the </w:t>
      </w:r>
      <w:r w:rsidRPr="0078589D">
        <w:rPr>
          <w:color w:val="1C1D1E"/>
          <w:sz w:val="22"/>
          <w:szCs w:val="22"/>
        </w:rPr>
        <w:t xml:space="preserve">septic screen and follow up </w:t>
      </w:r>
      <w:r w:rsidR="00A62947">
        <w:rPr>
          <w:color w:val="1C1D1E"/>
          <w:sz w:val="22"/>
          <w:szCs w:val="22"/>
        </w:rPr>
        <w:t>blood tests</w:t>
      </w:r>
      <w:r w:rsidRPr="0078589D">
        <w:rPr>
          <w:color w:val="1C1D1E"/>
          <w:sz w:val="22"/>
          <w:szCs w:val="22"/>
        </w:rPr>
        <w:t xml:space="preserve">. Placentas </w:t>
      </w:r>
      <w:r w:rsidR="00A62947">
        <w:rPr>
          <w:color w:val="1C1D1E"/>
          <w:sz w:val="22"/>
          <w:szCs w:val="22"/>
        </w:rPr>
        <w:t>were sent for</w:t>
      </w:r>
      <w:r w:rsidRPr="0078589D">
        <w:rPr>
          <w:color w:val="1C1D1E"/>
          <w:sz w:val="22"/>
          <w:szCs w:val="22"/>
        </w:rPr>
        <w:t xml:space="preserve"> histopathology</w:t>
      </w:r>
      <w:r w:rsidR="00A62947">
        <w:rPr>
          <w:color w:val="1C1D1E"/>
          <w:sz w:val="22"/>
          <w:szCs w:val="22"/>
        </w:rPr>
        <w:t xml:space="preserve"> analysis</w:t>
      </w:r>
      <w:r w:rsidRPr="0078589D">
        <w:rPr>
          <w:color w:val="1C1D1E"/>
          <w:sz w:val="22"/>
          <w:szCs w:val="22"/>
        </w:rPr>
        <w:t>.</w:t>
      </w:r>
    </w:p>
    <w:p w14:paraId="76174CEE" w14:textId="3BC74C59" w:rsidR="00205F4F" w:rsidRPr="0078589D" w:rsidRDefault="00205F4F" w:rsidP="00205F4F">
      <w:pPr>
        <w:spacing w:line="480" w:lineRule="auto"/>
        <w:jc w:val="both"/>
        <w:rPr>
          <w:color w:val="1C1D1E"/>
          <w:sz w:val="22"/>
          <w:szCs w:val="22"/>
        </w:rPr>
      </w:pPr>
      <w:r w:rsidRPr="0078589D">
        <w:rPr>
          <w:color w:val="1C1D1E"/>
          <w:sz w:val="22"/>
          <w:szCs w:val="22"/>
        </w:rPr>
        <w:t>Neonatal parameters were used to categorise cases into: ‘high-suspicion bacterial sepsis (BS)</w:t>
      </w:r>
      <w:r w:rsidR="007B219A">
        <w:rPr>
          <w:color w:val="1C1D1E"/>
          <w:sz w:val="22"/>
          <w:szCs w:val="22"/>
        </w:rPr>
        <w:t>,</w:t>
      </w:r>
      <w:r w:rsidRPr="0078589D">
        <w:rPr>
          <w:color w:val="1C1D1E"/>
          <w:sz w:val="22"/>
          <w:szCs w:val="22"/>
        </w:rPr>
        <w:t xml:space="preserve">’ ‘equivocal BS’ and ‘low-suspicion BS.’ </w:t>
      </w:r>
      <w:r w:rsidR="00A62947">
        <w:rPr>
          <w:color w:val="1C1D1E"/>
          <w:sz w:val="22"/>
          <w:szCs w:val="22"/>
        </w:rPr>
        <w:t xml:space="preserve">Statistical test </w:t>
      </w:r>
      <w:r w:rsidRPr="0078589D">
        <w:rPr>
          <w:color w:val="1C1D1E"/>
          <w:sz w:val="22"/>
          <w:szCs w:val="22"/>
        </w:rPr>
        <w:t>Kruskal-Wallis</w:t>
      </w:r>
      <w:r w:rsidR="00A62947">
        <w:rPr>
          <w:color w:val="1C1D1E"/>
          <w:sz w:val="22"/>
          <w:szCs w:val="22"/>
        </w:rPr>
        <w:t xml:space="preserve"> compared</w:t>
      </w:r>
      <w:r w:rsidRPr="0078589D">
        <w:rPr>
          <w:color w:val="1C1D1E"/>
          <w:sz w:val="22"/>
          <w:szCs w:val="22"/>
        </w:rPr>
        <w:t xml:space="preserve"> categories with biomarker values and placental histo</w:t>
      </w:r>
      <w:r w:rsidR="00A62947">
        <w:rPr>
          <w:color w:val="1C1D1E"/>
          <w:sz w:val="22"/>
          <w:szCs w:val="22"/>
        </w:rPr>
        <w:t>pathology</w:t>
      </w:r>
      <w:r w:rsidRPr="0078589D">
        <w:rPr>
          <w:color w:val="1C1D1E"/>
          <w:sz w:val="22"/>
          <w:szCs w:val="22"/>
        </w:rPr>
        <w:t xml:space="preserve"> scores.</w:t>
      </w:r>
    </w:p>
    <w:p w14:paraId="76EF30A2" w14:textId="77777777" w:rsidR="00205F4F" w:rsidRPr="0078589D" w:rsidRDefault="00205F4F" w:rsidP="00205F4F">
      <w:pPr>
        <w:spacing w:line="480" w:lineRule="auto"/>
        <w:jc w:val="both"/>
        <w:rPr>
          <w:color w:val="1C1D1E"/>
          <w:sz w:val="22"/>
          <w:szCs w:val="22"/>
        </w:rPr>
      </w:pPr>
    </w:p>
    <w:p w14:paraId="44D9CE71" w14:textId="00F3BD20" w:rsidR="00205F4F" w:rsidRPr="0078589D" w:rsidRDefault="00205F4F" w:rsidP="00205F4F">
      <w:pPr>
        <w:spacing w:line="480" w:lineRule="auto"/>
        <w:jc w:val="both"/>
        <w:rPr>
          <w:color w:val="1C1D1E"/>
          <w:sz w:val="22"/>
          <w:szCs w:val="22"/>
        </w:rPr>
      </w:pPr>
      <w:r w:rsidRPr="0078589D">
        <w:rPr>
          <w:color w:val="1C1D1E"/>
          <w:sz w:val="22"/>
          <w:szCs w:val="22"/>
        </w:rPr>
        <w:t>Results:</w:t>
      </w:r>
      <w:r w:rsidR="00E8687E">
        <w:rPr>
          <w:color w:val="1C1D1E"/>
          <w:sz w:val="22"/>
          <w:szCs w:val="22"/>
        </w:rPr>
        <w:t xml:space="preserve"> </w:t>
      </w:r>
      <w:r w:rsidR="003267AA">
        <w:rPr>
          <w:color w:val="1C1D1E"/>
          <w:sz w:val="22"/>
          <w:szCs w:val="22"/>
        </w:rPr>
        <w:t xml:space="preserve">A higher percentage of PCT levels showed elevation in comparison to CRP levels in the initial testing (55.3% versus 5.9%) and follow up testing (98.9% versus 35%). </w:t>
      </w:r>
      <w:r w:rsidRPr="0078589D">
        <w:rPr>
          <w:color w:val="1C1D1E"/>
          <w:sz w:val="22"/>
          <w:szCs w:val="22"/>
        </w:rPr>
        <w:t>There was a significant difference between the ‘</w:t>
      </w:r>
      <w:r w:rsidR="00C86FA2">
        <w:rPr>
          <w:color w:val="1C1D1E"/>
          <w:sz w:val="22"/>
          <w:szCs w:val="22"/>
        </w:rPr>
        <w:t>low</w:t>
      </w:r>
      <w:r w:rsidRPr="0078589D">
        <w:rPr>
          <w:color w:val="1C1D1E"/>
          <w:sz w:val="22"/>
          <w:szCs w:val="22"/>
        </w:rPr>
        <w:t>-suspicion BS</w:t>
      </w:r>
      <w:r w:rsidR="007B219A">
        <w:rPr>
          <w:color w:val="1C1D1E"/>
          <w:sz w:val="22"/>
          <w:szCs w:val="22"/>
        </w:rPr>
        <w:t>’</w:t>
      </w:r>
      <w:r w:rsidRPr="0078589D">
        <w:rPr>
          <w:color w:val="1C1D1E"/>
          <w:sz w:val="22"/>
          <w:szCs w:val="22"/>
        </w:rPr>
        <w:t xml:space="preserve"> and ‘</w:t>
      </w:r>
      <w:r w:rsidR="00C86FA2">
        <w:rPr>
          <w:color w:val="1C1D1E"/>
          <w:sz w:val="22"/>
          <w:szCs w:val="22"/>
        </w:rPr>
        <w:t>high</w:t>
      </w:r>
      <w:r w:rsidRPr="0078589D">
        <w:rPr>
          <w:color w:val="1C1D1E"/>
          <w:sz w:val="22"/>
          <w:szCs w:val="22"/>
        </w:rPr>
        <w:t>-suspicion BS’ categories for both the initial and follow-up PCT results. 71.2% of placentas showed varying degrees of chorioamnionitis.</w:t>
      </w:r>
    </w:p>
    <w:p w14:paraId="72D19B11" w14:textId="77777777" w:rsidR="00205F4F" w:rsidRPr="0078589D" w:rsidRDefault="00205F4F" w:rsidP="00205F4F">
      <w:pPr>
        <w:spacing w:line="480" w:lineRule="auto"/>
        <w:jc w:val="both"/>
        <w:rPr>
          <w:color w:val="1C1D1E"/>
          <w:sz w:val="22"/>
          <w:szCs w:val="22"/>
        </w:rPr>
      </w:pPr>
    </w:p>
    <w:p w14:paraId="38ADE985" w14:textId="088D94FF" w:rsidR="00E2625D" w:rsidRDefault="00205F4F" w:rsidP="007171E7">
      <w:pPr>
        <w:spacing w:line="480" w:lineRule="auto"/>
        <w:jc w:val="both"/>
        <w:rPr>
          <w:color w:val="1C1D1E"/>
          <w:sz w:val="22"/>
          <w:szCs w:val="22"/>
        </w:rPr>
      </w:pPr>
      <w:r w:rsidRPr="0078589D">
        <w:rPr>
          <w:color w:val="1C1D1E"/>
          <w:sz w:val="22"/>
          <w:szCs w:val="22"/>
        </w:rPr>
        <w:t>Conclusion:</w:t>
      </w:r>
      <w:r w:rsidR="001064C2">
        <w:rPr>
          <w:color w:val="1C1D1E"/>
          <w:sz w:val="22"/>
          <w:szCs w:val="22"/>
        </w:rPr>
        <w:t xml:space="preserve"> </w:t>
      </w:r>
      <w:r w:rsidRPr="0078589D">
        <w:rPr>
          <w:color w:val="1C1D1E"/>
          <w:sz w:val="22"/>
          <w:szCs w:val="22"/>
        </w:rPr>
        <w:t xml:space="preserve">This study provides evidence to the physiological rise in PCT during the first few days of life. The significant difference in PCT levels according to clinical severity shows that PCT could be utilised </w:t>
      </w:r>
      <w:r w:rsidR="007B219A">
        <w:rPr>
          <w:sz w:val="22"/>
          <w:szCs w:val="22"/>
        </w:rPr>
        <w:t>in calculating odds for EOS</w:t>
      </w:r>
      <w:r w:rsidR="007B219A">
        <w:rPr>
          <w:color w:val="1C1D1E"/>
          <w:sz w:val="22"/>
          <w:szCs w:val="22"/>
        </w:rPr>
        <w:t xml:space="preserve">, but as a standalone test will have limited use. </w:t>
      </w:r>
    </w:p>
    <w:p w14:paraId="4388E104" w14:textId="77777777" w:rsidR="007B219A" w:rsidRDefault="007B219A" w:rsidP="007171E7">
      <w:pPr>
        <w:spacing w:line="480" w:lineRule="auto"/>
        <w:jc w:val="both"/>
        <w:rPr>
          <w:color w:val="1C1D1E"/>
          <w:sz w:val="22"/>
          <w:szCs w:val="22"/>
        </w:rPr>
      </w:pPr>
    </w:p>
    <w:p w14:paraId="328965B1" w14:textId="72F94A32" w:rsidR="00D33DED" w:rsidRPr="0078589D" w:rsidRDefault="00D33DED" w:rsidP="004601B0">
      <w:pPr>
        <w:spacing w:line="480" w:lineRule="auto"/>
        <w:rPr>
          <w:b/>
          <w:bCs/>
          <w:color w:val="000000" w:themeColor="text1"/>
          <w:sz w:val="22"/>
          <w:szCs w:val="22"/>
        </w:rPr>
      </w:pPr>
      <w:r w:rsidRPr="0078589D">
        <w:rPr>
          <w:b/>
          <w:bCs/>
          <w:color w:val="000000" w:themeColor="text1"/>
          <w:sz w:val="22"/>
          <w:szCs w:val="22"/>
        </w:rPr>
        <w:t>Key Words:</w:t>
      </w:r>
    </w:p>
    <w:p w14:paraId="06D0E96A" w14:textId="1A7004ED" w:rsidR="003267AA" w:rsidRPr="007B219A" w:rsidRDefault="00D33DED" w:rsidP="007B219A">
      <w:pPr>
        <w:spacing w:line="480" w:lineRule="auto"/>
        <w:rPr>
          <w:sz w:val="22"/>
          <w:szCs w:val="22"/>
        </w:rPr>
      </w:pPr>
      <w:r w:rsidRPr="0078589D">
        <w:rPr>
          <w:color w:val="000000" w:themeColor="text1"/>
          <w:sz w:val="22"/>
          <w:szCs w:val="22"/>
        </w:rPr>
        <w:t xml:space="preserve">Procalcitonin, </w:t>
      </w:r>
      <w:r w:rsidR="007171E7">
        <w:rPr>
          <w:color w:val="000000" w:themeColor="text1"/>
          <w:sz w:val="22"/>
          <w:szCs w:val="22"/>
        </w:rPr>
        <w:t xml:space="preserve">neonatal </w:t>
      </w:r>
      <w:r w:rsidRPr="0078589D">
        <w:rPr>
          <w:color w:val="000000" w:themeColor="text1"/>
          <w:sz w:val="22"/>
          <w:szCs w:val="22"/>
        </w:rPr>
        <w:t>early onset sepsis, chorioamnionitis, biomarkers, intrapartum sepsis</w:t>
      </w:r>
    </w:p>
    <w:p w14:paraId="02B5D99E" w14:textId="28A2C539" w:rsidR="00E8687E" w:rsidRDefault="00E8687E" w:rsidP="004601B0">
      <w:pPr>
        <w:spacing w:line="480" w:lineRule="auto"/>
        <w:jc w:val="both"/>
        <w:rPr>
          <w:b/>
          <w:bCs/>
          <w:color w:val="1C1D1E"/>
          <w:sz w:val="22"/>
          <w:szCs w:val="22"/>
        </w:rPr>
      </w:pPr>
    </w:p>
    <w:p w14:paraId="0774EFDB" w14:textId="77777777" w:rsidR="00C12A5A" w:rsidRDefault="00C12A5A" w:rsidP="004601B0">
      <w:pPr>
        <w:spacing w:line="480" w:lineRule="auto"/>
        <w:jc w:val="both"/>
        <w:rPr>
          <w:b/>
          <w:bCs/>
          <w:color w:val="1C1D1E"/>
          <w:sz w:val="22"/>
          <w:szCs w:val="22"/>
        </w:rPr>
      </w:pPr>
    </w:p>
    <w:p w14:paraId="6451C8DD" w14:textId="0BE8F2C3" w:rsidR="0065314F" w:rsidRPr="0078589D" w:rsidRDefault="00F73817" w:rsidP="004601B0">
      <w:pPr>
        <w:spacing w:line="480" w:lineRule="auto"/>
        <w:jc w:val="both"/>
        <w:rPr>
          <w:b/>
          <w:bCs/>
          <w:color w:val="1C1D1E"/>
          <w:sz w:val="22"/>
          <w:szCs w:val="22"/>
        </w:rPr>
      </w:pPr>
      <w:r w:rsidRPr="0078589D">
        <w:rPr>
          <w:b/>
          <w:bCs/>
          <w:color w:val="1C1D1E"/>
          <w:sz w:val="22"/>
          <w:szCs w:val="22"/>
        </w:rPr>
        <w:lastRenderedPageBreak/>
        <w:t>Introduction</w:t>
      </w:r>
    </w:p>
    <w:p w14:paraId="7CB9F12F" w14:textId="2713D792" w:rsidR="00E2625D" w:rsidRDefault="0065314F" w:rsidP="004601B0">
      <w:pPr>
        <w:spacing w:line="480" w:lineRule="auto"/>
        <w:jc w:val="both"/>
        <w:rPr>
          <w:color w:val="000000" w:themeColor="text1"/>
          <w:sz w:val="22"/>
          <w:szCs w:val="22"/>
        </w:rPr>
      </w:pPr>
      <w:r w:rsidRPr="0078589D">
        <w:rPr>
          <w:color w:val="000000" w:themeColor="text1"/>
          <w:sz w:val="22"/>
          <w:szCs w:val="22"/>
          <w:shd w:val="clear" w:color="auto" w:fill="FFFFFF"/>
        </w:rPr>
        <w:t xml:space="preserve">Neonatal early onset sepsis (EOS), </w:t>
      </w:r>
      <w:r w:rsidR="00C86FA2">
        <w:rPr>
          <w:color w:val="000000" w:themeColor="text1"/>
          <w:sz w:val="22"/>
          <w:szCs w:val="22"/>
          <w:shd w:val="clear" w:color="auto" w:fill="FFFFFF"/>
        </w:rPr>
        <w:t>occurring</w:t>
      </w:r>
      <w:r w:rsidRPr="0078589D">
        <w:rPr>
          <w:color w:val="000000" w:themeColor="text1"/>
          <w:sz w:val="22"/>
          <w:szCs w:val="22"/>
          <w:shd w:val="clear" w:color="auto" w:fill="FFFFFF"/>
        </w:rPr>
        <w:t xml:space="preserve"> within 72</w:t>
      </w:r>
      <w:r w:rsidR="00836D6C" w:rsidRPr="0078589D">
        <w:rPr>
          <w:color w:val="000000" w:themeColor="text1"/>
          <w:sz w:val="22"/>
          <w:szCs w:val="22"/>
          <w:shd w:val="clear" w:color="auto" w:fill="FFFFFF"/>
        </w:rPr>
        <w:t xml:space="preserve"> </w:t>
      </w:r>
      <w:r w:rsidRPr="0078589D">
        <w:rPr>
          <w:color w:val="000000" w:themeColor="text1"/>
          <w:sz w:val="22"/>
          <w:szCs w:val="22"/>
          <w:shd w:val="clear" w:color="auto" w:fill="FFFFFF"/>
        </w:rPr>
        <w:t>hours of birth, carries high morbidity and mortality</w:t>
      </w:r>
      <w:r w:rsidR="00C86FA2">
        <w:rPr>
          <w:color w:val="000000" w:themeColor="text1"/>
          <w:sz w:val="22"/>
          <w:szCs w:val="22"/>
          <w:shd w:val="clear" w:color="auto" w:fill="FFFFFF"/>
        </w:rPr>
        <w:t>, with a rate of approximately 1-1.5 per 1000 births</w:t>
      </w:r>
      <w:r w:rsidRPr="0078589D">
        <w:rPr>
          <w:color w:val="000000" w:themeColor="text1"/>
          <w:sz w:val="22"/>
          <w:szCs w:val="22"/>
          <w:shd w:val="clear" w:color="auto" w:fill="FFFFFF"/>
        </w:rPr>
        <w:t>.</w:t>
      </w:r>
      <w:r w:rsidR="00557C40" w:rsidRPr="0078589D">
        <w:rPr>
          <w:bCs/>
          <w:color w:val="000000" w:themeColor="text1"/>
          <w:sz w:val="22"/>
          <w:szCs w:val="22"/>
          <w:shd w:val="clear" w:color="auto" w:fill="FFFFFF"/>
          <w:vertAlign w:val="superscript"/>
        </w:rPr>
        <w:t>1</w:t>
      </w:r>
      <w:r w:rsidR="00C86FA2">
        <w:rPr>
          <w:bCs/>
          <w:color w:val="000000" w:themeColor="text1"/>
          <w:sz w:val="22"/>
          <w:szCs w:val="22"/>
          <w:shd w:val="clear" w:color="auto" w:fill="FFFFFF"/>
          <w:vertAlign w:val="superscript"/>
        </w:rPr>
        <w:t>,2</w:t>
      </w:r>
      <w:r w:rsidRPr="0078589D">
        <w:rPr>
          <w:color w:val="000000" w:themeColor="text1"/>
          <w:sz w:val="22"/>
          <w:szCs w:val="22"/>
          <w:shd w:val="clear" w:color="auto" w:fill="FFFFFF"/>
        </w:rPr>
        <w:t xml:space="preserve"> It requires prompt identification and treatment of affected neonates.</w:t>
      </w:r>
      <w:r w:rsidR="00557C40" w:rsidRPr="0078589D">
        <w:rPr>
          <w:bCs/>
          <w:color w:val="000000" w:themeColor="text1"/>
          <w:sz w:val="22"/>
          <w:szCs w:val="22"/>
          <w:shd w:val="clear" w:color="auto" w:fill="FFFFFF"/>
          <w:vertAlign w:val="superscript"/>
        </w:rPr>
        <w:t>2</w:t>
      </w:r>
      <w:r w:rsidRPr="0078589D">
        <w:rPr>
          <w:color w:val="000000" w:themeColor="text1"/>
          <w:sz w:val="22"/>
          <w:szCs w:val="22"/>
          <w:shd w:val="clear" w:color="auto" w:fill="FFFFFF"/>
        </w:rPr>
        <w:t xml:space="preserve"> However, early detection is difficult because the first signs of </w:t>
      </w:r>
      <w:r w:rsidR="00C86FA2">
        <w:rPr>
          <w:color w:val="000000" w:themeColor="text1"/>
          <w:sz w:val="22"/>
          <w:szCs w:val="22"/>
          <w:shd w:val="clear" w:color="auto" w:fill="FFFFFF"/>
        </w:rPr>
        <w:t>neonatal sepsis</w:t>
      </w:r>
      <w:r w:rsidRPr="0078589D">
        <w:rPr>
          <w:color w:val="000000" w:themeColor="text1"/>
          <w:sz w:val="22"/>
          <w:szCs w:val="22"/>
          <w:shd w:val="clear" w:color="auto" w:fill="FFFFFF"/>
        </w:rPr>
        <w:t xml:space="preserve"> may be minimal and similar to those of </w:t>
      </w:r>
      <w:r w:rsidR="00C86FA2">
        <w:rPr>
          <w:color w:val="000000" w:themeColor="text1"/>
          <w:sz w:val="22"/>
          <w:szCs w:val="22"/>
          <w:shd w:val="clear" w:color="auto" w:fill="FFFFFF"/>
        </w:rPr>
        <w:t>other</w:t>
      </w:r>
      <w:r w:rsidRPr="0078589D">
        <w:rPr>
          <w:color w:val="000000" w:themeColor="text1"/>
          <w:sz w:val="22"/>
          <w:szCs w:val="22"/>
          <w:shd w:val="clear" w:color="auto" w:fill="FFFFFF"/>
        </w:rPr>
        <w:t xml:space="preserve"> non-infectious processes</w:t>
      </w:r>
      <w:r w:rsidR="00C86FA2">
        <w:rPr>
          <w:color w:val="000000" w:themeColor="text1"/>
          <w:sz w:val="22"/>
          <w:szCs w:val="22"/>
          <w:shd w:val="clear" w:color="auto" w:fill="FFFFFF"/>
        </w:rPr>
        <w:t xml:space="preserve">. </w:t>
      </w:r>
      <w:r w:rsidR="00685747">
        <w:rPr>
          <w:color w:val="000000" w:themeColor="text1"/>
          <w:sz w:val="22"/>
          <w:szCs w:val="22"/>
          <w:shd w:val="clear" w:color="auto" w:fill="FFFFFF"/>
        </w:rPr>
        <w:t>Furthermore,</w:t>
      </w:r>
      <w:r w:rsidRPr="0078589D">
        <w:rPr>
          <w:color w:val="000000" w:themeColor="text1"/>
          <w:sz w:val="22"/>
          <w:szCs w:val="22"/>
          <w:shd w:val="clear" w:color="auto" w:fill="FFFFFF"/>
        </w:rPr>
        <w:t xml:space="preserve"> definitive blood culture results are not immediately available</w:t>
      </w:r>
      <w:r w:rsidR="00037B4D">
        <w:rPr>
          <w:color w:val="000000" w:themeColor="text1"/>
          <w:sz w:val="22"/>
          <w:szCs w:val="22"/>
          <w:shd w:val="clear" w:color="auto" w:fill="FFFFFF"/>
        </w:rPr>
        <w:t xml:space="preserve"> with poor yield</w:t>
      </w:r>
      <w:r w:rsidR="00557C40" w:rsidRPr="0078589D">
        <w:rPr>
          <w:color w:val="000000" w:themeColor="text1"/>
          <w:sz w:val="22"/>
          <w:szCs w:val="22"/>
          <w:shd w:val="clear" w:color="auto" w:fill="FFFFFF"/>
        </w:rPr>
        <w:t>.</w:t>
      </w:r>
      <w:r w:rsidR="00557C40" w:rsidRPr="0078589D">
        <w:rPr>
          <w:bCs/>
          <w:color w:val="000000" w:themeColor="text1"/>
          <w:sz w:val="22"/>
          <w:szCs w:val="22"/>
          <w:shd w:val="clear" w:color="auto" w:fill="FFFFFF"/>
          <w:vertAlign w:val="superscript"/>
        </w:rPr>
        <w:t>3</w:t>
      </w:r>
      <w:r w:rsidR="00815B3D" w:rsidRPr="00C86FA2">
        <w:rPr>
          <w:bCs/>
          <w:color w:val="000000" w:themeColor="text1"/>
          <w:sz w:val="22"/>
          <w:szCs w:val="22"/>
          <w:shd w:val="clear" w:color="auto" w:fill="FFFFFF"/>
          <w:vertAlign w:val="superscript"/>
        </w:rPr>
        <w:t>,4</w:t>
      </w:r>
      <w:r w:rsidRPr="00C86FA2">
        <w:rPr>
          <w:color w:val="000000" w:themeColor="text1"/>
          <w:sz w:val="22"/>
          <w:szCs w:val="22"/>
          <w:shd w:val="clear" w:color="auto" w:fill="FFFFFF"/>
        </w:rPr>
        <w:t xml:space="preserve"> </w:t>
      </w:r>
      <w:r w:rsidRPr="0078589D">
        <w:rPr>
          <w:color w:val="000000" w:themeColor="text1"/>
          <w:sz w:val="22"/>
          <w:szCs w:val="22"/>
          <w:shd w:val="clear" w:color="auto" w:fill="FFFFFF"/>
        </w:rPr>
        <w:t>Consequently, the</w:t>
      </w:r>
      <w:r w:rsidR="00C86FA2">
        <w:rPr>
          <w:color w:val="000000" w:themeColor="text1"/>
          <w:sz w:val="22"/>
          <w:szCs w:val="22"/>
          <w:shd w:val="clear" w:color="auto" w:fill="FFFFFF"/>
        </w:rPr>
        <w:t xml:space="preserve"> threshold is</w:t>
      </w:r>
      <w:r w:rsidRPr="0078589D">
        <w:rPr>
          <w:color w:val="000000" w:themeColor="text1"/>
          <w:sz w:val="22"/>
          <w:szCs w:val="22"/>
          <w:shd w:val="clear" w:color="auto" w:fill="FFFFFF"/>
        </w:rPr>
        <w:t xml:space="preserve"> low to commence </w:t>
      </w:r>
      <w:r w:rsidRPr="0078589D">
        <w:rPr>
          <w:color w:val="000000" w:themeColor="text1"/>
          <w:sz w:val="22"/>
          <w:szCs w:val="22"/>
        </w:rPr>
        <w:t>empirical broad‐spectrum antibiotics in neonates with risk factors</w:t>
      </w:r>
      <w:r w:rsidRPr="00C86FA2">
        <w:rPr>
          <w:color w:val="000000" w:themeColor="text1"/>
          <w:sz w:val="22"/>
          <w:szCs w:val="22"/>
        </w:rPr>
        <w:t>.</w:t>
      </w:r>
      <w:r w:rsidR="00815B3D" w:rsidRPr="00C86FA2">
        <w:rPr>
          <w:bCs/>
          <w:color w:val="000000" w:themeColor="text1"/>
          <w:sz w:val="22"/>
          <w:szCs w:val="22"/>
          <w:shd w:val="clear" w:color="auto" w:fill="FFFFFF"/>
          <w:vertAlign w:val="superscript"/>
        </w:rPr>
        <w:t>5</w:t>
      </w:r>
      <w:r w:rsidRPr="00C86FA2">
        <w:rPr>
          <w:color w:val="000000" w:themeColor="text1"/>
          <w:sz w:val="22"/>
          <w:szCs w:val="22"/>
        </w:rPr>
        <w:t xml:space="preserve"> </w:t>
      </w:r>
    </w:p>
    <w:p w14:paraId="5A42F4D8" w14:textId="77777777" w:rsidR="00E2625D" w:rsidRDefault="00E2625D" w:rsidP="004601B0">
      <w:pPr>
        <w:spacing w:line="480" w:lineRule="auto"/>
        <w:jc w:val="both"/>
        <w:rPr>
          <w:color w:val="000000" w:themeColor="text1"/>
          <w:sz w:val="22"/>
          <w:szCs w:val="22"/>
        </w:rPr>
      </w:pPr>
    </w:p>
    <w:p w14:paraId="41354B35" w14:textId="52748BF7" w:rsidR="00E2625D" w:rsidRPr="00E2625D" w:rsidRDefault="00E2625D" w:rsidP="004601B0">
      <w:pPr>
        <w:spacing w:line="480" w:lineRule="auto"/>
        <w:jc w:val="both"/>
        <w:rPr>
          <w:sz w:val="22"/>
          <w:szCs w:val="22"/>
        </w:rPr>
      </w:pPr>
      <w:r>
        <w:rPr>
          <w:color w:val="000000" w:themeColor="text1"/>
          <w:sz w:val="22"/>
          <w:szCs w:val="22"/>
        </w:rPr>
        <w:t xml:space="preserve">Organisms causing neonatal EOS are typically </w:t>
      </w:r>
      <w:r w:rsidR="00C86FA2">
        <w:rPr>
          <w:color w:val="000000" w:themeColor="text1"/>
          <w:sz w:val="22"/>
          <w:szCs w:val="22"/>
        </w:rPr>
        <w:t xml:space="preserve">normal </w:t>
      </w:r>
      <w:r w:rsidR="00C23ADA">
        <w:rPr>
          <w:color w:val="000000" w:themeColor="text1"/>
          <w:sz w:val="22"/>
          <w:szCs w:val="22"/>
        </w:rPr>
        <w:t>commensals</w:t>
      </w:r>
      <w:r>
        <w:rPr>
          <w:color w:val="000000" w:themeColor="text1"/>
          <w:sz w:val="22"/>
          <w:szCs w:val="22"/>
        </w:rPr>
        <w:t xml:space="preserve"> of the maternal genitourinary tract, </w:t>
      </w:r>
      <w:r w:rsidR="00C86FA2">
        <w:rPr>
          <w:color w:val="000000" w:themeColor="text1"/>
          <w:sz w:val="22"/>
          <w:szCs w:val="22"/>
        </w:rPr>
        <w:t>which ascend into the vagina, amniotic fluid and placenta either prior to onset of labour or once the amniotic membranes rupture, causing chorioamnionitis</w:t>
      </w:r>
      <w:r>
        <w:rPr>
          <w:color w:val="000000" w:themeColor="text1"/>
          <w:sz w:val="22"/>
          <w:szCs w:val="22"/>
        </w:rPr>
        <w:t>.</w:t>
      </w:r>
      <w:r w:rsidR="00815B3D">
        <w:rPr>
          <w:bCs/>
          <w:color w:val="000000" w:themeColor="text1"/>
          <w:sz w:val="22"/>
          <w:szCs w:val="22"/>
          <w:shd w:val="clear" w:color="auto" w:fill="FFFFFF"/>
          <w:vertAlign w:val="superscript"/>
        </w:rPr>
        <w:t>6</w:t>
      </w:r>
      <w:r w:rsidR="009A65C5">
        <w:rPr>
          <w:color w:val="000000" w:themeColor="text1"/>
          <w:sz w:val="22"/>
          <w:szCs w:val="22"/>
        </w:rPr>
        <w:t xml:space="preserve"> </w:t>
      </w:r>
      <w:r w:rsidR="0065314F" w:rsidRPr="0078589D">
        <w:rPr>
          <w:color w:val="000000" w:themeColor="text1"/>
          <w:sz w:val="22"/>
          <w:szCs w:val="22"/>
        </w:rPr>
        <w:t>Chorioamnionitis</w:t>
      </w:r>
      <w:r>
        <w:rPr>
          <w:color w:val="000000" w:themeColor="text1"/>
          <w:sz w:val="22"/>
          <w:szCs w:val="22"/>
        </w:rPr>
        <w:t xml:space="preserve"> can be</w:t>
      </w:r>
      <w:r w:rsidR="0065314F" w:rsidRPr="0078589D">
        <w:rPr>
          <w:color w:val="000000" w:themeColor="text1"/>
          <w:sz w:val="22"/>
          <w:szCs w:val="22"/>
        </w:rPr>
        <w:t xml:space="preserve"> d</w:t>
      </w:r>
      <w:r>
        <w:rPr>
          <w:color w:val="000000" w:themeColor="text1"/>
          <w:sz w:val="22"/>
          <w:szCs w:val="22"/>
        </w:rPr>
        <w:t>iagnosed</w:t>
      </w:r>
      <w:r w:rsidR="0065314F" w:rsidRPr="0078589D">
        <w:rPr>
          <w:color w:val="000000" w:themeColor="text1"/>
          <w:sz w:val="22"/>
          <w:szCs w:val="22"/>
        </w:rPr>
        <w:t xml:space="preserve"> by maternal fever, </w:t>
      </w:r>
      <w:r w:rsidR="00C86FA2">
        <w:rPr>
          <w:color w:val="000000" w:themeColor="text1"/>
          <w:sz w:val="22"/>
          <w:szCs w:val="22"/>
        </w:rPr>
        <w:t xml:space="preserve">tachycardia, </w:t>
      </w:r>
      <w:r w:rsidR="0065314F" w:rsidRPr="0078589D">
        <w:rPr>
          <w:color w:val="000000" w:themeColor="text1"/>
          <w:sz w:val="22"/>
          <w:szCs w:val="22"/>
        </w:rPr>
        <w:t>leucocytosis, uterine tenderness, foul odour of amniotic fluid, and fetal tachycardia at delivery.</w:t>
      </w:r>
      <w:r w:rsidR="00815B3D">
        <w:rPr>
          <w:bCs/>
          <w:color w:val="000000" w:themeColor="text1"/>
          <w:sz w:val="22"/>
          <w:szCs w:val="22"/>
          <w:shd w:val="clear" w:color="auto" w:fill="FFFFFF"/>
          <w:vertAlign w:val="superscript"/>
        </w:rPr>
        <w:t>7</w:t>
      </w:r>
      <w:r w:rsidR="0065314F" w:rsidRPr="0078589D">
        <w:rPr>
          <w:color w:val="000000" w:themeColor="text1"/>
          <w:sz w:val="22"/>
          <w:szCs w:val="22"/>
        </w:rPr>
        <w:t xml:space="preserve"> </w:t>
      </w:r>
      <w:r w:rsidR="00C86FA2">
        <w:rPr>
          <w:color w:val="000000" w:themeColor="text1"/>
          <w:sz w:val="22"/>
          <w:szCs w:val="22"/>
        </w:rPr>
        <w:t>W</w:t>
      </w:r>
      <w:r w:rsidR="0065314F" w:rsidRPr="0078589D">
        <w:rPr>
          <w:color w:val="000000" w:themeColor="text1"/>
          <w:sz w:val="22"/>
          <w:szCs w:val="22"/>
        </w:rPr>
        <w:t xml:space="preserve">hen membranes are </w:t>
      </w:r>
      <w:r w:rsidR="006A3893" w:rsidRPr="0078589D">
        <w:rPr>
          <w:color w:val="000000" w:themeColor="text1"/>
          <w:sz w:val="22"/>
          <w:szCs w:val="22"/>
        </w:rPr>
        <w:t>ruptured ≥</w:t>
      </w:r>
      <w:r w:rsidR="0065314F" w:rsidRPr="0078589D">
        <w:rPr>
          <w:color w:val="000000" w:themeColor="text1"/>
          <w:sz w:val="22"/>
          <w:szCs w:val="22"/>
        </w:rPr>
        <w:t>18 hours prior to delivery</w:t>
      </w:r>
      <w:r w:rsidR="00C86FA2">
        <w:rPr>
          <w:color w:val="000000" w:themeColor="text1"/>
          <w:sz w:val="22"/>
          <w:szCs w:val="22"/>
        </w:rPr>
        <w:t>,</w:t>
      </w:r>
      <w:r w:rsidR="0065314F" w:rsidRPr="0078589D">
        <w:rPr>
          <w:color w:val="000000" w:themeColor="text1"/>
          <w:sz w:val="22"/>
          <w:szCs w:val="22"/>
        </w:rPr>
        <w:t xml:space="preserve"> </w:t>
      </w:r>
      <w:r w:rsidR="00C86FA2">
        <w:rPr>
          <w:color w:val="000000" w:themeColor="text1"/>
          <w:sz w:val="22"/>
          <w:szCs w:val="22"/>
        </w:rPr>
        <w:t>t</w:t>
      </w:r>
      <w:r w:rsidR="00C86FA2" w:rsidRPr="0078589D">
        <w:rPr>
          <w:color w:val="000000" w:themeColor="text1"/>
          <w:sz w:val="22"/>
          <w:szCs w:val="22"/>
        </w:rPr>
        <w:t>he risk of EOS increases to 1%</w:t>
      </w:r>
      <w:r w:rsidR="00C86FA2">
        <w:rPr>
          <w:color w:val="000000" w:themeColor="text1"/>
          <w:sz w:val="22"/>
          <w:szCs w:val="22"/>
        </w:rPr>
        <w:t xml:space="preserve"> and the </w:t>
      </w:r>
      <w:r w:rsidR="0065314F" w:rsidRPr="0078589D">
        <w:rPr>
          <w:color w:val="000000" w:themeColor="text1"/>
          <w:sz w:val="22"/>
          <w:szCs w:val="22"/>
        </w:rPr>
        <w:t xml:space="preserve">risk </w:t>
      </w:r>
      <w:r w:rsidR="00C86FA2">
        <w:rPr>
          <w:color w:val="000000" w:themeColor="text1"/>
          <w:sz w:val="22"/>
          <w:szCs w:val="22"/>
        </w:rPr>
        <w:t>to neonates</w:t>
      </w:r>
      <w:r w:rsidR="0065314F" w:rsidRPr="0078589D">
        <w:rPr>
          <w:color w:val="000000" w:themeColor="text1"/>
          <w:sz w:val="22"/>
          <w:szCs w:val="22"/>
        </w:rPr>
        <w:t xml:space="preserve"> delivered to mothers with evidence of chorioamnionitis is estimated to be between 1-4%.</w:t>
      </w:r>
      <w:r w:rsidR="00815B3D">
        <w:rPr>
          <w:bCs/>
          <w:color w:val="000000" w:themeColor="text1"/>
          <w:sz w:val="22"/>
          <w:szCs w:val="22"/>
          <w:shd w:val="clear" w:color="auto" w:fill="FFFFFF"/>
          <w:vertAlign w:val="superscript"/>
        </w:rPr>
        <w:t>7</w:t>
      </w:r>
      <w:r w:rsidR="0065314F" w:rsidRPr="0078589D">
        <w:rPr>
          <w:color w:val="000000" w:themeColor="text1"/>
          <w:sz w:val="22"/>
          <w:szCs w:val="22"/>
        </w:rPr>
        <w:t xml:space="preserve"> </w:t>
      </w:r>
      <w:r>
        <w:rPr>
          <w:color w:val="000000" w:themeColor="text1"/>
          <w:sz w:val="22"/>
          <w:szCs w:val="22"/>
        </w:rPr>
        <w:t xml:space="preserve">As chorioamnionitis is a major risk factor for EOS, in this study we decided to look specifically at neonates born to women managed for suspected intrapartum sepsis. </w:t>
      </w:r>
    </w:p>
    <w:p w14:paraId="3C73A870" w14:textId="77777777" w:rsidR="0065314F" w:rsidRPr="0078589D" w:rsidRDefault="0065314F" w:rsidP="004601B0">
      <w:pPr>
        <w:spacing w:line="480" w:lineRule="auto"/>
        <w:jc w:val="both"/>
        <w:rPr>
          <w:color w:val="000000" w:themeColor="text1"/>
          <w:sz w:val="22"/>
          <w:szCs w:val="22"/>
          <w:shd w:val="clear" w:color="auto" w:fill="FFFFFF"/>
        </w:rPr>
      </w:pPr>
    </w:p>
    <w:p w14:paraId="5F7DF4F8" w14:textId="23221AAA" w:rsidR="00037B4D" w:rsidRDefault="00C86FA2" w:rsidP="004601B0">
      <w:pPr>
        <w:spacing w:line="480" w:lineRule="auto"/>
        <w:jc w:val="both"/>
        <w:rPr>
          <w:color w:val="000000" w:themeColor="text1"/>
          <w:sz w:val="22"/>
          <w:szCs w:val="22"/>
        </w:rPr>
      </w:pPr>
      <w:r>
        <w:rPr>
          <w:color w:val="000000" w:themeColor="text1"/>
          <w:sz w:val="22"/>
          <w:szCs w:val="22"/>
        </w:rPr>
        <w:t>While</w:t>
      </w:r>
      <w:r w:rsidR="00037B4D">
        <w:rPr>
          <w:color w:val="000000" w:themeColor="text1"/>
          <w:sz w:val="22"/>
          <w:szCs w:val="22"/>
        </w:rPr>
        <w:t xml:space="preserve"> the identification and treatment of symptomatic neonates is essential, determining the management of asymptomatic neonates with risk factors alone is a challenge. </w:t>
      </w:r>
      <w:r>
        <w:rPr>
          <w:color w:val="000000" w:themeColor="text1"/>
          <w:sz w:val="22"/>
          <w:szCs w:val="22"/>
        </w:rPr>
        <w:t>Especially</w:t>
      </w:r>
      <w:r w:rsidR="00037B4D">
        <w:rPr>
          <w:color w:val="000000" w:themeColor="text1"/>
          <w:sz w:val="22"/>
          <w:szCs w:val="22"/>
        </w:rPr>
        <w:t xml:space="preserve"> in the context of a </w:t>
      </w:r>
      <w:r>
        <w:rPr>
          <w:color w:val="000000" w:themeColor="text1"/>
          <w:sz w:val="22"/>
          <w:szCs w:val="22"/>
        </w:rPr>
        <w:t>considerable</w:t>
      </w:r>
      <w:r w:rsidR="00037B4D">
        <w:rPr>
          <w:color w:val="000000" w:themeColor="text1"/>
          <w:sz w:val="22"/>
          <w:szCs w:val="22"/>
        </w:rPr>
        <w:t xml:space="preserve"> number of neonates in this group and the lack of good diagnostic tests to confirm or definitively rule out sepsis. This leads to a large number of healthy neonates receiving antibiotics. This impacts parental anxiety and separation, affecting bonding and breastfeeding. In addition, antibiotic exposure in the perinatal period can lead to </w:t>
      </w:r>
      <w:r w:rsidR="00037B4D" w:rsidRPr="0078589D">
        <w:rPr>
          <w:color w:val="000000" w:themeColor="text1"/>
          <w:sz w:val="22"/>
          <w:szCs w:val="22"/>
        </w:rPr>
        <w:t>alterations in infant intestinal microbiome over the first year of life.</w:t>
      </w:r>
      <w:r w:rsidR="00815B3D">
        <w:rPr>
          <w:bCs/>
          <w:color w:val="000000" w:themeColor="text1"/>
          <w:sz w:val="22"/>
          <w:szCs w:val="22"/>
          <w:shd w:val="clear" w:color="auto" w:fill="FFFFFF"/>
          <w:vertAlign w:val="superscript"/>
        </w:rPr>
        <w:t>8</w:t>
      </w:r>
      <w:r w:rsidR="00037B4D" w:rsidRPr="0078589D">
        <w:rPr>
          <w:bCs/>
          <w:color w:val="000000" w:themeColor="text1"/>
          <w:sz w:val="22"/>
          <w:szCs w:val="22"/>
          <w:shd w:val="clear" w:color="auto" w:fill="FFFFFF"/>
          <w:vertAlign w:val="superscript"/>
        </w:rPr>
        <w:t>,</w:t>
      </w:r>
      <w:r w:rsidR="00815B3D">
        <w:rPr>
          <w:bCs/>
          <w:color w:val="000000" w:themeColor="text1"/>
          <w:sz w:val="22"/>
          <w:szCs w:val="22"/>
          <w:shd w:val="clear" w:color="auto" w:fill="FFFFFF"/>
          <w:vertAlign w:val="superscript"/>
        </w:rPr>
        <w:t>9</w:t>
      </w:r>
      <w:r w:rsidR="00037B4D" w:rsidRPr="0078589D">
        <w:rPr>
          <w:color w:val="000000" w:themeColor="text1"/>
          <w:sz w:val="22"/>
          <w:szCs w:val="22"/>
        </w:rPr>
        <w:t xml:space="preserve"> This can result in resistant organisms colonising the infant gut, potentially impacting early immune development and increas</w:t>
      </w:r>
      <w:r>
        <w:rPr>
          <w:color w:val="000000" w:themeColor="text1"/>
          <w:sz w:val="22"/>
          <w:szCs w:val="22"/>
        </w:rPr>
        <w:t xml:space="preserve">ing </w:t>
      </w:r>
      <w:r w:rsidR="00037B4D" w:rsidRPr="0078589D">
        <w:rPr>
          <w:color w:val="000000" w:themeColor="text1"/>
          <w:sz w:val="22"/>
          <w:szCs w:val="22"/>
        </w:rPr>
        <w:t xml:space="preserve">risk of immune-mediated diseases such as </w:t>
      </w:r>
      <w:r>
        <w:rPr>
          <w:color w:val="000000" w:themeColor="text1"/>
          <w:sz w:val="22"/>
          <w:szCs w:val="22"/>
        </w:rPr>
        <w:t>atopy,</w:t>
      </w:r>
      <w:r w:rsidR="00037B4D" w:rsidRPr="0078589D">
        <w:rPr>
          <w:color w:val="000000" w:themeColor="text1"/>
          <w:sz w:val="22"/>
          <w:szCs w:val="22"/>
        </w:rPr>
        <w:t xml:space="preserve"> allergy and a</w:t>
      </w:r>
      <w:r>
        <w:rPr>
          <w:color w:val="000000" w:themeColor="text1"/>
          <w:sz w:val="22"/>
          <w:szCs w:val="22"/>
        </w:rPr>
        <w:t>sthma</w:t>
      </w:r>
      <w:r w:rsidR="00037B4D" w:rsidRPr="0078589D">
        <w:rPr>
          <w:color w:val="000000" w:themeColor="text1"/>
          <w:sz w:val="22"/>
          <w:szCs w:val="22"/>
        </w:rPr>
        <w:t>.</w:t>
      </w:r>
      <w:r w:rsidR="00815B3D">
        <w:rPr>
          <w:bCs/>
          <w:color w:val="000000" w:themeColor="text1"/>
          <w:sz w:val="22"/>
          <w:szCs w:val="22"/>
          <w:shd w:val="clear" w:color="auto" w:fill="FFFFFF"/>
          <w:vertAlign w:val="superscript"/>
        </w:rPr>
        <w:t>8</w:t>
      </w:r>
      <w:r w:rsidR="00037B4D" w:rsidRPr="0078589D">
        <w:rPr>
          <w:bCs/>
          <w:color w:val="000000" w:themeColor="text1"/>
          <w:sz w:val="22"/>
          <w:szCs w:val="22"/>
          <w:shd w:val="clear" w:color="auto" w:fill="FFFFFF"/>
          <w:vertAlign w:val="superscript"/>
        </w:rPr>
        <w:t>.</w:t>
      </w:r>
      <w:r w:rsidR="00815B3D">
        <w:rPr>
          <w:bCs/>
          <w:color w:val="000000" w:themeColor="text1"/>
          <w:sz w:val="22"/>
          <w:szCs w:val="22"/>
          <w:shd w:val="clear" w:color="auto" w:fill="FFFFFF"/>
          <w:vertAlign w:val="superscript"/>
        </w:rPr>
        <w:t>9</w:t>
      </w:r>
      <w:r w:rsidR="00E1159F" w:rsidRPr="00C86FA2">
        <w:rPr>
          <w:bCs/>
          <w:color w:val="000000" w:themeColor="text1"/>
          <w:sz w:val="22"/>
          <w:szCs w:val="22"/>
          <w:shd w:val="clear" w:color="auto" w:fill="FFFFFF"/>
          <w:vertAlign w:val="superscript"/>
        </w:rPr>
        <w:t>,10</w:t>
      </w:r>
      <w:r w:rsidR="00037B4D" w:rsidRPr="00C86FA2">
        <w:rPr>
          <w:color w:val="000000" w:themeColor="text1"/>
          <w:sz w:val="22"/>
          <w:szCs w:val="22"/>
        </w:rPr>
        <w:t xml:space="preserve"> </w:t>
      </w:r>
    </w:p>
    <w:p w14:paraId="4499C330" w14:textId="7CDA819E" w:rsidR="00037B4D" w:rsidRDefault="00037B4D" w:rsidP="004601B0">
      <w:pPr>
        <w:spacing w:line="480" w:lineRule="auto"/>
        <w:jc w:val="both"/>
        <w:rPr>
          <w:color w:val="000000" w:themeColor="text1"/>
          <w:sz w:val="22"/>
          <w:szCs w:val="22"/>
        </w:rPr>
      </w:pPr>
    </w:p>
    <w:p w14:paraId="57F0D420" w14:textId="0CB06470" w:rsidR="00037B4D" w:rsidRDefault="00C86FA2" w:rsidP="004601B0">
      <w:pPr>
        <w:spacing w:line="480" w:lineRule="auto"/>
        <w:jc w:val="both"/>
        <w:rPr>
          <w:color w:val="000000" w:themeColor="text1"/>
          <w:sz w:val="22"/>
          <w:szCs w:val="22"/>
        </w:rPr>
      </w:pPr>
      <w:r>
        <w:rPr>
          <w:color w:val="000000" w:themeColor="text1"/>
          <w:sz w:val="22"/>
          <w:szCs w:val="22"/>
        </w:rPr>
        <w:t>In sepsis, b</w:t>
      </w:r>
      <w:r w:rsidR="00037B4D" w:rsidRPr="0078589D">
        <w:rPr>
          <w:color w:val="000000" w:themeColor="text1"/>
          <w:sz w:val="22"/>
          <w:szCs w:val="22"/>
        </w:rPr>
        <w:t xml:space="preserve">iomarkers can play a role </w:t>
      </w:r>
      <w:r>
        <w:rPr>
          <w:color w:val="000000" w:themeColor="text1"/>
          <w:sz w:val="22"/>
          <w:szCs w:val="22"/>
        </w:rPr>
        <w:t xml:space="preserve">to </w:t>
      </w:r>
      <w:r w:rsidR="00037B4D" w:rsidRPr="0078589D">
        <w:rPr>
          <w:color w:val="000000" w:themeColor="text1"/>
          <w:sz w:val="22"/>
          <w:szCs w:val="22"/>
        </w:rPr>
        <w:t>provid</w:t>
      </w:r>
      <w:r>
        <w:rPr>
          <w:color w:val="000000" w:themeColor="text1"/>
          <w:sz w:val="22"/>
          <w:szCs w:val="22"/>
        </w:rPr>
        <w:t>e</w:t>
      </w:r>
      <w:r w:rsidR="00037B4D" w:rsidRPr="0078589D">
        <w:rPr>
          <w:color w:val="000000" w:themeColor="text1"/>
          <w:sz w:val="22"/>
          <w:szCs w:val="22"/>
        </w:rPr>
        <w:t xml:space="preserve"> a timely diagnosis, differentiate from other non-infectious inflammatory pathologies, predict clinical severity and guid</w:t>
      </w:r>
      <w:r>
        <w:rPr>
          <w:color w:val="000000" w:themeColor="text1"/>
          <w:sz w:val="22"/>
          <w:szCs w:val="22"/>
        </w:rPr>
        <w:t>e</w:t>
      </w:r>
      <w:r w:rsidR="00037B4D" w:rsidRPr="0078589D">
        <w:rPr>
          <w:color w:val="000000" w:themeColor="text1"/>
          <w:sz w:val="22"/>
          <w:szCs w:val="22"/>
        </w:rPr>
        <w:t xml:space="preserve"> antibiotic </w:t>
      </w:r>
      <w:r>
        <w:rPr>
          <w:color w:val="000000" w:themeColor="text1"/>
          <w:sz w:val="22"/>
          <w:szCs w:val="22"/>
        </w:rPr>
        <w:t>management</w:t>
      </w:r>
      <w:r w:rsidR="00037B4D" w:rsidRPr="0078589D">
        <w:rPr>
          <w:color w:val="000000" w:themeColor="text1"/>
          <w:sz w:val="22"/>
          <w:szCs w:val="22"/>
        </w:rPr>
        <w:t>.</w:t>
      </w:r>
      <w:r w:rsidR="00E1159F">
        <w:rPr>
          <w:bCs/>
          <w:color w:val="000000" w:themeColor="text1"/>
          <w:sz w:val="22"/>
          <w:szCs w:val="22"/>
          <w:shd w:val="clear" w:color="auto" w:fill="FFFFFF"/>
          <w:vertAlign w:val="superscript"/>
        </w:rPr>
        <w:t>10</w:t>
      </w:r>
      <w:r w:rsidR="00037B4D" w:rsidRPr="0078589D">
        <w:rPr>
          <w:color w:val="000000" w:themeColor="text1"/>
          <w:sz w:val="22"/>
          <w:szCs w:val="22"/>
        </w:rPr>
        <w:t xml:space="preserve"> </w:t>
      </w:r>
      <w:r w:rsidRPr="0078589D">
        <w:rPr>
          <w:color w:val="000000" w:themeColor="text1"/>
          <w:sz w:val="22"/>
          <w:szCs w:val="22"/>
        </w:rPr>
        <w:t>C-reactive-protein (CRP)</w:t>
      </w:r>
      <w:r>
        <w:rPr>
          <w:color w:val="000000" w:themeColor="text1"/>
          <w:sz w:val="22"/>
          <w:szCs w:val="22"/>
        </w:rPr>
        <w:t xml:space="preserve"> </w:t>
      </w:r>
      <w:r w:rsidRPr="0078589D">
        <w:rPr>
          <w:color w:val="000000" w:themeColor="text1"/>
          <w:sz w:val="22"/>
          <w:szCs w:val="22"/>
        </w:rPr>
        <w:t>which is known to be highly nonspecific for in</w:t>
      </w:r>
      <w:r>
        <w:rPr>
          <w:color w:val="000000" w:themeColor="text1"/>
          <w:sz w:val="22"/>
          <w:szCs w:val="22"/>
        </w:rPr>
        <w:t xml:space="preserve">fection </w:t>
      </w:r>
      <w:r w:rsidRPr="0078589D">
        <w:rPr>
          <w:color w:val="000000" w:themeColor="text1"/>
          <w:sz w:val="22"/>
          <w:szCs w:val="22"/>
        </w:rPr>
        <w:t>versus inf</w:t>
      </w:r>
      <w:r>
        <w:rPr>
          <w:color w:val="000000" w:themeColor="text1"/>
          <w:sz w:val="22"/>
          <w:szCs w:val="22"/>
        </w:rPr>
        <w:t>lammation, is t</w:t>
      </w:r>
      <w:r w:rsidR="00037B4D" w:rsidRPr="0078589D">
        <w:rPr>
          <w:color w:val="000000" w:themeColor="text1"/>
          <w:sz w:val="22"/>
          <w:szCs w:val="22"/>
        </w:rPr>
        <w:t xml:space="preserve">he most frequently </w:t>
      </w:r>
      <w:r w:rsidR="00037B4D" w:rsidRPr="0078589D">
        <w:rPr>
          <w:color w:val="000000" w:themeColor="text1"/>
          <w:sz w:val="22"/>
          <w:szCs w:val="22"/>
        </w:rPr>
        <w:lastRenderedPageBreak/>
        <w:t>employed biomarker used in the neonatal population.</w:t>
      </w:r>
      <w:r w:rsidR="00815B3D">
        <w:rPr>
          <w:bCs/>
          <w:color w:val="000000" w:themeColor="text1"/>
          <w:sz w:val="22"/>
          <w:szCs w:val="22"/>
          <w:shd w:val="clear" w:color="auto" w:fill="FFFFFF"/>
          <w:vertAlign w:val="superscript"/>
        </w:rPr>
        <w:t>10</w:t>
      </w:r>
      <w:r w:rsidR="00E1159F">
        <w:rPr>
          <w:bCs/>
          <w:color w:val="000000" w:themeColor="text1"/>
          <w:sz w:val="22"/>
          <w:szCs w:val="22"/>
          <w:shd w:val="clear" w:color="auto" w:fill="FFFFFF"/>
          <w:vertAlign w:val="superscript"/>
        </w:rPr>
        <w:t>,11,</w:t>
      </w:r>
      <w:r w:rsidR="00815B3D">
        <w:rPr>
          <w:bCs/>
          <w:color w:val="000000" w:themeColor="text1"/>
          <w:sz w:val="22"/>
          <w:szCs w:val="22"/>
          <w:shd w:val="clear" w:color="auto" w:fill="FFFFFF"/>
          <w:vertAlign w:val="superscript"/>
        </w:rPr>
        <w:t>5</w:t>
      </w:r>
      <w:r w:rsidR="00037B4D" w:rsidRPr="0078589D">
        <w:rPr>
          <w:color w:val="000000" w:themeColor="text1"/>
          <w:sz w:val="22"/>
          <w:szCs w:val="22"/>
        </w:rPr>
        <w:t xml:space="preserve"> </w:t>
      </w:r>
      <w:r w:rsidR="00037B4D">
        <w:rPr>
          <w:color w:val="000000" w:themeColor="text1"/>
          <w:sz w:val="22"/>
          <w:szCs w:val="22"/>
        </w:rPr>
        <w:t xml:space="preserve">There </w:t>
      </w:r>
      <w:r>
        <w:rPr>
          <w:color w:val="000000" w:themeColor="text1"/>
          <w:sz w:val="22"/>
          <w:szCs w:val="22"/>
        </w:rPr>
        <w:t>are</w:t>
      </w:r>
      <w:r w:rsidR="00037B4D">
        <w:rPr>
          <w:color w:val="000000" w:themeColor="text1"/>
          <w:sz w:val="22"/>
          <w:szCs w:val="22"/>
        </w:rPr>
        <w:t xml:space="preserve"> large numbers of asymptomatic neonates (with risk factors such as maternal intrapartum </w:t>
      </w:r>
      <w:r>
        <w:rPr>
          <w:color w:val="000000" w:themeColor="text1"/>
          <w:sz w:val="22"/>
          <w:szCs w:val="22"/>
        </w:rPr>
        <w:t>pyrexia</w:t>
      </w:r>
      <w:r w:rsidR="00037B4D">
        <w:rPr>
          <w:color w:val="000000" w:themeColor="text1"/>
          <w:sz w:val="22"/>
          <w:szCs w:val="22"/>
        </w:rPr>
        <w:t xml:space="preserve">) who </w:t>
      </w:r>
      <w:r>
        <w:rPr>
          <w:color w:val="000000" w:themeColor="text1"/>
          <w:sz w:val="22"/>
          <w:szCs w:val="22"/>
        </w:rPr>
        <w:t>undergo</w:t>
      </w:r>
      <w:r w:rsidR="00037B4D">
        <w:rPr>
          <w:color w:val="000000" w:themeColor="text1"/>
          <w:sz w:val="22"/>
          <w:szCs w:val="22"/>
        </w:rPr>
        <w:t xml:space="preserve"> investigations and </w:t>
      </w:r>
      <w:r>
        <w:rPr>
          <w:color w:val="000000" w:themeColor="text1"/>
          <w:sz w:val="22"/>
          <w:szCs w:val="22"/>
        </w:rPr>
        <w:t xml:space="preserve">receive </w:t>
      </w:r>
      <w:r w:rsidR="00037B4D">
        <w:rPr>
          <w:color w:val="000000" w:themeColor="text1"/>
          <w:sz w:val="22"/>
          <w:szCs w:val="22"/>
        </w:rPr>
        <w:t xml:space="preserve">longer courses of antibiotics because of </w:t>
      </w:r>
      <w:r>
        <w:rPr>
          <w:color w:val="000000" w:themeColor="text1"/>
          <w:sz w:val="22"/>
          <w:szCs w:val="22"/>
        </w:rPr>
        <w:t xml:space="preserve">a </w:t>
      </w:r>
      <w:r w:rsidR="00037B4D">
        <w:rPr>
          <w:color w:val="000000" w:themeColor="text1"/>
          <w:sz w:val="22"/>
          <w:szCs w:val="22"/>
        </w:rPr>
        <w:t xml:space="preserve">raised CRP. </w:t>
      </w:r>
      <w:r w:rsidR="00E8204B">
        <w:rPr>
          <w:color w:val="000000" w:themeColor="text1"/>
          <w:sz w:val="22"/>
          <w:szCs w:val="22"/>
        </w:rPr>
        <w:t xml:space="preserve">There is need to </w:t>
      </w:r>
      <w:r>
        <w:rPr>
          <w:color w:val="000000" w:themeColor="text1"/>
          <w:sz w:val="22"/>
          <w:szCs w:val="22"/>
        </w:rPr>
        <w:t xml:space="preserve">urgently </w:t>
      </w:r>
      <w:r w:rsidR="00E8204B">
        <w:rPr>
          <w:color w:val="000000" w:themeColor="text1"/>
          <w:sz w:val="22"/>
          <w:szCs w:val="22"/>
        </w:rPr>
        <w:t>re-evaluate this and develop more specific investigation</w:t>
      </w:r>
      <w:r>
        <w:rPr>
          <w:color w:val="000000" w:themeColor="text1"/>
          <w:sz w:val="22"/>
          <w:szCs w:val="22"/>
        </w:rPr>
        <w:t>s</w:t>
      </w:r>
      <w:r w:rsidR="00E8204B">
        <w:rPr>
          <w:color w:val="000000" w:themeColor="text1"/>
          <w:sz w:val="22"/>
          <w:szCs w:val="22"/>
        </w:rPr>
        <w:t xml:space="preserve"> to confirm sepsis in order to prevent unaffected infants receiving unnecessary antibiotics.</w:t>
      </w:r>
    </w:p>
    <w:p w14:paraId="598083C4" w14:textId="64E34297" w:rsidR="00037B4D" w:rsidRDefault="00037B4D" w:rsidP="004601B0">
      <w:pPr>
        <w:spacing w:line="480" w:lineRule="auto"/>
        <w:jc w:val="both"/>
        <w:rPr>
          <w:color w:val="000000" w:themeColor="text1"/>
          <w:sz w:val="22"/>
          <w:szCs w:val="22"/>
        </w:rPr>
      </w:pPr>
    </w:p>
    <w:p w14:paraId="12868CC4" w14:textId="350ECC41" w:rsidR="00EF3A15" w:rsidRPr="00E8204B" w:rsidRDefault="00037B4D" w:rsidP="00EF3A15">
      <w:pPr>
        <w:spacing w:line="480" w:lineRule="auto"/>
        <w:jc w:val="both"/>
        <w:rPr>
          <w:color w:val="000000" w:themeColor="text1"/>
          <w:sz w:val="22"/>
          <w:szCs w:val="22"/>
        </w:rPr>
      </w:pPr>
      <w:r w:rsidRPr="0078589D">
        <w:rPr>
          <w:color w:val="1C1D1E"/>
          <w:sz w:val="22"/>
          <w:szCs w:val="22"/>
        </w:rPr>
        <w:t>Among the different molecules investigated as biomarkers of sepsis, procalcitonin (PCT) seems to be the most utilised and is now established in the adult population and showed to be promising in paediatrics.</w:t>
      </w:r>
      <w:r w:rsidR="00815B3D">
        <w:rPr>
          <w:bCs/>
          <w:color w:val="000000" w:themeColor="text1"/>
          <w:sz w:val="22"/>
          <w:szCs w:val="22"/>
          <w:shd w:val="clear" w:color="auto" w:fill="FFFFFF"/>
          <w:vertAlign w:val="superscript"/>
        </w:rPr>
        <w:t>1</w:t>
      </w:r>
      <w:r w:rsidR="00E1159F">
        <w:rPr>
          <w:bCs/>
          <w:color w:val="000000" w:themeColor="text1"/>
          <w:sz w:val="22"/>
          <w:szCs w:val="22"/>
          <w:shd w:val="clear" w:color="auto" w:fill="FFFFFF"/>
          <w:vertAlign w:val="superscript"/>
        </w:rPr>
        <w:t>0,11</w:t>
      </w:r>
      <w:r w:rsidR="00E8204B">
        <w:rPr>
          <w:bCs/>
          <w:color w:val="000000" w:themeColor="text1"/>
          <w:sz w:val="22"/>
          <w:szCs w:val="22"/>
          <w:shd w:val="clear" w:color="auto" w:fill="FFFFFF"/>
          <w:vertAlign w:val="superscript"/>
        </w:rPr>
        <w:t>,</w:t>
      </w:r>
      <w:r w:rsidR="009A65C5">
        <w:rPr>
          <w:bCs/>
          <w:color w:val="000000" w:themeColor="text1"/>
          <w:sz w:val="22"/>
          <w:szCs w:val="22"/>
          <w:shd w:val="clear" w:color="auto" w:fill="FFFFFF"/>
          <w:vertAlign w:val="superscript"/>
        </w:rPr>
        <w:t>1</w:t>
      </w:r>
      <w:r w:rsidR="00E1159F">
        <w:rPr>
          <w:bCs/>
          <w:color w:val="000000" w:themeColor="text1"/>
          <w:sz w:val="22"/>
          <w:szCs w:val="22"/>
          <w:shd w:val="clear" w:color="auto" w:fill="FFFFFF"/>
          <w:vertAlign w:val="superscript"/>
        </w:rPr>
        <w:t>2</w:t>
      </w:r>
      <w:r w:rsidRPr="0078589D">
        <w:rPr>
          <w:color w:val="1C1D1E"/>
          <w:sz w:val="22"/>
          <w:szCs w:val="22"/>
        </w:rPr>
        <w:t xml:space="preserve"> </w:t>
      </w:r>
      <w:r w:rsidR="00EF3A15" w:rsidRPr="0078589D">
        <w:rPr>
          <w:color w:val="000000" w:themeColor="text1"/>
          <w:sz w:val="22"/>
          <w:szCs w:val="22"/>
        </w:rPr>
        <w:t>PCT is known to be of better diagnostic and prognostic value for bacterial infections.</w:t>
      </w:r>
      <w:r w:rsidR="00EF3A15" w:rsidRPr="0078589D">
        <w:rPr>
          <w:bCs/>
          <w:color w:val="000000" w:themeColor="text1"/>
          <w:sz w:val="22"/>
          <w:szCs w:val="22"/>
          <w:shd w:val="clear" w:color="auto" w:fill="FFFFFF"/>
          <w:vertAlign w:val="superscript"/>
        </w:rPr>
        <w:t>1</w:t>
      </w:r>
      <w:r w:rsidR="00E1159F">
        <w:rPr>
          <w:bCs/>
          <w:color w:val="000000" w:themeColor="text1"/>
          <w:sz w:val="22"/>
          <w:szCs w:val="22"/>
          <w:shd w:val="clear" w:color="auto" w:fill="FFFFFF"/>
          <w:vertAlign w:val="superscript"/>
        </w:rPr>
        <w:t>3</w:t>
      </w:r>
      <w:r w:rsidR="00EF3A15" w:rsidRPr="00C12A5A">
        <w:rPr>
          <w:bCs/>
          <w:color w:val="000000" w:themeColor="text1"/>
          <w:sz w:val="22"/>
          <w:szCs w:val="22"/>
          <w:shd w:val="clear" w:color="auto" w:fill="FFFFFF"/>
          <w:vertAlign w:val="superscript"/>
        </w:rPr>
        <w:t>,1</w:t>
      </w:r>
      <w:r w:rsidR="00E1159F" w:rsidRPr="00C12A5A">
        <w:rPr>
          <w:bCs/>
          <w:color w:val="000000" w:themeColor="text1"/>
          <w:sz w:val="22"/>
          <w:szCs w:val="22"/>
          <w:shd w:val="clear" w:color="auto" w:fill="FFFFFF"/>
          <w:vertAlign w:val="superscript"/>
        </w:rPr>
        <w:t>4</w:t>
      </w:r>
      <w:r w:rsidR="00EF3A15" w:rsidRPr="00C12A5A">
        <w:rPr>
          <w:color w:val="000000" w:themeColor="text1"/>
          <w:sz w:val="22"/>
          <w:szCs w:val="22"/>
        </w:rPr>
        <w:t xml:space="preserve"> PCT</w:t>
      </w:r>
      <w:r w:rsidR="00C12A5A" w:rsidRPr="00C12A5A">
        <w:rPr>
          <w:color w:val="000000" w:themeColor="text1"/>
          <w:sz w:val="22"/>
          <w:szCs w:val="22"/>
        </w:rPr>
        <w:t xml:space="preserve"> </w:t>
      </w:r>
      <w:r w:rsidR="00EF3A15" w:rsidRPr="00C12A5A">
        <w:rPr>
          <w:color w:val="000000" w:themeColor="text1"/>
          <w:sz w:val="22"/>
          <w:szCs w:val="22"/>
        </w:rPr>
        <w:t xml:space="preserve">produced by C cells of the thyroid gland, is involved in maintaining </w:t>
      </w:r>
      <w:r w:rsidR="00C12A5A" w:rsidRPr="00C12A5A">
        <w:rPr>
          <w:color w:val="000000" w:themeColor="text1"/>
          <w:sz w:val="22"/>
          <w:szCs w:val="22"/>
        </w:rPr>
        <w:t xml:space="preserve">serum </w:t>
      </w:r>
      <w:r w:rsidR="00EF3A15" w:rsidRPr="00C12A5A">
        <w:rPr>
          <w:color w:val="000000" w:themeColor="text1"/>
          <w:sz w:val="22"/>
          <w:szCs w:val="22"/>
        </w:rPr>
        <w:t>calcium levels and released into the circulation in response to pro-inflammatory stimuli</w:t>
      </w:r>
      <w:r w:rsidR="00C12A5A" w:rsidRPr="00C12A5A">
        <w:rPr>
          <w:color w:val="000000" w:themeColor="text1"/>
          <w:sz w:val="22"/>
          <w:szCs w:val="22"/>
        </w:rPr>
        <w:t xml:space="preserve"> and endotoxins</w:t>
      </w:r>
      <w:r w:rsidR="00EF3A15" w:rsidRPr="00C12A5A">
        <w:rPr>
          <w:color w:val="000000" w:themeColor="text1"/>
          <w:sz w:val="22"/>
          <w:szCs w:val="22"/>
        </w:rPr>
        <w:t>, specifically originating from bacteria.</w:t>
      </w:r>
      <w:r w:rsidR="00E1159F" w:rsidRPr="00C12A5A">
        <w:rPr>
          <w:bCs/>
          <w:color w:val="000000" w:themeColor="text1"/>
          <w:sz w:val="22"/>
          <w:szCs w:val="22"/>
          <w:shd w:val="clear" w:color="auto" w:fill="FFFFFF"/>
          <w:vertAlign w:val="superscript"/>
        </w:rPr>
        <w:t>10</w:t>
      </w:r>
      <w:r w:rsidR="00EF3A15" w:rsidRPr="00C12A5A">
        <w:rPr>
          <w:color w:val="000000" w:themeColor="text1"/>
          <w:sz w:val="22"/>
          <w:szCs w:val="22"/>
        </w:rPr>
        <w:t xml:space="preserve"> PCT </w:t>
      </w:r>
      <w:r w:rsidR="00C12A5A" w:rsidRPr="00C12A5A">
        <w:rPr>
          <w:color w:val="000000" w:themeColor="text1"/>
          <w:sz w:val="22"/>
          <w:szCs w:val="22"/>
        </w:rPr>
        <w:t xml:space="preserve">has a latent period of 2-4 hours and therefore </w:t>
      </w:r>
      <w:r w:rsidR="00EF3A15" w:rsidRPr="00C12A5A">
        <w:rPr>
          <w:color w:val="000000" w:themeColor="text1"/>
          <w:sz w:val="22"/>
          <w:szCs w:val="22"/>
        </w:rPr>
        <w:t xml:space="preserve">increases significantly within the first </w:t>
      </w:r>
      <w:r w:rsidR="00C12A5A">
        <w:rPr>
          <w:color w:val="000000" w:themeColor="text1"/>
          <w:sz w:val="22"/>
          <w:szCs w:val="22"/>
        </w:rPr>
        <w:t xml:space="preserve">few </w:t>
      </w:r>
      <w:r w:rsidR="00EF3A15" w:rsidRPr="00C12A5A">
        <w:rPr>
          <w:color w:val="000000" w:themeColor="text1"/>
          <w:sz w:val="22"/>
          <w:szCs w:val="22"/>
        </w:rPr>
        <w:t>hours in severe bacterial infections</w:t>
      </w:r>
      <w:r w:rsidR="00C12A5A" w:rsidRPr="00C12A5A">
        <w:rPr>
          <w:color w:val="000000" w:themeColor="text1"/>
          <w:sz w:val="22"/>
          <w:szCs w:val="22"/>
        </w:rPr>
        <w:t>. PCT also</w:t>
      </w:r>
      <w:r w:rsidR="00EF3A15" w:rsidRPr="00C12A5A">
        <w:rPr>
          <w:color w:val="000000" w:themeColor="text1"/>
          <w:sz w:val="22"/>
          <w:szCs w:val="22"/>
        </w:rPr>
        <w:t xml:space="preserve"> has a short half-life, helping guide </w:t>
      </w:r>
      <w:r w:rsidR="00C12A5A" w:rsidRPr="00C12A5A">
        <w:rPr>
          <w:color w:val="000000" w:themeColor="text1"/>
          <w:sz w:val="22"/>
          <w:szCs w:val="22"/>
        </w:rPr>
        <w:t xml:space="preserve">antibiotic therapy </w:t>
      </w:r>
      <w:r w:rsidR="00EF3A15" w:rsidRPr="00C12A5A">
        <w:rPr>
          <w:color w:val="000000" w:themeColor="text1"/>
          <w:sz w:val="22"/>
          <w:szCs w:val="22"/>
        </w:rPr>
        <w:t>and monitor response.</w:t>
      </w:r>
      <w:r w:rsidR="00E1159F" w:rsidRPr="00C12A5A">
        <w:rPr>
          <w:bCs/>
          <w:color w:val="000000" w:themeColor="text1"/>
          <w:sz w:val="22"/>
          <w:szCs w:val="22"/>
          <w:shd w:val="clear" w:color="auto" w:fill="FFFFFF"/>
          <w:vertAlign w:val="superscript"/>
        </w:rPr>
        <w:t xml:space="preserve"> 10,</w:t>
      </w:r>
      <w:r w:rsidR="00EF3A15" w:rsidRPr="00C12A5A">
        <w:rPr>
          <w:bCs/>
          <w:color w:val="000000" w:themeColor="text1"/>
          <w:sz w:val="22"/>
          <w:szCs w:val="22"/>
          <w:shd w:val="clear" w:color="auto" w:fill="FFFFFF"/>
          <w:vertAlign w:val="superscript"/>
        </w:rPr>
        <w:t>1</w:t>
      </w:r>
      <w:r w:rsidR="00E1159F" w:rsidRPr="00C12A5A">
        <w:rPr>
          <w:bCs/>
          <w:color w:val="000000" w:themeColor="text1"/>
          <w:sz w:val="22"/>
          <w:szCs w:val="22"/>
          <w:shd w:val="clear" w:color="auto" w:fill="FFFFFF"/>
          <w:vertAlign w:val="superscript"/>
        </w:rPr>
        <w:t>4</w:t>
      </w:r>
      <w:r w:rsidR="00EF3A15" w:rsidRPr="00C12A5A">
        <w:rPr>
          <w:bCs/>
          <w:color w:val="000000" w:themeColor="text1"/>
          <w:sz w:val="22"/>
          <w:szCs w:val="22"/>
          <w:shd w:val="clear" w:color="auto" w:fill="FFFFFF"/>
          <w:vertAlign w:val="superscript"/>
        </w:rPr>
        <w:t>,1</w:t>
      </w:r>
      <w:r w:rsidR="00E1159F" w:rsidRPr="00C12A5A">
        <w:rPr>
          <w:bCs/>
          <w:color w:val="000000" w:themeColor="text1"/>
          <w:sz w:val="22"/>
          <w:szCs w:val="22"/>
          <w:shd w:val="clear" w:color="auto" w:fill="FFFFFF"/>
          <w:vertAlign w:val="superscript"/>
        </w:rPr>
        <w:t>5</w:t>
      </w:r>
      <w:r w:rsidR="00EF3A15" w:rsidRPr="00C12A5A">
        <w:rPr>
          <w:color w:val="000000" w:themeColor="text1"/>
          <w:sz w:val="22"/>
          <w:szCs w:val="22"/>
        </w:rPr>
        <w:t xml:space="preserve"> </w:t>
      </w:r>
    </w:p>
    <w:p w14:paraId="7C21619C" w14:textId="77777777" w:rsidR="00EF3A15" w:rsidRDefault="00EF3A15" w:rsidP="00EF3A15">
      <w:pPr>
        <w:spacing w:line="480" w:lineRule="auto"/>
        <w:jc w:val="both"/>
        <w:rPr>
          <w:color w:val="202124"/>
          <w:sz w:val="22"/>
          <w:szCs w:val="22"/>
          <w:shd w:val="clear" w:color="auto" w:fill="FFFFFF"/>
        </w:rPr>
      </w:pPr>
    </w:p>
    <w:p w14:paraId="010D8576" w14:textId="6EE58559" w:rsidR="00EF3A15" w:rsidRDefault="00EF3A15" w:rsidP="00EF3A15">
      <w:pPr>
        <w:spacing w:line="480" w:lineRule="auto"/>
        <w:jc w:val="both"/>
        <w:rPr>
          <w:color w:val="202124"/>
          <w:sz w:val="22"/>
          <w:szCs w:val="22"/>
          <w:shd w:val="clear" w:color="auto" w:fill="FFFFFF"/>
        </w:rPr>
      </w:pPr>
      <w:r w:rsidRPr="0078589D">
        <w:rPr>
          <w:color w:val="202124"/>
          <w:sz w:val="22"/>
          <w:szCs w:val="22"/>
          <w:shd w:val="clear" w:color="auto" w:fill="FFFFFF"/>
        </w:rPr>
        <w:t xml:space="preserve">The </w:t>
      </w:r>
      <w:r w:rsidR="00C86FA2">
        <w:rPr>
          <w:color w:val="202124"/>
          <w:sz w:val="22"/>
          <w:szCs w:val="22"/>
          <w:shd w:val="clear" w:color="auto" w:fill="FFFFFF"/>
        </w:rPr>
        <w:t>use</w:t>
      </w:r>
      <w:r w:rsidRPr="0078589D">
        <w:rPr>
          <w:color w:val="202124"/>
          <w:sz w:val="22"/>
          <w:szCs w:val="22"/>
          <w:shd w:val="clear" w:color="auto" w:fill="FFFFFF"/>
        </w:rPr>
        <w:t xml:space="preserve"> of PCT levels for neonatal sepsis is controversial</w:t>
      </w:r>
      <w:r w:rsidRPr="00EF3A15">
        <w:rPr>
          <w:color w:val="000000" w:themeColor="text1"/>
          <w:sz w:val="22"/>
          <w:szCs w:val="22"/>
        </w:rPr>
        <w:t xml:space="preserve"> </w:t>
      </w:r>
      <w:r w:rsidRPr="0078589D">
        <w:rPr>
          <w:color w:val="000000" w:themeColor="text1"/>
          <w:sz w:val="22"/>
          <w:szCs w:val="22"/>
        </w:rPr>
        <w:t xml:space="preserve">and reference values in neonates </w:t>
      </w:r>
      <w:r w:rsidR="00C86FA2">
        <w:rPr>
          <w:color w:val="000000" w:themeColor="text1"/>
          <w:sz w:val="22"/>
          <w:szCs w:val="22"/>
        </w:rPr>
        <w:t>are yet to be</w:t>
      </w:r>
      <w:r w:rsidRPr="0078589D">
        <w:rPr>
          <w:color w:val="000000" w:themeColor="text1"/>
          <w:sz w:val="22"/>
          <w:szCs w:val="22"/>
        </w:rPr>
        <w:t xml:space="preserve"> established</w:t>
      </w:r>
      <w:r w:rsidRPr="0078589D">
        <w:rPr>
          <w:color w:val="202124"/>
          <w:sz w:val="22"/>
          <w:szCs w:val="22"/>
          <w:shd w:val="clear" w:color="auto" w:fill="FFFFFF"/>
        </w:rPr>
        <w:t>.</w:t>
      </w:r>
      <w:r w:rsidR="009A65C5">
        <w:rPr>
          <w:bCs/>
          <w:color w:val="000000" w:themeColor="text1"/>
          <w:sz w:val="22"/>
          <w:szCs w:val="22"/>
          <w:shd w:val="clear" w:color="auto" w:fill="FFFFFF"/>
          <w:vertAlign w:val="superscript"/>
        </w:rPr>
        <w:t>1</w:t>
      </w:r>
      <w:r w:rsidR="00E1159F">
        <w:rPr>
          <w:bCs/>
          <w:color w:val="000000" w:themeColor="text1"/>
          <w:sz w:val="22"/>
          <w:szCs w:val="22"/>
          <w:shd w:val="clear" w:color="auto" w:fill="FFFFFF"/>
          <w:vertAlign w:val="superscript"/>
        </w:rPr>
        <w:t>5</w:t>
      </w:r>
      <w:r w:rsidRPr="0078589D">
        <w:rPr>
          <w:color w:val="202124"/>
          <w:sz w:val="22"/>
          <w:szCs w:val="22"/>
          <w:shd w:val="clear" w:color="auto" w:fill="FFFFFF"/>
        </w:rPr>
        <w:t xml:space="preserve"> PCT </w:t>
      </w:r>
      <w:r w:rsidR="00C86FA2">
        <w:rPr>
          <w:color w:val="202124"/>
          <w:sz w:val="22"/>
          <w:szCs w:val="22"/>
          <w:shd w:val="clear" w:color="auto" w:fill="FFFFFF"/>
        </w:rPr>
        <w:t>levels</w:t>
      </w:r>
      <w:r w:rsidRPr="0078589D">
        <w:rPr>
          <w:color w:val="202124"/>
          <w:sz w:val="22"/>
          <w:szCs w:val="22"/>
          <w:shd w:val="clear" w:color="auto" w:fill="FFFFFF"/>
        </w:rPr>
        <w:t xml:space="preserve"> can increase physiologically during the first few days of life, which interfere with the interpretation of PCT levels.</w:t>
      </w:r>
      <w:r w:rsidR="00815B3D">
        <w:rPr>
          <w:bCs/>
          <w:color w:val="000000" w:themeColor="text1"/>
          <w:sz w:val="22"/>
          <w:szCs w:val="22"/>
          <w:shd w:val="clear" w:color="auto" w:fill="FFFFFF"/>
          <w:vertAlign w:val="superscript"/>
        </w:rPr>
        <w:t>6</w:t>
      </w:r>
      <w:r w:rsidRPr="0078589D">
        <w:rPr>
          <w:bCs/>
          <w:color w:val="000000" w:themeColor="text1"/>
          <w:sz w:val="22"/>
          <w:szCs w:val="22"/>
          <w:shd w:val="clear" w:color="auto" w:fill="FFFFFF"/>
          <w:vertAlign w:val="superscript"/>
        </w:rPr>
        <w:t>,</w:t>
      </w:r>
      <w:r w:rsidR="009A65C5">
        <w:rPr>
          <w:bCs/>
          <w:color w:val="000000" w:themeColor="text1"/>
          <w:sz w:val="22"/>
          <w:szCs w:val="22"/>
          <w:shd w:val="clear" w:color="auto" w:fill="FFFFFF"/>
          <w:vertAlign w:val="superscript"/>
        </w:rPr>
        <w:t>1</w:t>
      </w:r>
      <w:r w:rsidR="00E1159F">
        <w:rPr>
          <w:bCs/>
          <w:color w:val="000000" w:themeColor="text1"/>
          <w:sz w:val="22"/>
          <w:szCs w:val="22"/>
          <w:shd w:val="clear" w:color="auto" w:fill="FFFFFF"/>
          <w:vertAlign w:val="superscript"/>
        </w:rPr>
        <w:t>6</w:t>
      </w:r>
      <w:r w:rsidRPr="0078589D">
        <w:rPr>
          <w:color w:val="202124"/>
          <w:sz w:val="22"/>
          <w:szCs w:val="22"/>
          <w:shd w:val="clear" w:color="auto" w:fill="FFFFFF"/>
        </w:rPr>
        <w:t xml:space="preserve"> A meta-analysis by Pontrelli et al, looking at the accuracy of PCT as an early biomarker of sepsis in neonates concluded; </w:t>
      </w:r>
      <w:r>
        <w:rPr>
          <w:color w:val="202124"/>
          <w:sz w:val="22"/>
          <w:szCs w:val="22"/>
          <w:shd w:val="clear" w:color="auto" w:fill="FFFFFF"/>
        </w:rPr>
        <w:t>serum</w:t>
      </w:r>
      <w:r w:rsidRPr="0078589D">
        <w:rPr>
          <w:color w:val="202124"/>
          <w:sz w:val="22"/>
          <w:szCs w:val="22"/>
          <w:shd w:val="clear" w:color="auto" w:fill="FFFFFF"/>
        </w:rPr>
        <w:t xml:space="preserve"> PCT values in healthy neonates increase gradually after birth,</w:t>
      </w:r>
      <w:r w:rsidR="00E1159F" w:rsidRPr="00C86FA2">
        <w:rPr>
          <w:bCs/>
          <w:color w:val="000000" w:themeColor="text1"/>
          <w:sz w:val="22"/>
          <w:szCs w:val="22"/>
          <w:shd w:val="clear" w:color="auto" w:fill="FFFFFF"/>
          <w:vertAlign w:val="superscript"/>
        </w:rPr>
        <w:t>17</w:t>
      </w:r>
      <w:r w:rsidRPr="00C86FA2">
        <w:rPr>
          <w:color w:val="000000" w:themeColor="text1"/>
          <w:sz w:val="22"/>
          <w:szCs w:val="22"/>
          <w:shd w:val="clear" w:color="auto" w:fill="FFFFFF"/>
        </w:rPr>
        <w:t xml:space="preserve"> </w:t>
      </w:r>
      <w:r w:rsidRPr="0078589D">
        <w:rPr>
          <w:color w:val="202124"/>
          <w:sz w:val="22"/>
          <w:szCs w:val="22"/>
          <w:shd w:val="clear" w:color="auto" w:fill="FFFFFF"/>
        </w:rPr>
        <w:t>reach peak values after 24 hours and then decrease to normal values by 48-72 hours of age.</w:t>
      </w:r>
      <w:r w:rsidR="00815B3D">
        <w:rPr>
          <w:bCs/>
          <w:color w:val="000000" w:themeColor="text1"/>
          <w:sz w:val="22"/>
          <w:szCs w:val="22"/>
          <w:shd w:val="clear" w:color="auto" w:fill="FFFFFF"/>
          <w:vertAlign w:val="superscript"/>
        </w:rPr>
        <w:t>9</w:t>
      </w:r>
      <w:r w:rsidR="00E1159F">
        <w:rPr>
          <w:bCs/>
          <w:color w:val="000000" w:themeColor="text1"/>
          <w:sz w:val="22"/>
          <w:szCs w:val="22"/>
          <w:shd w:val="clear" w:color="auto" w:fill="FFFFFF"/>
          <w:vertAlign w:val="superscript"/>
        </w:rPr>
        <w:t>,17</w:t>
      </w:r>
      <w:r w:rsidRPr="0078589D">
        <w:rPr>
          <w:color w:val="202124"/>
          <w:sz w:val="22"/>
          <w:szCs w:val="22"/>
          <w:shd w:val="clear" w:color="auto" w:fill="FFFFFF"/>
        </w:rPr>
        <w:t xml:space="preserve"> This seems to be due to the reaction of birth with nonspecific activation of the immune system.</w:t>
      </w:r>
      <w:r w:rsidR="009A65C5">
        <w:rPr>
          <w:bCs/>
          <w:color w:val="000000" w:themeColor="text1"/>
          <w:sz w:val="22"/>
          <w:szCs w:val="22"/>
          <w:shd w:val="clear" w:color="auto" w:fill="FFFFFF"/>
          <w:vertAlign w:val="superscript"/>
        </w:rPr>
        <w:t>1</w:t>
      </w:r>
      <w:r w:rsidR="00E1159F">
        <w:rPr>
          <w:bCs/>
          <w:color w:val="000000" w:themeColor="text1"/>
          <w:sz w:val="22"/>
          <w:szCs w:val="22"/>
          <w:shd w:val="clear" w:color="auto" w:fill="FFFFFF"/>
          <w:vertAlign w:val="superscript"/>
        </w:rPr>
        <w:t>6</w:t>
      </w:r>
      <w:r w:rsidRPr="0078589D">
        <w:rPr>
          <w:color w:val="202124"/>
          <w:sz w:val="22"/>
          <w:szCs w:val="22"/>
          <w:shd w:val="clear" w:color="auto" w:fill="FFFFFF"/>
        </w:rPr>
        <w:t xml:space="preserve"> </w:t>
      </w:r>
    </w:p>
    <w:p w14:paraId="7D7E931D" w14:textId="6C0FFC0C" w:rsidR="00037B4D" w:rsidRDefault="00037B4D" w:rsidP="004601B0">
      <w:pPr>
        <w:spacing w:line="480" w:lineRule="auto"/>
        <w:jc w:val="both"/>
        <w:rPr>
          <w:color w:val="000000" w:themeColor="text1"/>
          <w:sz w:val="22"/>
          <w:szCs w:val="22"/>
        </w:rPr>
      </w:pPr>
    </w:p>
    <w:p w14:paraId="6815A9C4" w14:textId="77777777" w:rsidR="00037B4D" w:rsidRPr="0078589D" w:rsidRDefault="00037B4D" w:rsidP="00037B4D">
      <w:pPr>
        <w:spacing w:line="480" w:lineRule="auto"/>
        <w:jc w:val="both"/>
        <w:rPr>
          <w:b/>
          <w:bCs/>
          <w:color w:val="000000" w:themeColor="text1"/>
          <w:sz w:val="22"/>
          <w:szCs w:val="22"/>
        </w:rPr>
      </w:pPr>
      <w:r w:rsidRPr="0078589D">
        <w:rPr>
          <w:b/>
          <w:bCs/>
          <w:color w:val="000000" w:themeColor="text1"/>
          <w:sz w:val="22"/>
          <w:szCs w:val="22"/>
        </w:rPr>
        <w:t>Study Objective</w:t>
      </w:r>
    </w:p>
    <w:p w14:paraId="221EB3C6" w14:textId="0A0918D4" w:rsidR="00037B4D" w:rsidRPr="0078589D" w:rsidRDefault="00C86FA2" w:rsidP="00037B4D">
      <w:pPr>
        <w:spacing w:line="480" w:lineRule="auto"/>
        <w:jc w:val="both"/>
        <w:rPr>
          <w:b/>
          <w:bCs/>
          <w:color w:val="1C1D1E"/>
          <w:sz w:val="22"/>
          <w:szCs w:val="22"/>
        </w:rPr>
      </w:pPr>
      <w:r>
        <w:rPr>
          <w:color w:val="000000" w:themeColor="text1"/>
          <w:sz w:val="22"/>
          <w:szCs w:val="22"/>
        </w:rPr>
        <w:t>T</w:t>
      </w:r>
      <w:r w:rsidR="00037B4D" w:rsidRPr="0078589D">
        <w:rPr>
          <w:color w:val="000000" w:themeColor="text1"/>
          <w:sz w:val="22"/>
          <w:szCs w:val="22"/>
        </w:rPr>
        <w:t xml:space="preserve">o investigate </w:t>
      </w:r>
      <w:r w:rsidR="00037B4D">
        <w:rPr>
          <w:color w:val="000000" w:themeColor="text1"/>
          <w:sz w:val="22"/>
          <w:szCs w:val="22"/>
        </w:rPr>
        <w:t>PCT</w:t>
      </w:r>
      <w:r w:rsidR="00037B4D" w:rsidRPr="0078589D">
        <w:rPr>
          <w:color w:val="000000" w:themeColor="text1"/>
          <w:sz w:val="22"/>
          <w:szCs w:val="22"/>
        </w:rPr>
        <w:t xml:space="preserve"> levels in</w:t>
      </w:r>
      <w:r w:rsidR="00037B4D">
        <w:rPr>
          <w:color w:val="000000" w:themeColor="text1"/>
          <w:sz w:val="22"/>
          <w:szCs w:val="22"/>
        </w:rPr>
        <w:t xml:space="preserve"> full</w:t>
      </w:r>
      <w:r w:rsidR="00EF3A15">
        <w:rPr>
          <w:color w:val="000000" w:themeColor="text1"/>
          <w:sz w:val="22"/>
          <w:szCs w:val="22"/>
        </w:rPr>
        <w:t>-</w:t>
      </w:r>
      <w:r w:rsidR="00037B4D">
        <w:rPr>
          <w:color w:val="000000" w:themeColor="text1"/>
          <w:sz w:val="22"/>
          <w:szCs w:val="22"/>
        </w:rPr>
        <w:t>term</w:t>
      </w:r>
      <w:r w:rsidR="00037B4D" w:rsidRPr="0078589D">
        <w:rPr>
          <w:color w:val="000000" w:themeColor="text1"/>
          <w:sz w:val="22"/>
          <w:szCs w:val="22"/>
        </w:rPr>
        <w:t xml:space="preserve"> neonates managed for </w:t>
      </w:r>
      <w:r w:rsidR="00037B4D">
        <w:rPr>
          <w:color w:val="000000" w:themeColor="text1"/>
          <w:sz w:val="22"/>
          <w:szCs w:val="22"/>
        </w:rPr>
        <w:t>suspected EOS due to probable maternal intrapartum sepsis</w:t>
      </w:r>
      <w:r>
        <w:rPr>
          <w:color w:val="000000" w:themeColor="text1"/>
          <w:sz w:val="22"/>
          <w:szCs w:val="22"/>
        </w:rPr>
        <w:t xml:space="preserve"> and</w:t>
      </w:r>
      <w:r w:rsidR="00037B4D" w:rsidRPr="0078589D">
        <w:rPr>
          <w:color w:val="000000" w:themeColor="text1"/>
          <w:sz w:val="22"/>
          <w:szCs w:val="22"/>
        </w:rPr>
        <w:t xml:space="preserve"> to determine if </w:t>
      </w:r>
      <w:r w:rsidR="00037B4D">
        <w:rPr>
          <w:color w:val="000000" w:themeColor="text1"/>
          <w:sz w:val="22"/>
          <w:szCs w:val="22"/>
        </w:rPr>
        <w:t xml:space="preserve">PCT </w:t>
      </w:r>
      <w:r w:rsidR="00037B4D" w:rsidRPr="0078589D">
        <w:rPr>
          <w:color w:val="000000" w:themeColor="text1"/>
          <w:sz w:val="22"/>
          <w:szCs w:val="22"/>
        </w:rPr>
        <w:t>could be utilised to optimise diagnosis and management.</w:t>
      </w:r>
      <w:r w:rsidR="00E1159F">
        <w:rPr>
          <w:bCs/>
          <w:color w:val="000000" w:themeColor="text1"/>
          <w:sz w:val="22"/>
          <w:szCs w:val="22"/>
          <w:shd w:val="clear" w:color="auto" w:fill="FFFFFF"/>
          <w:vertAlign w:val="superscript"/>
        </w:rPr>
        <w:t>10</w:t>
      </w:r>
    </w:p>
    <w:p w14:paraId="3C455ABC" w14:textId="77777777" w:rsidR="00037B4D" w:rsidRDefault="00037B4D" w:rsidP="004601B0">
      <w:pPr>
        <w:spacing w:line="480" w:lineRule="auto"/>
        <w:jc w:val="both"/>
        <w:rPr>
          <w:color w:val="000000" w:themeColor="text1"/>
          <w:sz w:val="22"/>
          <w:szCs w:val="22"/>
        </w:rPr>
      </w:pPr>
    </w:p>
    <w:p w14:paraId="1115AA7E" w14:textId="77777777" w:rsidR="00037B4D" w:rsidRDefault="00037B4D" w:rsidP="004601B0">
      <w:pPr>
        <w:spacing w:line="480" w:lineRule="auto"/>
        <w:jc w:val="both"/>
        <w:rPr>
          <w:color w:val="000000" w:themeColor="text1"/>
          <w:sz w:val="22"/>
          <w:szCs w:val="22"/>
        </w:rPr>
      </w:pPr>
    </w:p>
    <w:p w14:paraId="08353221" w14:textId="1CD55B12" w:rsidR="0065314F" w:rsidRDefault="0065314F" w:rsidP="004601B0">
      <w:pPr>
        <w:spacing w:line="480" w:lineRule="auto"/>
        <w:jc w:val="both"/>
        <w:rPr>
          <w:color w:val="000000" w:themeColor="text1"/>
          <w:sz w:val="22"/>
          <w:szCs w:val="22"/>
        </w:rPr>
      </w:pPr>
    </w:p>
    <w:p w14:paraId="40137D42" w14:textId="77777777" w:rsidR="00C12A5A" w:rsidRDefault="00C12A5A" w:rsidP="004601B0">
      <w:pPr>
        <w:spacing w:line="480" w:lineRule="auto"/>
        <w:jc w:val="both"/>
        <w:rPr>
          <w:color w:val="000000" w:themeColor="text1"/>
          <w:sz w:val="22"/>
          <w:szCs w:val="22"/>
        </w:rPr>
      </w:pPr>
    </w:p>
    <w:p w14:paraId="543368DB" w14:textId="77777777" w:rsidR="00192D5A" w:rsidRPr="0078589D" w:rsidRDefault="00192D5A" w:rsidP="004601B0">
      <w:pPr>
        <w:spacing w:line="480" w:lineRule="auto"/>
        <w:jc w:val="both"/>
        <w:rPr>
          <w:color w:val="000000" w:themeColor="text1"/>
          <w:sz w:val="22"/>
          <w:szCs w:val="22"/>
        </w:rPr>
      </w:pPr>
    </w:p>
    <w:p w14:paraId="2F701A0E" w14:textId="77777777" w:rsidR="007B219A" w:rsidRPr="0078589D" w:rsidRDefault="007B219A" w:rsidP="004601B0">
      <w:pPr>
        <w:spacing w:line="480" w:lineRule="auto"/>
        <w:jc w:val="both"/>
        <w:rPr>
          <w:color w:val="000000" w:themeColor="text1"/>
          <w:sz w:val="22"/>
          <w:szCs w:val="22"/>
          <w:shd w:val="clear" w:color="auto" w:fill="FFFFFF"/>
        </w:rPr>
      </w:pPr>
    </w:p>
    <w:p w14:paraId="711382E4" w14:textId="3DB1CA82" w:rsidR="006A3893" w:rsidRPr="0078589D" w:rsidRDefault="00950088" w:rsidP="004601B0">
      <w:pPr>
        <w:spacing w:line="480" w:lineRule="auto"/>
        <w:jc w:val="both"/>
        <w:rPr>
          <w:b/>
          <w:bCs/>
          <w:color w:val="1C1D1E"/>
          <w:sz w:val="22"/>
          <w:szCs w:val="22"/>
        </w:rPr>
      </w:pPr>
      <w:r w:rsidRPr="0078589D">
        <w:rPr>
          <w:b/>
          <w:bCs/>
          <w:color w:val="1C1D1E"/>
          <w:sz w:val="22"/>
          <w:szCs w:val="22"/>
        </w:rPr>
        <w:lastRenderedPageBreak/>
        <w:t>Methods</w:t>
      </w:r>
    </w:p>
    <w:p w14:paraId="51E65C1E" w14:textId="55B05E89" w:rsidR="00950088" w:rsidRPr="0078589D" w:rsidRDefault="00950088" w:rsidP="004601B0">
      <w:pPr>
        <w:spacing w:line="480" w:lineRule="auto"/>
        <w:jc w:val="both"/>
        <w:rPr>
          <w:color w:val="1C1D1E"/>
          <w:sz w:val="22"/>
          <w:szCs w:val="22"/>
        </w:rPr>
      </w:pPr>
      <w:r w:rsidRPr="0078589D">
        <w:rPr>
          <w:color w:val="1C1D1E"/>
          <w:sz w:val="22"/>
          <w:szCs w:val="22"/>
        </w:rPr>
        <w:t xml:space="preserve">A </w:t>
      </w:r>
      <w:r w:rsidR="001F64AA" w:rsidRPr="0078589D">
        <w:rPr>
          <w:color w:val="1C1D1E"/>
          <w:sz w:val="22"/>
          <w:szCs w:val="22"/>
        </w:rPr>
        <w:t xml:space="preserve">prospective </w:t>
      </w:r>
      <w:r w:rsidR="007171E7">
        <w:rPr>
          <w:color w:val="1C1D1E"/>
          <w:sz w:val="22"/>
          <w:szCs w:val="22"/>
        </w:rPr>
        <w:t xml:space="preserve">longitudinal </w:t>
      </w:r>
      <w:r w:rsidRPr="0078589D">
        <w:rPr>
          <w:color w:val="1C1D1E"/>
          <w:sz w:val="22"/>
          <w:szCs w:val="22"/>
        </w:rPr>
        <w:t>observational study was carried out at University Hospitals of Bristol and Weston (UHBW) NHS Foundation trust</w:t>
      </w:r>
      <w:r w:rsidR="00C86FA2">
        <w:rPr>
          <w:color w:val="1C1D1E"/>
          <w:sz w:val="22"/>
          <w:szCs w:val="22"/>
        </w:rPr>
        <w:t>. The hospital</w:t>
      </w:r>
      <w:r w:rsidRPr="0078589D">
        <w:rPr>
          <w:color w:val="1C1D1E"/>
          <w:sz w:val="22"/>
          <w:szCs w:val="22"/>
        </w:rPr>
        <w:t xml:space="preserve"> averag</w:t>
      </w:r>
      <w:r w:rsidR="00C86FA2">
        <w:rPr>
          <w:color w:val="1C1D1E"/>
          <w:sz w:val="22"/>
          <w:szCs w:val="22"/>
        </w:rPr>
        <w:t>es</w:t>
      </w:r>
      <w:r w:rsidRPr="0078589D">
        <w:rPr>
          <w:color w:val="1C1D1E"/>
          <w:sz w:val="22"/>
          <w:szCs w:val="22"/>
        </w:rPr>
        <w:t xml:space="preserve"> 5</w:t>
      </w:r>
      <w:r w:rsidR="001F64AA" w:rsidRPr="0078589D">
        <w:rPr>
          <w:color w:val="1C1D1E"/>
          <w:sz w:val="22"/>
          <w:szCs w:val="22"/>
        </w:rPr>
        <w:t>0</w:t>
      </w:r>
      <w:r w:rsidRPr="0078589D">
        <w:rPr>
          <w:color w:val="1C1D1E"/>
          <w:sz w:val="22"/>
          <w:szCs w:val="22"/>
        </w:rPr>
        <w:t xml:space="preserve">00 deliveries a year. </w:t>
      </w:r>
      <w:r w:rsidR="00C86FA2">
        <w:rPr>
          <w:color w:val="1C1D1E"/>
          <w:sz w:val="22"/>
          <w:szCs w:val="22"/>
        </w:rPr>
        <w:t>UHBW</w:t>
      </w:r>
      <w:r w:rsidRPr="0078589D">
        <w:rPr>
          <w:color w:val="1C1D1E"/>
          <w:sz w:val="22"/>
          <w:szCs w:val="22"/>
        </w:rPr>
        <w:t xml:space="preserve"> ethics committee approved the research and</w:t>
      </w:r>
      <w:r w:rsidR="00C86FA2">
        <w:rPr>
          <w:color w:val="1C1D1E"/>
          <w:sz w:val="22"/>
          <w:szCs w:val="22"/>
        </w:rPr>
        <w:t xml:space="preserve"> the department provided the</w:t>
      </w:r>
      <w:r w:rsidRPr="0078589D">
        <w:rPr>
          <w:color w:val="1C1D1E"/>
          <w:sz w:val="22"/>
          <w:szCs w:val="22"/>
        </w:rPr>
        <w:t xml:space="preserve"> funding.</w:t>
      </w:r>
      <w:r w:rsidR="00E1159F">
        <w:rPr>
          <w:bCs/>
          <w:color w:val="000000" w:themeColor="text1"/>
          <w:sz w:val="22"/>
          <w:szCs w:val="22"/>
          <w:shd w:val="clear" w:color="auto" w:fill="FFFFFF"/>
          <w:vertAlign w:val="superscript"/>
        </w:rPr>
        <w:t>10</w:t>
      </w:r>
      <w:r w:rsidRPr="0078589D">
        <w:rPr>
          <w:color w:val="1C1D1E"/>
          <w:sz w:val="22"/>
          <w:szCs w:val="22"/>
        </w:rPr>
        <w:t xml:space="preserve"> </w:t>
      </w:r>
    </w:p>
    <w:p w14:paraId="0D68D8F9" w14:textId="77777777" w:rsidR="00950088" w:rsidRPr="0078589D" w:rsidRDefault="00950088" w:rsidP="004601B0">
      <w:pPr>
        <w:spacing w:line="480" w:lineRule="auto"/>
        <w:jc w:val="both"/>
        <w:rPr>
          <w:b/>
          <w:bCs/>
          <w:color w:val="1C1D1E"/>
          <w:sz w:val="22"/>
          <w:szCs w:val="22"/>
        </w:rPr>
      </w:pPr>
    </w:p>
    <w:p w14:paraId="62A065EF" w14:textId="0B4AFA1F" w:rsidR="001F64AA" w:rsidRPr="0078589D" w:rsidRDefault="00C86FA2" w:rsidP="004601B0">
      <w:pPr>
        <w:spacing w:line="480" w:lineRule="auto"/>
        <w:jc w:val="both"/>
        <w:rPr>
          <w:sz w:val="22"/>
          <w:szCs w:val="22"/>
        </w:rPr>
      </w:pPr>
      <w:r>
        <w:rPr>
          <w:color w:val="1C1D1E"/>
          <w:sz w:val="22"/>
          <w:szCs w:val="22"/>
        </w:rPr>
        <w:t xml:space="preserve">All </w:t>
      </w:r>
      <w:r w:rsidR="005F0EDD" w:rsidRPr="0078589D">
        <w:rPr>
          <w:color w:val="1C1D1E"/>
          <w:sz w:val="22"/>
          <w:szCs w:val="22"/>
        </w:rPr>
        <w:t xml:space="preserve">neonates </w:t>
      </w:r>
      <w:r w:rsidR="001F64AA" w:rsidRPr="0078589D">
        <w:rPr>
          <w:color w:val="1C1D1E"/>
          <w:sz w:val="22"/>
          <w:szCs w:val="22"/>
        </w:rPr>
        <w:t xml:space="preserve">born to </w:t>
      </w:r>
      <w:r w:rsidR="00950088" w:rsidRPr="0078589D">
        <w:rPr>
          <w:color w:val="1C1D1E"/>
          <w:sz w:val="22"/>
          <w:szCs w:val="22"/>
        </w:rPr>
        <w:t xml:space="preserve">women </w:t>
      </w:r>
      <w:r w:rsidR="00E8204B">
        <w:rPr>
          <w:color w:val="1C1D1E"/>
          <w:sz w:val="22"/>
          <w:szCs w:val="22"/>
        </w:rPr>
        <w:t xml:space="preserve">treated for suspected </w:t>
      </w:r>
      <w:r w:rsidR="00950088" w:rsidRPr="0078589D">
        <w:rPr>
          <w:color w:val="1C1D1E"/>
          <w:sz w:val="22"/>
          <w:szCs w:val="22"/>
        </w:rPr>
        <w:t xml:space="preserve">intrapartum </w:t>
      </w:r>
      <w:r w:rsidR="00E8204B">
        <w:rPr>
          <w:color w:val="1C1D1E"/>
          <w:sz w:val="22"/>
          <w:szCs w:val="22"/>
        </w:rPr>
        <w:t>sepsis</w:t>
      </w:r>
      <w:r w:rsidR="00950088" w:rsidRPr="0078589D">
        <w:rPr>
          <w:color w:val="1C1D1E"/>
          <w:sz w:val="22"/>
          <w:szCs w:val="22"/>
        </w:rPr>
        <w:t xml:space="preserve"> </w:t>
      </w:r>
      <w:r>
        <w:rPr>
          <w:color w:val="1C1D1E"/>
          <w:sz w:val="22"/>
          <w:szCs w:val="22"/>
        </w:rPr>
        <w:t>o</w:t>
      </w:r>
      <w:r w:rsidRPr="0078589D">
        <w:rPr>
          <w:color w:val="1C1D1E"/>
          <w:sz w:val="22"/>
          <w:szCs w:val="22"/>
        </w:rPr>
        <w:t xml:space="preserve">ver a 4-month period (June–October 2020) </w:t>
      </w:r>
      <w:r w:rsidR="00950088" w:rsidRPr="0078589D">
        <w:rPr>
          <w:color w:val="1C1D1E"/>
          <w:sz w:val="22"/>
          <w:szCs w:val="22"/>
        </w:rPr>
        <w:t xml:space="preserve">were included in the study. </w:t>
      </w:r>
      <w:r w:rsidR="001F64AA" w:rsidRPr="0078589D">
        <w:rPr>
          <w:sz w:val="22"/>
          <w:szCs w:val="22"/>
        </w:rPr>
        <w:t xml:space="preserve">At UHBW all neonates born to women treated for </w:t>
      </w:r>
      <w:r w:rsidR="00E8204B">
        <w:rPr>
          <w:sz w:val="22"/>
          <w:szCs w:val="22"/>
        </w:rPr>
        <w:t xml:space="preserve">suspected </w:t>
      </w:r>
      <w:r w:rsidR="001F64AA" w:rsidRPr="0078589D">
        <w:rPr>
          <w:sz w:val="22"/>
          <w:szCs w:val="22"/>
        </w:rPr>
        <w:t xml:space="preserve">intrapartum </w:t>
      </w:r>
      <w:r w:rsidR="00E8204B">
        <w:rPr>
          <w:sz w:val="22"/>
          <w:szCs w:val="22"/>
        </w:rPr>
        <w:t>sepsis</w:t>
      </w:r>
      <w:r w:rsidR="001F64AA" w:rsidRPr="0078589D">
        <w:rPr>
          <w:sz w:val="22"/>
          <w:szCs w:val="22"/>
        </w:rPr>
        <w:t xml:space="preserve"> routinely have blood collected </w:t>
      </w:r>
      <w:r w:rsidR="00E8204B">
        <w:rPr>
          <w:sz w:val="22"/>
          <w:szCs w:val="22"/>
        </w:rPr>
        <w:t xml:space="preserve">within an hour of birth </w:t>
      </w:r>
      <w:r w:rsidR="001F64AA" w:rsidRPr="0078589D">
        <w:rPr>
          <w:sz w:val="22"/>
          <w:szCs w:val="22"/>
        </w:rPr>
        <w:t>for full blood count</w:t>
      </w:r>
      <w:r>
        <w:rPr>
          <w:sz w:val="22"/>
          <w:szCs w:val="22"/>
        </w:rPr>
        <w:t>,</w:t>
      </w:r>
      <w:r w:rsidR="001F64AA" w:rsidRPr="0078589D">
        <w:rPr>
          <w:sz w:val="22"/>
          <w:szCs w:val="22"/>
        </w:rPr>
        <w:t xml:space="preserve"> CRP</w:t>
      </w:r>
      <w:r>
        <w:rPr>
          <w:sz w:val="22"/>
          <w:szCs w:val="22"/>
        </w:rPr>
        <w:t xml:space="preserve"> and </w:t>
      </w:r>
      <w:r w:rsidRPr="0078589D">
        <w:rPr>
          <w:sz w:val="22"/>
          <w:szCs w:val="22"/>
        </w:rPr>
        <w:t xml:space="preserve">blood cultures </w:t>
      </w:r>
      <w:r w:rsidR="001F64AA" w:rsidRPr="0078589D">
        <w:rPr>
          <w:sz w:val="22"/>
          <w:szCs w:val="22"/>
        </w:rPr>
        <w:t>and intravenous antibiotics</w:t>
      </w:r>
      <w:r>
        <w:rPr>
          <w:sz w:val="22"/>
          <w:szCs w:val="22"/>
        </w:rPr>
        <w:t xml:space="preserve"> are commenced</w:t>
      </w:r>
      <w:r w:rsidR="0048330B" w:rsidRPr="0078589D">
        <w:rPr>
          <w:sz w:val="22"/>
          <w:szCs w:val="22"/>
        </w:rPr>
        <w:t>,</w:t>
      </w:r>
      <w:r w:rsidR="00E1159F">
        <w:rPr>
          <w:bCs/>
          <w:color w:val="000000" w:themeColor="text1"/>
          <w:sz w:val="22"/>
          <w:szCs w:val="22"/>
          <w:shd w:val="clear" w:color="auto" w:fill="FFFFFF"/>
          <w:vertAlign w:val="superscript"/>
        </w:rPr>
        <w:t>10</w:t>
      </w:r>
      <w:r w:rsidR="0048330B" w:rsidRPr="0078589D">
        <w:rPr>
          <w:sz w:val="22"/>
          <w:szCs w:val="22"/>
        </w:rPr>
        <w:t xml:space="preserve"> according to local and national guidelines</w:t>
      </w:r>
      <w:r w:rsidR="001F64AA" w:rsidRPr="0078589D">
        <w:rPr>
          <w:sz w:val="22"/>
          <w:szCs w:val="22"/>
        </w:rPr>
        <w:t>.</w:t>
      </w:r>
      <w:r w:rsidR="0048330B" w:rsidRPr="0078589D">
        <w:rPr>
          <w:bCs/>
          <w:color w:val="000000" w:themeColor="text1"/>
          <w:sz w:val="22"/>
          <w:szCs w:val="22"/>
          <w:shd w:val="clear" w:color="auto" w:fill="FFFFFF"/>
          <w:vertAlign w:val="superscript"/>
        </w:rPr>
        <w:t>1</w:t>
      </w:r>
      <w:r w:rsidR="00E1159F">
        <w:rPr>
          <w:bCs/>
          <w:color w:val="000000" w:themeColor="text1"/>
          <w:sz w:val="22"/>
          <w:szCs w:val="22"/>
          <w:shd w:val="clear" w:color="auto" w:fill="FFFFFF"/>
          <w:vertAlign w:val="superscript"/>
        </w:rPr>
        <w:t>8</w:t>
      </w:r>
      <w:r w:rsidR="001F64AA" w:rsidRPr="0078589D">
        <w:rPr>
          <w:sz w:val="22"/>
          <w:szCs w:val="22"/>
        </w:rPr>
        <w:t xml:space="preserve"> These are stopped </w:t>
      </w:r>
      <w:r w:rsidR="00E8204B">
        <w:rPr>
          <w:sz w:val="22"/>
          <w:szCs w:val="22"/>
        </w:rPr>
        <w:t xml:space="preserve">at 36 hours, </w:t>
      </w:r>
      <w:r w:rsidR="001F64AA" w:rsidRPr="0078589D">
        <w:rPr>
          <w:sz w:val="22"/>
          <w:szCs w:val="22"/>
        </w:rPr>
        <w:t xml:space="preserve">according to </w:t>
      </w:r>
      <w:r w:rsidR="00E8204B">
        <w:rPr>
          <w:sz w:val="22"/>
          <w:szCs w:val="22"/>
        </w:rPr>
        <w:t xml:space="preserve">blood culture results, </w:t>
      </w:r>
      <w:r w:rsidR="001F64AA" w:rsidRPr="0078589D">
        <w:rPr>
          <w:sz w:val="22"/>
          <w:szCs w:val="22"/>
        </w:rPr>
        <w:t xml:space="preserve">repeat </w:t>
      </w:r>
      <w:r w:rsidR="00E8204B">
        <w:rPr>
          <w:sz w:val="22"/>
          <w:szCs w:val="22"/>
        </w:rPr>
        <w:t xml:space="preserve">CRP </w:t>
      </w:r>
      <w:r w:rsidR="007B219A">
        <w:rPr>
          <w:sz w:val="22"/>
          <w:szCs w:val="22"/>
        </w:rPr>
        <w:t>levels</w:t>
      </w:r>
      <w:r w:rsidR="00E8204B">
        <w:rPr>
          <w:sz w:val="22"/>
          <w:szCs w:val="22"/>
        </w:rPr>
        <w:t xml:space="preserve"> taken 24 hours later</w:t>
      </w:r>
      <w:r w:rsidR="001F64AA" w:rsidRPr="0078589D">
        <w:rPr>
          <w:sz w:val="22"/>
          <w:szCs w:val="22"/>
        </w:rPr>
        <w:t xml:space="preserve"> and clinical </w:t>
      </w:r>
      <w:r>
        <w:rPr>
          <w:sz w:val="22"/>
          <w:szCs w:val="22"/>
        </w:rPr>
        <w:t>state</w:t>
      </w:r>
      <w:r w:rsidR="001F64AA" w:rsidRPr="0078589D">
        <w:rPr>
          <w:sz w:val="22"/>
          <w:szCs w:val="22"/>
        </w:rPr>
        <w:t xml:space="preserve">. For this study, </w:t>
      </w:r>
      <w:r>
        <w:rPr>
          <w:sz w:val="22"/>
          <w:szCs w:val="22"/>
        </w:rPr>
        <w:t>septic screen</w:t>
      </w:r>
      <w:r w:rsidR="001F64AA" w:rsidRPr="0078589D">
        <w:rPr>
          <w:sz w:val="22"/>
          <w:szCs w:val="22"/>
        </w:rPr>
        <w:t xml:space="preserve"> </w:t>
      </w:r>
      <w:r w:rsidR="00E8204B">
        <w:rPr>
          <w:sz w:val="22"/>
          <w:szCs w:val="22"/>
        </w:rPr>
        <w:t xml:space="preserve">CRP blood </w:t>
      </w:r>
      <w:r w:rsidR="001F64AA" w:rsidRPr="0078589D">
        <w:rPr>
          <w:sz w:val="22"/>
          <w:szCs w:val="22"/>
        </w:rPr>
        <w:t>samples (</w:t>
      </w:r>
      <w:r w:rsidR="00A61E40" w:rsidRPr="0078589D">
        <w:rPr>
          <w:sz w:val="22"/>
          <w:szCs w:val="22"/>
        </w:rPr>
        <w:t>‘</w:t>
      </w:r>
      <w:r w:rsidR="001F64AA" w:rsidRPr="0078589D">
        <w:rPr>
          <w:sz w:val="22"/>
          <w:szCs w:val="22"/>
        </w:rPr>
        <w:t>Time 0</w:t>
      </w:r>
      <w:r w:rsidR="00F41B82" w:rsidRPr="0078589D">
        <w:rPr>
          <w:sz w:val="22"/>
          <w:szCs w:val="22"/>
        </w:rPr>
        <w:t>’</w:t>
      </w:r>
      <w:r w:rsidR="001F64AA" w:rsidRPr="0078589D">
        <w:rPr>
          <w:sz w:val="22"/>
          <w:szCs w:val="22"/>
        </w:rPr>
        <w:t xml:space="preserve"> bloods) alongside </w:t>
      </w:r>
      <w:r w:rsidR="00E8204B">
        <w:rPr>
          <w:sz w:val="22"/>
          <w:szCs w:val="22"/>
        </w:rPr>
        <w:t>the 24-hour</w:t>
      </w:r>
      <w:r w:rsidR="001F64AA" w:rsidRPr="0078589D">
        <w:rPr>
          <w:sz w:val="22"/>
          <w:szCs w:val="22"/>
        </w:rPr>
        <w:t xml:space="preserve"> CRP samples (</w:t>
      </w:r>
      <w:r w:rsidR="00A61E40" w:rsidRPr="0078589D">
        <w:rPr>
          <w:sz w:val="22"/>
          <w:szCs w:val="22"/>
        </w:rPr>
        <w:t>‘</w:t>
      </w:r>
      <w:r w:rsidR="001F64AA" w:rsidRPr="0078589D">
        <w:rPr>
          <w:sz w:val="22"/>
          <w:szCs w:val="22"/>
        </w:rPr>
        <w:t>Day 1</w:t>
      </w:r>
      <w:r w:rsidR="00A61E40" w:rsidRPr="0078589D">
        <w:rPr>
          <w:sz w:val="22"/>
          <w:szCs w:val="22"/>
        </w:rPr>
        <w:t>’</w:t>
      </w:r>
      <w:r w:rsidR="001F64AA" w:rsidRPr="0078589D">
        <w:rPr>
          <w:sz w:val="22"/>
          <w:szCs w:val="22"/>
        </w:rPr>
        <w:t xml:space="preserve"> bloods)</w:t>
      </w:r>
      <w:r w:rsidR="00E8204B">
        <w:rPr>
          <w:sz w:val="22"/>
          <w:szCs w:val="22"/>
        </w:rPr>
        <w:t xml:space="preserve">, </w:t>
      </w:r>
      <w:r w:rsidR="00E8204B" w:rsidRPr="0078589D">
        <w:rPr>
          <w:sz w:val="22"/>
          <w:szCs w:val="22"/>
        </w:rPr>
        <w:t>were also tested for PCT levels</w:t>
      </w:r>
      <w:r w:rsidR="001F64AA" w:rsidRPr="0078589D">
        <w:rPr>
          <w:sz w:val="22"/>
          <w:szCs w:val="22"/>
        </w:rPr>
        <w:t xml:space="preserve">. </w:t>
      </w:r>
      <w:r w:rsidR="001F64AA" w:rsidRPr="0078589D">
        <w:rPr>
          <w:color w:val="000000" w:themeColor="text1"/>
          <w:sz w:val="22"/>
          <w:szCs w:val="22"/>
        </w:rPr>
        <w:t>T</w:t>
      </w:r>
      <w:r>
        <w:rPr>
          <w:color w:val="000000" w:themeColor="text1"/>
          <w:sz w:val="22"/>
          <w:szCs w:val="22"/>
        </w:rPr>
        <w:t>o avoid influencing management,</w:t>
      </w:r>
      <w:r w:rsidR="001F64AA" w:rsidRPr="0078589D">
        <w:rPr>
          <w:color w:val="000000" w:themeColor="text1"/>
          <w:sz w:val="22"/>
          <w:szCs w:val="22"/>
        </w:rPr>
        <w:t xml:space="preserve"> PCT results were concealed from clinician</w:t>
      </w:r>
      <w:r>
        <w:rPr>
          <w:color w:val="000000" w:themeColor="text1"/>
          <w:sz w:val="22"/>
          <w:szCs w:val="22"/>
        </w:rPr>
        <w:t>s</w:t>
      </w:r>
      <w:r w:rsidR="001F64AA" w:rsidRPr="0078589D">
        <w:rPr>
          <w:color w:val="000000" w:themeColor="text1"/>
          <w:sz w:val="22"/>
          <w:szCs w:val="22"/>
        </w:rPr>
        <w:t>.</w:t>
      </w:r>
      <w:r w:rsidR="00E1159F">
        <w:rPr>
          <w:bCs/>
          <w:color w:val="000000" w:themeColor="text1"/>
          <w:sz w:val="22"/>
          <w:szCs w:val="22"/>
          <w:shd w:val="clear" w:color="auto" w:fill="FFFFFF"/>
          <w:vertAlign w:val="superscript"/>
        </w:rPr>
        <w:t>10</w:t>
      </w:r>
    </w:p>
    <w:p w14:paraId="1C6EE8BD" w14:textId="77777777" w:rsidR="00F229DB" w:rsidRPr="0078589D" w:rsidRDefault="00F229DB" w:rsidP="004601B0">
      <w:pPr>
        <w:spacing w:line="480" w:lineRule="auto"/>
        <w:jc w:val="both"/>
        <w:rPr>
          <w:color w:val="000000" w:themeColor="text1"/>
          <w:sz w:val="22"/>
          <w:szCs w:val="22"/>
        </w:rPr>
      </w:pPr>
    </w:p>
    <w:p w14:paraId="682E2265" w14:textId="5C40B788" w:rsidR="00665013" w:rsidRPr="0078589D" w:rsidRDefault="00665013" w:rsidP="004601B0">
      <w:pPr>
        <w:spacing w:line="480" w:lineRule="auto"/>
        <w:jc w:val="both"/>
        <w:rPr>
          <w:sz w:val="22"/>
          <w:szCs w:val="22"/>
        </w:rPr>
      </w:pPr>
      <w:r w:rsidRPr="0078589D">
        <w:rPr>
          <w:color w:val="000000" w:themeColor="text1"/>
          <w:sz w:val="22"/>
          <w:szCs w:val="22"/>
        </w:rPr>
        <w:t>Elecsys BRAHMS PCT assay</w:t>
      </w:r>
      <w:r w:rsidR="00C12A5A">
        <w:rPr>
          <w:color w:val="000000" w:themeColor="text1"/>
          <w:sz w:val="22"/>
          <w:szCs w:val="22"/>
        </w:rPr>
        <w:t xml:space="preserve"> was used to measure PCT,</w:t>
      </w:r>
      <w:r w:rsidRPr="0078589D">
        <w:rPr>
          <w:color w:val="000000" w:themeColor="text1"/>
          <w:sz w:val="22"/>
          <w:szCs w:val="22"/>
        </w:rPr>
        <w:t xml:space="preserve"> with a </w:t>
      </w:r>
      <w:r w:rsidR="00C12A5A">
        <w:rPr>
          <w:color w:val="000000" w:themeColor="text1"/>
          <w:sz w:val="22"/>
          <w:szCs w:val="22"/>
        </w:rPr>
        <w:t>level</w:t>
      </w:r>
      <w:r w:rsidRPr="0078589D">
        <w:rPr>
          <w:color w:val="000000" w:themeColor="text1"/>
          <w:sz w:val="22"/>
          <w:szCs w:val="22"/>
        </w:rPr>
        <w:t xml:space="preserve"> &lt;0.25ng/ml considered normal for non-intensive care unit (ICU) patients and a </w:t>
      </w:r>
      <w:r w:rsidR="00C12A5A">
        <w:rPr>
          <w:color w:val="000000" w:themeColor="text1"/>
          <w:sz w:val="22"/>
          <w:szCs w:val="22"/>
        </w:rPr>
        <w:t>level</w:t>
      </w:r>
      <w:r w:rsidRPr="0078589D">
        <w:rPr>
          <w:color w:val="000000" w:themeColor="text1"/>
          <w:sz w:val="22"/>
          <w:szCs w:val="22"/>
        </w:rPr>
        <w:t xml:space="preserve"> &lt;0.5ng/ml considered normal for ICU patients.</w:t>
      </w:r>
      <w:r w:rsidRPr="0078589D">
        <w:rPr>
          <w:bCs/>
          <w:color w:val="000000" w:themeColor="text1"/>
          <w:sz w:val="22"/>
          <w:szCs w:val="22"/>
          <w:shd w:val="clear" w:color="auto" w:fill="FFFFFF"/>
          <w:vertAlign w:val="superscript"/>
        </w:rPr>
        <w:t>1</w:t>
      </w:r>
      <w:r w:rsidR="00E1159F">
        <w:rPr>
          <w:bCs/>
          <w:color w:val="000000" w:themeColor="text1"/>
          <w:sz w:val="22"/>
          <w:szCs w:val="22"/>
          <w:shd w:val="clear" w:color="auto" w:fill="FFFFFF"/>
          <w:vertAlign w:val="superscript"/>
        </w:rPr>
        <w:t>0,19,</w:t>
      </w:r>
      <w:r w:rsidRPr="0078589D">
        <w:rPr>
          <w:bCs/>
          <w:color w:val="000000" w:themeColor="text1"/>
          <w:sz w:val="22"/>
          <w:szCs w:val="22"/>
          <w:shd w:val="clear" w:color="auto" w:fill="FFFFFF"/>
          <w:vertAlign w:val="superscript"/>
        </w:rPr>
        <w:t>,</w:t>
      </w:r>
      <w:r w:rsidR="00E1159F">
        <w:rPr>
          <w:bCs/>
          <w:color w:val="000000" w:themeColor="text1"/>
          <w:sz w:val="22"/>
          <w:szCs w:val="22"/>
          <w:shd w:val="clear" w:color="auto" w:fill="FFFFFF"/>
          <w:vertAlign w:val="superscript"/>
        </w:rPr>
        <w:t>20</w:t>
      </w:r>
      <w:r w:rsidRPr="0078589D">
        <w:rPr>
          <w:color w:val="000000" w:themeColor="text1"/>
          <w:sz w:val="22"/>
          <w:szCs w:val="22"/>
        </w:rPr>
        <w:t xml:space="preserve">  </w:t>
      </w:r>
    </w:p>
    <w:p w14:paraId="1C35E21E" w14:textId="7AB16BCC" w:rsidR="001F64AA" w:rsidRPr="0078589D" w:rsidRDefault="001F64AA" w:rsidP="004601B0">
      <w:pPr>
        <w:spacing w:line="480" w:lineRule="auto"/>
        <w:jc w:val="both"/>
        <w:rPr>
          <w:color w:val="1C1D1E"/>
          <w:sz w:val="22"/>
          <w:szCs w:val="22"/>
        </w:rPr>
      </w:pPr>
    </w:p>
    <w:p w14:paraId="038169E6" w14:textId="730172B8" w:rsidR="00753C68" w:rsidRPr="0078589D" w:rsidRDefault="00753C68" w:rsidP="004601B0">
      <w:pPr>
        <w:spacing w:line="480" w:lineRule="auto"/>
        <w:jc w:val="both"/>
        <w:rPr>
          <w:color w:val="000000" w:themeColor="text1"/>
          <w:sz w:val="22"/>
          <w:szCs w:val="22"/>
        </w:rPr>
      </w:pPr>
      <w:r w:rsidRPr="0078589D">
        <w:rPr>
          <w:color w:val="000000" w:themeColor="text1"/>
          <w:sz w:val="22"/>
          <w:szCs w:val="22"/>
        </w:rPr>
        <w:t>The placentas were sent for histopatholog</w:t>
      </w:r>
      <w:r w:rsidR="00A61E40" w:rsidRPr="0078589D">
        <w:rPr>
          <w:color w:val="000000" w:themeColor="text1"/>
          <w:sz w:val="22"/>
          <w:szCs w:val="22"/>
        </w:rPr>
        <w:t xml:space="preserve">ical </w:t>
      </w:r>
      <w:r w:rsidR="00C12A5A">
        <w:rPr>
          <w:color w:val="000000" w:themeColor="text1"/>
          <w:sz w:val="22"/>
          <w:szCs w:val="22"/>
        </w:rPr>
        <w:t>examination</w:t>
      </w:r>
      <w:r w:rsidRPr="0078589D">
        <w:rPr>
          <w:color w:val="000000" w:themeColor="text1"/>
          <w:sz w:val="22"/>
          <w:szCs w:val="22"/>
        </w:rPr>
        <w:t xml:space="preserve"> by a consultant perinatal pathologist,</w:t>
      </w:r>
      <w:r w:rsidR="00E1159F">
        <w:rPr>
          <w:bCs/>
          <w:color w:val="000000" w:themeColor="text1"/>
          <w:sz w:val="22"/>
          <w:szCs w:val="22"/>
          <w:shd w:val="clear" w:color="auto" w:fill="FFFFFF"/>
          <w:vertAlign w:val="superscript"/>
        </w:rPr>
        <w:t>10</w:t>
      </w:r>
      <w:r w:rsidRPr="0078589D">
        <w:rPr>
          <w:color w:val="000000" w:themeColor="text1"/>
          <w:sz w:val="22"/>
          <w:szCs w:val="22"/>
        </w:rPr>
        <w:t xml:space="preserve"> who scored </w:t>
      </w:r>
      <w:r w:rsidR="00A61E40" w:rsidRPr="0078589D">
        <w:rPr>
          <w:color w:val="000000" w:themeColor="text1"/>
          <w:sz w:val="22"/>
          <w:szCs w:val="22"/>
        </w:rPr>
        <w:t>any inflammation present using published criteria.</w:t>
      </w:r>
      <w:r w:rsidR="00E1159F">
        <w:rPr>
          <w:bCs/>
          <w:color w:val="000000" w:themeColor="text1"/>
          <w:sz w:val="22"/>
          <w:szCs w:val="22"/>
          <w:shd w:val="clear" w:color="auto" w:fill="FFFFFF"/>
          <w:vertAlign w:val="superscript"/>
        </w:rPr>
        <w:t>21</w:t>
      </w:r>
      <w:r w:rsidRPr="0078589D">
        <w:rPr>
          <w:color w:val="000000" w:themeColor="text1"/>
          <w:sz w:val="22"/>
          <w:szCs w:val="22"/>
        </w:rPr>
        <w:t xml:space="preserve"> The staging and grading of chorioamnionitis was </w:t>
      </w:r>
      <w:r w:rsidR="00A61E40" w:rsidRPr="0078589D">
        <w:rPr>
          <w:color w:val="000000" w:themeColor="text1"/>
          <w:sz w:val="22"/>
          <w:szCs w:val="22"/>
        </w:rPr>
        <w:t xml:space="preserve">scored </w:t>
      </w:r>
      <w:r w:rsidR="00C12A5A">
        <w:rPr>
          <w:color w:val="000000" w:themeColor="text1"/>
          <w:sz w:val="22"/>
          <w:szCs w:val="22"/>
        </w:rPr>
        <w:t xml:space="preserve">out of a maximum of 24, </w:t>
      </w:r>
      <w:r w:rsidR="00A61E40" w:rsidRPr="0078589D">
        <w:rPr>
          <w:color w:val="000000" w:themeColor="text1"/>
          <w:sz w:val="22"/>
          <w:szCs w:val="22"/>
        </w:rPr>
        <w:t>using the following criteria</w:t>
      </w:r>
      <w:r w:rsidRPr="0078589D">
        <w:rPr>
          <w:color w:val="000000" w:themeColor="text1"/>
          <w:sz w:val="22"/>
          <w:szCs w:val="22"/>
        </w:rPr>
        <w:t xml:space="preserve">; membranes inflammation stage (maximum 3), membranes inflammation grade (maximum 2), </w:t>
      </w:r>
      <w:r w:rsidR="00C12A5A" w:rsidRPr="0078589D">
        <w:rPr>
          <w:color w:val="000000" w:themeColor="text1"/>
          <w:sz w:val="22"/>
          <w:szCs w:val="22"/>
        </w:rPr>
        <w:t>chorionic plate inflammation stage (maximum 3), chorionic plate inflammation grade (maximum 3),</w:t>
      </w:r>
      <w:r w:rsidR="00C12A5A">
        <w:rPr>
          <w:color w:val="000000" w:themeColor="text1"/>
          <w:sz w:val="22"/>
          <w:szCs w:val="22"/>
        </w:rPr>
        <w:t xml:space="preserve"> </w:t>
      </w:r>
      <w:r w:rsidRPr="0078589D">
        <w:rPr>
          <w:color w:val="000000" w:themeColor="text1"/>
          <w:sz w:val="22"/>
          <w:szCs w:val="22"/>
        </w:rPr>
        <w:t>chorionic vasculitis stage (maximum 3), chorionic vasculitis grade (maximum 3), villitis (maximum 1)</w:t>
      </w:r>
      <w:r w:rsidR="00C12A5A">
        <w:rPr>
          <w:color w:val="000000" w:themeColor="text1"/>
          <w:sz w:val="22"/>
          <w:szCs w:val="22"/>
        </w:rPr>
        <w:t>,</w:t>
      </w:r>
      <w:r w:rsidRPr="0078589D">
        <w:rPr>
          <w:color w:val="000000" w:themeColor="text1"/>
          <w:sz w:val="22"/>
          <w:szCs w:val="22"/>
        </w:rPr>
        <w:t xml:space="preserve"> intervillositis score (maximum 1)</w:t>
      </w:r>
      <w:r w:rsidR="00C12A5A">
        <w:rPr>
          <w:color w:val="000000" w:themeColor="text1"/>
          <w:sz w:val="22"/>
          <w:szCs w:val="22"/>
        </w:rPr>
        <w:t>,</w:t>
      </w:r>
      <w:r w:rsidR="00C12A5A" w:rsidRPr="00C12A5A">
        <w:rPr>
          <w:color w:val="000000" w:themeColor="text1"/>
          <w:sz w:val="22"/>
          <w:szCs w:val="22"/>
        </w:rPr>
        <w:t xml:space="preserve"> </w:t>
      </w:r>
      <w:r w:rsidR="00C12A5A" w:rsidRPr="0078589D">
        <w:rPr>
          <w:color w:val="000000" w:themeColor="text1"/>
          <w:sz w:val="22"/>
          <w:szCs w:val="22"/>
        </w:rPr>
        <w:t>umbilical cord inflammation stage (maximum 3)</w:t>
      </w:r>
      <w:r w:rsidR="00C12A5A">
        <w:rPr>
          <w:color w:val="000000" w:themeColor="text1"/>
          <w:sz w:val="22"/>
          <w:szCs w:val="22"/>
        </w:rPr>
        <w:t xml:space="preserve"> and </w:t>
      </w:r>
      <w:r w:rsidR="00C12A5A" w:rsidRPr="0078589D">
        <w:rPr>
          <w:color w:val="000000" w:themeColor="text1"/>
          <w:sz w:val="22"/>
          <w:szCs w:val="22"/>
        </w:rPr>
        <w:t>umbilical cord inflammation grade (maximum 2)</w:t>
      </w:r>
      <w:r w:rsidRPr="0078589D">
        <w:rPr>
          <w:color w:val="000000" w:themeColor="text1"/>
          <w:sz w:val="22"/>
          <w:szCs w:val="22"/>
        </w:rPr>
        <w:t>.</w:t>
      </w:r>
      <w:r w:rsidR="00E1159F">
        <w:rPr>
          <w:bCs/>
          <w:color w:val="000000" w:themeColor="text1"/>
          <w:sz w:val="22"/>
          <w:szCs w:val="22"/>
          <w:shd w:val="clear" w:color="auto" w:fill="FFFFFF"/>
          <w:vertAlign w:val="superscript"/>
        </w:rPr>
        <w:t>10,22</w:t>
      </w:r>
      <w:r w:rsidR="00F5163A" w:rsidRPr="0078589D">
        <w:rPr>
          <w:bCs/>
          <w:color w:val="000000" w:themeColor="text1"/>
          <w:sz w:val="22"/>
          <w:szCs w:val="22"/>
          <w:shd w:val="clear" w:color="auto" w:fill="FFFFFF"/>
          <w:vertAlign w:val="superscript"/>
        </w:rPr>
        <w:t>,</w:t>
      </w:r>
      <w:r w:rsidR="009A65C5">
        <w:rPr>
          <w:bCs/>
          <w:color w:val="000000" w:themeColor="text1"/>
          <w:sz w:val="22"/>
          <w:szCs w:val="22"/>
          <w:shd w:val="clear" w:color="auto" w:fill="FFFFFF"/>
          <w:vertAlign w:val="superscript"/>
        </w:rPr>
        <w:t>2</w:t>
      </w:r>
      <w:r w:rsidR="00E1159F">
        <w:rPr>
          <w:bCs/>
          <w:color w:val="000000" w:themeColor="text1"/>
          <w:sz w:val="22"/>
          <w:szCs w:val="22"/>
          <w:shd w:val="clear" w:color="auto" w:fill="FFFFFF"/>
          <w:vertAlign w:val="superscript"/>
        </w:rPr>
        <w:t>3</w:t>
      </w:r>
      <w:r w:rsidRPr="0078589D">
        <w:rPr>
          <w:color w:val="000000" w:themeColor="text1"/>
          <w:sz w:val="22"/>
          <w:szCs w:val="22"/>
        </w:rPr>
        <w:t xml:space="preserve">  </w:t>
      </w:r>
    </w:p>
    <w:p w14:paraId="66A7EE16" w14:textId="77777777" w:rsidR="00753C68" w:rsidRPr="0078589D" w:rsidRDefault="00753C68" w:rsidP="004601B0">
      <w:pPr>
        <w:spacing w:line="480" w:lineRule="auto"/>
        <w:jc w:val="both"/>
        <w:rPr>
          <w:color w:val="1C1D1E"/>
          <w:sz w:val="22"/>
          <w:szCs w:val="22"/>
        </w:rPr>
      </w:pPr>
    </w:p>
    <w:p w14:paraId="1FC93CE9" w14:textId="1F6D2BED" w:rsidR="001F64AA" w:rsidRPr="0078589D" w:rsidRDefault="00C12A5A" w:rsidP="004601B0">
      <w:pPr>
        <w:spacing w:line="480" w:lineRule="auto"/>
        <w:jc w:val="both"/>
        <w:rPr>
          <w:color w:val="1C1D1E"/>
          <w:sz w:val="22"/>
          <w:szCs w:val="22"/>
        </w:rPr>
      </w:pPr>
      <w:r>
        <w:rPr>
          <w:color w:val="1C1D1E"/>
          <w:sz w:val="22"/>
          <w:szCs w:val="22"/>
        </w:rPr>
        <w:t>Neonatal infection c</w:t>
      </w:r>
      <w:r w:rsidR="001F64AA" w:rsidRPr="0078589D">
        <w:rPr>
          <w:color w:val="1C1D1E"/>
          <w:sz w:val="22"/>
          <w:szCs w:val="22"/>
        </w:rPr>
        <w:t xml:space="preserve">linical markers were identified by reviewing neonatal records. </w:t>
      </w:r>
      <w:r>
        <w:rPr>
          <w:color w:val="1C1D1E"/>
          <w:sz w:val="22"/>
          <w:szCs w:val="22"/>
        </w:rPr>
        <w:t>N</w:t>
      </w:r>
      <w:r w:rsidR="001F64AA" w:rsidRPr="0078589D">
        <w:rPr>
          <w:color w:val="1C1D1E"/>
          <w:sz w:val="22"/>
          <w:szCs w:val="22"/>
        </w:rPr>
        <w:t xml:space="preserve">eonatal variables reviewed </w:t>
      </w:r>
      <w:r>
        <w:rPr>
          <w:color w:val="1C1D1E"/>
          <w:sz w:val="22"/>
          <w:szCs w:val="22"/>
        </w:rPr>
        <w:t>included gender,</w:t>
      </w:r>
      <w:r w:rsidR="001F64AA" w:rsidRPr="0078589D">
        <w:rPr>
          <w:color w:val="1C1D1E"/>
          <w:sz w:val="22"/>
          <w:szCs w:val="22"/>
        </w:rPr>
        <w:t xml:space="preserve"> birth weight, neonatal </w:t>
      </w:r>
      <w:r>
        <w:rPr>
          <w:color w:val="1C1D1E"/>
          <w:sz w:val="22"/>
          <w:szCs w:val="22"/>
        </w:rPr>
        <w:t xml:space="preserve">antibiotic </w:t>
      </w:r>
      <w:r w:rsidR="001F64AA" w:rsidRPr="0078589D">
        <w:rPr>
          <w:color w:val="1C1D1E"/>
          <w:sz w:val="22"/>
          <w:szCs w:val="22"/>
        </w:rPr>
        <w:t xml:space="preserve">course and length of </w:t>
      </w:r>
      <w:r>
        <w:rPr>
          <w:color w:val="1C1D1E"/>
          <w:sz w:val="22"/>
          <w:szCs w:val="22"/>
        </w:rPr>
        <w:t xml:space="preserve">hospital </w:t>
      </w:r>
      <w:r w:rsidR="001F64AA" w:rsidRPr="0078589D">
        <w:rPr>
          <w:color w:val="1C1D1E"/>
          <w:sz w:val="22"/>
          <w:szCs w:val="22"/>
        </w:rPr>
        <w:t>stay.</w:t>
      </w:r>
      <w:r w:rsidR="00E1159F">
        <w:rPr>
          <w:bCs/>
          <w:color w:val="000000" w:themeColor="text1"/>
          <w:sz w:val="22"/>
          <w:szCs w:val="22"/>
          <w:shd w:val="clear" w:color="auto" w:fill="FFFFFF"/>
          <w:vertAlign w:val="superscript"/>
        </w:rPr>
        <w:t>10</w:t>
      </w:r>
      <w:r w:rsidR="001F64AA" w:rsidRPr="0078589D">
        <w:rPr>
          <w:color w:val="1C1D1E"/>
          <w:sz w:val="22"/>
          <w:szCs w:val="22"/>
        </w:rPr>
        <w:t xml:space="preserve"> Risk factors for intrapartum pyrexia reviewed were, fetal blood samples, induction or augmentation of labour, </w:t>
      </w:r>
      <w:r w:rsidRPr="0078589D">
        <w:rPr>
          <w:color w:val="1C1D1E"/>
          <w:sz w:val="22"/>
          <w:szCs w:val="22"/>
        </w:rPr>
        <w:t xml:space="preserve">epidurals, </w:t>
      </w:r>
      <w:r w:rsidR="001F64AA" w:rsidRPr="0078589D">
        <w:rPr>
          <w:color w:val="1C1D1E"/>
          <w:sz w:val="22"/>
          <w:szCs w:val="22"/>
        </w:rPr>
        <w:lastRenderedPageBreak/>
        <w:t xml:space="preserve">mean time from </w:t>
      </w:r>
      <w:r>
        <w:rPr>
          <w:color w:val="1C1D1E"/>
          <w:sz w:val="22"/>
          <w:szCs w:val="22"/>
        </w:rPr>
        <w:t xml:space="preserve">membrane </w:t>
      </w:r>
      <w:r w:rsidR="001F64AA" w:rsidRPr="0078589D">
        <w:rPr>
          <w:color w:val="1C1D1E"/>
          <w:sz w:val="22"/>
          <w:szCs w:val="22"/>
        </w:rPr>
        <w:t>rupture to delivery and mode of delivery.</w:t>
      </w:r>
      <w:r w:rsidR="00E1159F">
        <w:rPr>
          <w:bCs/>
          <w:color w:val="000000" w:themeColor="text1"/>
          <w:sz w:val="22"/>
          <w:szCs w:val="22"/>
          <w:shd w:val="clear" w:color="auto" w:fill="FFFFFF"/>
          <w:vertAlign w:val="superscript"/>
        </w:rPr>
        <w:t>10</w:t>
      </w:r>
      <w:r w:rsidR="001F64AA" w:rsidRPr="0078589D">
        <w:rPr>
          <w:color w:val="1C1D1E"/>
          <w:sz w:val="22"/>
          <w:szCs w:val="22"/>
        </w:rPr>
        <w:t xml:space="preserve"> A</w:t>
      </w:r>
      <w:r>
        <w:rPr>
          <w:color w:val="1C1D1E"/>
          <w:sz w:val="22"/>
          <w:szCs w:val="22"/>
        </w:rPr>
        <w:t xml:space="preserve"> dedicated database was use to record and store all</w:t>
      </w:r>
      <w:r w:rsidR="001F64AA" w:rsidRPr="0078589D">
        <w:rPr>
          <w:color w:val="1C1D1E"/>
          <w:sz w:val="22"/>
          <w:szCs w:val="22"/>
        </w:rPr>
        <w:t xml:space="preserve"> information</w:t>
      </w:r>
      <w:r>
        <w:rPr>
          <w:color w:val="1C1D1E"/>
          <w:sz w:val="22"/>
          <w:szCs w:val="22"/>
        </w:rPr>
        <w:t>.</w:t>
      </w:r>
    </w:p>
    <w:p w14:paraId="0632675A" w14:textId="77777777" w:rsidR="001F64AA" w:rsidRPr="0078589D" w:rsidRDefault="001F64AA" w:rsidP="004601B0">
      <w:pPr>
        <w:spacing w:line="480" w:lineRule="auto"/>
        <w:jc w:val="both"/>
        <w:rPr>
          <w:color w:val="1C1D1E"/>
          <w:sz w:val="22"/>
          <w:szCs w:val="22"/>
        </w:rPr>
      </w:pPr>
    </w:p>
    <w:p w14:paraId="56B39DB8" w14:textId="1FBC4988" w:rsidR="001F64AA" w:rsidRPr="0078589D" w:rsidRDefault="001F64AA" w:rsidP="004601B0">
      <w:pPr>
        <w:spacing w:line="480" w:lineRule="auto"/>
        <w:jc w:val="both"/>
        <w:rPr>
          <w:color w:val="1C1D1E"/>
          <w:sz w:val="22"/>
          <w:szCs w:val="22"/>
        </w:rPr>
      </w:pPr>
      <w:r w:rsidRPr="0078589D">
        <w:rPr>
          <w:color w:val="1C1D1E"/>
          <w:sz w:val="22"/>
          <w:szCs w:val="22"/>
        </w:rPr>
        <w:t xml:space="preserve">The neonates were divided into three categories of </w:t>
      </w:r>
      <w:r w:rsidR="00F5163A" w:rsidRPr="0078589D">
        <w:rPr>
          <w:color w:val="1C1D1E"/>
          <w:sz w:val="22"/>
          <w:szCs w:val="22"/>
        </w:rPr>
        <w:t>‘high-suspicion BS,’ ‘equivocal BS’ and ‘low</w:t>
      </w:r>
      <w:r w:rsidR="00776294" w:rsidRPr="0078589D">
        <w:rPr>
          <w:color w:val="1C1D1E"/>
          <w:sz w:val="22"/>
          <w:szCs w:val="22"/>
        </w:rPr>
        <w:t>-</w:t>
      </w:r>
      <w:r w:rsidR="00F5163A" w:rsidRPr="0078589D">
        <w:rPr>
          <w:color w:val="1C1D1E"/>
          <w:sz w:val="22"/>
          <w:szCs w:val="22"/>
        </w:rPr>
        <w:t>suspicion BS,’ using a composite of clinical features</w:t>
      </w:r>
      <w:r w:rsidR="003267AA">
        <w:rPr>
          <w:color w:val="1C1D1E"/>
          <w:sz w:val="22"/>
          <w:szCs w:val="22"/>
        </w:rPr>
        <w:t xml:space="preserve"> (fetal </w:t>
      </w:r>
      <w:r w:rsidR="00C12A5A">
        <w:rPr>
          <w:color w:val="1C1D1E"/>
          <w:sz w:val="22"/>
          <w:szCs w:val="22"/>
        </w:rPr>
        <w:t xml:space="preserve">temperature, </w:t>
      </w:r>
      <w:r w:rsidR="003267AA">
        <w:rPr>
          <w:color w:val="1C1D1E"/>
          <w:sz w:val="22"/>
          <w:szCs w:val="22"/>
        </w:rPr>
        <w:t>tachycardia, respiratory distress, poor feeding)</w:t>
      </w:r>
      <w:r w:rsidR="00F5163A" w:rsidRPr="0078589D">
        <w:rPr>
          <w:color w:val="1C1D1E"/>
          <w:sz w:val="22"/>
          <w:szCs w:val="22"/>
        </w:rPr>
        <w:t xml:space="preserve">, </w:t>
      </w:r>
      <w:r w:rsidR="007B219A">
        <w:rPr>
          <w:color w:val="1C1D1E"/>
          <w:sz w:val="22"/>
          <w:szCs w:val="22"/>
        </w:rPr>
        <w:t xml:space="preserve">Kaiser </w:t>
      </w:r>
      <w:r w:rsidR="00F5163A" w:rsidRPr="0078589D">
        <w:rPr>
          <w:color w:val="000000" w:themeColor="text1"/>
          <w:sz w:val="22"/>
          <w:szCs w:val="22"/>
        </w:rPr>
        <w:t>neonatal early-onset sepsis calculator</w:t>
      </w:r>
      <w:r w:rsidR="003267AA">
        <w:rPr>
          <w:color w:val="000000" w:themeColor="text1"/>
          <w:sz w:val="22"/>
          <w:szCs w:val="22"/>
        </w:rPr>
        <w:t xml:space="preserve"> (takes into account highest maternal antepartum temperature, intrapartum antibiotics, maternal GBS status, length of rupture of membranes)</w:t>
      </w:r>
      <w:r w:rsidR="009A65C5">
        <w:rPr>
          <w:bCs/>
          <w:color w:val="000000" w:themeColor="text1"/>
          <w:sz w:val="22"/>
          <w:szCs w:val="22"/>
          <w:shd w:val="clear" w:color="auto" w:fill="FFFFFF"/>
          <w:vertAlign w:val="superscript"/>
        </w:rPr>
        <w:t>2</w:t>
      </w:r>
      <w:r w:rsidR="00E1159F">
        <w:rPr>
          <w:bCs/>
          <w:color w:val="000000" w:themeColor="text1"/>
          <w:sz w:val="22"/>
          <w:szCs w:val="22"/>
          <w:shd w:val="clear" w:color="auto" w:fill="FFFFFF"/>
          <w:vertAlign w:val="superscript"/>
        </w:rPr>
        <w:t>3</w:t>
      </w:r>
      <w:r w:rsidR="009566DD" w:rsidRPr="0078589D">
        <w:rPr>
          <w:bCs/>
          <w:color w:val="000000" w:themeColor="text1"/>
          <w:sz w:val="22"/>
          <w:szCs w:val="22"/>
          <w:shd w:val="clear" w:color="auto" w:fill="FFFFFF"/>
          <w:vertAlign w:val="superscript"/>
        </w:rPr>
        <w:t>,</w:t>
      </w:r>
      <w:r w:rsidR="009A65C5">
        <w:rPr>
          <w:bCs/>
          <w:color w:val="000000" w:themeColor="text1"/>
          <w:sz w:val="22"/>
          <w:szCs w:val="22"/>
          <w:shd w:val="clear" w:color="auto" w:fill="FFFFFF"/>
          <w:vertAlign w:val="superscript"/>
        </w:rPr>
        <w:t>2</w:t>
      </w:r>
      <w:r w:rsidR="00E1159F">
        <w:rPr>
          <w:bCs/>
          <w:color w:val="000000" w:themeColor="text1"/>
          <w:sz w:val="22"/>
          <w:szCs w:val="22"/>
          <w:shd w:val="clear" w:color="auto" w:fill="FFFFFF"/>
          <w:vertAlign w:val="superscript"/>
        </w:rPr>
        <w:t>4</w:t>
      </w:r>
      <w:r w:rsidRPr="0078589D">
        <w:rPr>
          <w:color w:val="000000" w:themeColor="text1"/>
          <w:sz w:val="22"/>
          <w:szCs w:val="22"/>
        </w:rPr>
        <w:t xml:space="preserve"> and </w:t>
      </w:r>
      <w:r w:rsidR="00C12A5A">
        <w:rPr>
          <w:color w:val="000000" w:themeColor="text1"/>
          <w:sz w:val="22"/>
          <w:szCs w:val="22"/>
        </w:rPr>
        <w:t xml:space="preserve">results of </w:t>
      </w:r>
      <w:r w:rsidRPr="0078589D">
        <w:rPr>
          <w:color w:val="000000" w:themeColor="text1"/>
          <w:sz w:val="22"/>
          <w:szCs w:val="22"/>
        </w:rPr>
        <w:t>investigation</w:t>
      </w:r>
      <w:r w:rsidR="00C12A5A">
        <w:rPr>
          <w:color w:val="000000" w:themeColor="text1"/>
          <w:sz w:val="22"/>
          <w:szCs w:val="22"/>
        </w:rPr>
        <w:t>s</w:t>
      </w:r>
      <w:r w:rsidRPr="0078589D">
        <w:rPr>
          <w:color w:val="000000" w:themeColor="text1"/>
          <w:sz w:val="22"/>
          <w:szCs w:val="22"/>
        </w:rPr>
        <w:t xml:space="preserve"> </w:t>
      </w:r>
      <w:r w:rsidR="003267AA">
        <w:rPr>
          <w:color w:val="1C1D1E"/>
          <w:sz w:val="22"/>
          <w:szCs w:val="22"/>
        </w:rPr>
        <w:t>(biomarkers, microbiology)</w:t>
      </w:r>
      <w:r w:rsidRPr="0078589D">
        <w:rPr>
          <w:color w:val="1C1D1E"/>
          <w:sz w:val="22"/>
          <w:szCs w:val="22"/>
        </w:rPr>
        <w:t xml:space="preserve">.  </w:t>
      </w:r>
      <w:r w:rsidR="00C12A5A">
        <w:rPr>
          <w:color w:val="1C1D1E"/>
          <w:sz w:val="22"/>
          <w:szCs w:val="22"/>
        </w:rPr>
        <w:t>C</w:t>
      </w:r>
      <w:r w:rsidRPr="0078589D">
        <w:rPr>
          <w:color w:val="1C1D1E"/>
          <w:sz w:val="22"/>
          <w:szCs w:val="22"/>
        </w:rPr>
        <w:t xml:space="preserve">ategorisation was carried out by three clinicians blinded to each other and PCT results. </w:t>
      </w:r>
      <w:r w:rsidR="003267AA">
        <w:rPr>
          <w:color w:val="1C1D1E"/>
          <w:sz w:val="22"/>
          <w:szCs w:val="22"/>
        </w:rPr>
        <w:t xml:space="preserve">No disagreement in categorisation was found. </w:t>
      </w:r>
      <w:r w:rsidRPr="0078589D">
        <w:rPr>
          <w:color w:val="1C1D1E"/>
          <w:sz w:val="22"/>
          <w:szCs w:val="22"/>
        </w:rPr>
        <w:t xml:space="preserve">The </w:t>
      </w:r>
      <w:r w:rsidR="00C12A5A">
        <w:rPr>
          <w:color w:val="1C1D1E"/>
          <w:sz w:val="22"/>
          <w:szCs w:val="22"/>
        </w:rPr>
        <w:t xml:space="preserve">perinatal pathologist who performed the </w:t>
      </w:r>
      <w:r w:rsidRPr="0078589D">
        <w:rPr>
          <w:color w:val="1C1D1E"/>
          <w:sz w:val="22"/>
          <w:szCs w:val="22"/>
        </w:rPr>
        <w:t>histopatholog</w:t>
      </w:r>
      <w:r w:rsidR="00C12A5A">
        <w:rPr>
          <w:color w:val="1C1D1E"/>
          <w:sz w:val="22"/>
          <w:szCs w:val="22"/>
        </w:rPr>
        <w:t>ical assessment</w:t>
      </w:r>
      <w:r w:rsidRPr="0078589D">
        <w:rPr>
          <w:color w:val="1C1D1E"/>
          <w:sz w:val="22"/>
          <w:szCs w:val="22"/>
        </w:rPr>
        <w:t xml:space="preserve"> </w:t>
      </w:r>
      <w:r w:rsidR="00C12A5A">
        <w:rPr>
          <w:color w:val="1C1D1E"/>
          <w:sz w:val="22"/>
          <w:szCs w:val="22"/>
        </w:rPr>
        <w:t>o</w:t>
      </w:r>
      <w:r w:rsidRPr="0078589D">
        <w:rPr>
          <w:color w:val="1C1D1E"/>
          <w:sz w:val="22"/>
          <w:szCs w:val="22"/>
        </w:rPr>
        <w:t>f the placenta</w:t>
      </w:r>
      <w:r w:rsidR="00C12A5A">
        <w:rPr>
          <w:color w:val="1C1D1E"/>
          <w:sz w:val="22"/>
          <w:szCs w:val="22"/>
        </w:rPr>
        <w:t>s</w:t>
      </w:r>
      <w:r w:rsidRPr="0078589D">
        <w:rPr>
          <w:color w:val="1C1D1E"/>
          <w:sz w:val="22"/>
          <w:szCs w:val="22"/>
        </w:rPr>
        <w:t xml:space="preserve"> was </w:t>
      </w:r>
      <w:r w:rsidR="00C12A5A">
        <w:rPr>
          <w:color w:val="1C1D1E"/>
          <w:sz w:val="22"/>
          <w:szCs w:val="22"/>
        </w:rPr>
        <w:t>also</w:t>
      </w:r>
      <w:r w:rsidR="00F5163A" w:rsidRPr="0078589D">
        <w:rPr>
          <w:color w:val="1C1D1E"/>
          <w:sz w:val="22"/>
          <w:szCs w:val="22"/>
        </w:rPr>
        <w:t xml:space="preserve"> blinded to clinical findings.</w:t>
      </w:r>
      <w:r w:rsidR="00E1159F">
        <w:rPr>
          <w:bCs/>
          <w:color w:val="000000" w:themeColor="text1"/>
          <w:sz w:val="22"/>
          <w:szCs w:val="22"/>
          <w:shd w:val="clear" w:color="auto" w:fill="FFFFFF"/>
          <w:vertAlign w:val="superscript"/>
        </w:rPr>
        <w:t>10</w:t>
      </w:r>
      <w:r w:rsidR="00F5163A" w:rsidRPr="0078589D">
        <w:rPr>
          <w:color w:val="1C1D1E"/>
          <w:sz w:val="22"/>
          <w:szCs w:val="22"/>
        </w:rPr>
        <w:t xml:space="preserve"> </w:t>
      </w:r>
      <w:r w:rsidRPr="0078589D">
        <w:rPr>
          <w:color w:val="1C1D1E"/>
          <w:sz w:val="22"/>
          <w:szCs w:val="22"/>
        </w:rPr>
        <w:t xml:space="preserve"> </w:t>
      </w:r>
    </w:p>
    <w:p w14:paraId="43B67442" w14:textId="77777777" w:rsidR="001F64AA" w:rsidRPr="0078589D" w:rsidRDefault="001F64AA" w:rsidP="004601B0">
      <w:pPr>
        <w:spacing w:line="480" w:lineRule="auto"/>
        <w:jc w:val="both"/>
        <w:rPr>
          <w:color w:val="1C1D1E"/>
          <w:sz w:val="22"/>
          <w:szCs w:val="22"/>
        </w:rPr>
      </w:pPr>
    </w:p>
    <w:p w14:paraId="04FCA942" w14:textId="06B33462" w:rsidR="00D33DED" w:rsidRPr="00C12A5A" w:rsidRDefault="00C12A5A" w:rsidP="004601B0">
      <w:pPr>
        <w:spacing w:line="480" w:lineRule="auto"/>
        <w:jc w:val="both"/>
        <w:rPr>
          <w:color w:val="000000" w:themeColor="text1"/>
          <w:sz w:val="22"/>
          <w:szCs w:val="22"/>
        </w:rPr>
      </w:pPr>
      <w:r w:rsidRPr="00C12A5A">
        <w:rPr>
          <w:color w:val="000000" w:themeColor="text1"/>
          <w:sz w:val="22"/>
          <w:szCs w:val="22"/>
        </w:rPr>
        <w:t>Statistical analysis was performed using t</w:t>
      </w:r>
      <w:r w:rsidR="001F64AA" w:rsidRPr="00C12A5A">
        <w:rPr>
          <w:color w:val="000000" w:themeColor="text1"/>
          <w:sz w:val="22"/>
          <w:szCs w:val="22"/>
        </w:rPr>
        <w:t xml:space="preserve">he Kruskal-Wallis test to correlate each </w:t>
      </w:r>
      <w:r w:rsidRPr="00C12A5A">
        <w:rPr>
          <w:color w:val="000000" w:themeColor="text1"/>
          <w:sz w:val="22"/>
          <w:szCs w:val="22"/>
        </w:rPr>
        <w:t xml:space="preserve">biomarker and placental histopathological score with </w:t>
      </w:r>
      <w:r>
        <w:rPr>
          <w:color w:val="000000" w:themeColor="text1"/>
          <w:sz w:val="22"/>
          <w:szCs w:val="22"/>
        </w:rPr>
        <w:t>the three</w:t>
      </w:r>
      <w:r w:rsidRPr="00C12A5A">
        <w:rPr>
          <w:color w:val="000000" w:themeColor="text1"/>
          <w:sz w:val="22"/>
          <w:szCs w:val="22"/>
        </w:rPr>
        <w:t xml:space="preserve"> </w:t>
      </w:r>
      <w:r w:rsidR="001F64AA" w:rsidRPr="00C12A5A">
        <w:rPr>
          <w:color w:val="000000" w:themeColor="text1"/>
          <w:sz w:val="22"/>
          <w:szCs w:val="22"/>
        </w:rPr>
        <w:t>clinical categor</w:t>
      </w:r>
      <w:r>
        <w:rPr>
          <w:color w:val="000000" w:themeColor="text1"/>
          <w:sz w:val="22"/>
          <w:szCs w:val="22"/>
        </w:rPr>
        <w:t>ies</w:t>
      </w:r>
      <w:r w:rsidR="001F64AA" w:rsidRPr="00C12A5A">
        <w:rPr>
          <w:color w:val="000000" w:themeColor="text1"/>
          <w:sz w:val="22"/>
          <w:szCs w:val="22"/>
        </w:rPr>
        <w:t xml:space="preserve">. </w:t>
      </w:r>
      <w:r w:rsidRPr="00C12A5A">
        <w:rPr>
          <w:color w:val="000000" w:themeColor="text1"/>
          <w:sz w:val="22"/>
          <w:szCs w:val="22"/>
        </w:rPr>
        <w:t>P</w:t>
      </w:r>
      <w:r w:rsidR="001F64AA" w:rsidRPr="00C12A5A">
        <w:rPr>
          <w:color w:val="000000" w:themeColor="text1"/>
          <w:sz w:val="22"/>
          <w:szCs w:val="22"/>
        </w:rPr>
        <w:t xml:space="preserve">-value &lt;0.05 was considered significant. </w:t>
      </w:r>
      <w:r w:rsidR="00F229DB" w:rsidRPr="00C12A5A">
        <w:rPr>
          <w:color w:val="000000" w:themeColor="text1"/>
          <w:sz w:val="22"/>
          <w:szCs w:val="22"/>
        </w:rPr>
        <w:t>We used the STARD checklist when writing our report.</w:t>
      </w:r>
      <w:r w:rsidR="00E1159F" w:rsidRPr="00C12A5A">
        <w:rPr>
          <w:bCs/>
          <w:color w:val="000000" w:themeColor="text1"/>
          <w:sz w:val="22"/>
          <w:szCs w:val="22"/>
          <w:shd w:val="clear" w:color="auto" w:fill="FFFFFF"/>
          <w:vertAlign w:val="superscript"/>
        </w:rPr>
        <w:t>10,25</w:t>
      </w:r>
      <w:r w:rsidR="00F229DB" w:rsidRPr="00C12A5A">
        <w:rPr>
          <w:color w:val="000000" w:themeColor="text1"/>
          <w:sz w:val="22"/>
          <w:szCs w:val="22"/>
        </w:rPr>
        <w:t xml:space="preserve"> </w:t>
      </w:r>
    </w:p>
    <w:p w14:paraId="5A3E0F4C" w14:textId="77777777" w:rsidR="00E8204B" w:rsidRDefault="00E8204B" w:rsidP="004601B0">
      <w:pPr>
        <w:spacing w:line="480" w:lineRule="auto"/>
        <w:rPr>
          <w:b/>
          <w:bCs/>
          <w:sz w:val="22"/>
          <w:szCs w:val="22"/>
        </w:rPr>
      </w:pPr>
    </w:p>
    <w:p w14:paraId="17838435" w14:textId="10CB1700" w:rsidR="00950088" w:rsidRPr="0078589D" w:rsidRDefault="00950088" w:rsidP="004601B0">
      <w:pPr>
        <w:spacing w:line="480" w:lineRule="auto"/>
        <w:rPr>
          <w:b/>
          <w:bCs/>
          <w:sz w:val="22"/>
          <w:szCs w:val="22"/>
        </w:rPr>
      </w:pPr>
      <w:r w:rsidRPr="0078589D">
        <w:rPr>
          <w:b/>
          <w:bCs/>
          <w:sz w:val="22"/>
          <w:szCs w:val="22"/>
        </w:rPr>
        <w:t>Results</w:t>
      </w:r>
    </w:p>
    <w:p w14:paraId="3B2FD0B2" w14:textId="5D71F7F6" w:rsidR="006C27B5" w:rsidRPr="0078589D" w:rsidRDefault="0073725D" w:rsidP="003267AA">
      <w:pPr>
        <w:autoSpaceDE w:val="0"/>
        <w:autoSpaceDN w:val="0"/>
        <w:adjustRightInd w:val="0"/>
        <w:spacing w:line="480" w:lineRule="auto"/>
        <w:jc w:val="both"/>
        <w:rPr>
          <w:color w:val="1C1D1E"/>
          <w:sz w:val="22"/>
          <w:szCs w:val="22"/>
        </w:rPr>
      </w:pPr>
      <w:r w:rsidRPr="0078589D">
        <w:rPr>
          <w:color w:val="1C1D1E"/>
          <w:sz w:val="22"/>
          <w:szCs w:val="22"/>
        </w:rPr>
        <w:t xml:space="preserve">Table 1 shows </w:t>
      </w:r>
      <w:r w:rsidR="00C12A5A">
        <w:rPr>
          <w:color w:val="1C1D1E"/>
          <w:sz w:val="22"/>
          <w:szCs w:val="22"/>
        </w:rPr>
        <w:t>the</w:t>
      </w:r>
      <w:r w:rsidR="00950088" w:rsidRPr="0078589D">
        <w:rPr>
          <w:color w:val="1C1D1E"/>
          <w:sz w:val="22"/>
          <w:szCs w:val="22"/>
        </w:rPr>
        <w:t xml:space="preserve"> total of 117 neonates included in the study</w:t>
      </w:r>
      <w:r w:rsidR="00C12A5A">
        <w:rPr>
          <w:color w:val="1C1D1E"/>
          <w:sz w:val="22"/>
          <w:szCs w:val="22"/>
        </w:rPr>
        <w:t xml:space="preserve">. </w:t>
      </w:r>
      <w:r w:rsidR="003267AA">
        <w:rPr>
          <w:color w:val="1C1D1E"/>
          <w:sz w:val="22"/>
          <w:szCs w:val="22"/>
        </w:rPr>
        <w:t xml:space="preserve">A previous </w:t>
      </w:r>
      <w:r w:rsidR="00C12A5A">
        <w:rPr>
          <w:color w:val="1C1D1E"/>
          <w:sz w:val="22"/>
          <w:szCs w:val="22"/>
        </w:rPr>
        <w:t xml:space="preserve">departmental </w:t>
      </w:r>
      <w:r w:rsidR="003267AA">
        <w:rPr>
          <w:color w:val="1C1D1E"/>
          <w:sz w:val="22"/>
          <w:szCs w:val="22"/>
        </w:rPr>
        <w:t>audit demonstrated the number of neonates investigated for suspected EOS on our postnatal wards is 13.5%</w:t>
      </w:r>
      <w:r w:rsidR="00E1159F">
        <w:rPr>
          <w:color w:val="1C1D1E"/>
          <w:sz w:val="22"/>
          <w:szCs w:val="22"/>
        </w:rPr>
        <w:t>,</w:t>
      </w:r>
      <w:r w:rsidR="00E1159F">
        <w:rPr>
          <w:bCs/>
          <w:color w:val="000000" w:themeColor="text1"/>
          <w:sz w:val="22"/>
          <w:szCs w:val="22"/>
          <w:shd w:val="clear" w:color="auto" w:fill="FFFFFF"/>
          <w:vertAlign w:val="superscript"/>
        </w:rPr>
        <w:t>10</w:t>
      </w:r>
      <w:r w:rsidR="003267AA">
        <w:rPr>
          <w:color w:val="1C1D1E"/>
          <w:sz w:val="22"/>
          <w:szCs w:val="22"/>
        </w:rPr>
        <w:t xml:space="preserve"> and therefore, we estimated that we included approximately 53% of the cases. </w:t>
      </w:r>
      <w:r w:rsidR="00950088" w:rsidRPr="0078589D">
        <w:rPr>
          <w:color w:val="1C1D1E"/>
          <w:sz w:val="22"/>
          <w:szCs w:val="22"/>
        </w:rPr>
        <w:t xml:space="preserve">Exclusion criteria included incomplete data, gestation &lt;37 weeks, </w:t>
      </w:r>
      <w:r w:rsidR="001F64AA" w:rsidRPr="0078589D">
        <w:rPr>
          <w:color w:val="1C1D1E"/>
          <w:sz w:val="22"/>
          <w:szCs w:val="22"/>
        </w:rPr>
        <w:t>mothers</w:t>
      </w:r>
      <w:r w:rsidR="00950088" w:rsidRPr="0078589D">
        <w:rPr>
          <w:color w:val="1C1D1E"/>
          <w:sz w:val="22"/>
          <w:szCs w:val="22"/>
        </w:rPr>
        <w:t xml:space="preserve"> with immunocompromising conditions</w:t>
      </w:r>
      <w:r w:rsidR="0008300C" w:rsidRPr="0078589D">
        <w:rPr>
          <w:color w:val="1C1D1E"/>
          <w:sz w:val="22"/>
          <w:szCs w:val="22"/>
        </w:rPr>
        <w:t xml:space="preserve"> or</w:t>
      </w:r>
      <w:r w:rsidR="00950088" w:rsidRPr="0078589D">
        <w:rPr>
          <w:color w:val="1C1D1E"/>
          <w:sz w:val="22"/>
          <w:szCs w:val="22"/>
        </w:rPr>
        <w:t xml:space="preserve"> known chronic </w:t>
      </w:r>
      <w:r w:rsidR="0008300C" w:rsidRPr="0078589D">
        <w:rPr>
          <w:color w:val="1C1D1E"/>
          <w:sz w:val="22"/>
          <w:szCs w:val="22"/>
        </w:rPr>
        <w:t>infection</w:t>
      </w:r>
      <w:r w:rsidR="007B219A">
        <w:rPr>
          <w:color w:val="1C1D1E"/>
          <w:sz w:val="22"/>
          <w:szCs w:val="22"/>
        </w:rPr>
        <w:t>, neonates treated for suspected EOS whose mothers were not treated for suspected intrapartum sepsis and neonates treated for suspected EOS beyond day 0</w:t>
      </w:r>
      <w:r w:rsidR="003267AA">
        <w:rPr>
          <w:color w:val="1C1D1E"/>
          <w:sz w:val="22"/>
          <w:szCs w:val="22"/>
        </w:rPr>
        <w:t>.</w:t>
      </w:r>
    </w:p>
    <w:p w14:paraId="645CF574" w14:textId="77777777" w:rsidR="00F9104F" w:rsidRPr="0078589D" w:rsidRDefault="00F9104F" w:rsidP="003267AA">
      <w:pPr>
        <w:spacing w:line="276" w:lineRule="auto"/>
        <w:jc w:val="both"/>
        <w:rPr>
          <w:color w:val="1C1D1E"/>
          <w:sz w:val="22"/>
          <w:szCs w:val="22"/>
        </w:rPr>
      </w:pPr>
    </w:p>
    <w:p w14:paraId="62EE31D3" w14:textId="6F4E615A" w:rsidR="00665013" w:rsidRPr="0078589D" w:rsidRDefault="00665013" w:rsidP="004601B0">
      <w:pPr>
        <w:spacing w:line="480" w:lineRule="auto"/>
        <w:jc w:val="both"/>
        <w:rPr>
          <w:color w:val="1C1D1E"/>
          <w:sz w:val="22"/>
          <w:szCs w:val="22"/>
        </w:rPr>
      </w:pPr>
      <w:r w:rsidRPr="0078589D">
        <w:rPr>
          <w:color w:val="1C1D1E"/>
          <w:sz w:val="22"/>
          <w:szCs w:val="22"/>
        </w:rPr>
        <w:t xml:space="preserve">Blood cultures were performed in 117 neonates </w:t>
      </w:r>
      <w:r w:rsidR="007B219A">
        <w:rPr>
          <w:color w:val="1C1D1E"/>
          <w:sz w:val="22"/>
          <w:szCs w:val="22"/>
        </w:rPr>
        <w:t xml:space="preserve">as part of the initial ‘Time 0’ septic screen </w:t>
      </w:r>
      <w:r w:rsidRPr="0078589D">
        <w:rPr>
          <w:color w:val="1C1D1E"/>
          <w:sz w:val="22"/>
          <w:szCs w:val="22"/>
        </w:rPr>
        <w:t>and none of them grew clinically significant organisms.  Lumber punctures were performed in 26 (22.2%)</w:t>
      </w:r>
      <w:r w:rsidR="0080682E" w:rsidRPr="0078589D">
        <w:rPr>
          <w:color w:val="1C1D1E"/>
          <w:sz w:val="22"/>
          <w:szCs w:val="22"/>
        </w:rPr>
        <w:t xml:space="preserve"> </w:t>
      </w:r>
      <w:r w:rsidRPr="0078589D">
        <w:rPr>
          <w:color w:val="1C1D1E"/>
          <w:sz w:val="22"/>
          <w:szCs w:val="22"/>
        </w:rPr>
        <w:t xml:space="preserve">neonates and none of them grew clinically significant organisms. </w:t>
      </w:r>
    </w:p>
    <w:p w14:paraId="3529AACC" w14:textId="77777777" w:rsidR="0076641D" w:rsidRPr="0078589D" w:rsidRDefault="0076641D" w:rsidP="004601B0">
      <w:pPr>
        <w:spacing w:line="480" w:lineRule="auto"/>
        <w:jc w:val="both"/>
        <w:rPr>
          <w:color w:val="202124"/>
          <w:sz w:val="22"/>
          <w:szCs w:val="22"/>
          <w:shd w:val="clear" w:color="auto" w:fill="FFFFFF"/>
        </w:rPr>
      </w:pPr>
    </w:p>
    <w:p w14:paraId="65E35FC6" w14:textId="08841B48" w:rsidR="006C27B5" w:rsidRPr="0078589D" w:rsidRDefault="00C12A5A" w:rsidP="004601B0">
      <w:pPr>
        <w:spacing w:line="480" w:lineRule="auto"/>
        <w:jc w:val="both"/>
        <w:rPr>
          <w:color w:val="202124"/>
          <w:sz w:val="22"/>
          <w:szCs w:val="22"/>
          <w:shd w:val="clear" w:color="auto" w:fill="FFFFFF"/>
        </w:rPr>
      </w:pPr>
      <w:r>
        <w:rPr>
          <w:color w:val="202124"/>
          <w:sz w:val="22"/>
          <w:szCs w:val="22"/>
          <w:shd w:val="clear" w:color="auto" w:fill="FFFFFF"/>
        </w:rPr>
        <w:t>Table 2 shows the biomarker and microbiology results. Six neonates had a</w:t>
      </w:r>
      <w:r w:rsidR="00665013" w:rsidRPr="0078589D">
        <w:rPr>
          <w:color w:val="202124"/>
          <w:sz w:val="22"/>
          <w:szCs w:val="22"/>
          <w:shd w:val="clear" w:color="auto" w:fill="FFFFFF"/>
        </w:rPr>
        <w:t xml:space="preserve"> raised WCC </w:t>
      </w:r>
      <w:r w:rsidR="00665013" w:rsidRPr="0078589D">
        <w:rPr>
          <w:color w:val="000000"/>
          <w:sz w:val="22"/>
          <w:szCs w:val="22"/>
        </w:rPr>
        <w:t>&gt;</w:t>
      </w:r>
      <w:r w:rsidR="003267AA">
        <w:rPr>
          <w:color w:val="000000"/>
          <w:sz w:val="22"/>
          <w:szCs w:val="22"/>
        </w:rPr>
        <w:t>30</w:t>
      </w:r>
      <w:r w:rsidR="005B13A4" w:rsidRPr="0078589D">
        <w:rPr>
          <w:color w:val="000000"/>
          <w:sz w:val="22"/>
          <w:szCs w:val="22"/>
        </w:rPr>
        <w:t>x</w:t>
      </w:r>
      <w:r w:rsidR="00665013" w:rsidRPr="0078589D">
        <w:rPr>
          <w:color w:val="000000"/>
          <w:sz w:val="22"/>
          <w:szCs w:val="22"/>
        </w:rPr>
        <w:t>10</w:t>
      </w:r>
      <w:r w:rsidR="00665013" w:rsidRPr="0078589D">
        <w:rPr>
          <w:color w:val="000000"/>
          <w:sz w:val="22"/>
          <w:szCs w:val="22"/>
          <w:vertAlign w:val="superscript"/>
        </w:rPr>
        <w:t>9</w:t>
      </w:r>
      <w:r w:rsidR="00665013" w:rsidRPr="0078589D">
        <w:rPr>
          <w:color w:val="000000"/>
          <w:sz w:val="22"/>
          <w:szCs w:val="22"/>
        </w:rPr>
        <w:t>/L</w:t>
      </w:r>
      <w:r>
        <w:rPr>
          <w:color w:val="000000"/>
          <w:sz w:val="22"/>
          <w:szCs w:val="22"/>
        </w:rPr>
        <w:t xml:space="preserve"> </w:t>
      </w:r>
      <w:r w:rsidR="00665013" w:rsidRPr="0078589D">
        <w:rPr>
          <w:color w:val="000000"/>
          <w:sz w:val="22"/>
          <w:szCs w:val="22"/>
        </w:rPr>
        <w:t>(</w:t>
      </w:r>
      <w:r w:rsidR="003267AA">
        <w:rPr>
          <w:color w:val="000000"/>
          <w:sz w:val="22"/>
          <w:szCs w:val="22"/>
        </w:rPr>
        <w:t>5.6</w:t>
      </w:r>
      <w:r w:rsidR="00665013" w:rsidRPr="0078589D">
        <w:rPr>
          <w:color w:val="000000"/>
          <w:sz w:val="22"/>
          <w:szCs w:val="22"/>
        </w:rPr>
        <w:t>%, range 8.36-36.7</w:t>
      </w:r>
      <w:r w:rsidR="005B13A4" w:rsidRPr="0078589D">
        <w:rPr>
          <w:color w:val="000000"/>
          <w:sz w:val="22"/>
          <w:szCs w:val="22"/>
        </w:rPr>
        <w:t>x</w:t>
      </w:r>
      <w:r w:rsidR="00665013" w:rsidRPr="0078589D">
        <w:rPr>
          <w:color w:val="000000"/>
          <w:sz w:val="22"/>
          <w:szCs w:val="22"/>
        </w:rPr>
        <w:t>10</w:t>
      </w:r>
      <w:r w:rsidR="00665013" w:rsidRPr="0078589D">
        <w:rPr>
          <w:color w:val="000000"/>
          <w:sz w:val="22"/>
          <w:szCs w:val="22"/>
          <w:vertAlign w:val="superscript"/>
        </w:rPr>
        <w:t>9</w:t>
      </w:r>
      <w:r w:rsidR="00665013" w:rsidRPr="0078589D">
        <w:rPr>
          <w:color w:val="000000"/>
          <w:sz w:val="22"/>
          <w:szCs w:val="22"/>
        </w:rPr>
        <w:t>/L)</w:t>
      </w:r>
      <w:r w:rsidR="00665013" w:rsidRPr="0078589D">
        <w:rPr>
          <w:color w:val="202124"/>
          <w:sz w:val="22"/>
          <w:szCs w:val="22"/>
          <w:shd w:val="clear" w:color="auto" w:fill="FFFFFF"/>
        </w:rPr>
        <w:t xml:space="preserve"> at the ‘Time 0’ blood samples. </w:t>
      </w:r>
      <w:r>
        <w:rPr>
          <w:color w:val="202124"/>
          <w:sz w:val="22"/>
          <w:szCs w:val="22"/>
          <w:shd w:val="clear" w:color="auto" w:fill="FFFFFF"/>
        </w:rPr>
        <w:t>Forty-seven neonates had a</w:t>
      </w:r>
      <w:r w:rsidR="00665013" w:rsidRPr="0078589D">
        <w:rPr>
          <w:color w:val="202124"/>
          <w:sz w:val="22"/>
          <w:szCs w:val="22"/>
          <w:shd w:val="clear" w:color="auto" w:fill="FFFFFF"/>
        </w:rPr>
        <w:t xml:space="preserve"> raised PCT</w:t>
      </w:r>
      <w:r w:rsidR="00665013" w:rsidRPr="0078589D">
        <w:rPr>
          <w:color w:val="000000"/>
          <w:sz w:val="22"/>
          <w:szCs w:val="22"/>
          <w:shd w:val="clear" w:color="auto" w:fill="FFFFFF"/>
        </w:rPr>
        <w:t xml:space="preserve"> </w:t>
      </w:r>
      <w:r w:rsidR="00665013" w:rsidRPr="0078589D">
        <w:rPr>
          <w:color w:val="202124"/>
          <w:sz w:val="22"/>
          <w:szCs w:val="22"/>
          <w:shd w:val="clear" w:color="auto" w:fill="FFFFFF"/>
        </w:rPr>
        <w:t>≥</w:t>
      </w:r>
      <w:r w:rsidR="00665013" w:rsidRPr="0078589D">
        <w:rPr>
          <w:color w:val="000000"/>
          <w:sz w:val="22"/>
          <w:szCs w:val="22"/>
          <w:shd w:val="clear" w:color="auto" w:fill="FFFFFF"/>
        </w:rPr>
        <w:t>0.25</w:t>
      </w:r>
      <w:r w:rsidR="00665013" w:rsidRPr="0078589D">
        <w:rPr>
          <w:color w:val="202124"/>
          <w:sz w:val="22"/>
          <w:szCs w:val="22"/>
          <w:shd w:val="clear" w:color="auto" w:fill="FFFFFF"/>
        </w:rPr>
        <w:t>ug/L</w:t>
      </w:r>
      <w:r w:rsidR="00665013" w:rsidRPr="0078589D">
        <w:rPr>
          <w:color w:val="000000"/>
          <w:sz w:val="22"/>
          <w:szCs w:val="22"/>
          <w:shd w:val="clear" w:color="auto" w:fill="FFFFFF"/>
        </w:rPr>
        <w:t xml:space="preserve"> </w:t>
      </w:r>
      <w:r w:rsidR="00665013" w:rsidRPr="0078589D">
        <w:rPr>
          <w:color w:val="000000"/>
          <w:sz w:val="22"/>
          <w:szCs w:val="22"/>
          <w:shd w:val="clear" w:color="auto" w:fill="FFFFFF"/>
        </w:rPr>
        <w:lastRenderedPageBreak/>
        <w:t xml:space="preserve">(55.3%, range 0.3-4.6) at the ‘Time 0’ blood samples and 95 neonates (98.9%, range 0.3-58.5ug/L) </w:t>
      </w:r>
      <w:r>
        <w:rPr>
          <w:color w:val="000000"/>
          <w:sz w:val="22"/>
          <w:szCs w:val="22"/>
          <w:shd w:val="clear" w:color="auto" w:fill="FFFFFF"/>
        </w:rPr>
        <w:t xml:space="preserve">at the </w:t>
      </w:r>
      <w:r w:rsidR="00665013" w:rsidRPr="0078589D">
        <w:rPr>
          <w:color w:val="000000"/>
          <w:sz w:val="22"/>
          <w:szCs w:val="22"/>
          <w:shd w:val="clear" w:color="auto" w:fill="FFFFFF"/>
        </w:rPr>
        <w:t xml:space="preserve">‘Day 1’ blood samples. </w:t>
      </w:r>
      <w:r>
        <w:rPr>
          <w:color w:val="000000"/>
          <w:sz w:val="22"/>
          <w:szCs w:val="22"/>
          <w:shd w:val="clear" w:color="auto" w:fill="FFFFFF"/>
        </w:rPr>
        <w:t>Seven neonates had a</w:t>
      </w:r>
      <w:r w:rsidR="00665013" w:rsidRPr="0078589D">
        <w:rPr>
          <w:color w:val="000000"/>
          <w:sz w:val="22"/>
          <w:szCs w:val="22"/>
          <w:shd w:val="clear" w:color="auto" w:fill="FFFFFF"/>
        </w:rPr>
        <w:t xml:space="preserve"> raised CRP of </w:t>
      </w:r>
      <w:r w:rsidR="00665013" w:rsidRPr="0078589D">
        <w:rPr>
          <w:color w:val="202124"/>
          <w:sz w:val="22"/>
          <w:szCs w:val="22"/>
          <w:shd w:val="clear" w:color="auto" w:fill="FFFFFF"/>
        </w:rPr>
        <w:t xml:space="preserve">≥10mg/L (5.98%, range 10-58mg/L) at the ‘Time 0’ blood samples and 41 neonates (35.04%, range 10-88mg/L) </w:t>
      </w:r>
      <w:r>
        <w:rPr>
          <w:color w:val="202124"/>
          <w:sz w:val="22"/>
          <w:szCs w:val="22"/>
          <w:shd w:val="clear" w:color="auto" w:fill="FFFFFF"/>
        </w:rPr>
        <w:t xml:space="preserve">at the </w:t>
      </w:r>
      <w:r w:rsidR="00665013" w:rsidRPr="0078589D">
        <w:rPr>
          <w:color w:val="202124"/>
          <w:sz w:val="22"/>
          <w:szCs w:val="22"/>
          <w:shd w:val="clear" w:color="auto" w:fill="FFFFFF"/>
        </w:rPr>
        <w:t>‘Day 1’ blood samples</w:t>
      </w:r>
      <w:r>
        <w:rPr>
          <w:color w:val="202124"/>
          <w:sz w:val="22"/>
          <w:szCs w:val="22"/>
          <w:shd w:val="clear" w:color="auto" w:fill="FFFFFF"/>
        </w:rPr>
        <w:t>.</w:t>
      </w:r>
      <w:r w:rsidR="00665013" w:rsidRPr="0078589D">
        <w:rPr>
          <w:color w:val="202124"/>
          <w:sz w:val="22"/>
          <w:szCs w:val="22"/>
          <w:shd w:val="clear" w:color="auto" w:fill="FFFFFF"/>
        </w:rPr>
        <w:t xml:space="preserve"> </w:t>
      </w:r>
    </w:p>
    <w:p w14:paraId="0893FC73" w14:textId="77777777" w:rsidR="006C27B5" w:rsidRPr="0078589D" w:rsidRDefault="006C27B5" w:rsidP="004601B0">
      <w:pPr>
        <w:spacing w:line="480" w:lineRule="auto"/>
        <w:jc w:val="both"/>
        <w:rPr>
          <w:b/>
          <w:bCs/>
          <w:color w:val="1C1D1E"/>
          <w:sz w:val="22"/>
          <w:szCs w:val="22"/>
        </w:rPr>
      </w:pPr>
    </w:p>
    <w:p w14:paraId="08DA6940" w14:textId="21838E38" w:rsidR="00665013" w:rsidRPr="00C12A5A" w:rsidRDefault="00665013" w:rsidP="004601B0">
      <w:pPr>
        <w:spacing w:line="480" w:lineRule="auto"/>
        <w:jc w:val="both"/>
        <w:rPr>
          <w:color w:val="000000" w:themeColor="text1"/>
          <w:sz w:val="22"/>
          <w:szCs w:val="22"/>
        </w:rPr>
      </w:pPr>
      <w:r w:rsidRPr="00C12A5A">
        <w:rPr>
          <w:color w:val="000000" w:themeColor="text1"/>
          <w:sz w:val="22"/>
          <w:szCs w:val="22"/>
        </w:rPr>
        <w:t xml:space="preserve">Correlations were </w:t>
      </w:r>
      <w:r w:rsidR="00C12A5A" w:rsidRPr="00C12A5A">
        <w:rPr>
          <w:color w:val="000000" w:themeColor="text1"/>
          <w:sz w:val="22"/>
          <w:szCs w:val="22"/>
        </w:rPr>
        <w:t>c</w:t>
      </w:r>
      <w:r w:rsidR="00C12A5A">
        <w:rPr>
          <w:color w:val="000000" w:themeColor="text1"/>
          <w:sz w:val="22"/>
          <w:szCs w:val="22"/>
        </w:rPr>
        <w:t>arried out</w:t>
      </w:r>
      <w:r w:rsidRPr="00C12A5A">
        <w:rPr>
          <w:color w:val="000000" w:themeColor="text1"/>
          <w:sz w:val="22"/>
          <w:szCs w:val="22"/>
        </w:rPr>
        <w:t xml:space="preserve"> </w:t>
      </w:r>
      <w:r w:rsidR="00C12A5A" w:rsidRPr="00C12A5A">
        <w:rPr>
          <w:color w:val="000000" w:themeColor="text1"/>
          <w:sz w:val="22"/>
          <w:szCs w:val="22"/>
        </w:rPr>
        <w:t>comparing</w:t>
      </w:r>
      <w:r w:rsidRPr="00C12A5A">
        <w:rPr>
          <w:color w:val="000000" w:themeColor="text1"/>
          <w:sz w:val="22"/>
          <w:szCs w:val="22"/>
        </w:rPr>
        <w:t xml:space="preserve"> values of neonatal biomarkers </w:t>
      </w:r>
      <w:r w:rsidR="00C12A5A" w:rsidRPr="00C12A5A">
        <w:rPr>
          <w:color w:val="000000" w:themeColor="text1"/>
          <w:sz w:val="22"/>
          <w:szCs w:val="22"/>
        </w:rPr>
        <w:t>between the different</w:t>
      </w:r>
      <w:r w:rsidRPr="00C12A5A">
        <w:rPr>
          <w:color w:val="000000" w:themeColor="text1"/>
          <w:sz w:val="22"/>
          <w:szCs w:val="22"/>
        </w:rPr>
        <w:t xml:space="preserve"> blood samples. Where </w:t>
      </w:r>
      <w:r w:rsidR="00890C7E" w:rsidRPr="00C12A5A">
        <w:rPr>
          <w:color w:val="000000" w:themeColor="text1"/>
          <w:sz w:val="22"/>
          <w:szCs w:val="22"/>
        </w:rPr>
        <w:t>PCT and</w:t>
      </w:r>
      <w:r w:rsidRPr="00C12A5A">
        <w:rPr>
          <w:color w:val="000000" w:themeColor="text1"/>
          <w:sz w:val="22"/>
          <w:szCs w:val="22"/>
        </w:rPr>
        <w:t xml:space="preserve"> CRP was raised for the neonate on initial sampling it was likely to be raised on the </w:t>
      </w:r>
      <w:r w:rsidR="00C12A5A" w:rsidRPr="00C12A5A">
        <w:rPr>
          <w:color w:val="000000" w:themeColor="text1"/>
          <w:sz w:val="22"/>
          <w:szCs w:val="22"/>
        </w:rPr>
        <w:t xml:space="preserve">follow-up </w:t>
      </w:r>
      <w:r w:rsidRPr="00C12A5A">
        <w:rPr>
          <w:color w:val="000000" w:themeColor="text1"/>
          <w:sz w:val="22"/>
          <w:szCs w:val="22"/>
        </w:rPr>
        <w:t>sample</w:t>
      </w:r>
      <w:r w:rsidR="00C12A5A" w:rsidRPr="00C12A5A">
        <w:rPr>
          <w:color w:val="000000" w:themeColor="text1"/>
          <w:sz w:val="22"/>
          <w:szCs w:val="22"/>
        </w:rPr>
        <w:t>s</w:t>
      </w:r>
      <w:r w:rsidRPr="00C12A5A">
        <w:rPr>
          <w:color w:val="000000" w:themeColor="text1"/>
          <w:sz w:val="22"/>
          <w:szCs w:val="22"/>
        </w:rPr>
        <w:t xml:space="preserve">. There was a positive </w:t>
      </w:r>
      <w:r w:rsidR="00C12A5A" w:rsidRPr="00C12A5A">
        <w:rPr>
          <w:color w:val="000000" w:themeColor="text1"/>
          <w:sz w:val="22"/>
          <w:szCs w:val="22"/>
        </w:rPr>
        <w:t xml:space="preserve">correlation </w:t>
      </w:r>
      <w:r w:rsidRPr="00C12A5A">
        <w:rPr>
          <w:color w:val="000000" w:themeColor="text1"/>
          <w:sz w:val="22"/>
          <w:szCs w:val="22"/>
        </w:rPr>
        <w:t>between both ‘Time 0’ and ‘Day 1’ PCTs with the CRP results for the neonate, +0.509 and +409 respectively.</w:t>
      </w:r>
      <w:r w:rsidR="00E1159F" w:rsidRPr="00C12A5A">
        <w:rPr>
          <w:bCs/>
          <w:color w:val="000000" w:themeColor="text1"/>
          <w:sz w:val="22"/>
          <w:szCs w:val="22"/>
          <w:shd w:val="clear" w:color="auto" w:fill="FFFFFF"/>
          <w:vertAlign w:val="superscript"/>
        </w:rPr>
        <w:t>10</w:t>
      </w:r>
      <w:r w:rsidRPr="00C12A5A">
        <w:rPr>
          <w:color w:val="000000" w:themeColor="text1"/>
          <w:sz w:val="22"/>
          <w:szCs w:val="22"/>
        </w:rPr>
        <w:t xml:space="preserve"> </w:t>
      </w:r>
    </w:p>
    <w:p w14:paraId="3E0481DC" w14:textId="77777777" w:rsidR="00665013" w:rsidRPr="0078589D" w:rsidRDefault="00665013" w:rsidP="004601B0">
      <w:pPr>
        <w:spacing w:line="480" w:lineRule="auto"/>
        <w:jc w:val="both"/>
        <w:rPr>
          <w:color w:val="1C1D1E"/>
          <w:sz w:val="22"/>
          <w:szCs w:val="22"/>
        </w:rPr>
      </w:pPr>
    </w:p>
    <w:p w14:paraId="4666DA79" w14:textId="6D296E63" w:rsidR="00950088" w:rsidRPr="00C12A5A" w:rsidRDefault="00C12A5A" w:rsidP="004601B0">
      <w:pPr>
        <w:spacing w:line="480" w:lineRule="auto"/>
        <w:jc w:val="both"/>
        <w:rPr>
          <w:color w:val="000000" w:themeColor="text1"/>
          <w:sz w:val="22"/>
          <w:szCs w:val="22"/>
        </w:rPr>
      </w:pPr>
      <w:r w:rsidRPr="00C12A5A">
        <w:rPr>
          <w:color w:val="000000" w:themeColor="text1"/>
          <w:sz w:val="22"/>
          <w:szCs w:val="22"/>
        </w:rPr>
        <w:t>T</w:t>
      </w:r>
      <w:r w:rsidR="00665013" w:rsidRPr="00C12A5A">
        <w:rPr>
          <w:color w:val="000000" w:themeColor="text1"/>
          <w:sz w:val="22"/>
          <w:szCs w:val="22"/>
        </w:rPr>
        <w:t>he 3 determined categories</w:t>
      </w:r>
      <w:r w:rsidRPr="00C12A5A">
        <w:rPr>
          <w:color w:val="000000" w:themeColor="text1"/>
          <w:sz w:val="22"/>
          <w:szCs w:val="22"/>
        </w:rPr>
        <w:t xml:space="preserve"> the neonates were divided into are shown in table 1</w:t>
      </w:r>
      <w:r w:rsidR="00665013" w:rsidRPr="00C12A5A">
        <w:rPr>
          <w:color w:val="000000" w:themeColor="text1"/>
          <w:sz w:val="22"/>
          <w:szCs w:val="22"/>
        </w:rPr>
        <w:t xml:space="preserve">. </w:t>
      </w:r>
      <w:r w:rsidRPr="00C12A5A">
        <w:rPr>
          <w:color w:val="000000" w:themeColor="text1"/>
          <w:sz w:val="22"/>
          <w:szCs w:val="22"/>
        </w:rPr>
        <w:t>Figure 1 illustrates t</w:t>
      </w:r>
      <w:r w:rsidR="00665013" w:rsidRPr="00C12A5A">
        <w:rPr>
          <w:color w:val="000000" w:themeColor="text1"/>
          <w:sz w:val="22"/>
          <w:szCs w:val="22"/>
        </w:rPr>
        <w:t xml:space="preserve">he spread of biomarker results for the </w:t>
      </w:r>
      <w:r>
        <w:rPr>
          <w:color w:val="000000" w:themeColor="text1"/>
          <w:sz w:val="22"/>
          <w:szCs w:val="22"/>
        </w:rPr>
        <w:t xml:space="preserve">initial and follow up bloods </w:t>
      </w:r>
      <w:r w:rsidR="00665013" w:rsidRPr="00C12A5A">
        <w:rPr>
          <w:color w:val="000000" w:themeColor="text1"/>
          <w:sz w:val="22"/>
          <w:szCs w:val="22"/>
        </w:rPr>
        <w:t>according to the three categories.</w:t>
      </w:r>
    </w:p>
    <w:p w14:paraId="50EA565A" w14:textId="77777777" w:rsidR="00950088" w:rsidRPr="00C12A5A" w:rsidRDefault="00950088" w:rsidP="004601B0">
      <w:pPr>
        <w:spacing w:line="480" w:lineRule="auto"/>
        <w:jc w:val="both"/>
        <w:rPr>
          <w:color w:val="000000" w:themeColor="text1"/>
          <w:sz w:val="22"/>
          <w:szCs w:val="22"/>
        </w:rPr>
      </w:pPr>
    </w:p>
    <w:p w14:paraId="30B14CE6" w14:textId="704BE9B2" w:rsidR="00753C68" w:rsidRPr="00C12A5A" w:rsidRDefault="00643D25" w:rsidP="004601B0">
      <w:pPr>
        <w:spacing w:line="480" w:lineRule="auto"/>
        <w:jc w:val="both"/>
        <w:rPr>
          <w:color w:val="000000" w:themeColor="text1"/>
          <w:sz w:val="22"/>
          <w:szCs w:val="22"/>
        </w:rPr>
      </w:pPr>
      <w:r w:rsidRPr="00C12A5A">
        <w:rPr>
          <w:color w:val="000000" w:themeColor="text1"/>
          <w:sz w:val="22"/>
          <w:szCs w:val="22"/>
        </w:rPr>
        <w:t xml:space="preserve">Figure 2 </w:t>
      </w:r>
      <w:r w:rsidR="00C12A5A" w:rsidRPr="00C12A5A">
        <w:rPr>
          <w:color w:val="000000" w:themeColor="text1"/>
          <w:sz w:val="22"/>
          <w:szCs w:val="22"/>
        </w:rPr>
        <w:t>illustrates</w:t>
      </w:r>
      <w:r w:rsidRPr="00C12A5A">
        <w:rPr>
          <w:color w:val="000000" w:themeColor="text1"/>
          <w:sz w:val="22"/>
          <w:szCs w:val="22"/>
        </w:rPr>
        <w:t xml:space="preserve"> the mean PCT results for the </w:t>
      </w:r>
      <w:r w:rsidR="00C12A5A">
        <w:rPr>
          <w:color w:val="000000" w:themeColor="text1"/>
          <w:sz w:val="22"/>
          <w:szCs w:val="22"/>
        </w:rPr>
        <w:t>three</w:t>
      </w:r>
      <w:r w:rsidRPr="00C12A5A">
        <w:rPr>
          <w:color w:val="000000" w:themeColor="text1"/>
          <w:sz w:val="22"/>
          <w:szCs w:val="22"/>
        </w:rPr>
        <w:t xml:space="preserve"> categories of blood tests taken during the initial and follow</w:t>
      </w:r>
      <w:r w:rsidR="002C47DC" w:rsidRPr="00C12A5A">
        <w:rPr>
          <w:color w:val="000000" w:themeColor="text1"/>
          <w:sz w:val="22"/>
          <w:szCs w:val="22"/>
        </w:rPr>
        <w:t>-</w:t>
      </w:r>
      <w:r w:rsidRPr="00C12A5A">
        <w:rPr>
          <w:color w:val="000000" w:themeColor="text1"/>
          <w:sz w:val="22"/>
          <w:szCs w:val="22"/>
        </w:rPr>
        <w:t xml:space="preserve">up bloods. </w:t>
      </w:r>
      <w:r w:rsidR="00C12A5A" w:rsidRPr="00C12A5A">
        <w:rPr>
          <w:color w:val="000000" w:themeColor="text1"/>
          <w:sz w:val="22"/>
          <w:szCs w:val="22"/>
        </w:rPr>
        <w:t>There</w:t>
      </w:r>
      <w:r w:rsidR="00753C68" w:rsidRPr="00C12A5A">
        <w:rPr>
          <w:color w:val="000000" w:themeColor="text1"/>
          <w:sz w:val="22"/>
          <w:szCs w:val="22"/>
        </w:rPr>
        <w:t xml:space="preserve"> was a significant difference between </w:t>
      </w:r>
      <w:r w:rsidR="000A0AF1" w:rsidRPr="00C12A5A">
        <w:rPr>
          <w:color w:val="000000" w:themeColor="text1"/>
          <w:sz w:val="22"/>
          <w:szCs w:val="22"/>
        </w:rPr>
        <w:t>‘</w:t>
      </w:r>
      <w:r w:rsidR="00C12A5A" w:rsidRPr="00C12A5A">
        <w:rPr>
          <w:color w:val="000000" w:themeColor="text1"/>
          <w:sz w:val="22"/>
          <w:szCs w:val="22"/>
        </w:rPr>
        <w:t>low</w:t>
      </w:r>
      <w:r w:rsidR="000A0AF1" w:rsidRPr="00C12A5A">
        <w:rPr>
          <w:color w:val="000000" w:themeColor="text1"/>
          <w:sz w:val="22"/>
          <w:szCs w:val="22"/>
        </w:rPr>
        <w:t>-suspicion BS’</w:t>
      </w:r>
      <w:r w:rsidR="00753C68" w:rsidRPr="00C12A5A">
        <w:rPr>
          <w:color w:val="000000" w:themeColor="text1"/>
          <w:sz w:val="22"/>
          <w:szCs w:val="22"/>
        </w:rPr>
        <w:t xml:space="preserve"> and </w:t>
      </w:r>
      <w:r w:rsidR="000A0AF1" w:rsidRPr="00C12A5A">
        <w:rPr>
          <w:color w:val="000000" w:themeColor="text1"/>
          <w:sz w:val="22"/>
          <w:szCs w:val="22"/>
        </w:rPr>
        <w:t>‘</w:t>
      </w:r>
      <w:r w:rsidR="00C12A5A" w:rsidRPr="00C12A5A">
        <w:rPr>
          <w:color w:val="000000" w:themeColor="text1"/>
          <w:sz w:val="22"/>
          <w:szCs w:val="22"/>
        </w:rPr>
        <w:t>high</w:t>
      </w:r>
      <w:r w:rsidR="000A0AF1" w:rsidRPr="00C12A5A">
        <w:rPr>
          <w:color w:val="000000" w:themeColor="text1"/>
          <w:sz w:val="22"/>
          <w:szCs w:val="22"/>
        </w:rPr>
        <w:t>-suspicion BS’</w:t>
      </w:r>
      <w:r w:rsidR="00753C68" w:rsidRPr="00C12A5A">
        <w:rPr>
          <w:color w:val="000000" w:themeColor="text1"/>
          <w:sz w:val="22"/>
          <w:szCs w:val="22"/>
        </w:rPr>
        <w:t xml:space="preserve"> categories for both the ‘Time 0’ (p=0.0349) and the ‘Day 1’ PCT results (p=0.008).</w:t>
      </w:r>
      <w:r w:rsidR="00E1159F" w:rsidRPr="00C12A5A">
        <w:rPr>
          <w:bCs/>
          <w:color w:val="000000" w:themeColor="text1"/>
          <w:sz w:val="22"/>
          <w:szCs w:val="22"/>
          <w:shd w:val="clear" w:color="auto" w:fill="FFFFFF"/>
          <w:vertAlign w:val="superscript"/>
        </w:rPr>
        <w:t>10</w:t>
      </w:r>
      <w:r w:rsidR="00753C68" w:rsidRPr="00C12A5A">
        <w:rPr>
          <w:color w:val="000000" w:themeColor="text1"/>
          <w:sz w:val="22"/>
          <w:szCs w:val="22"/>
        </w:rPr>
        <w:t xml:space="preserve"> </w:t>
      </w:r>
    </w:p>
    <w:p w14:paraId="48FF9B94" w14:textId="77777777" w:rsidR="00950088" w:rsidRPr="0078589D" w:rsidRDefault="00950088" w:rsidP="004601B0">
      <w:pPr>
        <w:tabs>
          <w:tab w:val="left" w:pos="1080"/>
        </w:tabs>
        <w:spacing w:line="480" w:lineRule="auto"/>
        <w:rPr>
          <w:sz w:val="22"/>
          <w:szCs w:val="22"/>
        </w:rPr>
      </w:pPr>
    </w:p>
    <w:p w14:paraId="543B3329" w14:textId="649F419B" w:rsidR="00950088" w:rsidRPr="0078589D" w:rsidRDefault="00950088" w:rsidP="004601B0">
      <w:pPr>
        <w:spacing w:line="480" w:lineRule="auto"/>
        <w:jc w:val="both"/>
        <w:rPr>
          <w:color w:val="1C1D1E"/>
          <w:sz w:val="22"/>
          <w:szCs w:val="22"/>
        </w:rPr>
      </w:pPr>
      <w:r w:rsidRPr="0078589D">
        <w:rPr>
          <w:color w:val="1C1D1E"/>
          <w:sz w:val="22"/>
          <w:szCs w:val="22"/>
        </w:rPr>
        <w:t xml:space="preserve">There </w:t>
      </w:r>
      <w:r w:rsidR="008D6EFB" w:rsidRPr="0078589D">
        <w:rPr>
          <w:color w:val="1C1D1E"/>
          <w:sz w:val="22"/>
          <w:szCs w:val="22"/>
        </w:rPr>
        <w:t>was</w:t>
      </w:r>
      <w:r w:rsidRPr="0078589D">
        <w:rPr>
          <w:color w:val="1C1D1E"/>
          <w:sz w:val="22"/>
          <w:szCs w:val="22"/>
        </w:rPr>
        <w:t xml:space="preserve"> no significant difference between the WCC results in the 3 </w:t>
      </w:r>
      <w:r w:rsidR="00665013" w:rsidRPr="0078589D">
        <w:rPr>
          <w:color w:val="1C1D1E"/>
          <w:sz w:val="22"/>
          <w:szCs w:val="22"/>
        </w:rPr>
        <w:t xml:space="preserve">neonatal </w:t>
      </w:r>
      <w:r w:rsidRPr="0078589D">
        <w:rPr>
          <w:color w:val="1C1D1E"/>
          <w:sz w:val="22"/>
          <w:szCs w:val="22"/>
        </w:rPr>
        <w:t xml:space="preserve">categories </w:t>
      </w:r>
      <w:r w:rsidR="00665013" w:rsidRPr="0078589D">
        <w:rPr>
          <w:color w:val="1C1D1E"/>
          <w:sz w:val="22"/>
          <w:szCs w:val="22"/>
        </w:rPr>
        <w:t>of likelihood of infection</w:t>
      </w:r>
      <w:r w:rsidRPr="0078589D">
        <w:rPr>
          <w:color w:val="1C1D1E"/>
          <w:sz w:val="22"/>
          <w:szCs w:val="22"/>
        </w:rPr>
        <w:t xml:space="preserve">. </w:t>
      </w:r>
      <w:r w:rsidR="00C12A5A">
        <w:rPr>
          <w:color w:val="1C1D1E"/>
          <w:sz w:val="22"/>
          <w:szCs w:val="22"/>
        </w:rPr>
        <w:t>T</w:t>
      </w:r>
      <w:r w:rsidRPr="0078589D">
        <w:rPr>
          <w:color w:val="1C1D1E"/>
          <w:sz w:val="22"/>
          <w:szCs w:val="22"/>
        </w:rPr>
        <w:t>here was a significant difference in CRP results between</w:t>
      </w:r>
      <w:r w:rsidR="00C12A5A">
        <w:rPr>
          <w:color w:val="1C1D1E"/>
          <w:sz w:val="22"/>
          <w:szCs w:val="22"/>
        </w:rPr>
        <w:t xml:space="preserve"> </w:t>
      </w:r>
      <w:r w:rsidR="00C12A5A" w:rsidRPr="0078589D">
        <w:rPr>
          <w:color w:val="1C1D1E"/>
          <w:sz w:val="22"/>
          <w:szCs w:val="22"/>
        </w:rPr>
        <w:t>‘equivocal BS’</w:t>
      </w:r>
      <w:r w:rsidRPr="0078589D">
        <w:rPr>
          <w:color w:val="1C1D1E"/>
          <w:sz w:val="22"/>
          <w:szCs w:val="22"/>
        </w:rPr>
        <w:t xml:space="preserve"> </w:t>
      </w:r>
      <w:r w:rsidR="00C12A5A">
        <w:rPr>
          <w:color w:val="1C1D1E"/>
          <w:sz w:val="22"/>
          <w:szCs w:val="22"/>
        </w:rPr>
        <w:t xml:space="preserve">and </w:t>
      </w:r>
      <w:r w:rsidR="000A0AF1" w:rsidRPr="0078589D">
        <w:rPr>
          <w:color w:val="1C1D1E"/>
          <w:sz w:val="22"/>
          <w:szCs w:val="22"/>
        </w:rPr>
        <w:t>‘high-suspicion BS’</w:t>
      </w:r>
      <w:r w:rsidRPr="0078589D">
        <w:rPr>
          <w:color w:val="1C1D1E"/>
          <w:sz w:val="22"/>
          <w:szCs w:val="22"/>
        </w:rPr>
        <w:t xml:space="preserve"> for the neonatal ‘Time 0’ (p=0.022) and the ‘Day 1’ (p=0.0002) CRP results. </w:t>
      </w:r>
    </w:p>
    <w:p w14:paraId="02A6A23E" w14:textId="77777777" w:rsidR="00F229DB" w:rsidRPr="0078589D" w:rsidRDefault="00F229DB" w:rsidP="004601B0">
      <w:pPr>
        <w:spacing w:line="480" w:lineRule="auto"/>
        <w:jc w:val="both"/>
        <w:rPr>
          <w:color w:val="000000" w:themeColor="text1"/>
          <w:sz w:val="22"/>
          <w:szCs w:val="22"/>
        </w:rPr>
      </w:pPr>
    </w:p>
    <w:p w14:paraId="559F459B" w14:textId="2CD1241A" w:rsidR="00753C68" w:rsidRPr="00C12A5A" w:rsidRDefault="00C12A5A" w:rsidP="004601B0">
      <w:pPr>
        <w:spacing w:line="480" w:lineRule="auto"/>
        <w:jc w:val="both"/>
        <w:rPr>
          <w:color w:val="000000" w:themeColor="text1"/>
          <w:sz w:val="22"/>
          <w:szCs w:val="22"/>
        </w:rPr>
      </w:pPr>
      <w:r w:rsidRPr="00C12A5A">
        <w:rPr>
          <w:color w:val="000000" w:themeColor="text1"/>
          <w:sz w:val="22"/>
          <w:szCs w:val="22"/>
        </w:rPr>
        <w:t xml:space="preserve">Eighty neonates </w:t>
      </w:r>
      <w:r w:rsidR="00753C68" w:rsidRPr="00C12A5A">
        <w:rPr>
          <w:color w:val="000000" w:themeColor="text1"/>
          <w:sz w:val="22"/>
          <w:szCs w:val="22"/>
        </w:rPr>
        <w:t>(68.3%) had placental histopathology</w:t>
      </w:r>
      <w:r w:rsidRPr="00C12A5A">
        <w:rPr>
          <w:color w:val="000000" w:themeColor="text1"/>
          <w:sz w:val="22"/>
          <w:szCs w:val="22"/>
        </w:rPr>
        <w:t xml:space="preserve"> completed.</w:t>
      </w:r>
      <w:r w:rsidR="00753C68" w:rsidRPr="00C12A5A">
        <w:rPr>
          <w:color w:val="000000" w:themeColor="text1"/>
          <w:sz w:val="22"/>
          <w:szCs w:val="22"/>
        </w:rPr>
        <w:t xml:space="preserve"> </w:t>
      </w:r>
      <w:r w:rsidRPr="00C12A5A">
        <w:rPr>
          <w:color w:val="000000" w:themeColor="text1"/>
          <w:sz w:val="22"/>
          <w:szCs w:val="22"/>
        </w:rPr>
        <w:t>T</w:t>
      </w:r>
      <w:r w:rsidR="00753C68" w:rsidRPr="00C12A5A">
        <w:rPr>
          <w:color w:val="000000" w:themeColor="text1"/>
          <w:sz w:val="22"/>
          <w:szCs w:val="22"/>
        </w:rPr>
        <w:t xml:space="preserve">hey were </w:t>
      </w:r>
      <w:r w:rsidRPr="00C12A5A">
        <w:rPr>
          <w:color w:val="000000" w:themeColor="text1"/>
          <w:sz w:val="22"/>
          <w:szCs w:val="22"/>
        </w:rPr>
        <w:t xml:space="preserve">given a </w:t>
      </w:r>
      <w:r w:rsidR="00753C68" w:rsidRPr="00C12A5A">
        <w:rPr>
          <w:color w:val="000000" w:themeColor="text1"/>
          <w:sz w:val="22"/>
          <w:szCs w:val="22"/>
        </w:rPr>
        <w:t>score</w:t>
      </w:r>
      <w:r w:rsidRPr="00C12A5A">
        <w:rPr>
          <w:color w:val="000000" w:themeColor="text1"/>
          <w:sz w:val="22"/>
          <w:szCs w:val="22"/>
        </w:rPr>
        <w:t xml:space="preserve"> </w:t>
      </w:r>
      <w:r w:rsidR="00753C68" w:rsidRPr="00C12A5A">
        <w:rPr>
          <w:color w:val="000000" w:themeColor="text1"/>
          <w:sz w:val="22"/>
          <w:szCs w:val="22"/>
        </w:rPr>
        <w:t>out of 24 for their staging</w:t>
      </w:r>
      <w:r w:rsidRPr="00C12A5A">
        <w:rPr>
          <w:color w:val="000000" w:themeColor="text1"/>
          <w:sz w:val="22"/>
          <w:szCs w:val="22"/>
        </w:rPr>
        <w:t xml:space="preserve"> and grading</w:t>
      </w:r>
      <w:r w:rsidR="00753C68" w:rsidRPr="00C12A5A">
        <w:rPr>
          <w:color w:val="000000" w:themeColor="text1"/>
          <w:sz w:val="22"/>
          <w:szCs w:val="22"/>
        </w:rPr>
        <w:t xml:space="preserve"> of chorioamnionitis. A </w:t>
      </w:r>
      <w:r w:rsidRPr="00C12A5A">
        <w:rPr>
          <w:color w:val="000000" w:themeColor="text1"/>
          <w:sz w:val="22"/>
          <w:szCs w:val="22"/>
        </w:rPr>
        <w:t>total of</w:t>
      </w:r>
      <w:r w:rsidR="00753C68" w:rsidRPr="00C12A5A">
        <w:rPr>
          <w:color w:val="000000" w:themeColor="text1"/>
          <w:sz w:val="22"/>
          <w:szCs w:val="22"/>
        </w:rPr>
        <w:t xml:space="preserve"> 57 out of 80 (71.2%), showed varying degrees of chorioamnionitis (mean score 10.6</w:t>
      </w:r>
      <w:r w:rsidRPr="00C12A5A">
        <w:rPr>
          <w:color w:val="000000" w:themeColor="text1"/>
          <w:sz w:val="22"/>
          <w:szCs w:val="22"/>
        </w:rPr>
        <w:t>, range 5-18,</w:t>
      </w:r>
      <w:r w:rsidR="00753C68" w:rsidRPr="00C12A5A">
        <w:rPr>
          <w:color w:val="000000" w:themeColor="text1"/>
          <w:sz w:val="22"/>
          <w:szCs w:val="22"/>
        </w:rPr>
        <w:t xml:space="preserve">). Figure 3 shows </w:t>
      </w:r>
      <w:r w:rsidRPr="00C12A5A">
        <w:rPr>
          <w:color w:val="000000" w:themeColor="text1"/>
          <w:sz w:val="22"/>
          <w:szCs w:val="22"/>
        </w:rPr>
        <w:t>the scores</w:t>
      </w:r>
      <w:r w:rsidR="00753C68" w:rsidRPr="00C12A5A">
        <w:rPr>
          <w:color w:val="000000" w:themeColor="text1"/>
          <w:sz w:val="22"/>
          <w:szCs w:val="22"/>
        </w:rPr>
        <w:t xml:space="preserve"> for the </w:t>
      </w:r>
      <w:r w:rsidRPr="00C12A5A">
        <w:rPr>
          <w:color w:val="000000" w:themeColor="text1"/>
          <w:sz w:val="22"/>
          <w:szCs w:val="22"/>
        </w:rPr>
        <w:t>three</w:t>
      </w:r>
      <w:r w:rsidR="00753C68" w:rsidRPr="00C12A5A">
        <w:rPr>
          <w:color w:val="000000" w:themeColor="text1"/>
          <w:sz w:val="22"/>
          <w:szCs w:val="22"/>
        </w:rPr>
        <w:t xml:space="preserve"> </w:t>
      </w:r>
      <w:r w:rsidRPr="00C12A5A">
        <w:rPr>
          <w:color w:val="000000" w:themeColor="text1"/>
          <w:sz w:val="22"/>
          <w:szCs w:val="22"/>
        </w:rPr>
        <w:t>clinical</w:t>
      </w:r>
      <w:r w:rsidR="00753C68" w:rsidRPr="00C12A5A">
        <w:rPr>
          <w:color w:val="000000" w:themeColor="text1"/>
          <w:sz w:val="22"/>
          <w:szCs w:val="22"/>
        </w:rPr>
        <w:t xml:space="preserve"> categories. </w:t>
      </w:r>
      <w:r w:rsidR="00A73418" w:rsidRPr="00C12A5A">
        <w:rPr>
          <w:color w:val="000000" w:themeColor="text1"/>
          <w:sz w:val="22"/>
          <w:szCs w:val="22"/>
        </w:rPr>
        <w:t>There was a correlation between scores for placental inflammation</w:t>
      </w:r>
      <w:r w:rsidRPr="00C12A5A">
        <w:rPr>
          <w:color w:val="000000" w:themeColor="text1"/>
          <w:sz w:val="22"/>
          <w:szCs w:val="22"/>
        </w:rPr>
        <w:t xml:space="preserve"> and clinical condition</w:t>
      </w:r>
      <w:r w:rsidR="00A73418" w:rsidRPr="00C12A5A">
        <w:rPr>
          <w:color w:val="000000" w:themeColor="text1"/>
          <w:sz w:val="22"/>
          <w:szCs w:val="22"/>
        </w:rPr>
        <w:t xml:space="preserve">, with mean scores of </w:t>
      </w:r>
      <w:r w:rsidRPr="00C12A5A">
        <w:rPr>
          <w:color w:val="000000" w:themeColor="text1"/>
          <w:sz w:val="22"/>
          <w:szCs w:val="22"/>
        </w:rPr>
        <w:t xml:space="preserve">12.66 for ‘high-suspicion BS,’ </w:t>
      </w:r>
      <w:r w:rsidR="00A73418" w:rsidRPr="00C12A5A">
        <w:rPr>
          <w:color w:val="000000" w:themeColor="text1"/>
          <w:sz w:val="22"/>
          <w:szCs w:val="22"/>
        </w:rPr>
        <w:t xml:space="preserve">6.82 for ‘equivocal BS’ and </w:t>
      </w:r>
      <w:r w:rsidRPr="00C12A5A">
        <w:rPr>
          <w:color w:val="000000" w:themeColor="text1"/>
          <w:sz w:val="22"/>
          <w:szCs w:val="22"/>
        </w:rPr>
        <w:t>3.89 for ‘low-suspicion BS.’</w:t>
      </w:r>
      <w:r w:rsidR="00A73418" w:rsidRPr="00C12A5A">
        <w:rPr>
          <w:color w:val="000000" w:themeColor="text1"/>
          <w:sz w:val="22"/>
          <w:szCs w:val="22"/>
        </w:rPr>
        <w:t xml:space="preserve"> There was a significant difference between the categories of ‘high-suspicion BS’ and ‘low-suspicion BS’ (p=0.00</w:t>
      </w:r>
      <w:r w:rsidR="00342636" w:rsidRPr="00C12A5A">
        <w:rPr>
          <w:color w:val="000000" w:themeColor="text1"/>
          <w:sz w:val="22"/>
          <w:szCs w:val="22"/>
        </w:rPr>
        <w:t>2</w:t>
      </w:r>
      <w:r w:rsidR="00A73418" w:rsidRPr="00C12A5A">
        <w:rPr>
          <w:color w:val="000000" w:themeColor="text1"/>
          <w:sz w:val="22"/>
          <w:szCs w:val="22"/>
        </w:rPr>
        <w:t>).</w:t>
      </w:r>
      <w:r w:rsidR="00E1159F" w:rsidRPr="00C12A5A">
        <w:rPr>
          <w:bCs/>
          <w:color w:val="000000" w:themeColor="text1"/>
          <w:sz w:val="22"/>
          <w:szCs w:val="22"/>
          <w:shd w:val="clear" w:color="auto" w:fill="FFFFFF"/>
          <w:vertAlign w:val="superscript"/>
        </w:rPr>
        <w:t>10</w:t>
      </w:r>
      <w:r w:rsidR="00A73418" w:rsidRPr="00C12A5A">
        <w:rPr>
          <w:color w:val="000000" w:themeColor="text1"/>
          <w:sz w:val="22"/>
          <w:szCs w:val="22"/>
        </w:rPr>
        <w:t xml:space="preserve"> </w:t>
      </w:r>
    </w:p>
    <w:p w14:paraId="72118FF5" w14:textId="23E9F0DC" w:rsidR="0000037C" w:rsidRDefault="0000037C" w:rsidP="004601B0">
      <w:pPr>
        <w:tabs>
          <w:tab w:val="left" w:pos="1080"/>
        </w:tabs>
        <w:spacing w:line="480" w:lineRule="auto"/>
        <w:rPr>
          <w:b/>
          <w:bCs/>
          <w:sz w:val="22"/>
          <w:szCs w:val="22"/>
        </w:rPr>
      </w:pPr>
    </w:p>
    <w:p w14:paraId="60C9F58C" w14:textId="02EBA6C5" w:rsidR="00AA6EF8" w:rsidRDefault="00AA6EF8" w:rsidP="004601B0">
      <w:pPr>
        <w:tabs>
          <w:tab w:val="left" w:pos="1080"/>
        </w:tabs>
        <w:spacing w:line="480" w:lineRule="auto"/>
        <w:rPr>
          <w:b/>
          <w:bCs/>
          <w:sz w:val="22"/>
          <w:szCs w:val="22"/>
        </w:rPr>
      </w:pPr>
    </w:p>
    <w:p w14:paraId="256989D1" w14:textId="77777777" w:rsidR="00AA6EF8" w:rsidRPr="0078589D" w:rsidRDefault="00AA6EF8" w:rsidP="004601B0">
      <w:pPr>
        <w:tabs>
          <w:tab w:val="left" w:pos="1080"/>
        </w:tabs>
        <w:spacing w:line="480" w:lineRule="auto"/>
        <w:rPr>
          <w:b/>
          <w:bCs/>
          <w:sz w:val="22"/>
          <w:szCs w:val="22"/>
        </w:rPr>
      </w:pPr>
    </w:p>
    <w:p w14:paraId="5720FE8F" w14:textId="66622B30" w:rsidR="00A51B17" w:rsidRPr="0078589D" w:rsidRDefault="00950088" w:rsidP="004601B0">
      <w:pPr>
        <w:tabs>
          <w:tab w:val="left" w:pos="1080"/>
        </w:tabs>
        <w:spacing w:line="480" w:lineRule="auto"/>
        <w:rPr>
          <w:b/>
          <w:bCs/>
          <w:sz w:val="22"/>
          <w:szCs w:val="22"/>
        </w:rPr>
      </w:pPr>
      <w:r w:rsidRPr="0078589D">
        <w:rPr>
          <w:b/>
          <w:bCs/>
          <w:sz w:val="22"/>
          <w:szCs w:val="22"/>
        </w:rPr>
        <w:lastRenderedPageBreak/>
        <w:t>Discussion</w:t>
      </w:r>
    </w:p>
    <w:p w14:paraId="7832C3F4" w14:textId="46627FBC" w:rsidR="0080682E" w:rsidRPr="0078589D" w:rsidRDefault="0080682E" w:rsidP="004601B0">
      <w:pPr>
        <w:spacing w:line="480" w:lineRule="auto"/>
        <w:jc w:val="both"/>
        <w:rPr>
          <w:color w:val="202124"/>
          <w:sz w:val="22"/>
          <w:szCs w:val="22"/>
          <w:shd w:val="clear" w:color="auto" w:fill="FFFFFF"/>
        </w:rPr>
      </w:pPr>
      <w:r w:rsidRPr="0078589D">
        <w:rPr>
          <w:color w:val="202124"/>
          <w:sz w:val="22"/>
          <w:szCs w:val="22"/>
          <w:shd w:val="clear" w:color="auto" w:fill="FFFFFF"/>
        </w:rPr>
        <w:t xml:space="preserve">We present a cohort of </w:t>
      </w:r>
      <w:r w:rsidR="007B219A">
        <w:rPr>
          <w:color w:val="202124"/>
          <w:sz w:val="22"/>
          <w:szCs w:val="22"/>
          <w:shd w:val="clear" w:color="auto" w:fill="FFFFFF"/>
        </w:rPr>
        <w:t xml:space="preserve">full-term </w:t>
      </w:r>
      <w:r w:rsidRPr="0078589D">
        <w:rPr>
          <w:color w:val="202124"/>
          <w:sz w:val="22"/>
          <w:szCs w:val="22"/>
          <w:shd w:val="clear" w:color="auto" w:fill="FFFFFF"/>
        </w:rPr>
        <w:t xml:space="preserve">neonates </w:t>
      </w:r>
      <w:r w:rsidR="00A51B17" w:rsidRPr="0078589D">
        <w:rPr>
          <w:color w:val="202124"/>
          <w:sz w:val="22"/>
          <w:szCs w:val="22"/>
          <w:shd w:val="clear" w:color="auto" w:fill="FFFFFF"/>
        </w:rPr>
        <w:t xml:space="preserve">managed for suspected </w:t>
      </w:r>
      <w:r w:rsidR="007B219A">
        <w:rPr>
          <w:color w:val="202124"/>
          <w:sz w:val="22"/>
          <w:szCs w:val="22"/>
          <w:shd w:val="clear" w:color="auto" w:fill="FFFFFF"/>
        </w:rPr>
        <w:t xml:space="preserve">EOS due to probable maternal intrapartum sepsis. </w:t>
      </w:r>
      <w:r w:rsidR="00C12A5A">
        <w:rPr>
          <w:color w:val="202124"/>
          <w:sz w:val="22"/>
          <w:szCs w:val="22"/>
          <w:shd w:val="clear" w:color="auto" w:fill="FFFFFF"/>
        </w:rPr>
        <w:t>The objective was</w:t>
      </w:r>
      <w:r w:rsidRPr="0078589D">
        <w:rPr>
          <w:color w:val="202124"/>
          <w:sz w:val="22"/>
          <w:szCs w:val="22"/>
          <w:shd w:val="clear" w:color="auto" w:fill="FFFFFF"/>
        </w:rPr>
        <w:t xml:space="preserve"> to determine if PCT </w:t>
      </w:r>
      <w:r w:rsidR="00EF3A15">
        <w:rPr>
          <w:color w:val="202124"/>
          <w:sz w:val="22"/>
          <w:szCs w:val="22"/>
          <w:shd w:val="clear" w:color="auto" w:fill="FFFFFF"/>
        </w:rPr>
        <w:t xml:space="preserve">levels </w:t>
      </w:r>
      <w:r w:rsidRPr="0078589D">
        <w:rPr>
          <w:color w:val="202124"/>
          <w:sz w:val="22"/>
          <w:szCs w:val="22"/>
          <w:shd w:val="clear" w:color="auto" w:fill="FFFFFF"/>
        </w:rPr>
        <w:t xml:space="preserve">would help in the differentiation of neonates who would demonstrate clinical features highly suggestive of clinically significant </w:t>
      </w:r>
      <w:r w:rsidR="00A51B17" w:rsidRPr="0078589D">
        <w:rPr>
          <w:color w:val="202124"/>
          <w:sz w:val="22"/>
          <w:szCs w:val="22"/>
          <w:shd w:val="clear" w:color="auto" w:fill="FFFFFF"/>
        </w:rPr>
        <w:t>EOS</w:t>
      </w:r>
      <w:r w:rsidRPr="0078589D">
        <w:rPr>
          <w:color w:val="202124"/>
          <w:sz w:val="22"/>
          <w:szCs w:val="22"/>
          <w:shd w:val="clear" w:color="auto" w:fill="FFFFFF"/>
        </w:rPr>
        <w:t xml:space="preserve">. </w:t>
      </w:r>
    </w:p>
    <w:p w14:paraId="2D834540" w14:textId="45F0C8A4" w:rsidR="0080682E" w:rsidRPr="0078589D" w:rsidRDefault="0080682E" w:rsidP="004601B0">
      <w:pPr>
        <w:spacing w:line="480" w:lineRule="auto"/>
        <w:jc w:val="both"/>
        <w:rPr>
          <w:color w:val="202124"/>
          <w:sz w:val="22"/>
          <w:szCs w:val="22"/>
          <w:shd w:val="clear" w:color="auto" w:fill="FFFFFF"/>
        </w:rPr>
      </w:pPr>
    </w:p>
    <w:p w14:paraId="5553B725" w14:textId="048F0E66" w:rsidR="00AB1738" w:rsidRPr="0078589D" w:rsidRDefault="00AB1738" w:rsidP="004601B0">
      <w:pPr>
        <w:spacing w:line="480" w:lineRule="auto"/>
        <w:jc w:val="both"/>
        <w:rPr>
          <w:color w:val="202124"/>
          <w:sz w:val="22"/>
          <w:szCs w:val="22"/>
          <w:shd w:val="clear" w:color="auto" w:fill="FFFFFF"/>
        </w:rPr>
      </w:pPr>
      <w:r w:rsidRPr="0078589D">
        <w:rPr>
          <w:color w:val="202124"/>
          <w:sz w:val="22"/>
          <w:szCs w:val="22"/>
          <w:shd w:val="clear" w:color="auto" w:fill="FFFFFF"/>
        </w:rPr>
        <w:t xml:space="preserve">CRP and PCT are two </w:t>
      </w:r>
      <w:r w:rsidR="00C12A5A">
        <w:rPr>
          <w:color w:val="202124"/>
          <w:sz w:val="22"/>
          <w:szCs w:val="22"/>
          <w:shd w:val="clear" w:color="auto" w:fill="FFFFFF"/>
        </w:rPr>
        <w:t xml:space="preserve">of the </w:t>
      </w:r>
      <w:r w:rsidRPr="0078589D">
        <w:rPr>
          <w:color w:val="202124"/>
          <w:sz w:val="22"/>
          <w:szCs w:val="22"/>
          <w:shd w:val="clear" w:color="auto" w:fill="FFFFFF"/>
        </w:rPr>
        <w:t>most commonly studie</w:t>
      </w:r>
      <w:r w:rsidR="000A315C" w:rsidRPr="0078589D">
        <w:rPr>
          <w:color w:val="202124"/>
          <w:sz w:val="22"/>
          <w:szCs w:val="22"/>
          <w:shd w:val="clear" w:color="auto" w:fill="FFFFFF"/>
        </w:rPr>
        <w:t>d</w:t>
      </w:r>
      <w:r w:rsidRPr="0078589D">
        <w:rPr>
          <w:color w:val="202124"/>
          <w:sz w:val="22"/>
          <w:szCs w:val="22"/>
          <w:shd w:val="clear" w:color="auto" w:fill="FFFFFF"/>
        </w:rPr>
        <w:t xml:space="preserve"> acute-phase reactants in neonatal sepsis.  In general, </w:t>
      </w:r>
      <w:r w:rsidR="00EF3A15">
        <w:rPr>
          <w:color w:val="202124"/>
          <w:sz w:val="22"/>
          <w:szCs w:val="22"/>
          <w:shd w:val="clear" w:color="auto" w:fill="FFFFFF"/>
        </w:rPr>
        <w:t xml:space="preserve">in children and adults </w:t>
      </w:r>
      <w:r w:rsidRPr="0078589D">
        <w:rPr>
          <w:color w:val="202124"/>
          <w:sz w:val="22"/>
          <w:szCs w:val="22"/>
          <w:shd w:val="clear" w:color="auto" w:fill="FFFFFF"/>
        </w:rPr>
        <w:t>PCT is more sensitive than CRP for earlier detection of sepsis</w:t>
      </w:r>
      <w:r w:rsidR="00164229" w:rsidRPr="0078589D">
        <w:rPr>
          <w:color w:val="202124"/>
          <w:sz w:val="22"/>
          <w:szCs w:val="22"/>
          <w:shd w:val="clear" w:color="auto" w:fill="FFFFFF"/>
        </w:rPr>
        <w:t xml:space="preserve">, is more </w:t>
      </w:r>
      <w:r w:rsidRPr="0078589D">
        <w:rPr>
          <w:color w:val="202124"/>
          <w:sz w:val="22"/>
          <w:szCs w:val="22"/>
          <w:shd w:val="clear" w:color="auto" w:fill="FFFFFF"/>
        </w:rPr>
        <w:t xml:space="preserve">likely to be elevated during bacterial infections and declines </w:t>
      </w:r>
      <w:r w:rsidR="00C12A5A">
        <w:rPr>
          <w:color w:val="202124"/>
          <w:sz w:val="22"/>
          <w:szCs w:val="22"/>
          <w:shd w:val="clear" w:color="auto" w:fill="FFFFFF"/>
        </w:rPr>
        <w:t xml:space="preserve">more </w:t>
      </w:r>
      <w:r w:rsidRPr="0078589D">
        <w:rPr>
          <w:color w:val="202124"/>
          <w:sz w:val="22"/>
          <w:szCs w:val="22"/>
          <w:shd w:val="clear" w:color="auto" w:fill="FFFFFF"/>
        </w:rPr>
        <w:t xml:space="preserve">rapidly with </w:t>
      </w:r>
      <w:r w:rsidR="00C12A5A" w:rsidRPr="0078589D">
        <w:rPr>
          <w:color w:val="202124"/>
          <w:sz w:val="22"/>
          <w:szCs w:val="22"/>
          <w:shd w:val="clear" w:color="auto" w:fill="FFFFFF"/>
        </w:rPr>
        <w:t>correct</w:t>
      </w:r>
      <w:r w:rsidRPr="0078589D">
        <w:rPr>
          <w:color w:val="202124"/>
          <w:sz w:val="22"/>
          <w:szCs w:val="22"/>
          <w:shd w:val="clear" w:color="auto" w:fill="FFFFFF"/>
        </w:rPr>
        <w:t xml:space="preserve"> therapy.</w:t>
      </w:r>
      <w:r w:rsidR="00815B3D">
        <w:rPr>
          <w:bCs/>
          <w:color w:val="000000" w:themeColor="text1"/>
          <w:sz w:val="22"/>
          <w:szCs w:val="22"/>
          <w:shd w:val="clear" w:color="auto" w:fill="FFFFFF"/>
          <w:vertAlign w:val="superscript"/>
        </w:rPr>
        <w:t>7</w:t>
      </w:r>
      <w:r w:rsidRPr="0078589D">
        <w:rPr>
          <w:color w:val="202124"/>
          <w:sz w:val="22"/>
          <w:szCs w:val="22"/>
          <w:shd w:val="clear" w:color="auto" w:fill="FFFFFF"/>
        </w:rPr>
        <w:t xml:space="preserve"> </w:t>
      </w:r>
      <w:r w:rsidR="00EF3A15">
        <w:rPr>
          <w:color w:val="202124"/>
          <w:sz w:val="22"/>
          <w:szCs w:val="22"/>
          <w:shd w:val="clear" w:color="auto" w:fill="FFFFFF"/>
        </w:rPr>
        <w:t xml:space="preserve">Therefore, PCT is becoming a superior biomarker to CRP in the management of sepsis in children and adults. However, in neonates during the first 72 hours of life it remains controversial. </w:t>
      </w:r>
    </w:p>
    <w:p w14:paraId="34A03BE6" w14:textId="77777777" w:rsidR="00EF3A15" w:rsidRDefault="00EF3A15" w:rsidP="00EF3A15">
      <w:pPr>
        <w:spacing w:line="480" w:lineRule="auto"/>
        <w:jc w:val="both"/>
        <w:rPr>
          <w:color w:val="1C1D1E"/>
          <w:sz w:val="22"/>
          <w:szCs w:val="22"/>
        </w:rPr>
      </w:pPr>
    </w:p>
    <w:p w14:paraId="6C129A48" w14:textId="1FD2E1D4" w:rsidR="00EF3A15" w:rsidRDefault="00EF3A15" w:rsidP="004601B0">
      <w:pPr>
        <w:spacing w:line="480" w:lineRule="auto"/>
        <w:jc w:val="both"/>
        <w:rPr>
          <w:color w:val="1C1D1E"/>
          <w:sz w:val="22"/>
          <w:szCs w:val="22"/>
        </w:rPr>
      </w:pPr>
      <w:r>
        <w:rPr>
          <w:color w:val="1C1D1E"/>
          <w:sz w:val="22"/>
          <w:szCs w:val="22"/>
        </w:rPr>
        <w:t xml:space="preserve">In this study, a higher percentage of PCT levels showed elevation in comparison to CRP levels in the initial testing (55.3% versus 5.9%) and follow up testing (98.9% versus 35%). </w:t>
      </w:r>
      <w:r w:rsidR="00C12A5A">
        <w:rPr>
          <w:color w:val="202124"/>
          <w:sz w:val="22"/>
          <w:szCs w:val="22"/>
          <w:shd w:val="clear" w:color="auto" w:fill="FFFFFF"/>
        </w:rPr>
        <w:t>There was</w:t>
      </w:r>
      <w:r w:rsidRPr="0078589D">
        <w:rPr>
          <w:color w:val="202124"/>
          <w:sz w:val="22"/>
          <w:szCs w:val="22"/>
          <w:shd w:val="clear" w:color="auto" w:fill="FFFFFF"/>
        </w:rPr>
        <w:t xml:space="preserve"> a significant increase in the neonatal ‘Day 1’ PCT compared to their ‘Time 0’ PCT</w:t>
      </w:r>
      <w:r>
        <w:rPr>
          <w:color w:val="202124"/>
          <w:sz w:val="22"/>
          <w:szCs w:val="22"/>
          <w:shd w:val="clear" w:color="auto" w:fill="FFFFFF"/>
        </w:rPr>
        <w:t xml:space="preserve">. This may reflect the </w:t>
      </w:r>
      <w:r w:rsidRPr="0078589D">
        <w:rPr>
          <w:color w:val="202124"/>
          <w:sz w:val="22"/>
          <w:szCs w:val="22"/>
          <w:shd w:val="clear" w:color="auto" w:fill="FFFFFF"/>
        </w:rPr>
        <w:t xml:space="preserve">known physiological peak in PCT </w:t>
      </w:r>
      <w:r>
        <w:rPr>
          <w:color w:val="202124"/>
          <w:sz w:val="22"/>
          <w:szCs w:val="22"/>
          <w:shd w:val="clear" w:color="auto" w:fill="FFFFFF"/>
        </w:rPr>
        <w:t>levels in the first</w:t>
      </w:r>
      <w:r w:rsidRPr="0078589D">
        <w:rPr>
          <w:color w:val="202124"/>
          <w:sz w:val="22"/>
          <w:szCs w:val="22"/>
          <w:shd w:val="clear" w:color="auto" w:fill="FFFFFF"/>
        </w:rPr>
        <w:t xml:space="preserve"> 24 hours from birth</w:t>
      </w:r>
      <w:r>
        <w:rPr>
          <w:color w:val="202124"/>
          <w:sz w:val="22"/>
          <w:szCs w:val="22"/>
          <w:shd w:val="clear" w:color="auto" w:fill="FFFFFF"/>
        </w:rPr>
        <w:t>, and not necessarily be related to a sepsis-induced inflammatory response</w:t>
      </w:r>
      <w:r w:rsidRPr="0078589D">
        <w:rPr>
          <w:color w:val="202124"/>
          <w:sz w:val="22"/>
          <w:szCs w:val="22"/>
          <w:shd w:val="clear" w:color="auto" w:fill="FFFFFF"/>
        </w:rPr>
        <w:t>.</w:t>
      </w:r>
      <w:r w:rsidR="00815B3D">
        <w:rPr>
          <w:bCs/>
          <w:color w:val="000000" w:themeColor="text1"/>
          <w:sz w:val="22"/>
          <w:szCs w:val="22"/>
          <w:shd w:val="clear" w:color="auto" w:fill="FFFFFF"/>
          <w:vertAlign w:val="superscript"/>
        </w:rPr>
        <w:t>1</w:t>
      </w:r>
      <w:r w:rsidR="00E1159F">
        <w:rPr>
          <w:bCs/>
          <w:color w:val="000000" w:themeColor="text1"/>
          <w:sz w:val="22"/>
          <w:szCs w:val="22"/>
          <w:shd w:val="clear" w:color="auto" w:fill="FFFFFF"/>
          <w:vertAlign w:val="superscript"/>
        </w:rPr>
        <w:t>1</w:t>
      </w:r>
      <w:r w:rsidRPr="0078589D">
        <w:rPr>
          <w:color w:val="202124"/>
          <w:sz w:val="22"/>
          <w:szCs w:val="22"/>
          <w:shd w:val="clear" w:color="auto" w:fill="FFFFFF"/>
        </w:rPr>
        <w:t xml:space="preserve"> </w:t>
      </w:r>
    </w:p>
    <w:p w14:paraId="10C17CC6" w14:textId="77777777" w:rsidR="00EF3A15" w:rsidRPr="00EF3A15" w:rsidRDefault="00EF3A15" w:rsidP="004601B0">
      <w:pPr>
        <w:spacing w:line="480" w:lineRule="auto"/>
        <w:jc w:val="both"/>
        <w:rPr>
          <w:color w:val="1C1D1E"/>
          <w:sz w:val="22"/>
          <w:szCs w:val="22"/>
        </w:rPr>
      </w:pPr>
    </w:p>
    <w:p w14:paraId="6F667456" w14:textId="56712909" w:rsidR="00EF3A15" w:rsidRDefault="00EF3A15" w:rsidP="004601B0">
      <w:pPr>
        <w:spacing w:line="480" w:lineRule="auto"/>
        <w:jc w:val="both"/>
        <w:rPr>
          <w:bCs/>
          <w:color w:val="000000" w:themeColor="text1"/>
          <w:sz w:val="22"/>
          <w:szCs w:val="22"/>
          <w:shd w:val="clear" w:color="auto" w:fill="FFFFFF"/>
          <w:vertAlign w:val="superscript"/>
        </w:rPr>
      </w:pPr>
      <w:r w:rsidRPr="0078589D">
        <w:rPr>
          <w:color w:val="202124"/>
          <w:sz w:val="22"/>
          <w:szCs w:val="22"/>
          <w:shd w:val="clear" w:color="auto" w:fill="FFFFFF"/>
        </w:rPr>
        <w:t xml:space="preserve">However, when comparing PCT levels in the 3 categories of likelihood of infection there was a </w:t>
      </w:r>
      <w:r w:rsidRPr="0078589D">
        <w:rPr>
          <w:color w:val="1C1D1E"/>
          <w:sz w:val="22"/>
          <w:szCs w:val="22"/>
        </w:rPr>
        <w:t>significant difference between the ‘</w:t>
      </w:r>
      <w:r w:rsidR="00C12A5A">
        <w:rPr>
          <w:color w:val="1C1D1E"/>
          <w:sz w:val="22"/>
          <w:szCs w:val="22"/>
        </w:rPr>
        <w:t>low</w:t>
      </w:r>
      <w:r w:rsidRPr="0078589D">
        <w:rPr>
          <w:color w:val="1C1D1E"/>
          <w:sz w:val="22"/>
          <w:szCs w:val="22"/>
        </w:rPr>
        <w:t>-suspicion BS’ and ‘</w:t>
      </w:r>
      <w:r w:rsidR="00C12A5A">
        <w:rPr>
          <w:color w:val="1C1D1E"/>
          <w:sz w:val="22"/>
          <w:szCs w:val="22"/>
        </w:rPr>
        <w:t>high</w:t>
      </w:r>
      <w:r w:rsidRPr="0078589D">
        <w:rPr>
          <w:color w:val="1C1D1E"/>
          <w:sz w:val="22"/>
          <w:szCs w:val="22"/>
        </w:rPr>
        <w:t>-suspicion BS’ categories for both the ‘Time 0’ (p=0.0349) and the ‘Day 1’ PCT results (p=0.008).</w:t>
      </w:r>
      <w:r w:rsidR="00E1159F">
        <w:rPr>
          <w:bCs/>
          <w:color w:val="000000" w:themeColor="text1"/>
          <w:sz w:val="22"/>
          <w:szCs w:val="22"/>
          <w:shd w:val="clear" w:color="auto" w:fill="FFFFFF"/>
          <w:vertAlign w:val="superscript"/>
        </w:rPr>
        <w:t>10</w:t>
      </w:r>
      <w:r w:rsidRPr="0078589D">
        <w:rPr>
          <w:color w:val="1C1D1E"/>
          <w:sz w:val="22"/>
          <w:szCs w:val="22"/>
        </w:rPr>
        <w:t xml:space="preserve"> This shows a potential role in the level of elevation of PCT reflecting clinical severity, which could be utilised in the management of EOS once a normal range of PCT has been determined</w:t>
      </w:r>
      <w:r>
        <w:rPr>
          <w:color w:val="1C1D1E"/>
          <w:sz w:val="22"/>
          <w:szCs w:val="22"/>
        </w:rPr>
        <w:t>.</w:t>
      </w:r>
      <w:r w:rsidRPr="0078589D">
        <w:rPr>
          <w:bCs/>
          <w:color w:val="000000" w:themeColor="text1"/>
          <w:sz w:val="22"/>
          <w:szCs w:val="22"/>
          <w:shd w:val="clear" w:color="auto" w:fill="FFFFFF"/>
          <w:vertAlign w:val="superscript"/>
        </w:rPr>
        <w:t>3,</w:t>
      </w:r>
      <w:r w:rsidR="009A65C5">
        <w:rPr>
          <w:bCs/>
          <w:color w:val="000000" w:themeColor="text1"/>
          <w:sz w:val="22"/>
          <w:szCs w:val="22"/>
          <w:shd w:val="clear" w:color="auto" w:fill="FFFFFF"/>
          <w:vertAlign w:val="superscript"/>
        </w:rPr>
        <w:t>1</w:t>
      </w:r>
      <w:r w:rsidR="00E1159F">
        <w:rPr>
          <w:bCs/>
          <w:color w:val="000000" w:themeColor="text1"/>
          <w:sz w:val="22"/>
          <w:szCs w:val="22"/>
          <w:shd w:val="clear" w:color="auto" w:fill="FFFFFF"/>
          <w:vertAlign w:val="superscript"/>
        </w:rPr>
        <w:t>6</w:t>
      </w:r>
    </w:p>
    <w:p w14:paraId="292EB242" w14:textId="77777777" w:rsidR="00EF3A15" w:rsidRPr="0078589D" w:rsidRDefault="00EF3A15" w:rsidP="004601B0">
      <w:pPr>
        <w:spacing w:line="480" w:lineRule="auto"/>
        <w:jc w:val="both"/>
        <w:rPr>
          <w:color w:val="202124"/>
          <w:sz w:val="22"/>
          <w:szCs w:val="22"/>
          <w:shd w:val="clear" w:color="auto" w:fill="FFFFFF"/>
        </w:rPr>
      </w:pPr>
    </w:p>
    <w:p w14:paraId="00EB4C18" w14:textId="4D187FC1" w:rsidR="00AB1738" w:rsidRPr="0078589D" w:rsidRDefault="00C12A5A" w:rsidP="004601B0">
      <w:pPr>
        <w:spacing w:line="480" w:lineRule="auto"/>
        <w:jc w:val="both"/>
        <w:rPr>
          <w:color w:val="000000"/>
          <w:sz w:val="22"/>
          <w:szCs w:val="22"/>
          <w:shd w:val="clear" w:color="auto" w:fill="FFFFFF"/>
        </w:rPr>
      </w:pPr>
      <w:r>
        <w:rPr>
          <w:color w:val="202124"/>
          <w:sz w:val="22"/>
          <w:szCs w:val="22"/>
          <w:shd w:val="clear" w:color="auto" w:fill="FFFFFF"/>
        </w:rPr>
        <w:t>A</w:t>
      </w:r>
      <w:r w:rsidR="007B219A">
        <w:rPr>
          <w:color w:val="202124"/>
          <w:sz w:val="22"/>
          <w:szCs w:val="22"/>
          <w:shd w:val="clear" w:color="auto" w:fill="FFFFFF"/>
        </w:rPr>
        <w:t xml:space="preserve">fter an initial inflammatory trigger, </w:t>
      </w:r>
      <w:r w:rsidRPr="0078589D">
        <w:rPr>
          <w:color w:val="202124"/>
          <w:sz w:val="22"/>
          <w:szCs w:val="22"/>
          <w:shd w:val="clear" w:color="auto" w:fill="FFFFFF"/>
        </w:rPr>
        <w:t xml:space="preserve">CRP </w:t>
      </w:r>
      <w:r>
        <w:rPr>
          <w:color w:val="202124"/>
          <w:sz w:val="22"/>
          <w:szCs w:val="22"/>
          <w:shd w:val="clear" w:color="auto" w:fill="FFFFFF"/>
        </w:rPr>
        <w:t xml:space="preserve">starts to rise within 5-6 hours and </w:t>
      </w:r>
      <w:r w:rsidR="007B219A">
        <w:rPr>
          <w:color w:val="202124"/>
          <w:sz w:val="22"/>
          <w:szCs w:val="22"/>
          <w:shd w:val="clear" w:color="auto" w:fill="FFFFFF"/>
        </w:rPr>
        <w:t>peaks at 36-50 hours, with levels falling as inflammation resolves (half-life 19</w:t>
      </w:r>
      <w:r>
        <w:rPr>
          <w:color w:val="202124"/>
          <w:sz w:val="22"/>
          <w:szCs w:val="22"/>
          <w:shd w:val="clear" w:color="auto" w:fill="FFFFFF"/>
        </w:rPr>
        <w:t>-</w:t>
      </w:r>
      <w:r w:rsidR="007B219A">
        <w:rPr>
          <w:color w:val="202124"/>
          <w:sz w:val="22"/>
          <w:szCs w:val="22"/>
          <w:shd w:val="clear" w:color="auto" w:fill="FFFFFF"/>
        </w:rPr>
        <w:t>hours).</w:t>
      </w:r>
      <w:r w:rsidR="009A65C5">
        <w:rPr>
          <w:bCs/>
          <w:color w:val="000000" w:themeColor="text1"/>
          <w:sz w:val="22"/>
          <w:szCs w:val="22"/>
          <w:shd w:val="clear" w:color="auto" w:fill="FFFFFF"/>
          <w:vertAlign w:val="superscript"/>
        </w:rPr>
        <w:t>2</w:t>
      </w:r>
      <w:r w:rsidR="00E1159F">
        <w:rPr>
          <w:bCs/>
          <w:color w:val="000000" w:themeColor="text1"/>
          <w:sz w:val="22"/>
          <w:szCs w:val="22"/>
          <w:shd w:val="clear" w:color="auto" w:fill="FFFFFF"/>
          <w:vertAlign w:val="superscript"/>
        </w:rPr>
        <w:t>6</w:t>
      </w:r>
      <w:r w:rsidR="007B219A">
        <w:rPr>
          <w:color w:val="202124"/>
          <w:sz w:val="22"/>
          <w:szCs w:val="22"/>
          <w:shd w:val="clear" w:color="auto" w:fill="FFFFFF"/>
        </w:rPr>
        <w:t xml:space="preserve"> Therefore, an</w:t>
      </w:r>
      <w:r w:rsidR="00AB1738" w:rsidRPr="0078589D">
        <w:rPr>
          <w:color w:val="202124"/>
          <w:sz w:val="22"/>
          <w:szCs w:val="22"/>
          <w:shd w:val="clear" w:color="auto" w:fill="FFFFFF"/>
        </w:rPr>
        <w:t xml:space="preserve"> increasing CRP level is a better predictor than individual values.</w:t>
      </w:r>
      <w:r w:rsidR="00815B3D">
        <w:rPr>
          <w:bCs/>
          <w:color w:val="000000" w:themeColor="text1"/>
          <w:sz w:val="22"/>
          <w:szCs w:val="22"/>
          <w:shd w:val="clear" w:color="auto" w:fill="FFFFFF"/>
          <w:vertAlign w:val="superscript"/>
        </w:rPr>
        <w:t>7</w:t>
      </w:r>
      <w:r w:rsidR="00AB1738" w:rsidRPr="0078589D">
        <w:rPr>
          <w:color w:val="202124"/>
          <w:sz w:val="22"/>
          <w:szCs w:val="22"/>
          <w:shd w:val="clear" w:color="auto" w:fill="FFFFFF"/>
        </w:rPr>
        <w:t xml:space="preserve"> </w:t>
      </w:r>
      <w:r w:rsidR="00AB1738" w:rsidRPr="0078589D">
        <w:rPr>
          <w:rStyle w:val="apple-converted-space"/>
          <w:color w:val="000000"/>
          <w:sz w:val="22"/>
          <w:szCs w:val="22"/>
          <w:shd w:val="clear" w:color="auto" w:fill="FFFFFF"/>
        </w:rPr>
        <w:t> </w:t>
      </w:r>
      <w:r w:rsidR="00AB1738" w:rsidRPr="0078589D">
        <w:rPr>
          <w:color w:val="000000"/>
          <w:sz w:val="22"/>
          <w:szCs w:val="22"/>
          <w:shd w:val="clear" w:color="auto" w:fill="FFFFFF"/>
        </w:rPr>
        <w:t>Two normal CRP levels (&lt;1</w:t>
      </w:r>
      <w:r w:rsidR="007B219A">
        <w:rPr>
          <w:color w:val="000000"/>
          <w:sz w:val="22"/>
          <w:szCs w:val="22"/>
          <w:shd w:val="clear" w:color="auto" w:fill="FFFFFF"/>
        </w:rPr>
        <w:t>0</w:t>
      </w:r>
      <w:r w:rsidR="00AB1738" w:rsidRPr="0078589D">
        <w:rPr>
          <w:color w:val="000000"/>
          <w:sz w:val="22"/>
          <w:szCs w:val="22"/>
          <w:shd w:val="clear" w:color="auto" w:fill="FFFFFF"/>
        </w:rPr>
        <w:t xml:space="preserve">mg/dL), obtained 24 hours apart, indicate that bacterial infection is unlikely, and </w:t>
      </w:r>
      <w:r>
        <w:rPr>
          <w:color w:val="000000"/>
          <w:sz w:val="22"/>
          <w:szCs w:val="22"/>
          <w:shd w:val="clear" w:color="auto" w:fill="FFFFFF"/>
        </w:rPr>
        <w:t xml:space="preserve">for proven neonatal sepsis </w:t>
      </w:r>
      <w:r w:rsidR="00AB1738" w:rsidRPr="0078589D">
        <w:rPr>
          <w:color w:val="000000"/>
          <w:sz w:val="22"/>
          <w:szCs w:val="22"/>
          <w:shd w:val="clear" w:color="auto" w:fill="FFFFFF"/>
        </w:rPr>
        <w:t xml:space="preserve">have been shown to have a </w:t>
      </w:r>
      <w:r w:rsidRPr="0078589D">
        <w:rPr>
          <w:color w:val="000000"/>
          <w:sz w:val="22"/>
          <w:szCs w:val="22"/>
          <w:shd w:val="clear" w:color="auto" w:fill="FFFFFF"/>
        </w:rPr>
        <w:t xml:space="preserve">negative likelihood ratio of 0.15 </w:t>
      </w:r>
      <w:r>
        <w:rPr>
          <w:color w:val="000000"/>
          <w:sz w:val="22"/>
          <w:szCs w:val="22"/>
          <w:shd w:val="clear" w:color="auto" w:fill="FFFFFF"/>
        </w:rPr>
        <w:t xml:space="preserve">and a </w:t>
      </w:r>
      <w:r w:rsidR="00AB1738" w:rsidRPr="0078589D">
        <w:rPr>
          <w:color w:val="000000"/>
          <w:sz w:val="22"/>
          <w:szCs w:val="22"/>
          <w:shd w:val="clear" w:color="auto" w:fill="FFFFFF"/>
        </w:rPr>
        <w:t>negative predictive value of 99.7%.</w:t>
      </w:r>
      <w:r w:rsidR="00F229DB" w:rsidRPr="0078589D">
        <w:rPr>
          <w:bCs/>
          <w:color w:val="000000" w:themeColor="text1"/>
          <w:sz w:val="22"/>
          <w:szCs w:val="22"/>
          <w:shd w:val="clear" w:color="auto" w:fill="FFFFFF"/>
          <w:vertAlign w:val="superscript"/>
        </w:rPr>
        <w:t>2</w:t>
      </w:r>
      <w:r w:rsidR="00E1159F">
        <w:rPr>
          <w:bCs/>
          <w:color w:val="000000" w:themeColor="text1"/>
          <w:sz w:val="22"/>
          <w:szCs w:val="22"/>
          <w:shd w:val="clear" w:color="auto" w:fill="FFFFFF"/>
          <w:vertAlign w:val="superscript"/>
        </w:rPr>
        <w:t>7</w:t>
      </w:r>
      <w:r w:rsidR="00AB1738" w:rsidRPr="0078589D">
        <w:rPr>
          <w:color w:val="000000"/>
          <w:sz w:val="22"/>
          <w:szCs w:val="22"/>
          <w:shd w:val="clear" w:color="auto" w:fill="FFFFFF"/>
        </w:rPr>
        <w:t xml:space="preserve"> This is the evidence behind the current </w:t>
      </w:r>
      <w:r w:rsidR="00A51B17" w:rsidRPr="0078589D">
        <w:rPr>
          <w:color w:val="000000"/>
          <w:sz w:val="22"/>
          <w:szCs w:val="22"/>
          <w:shd w:val="clear" w:color="auto" w:fill="FFFFFF"/>
        </w:rPr>
        <w:t xml:space="preserve">NICE </w:t>
      </w:r>
      <w:r w:rsidR="00AB1738" w:rsidRPr="0078589D">
        <w:rPr>
          <w:color w:val="000000"/>
          <w:sz w:val="22"/>
          <w:szCs w:val="22"/>
          <w:shd w:val="clear" w:color="auto" w:fill="FFFFFF"/>
        </w:rPr>
        <w:t xml:space="preserve">guidelines followed in our unit </w:t>
      </w:r>
      <w:r w:rsidR="00A51B17" w:rsidRPr="0078589D">
        <w:rPr>
          <w:color w:val="000000"/>
          <w:sz w:val="22"/>
          <w:szCs w:val="22"/>
          <w:shd w:val="clear" w:color="auto" w:fill="FFFFFF"/>
        </w:rPr>
        <w:t>to take</w:t>
      </w:r>
      <w:r w:rsidR="00AB1738" w:rsidRPr="0078589D">
        <w:rPr>
          <w:color w:val="000000"/>
          <w:sz w:val="22"/>
          <w:szCs w:val="22"/>
          <w:shd w:val="clear" w:color="auto" w:fill="FFFFFF"/>
        </w:rPr>
        <w:t xml:space="preserve"> </w:t>
      </w:r>
      <w:r w:rsidR="00A51B17" w:rsidRPr="0078589D">
        <w:rPr>
          <w:color w:val="000000"/>
          <w:sz w:val="22"/>
          <w:szCs w:val="22"/>
          <w:shd w:val="clear" w:color="auto" w:fill="FFFFFF"/>
        </w:rPr>
        <w:t>two</w:t>
      </w:r>
      <w:r w:rsidR="00AB1738" w:rsidRPr="0078589D">
        <w:rPr>
          <w:color w:val="000000"/>
          <w:sz w:val="22"/>
          <w:szCs w:val="22"/>
          <w:shd w:val="clear" w:color="auto" w:fill="FFFFFF"/>
        </w:rPr>
        <w:t xml:space="preserve"> CRP levels 24 hours apart after birth </w:t>
      </w:r>
      <w:r w:rsidR="00A51B17" w:rsidRPr="0078589D">
        <w:rPr>
          <w:color w:val="000000"/>
          <w:sz w:val="22"/>
          <w:szCs w:val="22"/>
          <w:shd w:val="clear" w:color="auto" w:fill="FFFFFF"/>
        </w:rPr>
        <w:t>from</w:t>
      </w:r>
      <w:r w:rsidR="00AB1738" w:rsidRPr="0078589D">
        <w:rPr>
          <w:color w:val="000000"/>
          <w:sz w:val="22"/>
          <w:szCs w:val="22"/>
          <w:shd w:val="clear" w:color="auto" w:fill="FFFFFF"/>
        </w:rPr>
        <w:t xml:space="preserve"> </w:t>
      </w:r>
      <w:r w:rsidR="00A51B17" w:rsidRPr="0078589D">
        <w:rPr>
          <w:color w:val="000000"/>
          <w:sz w:val="22"/>
          <w:szCs w:val="22"/>
          <w:shd w:val="clear" w:color="auto" w:fill="FFFFFF"/>
        </w:rPr>
        <w:t xml:space="preserve">neonates managed for suspected </w:t>
      </w:r>
      <w:r w:rsidR="00A51B17" w:rsidRPr="0078589D">
        <w:rPr>
          <w:color w:val="000000"/>
          <w:sz w:val="22"/>
          <w:szCs w:val="22"/>
          <w:shd w:val="clear" w:color="auto" w:fill="FFFFFF"/>
        </w:rPr>
        <w:lastRenderedPageBreak/>
        <w:t xml:space="preserve">maternal intrapartum pyrexia </w:t>
      </w:r>
      <w:r w:rsidR="00AB1738" w:rsidRPr="0078589D">
        <w:rPr>
          <w:color w:val="000000"/>
          <w:sz w:val="22"/>
          <w:szCs w:val="22"/>
          <w:shd w:val="clear" w:color="auto" w:fill="FFFFFF"/>
        </w:rPr>
        <w:t>in order to determine antibiotic treatment.</w:t>
      </w:r>
      <w:r w:rsidR="0048330B" w:rsidRPr="0078589D">
        <w:rPr>
          <w:bCs/>
          <w:color w:val="000000" w:themeColor="text1"/>
          <w:sz w:val="22"/>
          <w:szCs w:val="22"/>
          <w:shd w:val="clear" w:color="auto" w:fill="FFFFFF"/>
          <w:vertAlign w:val="superscript"/>
        </w:rPr>
        <w:t>1</w:t>
      </w:r>
      <w:r w:rsidR="00E1159F">
        <w:rPr>
          <w:bCs/>
          <w:color w:val="000000" w:themeColor="text1"/>
          <w:sz w:val="22"/>
          <w:szCs w:val="22"/>
          <w:shd w:val="clear" w:color="auto" w:fill="FFFFFF"/>
          <w:vertAlign w:val="superscript"/>
        </w:rPr>
        <w:t>8</w:t>
      </w:r>
      <w:r w:rsidR="00AB1738" w:rsidRPr="0078589D">
        <w:rPr>
          <w:color w:val="000000"/>
          <w:sz w:val="22"/>
          <w:szCs w:val="22"/>
          <w:shd w:val="clear" w:color="auto" w:fill="FFFFFF"/>
        </w:rPr>
        <w:t xml:space="preserve"> </w:t>
      </w:r>
      <w:r w:rsidR="00EF3A15">
        <w:rPr>
          <w:color w:val="000000"/>
          <w:sz w:val="22"/>
          <w:szCs w:val="22"/>
          <w:shd w:val="clear" w:color="auto" w:fill="FFFFFF"/>
        </w:rPr>
        <w:t xml:space="preserve">This study appears to support that two normal CRP levels, obtained 24 hours apart is superior to influence treatment compared to two normal PCT levels. </w:t>
      </w:r>
    </w:p>
    <w:p w14:paraId="749173DB" w14:textId="77777777" w:rsidR="00EF3A15" w:rsidRPr="0078589D" w:rsidRDefault="00EF3A15" w:rsidP="00EF3A15">
      <w:pPr>
        <w:spacing w:line="480" w:lineRule="auto"/>
        <w:jc w:val="both"/>
        <w:rPr>
          <w:color w:val="202124"/>
          <w:sz w:val="22"/>
          <w:szCs w:val="22"/>
          <w:shd w:val="clear" w:color="auto" w:fill="FFFFFF"/>
        </w:rPr>
      </w:pPr>
    </w:p>
    <w:p w14:paraId="0B169432" w14:textId="3A9C4DB9" w:rsidR="00EF3A15" w:rsidRPr="0078589D" w:rsidRDefault="00EF3A15" w:rsidP="00EF3A15">
      <w:pPr>
        <w:spacing w:line="480" w:lineRule="auto"/>
        <w:jc w:val="both"/>
        <w:rPr>
          <w:color w:val="202124"/>
          <w:sz w:val="22"/>
          <w:szCs w:val="22"/>
          <w:shd w:val="clear" w:color="auto" w:fill="FFFFFF"/>
        </w:rPr>
      </w:pPr>
      <w:r w:rsidRPr="0078589D">
        <w:rPr>
          <w:color w:val="202124"/>
          <w:sz w:val="22"/>
          <w:szCs w:val="22"/>
          <w:shd w:val="clear" w:color="auto" w:fill="FFFFFF"/>
        </w:rPr>
        <w:t>Studies have shown that PCT could be useful in guiding antibiotic therapy</w:t>
      </w:r>
      <w:r w:rsidR="00C12A5A">
        <w:rPr>
          <w:color w:val="202124"/>
          <w:sz w:val="22"/>
          <w:szCs w:val="22"/>
          <w:shd w:val="clear" w:color="auto" w:fill="FFFFFF"/>
        </w:rPr>
        <w:t xml:space="preserve"> duration</w:t>
      </w:r>
      <w:r w:rsidRPr="0078589D">
        <w:rPr>
          <w:color w:val="202124"/>
          <w:sz w:val="22"/>
          <w:szCs w:val="22"/>
          <w:shd w:val="clear" w:color="auto" w:fill="FFFFFF"/>
        </w:rPr>
        <w:t xml:space="preserve"> in neonates with suspected EOS</w:t>
      </w:r>
      <w:r>
        <w:rPr>
          <w:color w:val="202124"/>
          <w:sz w:val="22"/>
          <w:szCs w:val="22"/>
          <w:shd w:val="clear" w:color="auto" w:fill="FFFFFF"/>
        </w:rPr>
        <w:t xml:space="preserve"> on established treatment 72 hours after birth</w:t>
      </w:r>
      <w:r w:rsidRPr="0078589D">
        <w:rPr>
          <w:color w:val="202124"/>
          <w:sz w:val="22"/>
          <w:szCs w:val="22"/>
          <w:shd w:val="clear" w:color="auto" w:fill="FFFFFF"/>
        </w:rPr>
        <w:t>. A multicentre, randomised controlled trial by Stocker et al, concluded procalcitonin-guided decision making was superior to standard care in reducing antibiotic therapy in neonates with suspected EOS.</w:t>
      </w:r>
      <w:r w:rsidRPr="0078589D">
        <w:rPr>
          <w:bCs/>
          <w:color w:val="000000" w:themeColor="text1"/>
          <w:sz w:val="22"/>
          <w:szCs w:val="22"/>
          <w:shd w:val="clear" w:color="auto" w:fill="FFFFFF"/>
          <w:vertAlign w:val="superscript"/>
        </w:rPr>
        <w:t>2</w:t>
      </w:r>
      <w:r w:rsidR="00E1159F">
        <w:rPr>
          <w:bCs/>
          <w:color w:val="000000" w:themeColor="text1"/>
          <w:sz w:val="22"/>
          <w:szCs w:val="22"/>
          <w:shd w:val="clear" w:color="auto" w:fill="FFFFFF"/>
          <w:vertAlign w:val="superscript"/>
        </w:rPr>
        <w:t>8</w:t>
      </w:r>
      <w:r w:rsidRPr="0078589D">
        <w:rPr>
          <w:color w:val="202124"/>
          <w:sz w:val="22"/>
          <w:szCs w:val="22"/>
          <w:shd w:val="clear" w:color="auto" w:fill="FFFFFF"/>
        </w:rPr>
        <w:t xml:space="preserve"> PCT has also shown to return to the normal range more quickly than CRP, suggesting PCT may be an early marker of favourable </w:t>
      </w:r>
      <w:r w:rsidRPr="00377C11">
        <w:rPr>
          <w:color w:val="000000" w:themeColor="text1"/>
          <w:sz w:val="22"/>
          <w:szCs w:val="22"/>
          <w:shd w:val="clear" w:color="auto" w:fill="FFFFFF"/>
        </w:rPr>
        <w:t>outcome.</w:t>
      </w:r>
      <w:r w:rsidRPr="00377C11">
        <w:rPr>
          <w:bCs/>
          <w:color w:val="000000" w:themeColor="text1"/>
          <w:sz w:val="22"/>
          <w:szCs w:val="22"/>
          <w:shd w:val="clear" w:color="auto" w:fill="FFFFFF"/>
          <w:vertAlign w:val="superscript"/>
        </w:rPr>
        <w:t>2</w:t>
      </w:r>
      <w:r w:rsidR="00E1159F" w:rsidRPr="00377C11">
        <w:rPr>
          <w:bCs/>
          <w:color w:val="000000" w:themeColor="text1"/>
          <w:sz w:val="22"/>
          <w:szCs w:val="22"/>
          <w:shd w:val="clear" w:color="auto" w:fill="FFFFFF"/>
          <w:vertAlign w:val="superscript"/>
        </w:rPr>
        <w:t>9,30</w:t>
      </w:r>
    </w:p>
    <w:p w14:paraId="06BCBA8E" w14:textId="114D9947" w:rsidR="00AB1738" w:rsidRPr="0078589D" w:rsidRDefault="00AB1738" w:rsidP="004601B0">
      <w:pPr>
        <w:spacing w:line="480" w:lineRule="auto"/>
        <w:jc w:val="both"/>
        <w:rPr>
          <w:color w:val="1C1D1E"/>
          <w:sz w:val="22"/>
          <w:szCs w:val="22"/>
        </w:rPr>
      </w:pPr>
    </w:p>
    <w:p w14:paraId="5421B110" w14:textId="525C5345" w:rsidR="00412542" w:rsidRPr="0078589D" w:rsidRDefault="00AB1738" w:rsidP="004601B0">
      <w:pPr>
        <w:spacing w:line="480" w:lineRule="auto"/>
        <w:jc w:val="both"/>
        <w:rPr>
          <w:color w:val="000000" w:themeColor="text1"/>
          <w:sz w:val="22"/>
          <w:szCs w:val="22"/>
          <w:shd w:val="clear" w:color="auto" w:fill="FFFFFF"/>
        </w:rPr>
      </w:pPr>
      <w:r w:rsidRPr="0078589D">
        <w:rPr>
          <w:color w:val="202124"/>
          <w:sz w:val="22"/>
          <w:szCs w:val="22"/>
          <w:shd w:val="clear" w:color="auto" w:fill="FFFFFF"/>
        </w:rPr>
        <w:t>In this study</w:t>
      </w:r>
      <w:r w:rsidR="00703B78" w:rsidRPr="0078589D">
        <w:rPr>
          <w:color w:val="202124"/>
          <w:sz w:val="22"/>
          <w:szCs w:val="22"/>
          <w:shd w:val="clear" w:color="auto" w:fill="FFFFFF"/>
        </w:rPr>
        <w:t>,</w:t>
      </w:r>
      <w:r w:rsidRPr="0078589D">
        <w:rPr>
          <w:color w:val="202124"/>
          <w:sz w:val="22"/>
          <w:szCs w:val="22"/>
          <w:shd w:val="clear" w:color="auto" w:fill="FFFFFF"/>
        </w:rPr>
        <w:t xml:space="preserve"> all 117 neonates had blood cultures performed </w:t>
      </w:r>
      <w:r w:rsidR="007B219A">
        <w:rPr>
          <w:color w:val="202124"/>
          <w:sz w:val="22"/>
          <w:szCs w:val="22"/>
          <w:shd w:val="clear" w:color="auto" w:fill="FFFFFF"/>
        </w:rPr>
        <w:t xml:space="preserve">at ‘Time 0’ </w:t>
      </w:r>
      <w:r w:rsidRPr="0078589D">
        <w:rPr>
          <w:color w:val="202124"/>
          <w:sz w:val="22"/>
          <w:szCs w:val="22"/>
          <w:shd w:val="clear" w:color="auto" w:fill="FFFFFF"/>
        </w:rPr>
        <w:t xml:space="preserve">and </w:t>
      </w:r>
      <w:r w:rsidRPr="0078589D">
        <w:rPr>
          <w:color w:val="1C1D1E"/>
          <w:sz w:val="22"/>
          <w:szCs w:val="22"/>
        </w:rPr>
        <w:t>none of them grew clinically significant organisms</w:t>
      </w:r>
      <w:r w:rsidR="007B219A">
        <w:rPr>
          <w:color w:val="1C1D1E"/>
          <w:sz w:val="22"/>
          <w:szCs w:val="22"/>
        </w:rPr>
        <w:t>, supporting a poor yield in neonatal blood cultures.</w:t>
      </w:r>
      <w:r w:rsidR="009566DD" w:rsidRPr="0078589D">
        <w:rPr>
          <w:bCs/>
          <w:color w:val="000000" w:themeColor="text1"/>
          <w:sz w:val="22"/>
          <w:szCs w:val="22"/>
          <w:shd w:val="clear" w:color="auto" w:fill="FFFFFF"/>
          <w:vertAlign w:val="superscript"/>
        </w:rPr>
        <w:t>2,3</w:t>
      </w:r>
      <w:r w:rsidR="00AA6C77" w:rsidRPr="0078589D">
        <w:rPr>
          <w:color w:val="1C1D1E"/>
          <w:sz w:val="22"/>
          <w:szCs w:val="22"/>
        </w:rPr>
        <w:t xml:space="preserve"> </w:t>
      </w:r>
      <w:r w:rsidRPr="0078589D">
        <w:rPr>
          <w:color w:val="1C1D1E"/>
          <w:sz w:val="22"/>
          <w:szCs w:val="22"/>
        </w:rPr>
        <w:t xml:space="preserve">This could be due to the known effect of </w:t>
      </w:r>
      <w:r w:rsidRPr="0078589D">
        <w:rPr>
          <w:color w:val="000000"/>
          <w:sz w:val="22"/>
          <w:szCs w:val="22"/>
          <w:shd w:val="clear" w:color="auto" w:fill="FFFFFF"/>
        </w:rPr>
        <w:t xml:space="preserve">cultures remaining negative </w:t>
      </w:r>
      <w:r w:rsidR="00C12A5A">
        <w:rPr>
          <w:color w:val="000000"/>
          <w:sz w:val="22"/>
          <w:szCs w:val="22"/>
          <w:shd w:val="clear" w:color="auto" w:fill="FFFFFF"/>
        </w:rPr>
        <w:t>as a result of</w:t>
      </w:r>
      <w:r w:rsidRPr="0078589D">
        <w:rPr>
          <w:color w:val="000000"/>
          <w:sz w:val="22"/>
          <w:szCs w:val="22"/>
          <w:shd w:val="clear" w:color="auto" w:fill="FFFFFF"/>
        </w:rPr>
        <w:t xml:space="preserve"> maternal antimicrobial treatment prior to delivery.</w:t>
      </w:r>
      <w:r w:rsidR="00815B3D">
        <w:rPr>
          <w:bCs/>
          <w:color w:val="000000" w:themeColor="text1"/>
          <w:sz w:val="22"/>
          <w:szCs w:val="22"/>
          <w:shd w:val="clear" w:color="auto" w:fill="FFFFFF"/>
          <w:vertAlign w:val="superscript"/>
        </w:rPr>
        <w:t>6</w:t>
      </w:r>
      <w:r w:rsidRPr="0078589D">
        <w:rPr>
          <w:color w:val="000000"/>
          <w:sz w:val="22"/>
          <w:szCs w:val="22"/>
          <w:shd w:val="clear" w:color="auto" w:fill="FFFFFF"/>
        </w:rPr>
        <w:t xml:space="preserve"> But this may reflect that this cohort of neonates is largely well, with a low yield of bacteraemia </w:t>
      </w:r>
      <w:r w:rsidR="00167EFB" w:rsidRPr="0078589D">
        <w:rPr>
          <w:color w:val="000000"/>
          <w:sz w:val="22"/>
          <w:szCs w:val="22"/>
          <w:shd w:val="clear" w:color="auto" w:fill="FFFFFF"/>
        </w:rPr>
        <w:t xml:space="preserve">resulting in overuse of antibiotics. </w:t>
      </w:r>
      <w:r w:rsidR="00412542" w:rsidRPr="0078589D">
        <w:rPr>
          <w:color w:val="000000"/>
          <w:sz w:val="22"/>
          <w:szCs w:val="22"/>
          <w:shd w:val="clear" w:color="auto" w:fill="FFFFFF"/>
        </w:rPr>
        <w:t>However, you cannot reliably ignore a negative blood culture as many studies have underlined the concern about</w:t>
      </w:r>
      <w:r w:rsidR="0008300C" w:rsidRPr="0078589D">
        <w:rPr>
          <w:color w:val="000000"/>
          <w:sz w:val="22"/>
          <w:szCs w:val="22"/>
          <w:shd w:val="clear" w:color="auto" w:fill="FFFFFF"/>
        </w:rPr>
        <w:t xml:space="preserve"> </w:t>
      </w:r>
      <w:r w:rsidR="00412542" w:rsidRPr="0078589D">
        <w:rPr>
          <w:color w:val="000000"/>
          <w:sz w:val="22"/>
          <w:szCs w:val="22"/>
          <w:shd w:val="clear" w:color="auto" w:fill="FFFFFF"/>
        </w:rPr>
        <w:t>clinical sepsis</w:t>
      </w:r>
      <w:r w:rsidR="0008300C" w:rsidRPr="0078589D">
        <w:rPr>
          <w:color w:val="000000"/>
          <w:sz w:val="22"/>
          <w:szCs w:val="22"/>
          <w:shd w:val="clear" w:color="auto" w:fill="FFFFFF"/>
        </w:rPr>
        <w:t xml:space="preserve"> in culture-negative neonates</w:t>
      </w:r>
      <w:r w:rsidR="00412542" w:rsidRPr="0078589D">
        <w:rPr>
          <w:color w:val="000000"/>
          <w:sz w:val="22"/>
          <w:szCs w:val="22"/>
          <w:shd w:val="clear" w:color="auto" w:fill="FFFFFF"/>
        </w:rPr>
        <w:t xml:space="preserve">, </w:t>
      </w:r>
      <w:r w:rsidR="00412542" w:rsidRPr="0078589D">
        <w:rPr>
          <w:color w:val="000000" w:themeColor="text1"/>
          <w:sz w:val="22"/>
          <w:szCs w:val="22"/>
          <w:shd w:val="clear" w:color="auto" w:fill="FFFFFF"/>
        </w:rPr>
        <w:t>particularly in the setting of increasing maternal antibiotic use.</w:t>
      </w:r>
      <w:r w:rsidR="009566DD" w:rsidRPr="0078589D">
        <w:rPr>
          <w:bCs/>
          <w:color w:val="000000" w:themeColor="text1"/>
          <w:sz w:val="22"/>
          <w:szCs w:val="22"/>
          <w:shd w:val="clear" w:color="auto" w:fill="FFFFFF"/>
          <w:vertAlign w:val="superscript"/>
        </w:rPr>
        <w:t>3</w:t>
      </w:r>
    </w:p>
    <w:p w14:paraId="2005CE56" w14:textId="5601919C" w:rsidR="00BF5928" w:rsidRPr="0078589D" w:rsidRDefault="00BF5928" w:rsidP="004601B0">
      <w:pPr>
        <w:spacing w:line="480" w:lineRule="auto"/>
        <w:jc w:val="both"/>
        <w:rPr>
          <w:color w:val="202124"/>
          <w:sz w:val="22"/>
          <w:szCs w:val="22"/>
          <w:shd w:val="clear" w:color="auto" w:fill="FFFFFF"/>
        </w:rPr>
      </w:pPr>
    </w:p>
    <w:p w14:paraId="61108A23" w14:textId="5ADB7430" w:rsidR="00BF5928" w:rsidRPr="00AA6EF8" w:rsidRDefault="008D08D3" w:rsidP="004601B0">
      <w:pPr>
        <w:spacing w:line="480" w:lineRule="auto"/>
        <w:jc w:val="both"/>
        <w:rPr>
          <w:color w:val="000000" w:themeColor="text1"/>
          <w:sz w:val="22"/>
          <w:szCs w:val="22"/>
        </w:rPr>
      </w:pPr>
      <w:r>
        <w:rPr>
          <w:color w:val="000000" w:themeColor="text1"/>
          <w:sz w:val="22"/>
          <w:szCs w:val="22"/>
        </w:rPr>
        <w:t>This study demonstrated that the</w:t>
      </w:r>
      <w:r w:rsidR="00412542" w:rsidRPr="0078589D">
        <w:rPr>
          <w:color w:val="000000" w:themeColor="text1"/>
          <w:sz w:val="22"/>
          <w:szCs w:val="22"/>
        </w:rPr>
        <w:t xml:space="preserve"> majority (71.2%) </w:t>
      </w:r>
      <w:r>
        <w:rPr>
          <w:color w:val="000000" w:themeColor="text1"/>
          <w:sz w:val="22"/>
          <w:szCs w:val="22"/>
        </w:rPr>
        <w:t>of placental histopathological analysis showed</w:t>
      </w:r>
      <w:r w:rsidR="00412542" w:rsidRPr="0078589D">
        <w:rPr>
          <w:color w:val="000000" w:themeColor="text1"/>
          <w:sz w:val="22"/>
          <w:szCs w:val="22"/>
        </w:rPr>
        <w:t xml:space="preserve"> varying degrees of chorioamnionitis.</w:t>
      </w:r>
      <w:r w:rsidR="00377C11">
        <w:rPr>
          <w:bCs/>
          <w:color w:val="000000" w:themeColor="text1"/>
          <w:sz w:val="22"/>
          <w:szCs w:val="22"/>
          <w:shd w:val="clear" w:color="auto" w:fill="FFFFFF"/>
          <w:vertAlign w:val="superscript"/>
        </w:rPr>
        <w:t>10</w:t>
      </w:r>
      <w:r w:rsidR="00412542" w:rsidRPr="0078589D">
        <w:rPr>
          <w:color w:val="000000" w:themeColor="text1"/>
          <w:sz w:val="22"/>
          <w:szCs w:val="22"/>
        </w:rPr>
        <w:t xml:space="preserve"> Placental histopathology has long been the</w:t>
      </w:r>
      <w:r>
        <w:rPr>
          <w:color w:val="000000" w:themeColor="text1"/>
          <w:sz w:val="22"/>
          <w:szCs w:val="22"/>
        </w:rPr>
        <w:t xml:space="preserve"> investigation of choice for definitive diagnosis of </w:t>
      </w:r>
      <w:r w:rsidR="00412542" w:rsidRPr="0078589D">
        <w:rPr>
          <w:color w:val="000000" w:themeColor="text1"/>
          <w:sz w:val="22"/>
          <w:szCs w:val="22"/>
        </w:rPr>
        <w:t xml:space="preserve">chorioamnionitis. </w:t>
      </w:r>
      <w:r>
        <w:rPr>
          <w:color w:val="000000" w:themeColor="text1"/>
          <w:sz w:val="22"/>
          <w:szCs w:val="22"/>
        </w:rPr>
        <w:t xml:space="preserve">Many studies now demonstrate higher rates of histological chorioamnionitis compared to clinical chorioamnionitis which </w:t>
      </w:r>
      <w:r w:rsidR="00412542" w:rsidRPr="0078589D">
        <w:rPr>
          <w:color w:val="000000" w:themeColor="text1"/>
          <w:sz w:val="22"/>
          <w:szCs w:val="22"/>
        </w:rPr>
        <w:t xml:space="preserve">challenges </w:t>
      </w:r>
      <w:r>
        <w:rPr>
          <w:color w:val="000000" w:themeColor="text1"/>
          <w:sz w:val="22"/>
          <w:szCs w:val="22"/>
        </w:rPr>
        <w:t>its</w:t>
      </w:r>
      <w:r w:rsidR="00412542" w:rsidRPr="0078589D">
        <w:rPr>
          <w:color w:val="000000" w:themeColor="text1"/>
          <w:sz w:val="22"/>
          <w:szCs w:val="22"/>
        </w:rPr>
        <w:t xml:space="preserve"> correlation.</w:t>
      </w:r>
      <w:r w:rsidR="00377C11">
        <w:rPr>
          <w:bCs/>
          <w:color w:val="000000" w:themeColor="text1"/>
          <w:sz w:val="22"/>
          <w:szCs w:val="22"/>
          <w:shd w:val="clear" w:color="auto" w:fill="FFFFFF"/>
          <w:vertAlign w:val="superscript"/>
        </w:rPr>
        <w:t>10,</w:t>
      </w:r>
      <w:r w:rsidR="00E1159F">
        <w:rPr>
          <w:bCs/>
          <w:color w:val="000000" w:themeColor="text1"/>
          <w:sz w:val="22"/>
          <w:szCs w:val="22"/>
          <w:shd w:val="clear" w:color="auto" w:fill="FFFFFF"/>
          <w:vertAlign w:val="superscript"/>
        </w:rPr>
        <w:t>31</w:t>
      </w:r>
      <w:r w:rsidR="00412542" w:rsidRPr="0078589D">
        <w:rPr>
          <w:bCs/>
          <w:color w:val="000000" w:themeColor="text1"/>
          <w:sz w:val="22"/>
          <w:szCs w:val="22"/>
          <w:shd w:val="clear" w:color="auto" w:fill="FFFFFF"/>
          <w:vertAlign w:val="superscript"/>
        </w:rPr>
        <w:t>,</w:t>
      </w:r>
      <w:r w:rsidR="00E1159F">
        <w:rPr>
          <w:bCs/>
          <w:color w:val="000000" w:themeColor="text1"/>
          <w:sz w:val="22"/>
          <w:szCs w:val="22"/>
          <w:shd w:val="clear" w:color="auto" w:fill="FFFFFF"/>
          <w:vertAlign w:val="superscript"/>
        </w:rPr>
        <w:t>32</w:t>
      </w:r>
      <w:r w:rsidR="00412542" w:rsidRPr="0078589D">
        <w:rPr>
          <w:bCs/>
          <w:color w:val="000000" w:themeColor="text1"/>
          <w:sz w:val="22"/>
          <w:szCs w:val="22"/>
          <w:shd w:val="clear" w:color="auto" w:fill="FFFFFF"/>
          <w:vertAlign w:val="superscript"/>
        </w:rPr>
        <w:t>,</w:t>
      </w:r>
      <w:r w:rsidR="00815B3D">
        <w:rPr>
          <w:bCs/>
          <w:color w:val="000000" w:themeColor="text1"/>
          <w:sz w:val="22"/>
          <w:szCs w:val="22"/>
          <w:shd w:val="clear" w:color="auto" w:fill="FFFFFF"/>
          <w:vertAlign w:val="superscript"/>
        </w:rPr>
        <w:t>3</w:t>
      </w:r>
      <w:r w:rsidR="00E1159F">
        <w:rPr>
          <w:bCs/>
          <w:color w:val="000000" w:themeColor="text1"/>
          <w:sz w:val="22"/>
          <w:szCs w:val="22"/>
          <w:shd w:val="clear" w:color="auto" w:fill="FFFFFF"/>
          <w:vertAlign w:val="superscript"/>
        </w:rPr>
        <w:t>3</w:t>
      </w:r>
      <w:r w:rsidR="00412542" w:rsidRPr="0078589D">
        <w:rPr>
          <w:color w:val="000000" w:themeColor="text1"/>
          <w:sz w:val="22"/>
          <w:szCs w:val="22"/>
        </w:rPr>
        <w:t xml:space="preserve"> A study by Smulian et al,</w:t>
      </w:r>
      <w:r w:rsidR="00E1159F">
        <w:rPr>
          <w:bCs/>
          <w:color w:val="000000" w:themeColor="text1"/>
          <w:sz w:val="22"/>
          <w:szCs w:val="22"/>
          <w:shd w:val="clear" w:color="auto" w:fill="FFFFFF"/>
          <w:vertAlign w:val="superscript"/>
        </w:rPr>
        <w:t>30</w:t>
      </w:r>
      <w:r w:rsidR="00412542" w:rsidRPr="0078589D">
        <w:rPr>
          <w:color w:val="000000" w:themeColor="text1"/>
          <w:sz w:val="22"/>
          <w:szCs w:val="22"/>
        </w:rPr>
        <w:t xml:space="preserve"> looked at clinical </w:t>
      </w:r>
      <w:r>
        <w:rPr>
          <w:color w:val="000000" w:themeColor="text1"/>
          <w:sz w:val="22"/>
          <w:szCs w:val="22"/>
        </w:rPr>
        <w:t xml:space="preserve">versus </w:t>
      </w:r>
      <w:r w:rsidR="00412542" w:rsidRPr="0078589D">
        <w:rPr>
          <w:color w:val="000000" w:themeColor="text1"/>
          <w:sz w:val="22"/>
          <w:szCs w:val="22"/>
        </w:rPr>
        <w:t>histologic</w:t>
      </w:r>
      <w:r>
        <w:rPr>
          <w:color w:val="000000" w:themeColor="text1"/>
          <w:sz w:val="22"/>
          <w:szCs w:val="22"/>
        </w:rPr>
        <w:t>al</w:t>
      </w:r>
      <w:r w:rsidR="00412542" w:rsidRPr="0078589D">
        <w:rPr>
          <w:color w:val="000000" w:themeColor="text1"/>
          <w:sz w:val="22"/>
          <w:szCs w:val="22"/>
        </w:rPr>
        <w:t xml:space="preserve"> </w:t>
      </w:r>
      <w:r>
        <w:rPr>
          <w:color w:val="000000" w:themeColor="text1"/>
          <w:sz w:val="22"/>
          <w:szCs w:val="22"/>
        </w:rPr>
        <w:t>chorioamnionitis</w:t>
      </w:r>
      <w:r w:rsidR="00412542" w:rsidRPr="0078589D">
        <w:rPr>
          <w:color w:val="000000" w:themeColor="text1"/>
          <w:sz w:val="22"/>
          <w:szCs w:val="22"/>
        </w:rPr>
        <w:t xml:space="preserve"> in 139 pregnancies</w:t>
      </w:r>
      <w:r>
        <w:rPr>
          <w:color w:val="000000" w:themeColor="text1"/>
          <w:sz w:val="22"/>
          <w:szCs w:val="22"/>
        </w:rPr>
        <w:t xml:space="preserve"> and </w:t>
      </w:r>
      <w:r w:rsidR="00412542" w:rsidRPr="0078589D">
        <w:rPr>
          <w:color w:val="000000" w:themeColor="text1"/>
          <w:sz w:val="22"/>
          <w:szCs w:val="22"/>
        </w:rPr>
        <w:t>concluded that clinical chorioamnionitis and possible neonatal infection were not supported by histologic</w:t>
      </w:r>
      <w:r>
        <w:rPr>
          <w:color w:val="000000" w:themeColor="text1"/>
          <w:sz w:val="22"/>
          <w:szCs w:val="22"/>
        </w:rPr>
        <w:t>al</w:t>
      </w:r>
      <w:r w:rsidR="00412542" w:rsidRPr="0078589D">
        <w:rPr>
          <w:color w:val="000000" w:themeColor="text1"/>
          <w:sz w:val="22"/>
          <w:szCs w:val="22"/>
        </w:rPr>
        <w:t xml:space="preserve"> evidence of infection in 38.1% and 26.8% of cases respectively, suggesting other noninflammatory causes of signs and symptoms.</w:t>
      </w:r>
      <w:r w:rsidR="00377C11">
        <w:rPr>
          <w:bCs/>
          <w:color w:val="000000" w:themeColor="text1"/>
          <w:sz w:val="22"/>
          <w:szCs w:val="22"/>
          <w:shd w:val="clear" w:color="auto" w:fill="FFFFFF"/>
          <w:vertAlign w:val="superscript"/>
        </w:rPr>
        <w:t>10</w:t>
      </w:r>
      <w:r w:rsidR="00412542" w:rsidRPr="0078589D">
        <w:rPr>
          <w:color w:val="000000" w:themeColor="text1"/>
          <w:sz w:val="22"/>
          <w:szCs w:val="22"/>
        </w:rPr>
        <w:t xml:space="preserve"> A study by Roberts et al,</w:t>
      </w:r>
      <w:r w:rsidR="009A65C5">
        <w:rPr>
          <w:bCs/>
          <w:color w:val="000000" w:themeColor="text1"/>
          <w:sz w:val="22"/>
          <w:szCs w:val="22"/>
          <w:shd w:val="clear" w:color="auto" w:fill="FFFFFF"/>
          <w:vertAlign w:val="superscript"/>
        </w:rPr>
        <w:t>3</w:t>
      </w:r>
      <w:r w:rsidR="00E1159F">
        <w:rPr>
          <w:bCs/>
          <w:color w:val="000000" w:themeColor="text1"/>
          <w:sz w:val="22"/>
          <w:szCs w:val="22"/>
          <w:shd w:val="clear" w:color="auto" w:fill="FFFFFF"/>
          <w:vertAlign w:val="superscript"/>
        </w:rPr>
        <w:t>4</w:t>
      </w:r>
      <w:r w:rsidR="00412542" w:rsidRPr="0078589D">
        <w:rPr>
          <w:color w:val="000000" w:themeColor="text1"/>
          <w:sz w:val="22"/>
          <w:szCs w:val="22"/>
        </w:rPr>
        <w:t xml:space="preserve"> </w:t>
      </w:r>
      <w:r>
        <w:rPr>
          <w:color w:val="000000" w:themeColor="text1"/>
          <w:sz w:val="22"/>
          <w:szCs w:val="22"/>
        </w:rPr>
        <w:t>demonstrated</w:t>
      </w:r>
      <w:r w:rsidR="00412542" w:rsidRPr="0078589D">
        <w:rPr>
          <w:color w:val="000000" w:themeColor="text1"/>
          <w:sz w:val="22"/>
          <w:szCs w:val="22"/>
        </w:rPr>
        <w:t xml:space="preserve"> 96% </w:t>
      </w:r>
      <w:r>
        <w:rPr>
          <w:color w:val="000000" w:themeColor="text1"/>
          <w:sz w:val="22"/>
          <w:szCs w:val="22"/>
        </w:rPr>
        <w:t xml:space="preserve">cases </w:t>
      </w:r>
      <w:r w:rsidR="00412542" w:rsidRPr="0078589D">
        <w:rPr>
          <w:color w:val="000000" w:themeColor="text1"/>
          <w:sz w:val="22"/>
          <w:szCs w:val="22"/>
        </w:rPr>
        <w:t>of histologic</w:t>
      </w:r>
      <w:r>
        <w:rPr>
          <w:color w:val="000000" w:themeColor="text1"/>
          <w:sz w:val="22"/>
          <w:szCs w:val="22"/>
        </w:rPr>
        <w:t>al</w:t>
      </w:r>
      <w:r w:rsidR="00412542" w:rsidRPr="0078589D">
        <w:rPr>
          <w:color w:val="000000" w:themeColor="text1"/>
          <w:sz w:val="22"/>
          <w:szCs w:val="22"/>
        </w:rPr>
        <w:t xml:space="preserve"> chorioamnionitis occurred without infection, suggesting </w:t>
      </w:r>
      <w:r w:rsidR="00DE1AC3" w:rsidRPr="0078589D">
        <w:rPr>
          <w:color w:val="000000" w:themeColor="text1"/>
          <w:sz w:val="22"/>
          <w:szCs w:val="22"/>
        </w:rPr>
        <w:t>there may be alternative causes amongst low-risk women at term.</w:t>
      </w:r>
      <w:r w:rsidR="00377C11">
        <w:rPr>
          <w:bCs/>
          <w:color w:val="000000" w:themeColor="text1"/>
          <w:sz w:val="22"/>
          <w:szCs w:val="22"/>
          <w:shd w:val="clear" w:color="auto" w:fill="FFFFFF"/>
          <w:vertAlign w:val="superscript"/>
        </w:rPr>
        <w:t>10</w:t>
      </w:r>
      <w:r w:rsidR="00DE1AC3" w:rsidRPr="0078589D">
        <w:rPr>
          <w:color w:val="000000" w:themeColor="text1"/>
          <w:sz w:val="22"/>
          <w:szCs w:val="22"/>
        </w:rPr>
        <w:t xml:space="preserve"> </w:t>
      </w:r>
      <w:r>
        <w:rPr>
          <w:color w:val="000000" w:themeColor="text1"/>
          <w:sz w:val="22"/>
          <w:szCs w:val="22"/>
        </w:rPr>
        <w:t>In this study t</w:t>
      </w:r>
      <w:r w:rsidR="00DE1AC3" w:rsidRPr="0078589D">
        <w:rPr>
          <w:color w:val="000000" w:themeColor="text1"/>
          <w:sz w:val="22"/>
          <w:szCs w:val="22"/>
        </w:rPr>
        <w:t xml:space="preserve">he presence of inflammation in a </w:t>
      </w:r>
      <w:r>
        <w:rPr>
          <w:color w:val="000000" w:themeColor="text1"/>
          <w:sz w:val="22"/>
          <w:szCs w:val="22"/>
        </w:rPr>
        <w:t>large</w:t>
      </w:r>
      <w:r w:rsidR="00DE1AC3" w:rsidRPr="0078589D">
        <w:rPr>
          <w:color w:val="000000" w:themeColor="text1"/>
          <w:sz w:val="22"/>
          <w:szCs w:val="22"/>
        </w:rPr>
        <w:t xml:space="preserve"> proportion of the ‘low-suspicion BS’ group </w:t>
      </w:r>
      <w:r>
        <w:rPr>
          <w:color w:val="000000" w:themeColor="text1"/>
          <w:sz w:val="22"/>
          <w:szCs w:val="22"/>
        </w:rPr>
        <w:t>could be s</w:t>
      </w:r>
      <w:r w:rsidR="00DE1AC3" w:rsidRPr="0078589D">
        <w:rPr>
          <w:color w:val="000000" w:themeColor="text1"/>
          <w:sz w:val="22"/>
          <w:szCs w:val="22"/>
        </w:rPr>
        <w:t>upportive of these studies assertion that not all placental inflammation is the result of infection.</w:t>
      </w:r>
      <w:r w:rsidR="00377C11">
        <w:rPr>
          <w:bCs/>
          <w:color w:val="000000" w:themeColor="text1"/>
          <w:sz w:val="22"/>
          <w:szCs w:val="22"/>
          <w:shd w:val="clear" w:color="auto" w:fill="FFFFFF"/>
          <w:vertAlign w:val="superscript"/>
        </w:rPr>
        <w:t>10</w:t>
      </w:r>
      <w:r w:rsidR="00DE1AC3" w:rsidRPr="0078589D">
        <w:rPr>
          <w:color w:val="000000" w:themeColor="text1"/>
          <w:sz w:val="22"/>
          <w:szCs w:val="22"/>
        </w:rPr>
        <w:t xml:space="preserve"> </w:t>
      </w:r>
    </w:p>
    <w:p w14:paraId="3FFB1FA8" w14:textId="3DCA8611" w:rsidR="00655F8E" w:rsidRPr="0078589D" w:rsidRDefault="00655F8E" w:rsidP="004601B0">
      <w:pPr>
        <w:spacing w:line="480" w:lineRule="auto"/>
        <w:rPr>
          <w:b/>
          <w:bCs/>
          <w:sz w:val="22"/>
          <w:szCs w:val="22"/>
        </w:rPr>
      </w:pPr>
      <w:r w:rsidRPr="0078589D">
        <w:rPr>
          <w:b/>
          <w:bCs/>
          <w:sz w:val="22"/>
          <w:szCs w:val="22"/>
        </w:rPr>
        <w:lastRenderedPageBreak/>
        <w:t>Conclusion</w:t>
      </w:r>
    </w:p>
    <w:p w14:paraId="47ED7D4C" w14:textId="77ECFA34" w:rsidR="007B219A" w:rsidRDefault="009E6D65" w:rsidP="004601B0">
      <w:pPr>
        <w:spacing w:line="480" w:lineRule="auto"/>
        <w:jc w:val="both"/>
        <w:rPr>
          <w:sz w:val="22"/>
          <w:szCs w:val="22"/>
        </w:rPr>
      </w:pPr>
      <w:r w:rsidRPr="0078589D">
        <w:rPr>
          <w:color w:val="1C1D1E"/>
          <w:sz w:val="22"/>
          <w:szCs w:val="22"/>
        </w:rPr>
        <w:t xml:space="preserve">This study provides evidence to the physiological rise in PCT during the first </w:t>
      </w:r>
      <w:r w:rsidR="00192D5A">
        <w:rPr>
          <w:color w:val="1C1D1E"/>
          <w:sz w:val="22"/>
          <w:szCs w:val="22"/>
        </w:rPr>
        <w:t>72 hours</w:t>
      </w:r>
      <w:r w:rsidRPr="0078589D">
        <w:rPr>
          <w:color w:val="1C1D1E"/>
          <w:sz w:val="22"/>
          <w:szCs w:val="22"/>
        </w:rPr>
        <w:t xml:space="preserve"> of life.</w:t>
      </w:r>
      <w:r w:rsidR="00377C11">
        <w:rPr>
          <w:bCs/>
          <w:color w:val="000000" w:themeColor="text1"/>
          <w:sz w:val="22"/>
          <w:szCs w:val="22"/>
          <w:shd w:val="clear" w:color="auto" w:fill="FFFFFF"/>
          <w:vertAlign w:val="superscript"/>
        </w:rPr>
        <w:t>35</w:t>
      </w:r>
      <w:r w:rsidRPr="0078589D">
        <w:rPr>
          <w:color w:val="1C1D1E"/>
          <w:sz w:val="22"/>
          <w:szCs w:val="22"/>
        </w:rPr>
        <w:t xml:space="preserve"> </w:t>
      </w:r>
      <w:r w:rsidR="007B219A">
        <w:rPr>
          <w:sz w:val="22"/>
          <w:szCs w:val="22"/>
        </w:rPr>
        <w:t xml:space="preserve">When dividing cases into </w:t>
      </w:r>
      <w:r w:rsidR="002D2B25">
        <w:rPr>
          <w:sz w:val="22"/>
          <w:szCs w:val="22"/>
        </w:rPr>
        <w:t xml:space="preserve">categories of </w:t>
      </w:r>
      <w:r w:rsidR="007B219A">
        <w:rPr>
          <w:sz w:val="22"/>
          <w:szCs w:val="22"/>
        </w:rPr>
        <w:t xml:space="preserve">clinical </w:t>
      </w:r>
      <w:r w:rsidR="002D2B25">
        <w:rPr>
          <w:sz w:val="22"/>
          <w:szCs w:val="22"/>
        </w:rPr>
        <w:t>severity</w:t>
      </w:r>
      <w:r w:rsidR="007B219A">
        <w:rPr>
          <w:sz w:val="22"/>
          <w:szCs w:val="22"/>
        </w:rPr>
        <w:t xml:space="preserve"> we found </w:t>
      </w:r>
      <w:r w:rsidR="00473063">
        <w:rPr>
          <w:sz w:val="22"/>
          <w:szCs w:val="22"/>
        </w:rPr>
        <w:t xml:space="preserve">a </w:t>
      </w:r>
      <w:r w:rsidR="007B219A" w:rsidRPr="0078589D">
        <w:rPr>
          <w:sz w:val="22"/>
          <w:szCs w:val="22"/>
        </w:rPr>
        <w:t>significant difference in the PCT levels</w:t>
      </w:r>
      <w:r w:rsidR="00937293">
        <w:rPr>
          <w:sz w:val="22"/>
          <w:szCs w:val="22"/>
        </w:rPr>
        <w:t xml:space="preserve">. </w:t>
      </w:r>
      <w:r w:rsidR="002D2B25">
        <w:rPr>
          <w:sz w:val="22"/>
          <w:szCs w:val="22"/>
        </w:rPr>
        <w:t xml:space="preserve">Owing to its short half-life, </w:t>
      </w:r>
      <w:r w:rsidR="00937293">
        <w:rPr>
          <w:sz w:val="22"/>
          <w:szCs w:val="22"/>
        </w:rPr>
        <w:t>PCT may have utility as a reliable early biomarker when interpreted in combination with clinical sepsis risk calculators, once normative data is available in neonate</w:t>
      </w:r>
      <w:r w:rsidR="002D2B25">
        <w:rPr>
          <w:sz w:val="22"/>
          <w:szCs w:val="22"/>
        </w:rPr>
        <w:t>s</w:t>
      </w:r>
      <w:r w:rsidR="00937293">
        <w:rPr>
          <w:sz w:val="22"/>
          <w:szCs w:val="22"/>
        </w:rPr>
        <w:t xml:space="preserve"> through well designed trials. </w:t>
      </w:r>
      <w:r w:rsidR="007B219A">
        <w:rPr>
          <w:sz w:val="22"/>
          <w:szCs w:val="22"/>
        </w:rPr>
        <w:t xml:space="preserve"> </w:t>
      </w:r>
    </w:p>
    <w:p w14:paraId="01A7C150" w14:textId="05887750" w:rsidR="00937293" w:rsidRDefault="00937293" w:rsidP="004601B0">
      <w:pPr>
        <w:spacing w:line="480" w:lineRule="auto"/>
        <w:jc w:val="both"/>
        <w:rPr>
          <w:color w:val="1C1D1E"/>
          <w:sz w:val="22"/>
          <w:szCs w:val="22"/>
        </w:rPr>
      </w:pPr>
    </w:p>
    <w:p w14:paraId="5F55DC7A" w14:textId="7017CD6F" w:rsidR="002D2B25" w:rsidRDefault="002D2B25" w:rsidP="004601B0">
      <w:pPr>
        <w:spacing w:line="480" w:lineRule="auto"/>
        <w:jc w:val="both"/>
        <w:rPr>
          <w:color w:val="1C1D1E"/>
          <w:sz w:val="22"/>
          <w:szCs w:val="22"/>
        </w:rPr>
      </w:pPr>
    </w:p>
    <w:p w14:paraId="5C310413" w14:textId="77777777" w:rsidR="002D2B25" w:rsidRDefault="002D2B25" w:rsidP="004601B0">
      <w:pPr>
        <w:spacing w:line="480" w:lineRule="auto"/>
        <w:jc w:val="both"/>
        <w:rPr>
          <w:sz w:val="22"/>
          <w:szCs w:val="22"/>
        </w:rPr>
      </w:pPr>
    </w:p>
    <w:p w14:paraId="064A6EF1" w14:textId="77777777" w:rsidR="009E6D65" w:rsidRPr="0078589D" w:rsidRDefault="009E6D65" w:rsidP="004601B0">
      <w:pPr>
        <w:spacing w:line="480" w:lineRule="auto"/>
        <w:jc w:val="both"/>
        <w:rPr>
          <w:sz w:val="22"/>
          <w:szCs w:val="22"/>
        </w:rPr>
      </w:pPr>
    </w:p>
    <w:p w14:paraId="6072B44A" w14:textId="55A52593" w:rsidR="006D5E50" w:rsidRPr="0078589D" w:rsidRDefault="006D5E50" w:rsidP="004601B0">
      <w:pPr>
        <w:spacing w:line="480" w:lineRule="auto"/>
        <w:jc w:val="both"/>
        <w:rPr>
          <w:color w:val="1C1D1E"/>
          <w:sz w:val="22"/>
          <w:szCs w:val="22"/>
        </w:rPr>
      </w:pPr>
    </w:p>
    <w:p w14:paraId="031F7D06" w14:textId="4127A9C1" w:rsidR="006D5E50" w:rsidRDefault="006D5E50" w:rsidP="004601B0">
      <w:pPr>
        <w:spacing w:line="480" w:lineRule="auto"/>
        <w:jc w:val="both"/>
        <w:rPr>
          <w:color w:val="1C1D1E"/>
          <w:sz w:val="22"/>
          <w:szCs w:val="22"/>
        </w:rPr>
      </w:pPr>
    </w:p>
    <w:p w14:paraId="29A822B6" w14:textId="606728E3" w:rsidR="002F12AB" w:rsidRDefault="002F12AB" w:rsidP="004601B0">
      <w:pPr>
        <w:spacing w:line="480" w:lineRule="auto"/>
        <w:jc w:val="both"/>
        <w:rPr>
          <w:color w:val="1C1D1E"/>
          <w:sz w:val="22"/>
          <w:szCs w:val="22"/>
        </w:rPr>
      </w:pPr>
    </w:p>
    <w:p w14:paraId="70988925" w14:textId="106EAEC1" w:rsidR="002F12AB" w:rsidRDefault="002F12AB" w:rsidP="004601B0">
      <w:pPr>
        <w:spacing w:line="480" w:lineRule="auto"/>
        <w:jc w:val="both"/>
        <w:rPr>
          <w:color w:val="1C1D1E"/>
          <w:sz w:val="22"/>
          <w:szCs w:val="22"/>
        </w:rPr>
      </w:pPr>
    </w:p>
    <w:p w14:paraId="0132DC7D" w14:textId="4EF26BC2" w:rsidR="002F12AB" w:rsidRDefault="002F12AB" w:rsidP="004601B0">
      <w:pPr>
        <w:spacing w:line="480" w:lineRule="auto"/>
        <w:jc w:val="both"/>
        <w:rPr>
          <w:color w:val="1C1D1E"/>
          <w:sz w:val="22"/>
          <w:szCs w:val="22"/>
        </w:rPr>
      </w:pPr>
    </w:p>
    <w:p w14:paraId="451CC83E" w14:textId="60F5A551" w:rsidR="002F12AB" w:rsidRDefault="002F12AB" w:rsidP="004601B0">
      <w:pPr>
        <w:spacing w:line="480" w:lineRule="auto"/>
        <w:jc w:val="both"/>
        <w:rPr>
          <w:color w:val="1C1D1E"/>
          <w:sz w:val="22"/>
          <w:szCs w:val="22"/>
        </w:rPr>
      </w:pPr>
    </w:p>
    <w:p w14:paraId="4AD403C5" w14:textId="550EDD20" w:rsidR="002F12AB" w:rsidRDefault="002F12AB" w:rsidP="004601B0">
      <w:pPr>
        <w:spacing w:line="480" w:lineRule="auto"/>
        <w:jc w:val="both"/>
        <w:rPr>
          <w:color w:val="1C1D1E"/>
          <w:sz w:val="22"/>
          <w:szCs w:val="22"/>
        </w:rPr>
      </w:pPr>
    </w:p>
    <w:p w14:paraId="36460252" w14:textId="1CBADD7C" w:rsidR="00AA6EF8" w:rsidRDefault="00AA6EF8" w:rsidP="004601B0">
      <w:pPr>
        <w:spacing w:line="480" w:lineRule="auto"/>
        <w:jc w:val="both"/>
        <w:rPr>
          <w:color w:val="1C1D1E"/>
          <w:sz w:val="22"/>
          <w:szCs w:val="22"/>
        </w:rPr>
      </w:pPr>
    </w:p>
    <w:p w14:paraId="47CF9E8F" w14:textId="7779F7BC" w:rsidR="00AA6EF8" w:rsidRDefault="00AA6EF8" w:rsidP="004601B0">
      <w:pPr>
        <w:spacing w:line="480" w:lineRule="auto"/>
        <w:jc w:val="both"/>
        <w:rPr>
          <w:color w:val="1C1D1E"/>
          <w:sz w:val="22"/>
          <w:szCs w:val="22"/>
        </w:rPr>
      </w:pPr>
    </w:p>
    <w:p w14:paraId="1D21D1B3" w14:textId="2CF80E77" w:rsidR="00AA6EF8" w:rsidRDefault="00AA6EF8" w:rsidP="004601B0">
      <w:pPr>
        <w:spacing w:line="480" w:lineRule="auto"/>
        <w:jc w:val="both"/>
        <w:rPr>
          <w:color w:val="1C1D1E"/>
          <w:sz w:val="22"/>
          <w:szCs w:val="22"/>
        </w:rPr>
      </w:pPr>
    </w:p>
    <w:p w14:paraId="434FAA52" w14:textId="4CB73A5B" w:rsidR="00AA6EF8" w:rsidRDefault="00AA6EF8" w:rsidP="004601B0">
      <w:pPr>
        <w:spacing w:line="480" w:lineRule="auto"/>
        <w:jc w:val="both"/>
        <w:rPr>
          <w:color w:val="1C1D1E"/>
          <w:sz w:val="22"/>
          <w:szCs w:val="22"/>
        </w:rPr>
      </w:pPr>
    </w:p>
    <w:p w14:paraId="2C468888" w14:textId="7EA9CEBA" w:rsidR="00AA6EF8" w:rsidRDefault="00AA6EF8" w:rsidP="004601B0">
      <w:pPr>
        <w:spacing w:line="480" w:lineRule="auto"/>
        <w:jc w:val="both"/>
        <w:rPr>
          <w:color w:val="1C1D1E"/>
          <w:sz w:val="22"/>
          <w:szCs w:val="22"/>
        </w:rPr>
      </w:pPr>
    </w:p>
    <w:p w14:paraId="536CC25C" w14:textId="27868346" w:rsidR="00AA6EF8" w:rsidRDefault="00AA6EF8" w:rsidP="004601B0">
      <w:pPr>
        <w:spacing w:line="480" w:lineRule="auto"/>
        <w:jc w:val="both"/>
        <w:rPr>
          <w:color w:val="1C1D1E"/>
          <w:sz w:val="22"/>
          <w:szCs w:val="22"/>
        </w:rPr>
      </w:pPr>
    </w:p>
    <w:p w14:paraId="6E66E38D" w14:textId="59D3F724" w:rsidR="00AA6EF8" w:rsidRDefault="00AA6EF8" w:rsidP="004601B0">
      <w:pPr>
        <w:spacing w:line="480" w:lineRule="auto"/>
        <w:jc w:val="both"/>
        <w:rPr>
          <w:color w:val="1C1D1E"/>
          <w:sz w:val="22"/>
          <w:szCs w:val="22"/>
        </w:rPr>
      </w:pPr>
    </w:p>
    <w:p w14:paraId="33BD0070" w14:textId="179D1716" w:rsidR="00AA6EF8" w:rsidRDefault="00AA6EF8" w:rsidP="004601B0">
      <w:pPr>
        <w:spacing w:line="480" w:lineRule="auto"/>
        <w:jc w:val="both"/>
        <w:rPr>
          <w:color w:val="1C1D1E"/>
          <w:sz w:val="22"/>
          <w:szCs w:val="22"/>
        </w:rPr>
      </w:pPr>
    </w:p>
    <w:p w14:paraId="008B6F01" w14:textId="1FAC9CBA" w:rsidR="00AA6EF8" w:rsidRDefault="00AA6EF8" w:rsidP="004601B0">
      <w:pPr>
        <w:spacing w:line="480" w:lineRule="auto"/>
        <w:jc w:val="both"/>
        <w:rPr>
          <w:color w:val="1C1D1E"/>
          <w:sz w:val="22"/>
          <w:szCs w:val="22"/>
        </w:rPr>
      </w:pPr>
    </w:p>
    <w:p w14:paraId="3C054BEF" w14:textId="1A3A07B7" w:rsidR="00AA6EF8" w:rsidRDefault="00AA6EF8" w:rsidP="004601B0">
      <w:pPr>
        <w:spacing w:line="480" w:lineRule="auto"/>
        <w:jc w:val="both"/>
        <w:rPr>
          <w:color w:val="1C1D1E"/>
          <w:sz w:val="22"/>
          <w:szCs w:val="22"/>
        </w:rPr>
      </w:pPr>
    </w:p>
    <w:p w14:paraId="3F46B7EB" w14:textId="463375ED" w:rsidR="00AA6EF8" w:rsidRDefault="00AA6EF8" w:rsidP="004601B0">
      <w:pPr>
        <w:spacing w:line="480" w:lineRule="auto"/>
        <w:jc w:val="both"/>
        <w:rPr>
          <w:color w:val="1C1D1E"/>
          <w:sz w:val="22"/>
          <w:szCs w:val="22"/>
        </w:rPr>
      </w:pPr>
    </w:p>
    <w:p w14:paraId="3F3FDC51" w14:textId="677B8E97" w:rsidR="00AA6EF8" w:rsidRDefault="00AA6EF8" w:rsidP="004601B0">
      <w:pPr>
        <w:spacing w:line="480" w:lineRule="auto"/>
        <w:jc w:val="both"/>
        <w:rPr>
          <w:color w:val="1C1D1E"/>
          <w:sz w:val="22"/>
          <w:szCs w:val="22"/>
        </w:rPr>
      </w:pPr>
    </w:p>
    <w:p w14:paraId="0A1A27C7" w14:textId="77777777" w:rsidR="00AA6EF8" w:rsidRPr="0078589D" w:rsidRDefault="00AA6EF8" w:rsidP="004601B0">
      <w:pPr>
        <w:spacing w:line="480" w:lineRule="auto"/>
        <w:jc w:val="both"/>
        <w:rPr>
          <w:color w:val="1C1D1E"/>
          <w:sz w:val="22"/>
          <w:szCs w:val="22"/>
        </w:rPr>
      </w:pPr>
    </w:p>
    <w:p w14:paraId="1B391C1C" w14:textId="3B5125AD" w:rsidR="0018556A" w:rsidRDefault="0018556A" w:rsidP="0000037C">
      <w:pPr>
        <w:spacing w:line="360" w:lineRule="auto"/>
        <w:rPr>
          <w:b/>
          <w:bCs/>
          <w:sz w:val="22"/>
          <w:szCs w:val="22"/>
        </w:rPr>
      </w:pPr>
      <w:r>
        <w:rPr>
          <w:b/>
          <w:bCs/>
          <w:sz w:val="22"/>
          <w:szCs w:val="22"/>
        </w:rPr>
        <w:lastRenderedPageBreak/>
        <w:t>Previous Published Work</w:t>
      </w:r>
    </w:p>
    <w:p w14:paraId="49392ECB" w14:textId="77777777" w:rsidR="00E82A08" w:rsidRDefault="00E82A08" w:rsidP="0000037C">
      <w:pPr>
        <w:spacing w:line="360" w:lineRule="auto"/>
        <w:rPr>
          <w:b/>
          <w:bCs/>
          <w:sz w:val="22"/>
          <w:szCs w:val="22"/>
        </w:rPr>
      </w:pPr>
    </w:p>
    <w:p w14:paraId="410AC0D8" w14:textId="13E9D80C" w:rsidR="00E82A08" w:rsidRPr="00E82A08" w:rsidRDefault="0018556A" w:rsidP="0000037C">
      <w:pPr>
        <w:spacing w:line="360" w:lineRule="auto"/>
        <w:rPr>
          <w:i/>
          <w:iCs/>
          <w:sz w:val="22"/>
          <w:szCs w:val="22"/>
        </w:rPr>
      </w:pPr>
      <w:r w:rsidRPr="00E82A08">
        <w:rPr>
          <w:i/>
          <w:iCs/>
          <w:sz w:val="22"/>
          <w:szCs w:val="22"/>
        </w:rPr>
        <w:t>Walker S, Harding I, Soomra K, Bamber AR, Carrick S, Waheed AH, Liebling RE. “An evaluation into the use of Procalcitonin levels as a biomarker of bacterial sepsis to aid the management of Intrapartum Pyrexia and Chorioamnionitis,” A</w:t>
      </w:r>
      <w:r w:rsidR="00E82A08">
        <w:rPr>
          <w:i/>
          <w:iCs/>
          <w:sz w:val="22"/>
          <w:szCs w:val="22"/>
        </w:rPr>
        <w:t>merican Journal of Obstetrics and Gynaecology (A</w:t>
      </w:r>
      <w:r w:rsidRPr="00E82A08">
        <w:rPr>
          <w:i/>
          <w:iCs/>
          <w:sz w:val="22"/>
          <w:szCs w:val="22"/>
        </w:rPr>
        <w:t>JOG</w:t>
      </w:r>
      <w:r w:rsidR="00E82A08">
        <w:rPr>
          <w:i/>
          <w:iCs/>
          <w:sz w:val="22"/>
          <w:szCs w:val="22"/>
        </w:rPr>
        <w:t>)</w:t>
      </w:r>
      <w:r w:rsidRPr="00E82A08">
        <w:rPr>
          <w:i/>
          <w:iCs/>
          <w:sz w:val="22"/>
          <w:szCs w:val="22"/>
        </w:rPr>
        <w:t xml:space="preserve"> Global Reports, 2022</w:t>
      </w:r>
      <w:r w:rsidR="00E82A08">
        <w:rPr>
          <w:i/>
          <w:iCs/>
          <w:sz w:val="22"/>
          <w:szCs w:val="22"/>
        </w:rPr>
        <w:t>.</w:t>
      </w:r>
    </w:p>
    <w:p w14:paraId="105176CC" w14:textId="77777777" w:rsidR="00E82A08" w:rsidRPr="0018556A" w:rsidRDefault="00E82A08" w:rsidP="0000037C">
      <w:pPr>
        <w:spacing w:line="360" w:lineRule="auto"/>
        <w:rPr>
          <w:sz w:val="22"/>
          <w:szCs w:val="22"/>
        </w:rPr>
      </w:pPr>
    </w:p>
    <w:p w14:paraId="2434D117" w14:textId="2F4A854C" w:rsidR="0018556A" w:rsidRDefault="0018556A" w:rsidP="0000037C">
      <w:pPr>
        <w:spacing w:line="360" w:lineRule="auto"/>
        <w:rPr>
          <w:sz w:val="22"/>
          <w:szCs w:val="22"/>
        </w:rPr>
      </w:pPr>
      <w:r>
        <w:rPr>
          <w:sz w:val="22"/>
          <w:szCs w:val="22"/>
        </w:rPr>
        <w:t>We have previously published on</w:t>
      </w:r>
      <w:r w:rsidR="00E82A08">
        <w:rPr>
          <w:sz w:val="22"/>
          <w:szCs w:val="22"/>
        </w:rPr>
        <w:t xml:space="preserve"> the above article </w:t>
      </w:r>
      <w:r>
        <w:rPr>
          <w:sz w:val="22"/>
          <w:szCs w:val="22"/>
        </w:rPr>
        <w:t xml:space="preserve">which </w:t>
      </w:r>
      <w:r w:rsidR="00E82A08">
        <w:rPr>
          <w:sz w:val="22"/>
          <w:szCs w:val="22"/>
        </w:rPr>
        <w:t xml:space="preserve">evaluates whether Procalcitonin levels could be used in the diagnosis and management of intrapartum sepsis in women. It specifically looks at the results in women, whereas this article focuses on the results in the neonates. </w:t>
      </w:r>
    </w:p>
    <w:p w14:paraId="4BBD02CA" w14:textId="77777777" w:rsidR="0018556A" w:rsidRDefault="0018556A" w:rsidP="0000037C">
      <w:pPr>
        <w:spacing w:line="360" w:lineRule="auto"/>
        <w:rPr>
          <w:b/>
          <w:bCs/>
          <w:sz w:val="22"/>
          <w:szCs w:val="22"/>
        </w:rPr>
      </w:pPr>
    </w:p>
    <w:p w14:paraId="5CF905AA" w14:textId="6E4442A1" w:rsidR="00E65D52" w:rsidRDefault="0065314F" w:rsidP="0000037C">
      <w:pPr>
        <w:spacing w:line="360" w:lineRule="auto"/>
        <w:rPr>
          <w:sz w:val="22"/>
          <w:szCs w:val="22"/>
        </w:rPr>
      </w:pPr>
      <w:r w:rsidRPr="0078589D">
        <w:rPr>
          <w:b/>
          <w:bCs/>
          <w:sz w:val="22"/>
          <w:szCs w:val="22"/>
        </w:rPr>
        <w:t>References</w:t>
      </w:r>
      <w:r w:rsidRPr="0078589D">
        <w:rPr>
          <w:sz w:val="22"/>
          <w:szCs w:val="22"/>
        </w:rPr>
        <w:t>:</w:t>
      </w:r>
    </w:p>
    <w:p w14:paraId="4FBAE28C" w14:textId="031D7593" w:rsidR="00815B3D" w:rsidRDefault="00815B3D" w:rsidP="0000037C">
      <w:pPr>
        <w:spacing w:line="360" w:lineRule="auto"/>
        <w:rPr>
          <w:sz w:val="22"/>
          <w:szCs w:val="22"/>
        </w:rPr>
      </w:pPr>
    </w:p>
    <w:p w14:paraId="0B8232C0" w14:textId="5DFEA9D3" w:rsidR="0065314F" w:rsidRPr="0078589D" w:rsidRDefault="0065314F" w:rsidP="0000037C">
      <w:pPr>
        <w:pStyle w:val="ListParagraph"/>
        <w:numPr>
          <w:ilvl w:val="0"/>
          <w:numId w:val="1"/>
        </w:numPr>
        <w:spacing w:line="360" w:lineRule="auto"/>
        <w:rPr>
          <w:sz w:val="22"/>
          <w:szCs w:val="22"/>
        </w:rPr>
      </w:pPr>
      <w:r w:rsidRPr="0078589D">
        <w:rPr>
          <w:sz w:val="22"/>
          <w:szCs w:val="22"/>
        </w:rPr>
        <w:t xml:space="preserve">Stoll BJ, </w:t>
      </w:r>
      <w:r w:rsidR="00811846" w:rsidRPr="0078589D">
        <w:rPr>
          <w:sz w:val="22"/>
          <w:szCs w:val="22"/>
        </w:rPr>
        <w:t xml:space="preserve">Hansen NI, Sanchez PJ, </w:t>
      </w:r>
      <w:r w:rsidRPr="0078589D">
        <w:rPr>
          <w:sz w:val="22"/>
          <w:szCs w:val="22"/>
        </w:rPr>
        <w:t xml:space="preserve">et al. Early onset neonatal sepsis: the burden of group B streptococcal and E. Coli disease continues. </w:t>
      </w:r>
      <w:r w:rsidRPr="0078589D">
        <w:rPr>
          <w:i/>
          <w:iCs/>
          <w:sz w:val="22"/>
          <w:szCs w:val="22"/>
        </w:rPr>
        <w:t>Pediatrics</w:t>
      </w:r>
      <w:r w:rsidRPr="0078589D">
        <w:rPr>
          <w:sz w:val="22"/>
          <w:szCs w:val="22"/>
        </w:rPr>
        <w:t>. 2011</w:t>
      </w:r>
      <w:r w:rsidR="00811846" w:rsidRPr="0078589D">
        <w:rPr>
          <w:sz w:val="22"/>
          <w:szCs w:val="22"/>
        </w:rPr>
        <w:t>;</w:t>
      </w:r>
      <w:r w:rsidRPr="0078589D">
        <w:rPr>
          <w:sz w:val="22"/>
          <w:szCs w:val="22"/>
        </w:rPr>
        <w:t xml:space="preserve">127(5):817-26. </w:t>
      </w:r>
    </w:p>
    <w:p w14:paraId="7EDF9B0C" w14:textId="0DC5E703" w:rsidR="0065314F" w:rsidRPr="0078589D" w:rsidRDefault="0065314F" w:rsidP="0000037C">
      <w:pPr>
        <w:pStyle w:val="ListParagraph"/>
        <w:numPr>
          <w:ilvl w:val="0"/>
          <w:numId w:val="1"/>
        </w:numPr>
        <w:spacing w:line="360" w:lineRule="auto"/>
        <w:rPr>
          <w:sz w:val="22"/>
          <w:szCs w:val="22"/>
        </w:rPr>
      </w:pPr>
      <w:r w:rsidRPr="0078589D">
        <w:rPr>
          <w:sz w:val="22"/>
          <w:szCs w:val="22"/>
        </w:rPr>
        <w:t xml:space="preserve">Watson G, Caldwell C and Kennea N. Neonatal early onset sepsis: a reflection on the NICE guidance. </w:t>
      </w:r>
      <w:r w:rsidRPr="0078589D">
        <w:rPr>
          <w:i/>
          <w:iCs/>
          <w:sz w:val="22"/>
          <w:szCs w:val="22"/>
        </w:rPr>
        <w:t>Infant</w:t>
      </w:r>
      <w:r w:rsidRPr="0078589D">
        <w:rPr>
          <w:sz w:val="22"/>
          <w:szCs w:val="22"/>
        </w:rPr>
        <w:t>. 2016</w:t>
      </w:r>
      <w:r w:rsidR="00811846" w:rsidRPr="0078589D">
        <w:rPr>
          <w:sz w:val="22"/>
          <w:szCs w:val="22"/>
        </w:rPr>
        <w:t>;</w:t>
      </w:r>
      <w:r w:rsidRPr="0078589D">
        <w:rPr>
          <w:sz w:val="22"/>
          <w:szCs w:val="22"/>
        </w:rPr>
        <w:t xml:space="preserve">12(4):133-135. </w:t>
      </w:r>
    </w:p>
    <w:p w14:paraId="49E2D23F" w14:textId="77777777" w:rsidR="00815B3D" w:rsidRDefault="0065314F" w:rsidP="00815B3D">
      <w:pPr>
        <w:pStyle w:val="ListParagraph"/>
        <w:numPr>
          <w:ilvl w:val="0"/>
          <w:numId w:val="1"/>
        </w:numPr>
        <w:spacing w:line="360" w:lineRule="auto"/>
        <w:rPr>
          <w:sz w:val="22"/>
          <w:szCs w:val="22"/>
        </w:rPr>
      </w:pPr>
      <w:r w:rsidRPr="0078589D">
        <w:rPr>
          <w:sz w:val="22"/>
          <w:szCs w:val="22"/>
        </w:rPr>
        <w:t>Chiesa C,</w:t>
      </w:r>
      <w:r w:rsidR="00811846" w:rsidRPr="0078589D">
        <w:rPr>
          <w:sz w:val="22"/>
          <w:szCs w:val="22"/>
        </w:rPr>
        <w:t xml:space="preserve"> Panero A, Stegagno M.</w:t>
      </w:r>
      <w:r w:rsidRPr="0078589D">
        <w:rPr>
          <w:sz w:val="22"/>
          <w:szCs w:val="22"/>
        </w:rPr>
        <w:t xml:space="preserve"> et al. Reliability of procalcitonin concentrations for the diagnosis of sepsis in critically ill neonates. </w:t>
      </w:r>
      <w:r w:rsidRPr="0078589D">
        <w:rPr>
          <w:i/>
          <w:iCs/>
          <w:sz w:val="22"/>
          <w:szCs w:val="22"/>
        </w:rPr>
        <w:t xml:space="preserve">Clin </w:t>
      </w:r>
      <w:r w:rsidR="00811846" w:rsidRPr="0078589D">
        <w:rPr>
          <w:i/>
          <w:iCs/>
          <w:sz w:val="22"/>
          <w:szCs w:val="22"/>
        </w:rPr>
        <w:t>I</w:t>
      </w:r>
      <w:r w:rsidRPr="0078589D">
        <w:rPr>
          <w:i/>
          <w:iCs/>
          <w:sz w:val="22"/>
          <w:szCs w:val="22"/>
        </w:rPr>
        <w:t>nfe</w:t>
      </w:r>
      <w:r w:rsidR="00811846" w:rsidRPr="0078589D">
        <w:rPr>
          <w:i/>
          <w:iCs/>
          <w:sz w:val="22"/>
          <w:szCs w:val="22"/>
        </w:rPr>
        <w:t>ct</w:t>
      </w:r>
      <w:r w:rsidRPr="0078589D">
        <w:rPr>
          <w:i/>
          <w:iCs/>
          <w:sz w:val="22"/>
          <w:szCs w:val="22"/>
        </w:rPr>
        <w:t xml:space="preserve"> </w:t>
      </w:r>
      <w:r w:rsidR="00811846" w:rsidRPr="0078589D">
        <w:rPr>
          <w:i/>
          <w:iCs/>
          <w:sz w:val="22"/>
          <w:szCs w:val="22"/>
        </w:rPr>
        <w:t>D</w:t>
      </w:r>
      <w:r w:rsidRPr="0078589D">
        <w:rPr>
          <w:i/>
          <w:iCs/>
          <w:sz w:val="22"/>
          <w:szCs w:val="22"/>
        </w:rPr>
        <w:t>is.</w:t>
      </w:r>
      <w:r w:rsidRPr="0078589D">
        <w:rPr>
          <w:sz w:val="22"/>
          <w:szCs w:val="22"/>
        </w:rPr>
        <w:t xml:space="preserve"> 1998</w:t>
      </w:r>
      <w:r w:rsidR="00811846" w:rsidRPr="0078589D">
        <w:rPr>
          <w:sz w:val="22"/>
          <w:szCs w:val="22"/>
        </w:rPr>
        <w:t>;</w:t>
      </w:r>
      <w:r w:rsidRPr="0078589D">
        <w:rPr>
          <w:sz w:val="22"/>
          <w:szCs w:val="22"/>
        </w:rPr>
        <w:t>26</w:t>
      </w:r>
      <w:r w:rsidR="00811846" w:rsidRPr="0078589D">
        <w:rPr>
          <w:sz w:val="22"/>
          <w:szCs w:val="22"/>
        </w:rPr>
        <w:t>(3)</w:t>
      </w:r>
      <w:r w:rsidRPr="0078589D">
        <w:rPr>
          <w:sz w:val="22"/>
          <w:szCs w:val="22"/>
        </w:rPr>
        <w:t xml:space="preserve">:664-72. </w:t>
      </w:r>
    </w:p>
    <w:p w14:paraId="653059CD" w14:textId="556870E5" w:rsidR="00815B3D" w:rsidRDefault="00815B3D" w:rsidP="00815B3D">
      <w:pPr>
        <w:pStyle w:val="ListParagraph"/>
        <w:numPr>
          <w:ilvl w:val="0"/>
          <w:numId w:val="1"/>
        </w:numPr>
        <w:spacing w:line="360" w:lineRule="auto"/>
        <w:rPr>
          <w:sz w:val="22"/>
          <w:szCs w:val="22"/>
        </w:rPr>
      </w:pPr>
      <w:r w:rsidRPr="00815B3D">
        <w:rPr>
          <w:sz w:val="22"/>
          <w:szCs w:val="22"/>
        </w:rPr>
        <w:t xml:space="preserve">Sakha K, Husseini MB and Seyyedsadri N. The role of the procalcitonin in diagnosis of neonatal sepsis and correlation between procalcitonin and c-reactive protein in these patients. </w:t>
      </w:r>
      <w:r w:rsidRPr="00815B3D">
        <w:rPr>
          <w:i/>
          <w:iCs/>
          <w:sz w:val="22"/>
          <w:szCs w:val="22"/>
        </w:rPr>
        <w:t xml:space="preserve">Pak Journal Biological Science. </w:t>
      </w:r>
      <w:r w:rsidRPr="00815B3D">
        <w:rPr>
          <w:sz w:val="22"/>
          <w:szCs w:val="22"/>
        </w:rPr>
        <w:t xml:space="preserve">2008;11(14):1785-90. </w:t>
      </w:r>
    </w:p>
    <w:p w14:paraId="22BFF256" w14:textId="2353BBA2" w:rsidR="00815B3D" w:rsidRPr="00815B3D" w:rsidRDefault="00815B3D" w:rsidP="00815B3D">
      <w:pPr>
        <w:pStyle w:val="ListParagraph"/>
        <w:numPr>
          <w:ilvl w:val="0"/>
          <w:numId w:val="1"/>
        </w:numPr>
        <w:spacing w:line="360" w:lineRule="auto"/>
        <w:rPr>
          <w:sz w:val="22"/>
          <w:szCs w:val="22"/>
        </w:rPr>
      </w:pPr>
      <w:r w:rsidRPr="0078589D">
        <w:rPr>
          <w:color w:val="000000" w:themeColor="text1"/>
          <w:sz w:val="22"/>
          <w:szCs w:val="22"/>
        </w:rPr>
        <w:t xml:space="preserve">Greer O, Shah NM, Johnson MR. Maternal sepsis update: current management and controversies. The Obstetrician and Gynaecologist. 2020;22(1):45-55. </w:t>
      </w:r>
    </w:p>
    <w:p w14:paraId="33A8FF11" w14:textId="4433FB6E" w:rsidR="009A65C5" w:rsidRPr="009A65C5" w:rsidRDefault="009A65C5" w:rsidP="009A65C5">
      <w:pPr>
        <w:pStyle w:val="ListParagraph"/>
        <w:numPr>
          <w:ilvl w:val="0"/>
          <w:numId w:val="1"/>
        </w:numPr>
        <w:spacing w:line="360" w:lineRule="auto"/>
        <w:rPr>
          <w:sz w:val="22"/>
          <w:szCs w:val="22"/>
        </w:rPr>
      </w:pPr>
      <w:r w:rsidRPr="009A65C5">
        <w:rPr>
          <w:sz w:val="22"/>
          <w:szCs w:val="22"/>
        </w:rPr>
        <w:t xml:space="preserve">Snoek L, Van Kassel MN, Krommenhoek JF, et al. Neonatal early-onset infections: Comparing the severity of the neonatal early-onset sepsis calculator to the Dutch and the updated NICE guidelines in an observational cohort of culture-positive cases. </w:t>
      </w:r>
      <w:r w:rsidRPr="009A65C5">
        <w:rPr>
          <w:rFonts w:ascii="Source Sans Pro" w:hAnsi="Source Sans Pro"/>
          <w:i/>
          <w:iCs/>
          <w:color w:val="333333"/>
          <w:sz w:val="23"/>
          <w:szCs w:val="23"/>
          <w:shd w:val="clear" w:color="auto" w:fill="FFFFFF"/>
        </w:rPr>
        <w:t>eClinicalMedicine</w:t>
      </w:r>
      <w:r w:rsidRPr="009A65C5">
        <w:rPr>
          <w:rFonts w:ascii="Source Sans Pro" w:hAnsi="Source Sans Pro"/>
          <w:color w:val="333333"/>
          <w:sz w:val="23"/>
          <w:szCs w:val="23"/>
          <w:shd w:val="clear" w:color="auto" w:fill="FFFFFF"/>
        </w:rPr>
        <w:t>. 2022;44:101270</w:t>
      </w:r>
    </w:p>
    <w:p w14:paraId="08219AA9" w14:textId="0A11F687" w:rsidR="0065314F" w:rsidRPr="0078589D" w:rsidRDefault="0065314F" w:rsidP="0000037C">
      <w:pPr>
        <w:pStyle w:val="ListParagraph"/>
        <w:numPr>
          <w:ilvl w:val="0"/>
          <w:numId w:val="1"/>
        </w:numPr>
        <w:spacing w:line="360" w:lineRule="auto"/>
        <w:rPr>
          <w:sz w:val="22"/>
          <w:szCs w:val="22"/>
        </w:rPr>
      </w:pPr>
      <w:r w:rsidRPr="0078589D">
        <w:rPr>
          <w:sz w:val="22"/>
          <w:szCs w:val="22"/>
        </w:rPr>
        <w:t>Simonsen KA</w:t>
      </w:r>
      <w:r w:rsidR="00811846" w:rsidRPr="0078589D">
        <w:rPr>
          <w:sz w:val="22"/>
          <w:szCs w:val="22"/>
        </w:rPr>
        <w:t>,</w:t>
      </w:r>
      <w:r w:rsidRPr="0078589D">
        <w:rPr>
          <w:sz w:val="22"/>
          <w:szCs w:val="22"/>
        </w:rPr>
        <w:t xml:space="preserve"> Anderson-Berry AL, Delair SF</w:t>
      </w:r>
      <w:r w:rsidR="00811846" w:rsidRPr="0078589D">
        <w:rPr>
          <w:sz w:val="22"/>
          <w:szCs w:val="22"/>
        </w:rPr>
        <w:t>, et al.</w:t>
      </w:r>
      <w:r w:rsidR="00F41B82" w:rsidRPr="0078589D">
        <w:rPr>
          <w:sz w:val="22"/>
          <w:szCs w:val="22"/>
        </w:rPr>
        <w:t xml:space="preserve"> </w:t>
      </w:r>
      <w:r w:rsidRPr="0078589D">
        <w:rPr>
          <w:sz w:val="22"/>
          <w:szCs w:val="22"/>
        </w:rPr>
        <w:t xml:space="preserve">Early-onset Neonatal Sepsis. </w:t>
      </w:r>
      <w:r w:rsidRPr="0078589D">
        <w:rPr>
          <w:i/>
          <w:iCs/>
          <w:sz w:val="22"/>
          <w:szCs w:val="22"/>
        </w:rPr>
        <w:t xml:space="preserve">Clin </w:t>
      </w:r>
      <w:r w:rsidR="00811846" w:rsidRPr="0078589D">
        <w:rPr>
          <w:i/>
          <w:iCs/>
          <w:sz w:val="22"/>
          <w:szCs w:val="22"/>
        </w:rPr>
        <w:t>M</w:t>
      </w:r>
      <w:r w:rsidRPr="0078589D">
        <w:rPr>
          <w:i/>
          <w:iCs/>
          <w:sz w:val="22"/>
          <w:szCs w:val="22"/>
        </w:rPr>
        <w:t>icrobiol Rev.</w:t>
      </w:r>
      <w:r w:rsidRPr="0078589D">
        <w:rPr>
          <w:sz w:val="22"/>
          <w:szCs w:val="22"/>
        </w:rPr>
        <w:t xml:space="preserve"> 2014</w:t>
      </w:r>
      <w:r w:rsidR="00811846" w:rsidRPr="0078589D">
        <w:rPr>
          <w:sz w:val="22"/>
          <w:szCs w:val="22"/>
        </w:rPr>
        <w:t>;</w:t>
      </w:r>
      <w:r w:rsidRPr="0078589D">
        <w:rPr>
          <w:sz w:val="22"/>
          <w:szCs w:val="22"/>
        </w:rPr>
        <w:t xml:space="preserve">27(1):21-47. </w:t>
      </w:r>
    </w:p>
    <w:p w14:paraId="423AC06F" w14:textId="77777777" w:rsidR="00811846" w:rsidRPr="0078589D" w:rsidRDefault="00557C40" w:rsidP="0000037C">
      <w:pPr>
        <w:pStyle w:val="ListParagraph"/>
        <w:numPr>
          <w:ilvl w:val="0"/>
          <w:numId w:val="1"/>
        </w:numPr>
        <w:spacing w:line="360" w:lineRule="auto"/>
        <w:rPr>
          <w:color w:val="000000" w:themeColor="text1"/>
          <w:sz w:val="22"/>
          <w:szCs w:val="22"/>
          <w:u w:val="single"/>
        </w:rPr>
      </w:pPr>
      <w:r w:rsidRPr="0078589D">
        <w:rPr>
          <w:color w:val="000000" w:themeColor="text1"/>
          <w:sz w:val="22"/>
          <w:szCs w:val="22"/>
        </w:rPr>
        <w:t>Coker MO</w:t>
      </w:r>
      <w:r w:rsidR="00811846" w:rsidRPr="0078589D">
        <w:rPr>
          <w:color w:val="000000" w:themeColor="text1"/>
          <w:sz w:val="22"/>
          <w:szCs w:val="22"/>
        </w:rPr>
        <w:t>, Hoen AG, Dade E,</w:t>
      </w:r>
      <w:r w:rsidRPr="0078589D">
        <w:rPr>
          <w:color w:val="000000" w:themeColor="text1"/>
          <w:sz w:val="22"/>
          <w:szCs w:val="22"/>
        </w:rPr>
        <w:t xml:space="preserve"> et al. Specific class of intrapartum antibiotics relates to maturation of the infant gut microbiota: a prospective cohort study. </w:t>
      </w:r>
      <w:r w:rsidRPr="0078589D">
        <w:rPr>
          <w:i/>
          <w:iCs/>
          <w:color w:val="000000" w:themeColor="text1"/>
          <w:sz w:val="22"/>
          <w:szCs w:val="22"/>
        </w:rPr>
        <w:t>BJOG</w:t>
      </w:r>
      <w:r w:rsidR="00811846" w:rsidRPr="0078589D">
        <w:rPr>
          <w:color w:val="000000" w:themeColor="text1"/>
          <w:sz w:val="22"/>
          <w:szCs w:val="22"/>
        </w:rPr>
        <w:t xml:space="preserve">. </w:t>
      </w:r>
      <w:r w:rsidRPr="0078589D">
        <w:rPr>
          <w:color w:val="000000" w:themeColor="text1"/>
          <w:sz w:val="22"/>
          <w:szCs w:val="22"/>
        </w:rPr>
        <w:t>20</w:t>
      </w:r>
      <w:r w:rsidR="00811846" w:rsidRPr="0078589D">
        <w:rPr>
          <w:color w:val="000000" w:themeColor="text1"/>
          <w:sz w:val="22"/>
          <w:szCs w:val="22"/>
        </w:rPr>
        <w:t xml:space="preserve">20;127(2):217-227. </w:t>
      </w:r>
    </w:p>
    <w:p w14:paraId="469897F5" w14:textId="7A78E203" w:rsidR="00557C40" w:rsidRPr="00E1159F" w:rsidRDefault="00557C40" w:rsidP="0000037C">
      <w:pPr>
        <w:pStyle w:val="ListParagraph"/>
        <w:numPr>
          <w:ilvl w:val="0"/>
          <w:numId w:val="1"/>
        </w:numPr>
        <w:spacing w:line="360" w:lineRule="auto"/>
        <w:rPr>
          <w:color w:val="000000" w:themeColor="text1"/>
          <w:sz w:val="22"/>
          <w:szCs w:val="22"/>
          <w:u w:val="single"/>
        </w:rPr>
      </w:pPr>
      <w:r w:rsidRPr="0078589D">
        <w:rPr>
          <w:color w:val="000000" w:themeColor="text1"/>
          <w:sz w:val="22"/>
          <w:szCs w:val="22"/>
        </w:rPr>
        <w:t>Tapiainen</w:t>
      </w:r>
      <w:r w:rsidR="00811846" w:rsidRPr="0078589D">
        <w:rPr>
          <w:color w:val="000000" w:themeColor="text1"/>
          <w:sz w:val="22"/>
          <w:szCs w:val="22"/>
        </w:rPr>
        <w:t xml:space="preserve"> </w:t>
      </w:r>
      <w:r w:rsidRPr="0078589D">
        <w:rPr>
          <w:color w:val="000000" w:themeColor="text1"/>
          <w:sz w:val="22"/>
          <w:szCs w:val="22"/>
        </w:rPr>
        <w:t>T</w:t>
      </w:r>
      <w:r w:rsidR="00811846" w:rsidRPr="0078589D">
        <w:rPr>
          <w:color w:val="000000" w:themeColor="text1"/>
          <w:sz w:val="22"/>
          <w:szCs w:val="22"/>
        </w:rPr>
        <w:t>, Koivusaari P, Brinkac L,</w:t>
      </w:r>
      <w:r w:rsidRPr="0078589D">
        <w:rPr>
          <w:color w:val="000000" w:themeColor="text1"/>
          <w:sz w:val="22"/>
          <w:szCs w:val="22"/>
        </w:rPr>
        <w:t xml:space="preserve"> et al. Impact of intrapartum and postnatal antibiotics on the gut microbiome and emergence of antimicrobial resistance in infants.</w:t>
      </w:r>
      <w:r w:rsidRPr="0078589D">
        <w:rPr>
          <w:i/>
          <w:iCs/>
          <w:color w:val="000000" w:themeColor="text1"/>
          <w:sz w:val="22"/>
          <w:szCs w:val="22"/>
        </w:rPr>
        <w:t xml:space="preserve"> Scientific Reports</w:t>
      </w:r>
      <w:r w:rsidR="00811846" w:rsidRPr="0078589D">
        <w:rPr>
          <w:color w:val="000000" w:themeColor="text1"/>
          <w:sz w:val="22"/>
          <w:szCs w:val="22"/>
        </w:rPr>
        <w:t>.</w:t>
      </w:r>
      <w:r w:rsidRPr="0078589D">
        <w:rPr>
          <w:color w:val="000000" w:themeColor="text1"/>
          <w:sz w:val="22"/>
          <w:szCs w:val="22"/>
        </w:rPr>
        <w:t xml:space="preserve"> </w:t>
      </w:r>
      <w:r w:rsidR="00811846" w:rsidRPr="0078589D">
        <w:rPr>
          <w:color w:val="000000" w:themeColor="text1"/>
          <w:sz w:val="22"/>
          <w:szCs w:val="22"/>
        </w:rPr>
        <w:t>2019;</w:t>
      </w:r>
      <w:r w:rsidRPr="0078589D">
        <w:rPr>
          <w:color w:val="000000" w:themeColor="text1"/>
          <w:sz w:val="22"/>
          <w:szCs w:val="22"/>
        </w:rPr>
        <w:t xml:space="preserve">10635 </w:t>
      </w:r>
    </w:p>
    <w:p w14:paraId="71EB8ED1" w14:textId="4DC3E536" w:rsidR="00E1159F" w:rsidRPr="00E1159F" w:rsidRDefault="00E1159F" w:rsidP="00E1159F">
      <w:pPr>
        <w:pStyle w:val="ListParagraph"/>
        <w:numPr>
          <w:ilvl w:val="0"/>
          <w:numId w:val="1"/>
        </w:numPr>
        <w:spacing w:line="360" w:lineRule="auto"/>
        <w:rPr>
          <w:sz w:val="22"/>
          <w:szCs w:val="22"/>
        </w:rPr>
      </w:pPr>
      <w:r w:rsidRPr="00E1159F">
        <w:rPr>
          <w:sz w:val="22"/>
          <w:szCs w:val="22"/>
        </w:rPr>
        <w:t xml:space="preserve">Walker S, Harding I., Soomre K, et al. An evaluation into the use of procalcitonin levels as a biomarker of bacterial sepsis to aid the management of intrapartum pyrexia and chorioamnionitis. </w:t>
      </w:r>
      <w:r w:rsidRPr="00E1159F">
        <w:rPr>
          <w:i/>
          <w:iCs/>
          <w:sz w:val="22"/>
          <w:szCs w:val="22"/>
        </w:rPr>
        <w:t>American Jounral of Obstetrics and Gynaecology: Global Reports.</w:t>
      </w:r>
      <w:r w:rsidRPr="00E1159F">
        <w:rPr>
          <w:sz w:val="22"/>
          <w:szCs w:val="22"/>
        </w:rPr>
        <w:t xml:space="preserve"> 2022; 2(3):100064</w:t>
      </w:r>
    </w:p>
    <w:p w14:paraId="271A0A00" w14:textId="3A4DC75D" w:rsidR="00557C40" w:rsidRPr="0078589D" w:rsidRDefault="00557C40" w:rsidP="0000037C">
      <w:pPr>
        <w:pStyle w:val="ListParagraph"/>
        <w:numPr>
          <w:ilvl w:val="0"/>
          <w:numId w:val="1"/>
        </w:numPr>
        <w:spacing w:line="360" w:lineRule="auto"/>
        <w:rPr>
          <w:sz w:val="22"/>
          <w:szCs w:val="22"/>
        </w:rPr>
      </w:pPr>
      <w:r w:rsidRPr="0078589D">
        <w:rPr>
          <w:sz w:val="22"/>
          <w:szCs w:val="22"/>
        </w:rPr>
        <w:t>Pontrelli G,</w:t>
      </w:r>
      <w:r w:rsidR="00811846" w:rsidRPr="0078589D">
        <w:rPr>
          <w:sz w:val="22"/>
          <w:szCs w:val="22"/>
        </w:rPr>
        <w:t xml:space="preserve"> De Crescenzo F, Buzzetti R,</w:t>
      </w:r>
      <w:r w:rsidRPr="0078589D">
        <w:rPr>
          <w:sz w:val="22"/>
          <w:szCs w:val="22"/>
        </w:rPr>
        <w:t xml:space="preserve"> et al. Accuracy of serum procalcitonin for the diagnosis of sepsis in neonates and children with systemic inflammatory syndrome: a meta-analysis. </w:t>
      </w:r>
      <w:r w:rsidRPr="0078589D">
        <w:rPr>
          <w:i/>
          <w:iCs/>
          <w:sz w:val="22"/>
          <w:szCs w:val="22"/>
        </w:rPr>
        <w:t>BMC Infect Dis</w:t>
      </w:r>
      <w:r w:rsidRPr="0078589D">
        <w:rPr>
          <w:sz w:val="22"/>
          <w:szCs w:val="22"/>
        </w:rPr>
        <w:t>. 2017</w:t>
      </w:r>
      <w:r w:rsidR="00811846" w:rsidRPr="0078589D">
        <w:rPr>
          <w:sz w:val="22"/>
          <w:szCs w:val="22"/>
        </w:rPr>
        <w:t>;</w:t>
      </w:r>
      <w:r w:rsidRPr="0078589D">
        <w:rPr>
          <w:sz w:val="22"/>
          <w:szCs w:val="22"/>
        </w:rPr>
        <w:t>17</w:t>
      </w:r>
      <w:r w:rsidR="00811846" w:rsidRPr="0078589D">
        <w:rPr>
          <w:sz w:val="22"/>
          <w:szCs w:val="22"/>
        </w:rPr>
        <w:t>(1)</w:t>
      </w:r>
      <w:r w:rsidRPr="0078589D">
        <w:rPr>
          <w:sz w:val="22"/>
          <w:szCs w:val="22"/>
        </w:rPr>
        <w:t xml:space="preserve">:302. </w:t>
      </w:r>
    </w:p>
    <w:p w14:paraId="3C78E84B" w14:textId="25E74EDE" w:rsidR="00F229DB" w:rsidRPr="0078589D" w:rsidRDefault="00F229DB" w:rsidP="0000037C">
      <w:pPr>
        <w:pStyle w:val="ListParagraph"/>
        <w:numPr>
          <w:ilvl w:val="0"/>
          <w:numId w:val="1"/>
        </w:numPr>
        <w:spacing w:line="360" w:lineRule="auto"/>
        <w:rPr>
          <w:rStyle w:val="Hyperlink"/>
          <w:color w:val="auto"/>
          <w:sz w:val="22"/>
          <w:szCs w:val="22"/>
          <w:u w:val="none"/>
        </w:rPr>
      </w:pPr>
      <w:r w:rsidRPr="0078589D">
        <w:rPr>
          <w:color w:val="000000" w:themeColor="text1"/>
          <w:sz w:val="22"/>
          <w:szCs w:val="22"/>
        </w:rPr>
        <w:lastRenderedPageBreak/>
        <w:t>Waldron C</w:t>
      </w:r>
      <w:r w:rsidRPr="0078589D">
        <w:rPr>
          <w:rStyle w:val="Hyperlink"/>
          <w:color w:val="auto"/>
          <w:sz w:val="22"/>
          <w:szCs w:val="22"/>
          <w:u w:val="none"/>
        </w:rPr>
        <w:t xml:space="preserve">A, Thomas-Jones E, Bernatoniene J, et al. Biomarker-guided duration of Antibiotic Treatmnet in Children Hospitalised with confirmed or suspected bacterial infection (BATCH): protocol for a randomised controlled trial. </w:t>
      </w:r>
      <w:r w:rsidRPr="0078589D">
        <w:rPr>
          <w:rStyle w:val="Hyperlink"/>
          <w:i/>
          <w:iCs/>
          <w:color w:val="auto"/>
          <w:sz w:val="22"/>
          <w:szCs w:val="22"/>
          <w:u w:val="none"/>
        </w:rPr>
        <w:t>BMJ Open</w:t>
      </w:r>
      <w:r w:rsidRPr="0078589D">
        <w:rPr>
          <w:rStyle w:val="Hyperlink"/>
          <w:color w:val="auto"/>
          <w:sz w:val="22"/>
          <w:szCs w:val="22"/>
          <w:u w:val="none"/>
        </w:rPr>
        <w:t>. 2022</w:t>
      </w:r>
      <w:r w:rsidR="00811846" w:rsidRPr="0078589D">
        <w:rPr>
          <w:rStyle w:val="Hyperlink"/>
          <w:color w:val="auto"/>
          <w:sz w:val="22"/>
          <w:szCs w:val="22"/>
          <w:u w:val="none"/>
        </w:rPr>
        <w:t>;</w:t>
      </w:r>
      <w:r w:rsidRPr="0078589D">
        <w:rPr>
          <w:rStyle w:val="Hyperlink"/>
          <w:color w:val="auto"/>
          <w:sz w:val="22"/>
          <w:szCs w:val="22"/>
          <w:u w:val="none"/>
        </w:rPr>
        <w:t xml:space="preserve">25(1):e047490. </w:t>
      </w:r>
    </w:p>
    <w:p w14:paraId="760E8A88" w14:textId="1352AC74" w:rsidR="00557C40" w:rsidRPr="0078589D" w:rsidRDefault="00557C40" w:rsidP="0000037C">
      <w:pPr>
        <w:pStyle w:val="ListParagraph"/>
        <w:numPr>
          <w:ilvl w:val="0"/>
          <w:numId w:val="1"/>
        </w:numPr>
        <w:spacing w:line="360" w:lineRule="auto"/>
        <w:rPr>
          <w:color w:val="000000" w:themeColor="text1"/>
          <w:sz w:val="22"/>
          <w:szCs w:val="22"/>
        </w:rPr>
      </w:pPr>
      <w:bookmarkStart w:id="0" w:name="OLE_LINK1"/>
      <w:r w:rsidRPr="0078589D">
        <w:rPr>
          <w:color w:val="000000" w:themeColor="text1"/>
          <w:sz w:val="22"/>
          <w:szCs w:val="22"/>
        </w:rPr>
        <w:t>Vijayan</w:t>
      </w:r>
      <w:r w:rsidR="00811846" w:rsidRPr="0078589D">
        <w:rPr>
          <w:color w:val="000000" w:themeColor="text1"/>
          <w:sz w:val="22"/>
          <w:szCs w:val="22"/>
        </w:rPr>
        <w:t xml:space="preserve"> </w:t>
      </w:r>
      <w:r w:rsidRPr="0078589D">
        <w:rPr>
          <w:color w:val="000000" w:themeColor="text1"/>
          <w:sz w:val="22"/>
          <w:szCs w:val="22"/>
        </w:rPr>
        <w:t>AL</w:t>
      </w:r>
      <w:r w:rsidR="00811846" w:rsidRPr="0078589D">
        <w:rPr>
          <w:color w:val="000000" w:themeColor="text1"/>
          <w:sz w:val="22"/>
          <w:szCs w:val="22"/>
        </w:rPr>
        <w:t>, Vanimaya, Tavindran S,</w:t>
      </w:r>
      <w:r w:rsidRPr="0078589D">
        <w:rPr>
          <w:color w:val="000000" w:themeColor="text1"/>
          <w:sz w:val="22"/>
          <w:szCs w:val="22"/>
        </w:rPr>
        <w:t xml:space="preserve"> et al. Procalcitonin: a promising diagnostic marker for sepsis and antibiotic therapy. </w:t>
      </w:r>
      <w:r w:rsidRPr="0078589D">
        <w:rPr>
          <w:i/>
          <w:iCs/>
          <w:color w:val="000000" w:themeColor="text1"/>
          <w:sz w:val="22"/>
          <w:szCs w:val="22"/>
        </w:rPr>
        <w:t>Journal of Intensive care</w:t>
      </w:r>
      <w:r w:rsidRPr="0078589D">
        <w:rPr>
          <w:color w:val="000000" w:themeColor="text1"/>
          <w:sz w:val="22"/>
          <w:szCs w:val="22"/>
        </w:rPr>
        <w:t>. 2017</w:t>
      </w:r>
      <w:r w:rsidR="00811846" w:rsidRPr="0078589D">
        <w:rPr>
          <w:color w:val="000000" w:themeColor="text1"/>
          <w:sz w:val="22"/>
          <w:szCs w:val="22"/>
        </w:rPr>
        <w:t>;</w:t>
      </w:r>
      <w:r w:rsidRPr="0078589D">
        <w:rPr>
          <w:color w:val="000000" w:themeColor="text1"/>
          <w:sz w:val="22"/>
          <w:szCs w:val="22"/>
        </w:rPr>
        <w:t>5(51).</w:t>
      </w:r>
    </w:p>
    <w:p w14:paraId="26E58243" w14:textId="203BE1A4" w:rsidR="00557C40" w:rsidRPr="0078589D" w:rsidRDefault="00557C40" w:rsidP="0000037C">
      <w:pPr>
        <w:pStyle w:val="ListParagraph"/>
        <w:numPr>
          <w:ilvl w:val="0"/>
          <w:numId w:val="1"/>
        </w:numPr>
        <w:spacing w:line="360" w:lineRule="auto"/>
        <w:rPr>
          <w:color w:val="000000" w:themeColor="text1"/>
          <w:sz w:val="22"/>
          <w:szCs w:val="22"/>
        </w:rPr>
      </w:pPr>
      <w:r w:rsidRPr="0078589D">
        <w:rPr>
          <w:color w:val="000000" w:themeColor="text1"/>
          <w:sz w:val="22"/>
          <w:szCs w:val="22"/>
        </w:rPr>
        <w:t>Tujula</w:t>
      </w:r>
      <w:r w:rsidR="00811846" w:rsidRPr="0078589D">
        <w:rPr>
          <w:color w:val="000000" w:themeColor="text1"/>
          <w:sz w:val="22"/>
          <w:szCs w:val="22"/>
        </w:rPr>
        <w:t xml:space="preserve"> </w:t>
      </w:r>
      <w:r w:rsidRPr="0078589D">
        <w:rPr>
          <w:color w:val="000000" w:themeColor="text1"/>
          <w:sz w:val="22"/>
          <w:szCs w:val="22"/>
        </w:rPr>
        <w:t>B, Kokki H, Rasanen J</w:t>
      </w:r>
      <w:r w:rsidR="00811846" w:rsidRPr="0078589D">
        <w:rPr>
          <w:color w:val="000000" w:themeColor="text1"/>
          <w:sz w:val="22"/>
          <w:szCs w:val="22"/>
        </w:rPr>
        <w:t>, et al</w:t>
      </w:r>
      <w:r w:rsidRPr="0078589D">
        <w:rPr>
          <w:color w:val="000000" w:themeColor="text1"/>
          <w:sz w:val="22"/>
          <w:szCs w:val="22"/>
        </w:rPr>
        <w:t xml:space="preserve">. Procalcitonin; a feasible biomarker for severe bacterial infections in Obstetrics and Gynecology? </w:t>
      </w:r>
      <w:r w:rsidRPr="0078589D">
        <w:rPr>
          <w:i/>
          <w:iCs/>
          <w:color w:val="000000" w:themeColor="text1"/>
          <w:sz w:val="22"/>
          <w:szCs w:val="22"/>
        </w:rPr>
        <w:t>Acta Obstet Gynecol Scand</w:t>
      </w:r>
      <w:r w:rsidRPr="0078589D">
        <w:rPr>
          <w:color w:val="000000" w:themeColor="text1"/>
          <w:sz w:val="22"/>
          <w:szCs w:val="22"/>
        </w:rPr>
        <w:t>. 2018</w:t>
      </w:r>
      <w:r w:rsidR="00811846" w:rsidRPr="0078589D">
        <w:rPr>
          <w:color w:val="000000" w:themeColor="text1"/>
          <w:sz w:val="22"/>
          <w:szCs w:val="22"/>
        </w:rPr>
        <w:t>;97(5):505-506.</w:t>
      </w:r>
    </w:p>
    <w:bookmarkEnd w:id="0"/>
    <w:p w14:paraId="40F7CACC" w14:textId="48D8C00D" w:rsidR="00557C40" w:rsidRDefault="00557C40" w:rsidP="0000037C">
      <w:pPr>
        <w:pStyle w:val="ListParagraph"/>
        <w:numPr>
          <w:ilvl w:val="0"/>
          <w:numId w:val="1"/>
        </w:numPr>
        <w:spacing w:line="360" w:lineRule="auto"/>
        <w:rPr>
          <w:color w:val="000000" w:themeColor="text1"/>
          <w:sz w:val="22"/>
          <w:szCs w:val="22"/>
        </w:rPr>
      </w:pPr>
      <w:r w:rsidRPr="0078589D">
        <w:rPr>
          <w:color w:val="000000" w:themeColor="text1"/>
          <w:sz w:val="22"/>
          <w:szCs w:val="22"/>
        </w:rPr>
        <w:t>National institute for health and care excellence. Procalcitonin testing for diagnosing and monitoring sepsis (ADVIA Centaur BRAHMS PCT assay, BRAHMS PCT sensitive Kryptor assay, Elecsys BRAHMS PCT assay, LIASON BRAHMS PCT assay and VIDAS BRAHMS PCT assay). Diagnostic guidance 18. London: NICE; 2015</w:t>
      </w:r>
      <w:r w:rsidR="00811846" w:rsidRPr="0078589D">
        <w:rPr>
          <w:color w:val="000000" w:themeColor="text1"/>
          <w:sz w:val="22"/>
          <w:szCs w:val="22"/>
        </w:rPr>
        <w:t xml:space="preserve"> </w:t>
      </w:r>
      <w:r w:rsidRPr="0078589D">
        <w:rPr>
          <w:color w:val="000000" w:themeColor="text1"/>
          <w:sz w:val="22"/>
          <w:szCs w:val="22"/>
        </w:rPr>
        <w:t xml:space="preserve">[http://www.nice.org.uk/guidance/dg18]. </w:t>
      </w:r>
    </w:p>
    <w:p w14:paraId="3E4C8A3D" w14:textId="67D66FDC" w:rsidR="009A65C5" w:rsidRDefault="009A65C5" w:rsidP="009A65C5">
      <w:pPr>
        <w:pStyle w:val="ListParagraph"/>
        <w:numPr>
          <w:ilvl w:val="0"/>
          <w:numId w:val="1"/>
        </w:numPr>
        <w:spacing w:line="360" w:lineRule="auto"/>
        <w:rPr>
          <w:sz w:val="22"/>
          <w:szCs w:val="22"/>
        </w:rPr>
      </w:pPr>
      <w:r w:rsidRPr="0078589D">
        <w:rPr>
          <w:sz w:val="22"/>
          <w:szCs w:val="22"/>
        </w:rPr>
        <w:t xml:space="preserve">Lee J, Bang YH, Lee EH, et al. The influencing factors on procalcitonin values in newborns with noninfectious conditions during the first week of life. </w:t>
      </w:r>
      <w:r w:rsidRPr="0078589D">
        <w:rPr>
          <w:i/>
          <w:iCs/>
          <w:sz w:val="22"/>
          <w:szCs w:val="22"/>
        </w:rPr>
        <w:t>Korean J Pediatr</w:t>
      </w:r>
      <w:r w:rsidRPr="0078589D">
        <w:rPr>
          <w:sz w:val="22"/>
          <w:szCs w:val="22"/>
        </w:rPr>
        <w:t xml:space="preserve">. 2017;60(1):10-16. </w:t>
      </w:r>
    </w:p>
    <w:p w14:paraId="288E37B8" w14:textId="081BC675" w:rsidR="00E1159F" w:rsidRPr="009A65C5" w:rsidRDefault="00E1159F" w:rsidP="009A65C5">
      <w:pPr>
        <w:pStyle w:val="ListParagraph"/>
        <w:numPr>
          <w:ilvl w:val="0"/>
          <w:numId w:val="1"/>
        </w:numPr>
        <w:spacing w:line="360" w:lineRule="auto"/>
        <w:rPr>
          <w:sz w:val="22"/>
          <w:szCs w:val="22"/>
        </w:rPr>
      </w:pPr>
      <w:r>
        <w:rPr>
          <w:sz w:val="22"/>
          <w:szCs w:val="22"/>
        </w:rPr>
        <w:t xml:space="preserve">Gkentzi G and Dimitriou G. Procalcitonin use for shorter courses of antibiotic therapy in suspected early-onset neonatal sepsis: are we getting there? </w:t>
      </w:r>
      <w:r>
        <w:rPr>
          <w:i/>
          <w:iCs/>
          <w:sz w:val="22"/>
          <w:szCs w:val="22"/>
        </w:rPr>
        <w:t>Journal of Thoracic Disease.</w:t>
      </w:r>
      <w:r>
        <w:rPr>
          <w:sz w:val="22"/>
          <w:szCs w:val="22"/>
        </w:rPr>
        <w:t xml:space="preserve"> 2017;9(12):4899-4902.</w:t>
      </w:r>
    </w:p>
    <w:p w14:paraId="600D971C" w14:textId="32FFD35B" w:rsidR="00390CA0" w:rsidRPr="0078589D" w:rsidRDefault="00390CA0" w:rsidP="0000037C">
      <w:pPr>
        <w:pStyle w:val="ListParagraph"/>
        <w:numPr>
          <w:ilvl w:val="0"/>
          <w:numId w:val="1"/>
        </w:numPr>
        <w:spacing w:line="360" w:lineRule="auto"/>
        <w:rPr>
          <w:sz w:val="22"/>
          <w:szCs w:val="22"/>
        </w:rPr>
      </w:pPr>
      <w:r w:rsidRPr="0078589D">
        <w:rPr>
          <w:sz w:val="22"/>
          <w:szCs w:val="22"/>
        </w:rPr>
        <w:t>National Institute for health and care excellence. Neonatal infection: antibiotics for prevention and treatment. NICE Guideline 195. 2021. [https://www.nice.org.uk/guidance/ng195/chapter/Recommendations]</w:t>
      </w:r>
    </w:p>
    <w:p w14:paraId="63FB1FC0" w14:textId="77777777" w:rsidR="009566DD" w:rsidRPr="0078589D" w:rsidRDefault="009566DD" w:rsidP="0000037C">
      <w:pPr>
        <w:pStyle w:val="ListParagraph"/>
        <w:numPr>
          <w:ilvl w:val="0"/>
          <w:numId w:val="1"/>
        </w:numPr>
        <w:spacing w:line="360" w:lineRule="auto"/>
        <w:rPr>
          <w:rStyle w:val="Hyperlink"/>
          <w:color w:val="000000" w:themeColor="text1"/>
          <w:sz w:val="22"/>
          <w:szCs w:val="22"/>
          <w:shd w:val="clear" w:color="auto" w:fill="FFFFFF"/>
        </w:rPr>
      </w:pPr>
      <w:r w:rsidRPr="0078589D">
        <w:rPr>
          <w:color w:val="000000" w:themeColor="text1"/>
          <w:sz w:val="22"/>
          <w:szCs w:val="22"/>
        </w:rPr>
        <w:t>Elecsys BRAHMS Procalcitonin assay.</w:t>
      </w:r>
      <w:r w:rsidRPr="0078589D">
        <w:rPr>
          <w:color w:val="000000" w:themeColor="text1"/>
          <w:sz w:val="22"/>
          <w:szCs w:val="22"/>
          <w:shd w:val="clear" w:color="auto" w:fill="FFFFFF"/>
        </w:rPr>
        <w:t xml:space="preserve"> Electrochemiluminescence immunoassay “ECLIA” for the in vitro quantitative determination of PCT (procalcitonin) in human serum and plasma. Found at: </w:t>
      </w:r>
      <w:hyperlink r:id="rId8" w:history="1">
        <w:r w:rsidRPr="0078589D">
          <w:rPr>
            <w:rStyle w:val="Hyperlink"/>
            <w:color w:val="000000" w:themeColor="text1"/>
            <w:sz w:val="22"/>
            <w:szCs w:val="22"/>
            <w:shd w:val="clear" w:color="auto" w:fill="FFFFFF"/>
          </w:rPr>
          <w:t>https://diagnostics.roche.com/global/en/products/params/elecsys-brahms-procalcitonin-pct.html</w:t>
        </w:r>
      </w:hyperlink>
      <w:r w:rsidRPr="0078589D">
        <w:rPr>
          <w:color w:val="000000" w:themeColor="text1"/>
          <w:sz w:val="22"/>
          <w:szCs w:val="22"/>
          <w:shd w:val="clear" w:color="auto" w:fill="FFFFFF"/>
        </w:rPr>
        <w:t xml:space="preserve">. AND: </w:t>
      </w:r>
      <w:hyperlink r:id="rId9" w:history="1">
        <w:r w:rsidRPr="0078589D">
          <w:rPr>
            <w:rStyle w:val="Hyperlink"/>
            <w:color w:val="000000" w:themeColor="text1"/>
            <w:sz w:val="22"/>
            <w:szCs w:val="22"/>
            <w:shd w:val="clear" w:color="auto" w:fill="FFFFFF"/>
          </w:rPr>
          <w:t>https://www.nortonsoundhealth.org/wp-content/uploads/Elecsys-BRAHMS-PCT.pdf</w:t>
        </w:r>
      </w:hyperlink>
    </w:p>
    <w:p w14:paraId="33FDE8F6" w14:textId="4C4EF34B" w:rsidR="009566DD" w:rsidRPr="0078589D" w:rsidRDefault="009566DD" w:rsidP="0000037C">
      <w:pPr>
        <w:pStyle w:val="ListParagraph"/>
        <w:numPr>
          <w:ilvl w:val="0"/>
          <w:numId w:val="1"/>
        </w:numPr>
        <w:spacing w:line="360" w:lineRule="auto"/>
        <w:rPr>
          <w:rStyle w:val="Hyperlink"/>
          <w:color w:val="000000" w:themeColor="text1"/>
          <w:sz w:val="22"/>
          <w:szCs w:val="22"/>
          <w:u w:val="none"/>
        </w:rPr>
      </w:pPr>
      <w:r w:rsidRPr="0078589D">
        <w:rPr>
          <w:color w:val="000000" w:themeColor="text1"/>
          <w:sz w:val="22"/>
          <w:szCs w:val="22"/>
        </w:rPr>
        <w:t>Schuetz P</w:t>
      </w:r>
      <w:r w:rsidR="00811846" w:rsidRPr="0078589D">
        <w:rPr>
          <w:color w:val="000000" w:themeColor="text1"/>
          <w:sz w:val="22"/>
          <w:szCs w:val="22"/>
        </w:rPr>
        <w:t>, Beishuizen A, Broyles M,</w:t>
      </w:r>
      <w:r w:rsidRPr="0078589D">
        <w:rPr>
          <w:color w:val="000000" w:themeColor="text1"/>
          <w:sz w:val="22"/>
          <w:szCs w:val="22"/>
        </w:rPr>
        <w:t xml:space="preserve"> et al. Procalcitonin (PCT)-guided antibiotic stewardship: an international experts consensus on optimized clinical use. </w:t>
      </w:r>
      <w:r w:rsidRPr="0078589D">
        <w:rPr>
          <w:i/>
          <w:iCs/>
          <w:color w:val="000000" w:themeColor="text1"/>
          <w:sz w:val="22"/>
          <w:szCs w:val="22"/>
        </w:rPr>
        <w:t>Clin Chem</w:t>
      </w:r>
      <w:r w:rsidR="00811846" w:rsidRPr="0078589D">
        <w:rPr>
          <w:i/>
          <w:iCs/>
          <w:color w:val="000000" w:themeColor="text1"/>
          <w:sz w:val="22"/>
          <w:szCs w:val="22"/>
        </w:rPr>
        <w:t xml:space="preserve"> </w:t>
      </w:r>
      <w:r w:rsidRPr="0078589D">
        <w:rPr>
          <w:i/>
          <w:iCs/>
          <w:color w:val="000000" w:themeColor="text1"/>
          <w:sz w:val="22"/>
          <w:szCs w:val="22"/>
        </w:rPr>
        <w:t>Lab</w:t>
      </w:r>
      <w:r w:rsidR="00811846" w:rsidRPr="0078589D">
        <w:rPr>
          <w:i/>
          <w:iCs/>
          <w:color w:val="000000" w:themeColor="text1"/>
          <w:sz w:val="22"/>
          <w:szCs w:val="22"/>
        </w:rPr>
        <w:t xml:space="preserve"> </w:t>
      </w:r>
      <w:r w:rsidRPr="0078589D">
        <w:rPr>
          <w:i/>
          <w:iCs/>
          <w:color w:val="000000" w:themeColor="text1"/>
          <w:sz w:val="22"/>
          <w:szCs w:val="22"/>
        </w:rPr>
        <w:t>Med</w:t>
      </w:r>
      <w:r w:rsidRPr="0078589D">
        <w:rPr>
          <w:color w:val="000000" w:themeColor="text1"/>
          <w:sz w:val="22"/>
          <w:szCs w:val="22"/>
        </w:rPr>
        <w:t>. 2019</w:t>
      </w:r>
      <w:r w:rsidR="00811846" w:rsidRPr="0078589D">
        <w:rPr>
          <w:color w:val="000000" w:themeColor="text1"/>
          <w:sz w:val="22"/>
          <w:szCs w:val="22"/>
        </w:rPr>
        <w:t>;</w:t>
      </w:r>
      <w:r w:rsidRPr="0078589D">
        <w:rPr>
          <w:color w:val="000000" w:themeColor="text1"/>
          <w:sz w:val="22"/>
          <w:szCs w:val="22"/>
        </w:rPr>
        <w:t>57(9)</w:t>
      </w:r>
      <w:r w:rsidR="00811846" w:rsidRPr="0078589D">
        <w:rPr>
          <w:color w:val="000000" w:themeColor="text1"/>
          <w:sz w:val="22"/>
          <w:szCs w:val="22"/>
        </w:rPr>
        <w:t>:1308-1318</w:t>
      </w:r>
      <w:r w:rsidRPr="0078589D">
        <w:rPr>
          <w:color w:val="000000" w:themeColor="text1"/>
          <w:sz w:val="22"/>
          <w:szCs w:val="22"/>
        </w:rPr>
        <w:t xml:space="preserve">. </w:t>
      </w:r>
    </w:p>
    <w:p w14:paraId="5B495836" w14:textId="3AF5A1A9" w:rsidR="00F5163A" w:rsidRPr="0078589D" w:rsidRDefault="00F5163A" w:rsidP="0000037C">
      <w:pPr>
        <w:pStyle w:val="ListParagraph"/>
        <w:numPr>
          <w:ilvl w:val="0"/>
          <w:numId w:val="1"/>
        </w:numPr>
        <w:spacing w:line="360" w:lineRule="auto"/>
        <w:rPr>
          <w:bCs/>
          <w:color w:val="000000" w:themeColor="text1"/>
          <w:sz w:val="22"/>
          <w:szCs w:val="22"/>
        </w:rPr>
      </w:pPr>
      <w:r w:rsidRPr="0078589D">
        <w:rPr>
          <w:bCs/>
          <w:color w:val="000000" w:themeColor="text1"/>
          <w:sz w:val="22"/>
          <w:szCs w:val="22"/>
          <w:bdr w:val="none" w:sz="0" w:space="0" w:color="auto" w:frame="1"/>
          <w:shd w:val="clear" w:color="auto" w:fill="FFFFFF"/>
        </w:rPr>
        <w:t xml:space="preserve">Redline RW, Faye-Petersen O, Heller D, Qureshi F, </w:t>
      </w:r>
      <w:r w:rsidR="00811846" w:rsidRPr="0078589D">
        <w:rPr>
          <w:bCs/>
          <w:color w:val="000000" w:themeColor="text1"/>
          <w:sz w:val="22"/>
          <w:szCs w:val="22"/>
          <w:bdr w:val="none" w:sz="0" w:space="0" w:color="auto" w:frame="1"/>
          <w:shd w:val="clear" w:color="auto" w:fill="FFFFFF"/>
        </w:rPr>
        <w:t>et al</w:t>
      </w:r>
      <w:r w:rsidRPr="0078589D">
        <w:rPr>
          <w:bCs/>
          <w:color w:val="000000" w:themeColor="text1"/>
          <w:sz w:val="22"/>
          <w:szCs w:val="22"/>
          <w:bdr w:val="none" w:sz="0" w:space="0" w:color="auto" w:frame="1"/>
          <w:shd w:val="clear" w:color="auto" w:fill="FFFFFF"/>
        </w:rPr>
        <w:t xml:space="preserve">. </w:t>
      </w:r>
      <w:r w:rsidRPr="0078589D">
        <w:rPr>
          <w:bCs/>
          <w:color w:val="000000" w:themeColor="text1"/>
          <w:sz w:val="22"/>
          <w:szCs w:val="22"/>
        </w:rPr>
        <w:t xml:space="preserve">Amniotic infection syndrome: nosology and reproducibility of placental reaction patterns. </w:t>
      </w:r>
      <w:r w:rsidRPr="0078589D">
        <w:rPr>
          <w:bCs/>
          <w:i/>
          <w:iCs/>
          <w:color w:val="000000" w:themeColor="text1"/>
          <w:sz w:val="22"/>
          <w:szCs w:val="22"/>
        </w:rPr>
        <w:t>Pediatr Dev</w:t>
      </w:r>
      <w:r w:rsidR="00811846" w:rsidRPr="0078589D">
        <w:rPr>
          <w:bCs/>
          <w:i/>
          <w:iCs/>
          <w:color w:val="000000" w:themeColor="text1"/>
          <w:sz w:val="22"/>
          <w:szCs w:val="22"/>
        </w:rPr>
        <w:t xml:space="preserve"> </w:t>
      </w:r>
      <w:r w:rsidRPr="0078589D">
        <w:rPr>
          <w:bCs/>
          <w:i/>
          <w:iCs/>
          <w:color w:val="000000" w:themeColor="text1"/>
          <w:sz w:val="22"/>
          <w:szCs w:val="22"/>
        </w:rPr>
        <w:t>Patho</w:t>
      </w:r>
      <w:r w:rsidR="00811846" w:rsidRPr="0078589D">
        <w:rPr>
          <w:bCs/>
          <w:i/>
          <w:iCs/>
          <w:color w:val="000000" w:themeColor="text1"/>
          <w:sz w:val="22"/>
          <w:szCs w:val="22"/>
        </w:rPr>
        <w:t>l</w:t>
      </w:r>
      <w:r w:rsidRPr="0078589D">
        <w:rPr>
          <w:bCs/>
          <w:i/>
          <w:iCs/>
          <w:color w:val="000000" w:themeColor="text1"/>
          <w:sz w:val="22"/>
          <w:szCs w:val="22"/>
        </w:rPr>
        <w:t xml:space="preserve">. </w:t>
      </w:r>
      <w:r w:rsidRPr="0078589D">
        <w:rPr>
          <w:bCs/>
          <w:color w:val="000000" w:themeColor="text1"/>
          <w:sz w:val="22"/>
          <w:szCs w:val="22"/>
        </w:rPr>
        <w:t>2003</w:t>
      </w:r>
      <w:r w:rsidRPr="0078589D">
        <w:rPr>
          <w:bCs/>
          <w:color w:val="000000" w:themeColor="text1"/>
          <w:sz w:val="22"/>
          <w:szCs w:val="22"/>
          <w:shd w:val="clear" w:color="auto" w:fill="FFFFFF"/>
        </w:rPr>
        <w:t>;</w:t>
      </w:r>
      <w:r w:rsidRPr="0078589D">
        <w:rPr>
          <w:bCs/>
          <w:color w:val="000000" w:themeColor="text1"/>
          <w:sz w:val="22"/>
          <w:szCs w:val="22"/>
        </w:rPr>
        <w:t>6</w:t>
      </w:r>
      <w:r w:rsidRPr="0078589D">
        <w:rPr>
          <w:bCs/>
          <w:color w:val="000000" w:themeColor="text1"/>
          <w:sz w:val="22"/>
          <w:szCs w:val="22"/>
          <w:shd w:val="clear" w:color="auto" w:fill="FFFFFF"/>
        </w:rPr>
        <w:t>(</w:t>
      </w:r>
      <w:r w:rsidRPr="0078589D">
        <w:rPr>
          <w:bCs/>
          <w:color w:val="000000" w:themeColor="text1"/>
          <w:sz w:val="22"/>
          <w:szCs w:val="22"/>
        </w:rPr>
        <w:t>5</w:t>
      </w:r>
      <w:r w:rsidRPr="0078589D">
        <w:rPr>
          <w:bCs/>
          <w:color w:val="000000" w:themeColor="text1"/>
          <w:sz w:val="22"/>
          <w:szCs w:val="22"/>
          <w:shd w:val="clear" w:color="auto" w:fill="FFFFFF"/>
        </w:rPr>
        <w:t>):</w:t>
      </w:r>
      <w:r w:rsidRPr="0078589D">
        <w:rPr>
          <w:bCs/>
          <w:color w:val="000000" w:themeColor="text1"/>
          <w:sz w:val="22"/>
          <w:szCs w:val="22"/>
        </w:rPr>
        <w:t>435</w:t>
      </w:r>
      <w:r w:rsidRPr="0078589D">
        <w:rPr>
          <w:bCs/>
          <w:color w:val="000000" w:themeColor="text1"/>
          <w:sz w:val="22"/>
          <w:szCs w:val="22"/>
          <w:shd w:val="clear" w:color="auto" w:fill="FFFFFF"/>
        </w:rPr>
        <w:t>–</w:t>
      </w:r>
      <w:r w:rsidRPr="0078589D">
        <w:rPr>
          <w:bCs/>
          <w:color w:val="000000" w:themeColor="text1"/>
          <w:sz w:val="22"/>
          <w:szCs w:val="22"/>
        </w:rPr>
        <w:t>448</w:t>
      </w:r>
    </w:p>
    <w:p w14:paraId="27CA0781" w14:textId="59492488" w:rsidR="00F5163A" w:rsidRPr="0078589D" w:rsidRDefault="00F5163A" w:rsidP="0000037C">
      <w:pPr>
        <w:pStyle w:val="ListParagraph"/>
        <w:numPr>
          <w:ilvl w:val="0"/>
          <w:numId w:val="1"/>
        </w:numPr>
        <w:spacing w:line="360" w:lineRule="auto"/>
        <w:rPr>
          <w:bCs/>
          <w:color w:val="000000" w:themeColor="text1"/>
          <w:sz w:val="22"/>
          <w:szCs w:val="22"/>
        </w:rPr>
      </w:pPr>
      <w:r w:rsidRPr="0078589D">
        <w:rPr>
          <w:bCs/>
          <w:color w:val="000000" w:themeColor="text1"/>
          <w:sz w:val="22"/>
          <w:szCs w:val="22"/>
        </w:rPr>
        <w:t>Khong TY, Mooney EE, Ariel I, et al. Sampling and Definitions of Placental Lesions</w:t>
      </w:r>
      <w:r w:rsidR="00811846" w:rsidRPr="0078589D">
        <w:rPr>
          <w:bCs/>
          <w:color w:val="000000" w:themeColor="text1"/>
          <w:sz w:val="22"/>
          <w:szCs w:val="22"/>
        </w:rPr>
        <w:t xml:space="preserve">: </w:t>
      </w:r>
      <w:r w:rsidRPr="0078589D">
        <w:rPr>
          <w:bCs/>
          <w:color w:val="000000" w:themeColor="text1"/>
          <w:sz w:val="22"/>
          <w:szCs w:val="22"/>
        </w:rPr>
        <w:t>Amsterdam Placental Workshop Group Consensus Statement.  Arch Patho</w:t>
      </w:r>
      <w:r w:rsidR="00811846" w:rsidRPr="0078589D">
        <w:rPr>
          <w:bCs/>
          <w:color w:val="000000" w:themeColor="text1"/>
          <w:sz w:val="22"/>
          <w:szCs w:val="22"/>
        </w:rPr>
        <w:t>l</w:t>
      </w:r>
      <w:r w:rsidRPr="0078589D">
        <w:rPr>
          <w:bCs/>
          <w:color w:val="000000" w:themeColor="text1"/>
          <w:sz w:val="22"/>
          <w:szCs w:val="22"/>
        </w:rPr>
        <w:t xml:space="preserve"> </w:t>
      </w:r>
      <w:r w:rsidR="00811846" w:rsidRPr="0078589D">
        <w:rPr>
          <w:bCs/>
          <w:color w:val="000000" w:themeColor="text1"/>
          <w:sz w:val="22"/>
          <w:szCs w:val="22"/>
        </w:rPr>
        <w:t>L</w:t>
      </w:r>
      <w:r w:rsidRPr="0078589D">
        <w:rPr>
          <w:bCs/>
          <w:color w:val="000000" w:themeColor="text1"/>
          <w:sz w:val="22"/>
          <w:szCs w:val="22"/>
        </w:rPr>
        <w:t xml:space="preserve">ab </w:t>
      </w:r>
      <w:r w:rsidR="00811846" w:rsidRPr="0078589D">
        <w:rPr>
          <w:bCs/>
          <w:color w:val="000000" w:themeColor="text1"/>
          <w:sz w:val="22"/>
          <w:szCs w:val="22"/>
        </w:rPr>
        <w:t>M</w:t>
      </w:r>
      <w:r w:rsidRPr="0078589D">
        <w:rPr>
          <w:bCs/>
          <w:color w:val="000000" w:themeColor="text1"/>
          <w:sz w:val="22"/>
          <w:szCs w:val="22"/>
        </w:rPr>
        <w:t>ed. 2016;140(7):698-713</w:t>
      </w:r>
    </w:p>
    <w:p w14:paraId="420A548E" w14:textId="6E5AADB4" w:rsidR="009566DD" w:rsidRPr="0078589D" w:rsidRDefault="009566DD" w:rsidP="0000037C">
      <w:pPr>
        <w:pStyle w:val="ListParagraph"/>
        <w:numPr>
          <w:ilvl w:val="0"/>
          <w:numId w:val="1"/>
        </w:numPr>
        <w:spacing w:line="360" w:lineRule="auto"/>
        <w:rPr>
          <w:color w:val="000000" w:themeColor="text1"/>
          <w:sz w:val="22"/>
          <w:szCs w:val="22"/>
        </w:rPr>
      </w:pPr>
      <w:r w:rsidRPr="0078589D">
        <w:rPr>
          <w:color w:val="000000" w:themeColor="text1"/>
          <w:sz w:val="22"/>
          <w:szCs w:val="22"/>
        </w:rPr>
        <w:t xml:space="preserve">Kuzniewicz MW, </w:t>
      </w:r>
      <w:r w:rsidR="00811846" w:rsidRPr="0078589D">
        <w:rPr>
          <w:color w:val="000000" w:themeColor="text1"/>
          <w:sz w:val="22"/>
          <w:szCs w:val="22"/>
        </w:rPr>
        <w:t xml:space="preserve">Walsh EM, Sherian L, </w:t>
      </w:r>
      <w:r w:rsidRPr="0078589D">
        <w:rPr>
          <w:color w:val="000000" w:themeColor="text1"/>
          <w:sz w:val="22"/>
          <w:szCs w:val="22"/>
        </w:rPr>
        <w:t xml:space="preserve">et al. Development and Implementation of an Early-onset sepsis calculator to guide Antibiotic Management in Late Preterm and Term Neonates. </w:t>
      </w:r>
      <w:r w:rsidR="00811846" w:rsidRPr="0078589D">
        <w:rPr>
          <w:color w:val="000000" w:themeColor="text1"/>
          <w:sz w:val="22"/>
          <w:szCs w:val="22"/>
        </w:rPr>
        <w:t>Jt</w:t>
      </w:r>
      <w:r w:rsidRPr="0078589D">
        <w:rPr>
          <w:color w:val="000000" w:themeColor="text1"/>
          <w:sz w:val="22"/>
          <w:szCs w:val="22"/>
        </w:rPr>
        <w:t xml:space="preserve"> Comm J Qual Patient Saf. 2016</w:t>
      </w:r>
      <w:r w:rsidR="00811846" w:rsidRPr="0078589D">
        <w:rPr>
          <w:color w:val="000000" w:themeColor="text1"/>
          <w:sz w:val="22"/>
          <w:szCs w:val="22"/>
        </w:rPr>
        <w:t>;</w:t>
      </w:r>
      <w:r w:rsidRPr="0078589D">
        <w:rPr>
          <w:color w:val="000000" w:themeColor="text1"/>
          <w:sz w:val="22"/>
          <w:szCs w:val="22"/>
        </w:rPr>
        <w:t xml:space="preserve">42 (5):232-239. </w:t>
      </w:r>
    </w:p>
    <w:p w14:paraId="5078B6D1" w14:textId="4ACAE787" w:rsidR="009566DD" w:rsidRPr="0078589D" w:rsidRDefault="009566DD" w:rsidP="0000037C">
      <w:pPr>
        <w:pStyle w:val="ListParagraph"/>
        <w:numPr>
          <w:ilvl w:val="0"/>
          <w:numId w:val="1"/>
        </w:numPr>
        <w:spacing w:line="360" w:lineRule="auto"/>
        <w:rPr>
          <w:rStyle w:val="Hyperlink"/>
          <w:color w:val="000000" w:themeColor="text1"/>
          <w:sz w:val="22"/>
          <w:szCs w:val="22"/>
          <w:u w:val="none"/>
        </w:rPr>
      </w:pPr>
      <w:r w:rsidRPr="0078589D">
        <w:rPr>
          <w:color w:val="000000" w:themeColor="text1"/>
          <w:sz w:val="22"/>
          <w:szCs w:val="22"/>
        </w:rPr>
        <w:t xml:space="preserve">Neonatal Early-Onset Sepsis Calculator. Kaiser Permanente Research. Found at: </w:t>
      </w:r>
      <w:hyperlink r:id="rId10" w:history="1">
        <w:r w:rsidRPr="0078589D">
          <w:rPr>
            <w:rStyle w:val="Hyperlink"/>
            <w:color w:val="000000" w:themeColor="text1"/>
            <w:sz w:val="22"/>
            <w:szCs w:val="22"/>
          </w:rPr>
          <w:t>https://neonatalsepsiscalculator.kaiserpermanente.org</w:t>
        </w:r>
      </w:hyperlink>
    </w:p>
    <w:p w14:paraId="6520FE3B" w14:textId="414DD9C8" w:rsidR="00F229DB" w:rsidRPr="009A65C5" w:rsidRDefault="00F229DB" w:rsidP="0000037C">
      <w:pPr>
        <w:pStyle w:val="ListParagraph"/>
        <w:numPr>
          <w:ilvl w:val="0"/>
          <w:numId w:val="1"/>
        </w:numPr>
        <w:spacing w:line="360" w:lineRule="auto"/>
        <w:rPr>
          <w:color w:val="000000" w:themeColor="text1"/>
          <w:sz w:val="22"/>
          <w:szCs w:val="22"/>
        </w:rPr>
      </w:pPr>
      <w:r w:rsidRPr="0078589D">
        <w:rPr>
          <w:sz w:val="22"/>
          <w:szCs w:val="22"/>
        </w:rPr>
        <w:t>Bossuyt PM, Reitsma JB, Bruns DE</w:t>
      </w:r>
      <w:r w:rsidR="00811846" w:rsidRPr="0078589D">
        <w:rPr>
          <w:sz w:val="22"/>
          <w:szCs w:val="22"/>
        </w:rPr>
        <w:t xml:space="preserve">, et al. </w:t>
      </w:r>
      <w:r w:rsidRPr="0078589D">
        <w:rPr>
          <w:sz w:val="22"/>
          <w:szCs w:val="22"/>
        </w:rPr>
        <w:t xml:space="preserve"> STARD 2015: An Updated List of Essential Items for Reporting Diagnostic Accuracy Studies.</w:t>
      </w:r>
      <w:r w:rsidR="00811846" w:rsidRPr="0078589D">
        <w:rPr>
          <w:sz w:val="22"/>
          <w:szCs w:val="22"/>
        </w:rPr>
        <w:t xml:space="preserve"> </w:t>
      </w:r>
      <w:r w:rsidR="00811846" w:rsidRPr="0078589D">
        <w:rPr>
          <w:i/>
          <w:iCs/>
          <w:sz w:val="22"/>
          <w:szCs w:val="22"/>
        </w:rPr>
        <w:t>BMJ.</w:t>
      </w:r>
      <w:r w:rsidR="00811846" w:rsidRPr="0078589D">
        <w:rPr>
          <w:sz w:val="22"/>
          <w:szCs w:val="22"/>
        </w:rPr>
        <w:t xml:space="preserve"> 2015;28:35:h5527</w:t>
      </w:r>
    </w:p>
    <w:p w14:paraId="62A8A94B" w14:textId="727E7E9E" w:rsidR="009A65C5" w:rsidRPr="009A65C5" w:rsidRDefault="009A65C5" w:rsidP="009A65C5">
      <w:pPr>
        <w:pStyle w:val="ListParagraph"/>
        <w:numPr>
          <w:ilvl w:val="0"/>
          <w:numId w:val="1"/>
        </w:numPr>
        <w:spacing w:line="360" w:lineRule="auto"/>
        <w:rPr>
          <w:sz w:val="22"/>
          <w:szCs w:val="22"/>
        </w:rPr>
      </w:pPr>
      <w:r>
        <w:rPr>
          <w:sz w:val="22"/>
          <w:szCs w:val="22"/>
        </w:rPr>
        <w:lastRenderedPageBreak/>
        <w:t xml:space="preserve">Watson G, Caldwell C and Kennea N. Neonatal early onset sepsis: a reflection on the NICE guidance. </w:t>
      </w:r>
      <w:r>
        <w:rPr>
          <w:i/>
          <w:iCs/>
          <w:sz w:val="22"/>
          <w:szCs w:val="22"/>
        </w:rPr>
        <w:t>Infant.</w:t>
      </w:r>
      <w:r>
        <w:rPr>
          <w:sz w:val="22"/>
          <w:szCs w:val="22"/>
        </w:rPr>
        <w:t xml:space="preserve"> 2016;12(4):133-135.</w:t>
      </w:r>
    </w:p>
    <w:p w14:paraId="6B8D8240" w14:textId="6015F020" w:rsidR="009566DD" w:rsidRPr="0078589D" w:rsidRDefault="009566DD" w:rsidP="0000037C">
      <w:pPr>
        <w:pStyle w:val="ListParagraph"/>
        <w:numPr>
          <w:ilvl w:val="0"/>
          <w:numId w:val="1"/>
        </w:numPr>
        <w:spacing w:line="360" w:lineRule="auto"/>
        <w:rPr>
          <w:sz w:val="22"/>
          <w:szCs w:val="22"/>
        </w:rPr>
      </w:pPr>
      <w:r w:rsidRPr="0078589D">
        <w:rPr>
          <w:sz w:val="22"/>
          <w:szCs w:val="22"/>
        </w:rPr>
        <w:t xml:space="preserve">Benitz WE, </w:t>
      </w:r>
      <w:r w:rsidR="00811846" w:rsidRPr="0078589D">
        <w:rPr>
          <w:sz w:val="22"/>
          <w:szCs w:val="22"/>
        </w:rPr>
        <w:t xml:space="preserve">Han MY, Madan A, et al. </w:t>
      </w:r>
      <w:r w:rsidRPr="0078589D">
        <w:rPr>
          <w:sz w:val="22"/>
          <w:szCs w:val="22"/>
        </w:rPr>
        <w:t xml:space="preserve">Serial serum C-reactive protein levels in the diagnosis of neonatal infection. </w:t>
      </w:r>
      <w:r w:rsidRPr="0078589D">
        <w:rPr>
          <w:i/>
          <w:iCs/>
          <w:sz w:val="22"/>
          <w:szCs w:val="22"/>
        </w:rPr>
        <w:t>Paediatric</w:t>
      </w:r>
      <w:r w:rsidR="00811846" w:rsidRPr="0078589D">
        <w:rPr>
          <w:i/>
          <w:iCs/>
          <w:sz w:val="22"/>
          <w:szCs w:val="22"/>
        </w:rPr>
        <w:t>s</w:t>
      </w:r>
      <w:r w:rsidRPr="0078589D">
        <w:rPr>
          <w:sz w:val="22"/>
          <w:szCs w:val="22"/>
        </w:rPr>
        <w:t>. 1998</w:t>
      </w:r>
      <w:r w:rsidR="00811846" w:rsidRPr="0078589D">
        <w:rPr>
          <w:sz w:val="22"/>
          <w:szCs w:val="22"/>
        </w:rPr>
        <w:t>;</w:t>
      </w:r>
      <w:r w:rsidRPr="0078589D">
        <w:rPr>
          <w:sz w:val="22"/>
          <w:szCs w:val="22"/>
        </w:rPr>
        <w:t xml:space="preserve">102(4):41. </w:t>
      </w:r>
    </w:p>
    <w:p w14:paraId="4D5E4597" w14:textId="691E5610" w:rsidR="009566DD" w:rsidRDefault="009566DD" w:rsidP="0000037C">
      <w:pPr>
        <w:pStyle w:val="ListParagraph"/>
        <w:numPr>
          <w:ilvl w:val="0"/>
          <w:numId w:val="1"/>
        </w:numPr>
        <w:spacing w:line="360" w:lineRule="auto"/>
        <w:rPr>
          <w:sz w:val="22"/>
          <w:szCs w:val="22"/>
        </w:rPr>
      </w:pPr>
      <w:r w:rsidRPr="0078589D">
        <w:rPr>
          <w:sz w:val="22"/>
          <w:szCs w:val="22"/>
        </w:rPr>
        <w:t>Stocker M</w:t>
      </w:r>
      <w:r w:rsidR="00811846" w:rsidRPr="0078589D">
        <w:rPr>
          <w:sz w:val="22"/>
          <w:szCs w:val="22"/>
        </w:rPr>
        <w:t>, Van Herk W, Helou SE,</w:t>
      </w:r>
      <w:r w:rsidRPr="0078589D">
        <w:rPr>
          <w:sz w:val="22"/>
          <w:szCs w:val="22"/>
        </w:rPr>
        <w:t xml:space="preserve"> et al. Procalcitonin-guided decision making for duration of antibiotic therapy in neonates with suspected early-onset sepsis: a multicentre, randomised controlled trial. </w:t>
      </w:r>
      <w:r w:rsidR="00811846" w:rsidRPr="0078589D">
        <w:rPr>
          <w:i/>
          <w:iCs/>
          <w:sz w:val="22"/>
          <w:szCs w:val="22"/>
        </w:rPr>
        <w:t>Lancet</w:t>
      </w:r>
      <w:r w:rsidRPr="0078589D">
        <w:rPr>
          <w:sz w:val="22"/>
          <w:szCs w:val="22"/>
        </w:rPr>
        <w:t>. 2017</w:t>
      </w:r>
      <w:r w:rsidR="00811846" w:rsidRPr="0078589D">
        <w:rPr>
          <w:sz w:val="22"/>
          <w:szCs w:val="22"/>
        </w:rPr>
        <w:t>;</w:t>
      </w:r>
      <w:r w:rsidRPr="0078589D">
        <w:rPr>
          <w:sz w:val="22"/>
          <w:szCs w:val="22"/>
        </w:rPr>
        <w:t xml:space="preserve">26(390):871-881. </w:t>
      </w:r>
    </w:p>
    <w:p w14:paraId="4BD88059" w14:textId="4DE03DEB" w:rsidR="00E1159F" w:rsidRPr="0078589D" w:rsidRDefault="00E1159F" w:rsidP="0000037C">
      <w:pPr>
        <w:pStyle w:val="ListParagraph"/>
        <w:numPr>
          <w:ilvl w:val="0"/>
          <w:numId w:val="1"/>
        </w:numPr>
        <w:spacing w:line="360" w:lineRule="auto"/>
        <w:rPr>
          <w:sz w:val="22"/>
          <w:szCs w:val="22"/>
        </w:rPr>
      </w:pPr>
      <w:r>
        <w:rPr>
          <w:sz w:val="22"/>
          <w:szCs w:val="22"/>
        </w:rPr>
        <w:t xml:space="preserve">Koskenvuo MM., Irjala K. Kinnala A, et al. Value of monitoring serum procalcitonin in neonates at risk of infection. </w:t>
      </w:r>
      <w:r>
        <w:rPr>
          <w:i/>
          <w:iCs/>
          <w:sz w:val="22"/>
          <w:szCs w:val="22"/>
        </w:rPr>
        <w:t xml:space="preserve">European Journal of Clinical Microbiology and Infectious Disease. </w:t>
      </w:r>
      <w:r>
        <w:rPr>
          <w:sz w:val="22"/>
          <w:szCs w:val="22"/>
        </w:rPr>
        <w:t>2003;22(6):377-8</w:t>
      </w:r>
    </w:p>
    <w:p w14:paraId="34A09835" w14:textId="66F3E2BA" w:rsidR="009566DD" w:rsidRPr="0078589D" w:rsidRDefault="009566DD" w:rsidP="0000037C">
      <w:pPr>
        <w:pStyle w:val="ListParagraph"/>
        <w:numPr>
          <w:ilvl w:val="0"/>
          <w:numId w:val="1"/>
        </w:numPr>
        <w:spacing w:line="360" w:lineRule="auto"/>
        <w:rPr>
          <w:sz w:val="22"/>
          <w:szCs w:val="22"/>
        </w:rPr>
      </w:pPr>
      <w:r w:rsidRPr="0078589D">
        <w:rPr>
          <w:sz w:val="22"/>
          <w:szCs w:val="22"/>
        </w:rPr>
        <w:t>Monneret G</w:t>
      </w:r>
      <w:r w:rsidR="00811846" w:rsidRPr="0078589D">
        <w:rPr>
          <w:sz w:val="22"/>
          <w:szCs w:val="22"/>
        </w:rPr>
        <w:t xml:space="preserve">, Labaune JM, Isaac C, </w:t>
      </w:r>
      <w:r w:rsidRPr="0078589D">
        <w:rPr>
          <w:sz w:val="22"/>
          <w:szCs w:val="22"/>
        </w:rPr>
        <w:t xml:space="preserve">et al. Procalcitonin and C-reactive protein levels in neonatal infections. </w:t>
      </w:r>
      <w:r w:rsidRPr="0078589D">
        <w:rPr>
          <w:i/>
          <w:iCs/>
          <w:sz w:val="22"/>
          <w:szCs w:val="22"/>
        </w:rPr>
        <w:t>Acta Paediatr</w:t>
      </w:r>
      <w:r w:rsidRPr="0078589D">
        <w:rPr>
          <w:sz w:val="22"/>
          <w:szCs w:val="22"/>
        </w:rPr>
        <w:t>. 1997</w:t>
      </w:r>
      <w:r w:rsidR="00811846" w:rsidRPr="0078589D">
        <w:rPr>
          <w:sz w:val="22"/>
          <w:szCs w:val="22"/>
        </w:rPr>
        <w:t>;</w:t>
      </w:r>
      <w:r w:rsidRPr="0078589D">
        <w:rPr>
          <w:sz w:val="22"/>
          <w:szCs w:val="22"/>
        </w:rPr>
        <w:t xml:space="preserve">86(2):209-12. </w:t>
      </w:r>
    </w:p>
    <w:p w14:paraId="4462081A" w14:textId="25A2FB6A" w:rsidR="009566DD" w:rsidRPr="0078589D" w:rsidRDefault="009566DD" w:rsidP="0000037C">
      <w:pPr>
        <w:pStyle w:val="ListParagraph"/>
        <w:numPr>
          <w:ilvl w:val="0"/>
          <w:numId w:val="1"/>
        </w:numPr>
        <w:spacing w:line="360" w:lineRule="auto"/>
        <w:rPr>
          <w:color w:val="000000" w:themeColor="text1"/>
          <w:sz w:val="22"/>
          <w:szCs w:val="22"/>
        </w:rPr>
      </w:pPr>
      <w:r w:rsidRPr="0078589D">
        <w:rPr>
          <w:color w:val="000000" w:themeColor="text1"/>
          <w:sz w:val="22"/>
          <w:szCs w:val="22"/>
        </w:rPr>
        <w:t>Jessop F and Sebire</w:t>
      </w:r>
      <w:r w:rsidR="00811846" w:rsidRPr="0078589D">
        <w:rPr>
          <w:color w:val="000000" w:themeColor="text1"/>
          <w:sz w:val="22"/>
          <w:szCs w:val="22"/>
        </w:rPr>
        <w:t xml:space="preserve"> </w:t>
      </w:r>
      <w:r w:rsidRPr="0078589D">
        <w:rPr>
          <w:color w:val="000000" w:themeColor="text1"/>
          <w:sz w:val="22"/>
          <w:szCs w:val="22"/>
        </w:rPr>
        <w:t xml:space="preserve">NJ. Histological chorioamnionitis: current concepts of diagnosis, classification and clinical significance. </w:t>
      </w:r>
      <w:r w:rsidRPr="0078589D">
        <w:rPr>
          <w:i/>
          <w:iCs/>
          <w:color w:val="000000" w:themeColor="text1"/>
          <w:sz w:val="22"/>
          <w:szCs w:val="22"/>
        </w:rPr>
        <w:t>Fetal and Maternal Medicine Review</w:t>
      </w:r>
      <w:r w:rsidRPr="0078589D">
        <w:rPr>
          <w:color w:val="000000" w:themeColor="text1"/>
          <w:sz w:val="22"/>
          <w:szCs w:val="22"/>
        </w:rPr>
        <w:t xml:space="preserve">. 2011;22(1), 25-44. </w:t>
      </w:r>
    </w:p>
    <w:p w14:paraId="7FDDB332" w14:textId="1B9E1B73" w:rsidR="009566DD" w:rsidRPr="0078589D" w:rsidRDefault="009566DD" w:rsidP="0000037C">
      <w:pPr>
        <w:pStyle w:val="ListParagraph"/>
        <w:numPr>
          <w:ilvl w:val="0"/>
          <w:numId w:val="1"/>
        </w:numPr>
        <w:spacing w:line="360" w:lineRule="auto"/>
        <w:rPr>
          <w:color w:val="000000" w:themeColor="text1"/>
          <w:sz w:val="22"/>
          <w:szCs w:val="22"/>
        </w:rPr>
      </w:pPr>
      <w:r w:rsidRPr="0078589D">
        <w:rPr>
          <w:color w:val="000000" w:themeColor="text1"/>
          <w:sz w:val="22"/>
          <w:szCs w:val="22"/>
          <w:shd w:val="clear" w:color="auto" w:fill="FFFFFF"/>
        </w:rPr>
        <w:t xml:space="preserve">Smulian JC, Shen-Schwarz S, Vintzileos AM, </w:t>
      </w:r>
      <w:r w:rsidR="00811846" w:rsidRPr="0078589D">
        <w:rPr>
          <w:color w:val="000000" w:themeColor="text1"/>
          <w:sz w:val="22"/>
          <w:szCs w:val="22"/>
          <w:shd w:val="clear" w:color="auto" w:fill="FFFFFF"/>
        </w:rPr>
        <w:t>et al</w:t>
      </w:r>
      <w:r w:rsidRPr="0078589D">
        <w:rPr>
          <w:color w:val="000000" w:themeColor="text1"/>
          <w:sz w:val="22"/>
          <w:szCs w:val="22"/>
          <w:shd w:val="clear" w:color="auto" w:fill="FFFFFF"/>
        </w:rPr>
        <w:t xml:space="preserve">. Clinical chorioamnionitis and histologic placental inflammation. </w:t>
      </w:r>
      <w:r w:rsidRPr="0078589D">
        <w:rPr>
          <w:i/>
          <w:iCs/>
          <w:color w:val="000000" w:themeColor="text1"/>
          <w:sz w:val="22"/>
          <w:szCs w:val="22"/>
          <w:shd w:val="clear" w:color="auto" w:fill="FFFFFF"/>
        </w:rPr>
        <w:t>Obstet Gynecol</w:t>
      </w:r>
      <w:r w:rsidRPr="0078589D">
        <w:rPr>
          <w:color w:val="000000" w:themeColor="text1"/>
          <w:sz w:val="22"/>
          <w:szCs w:val="22"/>
          <w:shd w:val="clear" w:color="auto" w:fill="FFFFFF"/>
        </w:rPr>
        <w:t>. 1999</w:t>
      </w:r>
      <w:r w:rsidR="00811846" w:rsidRPr="0078589D">
        <w:rPr>
          <w:color w:val="000000" w:themeColor="text1"/>
          <w:sz w:val="22"/>
          <w:szCs w:val="22"/>
          <w:shd w:val="clear" w:color="auto" w:fill="FFFFFF"/>
        </w:rPr>
        <w:t>;</w:t>
      </w:r>
      <w:r w:rsidRPr="0078589D">
        <w:rPr>
          <w:color w:val="000000" w:themeColor="text1"/>
          <w:sz w:val="22"/>
          <w:szCs w:val="22"/>
          <w:shd w:val="clear" w:color="auto" w:fill="FFFFFF"/>
        </w:rPr>
        <w:t xml:space="preserve">94(6):1000-5. </w:t>
      </w:r>
    </w:p>
    <w:p w14:paraId="773078A0" w14:textId="4260ED01" w:rsidR="009566DD" w:rsidRPr="0078589D" w:rsidRDefault="009566DD" w:rsidP="0000037C">
      <w:pPr>
        <w:pStyle w:val="ListParagraph"/>
        <w:numPr>
          <w:ilvl w:val="0"/>
          <w:numId w:val="1"/>
        </w:numPr>
        <w:spacing w:line="360" w:lineRule="auto"/>
        <w:rPr>
          <w:color w:val="000000" w:themeColor="text1"/>
          <w:sz w:val="22"/>
          <w:szCs w:val="22"/>
        </w:rPr>
      </w:pPr>
      <w:r w:rsidRPr="0078589D">
        <w:rPr>
          <w:color w:val="000000" w:themeColor="text1"/>
          <w:sz w:val="22"/>
          <w:szCs w:val="22"/>
          <w:shd w:val="clear" w:color="auto" w:fill="FFFFFF"/>
        </w:rPr>
        <w:t xml:space="preserve">Goldstein JA, Gallagher K, Beck C, </w:t>
      </w:r>
      <w:r w:rsidR="00811846" w:rsidRPr="0078589D">
        <w:rPr>
          <w:color w:val="000000" w:themeColor="text1"/>
          <w:sz w:val="22"/>
          <w:szCs w:val="22"/>
          <w:shd w:val="clear" w:color="auto" w:fill="FFFFFF"/>
        </w:rPr>
        <w:t>et al</w:t>
      </w:r>
      <w:r w:rsidRPr="0078589D">
        <w:rPr>
          <w:color w:val="000000" w:themeColor="text1"/>
          <w:sz w:val="22"/>
          <w:szCs w:val="22"/>
          <w:shd w:val="clear" w:color="auto" w:fill="FFFFFF"/>
        </w:rPr>
        <w:t xml:space="preserve">. Maternal-Fetal Inflammation in the Placenta and the Developmental Origins of Health and Disease. </w:t>
      </w:r>
      <w:r w:rsidRPr="0078589D">
        <w:rPr>
          <w:i/>
          <w:iCs/>
          <w:color w:val="000000" w:themeColor="text1"/>
          <w:sz w:val="22"/>
          <w:szCs w:val="22"/>
          <w:shd w:val="clear" w:color="auto" w:fill="FFFFFF"/>
        </w:rPr>
        <w:t>Front Immunol</w:t>
      </w:r>
      <w:r w:rsidRPr="0078589D">
        <w:rPr>
          <w:color w:val="000000" w:themeColor="text1"/>
          <w:sz w:val="22"/>
          <w:szCs w:val="22"/>
          <w:shd w:val="clear" w:color="auto" w:fill="FFFFFF"/>
        </w:rPr>
        <w:t>. 2020</w:t>
      </w:r>
      <w:r w:rsidR="00811846" w:rsidRPr="0078589D">
        <w:rPr>
          <w:color w:val="000000" w:themeColor="text1"/>
          <w:sz w:val="22"/>
          <w:szCs w:val="22"/>
          <w:shd w:val="clear" w:color="auto" w:fill="FFFFFF"/>
        </w:rPr>
        <w:t>;</w:t>
      </w:r>
      <w:r w:rsidRPr="0078589D">
        <w:rPr>
          <w:color w:val="000000" w:themeColor="text1"/>
          <w:sz w:val="22"/>
          <w:szCs w:val="22"/>
          <w:shd w:val="clear" w:color="auto" w:fill="FFFFFF"/>
        </w:rPr>
        <w:t xml:space="preserve">13;11:531543. </w:t>
      </w:r>
    </w:p>
    <w:p w14:paraId="0DFAAD3C" w14:textId="618D3A9B" w:rsidR="00F9104F" w:rsidRPr="00377C11" w:rsidRDefault="009566DD" w:rsidP="009A65C5">
      <w:pPr>
        <w:pStyle w:val="ListParagraph"/>
        <w:numPr>
          <w:ilvl w:val="0"/>
          <w:numId w:val="1"/>
        </w:numPr>
        <w:spacing w:line="360" w:lineRule="auto"/>
        <w:rPr>
          <w:color w:val="000000" w:themeColor="text1"/>
          <w:sz w:val="22"/>
          <w:szCs w:val="22"/>
          <w:u w:val="single"/>
        </w:rPr>
      </w:pPr>
      <w:r w:rsidRPr="0078589D">
        <w:rPr>
          <w:color w:val="000000" w:themeColor="text1"/>
          <w:sz w:val="22"/>
          <w:szCs w:val="22"/>
        </w:rPr>
        <w:t>Roberts</w:t>
      </w:r>
      <w:r w:rsidR="00811846" w:rsidRPr="0078589D">
        <w:rPr>
          <w:color w:val="000000" w:themeColor="text1"/>
          <w:sz w:val="22"/>
          <w:szCs w:val="22"/>
        </w:rPr>
        <w:t xml:space="preserve"> DJ</w:t>
      </w:r>
      <w:r w:rsidR="009A65C5">
        <w:rPr>
          <w:color w:val="000000" w:themeColor="text1"/>
          <w:sz w:val="22"/>
          <w:szCs w:val="22"/>
        </w:rPr>
        <w:t xml:space="preserve">, </w:t>
      </w:r>
      <w:r w:rsidR="00811846" w:rsidRPr="0078589D">
        <w:rPr>
          <w:color w:val="000000" w:themeColor="text1"/>
          <w:sz w:val="22"/>
          <w:szCs w:val="22"/>
        </w:rPr>
        <w:t>Celi AC, Riley LE</w:t>
      </w:r>
      <w:r w:rsidRPr="0078589D">
        <w:rPr>
          <w:color w:val="000000" w:themeColor="text1"/>
          <w:sz w:val="22"/>
          <w:szCs w:val="22"/>
        </w:rPr>
        <w:t xml:space="preserve"> et al. Acute Histologic Chorioamnioniits at Term: Nearly Always Noninfectious. </w:t>
      </w:r>
      <w:r w:rsidR="00811846" w:rsidRPr="0078589D">
        <w:rPr>
          <w:i/>
          <w:iCs/>
          <w:color w:val="000000" w:themeColor="text1"/>
          <w:sz w:val="22"/>
          <w:szCs w:val="22"/>
        </w:rPr>
        <w:t>PLoS One.</w:t>
      </w:r>
      <w:r w:rsidR="00811846" w:rsidRPr="0078589D">
        <w:rPr>
          <w:color w:val="000000" w:themeColor="text1"/>
          <w:sz w:val="22"/>
          <w:szCs w:val="22"/>
        </w:rPr>
        <w:t xml:space="preserve"> </w:t>
      </w:r>
      <w:r w:rsidRPr="0078589D">
        <w:rPr>
          <w:color w:val="000000" w:themeColor="text1"/>
          <w:sz w:val="22"/>
          <w:szCs w:val="22"/>
        </w:rPr>
        <w:t>2012</w:t>
      </w:r>
      <w:r w:rsidR="00811846" w:rsidRPr="0078589D">
        <w:rPr>
          <w:color w:val="000000" w:themeColor="text1"/>
          <w:sz w:val="22"/>
          <w:szCs w:val="22"/>
        </w:rPr>
        <w:t>;7(3):e31819</w:t>
      </w:r>
    </w:p>
    <w:p w14:paraId="020E2F4B" w14:textId="3FAF9EB7" w:rsidR="00377C11" w:rsidRPr="009A65C5" w:rsidRDefault="00377C11" w:rsidP="009A65C5">
      <w:pPr>
        <w:pStyle w:val="ListParagraph"/>
        <w:numPr>
          <w:ilvl w:val="0"/>
          <w:numId w:val="1"/>
        </w:numPr>
        <w:spacing w:line="360" w:lineRule="auto"/>
        <w:rPr>
          <w:color w:val="000000" w:themeColor="text1"/>
          <w:sz w:val="22"/>
          <w:szCs w:val="22"/>
          <w:u w:val="single"/>
        </w:rPr>
      </w:pPr>
      <w:r>
        <w:rPr>
          <w:color w:val="000000" w:themeColor="text1"/>
          <w:sz w:val="22"/>
          <w:szCs w:val="22"/>
        </w:rPr>
        <w:t xml:space="preserve">Turner D., Hammerman C., Rudensky B, et al. Procalcitonin in preterm infants during the first few days of life: introducing an age related nomogram. </w:t>
      </w:r>
      <w:r>
        <w:rPr>
          <w:i/>
          <w:iCs/>
          <w:color w:val="000000" w:themeColor="text1"/>
          <w:sz w:val="22"/>
          <w:szCs w:val="22"/>
        </w:rPr>
        <w:t xml:space="preserve">Archives of Disease in Children - Fetal and Neonatal Ed. </w:t>
      </w:r>
      <w:r>
        <w:rPr>
          <w:color w:val="000000" w:themeColor="text1"/>
          <w:sz w:val="22"/>
          <w:szCs w:val="22"/>
        </w:rPr>
        <w:t>2006;91(4):283-286</w:t>
      </w:r>
    </w:p>
    <w:p w14:paraId="1A5630CF" w14:textId="5150E01F" w:rsidR="009A65C5" w:rsidRDefault="009A65C5" w:rsidP="00580388">
      <w:pPr>
        <w:pStyle w:val="ListParagraph"/>
        <w:spacing w:line="480" w:lineRule="auto"/>
        <w:rPr>
          <w:sz w:val="22"/>
          <w:szCs w:val="22"/>
        </w:rPr>
      </w:pPr>
    </w:p>
    <w:p w14:paraId="26B2D882" w14:textId="27FC6A89" w:rsidR="00B85D8F" w:rsidRDefault="00B85D8F" w:rsidP="00580388">
      <w:pPr>
        <w:pStyle w:val="ListParagraph"/>
        <w:spacing w:line="480" w:lineRule="auto"/>
        <w:rPr>
          <w:sz w:val="22"/>
          <w:szCs w:val="22"/>
        </w:rPr>
      </w:pPr>
    </w:p>
    <w:p w14:paraId="198FE1F6" w14:textId="56D4C9FB" w:rsidR="00B85D8F" w:rsidRDefault="00B85D8F" w:rsidP="00580388">
      <w:pPr>
        <w:pStyle w:val="ListParagraph"/>
        <w:spacing w:line="480" w:lineRule="auto"/>
        <w:rPr>
          <w:sz w:val="22"/>
          <w:szCs w:val="22"/>
        </w:rPr>
      </w:pPr>
    </w:p>
    <w:p w14:paraId="3C558564" w14:textId="3DE508ED" w:rsidR="00B85D8F" w:rsidRDefault="00B85D8F" w:rsidP="00580388">
      <w:pPr>
        <w:pStyle w:val="ListParagraph"/>
        <w:spacing w:line="480" w:lineRule="auto"/>
        <w:rPr>
          <w:sz w:val="22"/>
          <w:szCs w:val="22"/>
        </w:rPr>
      </w:pPr>
    </w:p>
    <w:p w14:paraId="16944B09" w14:textId="156A4A9E" w:rsidR="00B85D8F" w:rsidRDefault="00B85D8F" w:rsidP="00580388">
      <w:pPr>
        <w:pStyle w:val="ListParagraph"/>
        <w:spacing w:line="480" w:lineRule="auto"/>
        <w:rPr>
          <w:sz w:val="22"/>
          <w:szCs w:val="22"/>
        </w:rPr>
      </w:pPr>
    </w:p>
    <w:p w14:paraId="29BD4B31" w14:textId="55474E3A" w:rsidR="00B85D8F" w:rsidRDefault="00B85D8F" w:rsidP="00580388">
      <w:pPr>
        <w:pStyle w:val="ListParagraph"/>
        <w:spacing w:line="480" w:lineRule="auto"/>
        <w:rPr>
          <w:sz w:val="22"/>
          <w:szCs w:val="22"/>
        </w:rPr>
      </w:pPr>
    </w:p>
    <w:p w14:paraId="2B90E7BB" w14:textId="22F37E90" w:rsidR="00B85D8F" w:rsidRDefault="00B85D8F" w:rsidP="00580388">
      <w:pPr>
        <w:pStyle w:val="ListParagraph"/>
        <w:spacing w:line="480" w:lineRule="auto"/>
        <w:rPr>
          <w:sz w:val="22"/>
          <w:szCs w:val="22"/>
        </w:rPr>
      </w:pPr>
    </w:p>
    <w:p w14:paraId="724B2DB4" w14:textId="6EB42635" w:rsidR="00B85D8F" w:rsidRDefault="00B85D8F" w:rsidP="00580388">
      <w:pPr>
        <w:pStyle w:val="ListParagraph"/>
        <w:spacing w:line="480" w:lineRule="auto"/>
        <w:rPr>
          <w:sz w:val="22"/>
          <w:szCs w:val="22"/>
        </w:rPr>
      </w:pPr>
    </w:p>
    <w:p w14:paraId="102AACBA" w14:textId="248892D7" w:rsidR="00B85D8F" w:rsidRDefault="00B85D8F" w:rsidP="00580388">
      <w:pPr>
        <w:pStyle w:val="ListParagraph"/>
        <w:spacing w:line="480" w:lineRule="auto"/>
        <w:rPr>
          <w:sz w:val="22"/>
          <w:szCs w:val="22"/>
        </w:rPr>
      </w:pPr>
    </w:p>
    <w:p w14:paraId="2675FA4E" w14:textId="0FB4E910" w:rsidR="00B85D8F" w:rsidRDefault="00B85D8F" w:rsidP="00580388">
      <w:pPr>
        <w:pStyle w:val="ListParagraph"/>
        <w:spacing w:line="480" w:lineRule="auto"/>
        <w:rPr>
          <w:sz w:val="22"/>
          <w:szCs w:val="22"/>
        </w:rPr>
      </w:pPr>
    </w:p>
    <w:p w14:paraId="2A5DC675" w14:textId="36BBD203" w:rsidR="00B85D8F" w:rsidRDefault="00B85D8F" w:rsidP="00580388">
      <w:pPr>
        <w:pStyle w:val="ListParagraph"/>
        <w:spacing w:line="480" w:lineRule="auto"/>
        <w:rPr>
          <w:sz w:val="22"/>
          <w:szCs w:val="22"/>
        </w:rPr>
      </w:pPr>
    </w:p>
    <w:p w14:paraId="5E748EFC" w14:textId="1F1BBBEF" w:rsidR="00B85D8F" w:rsidRDefault="00B85D8F" w:rsidP="00580388">
      <w:pPr>
        <w:pStyle w:val="ListParagraph"/>
        <w:spacing w:line="480" w:lineRule="auto"/>
        <w:rPr>
          <w:sz w:val="22"/>
          <w:szCs w:val="22"/>
        </w:rPr>
      </w:pPr>
    </w:p>
    <w:p w14:paraId="06059326" w14:textId="7632CF52" w:rsidR="00AA6EF8" w:rsidRDefault="00AA6EF8" w:rsidP="00580388">
      <w:pPr>
        <w:pStyle w:val="ListParagraph"/>
        <w:spacing w:line="480" w:lineRule="auto"/>
        <w:rPr>
          <w:sz w:val="22"/>
          <w:szCs w:val="22"/>
        </w:rPr>
      </w:pPr>
    </w:p>
    <w:p w14:paraId="16487008" w14:textId="410C54C3" w:rsidR="00AA6EF8" w:rsidRDefault="00AA6EF8" w:rsidP="00580388">
      <w:pPr>
        <w:pStyle w:val="ListParagraph"/>
        <w:spacing w:line="480" w:lineRule="auto"/>
        <w:rPr>
          <w:sz w:val="22"/>
          <w:szCs w:val="22"/>
        </w:rPr>
      </w:pPr>
    </w:p>
    <w:p w14:paraId="111C9F39" w14:textId="346645D6" w:rsidR="00AA6EF8" w:rsidRDefault="00AA6EF8" w:rsidP="00580388">
      <w:pPr>
        <w:pStyle w:val="ListParagraph"/>
        <w:spacing w:line="480" w:lineRule="auto"/>
        <w:rPr>
          <w:sz w:val="22"/>
          <w:szCs w:val="22"/>
        </w:rPr>
      </w:pPr>
    </w:p>
    <w:p w14:paraId="5291E4E7" w14:textId="0DAA9716" w:rsidR="00AA6EF8" w:rsidRDefault="00AA6EF8" w:rsidP="00580388">
      <w:pPr>
        <w:pStyle w:val="ListParagraph"/>
        <w:spacing w:line="480" w:lineRule="auto"/>
        <w:rPr>
          <w:sz w:val="22"/>
          <w:szCs w:val="22"/>
        </w:rPr>
      </w:pPr>
    </w:p>
    <w:p w14:paraId="6472DAFE" w14:textId="77777777" w:rsidR="00AA6EF8" w:rsidRDefault="00AA6EF8" w:rsidP="00580388">
      <w:pPr>
        <w:pStyle w:val="ListParagraph"/>
        <w:spacing w:line="480" w:lineRule="auto"/>
        <w:rPr>
          <w:sz w:val="22"/>
          <w:szCs w:val="22"/>
        </w:rPr>
      </w:pPr>
    </w:p>
    <w:p w14:paraId="4E3CC982" w14:textId="77777777" w:rsidR="00B85D8F" w:rsidRPr="00B85D8F" w:rsidRDefault="00B85D8F" w:rsidP="00B85D8F">
      <w:pPr>
        <w:spacing w:line="480" w:lineRule="auto"/>
        <w:rPr>
          <w:sz w:val="22"/>
          <w:szCs w:val="22"/>
        </w:rPr>
      </w:pPr>
    </w:p>
    <w:p w14:paraId="257EC837" w14:textId="77777777" w:rsidR="007B219A" w:rsidRPr="001F64AA" w:rsidRDefault="007B219A" w:rsidP="007B219A">
      <w:pPr>
        <w:jc w:val="both"/>
        <w:rPr>
          <w:rFonts w:ascii="Calibri" w:hAnsi="Calibri"/>
          <w:color w:val="1C1D1E"/>
        </w:rPr>
      </w:pPr>
    </w:p>
    <w:p w14:paraId="0BD3A107" w14:textId="77777777" w:rsidR="007B219A" w:rsidRDefault="007B219A" w:rsidP="007B219A">
      <w:pPr>
        <w:rPr>
          <w:rFonts w:ascii="Calibri" w:hAnsi="Calibri"/>
          <w:color w:val="FF0000"/>
        </w:rPr>
      </w:pPr>
    </w:p>
    <w:p w14:paraId="50D54D9D" w14:textId="77777777" w:rsidR="007B219A" w:rsidRPr="001F64AA" w:rsidRDefault="007B219A" w:rsidP="007B219A">
      <w:pPr>
        <w:rPr>
          <w:rFonts w:ascii="Calibri" w:hAnsi="Calibri"/>
        </w:rPr>
      </w:pPr>
    </w:p>
    <w:tbl>
      <w:tblPr>
        <w:tblStyle w:val="PlainTable2"/>
        <w:tblW w:w="0" w:type="auto"/>
        <w:jc w:val="center"/>
        <w:tblLook w:val="04A0" w:firstRow="1" w:lastRow="0" w:firstColumn="1" w:lastColumn="0" w:noHBand="0" w:noVBand="1"/>
      </w:tblPr>
      <w:tblGrid>
        <w:gridCol w:w="2256"/>
        <w:gridCol w:w="1855"/>
        <w:gridCol w:w="2658"/>
        <w:gridCol w:w="2257"/>
      </w:tblGrid>
      <w:tr w:rsidR="007B219A" w:rsidRPr="003E349F" w14:paraId="23A849AD" w14:textId="77777777" w:rsidTr="00A5030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gridSpan w:val="2"/>
            <w:tcBorders>
              <w:bottom w:val="single" w:sz="4" w:space="0" w:color="auto"/>
            </w:tcBorders>
            <w:shd w:val="clear" w:color="auto" w:fill="8EAADB" w:themeFill="accent1" w:themeFillTint="99"/>
          </w:tcPr>
          <w:p w14:paraId="220F6DD8" w14:textId="77777777" w:rsidR="007B219A" w:rsidRPr="003E349F" w:rsidRDefault="007B219A" w:rsidP="00A50304">
            <w:pPr>
              <w:jc w:val="both"/>
              <w:rPr>
                <w:color w:val="1C1D1E"/>
                <w:sz w:val="20"/>
                <w:szCs w:val="20"/>
              </w:rPr>
            </w:pPr>
            <w:r w:rsidRPr="003E349F">
              <w:rPr>
                <w:color w:val="1C1D1E"/>
                <w:sz w:val="20"/>
                <w:szCs w:val="20"/>
              </w:rPr>
              <w:t>Neonatal Demographics:</w:t>
            </w:r>
          </w:p>
        </w:tc>
        <w:tc>
          <w:tcPr>
            <w:tcW w:w="4915" w:type="dxa"/>
            <w:gridSpan w:val="2"/>
            <w:tcBorders>
              <w:bottom w:val="single" w:sz="4" w:space="0" w:color="auto"/>
            </w:tcBorders>
            <w:shd w:val="clear" w:color="auto" w:fill="8EAADB" w:themeFill="accent1" w:themeFillTint="99"/>
          </w:tcPr>
          <w:p w14:paraId="44F5C58B" w14:textId="77777777" w:rsidR="007B219A" w:rsidRPr="003E349F" w:rsidRDefault="007B219A" w:rsidP="00A50304">
            <w:pPr>
              <w:jc w:val="both"/>
              <w:cnfStyle w:val="100000000000" w:firstRow="1" w:lastRow="0" w:firstColumn="0" w:lastColumn="0" w:oddVBand="0" w:evenVBand="0" w:oddHBand="0" w:evenHBand="0" w:firstRowFirstColumn="0" w:firstRowLastColumn="0" w:lastRowFirstColumn="0" w:lastRowLastColumn="0"/>
              <w:rPr>
                <w:color w:val="1C1D1E"/>
                <w:sz w:val="20"/>
                <w:szCs w:val="20"/>
              </w:rPr>
            </w:pPr>
            <w:r w:rsidRPr="003E349F">
              <w:rPr>
                <w:color w:val="1C1D1E"/>
                <w:sz w:val="20"/>
                <w:szCs w:val="20"/>
              </w:rPr>
              <w:t>Number (Percentage)</w:t>
            </w:r>
            <w:r>
              <w:rPr>
                <w:color w:val="1C1D1E"/>
                <w:sz w:val="20"/>
                <w:szCs w:val="20"/>
              </w:rPr>
              <w:t xml:space="preserve">         Mean (Standard Deviation)</w:t>
            </w:r>
          </w:p>
        </w:tc>
      </w:tr>
      <w:tr w:rsidR="007B219A" w:rsidRPr="003E349F" w14:paraId="7CF6E442" w14:textId="77777777" w:rsidTr="00A503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gridSpan w:val="2"/>
            <w:tcBorders>
              <w:top w:val="single" w:sz="4" w:space="0" w:color="auto"/>
              <w:bottom w:val="nil"/>
            </w:tcBorders>
          </w:tcPr>
          <w:p w14:paraId="0A1F4612" w14:textId="77777777" w:rsidR="007B219A" w:rsidRPr="003E349F" w:rsidRDefault="007B219A" w:rsidP="00A50304">
            <w:pPr>
              <w:jc w:val="both"/>
              <w:rPr>
                <w:b w:val="0"/>
                <w:bCs w:val="0"/>
                <w:color w:val="1C1D1E"/>
                <w:sz w:val="20"/>
                <w:szCs w:val="20"/>
              </w:rPr>
            </w:pPr>
            <w:r w:rsidRPr="003E349F">
              <w:rPr>
                <w:b w:val="0"/>
                <w:bCs w:val="0"/>
                <w:color w:val="1C1D1E"/>
                <w:sz w:val="20"/>
                <w:szCs w:val="20"/>
              </w:rPr>
              <w:t xml:space="preserve">Number </w:t>
            </w:r>
          </w:p>
        </w:tc>
        <w:tc>
          <w:tcPr>
            <w:tcW w:w="4915" w:type="dxa"/>
            <w:gridSpan w:val="2"/>
            <w:tcBorders>
              <w:top w:val="single" w:sz="4" w:space="0" w:color="auto"/>
              <w:bottom w:val="nil"/>
            </w:tcBorders>
          </w:tcPr>
          <w:p w14:paraId="6CCFDA4E" w14:textId="77777777" w:rsidR="007B219A" w:rsidRPr="003E349F" w:rsidRDefault="007B219A" w:rsidP="00A50304">
            <w:pPr>
              <w:jc w:val="both"/>
              <w:cnfStyle w:val="000000100000" w:firstRow="0" w:lastRow="0" w:firstColumn="0" w:lastColumn="0" w:oddVBand="0" w:evenVBand="0" w:oddHBand="1" w:evenHBand="0" w:firstRowFirstColumn="0" w:firstRowLastColumn="0" w:lastRowFirstColumn="0" w:lastRowLastColumn="0"/>
              <w:rPr>
                <w:color w:val="1C1D1E"/>
                <w:sz w:val="20"/>
                <w:szCs w:val="20"/>
              </w:rPr>
            </w:pPr>
            <w:r w:rsidRPr="003E349F">
              <w:rPr>
                <w:color w:val="1C1D1E"/>
                <w:sz w:val="20"/>
                <w:szCs w:val="20"/>
              </w:rPr>
              <w:t>117</w:t>
            </w:r>
          </w:p>
        </w:tc>
      </w:tr>
      <w:tr w:rsidR="007B219A" w:rsidRPr="003E349F" w14:paraId="0024609E" w14:textId="77777777" w:rsidTr="00A50304">
        <w:trPr>
          <w:jc w:val="center"/>
        </w:trPr>
        <w:tc>
          <w:tcPr>
            <w:cnfStyle w:val="001000000000" w:firstRow="0" w:lastRow="0" w:firstColumn="1" w:lastColumn="0" w:oddVBand="0" w:evenVBand="0" w:oddHBand="0" w:evenHBand="0" w:firstRowFirstColumn="0" w:firstRowLastColumn="0" w:lastRowFirstColumn="0" w:lastRowLastColumn="0"/>
            <w:tcW w:w="4111" w:type="dxa"/>
            <w:gridSpan w:val="2"/>
            <w:tcBorders>
              <w:top w:val="nil"/>
              <w:bottom w:val="nil"/>
            </w:tcBorders>
          </w:tcPr>
          <w:p w14:paraId="269FB6FB" w14:textId="77777777" w:rsidR="007B219A" w:rsidRPr="003E349F" w:rsidRDefault="007B219A" w:rsidP="00A50304">
            <w:pPr>
              <w:jc w:val="both"/>
              <w:rPr>
                <w:b w:val="0"/>
                <w:bCs w:val="0"/>
                <w:color w:val="1C1D1E"/>
                <w:sz w:val="20"/>
                <w:szCs w:val="20"/>
              </w:rPr>
            </w:pPr>
            <w:r w:rsidRPr="003E349F">
              <w:rPr>
                <w:b w:val="0"/>
                <w:bCs w:val="0"/>
                <w:color w:val="1C1D1E"/>
                <w:sz w:val="20"/>
                <w:szCs w:val="20"/>
              </w:rPr>
              <w:t xml:space="preserve">Female </w:t>
            </w:r>
          </w:p>
        </w:tc>
        <w:tc>
          <w:tcPr>
            <w:tcW w:w="4915" w:type="dxa"/>
            <w:gridSpan w:val="2"/>
            <w:tcBorders>
              <w:top w:val="nil"/>
              <w:bottom w:val="nil"/>
            </w:tcBorders>
          </w:tcPr>
          <w:p w14:paraId="583B9087" w14:textId="77777777" w:rsidR="007B219A" w:rsidRPr="003E349F" w:rsidRDefault="007B219A" w:rsidP="00A50304">
            <w:pPr>
              <w:jc w:val="both"/>
              <w:cnfStyle w:val="000000000000" w:firstRow="0" w:lastRow="0" w:firstColumn="0" w:lastColumn="0" w:oddVBand="0" w:evenVBand="0" w:oddHBand="0" w:evenHBand="0" w:firstRowFirstColumn="0" w:firstRowLastColumn="0" w:lastRowFirstColumn="0" w:lastRowLastColumn="0"/>
              <w:rPr>
                <w:color w:val="1C1D1E"/>
                <w:sz w:val="20"/>
                <w:szCs w:val="20"/>
              </w:rPr>
            </w:pPr>
            <w:r w:rsidRPr="003E349F">
              <w:rPr>
                <w:color w:val="1C1D1E"/>
                <w:sz w:val="20"/>
                <w:szCs w:val="20"/>
              </w:rPr>
              <w:t>62 (52.9)</w:t>
            </w:r>
          </w:p>
        </w:tc>
      </w:tr>
      <w:tr w:rsidR="007B219A" w:rsidRPr="003E349F" w14:paraId="47FBF6D3" w14:textId="77777777" w:rsidTr="00A503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gridSpan w:val="2"/>
            <w:tcBorders>
              <w:top w:val="nil"/>
              <w:bottom w:val="nil"/>
            </w:tcBorders>
          </w:tcPr>
          <w:p w14:paraId="0E9B2B26" w14:textId="77777777" w:rsidR="007B219A" w:rsidRPr="003E349F" w:rsidRDefault="007B219A" w:rsidP="00A50304">
            <w:pPr>
              <w:jc w:val="both"/>
              <w:rPr>
                <w:b w:val="0"/>
                <w:bCs w:val="0"/>
                <w:color w:val="1C1D1E"/>
                <w:sz w:val="20"/>
                <w:szCs w:val="20"/>
              </w:rPr>
            </w:pPr>
            <w:r w:rsidRPr="003E349F">
              <w:rPr>
                <w:b w:val="0"/>
                <w:bCs w:val="0"/>
                <w:color w:val="1C1D1E"/>
                <w:sz w:val="20"/>
                <w:szCs w:val="20"/>
              </w:rPr>
              <w:t xml:space="preserve">Male </w:t>
            </w:r>
          </w:p>
        </w:tc>
        <w:tc>
          <w:tcPr>
            <w:tcW w:w="4915" w:type="dxa"/>
            <w:gridSpan w:val="2"/>
            <w:tcBorders>
              <w:top w:val="nil"/>
              <w:bottom w:val="nil"/>
            </w:tcBorders>
          </w:tcPr>
          <w:p w14:paraId="71D3088D" w14:textId="77777777" w:rsidR="007B219A" w:rsidRPr="003E349F" w:rsidRDefault="007B219A" w:rsidP="00A50304">
            <w:pPr>
              <w:jc w:val="both"/>
              <w:cnfStyle w:val="000000100000" w:firstRow="0" w:lastRow="0" w:firstColumn="0" w:lastColumn="0" w:oddVBand="0" w:evenVBand="0" w:oddHBand="1" w:evenHBand="0" w:firstRowFirstColumn="0" w:firstRowLastColumn="0" w:lastRowFirstColumn="0" w:lastRowLastColumn="0"/>
              <w:rPr>
                <w:color w:val="1C1D1E"/>
                <w:sz w:val="20"/>
                <w:szCs w:val="20"/>
              </w:rPr>
            </w:pPr>
            <w:r w:rsidRPr="003E349F">
              <w:rPr>
                <w:color w:val="1C1D1E"/>
                <w:sz w:val="20"/>
                <w:szCs w:val="20"/>
              </w:rPr>
              <w:t>55 (47.1)</w:t>
            </w:r>
          </w:p>
        </w:tc>
      </w:tr>
      <w:tr w:rsidR="007B219A" w:rsidRPr="003E349F" w14:paraId="4F1E66DD" w14:textId="77777777" w:rsidTr="00A50304">
        <w:trPr>
          <w:jc w:val="center"/>
        </w:trPr>
        <w:tc>
          <w:tcPr>
            <w:cnfStyle w:val="001000000000" w:firstRow="0" w:lastRow="0" w:firstColumn="1" w:lastColumn="0" w:oddVBand="0" w:evenVBand="0" w:oddHBand="0" w:evenHBand="0" w:firstRowFirstColumn="0" w:firstRowLastColumn="0" w:lastRowFirstColumn="0" w:lastRowLastColumn="0"/>
            <w:tcW w:w="4111" w:type="dxa"/>
            <w:gridSpan w:val="2"/>
            <w:tcBorders>
              <w:top w:val="nil"/>
              <w:bottom w:val="single" w:sz="4" w:space="0" w:color="auto"/>
            </w:tcBorders>
          </w:tcPr>
          <w:p w14:paraId="2838D465" w14:textId="77777777" w:rsidR="007B219A" w:rsidRPr="003E349F" w:rsidRDefault="007B219A" w:rsidP="00A50304">
            <w:pPr>
              <w:jc w:val="both"/>
              <w:rPr>
                <w:b w:val="0"/>
                <w:bCs w:val="0"/>
                <w:color w:val="1C1D1E"/>
                <w:sz w:val="20"/>
                <w:szCs w:val="20"/>
              </w:rPr>
            </w:pPr>
            <w:r w:rsidRPr="003E349F">
              <w:rPr>
                <w:b w:val="0"/>
                <w:bCs w:val="0"/>
                <w:color w:val="1C1D1E"/>
                <w:sz w:val="20"/>
                <w:szCs w:val="20"/>
              </w:rPr>
              <w:t xml:space="preserve">Mean birth weight </w:t>
            </w:r>
          </w:p>
        </w:tc>
        <w:tc>
          <w:tcPr>
            <w:tcW w:w="4915" w:type="dxa"/>
            <w:gridSpan w:val="2"/>
            <w:tcBorders>
              <w:top w:val="nil"/>
              <w:bottom w:val="single" w:sz="4" w:space="0" w:color="auto"/>
            </w:tcBorders>
          </w:tcPr>
          <w:p w14:paraId="2738F511" w14:textId="77777777" w:rsidR="007B219A" w:rsidRPr="003E349F" w:rsidRDefault="007B219A" w:rsidP="00A50304">
            <w:pPr>
              <w:jc w:val="both"/>
              <w:cnfStyle w:val="000000000000" w:firstRow="0" w:lastRow="0" w:firstColumn="0" w:lastColumn="0" w:oddVBand="0" w:evenVBand="0" w:oddHBand="0" w:evenHBand="0" w:firstRowFirstColumn="0" w:firstRowLastColumn="0" w:lastRowFirstColumn="0" w:lastRowLastColumn="0"/>
              <w:rPr>
                <w:color w:val="1C1D1E"/>
                <w:sz w:val="20"/>
                <w:szCs w:val="20"/>
              </w:rPr>
            </w:pPr>
            <w:r>
              <w:rPr>
                <w:color w:val="1C1D1E"/>
                <w:sz w:val="20"/>
                <w:szCs w:val="20"/>
              </w:rPr>
              <w:t xml:space="preserve">                                                     </w:t>
            </w:r>
            <w:r w:rsidRPr="003E349F">
              <w:rPr>
                <w:color w:val="1C1D1E"/>
                <w:sz w:val="20"/>
                <w:szCs w:val="20"/>
              </w:rPr>
              <w:t>3458 grams</w:t>
            </w:r>
            <w:r>
              <w:rPr>
                <w:color w:val="1C1D1E"/>
                <w:sz w:val="20"/>
                <w:szCs w:val="20"/>
              </w:rPr>
              <w:t xml:space="preserve"> (460.7)</w:t>
            </w:r>
          </w:p>
        </w:tc>
      </w:tr>
      <w:tr w:rsidR="007B219A" w:rsidRPr="003E349F" w14:paraId="33F3BE46" w14:textId="77777777" w:rsidTr="00A503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gridSpan w:val="2"/>
            <w:tcBorders>
              <w:top w:val="single" w:sz="4" w:space="0" w:color="auto"/>
              <w:bottom w:val="single" w:sz="4" w:space="0" w:color="auto"/>
            </w:tcBorders>
            <w:shd w:val="clear" w:color="auto" w:fill="D9E2F3" w:themeFill="accent1" w:themeFillTint="33"/>
          </w:tcPr>
          <w:p w14:paraId="5C5D1662" w14:textId="77777777" w:rsidR="007B219A" w:rsidRPr="003E349F" w:rsidRDefault="007B219A" w:rsidP="00A50304">
            <w:pPr>
              <w:jc w:val="both"/>
              <w:rPr>
                <w:color w:val="1C1D1E"/>
                <w:sz w:val="20"/>
                <w:szCs w:val="20"/>
              </w:rPr>
            </w:pPr>
            <w:r w:rsidRPr="003E349F">
              <w:rPr>
                <w:color w:val="1C1D1E"/>
                <w:sz w:val="20"/>
                <w:szCs w:val="20"/>
              </w:rPr>
              <w:t xml:space="preserve">Risk factors for Intrapartum Pyrexia: </w:t>
            </w:r>
          </w:p>
        </w:tc>
        <w:tc>
          <w:tcPr>
            <w:tcW w:w="4915" w:type="dxa"/>
            <w:gridSpan w:val="2"/>
            <w:tcBorders>
              <w:top w:val="single" w:sz="4" w:space="0" w:color="auto"/>
              <w:bottom w:val="single" w:sz="4" w:space="0" w:color="auto"/>
            </w:tcBorders>
            <w:shd w:val="clear" w:color="auto" w:fill="D9E2F3" w:themeFill="accent1" w:themeFillTint="33"/>
          </w:tcPr>
          <w:p w14:paraId="7A308F3B" w14:textId="77777777" w:rsidR="007B219A" w:rsidRPr="003E349F" w:rsidRDefault="007B219A" w:rsidP="00A50304">
            <w:pPr>
              <w:jc w:val="both"/>
              <w:cnfStyle w:val="000000100000" w:firstRow="0" w:lastRow="0" w:firstColumn="0" w:lastColumn="0" w:oddVBand="0" w:evenVBand="0" w:oddHBand="1" w:evenHBand="0" w:firstRowFirstColumn="0" w:firstRowLastColumn="0" w:lastRowFirstColumn="0" w:lastRowLastColumn="0"/>
              <w:rPr>
                <w:color w:val="1C1D1E"/>
                <w:sz w:val="20"/>
                <w:szCs w:val="20"/>
              </w:rPr>
            </w:pPr>
          </w:p>
        </w:tc>
      </w:tr>
      <w:tr w:rsidR="007B219A" w:rsidRPr="003E349F" w14:paraId="34F5AB1C" w14:textId="77777777" w:rsidTr="00A50304">
        <w:trPr>
          <w:jc w:val="center"/>
        </w:trPr>
        <w:tc>
          <w:tcPr>
            <w:cnfStyle w:val="001000000000" w:firstRow="0" w:lastRow="0" w:firstColumn="1" w:lastColumn="0" w:oddVBand="0" w:evenVBand="0" w:oddHBand="0" w:evenHBand="0" w:firstRowFirstColumn="0" w:firstRowLastColumn="0" w:lastRowFirstColumn="0" w:lastRowLastColumn="0"/>
            <w:tcW w:w="4111" w:type="dxa"/>
            <w:gridSpan w:val="2"/>
            <w:tcBorders>
              <w:top w:val="single" w:sz="4" w:space="0" w:color="auto"/>
              <w:bottom w:val="nil"/>
            </w:tcBorders>
          </w:tcPr>
          <w:p w14:paraId="28D75661" w14:textId="77777777" w:rsidR="007B219A" w:rsidRPr="003E349F" w:rsidRDefault="007B219A" w:rsidP="00A50304">
            <w:pPr>
              <w:jc w:val="both"/>
              <w:rPr>
                <w:color w:val="1C1D1E"/>
                <w:sz w:val="20"/>
                <w:szCs w:val="20"/>
              </w:rPr>
            </w:pPr>
            <w:r w:rsidRPr="003E349F">
              <w:rPr>
                <w:b w:val="0"/>
                <w:bCs w:val="0"/>
                <w:color w:val="1C1D1E"/>
                <w:sz w:val="20"/>
                <w:szCs w:val="20"/>
              </w:rPr>
              <w:t>Epidurals</w:t>
            </w:r>
          </w:p>
        </w:tc>
        <w:tc>
          <w:tcPr>
            <w:tcW w:w="4915" w:type="dxa"/>
            <w:gridSpan w:val="2"/>
            <w:tcBorders>
              <w:top w:val="single" w:sz="4" w:space="0" w:color="auto"/>
              <w:bottom w:val="nil"/>
            </w:tcBorders>
          </w:tcPr>
          <w:p w14:paraId="68197DA2" w14:textId="77777777" w:rsidR="007B219A" w:rsidRPr="003E349F" w:rsidRDefault="007B219A" w:rsidP="00A50304">
            <w:pPr>
              <w:jc w:val="both"/>
              <w:cnfStyle w:val="000000000000" w:firstRow="0" w:lastRow="0" w:firstColumn="0" w:lastColumn="0" w:oddVBand="0" w:evenVBand="0" w:oddHBand="0" w:evenHBand="0" w:firstRowFirstColumn="0" w:firstRowLastColumn="0" w:lastRowFirstColumn="0" w:lastRowLastColumn="0"/>
              <w:rPr>
                <w:color w:val="1C1D1E"/>
                <w:sz w:val="20"/>
                <w:szCs w:val="20"/>
              </w:rPr>
            </w:pPr>
            <w:r w:rsidRPr="003E349F">
              <w:rPr>
                <w:color w:val="1C1D1E"/>
                <w:sz w:val="20"/>
                <w:szCs w:val="20"/>
              </w:rPr>
              <w:t>95 (81.2)</w:t>
            </w:r>
          </w:p>
        </w:tc>
      </w:tr>
      <w:tr w:rsidR="007B219A" w:rsidRPr="003E349F" w14:paraId="3A61EE7E" w14:textId="77777777" w:rsidTr="00A503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gridSpan w:val="2"/>
            <w:tcBorders>
              <w:top w:val="nil"/>
              <w:bottom w:val="nil"/>
            </w:tcBorders>
          </w:tcPr>
          <w:p w14:paraId="4FB2234B" w14:textId="77777777" w:rsidR="007B219A" w:rsidRPr="003E349F" w:rsidRDefault="007B219A" w:rsidP="00A50304">
            <w:pPr>
              <w:jc w:val="both"/>
              <w:rPr>
                <w:color w:val="1C1D1E"/>
                <w:sz w:val="20"/>
                <w:szCs w:val="20"/>
              </w:rPr>
            </w:pPr>
            <w:r w:rsidRPr="003E349F">
              <w:rPr>
                <w:b w:val="0"/>
                <w:bCs w:val="0"/>
                <w:color w:val="1C1D1E"/>
                <w:sz w:val="20"/>
                <w:szCs w:val="20"/>
              </w:rPr>
              <w:t xml:space="preserve">Fetal blood samples </w:t>
            </w:r>
          </w:p>
        </w:tc>
        <w:tc>
          <w:tcPr>
            <w:tcW w:w="4915" w:type="dxa"/>
            <w:gridSpan w:val="2"/>
            <w:tcBorders>
              <w:top w:val="nil"/>
              <w:bottom w:val="nil"/>
            </w:tcBorders>
          </w:tcPr>
          <w:p w14:paraId="0000D116" w14:textId="77777777" w:rsidR="007B219A" w:rsidRPr="003E349F" w:rsidRDefault="007B219A" w:rsidP="00A50304">
            <w:pPr>
              <w:jc w:val="both"/>
              <w:cnfStyle w:val="000000100000" w:firstRow="0" w:lastRow="0" w:firstColumn="0" w:lastColumn="0" w:oddVBand="0" w:evenVBand="0" w:oddHBand="1" w:evenHBand="0" w:firstRowFirstColumn="0" w:firstRowLastColumn="0" w:lastRowFirstColumn="0" w:lastRowLastColumn="0"/>
              <w:rPr>
                <w:color w:val="1C1D1E"/>
                <w:sz w:val="20"/>
                <w:szCs w:val="20"/>
              </w:rPr>
            </w:pPr>
            <w:r w:rsidRPr="003E349F">
              <w:rPr>
                <w:color w:val="1C1D1E"/>
                <w:sz w:val="20"/>
                <w:szCs w:val="20"/>
              </w:rPr>
              <w:t>11 (9.4)</w:t>
            </w:r>
          </w:p>
        </w:tc>
      </w:tr>
      <w:tr w:rsidR="007B219A" w:rsidRPr="003E349F" w14:paraId="5CD9F79F" w14:textId="77777777" w:rsidTr="00A50304">
        <w:trPr>
          <w:jc w:val="center"/>
        </w:trPr>
        <w:tc>
          <w:tcPr>
            <w:cnfStyle w:val="001000000000" w:firstRow="0" w:lastRow="0" w:firstColumn="1" w:lastColumn="0" w:oddVBand="0" w:evenVBand="0" w:oddHBand="0" w:evenHBand="0" w:firstRowFirstColumn="0" w:firstRowLastColumn="0" w:lastRowFirstColumn="0" w:lastRowLastColumn="0"/>
            <w:tcW w:w="4111" w:type="dxa"/>
            <w:gridSpan w:val="2"/>
            <w:tcBorders>
              <w:top w:val="nil"/>
              <w:bottom w:val="nil"/>
            </w:tcBorders>
          </w:tcPr>
          <w:p w14:paraId="5A0725C6" w14:textId="77777777" w:rsidR="007B219A" w:rsidRPr="003E349F" w:rsidRDefault="007B219A" w:rsidP="00A50304">
            <w:pPr>
              <w:jc w:val="both"/>
              <w:rPr>
                <w:color w:val="1C1D1E"/>
                <w:sz w:val="20"/>
                <w:szCs w:val="20"/>
              </w:rPr>
            </w:pPr>
            <w:r w:rsidRPr="003E349F">
              <w:rPr>
                <w:b w:val="0"/>
                <w:bCs w:val="0"/>
                <w:color w:val="1C1D1E"/>
                <w:sz w:val="20"/>
                <w:szCs w:val="20"/>
              </w:rPr>
              <w:t xml:space="preserve">Induction of labour </w:t>
            </w:r>
          </w:p>
        </w:tc>
        <w:tc>
          <w:tcPr>
            <w:tcW w:w="4915" w:type="dxa"/>
            <w:gridSpan w:val="2"/>
            <w:tcBorders>
              <w:top w:val="nil"/>
              <w:bottom w:val="nil"/>
            </w:tcBorders>
          </w:tcPr>
          <w:p w14:paraId="5F4107ED" w14:textId="77777777" w:rsidR="007B219A" w:rsidRPr="003E349F" w:rsidRDefault="007B219A" w:rsidP="00A50304">
            <w:pPr>
              <w:jc w:val="both"/>
              <w:cnfStyle w:val="000000000000" w:firstRow="0" w:lastRow="0" w:firstColumn="0" w:lastColumn="0" w:oddVBand="0" w:evenVBand="0" w:oddHBand="0" w:evenHBand="0" w:firstRowFirstColumn="0" w:firstRowLastColumn="0" w:lastRowFirstColumn="0" w:lastRowLastColumn="0"/>
              <w:rPr>
                <w:color w:val="1C1D1E"/>
                <w:sz w:val="20"/>
                <w:szCs w:val="20"/>
              </w:rPr>
            </w:pPr>
            <w:r w:rsidRPr="003E349F">
              <w:rPr>
                <w:color w:val="1C1D1E"/>
                <w:sz w:val="20"/>
                <w:szCs w:val="20"/>
              </w:rPr>
              <w:t>76 (64.9)</w:t>
            </w:r>
          </w:p>
        </w:tc>
      </w:tr>
      <w:tr w:rsidR="007B219A" w:rsidRPr="003E349F" w14:paraId="28A7B008" w14:textId="77777777" w:rsidTr="00A503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gridSpan w:val="2"/>
            <w:tcBorders>
              <w:top w:val="nil"/>
              <w:bottom w:val="nil"/>
            </w:tcBorders>
          </w:tcPr>
          <w:p w14:paraId="30FD7783" w14:textId="77777777" w:rsidR="007B219A" w:rsidRPr="003E349F" w:rsidRDefault="007B219A" w:rsidP="00A50304">
            <w:pPr>
              <w:jc w:val="both"/>
              <w:rPr>
                <w:color w:val="1C1D1E"/>
                <w:sz w:val="20"/>
                <w:szCs w:val="20"/>
              </w:rPr>
            </w:pPr>
            <w:r>
              <w:rPr>
                <w:b w:val="0"/>
                <w:bCs w:val="0"/>
                <w:color w:val="1C1D1E"/>
                <w:sz w:val="20"/>
                <w:szCs w:val="20"/>
              </w:rPr>
              <w:t>T</w:t>
            </w:r>
            <w:r w:rsidRPr="003E349F">
              <w:rPr>
                <w:b w:val="0"/>
                <w:bCs w:val="0"/>
                <w:color w:val="1C1D1E"/>
                <w:sz w:val="20"/>
                <w:szCs w:val="20"/>
              </w:rPr>
              <w:t>ime from ruptured membranes &amp; delivery</w:t>
            </w:r>
            <w:r>
              <w:rPr>
                <w:b w:val="0"/>
                <w:bCs w:val="0"/>
                <w:color w:val="1C1D1E"/>
                <w:sz w:val="20"/>
                <w:szCs w:val="20"/>
              </w:rPr>
              <w:t xml:space="preserve"> </w:t>
            </w:r>
            <w:r w:rsidRPr="003E349F">
              <w:rPr>
                <w:b w:val="0"/>
                <w:bCs w:val="0"/>
                <w:color w:val="1C1D1E"/>
                <w:sz w:val="20"/>
                <w:szCs w:val="20"/>
              </w:rPr>
              <w:t xml:space="preserve"> </w:t>
            </w:r>
          </w:p>
        </w:tc>
        <w:tc>
          <w:tcPr>
            <w:tcW w:w="4915" w:type="dxa"/>
            <w:gridSpan w:val="2"/>
            <w:tcBorders>
              <w:top w:val="nil"/>
              <w:bottom w:val="nil"/>
            </w:tcBorders>
          </w:tcPr>
          <w:p w14:paraId="06DEB3E3" w14:textId="77777777" w:rsidR="007B219A" w:rsidRPr="003E349F" w:rsidRDefault="007B219A" w:rsidP="00A50304">
            <w:pPr>
              <w:jc w:val="both"/>
              <w:cnfStyle w:val="000000100000" w:firstRow="0" w:lastRow="0" w:firstColumn="0" w:lastColumn="0" w:oddVBand="0" w:evenVBand="0" w:oddHBand="1" w:evenHBand="0" w:firstRowFirstColumn="0" w:firstRowLastColumn="0" w:lastRowFirstColumn="0" w:lastRowLastColumn="0"/>
              <w:rPr>
                <w:color w:val="1C1D1E"/>
                <w:sz w:val="20"/>
                <w:szCs w:val="20"/>
              </w:rPr>
            </w:pPr>
            <w:r>
              <w:rPr>
                <w:color w:val="1C1D1E"/>
                <w:sz w:val="20"/>
                <w:szCs w:val="20"/>
              </w:rPr>
              <w:t xml:space="preserve">                                                     </w:t>
            </w:r>
            <w:r w:rsidRPr="003E349F">
              <w:rPr>
                <w:color w:val="1C1D1E"/>
                <w:sz w:val="20"/>
                <w:szCs w:val="20"/>
              </w:rPr>
              <w:t>23.8 hours</w:t>
            </w:r>
            <w:r>
              <w:rPr>
                <w:color w:val="1C1D1E"/>
                <w:sz w:val="20"/>
                <w:szCs w:val="20"/>
              </w:rPr>
              <w:t xml:space="preserve"> (59.3)</w:t>
            </w:r>
          </w:p>
        </w:tc>
      </w:tr>
      <w:tr w:rsidR="007B219A" w:rsidRPr="003E349F" w14:paraId="4AF0E5F5" w14:textId="77777777" w:rsidTr="00A50304">
        <w:trPr>
          <w:jc w:val="center"/>
        </w:trPr>
        <w:tc>
          <w:tcPr>
            <w:cnfStyle w:val="001000000000" w:firstRow="0" w:lastRow="0" w:firstColumn="1" w:lastColumn="0" w:oddVBand="0" w:evenVBand="0" w:oddHBand="0" w:evenHBand="0" w:firstRowFirstColumn="0" w:firstRowLastColumn="0" w:lastRowFirstColumn="0" w:lastRowLastColumn="0"/>
            <w:tcW w:w="4111" w:type="dxa"/>
            <w:gridSpan w:val="2"/>
            <w:tcBorders>
              <w:top w:val="nil"/>
              <w:bottom w:val="single" w:sz="4" w:space="0" w:color="auto"/>
            </w:tcBorders>
          </w:tcPr>
          <w:p w14:paraId="4418EEF5" w14:textId="6755966C" w:rsidR="007B219A" w:rsidRPr="003E349F" w:rsidRDefault="00C12A5A" w:rsidP="00A50304">
            <w:pPr>
              <w:jc w:val="both"/>
              <w:rPr>
                <w:color w:val="1C1D1E"/>
                <w:sz w:val="20"/>
                <w:szCs w:val="20"/>
              </w:rPr>
            </w:pPr>
            <w:r>
              <w:rPr>
                <w:b w:val="0"/>
                <w:bCs w:val="0"/>
                <w:color w:val="1C1D1E"/>
                <w:sz w:val="20"/>
                <w:szCs w:val="20"/>
              </w:rPr>
              <w:t>Labour augmentation</w:t>
            </w:r>
            <w:r w:rsidR="007B219A" w:rsidRPr="003E349F">
              <w:rPr>
                <w:b w:val="0"/>
                <w:bCs w:val="0"/>
                <w:color w:val="1C1D1E"/>
                <w:sz w:val="20"/>
                <w:szCs w:val="20"/>
              </w:rPr>
              <w:t xml:space="preserve"> </w:t>
            </w:r>
          </w:p>
        </w:tc>
        <w:tc>
          <w:tcPr>
            <w:tcW w:w="4915" w:type="dxa"/>
            <w:gridSpan w:val="2"/>
            <w:tcBorders>
              <w:top w:val="nil"/>
              <w:bottom w:val="single" w:sz="4" w:space="0" w:color="auto"/>
            </w:tcBorders>
          </w:tcPr>
          <w:p w14:paraId="0B9414DC" w14:textId="77777777" w:rsidR="007B219A" w:rsidRPr="003E349F" w:rsidRDefault="007B219A" w:rsidP="00A50304">
            <w:pPr>
              <w:jc w:val="both"/>
              <w:cnfStyle w:val="000000000000" w:firstRow="0" w:lastRow="0" w:firstColumn="0" w:lastColumn="0" w:oddVBand="0" w:evenVBand="0" w:oddHBand="0" w:evenHBand="0" w:firstRowFirstColumn="0" w:firstRowLastColumn="0" w:lastRowFirstColumn="0" w:lastRowLastColumn="0"/>
              <w:rPr>
                <w:color w:val="1C1D1E"/>
                <w:sz w:val="20"/>
                <w:szCs w:val="20"/>
              </w:rPr>
            </w:pPr>
            <w:r w:rsidRPr="003E349F">
              <w:rPr>
                <w:color w:val="1C1D1E"/>
                <w:sz w:val="20"/>
                <w:szCs w:val="20"/>
              </w:rPr>
              <w:t>20/41 (48.8)</w:t>
            </w:r>
          </w:p>
        </w:tc>
      </w:tr>
      <w:tr w:rsidR="007B219A" w:rsidRPr="003E349F" w14:paraId="6230B3BC" w14:textId="77777777" w:rsidTr="00A503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26" w:type="dxa"/>
            <w:gridSpan w:val="4"/>
            <w:tcBorders>
              <w:top w:val="nil"/>
              <w:bottom w:val="single" w:sz="4" w:space="0" w:color="auto"/>
            </w:tcBorders>
            <w:shd w:val="clear" w:color="auto" w:fill="D9E2F3" w:themeFill="accent1" w:themeFillTint="33"/>
          </w:tcPr>
          <w:p w14:paraId="16B2BE06" w14:textId="591CAD16" w:rsidR="007B219A" w:rsidRPr="003E349F" w:rsidRDefault="00C12A5A" w:rsidP="00A50304">
            <w:pPr>
              <w:jc w:val="both"/>
              <w:rPr>
                <w:color w:val="1C1D1E"/>
                <w:sz w:val="20"/>
                <w:szCs w:val="20"/>
              </w:rPr>
            </w:pPr>
            <w:r>
              <w:rPr>
                <w:color w:val="1C1D1E"/>
                <w:sz w:val="20"/>
                <w:szCs w:val="20"/>
              </w:rPr>
              <w:t>I</w:t>
            </w:r>
            <w:r w:rsidR="007B219A">
              <w:rPr>
                <w:color w:val="1C1D1E"/>
                <w:sz w:val="20"/>
                <w:szCs w:val="20"/>
              </w:rPr>
              <w:t>ntrapartum antibiotics mother received prior to neonates’ birth</w:t>
            </w:r>
          </w:p>
        </w:tc>
      </w:tr>
      <w:tr w:rsidR="007B219A" w:rsidRPr="003E349F" w14:paraId="2937903A" w14:textId="77777777" w:rsidTr="00A50304">
        <w:trPr>
          <w:jc w:val="center"/>
        </w:trPr>
        <w:tc>
          <w:tcPr>
            <w:cnfStyle w:val="001000000000" w:firstRow="0" w:lastRow="0" w:firstColumn="1" w:lastColumn="0" w:oddVBand="0" w:evenVBand="0" w:oddHBand="0" w:evenHBand="0" w:firstRowFirstColumn="0" w:firstRowLastColumn="0" w:lastRowFirstColumn="0" w:lastRowLastColumn="0"/>
            <w:tcW w:w="4111" w:type="dxa"/>
            <w:gridSpan w:val="2"/>
            <w:tcBorders>
              <w:top w:val="nil"/>
              <w:bottom w:val="nil"/>
            </w:tcBorders>
          </w:tcPr>
          <w:p w14:paraId="016C1F0C" w14:textId="77777777" w:rsidR="007B219A" w:rsidRPr="00501936" w:rsidRDefault="007B219A" w:rsidP="00A50304">
            <w:pPr>
              <w:jc w:val="both"/>
              <w:rPr>
                <w:b w:val="0"/>
                <w:bCs w:val="0"/>
                <w:color w:val="1C1D1E"/>
                <w:sz w:val="20"/>
                <w:szCs w:val="20"/>
              </w:rPr>
            </w:pPr>
            <w:r w:rsidRPr="00501936">
              <w:rPr>
                <w:b w:val="0"/>
                <w:bCs w:val="0"/>
                <w:color w:val="1C1D1E"/>
                <w:sz w:val="20"/>
                <w:szCs w:val="20"/>
              </w:rPr>
              <w:t>Broad spectrum &gt;4 hours prior to birth</w:t>
            </w:r>
          </w:p>
        </w:tc>
        <w:tc>
          <w:tcPr>
            <w:tcW w:w="4915" w:type="dxa"/>
            <w:gridSpan w:val="2"/>
            <w:tcBorders>
              <w:top w:val="nil"/>
              <w:bottom w:val="nil"/>
            </w:tcBorders>
          </w:tcPr>
          <w:p w14:paraId="2BEFCA7B" w14:textId="77777777" w:rsidR="007B219A" w:rsidRPr="003E349F" w:rsidRDefault="007B219A" w:rsidP="00A50304">
            <w:pPr>
              <w:jc w:val="both"/>
              <w:cnfStyle w:val="000000000000" w:firstRow="0" w:lastRow="0" w:firstColumn="0" w:lastColumn="0" w:oddVBand="0" w:evenVBand="0" w:oddHBand="0" w:evenHBand="0" w:firstRowFirstColumn="0" w:firstRowLastColumn="0" w:lastRowFirstColumn="0" w:lastRowLastColumn="0"/>
              <w:rPr>
                <w:color w:val="1C1D1E"/>
                <w:sz w:val="20"/>
                <w:szCs w:val="20"/>
              </w:rPr>
            </w:pPr>
            <w:r>
              <w:rPr>
                <w:color w:val="1C1D1E"/>
                <w:sz w:val="20"/>
                <w:szCs w:val="20"/>
              </w:rPr>
              <w:t>22 (18.8)</w:t>
            </w:r>
          </w:p>
        </w:tc>
      </w:tr>
      <w:tr w:rsidR="007B219A" w:rsidRPr="003E349F" w14:paraId="0F84C73B" w14:textId="77777777" w:rsidTr="00A503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gridSpan w:val="2"/>
            <w:tcBorders>
              <w:top w:val="nil"/>
              <w:bottom w:val="nil"/>
            </w:tcBorders>
          </w:tcPr>
          <w:p w14:paraId="53A4C13F" w14:textId="77777777" w:rsidR="007B219A" w:rsidRPr="00501936" w:rsidRDefault="007B219A" w:rsidP="00A50304">
            <w:pPr>
              <w:jc w:val="both"/>
              <w:rPr>
                <w:b w:val="0"/>
                <w:bCs w:val="0"/>
                <w:color w:val="1C1D1E"/>
                <w:sz w:val="20"/>
                <w:szCs w:val="20"/>
              </w:rPr>
            </w:pPr>
            <w:r w:rsidRPr="00501936">
              <w:rPr>
                <w:b w:val="0"/>
                <w:bCs w:val="0"/>
                <w:color w:val="1C1D1E"/>
                <w:sz w:val="20"/>
                <w:szCs w:val="20"/>
              </w:rPr>
              <w:t>Broad spectrum 2-3.9 hours prior to birth</w:t>
            </w:r>
          </w:p>
        </w:tc>
        <w:tc>
          <w:tcPr>
            <w:tcW w:w="4915" w:type="dxa"/>
            <w:gridSpan w:val="2"/>
            <w:tcBorders>
              <w:top w:val="nil"/>
              <w:bottom w:val="nil"/>
            </w:tcBorders>
          </w:tcPr>
          <w:p w14:paraId="72966A9C" w14:textId="77777777" w:rsidR="007B219A" w:rsidRPr="003E349F" w:rsidRDefault="007B219A" w:rsidP="00A50304">
            <w:pPr>
              <w:jc w:val="both"/>
              <w:cnfStyle w:val="000000100000" w:firstRow="0" w:lastRow="0" w:firstColumn="0" w:lastColumn="0" w:oddVBand="0" w:evenVBand="0" w:oddHBand="1" w:evenHBand="0" w:firstRowFirstColumn="0" w:firstRowLastColumn="0" w:lastRowFirstColumn="0" w:lastRowLastColumn="0"/>
              <w:rPr>
                <w:color w:val="1C1D1E"/>
                <w:sz w:val="20"/>
                <w:szCs w:val="20"/>
              </w:rPr>
            </w:pPr>
            <w:r>
              <w:rPr>
                <w:color w:val="1C1D1E"/>
                <w:sz w:val="20"/>
                <w:szCs w:val="20"/>
              </w:rPr>
              <w:t>19 (16.2)</w:t>
            </w:r>
          </w:p>
        </w:tc>
      </w:tr>
      <w:tr w:rsidR="007B219A" w:rsidRPr="003E349F" w14:paraId="0F31E317" w14:textId="77777777" w:rsidTr="00A50304">
        <w:trPr>
          <w:jc w:val="center"/>
        </w:trPr>
        <w:tc>
          <w:tcPr>
            <w:cnfStyle w:val="001000000000" w:firstRow="0" w:lastRow="0" w:firstColumn="1" w:lastColumn="0" w:oddVBand="0" w:evenVBand="0" w:oddHBand="0" w:evenHBand="0" w:firstRowFirstColumn="0" w:firstRowLastColumn="0" w:lastRowFirstColumn="0" w:lastRowLastColumn="0"/>
            <w:tcW w:w="4111" w:type="dxa"/>
            <w:gridSpan w:val="2"/>
            <w:tcBorders>
              <w:top w:val="nil"/>
              <w:bottom w:val="nil"/>
            </w:tcBorders>
          </w:tcPr>
          <w:p w14:paraId="73DBCCEA" w14:textId="77777777" w:rsidR="007B219A" w:rsidRPr="00501936" w:rsidRDefault="007B219A" w:rsidP="00A50304">
            <w:pPr>
              <w:jc w:val="both"/>
              <w:rPr>
                <w:b w:val="0"/>
                <w:bCs w:val="0"/>
                <w:color w:val="1C1D1E"/>
                <w:sz w:val="20"/>
                <w:szCs w:val="20"/>
              </w:rPr>
            </w:pPr>
            <w:r w:rsidRPr="00501936">
              <w:rPr>
                <w:b w:val="0"/>
                <w:bCs w:val="0"/>
                <w:color w:val="1C1D1E"/>
                <w:sz w:val="20"/>
                <w:szCs w:val="20"/>
              </w:rPr>
              <w:t>G</w:t>
            </w:r>
            <w:r>
              <w:rPr>
                <w:b w:val="0"/>
                <w:bCs w:val="0"/>
                <w:color w:val="1C1D1E"/>
                <w:sz w:val="20"/>
                <w:szCs w:val="20"/>
              </w:rPr>
              <w:t xml:space="preserve">BS </w:t>
            </w:r>
            <w:r w:rsidRPr="00501936">
              <w:rPr>
                <w:b w:val="0"/>
                <w:bCs w:val="0"/>
                <w:color w:val="1C1D1E"/>
                <w:sz w:val="20"/>
                <w:szCs w:val="20"/>
              </w:rPr>
              <w:t>specific &gt;2 hours prior to birth</w:t>
            </w:r>
          </w:p>
        </w:tc>
        <w:tc>
          <w:tcPr>
            <w:tcW w:w="4915" w:type="dxa"/>
            <w:gridSpan w:val="2"/>
            <w:tcBorders>
              <w:top w:val="nil"/>
              <w:bottom w:val="nil"/>
            </w:tcBorders>
          </w:tcPr>
          <w:p w14:paraId="52512CD6" w14:textId="77777777" w:rsidR="007B219A" w:rsidRPr="003E349F" w:rsidRDefault="007B219A" w:rsidP="00A50304">
            <w:pPr>
              <w:jc w:val="both"/>
              <w:cnfStyle w:val="000000000000" w:firstRow="0" w:lastRow="0" w:firstColumn="0" w:lastColumn="0" w:oddVBand="0" w:evenVBand="0" w:oddHBand="0" w:evenHBand="0" w:firstRowFirstColumn="0" w:firstRowLastColumn="0" w:lastRowFirstColumn="0" w:lastRowLastColumn="0"/>
              <w:rPr>
                <w:color w:val="1C1D1E"/>
                <w:sz w:val="20"/>
                <w:szCs w:val="20"/>
              </w:rPr>
            </w:pPr>
            <w:r>
              <w:rPr>
                <w:color w:val="1C1D1E"/>
                <w:sz w:val="20"/>
                <w:szCs w:val="20"/>
              </w:rPr>
              <w:t>6 (5.1)</w:t>
            </w:r>
          </w:p>
        </w:tc>
      </w:tr>
      <w:tr w:rsidR="007B219A" w:rsidRPr="003E349F" w14:paraId="34FF5D58" w14:textId="77777777" w:rsidTr="00A503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gridSpan w:val="2"/>
            <w:tcBorders>
              <w:top w:val="nil"/>
              <w:bottom w:val="single" w:sz="4" w:space="0" w:color="auto"/>
            </w:tcBorders>
          </w:tcPr>
          <w:p w14:paraId="07E19890" w14:textId="77777777" w:rsidR="007B219A" w:rsidRPr="00501936" w:rsidRDefault="007B219A" w:rsidP="00A50304">
            <w:pPr>
              <w:jc w:val="both"/>
              <w:rPr>
                <w:b w:val="0"/>
                <w:bCs w:val="0"/>
                <w:color w:val="1C1D1E"/>
                <w:sz w:val="20"/>
                <w:szCs w:val="20"/>
              </w:rPr>
            </w:pPr>
            <w:r w:rsidRPr="00501936">
              <w:rPr>
                <w:b w:val="0"/>
                <w:bCs w:val="0"/>
                <w:color w:val="1C1D1E"/>
                <w:sz w:val="20"/>
                <w:szCs w:val="20"/>
              </w:rPr>
              <w:t>None or any &lt;2 hours prior to birth</w:t>
            </w:r>
          </w:p>
        </w:tc>
        <w:tc>
          <w:tcPr>
            <w:tcW w:w="4915" w:type="dxa"/>
            <w:gridSpan w:val="2"/>
            <w:tcBorders>
              <w:top w:val="nil"/>
              <w:bottom w:val="single" w:sz="4" w:space="0" w:color="auto"/>
            </w:tcBorders>
          </w:tcPr>
          <w:p w14:paraId="74A6906B" w14:textId="77777777" w:rsidR="007B219A" w:rsidRPr="003E349F" w:rsidRDefault="007B219A" w:rsidP="00A50304">
            <w:pPr>
              <w:jc w:val="both"/>
              <w:cnfStyle w:val="000000100000" w:firstRow="0" w:lastRow="0" w:firstColumn="0" w:lastColumn="0" w:oddVBand="0" w:evenVBand="0" w:oddHBand="1" w:evenHBand="0" w:firstRowFirstColumn="0" w:firstRowLastColumn="0" w:lastRowFirstColumn="0" w:lastRowLastColumn="0"/>
              <w:rPr>
                <w:color w:val="1C1D1E"/>
                <w:sz w:val="20"/>
                <w:szCs w:val="20"/>
              </w:rPr>
            </w:pPr>
            <w:r>
              <w:rPr>
                <w:color w:val="1C1D1E"/>
                <w:sz w:val="20"/>
                <w:szCs w:val="20"/>
              </w:rPr>
              <w:t>70 (59.9)</w:t>
            </w:r>
          </w:p>
        </w:tc>
      </w:tr>
      <w:tr w:rsidR="007B219A" w:rsidRPr="003E349F" w14:paraId="6767AC87" w14:textId="77777777" w:rsidTr="00A50304">
        <w:trPr>
          <w:jc w:val="center"/>
        </w:trPr>
        <w:tc>
          <w:tcPr>
            <w:cnfStyle w:val="001000000000" w:firstRow="0" w:lastRow="0" w:firstColumn="1" w:lastColumn="0" w:oddVBand="0" w:evenVBand="0" w:oddHBand="0" w:evenHBand="0" w:firstRowFirstColumn="0" w:firstRowLastColumn="0" w:lastRowFirstColumn="0" w:lastRowLastColumn="0"/>
            <w:tcW w:w="4111" w:type="dxa"/>
            <w:gridSpan w:val="2"/>
            <w:tcBorders>
              <w:top w:val="single" w:sz="4" w:space="0" w:color="auto"/>
              <w:bottom w:val="single" w:sz="4" w:space="0" w:color="auto"/>
            </w:tcBorders>
            <w:shd w:val="clear" w:color="auto" w:fill="D9E2F3" w:themeFill="accent1" w:themeFillTint="33"/>
          </w:tcPr>
          <w:p w14:paraId="43ACD834" w14:textId="49554256" w:rsidR="007B219A" w:rsidRPr="003E349F" w:rsidRDefault="00C12A5A" w:rsidP="00A50304">
            <w:pPr>
              <w:jc w:val="both"/>
              <w:rPr>
                <w:color w:val="1C1D1E"/>
                <w:sz w:val="20"/>
                <w:szCs w:val="20"/>
              </w:rPr>
            </w:pPr>
            <w:r>
              <w:rPr>
                <w:color w:val="1C1D1E"/>
                <w:sz w:val="20"/>
                <w:szCs w:val="20"/>
              </w:rPr>
              <w:t>Birth location</w:t>
            </w:r>
            <w:r w:rsidR="007B219A" w:rsidRPr="003E349F">
              <w:rPr>
                <w:color w:val="1C1D1E"/>
                <w:sz w:val="20"/>
                <w:szCs w:val="20"/>
              </w:rPr>
              <w:t xml:space="preserve">: </w:t>
            </w:r>
          </w:p>
        </w:tc>
        <w:tc>
          <w:tcPr>
            <w:tcW w:w="4915" w:type="dxa"/>
            <w:gridSpan w:val="2"/>
            <w:tcBorders>
              <w:top w:val="single" w:sz="4" w:space="0" w:color="auto"/>
              <w:bottom w:val="single" w:sz="4" w:space="0" w:color="auto"/>
            </w:tcBorders>
            <w:shd w:val="clear" w:color="auto" w:fill="D9E2F3" w:themeFill="accent1" w:themeFillTint="33"/>
          </w:tcPr>
          <w:p w14:paraId="58EF178F" w14:textId="77777777" w:rsidR="007B219A" w:rsidRPr="003E349F" w:rsidRDefault="007B219A" w:rsidP="00A50304">
            <w:pPr>
              <w:jc w:val="both"/>
              <w:cnfStyle w:val="000000000000" w:firstRow="0" w:lastRow="0" w:firstColumn="0" w:lastColumn="0" w:oddVBand="0" w:evenVBand="0" w:oddHBand="0" w:evenHBand="0" w:firstRowFirstColumn="0" w:firstRowLastColumn="0" w:lastRowFirstColumn="0" w:lastRowLastColumn="0"/>
              <w:rPr>
                <w:color w:val="1C1D1E"/>
                <w:sz w:val="20"/>
                <w:szCs w:val="20"/>
              </w:rPr>
            </w:pPr>
          </w:p>
        </w:tc>
      </w:tr>
      <w:tr w:rsidR="007B219A" w:rsidRPr="003E349F" w14:paraId="239FF3E8" w14:textId="77777777" w:rsidTr="00A503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gridSpan w:val="2"/>
            <w:tcBorders>
              <w:top w:val="single" w:sz="4" w:space="0" w:color="auto"/>
              <w:bottom w:val="nil"/>
            </w:tcBorders>
          </w:tcPr>
          <w:p w14:paraId="0F52A03F" w14:textId="77777777" w:rsidR="007B219A" w:rsidRPr="003E349F" w:rsidRDefault="007B219A" w:rsidP="00A50304">
            <w:pPr>
              <w:jc w:val="both"/>
              <w:rPr>
                <w:color w:val="1C1D1E"/>
                <w:sz w:val="20"/>
                <w:szCs w:val="20"/>
              </w:rPr>
            </w:pPr>
            <w:r w:rsidRPr="003E349F">
              <w:rPr>
                <w:b w:val="0"/>
                <w:bCs w:val="0"/>
                <w:color w:val="1C1D1E"/>
                <w:sz w:val="20"/>
                <w:szCs w:val="20"/>
              </w:rPr>
              <w:t xml:space="preserve">Obstetric theatre             </w:t>
            </w:r>
          </w:p>
        </w:tc>
        <w:tc>
          <w:tcPr>
            <w:tcW w:w="4915" w:type="dxa"/>
            <w:gridSpan w:val="2"/>
            <w:tcBorders>
              <w:top w:val="single" w:sz="4" w:space="0" w:color="auto"/>
              <w:bottom w:val="nil"/>
            </w:tcBorders>
          </w:tcPr>
          <w:p w14:paraId="6FDA4542" w14:textId="77777777" w:rsidR="007B219A" w:rsidRPr="003E349F" w:rsidRDefault="007B219A" w:rsidP="00A50304">
            <w:pPr>
              <w:jc w:val="both"/>
              <w:cnfStyle w:val="000000100000" w:firstRow="0" w:lastRow="0" w:firstColumn="0" w:lastColumn="0" w:oddVBand="0" w:evenVBand="0" w:oddHBand="1" w:evenHBand="0" w:firstRowFirstColumn="0" w:firstRowLastColumn="0" w:lastRowFirstColumn="0" w:lastRowLastColumn="0"/>
              <w:rPr>
                <w:color w:val="1C1D1E"/>
                <w:sz w:val="20"/>
                <w:szCs w:val="20"/>
              </w:rPr>
            </w:pPr>
            <w:r w:rsidRPr="003E349F">
              <w:rPr>
                <w:color w:val="1C1D1E"/>
                <w:sz w:val="20"/>
                <w:szCs w:val="20"/>
              </w:rPr>
              <w:t>58 (49.6)</w:t>
            </w:r>
          </w:p>
        </w:tc>
      </w:tr>
      <w:tr w:rsidR="007B219A" w:rsidRPr="003E349F" w14:paraId="613E75D5" w14:textId="77777777" w:rsidTr="00A50304">
        <w:trPr>
          <w:jc w:val="center"/>
        </w:trPr>
        <w:tc>
          <w:tcPr>
            <w:cnfStyle w:val="001000000000" w:firstRow="0" w:lastRow="0" w:firstColumn="1" w:lastColumn="0" w:oddVBand="0" w:evenVBand="0" w:oddHBand="0" w:evenHBand="0" w:firstRowFirstColumn="0" w:firstRowLastColumn="0" w:lastRowFirstColumn="0" w:lastRowLastColumn="0"/>
            <w:tcW w:w="4111" w:type="dxa"/>
            <w:gridSpan w:val="2"/>
            <w:tcBorders>
              <w:top w:val="nil"/>
              <w:bottom w:val="nil"/>
            </w:tcBorders>
          </w:tcPr>
          <w:p w14:paraId="4A5CD9BB" w14:textId="77777777" w:rsidR="007B219A" w:rsidRPr="003E349F" w:rsidRDefault="007B219A" w:rsidP="00A50304">
            <w:pPr>
              <w:jc w:val="both"/>
              <w:rPr>
                <w:color w:val="1C1D1E"/>
                <w:sz w:val="20"/>
                <w:szCs w:val="20"/>
              </w:rPr>
            </w:pPr>
            <w:r w:rsidRPr="003E349F">
              <w:rPr>
                <w:b w:val="0"/>
                <w:bCs w:val="0"/>
                <w:color w:val="1C1D1E"/>
                <w:sz w:val="20"/>
                <w:szCs w:val="20"/>
              </w:rPr>
              <w:t xml:space="preserve">Obstetric led delivery suite       </w:t>
            </w:r>
          </w:p>
        </w:tc>
        <w:tc>
          <w:tcPr>
            <w:tcW w:w="4915" w:type="dxa"/>
            <w:gridSpan w:val="2"/>
            <w:tcBorders>
              <w:top w:val="nil"/>
              <w:bottom w:val="nil"/>
            </w:tcBorders>
          </w:tcPr>
          <w:p w14:paraId="6719BB97" w14:textId="77777777" w:rsidR="007B219A" w:rsidRPr="003E349F" w:rsidRDefault="007B219A" w:rsidP="00A50304">
            <w:pPr>
              <w:jc w:val="both"/>
              <w:cnfStyle w:val="000000000000" w:firstRow="0" w:lastRow="0" w:firstColumn="0" w:lastColumn="0" w:oddVBand="0" w:evenVBand="0" w:oddHBand="0" w:evenHBand="0" w:firstRowFirstColumn="0" w:firstRowLastColumn="0" w:lastRowFirstColumn="0" w:lastRowLastColumn="0"/>
              <w:rPr>
                <w:color w:val="1C1D1E"/>
                <w:sz w:val="20"/>
                <w:szCs w:val="20"/>
              </w:rPr>
            </w:pPr>
            <w:r w:rsidRPr="003E349F">
              <w:rPr>
                <w:color w:val="1C1D1E"/>
                <w:sz w:val="20"/>
                <w:szCs w:val="20"/>
              </w:rPr>
              <w:t>56 (47.8)</w:t>
            </w:r>
          </w:p>
        </w:tc>
      </w:tr>
      <w:tr w:rsidR="007B219A" w:rsidRPr="003E349F" w14:paraId="0AF91CEE" w14:textId="77777777" w:rsidTr="00A503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gridSpan w:val="2"/>
            <w:tcBorders>
              <w:top w:val="nil"/>
              <w:bottom w:val="single" w:sz="4" w:space="0" w:color="auto"/>
            </w:tcBorders>
          </w:tcPr>
          <w:p w14:paraId="343B4E63" w14:textId="77777777" w:rsidR="007B219A" w:rsidRPr="003E349F" w:rsidRDefault="007B219A" w:rsidP="00A50304">
            <w:pPr>
              <w:jc w:val="both"/>
              <w:rPr>
                <w:color w:val="1C1D1E"/>
                <w:sz w:val="20"/>
                <w:szCs w:val="20"/>
              </w:rPr>
            </w:pPr>
            <w:r w:rsidRPr="003E349F">
              <w:rPr>
                <w:b w:val="0"/>
                <w:bCs w:val="0"/>
                <w:color w:val="1C1D1E"/>
                <w:sz w:val="20"/>
                <w:szCs w:val="20"/>
              </w:rPr>
              <w:t xml:space="preserve">Midwifery led unit           </w:t>
            </w:r>
          </w:p>
        </w:tc>
        <w:tc>
          <w:tcPr>
            <w:tcW w:w="4915" w:type="dxa"/>
            <w:gridSpan w:val="2"/>
            <w:tcBorders>
              <w:top w:val="nil"/>
              <w:bottom w:val="single" w:sz="4" w:space="0" w:color="auto"/>
            </w:tcBorders>
          </w:tcPr>
          <w:p w14:paraId="623AF5EB" w14:textId="77777777" w:rsidR="007B219A" w:rsidRPr="003E349F" w:rsidRDefault="007B219A" w:rsidP="00A50304">
            <w:pPr>
              <w:jc w:val="both"/>
              <w:cnfStyle w:val="000000100000" w:firstRow="0" w:lastRow="0" w:firstColumn="0" w:lastColumn="0" w:oddVBand="0" w:evenVBand="0" w:oddHBand="1" w:evenHBand="0" w:firstRowFirstColumn="0" w:firstRowLastColumn="0" w:lastRowFirstColumn="0" w:lastRowLastColumn="0"/>
              <w:rPr>
                <w:color w:val="1C1D1E"/>
                <w:sz w:val="20"/>
                <w:szCs w:val="20"/>
              </w:rPr>
            </w:pPr>
            <w:r w:rsidRPr="003E349F">
              <w:rPr>
                <w:color w:val="1C1D1E"/>
                <w:sz w:val="20"/>
                <w:szCs w:val="20"/>
              </w:rPr>
              <w:t>3 (2.6)</w:t>
            </w:r>
          </w:p>
        </w:tc>
      </w:tr>
      <w:tr w:rsidR="007B219A" w:rsidRPr="003E349F" w14:paraId="056793A8" w14:textId="77777777" w:rsidTr="00A50304">
        <w:trPr>
          <w:jc w:val="center"/>
        </w:trPr>
        <w:tc>
          <w:tcPr>
            <w:cnfStyle w:val="001000000000" w:firstRow="0" w:lastRow="0" w:firstColumn="1" w:lastColumn="0" w:oddVBand="0" w:evenVBand="0" w:oddHBand="0" w:evenHBand="0" w:firstRowFirstColumn="0" w:firstRowLastColumn="0" w:lastRowFirstColumn="0" w:lastRowLastColumn="0"/>
            <w:tcW w:w="4111" w:type="dxa"/>
            <w:gridSpan w:val="2"/>
            <w:tcBorders>
              <w:top w:val="single" w:sz="4" w:space="0" w:color="auto"/>
              <w:bottom w:val="single" w:sz="4" w:space="0" w:color="auto"/>
            </w:tcBorders>
            <w:shd w:val="clear" w:color="auto" w:fill="D9E2F3" w:themeFill="accent1" w:themeFillTint="33"/>
          </w:tcPr>
          <w:p w14:paraId="11D780CC" w14:textId="77777777" w:rsidR="007B219A" w:rsidRPr="003E349F" w:rsidRDefault="007B219A" w:rsidP="00A50304">
            <w:pPr>
              <w:jc w:val="both"/>
              <w:rPr>
                <w:color w:val="1C1D1E"/>
                <w:sz w:val="20"/>
                <w:szCs w:val="20"/>
              </w:rPr>
            </w:pPr>
            <w:r w:rsidRPr="003E349F">
              <w:rPr>
                <w:color w:val="1C1D1E"/>
                <w:sz w:val="20"/>
                <w:szCs w:val="20"/>
              </w:rPr>
              <w:t>Mode of delivery:</w:t>
            </w:r>
          </w:p>
        </w:tc>
        <w:tc>
          <w:tcPr>
            <w:tcW w:w="4915" w:type="dxa"/>
            <w:gridSpan w:val="2"/>
            <w:tcBorders>
              <w:top w:val="single" w:sz="4" w:space="0" w:color="auto"/>
              <w:bottom w:val="single" w:sz="4" w:space="0" w:color="auto"/>
            </w:tcBorders>
            <w:shd w:val="clear" w:color="auto" w:fill="D9E2F3" w:themeFill="accent1" w:themeFillTint="33"/>
          </w:tcPr>
          <w:p w14:paraId="1374DDA4" w14:textId="77777777" w:rsidR="007B219A" w:rsidRPr="003E349F" w:rsidRDefault="007B219A" w:rsidP="00A50304">
            <w:pPr>
              <w:jc w:val="both"/>
              <w:cnfStyle w:val="000000000000" w:firstRow="0" w:lastRow="0" w:firstColumn="0" w:lastColumn="0" w:oddVBand="0" w:evenVBand="0" w:oddHBand="0" w:evenHBand="0" w:firstRowFirstColumn="0" w:firstRowLastColumn="0" w:lastRowFirstColumn="0" w:lastRowLastColumn="0"/>
              <w:rPr>
                <w:color w:val="1C1D1E"/>
                <w:sz w:val="20"/>
                <w:szCs w:val="20"/>
              </w:rPr>
            </w:pPr>
          </w:p>
        </w:tc>
      </w:tr>
      <w:tr w:rsidR="007B219A" w:rsidRPr="003E349F" w14:paraId="5B9705AE" w14:textId="77777777" w:rsidTr="00A503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gridSpan w:val="2"/>
            <w:tcBorders>
              <w:top w:val="single" w:sz="4" w:space="0" w:color="auto"/>
              <w:bottom w:val="nil"/>
            </w:tcBorders>
          </w:tcPr>
          <w:p w14:paraId="7198348C" w14:textId="77777777" w:rsidR="007B219A" w:rsidRPr="003E349F" w:rsidRDefault="007B219A" w:rsidP="00A50304">
            <w:pPr>
              <w:jc w:val="both"/>
              <w:rPr>
                <w:color w:val="1C1D1E"/>
                <w:sz w:val="20"/>
                <w:szCs w:val="20"/>
              </w:rPr>
            </w:pPr>
            <w:r w:rsidRPr="003E349F">
              <w:rPr>
                <w:b w:val="0"/>
                <w:bCs w:val="0"/>
                <w:color w:val="1C1D1E"/>
                <w:sz w:val="20"/>
                <w:szCs w:val="20"/>
              </w:rPr>
              <w:t xml:space="preserve">Normal Vaginal delivery             </w:t>
            </w:r>
          </w:p>
        </w:tc>
        <w:tc>
          <w:tcPr>
            <w:tcW w:w="4915" w:type="dxa"/>
            <w:gridSpan w:val="2"/>
            <w:tcBorders>
              <w:top w:val="single" w:sz="4" w:space="0" w:color="auto"/>
              <w:bottom w:val="nil"/>
            </w:tcBorders>
          </w:tcPr>
          <w:p w14:paraId="7724D89D" w14:textId="77777777" w:rsidR="007B219A" w:rsidRPr="003E349F" w:rsidRDefault="007B219A" w:rsidP="00A50304">
            <w:pPr>
              <w:jc w:val="both"/>
              <w:cnfStyle w:val="000000100000" w:firstRow="0" w:lastRow="0" w:firstColumn="0" w:lastColumn="0" w:oddVBand="0" w:evenVBand="0" w:oddHBand="1" w:evenHBand="0" w:firstRowFirstColumn="0" w:firstRowLastColumn="0" w:lastRowFirstColumn="0" w:lastRowLastColumn="0"/>
              <w:rPr>
                <w:color w:val="1C1D1E"/>
                <w:sz w:val="20"/>
                <w:szCs w:val="20"/>
              </w:rPr>
            </w:pPr>
            <w:r w:rsidRPr="003E349F">
              <w:rPr>
                <w:color w:val="1C1D1E"/>
                <w:sz w:val="20"/>
                <w:szCs w:val="20"/>
              </w:rPr>
              <w:t>26 (22.2)</w:t>
            </w:r>
          </w:p>
        </w:tc>
      </w:tr>
      <w:tr w:rsidR="007B219A" w:rsidRPr="003E349F" w14:paraId="5CB83B1E" w14:textId="77777777" w:rsidTr="00A50304">
        <w:trPr>
          <w:jc w:val="center"/>
        </w:trPr>
        <w:tc>
          <w:tcPr>
            <w:cnfStyle w:val="001000000000" w:firstRow="0" w:lastRow="0" w:firstColumn="1" w:lastColumn="0" w:oddVBand="0" w:evenVBand="0" w:oddHBand="0" w:evenHBand="0" w:firstRowFirstColumn="0" w:firstRowLastColumn="0" w:lastRowFirstColumn="0" w:lastRowLastColumn="0"/>
            <w:tcW w:w="4111" w:type="dxa"/>
            <w:gridSpan w:val="2"/>
            <w:tcBorders>
              <w:top w:val="nil"/>
              <w:bottom w:val="nil"/>
            </w:tcBorders>
          </w:tcPr>
          <w:p w14:paraId="4BC1CDC9" w14:textId="77777777" w:rsidR="007B219A" w:rsidRPr="003E349F" w:rsidRDefault="007B219A" w:rsidP="00A50304">
            <w:pPr>
              <w:jc w:val="both"/>
              <w:rPr>
                <w:color w:val="1C1D1E"/>
                <w:sz w:val="20"/>
                <w:szCs w:val="20"/>
              </w:rPr>
            </w:pPr>
            <w:r w:rsidRPr="003E349F">
              <w:rPr>
                <w:b w:val="0"/>
                <w:bCs w:val="0"/>
                <w:color w:val="1C1D1E"/>
                <w:sz w:val="20"/>
                <w:szCs w:val="20"/>
              </w:rPr>
              <w:t xml:space="preserve">Ventouse assisted delivery </w:t>
            </w:r>
          </w:p>
        </w:tc>
        <w:tc>
          <w:tcPr>
            <w:tcW w:w="4915" w:type="dxa"/>
            <w:gridSpan w:val="2"/>
            <w:tcBorders>
              <w:top w:val="nil"/>
              <w:bottom w:val="nil"/>
            </w:tcBorders>
          </w:tcPr>
          <w:p w14:paraId="65006F3C" w14:textId="77777777" w:rsidR="007B219A" w:rsidRPr="003E349F" w:rsidRDefault="007B219A" w:rsidP="00A50304">
            <w:pPr>
              <w:jc w:val="both"/>
              <w:cnfStyle w:val="000000000000" w:firstRow="0" w:lastRow="0" w:firstColumn="0" w:lastColumn="0" w:oddVBand="0" w:evenVBand="0" w:oddHBand="0" w:evenHBand="0" w:firstRowFirstColumn="0" w:firstRowLastColumn="0" w:lastRowFirstColumn="0" w:lastRowLastColumn="0"/>
              <w:rPr>
                <w:color w:val="1C1D1E"/>
                <w:sz w:val="20"/>
                <w:szCs w:val="20"/>
              </w:rPr>
            </w:pPr>
            <w:r w:rsidRPr="003E349F">
              <w:rPr>
                <w:color w:val="1C1D1E"/>
                <w:sz w:val="20"/>
                <w:szCs w:val="20"/>
              </w:rPr>
              <w:t>10 (8.5)</w:t>
            </w:r>
          </w:p>
        </w:tc>
      </w:tr>
      <w:tr w:rsidR="007B219A" w:rsidRPr="003E349F" w14:paraId="25035565" w14:textId="77777777" w:rsidTr="00A503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gridSpan w:val="2"/>
            <w:tcBorders>
              <w:top w:val="nil"/>
              <w:bottom w:val="nil"/>
            </w:tcBorders>
          </w:tcPr>
          <w:p w14:paraId="22C0E470" w14:textId="77777777" w:rsidR="007B219A" w:rsidRPr="003E349F" w:rsidRDefault="007B219A" w:rsidP="00A50304">
            <w:pPr>
              <w:jc w:val="both"/>
              <w:rPr>
                <w:color w:val="1C1D1E"/>
                <w:sz w:val="20"/>
                <w:szCs w:val="20"/>
              </w:rPr>
            </w:pPr>
            <w:r w:rsidRPr="003E349F">
              <w:rPr>
                <w:b w:val="0"/>
                <w:bCs w:val="0"/>
                <w:color w:val="1C1D1E"/>
                <w:sz w:val="20"/>
                <w:szCs w:val="20"/>
              </w:rPr>
              <w:t>Forcep assisted delivery</w:t>
            </w:r>
          </w:p>
        </w:tc>
        <w:tc>
          <w:tcPr>
            <w:tcW w:w="4915" w:type="dxa"/>
            <w:gridSpan w:val="2"/>
            <w:tcBorders>
              <w:top w:val="nil"/>
              <w:bottom w:val="nil"/>
            </w:tcBorders>
          </w:tcPr>
          <w:p w14:paraId="5D085DCC" w14:textId="77777777" w:rsidR="007B219A" w:rsidRPr="003E349F" w:rsidRDefault="007B219A" w:rsidP="00A50304">
            <w:pPr>
              <w:jc w:val="both"/>
              <w:cnfStyle w:val="000000100000" w:firstRow="0" w:lastRow="0" w:firstColumn="0" w:lastColumn="0" w:oddVBand="0" w:evenVBand="0" w:oddHBand="1" w:evenHBand="0" w:firstRowFirstColumn="0" w:firstRowLastColumn="0" w:lastRowFirstColumn="0" w:lastRowLastColumn="0"/>
              <w:rPr>
                <w:color w:val="1C1D1E"/>
                <w:sz w:val="20"/>
                <w:szCs w:val="20"/>
              </w:rPr>
            </w:pPr>
            <w:r w:rsidRPr="003E349F">
              <w:rPr>
                <w:color w:val="1C1D1E"/>
                <w:sz w:val="20"/>
                <w:szCs w:val="20"/>
              </w:rPr>
              <w:t>41 (35.1)</w:t>
            </w:r>
          </w:p>
        </w:tc>
      </w:tr>
      <w:tr w:rsidR="007B219A" w:rsidRPr="003E349F" w14:paraId="2CF7C425" w14:textId="77777777" w:rsidTr="00A50304">
        <w:trPr>
          <w:jc w:val="center"/>
        </w:trPr>
        <w:tc>
          <w:tcPr>
            <w:cnfStyle w:val="001000000000" w:firstRow="0" w:lastRow="0" w:firstColumn="1" w:lastColumn="0" w:oddVBand="0" w:evenVBand="0" w:oddHBand="0" w:evenHBand="0" w:firstRowFirstColumn="0" w:firstRowLastColumn="0" w:lastRowFirstColumn="0" w:lastRowLastColumn="0"/>
            <w:tcW w:w="4111" w:type="dxa"/>
            <w:gridSpan w:val="2"/>
            <w:tcBorders>
              <w:top w:val="nil"/>
              <w:bottom w:val="single" w:sz="4" w:space="0" w:color="auto"/>
            </w:tcBorders>
          </w:tcPr>
          <w:p w14:paraId="0BEFC7F4" w14:textId="77777777" w:rsidR="007B219A" w:rsidRPr="003E349F" w:rsidRDefault="007B219A" w:rsidP="00A50304">
            <w:pPr>
              <w:jc w:val="both"/>
              <w:rPr>
                <w:color w:val="1C1D1E"/>
                <w:sz w:val="20"/>
                <w:szCs w:val="20"/>
              </w:rPr>
            </w:pPr>
            <w:r w:rsidRPr="003E349F">
              <w:rPr>
                <w:b w:val="0"/>
                <w:bCs w:val="0"/>
                <w:color w:val="1C1D1E"/>
                <w:sz w:val="20"/>
                <w:szCs w:val="20"/>
              </w:rPr>
              <w:t xml:space="preserve">Emergency Caesarean section </w:t>
            </w:r>
          </w:p>
        </w:tc>
        <w:tc>
          <w:tcPr>
            <w:tcW w:w="4915" w:type="dxa"/>
            <w:gridSpan w:val="2"/>
            <w:tcBorders>
              <w:top w:val="nil"/>
              <w:bottom w:val="single" w:sz="4" w:space="0" w:color="auto"/>
            </w:tcBorders>
          </w:tcPr>
          <w:p w14:paraId="08D6A154" w14:textId="77777777" w:rsidR="007B219A" w:rsidRPr="003E349F" w:rsidRDefault="007B219A" w:rsidP="00A50304">
            <w:pPr>
              <w:jc w:val="both"/>
              <w:cnfStyle w:val="000000000000" w:firstRow="0" w:lastRow="0" w:firstColumn="0" w:lastColumn="0" w:oddVBand="0" w:evenVBand="0" w:oddHBand="0" w:evenHBand="0" w:firstRowFirstColumn="0" w:firstRowLastColumn="0" w:lastRowFirstColumn="0" w:lastRowLastColumn="0"/>
              <w:rPr>
                <w:color w:val="1C1D1E"/>
                <w:sz w:val="20"/>
                <w:szCs w:val="20"/>
              </w:rPr>
            </w:pPr>
            <w:r w:rsidRPr="003E349F">
              <w:rPr>
                <w:color w:val="1C1D1E"/>
                <w:sz w:val="20"/>
                <w:szCs w:val="20"/>
              </w:rPr>
              <w:t>40 (34.2)</w:t>
            </w:r>
          </w:p>
        </w:tc>
      </w:tr>
      <w:tr w:rsidR="007B219A" w:rsidRPr="003E349F" w14:paraId="3880A6DB" w14:textId="77777777" w:rsidTr="00A503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gridSpan w:val="2"/>
            <w:tcBorders>
              <w:top w:val="single" w:sz="4" w:space="0" w:color="auto"/>
              <w:bottom w:val="single" w:sz="4" w:space="0" w:color="auto"/>
            </w:tcBorders>
            <w:shd w:val="clear" w:color="auto" w:fill="D9E2F3" w:themeFill="accent1" w:themeFillTint="33"/>
          </w:tcPr>
          <w:p w14:paraId="382C94DC" w14:textId="4065E7FD" w:rsidR="007B219A" w:rsidRPr="003E349F" w:rsidRDefault="007B219A" w:rsidP="00A50304">
            <w:pPr>
              <w:jc w:val="both"/>
              <w:rPr>
                <w:color w:val="1C1D1E"/>
                <w:sz w:val="20"/>
                <w:szCs w:val="20"/>
              </w:rPr>
            </w:pPr>
            <w:r w:rsidRPr="003E349F">
              <w:rPr>
                <w:color w:val="1C1D1E"/>
                <w:sz w:val="20"/>
                <w:szCs w:val="20"/>
              </w:rPr>
              <w:t>Other:</w:t>
            </w:r>
          </w:p>
        </w:tc>
        <w:tc>
          <w:tcPr>
            <w:tcW w:w="4915" w:type="dxa"/>
            <w:gridSpan w:val="2"/>
            <w:tcBorders>
              <w:top w:val="single" w:sz="4" w:space="0" w:color="auto"/>
              <w:bottom w:val="single" w:sz="4" w:space="0" w:color="auto"/>
            </w:tcBorders>
            <w:shd w:val="clear" w:color="auto" w:fill="D9E2F3" w:themeFill="accent1" w:themeFillTint="33"/>
          </w:tcPr>
          <w:p w14:paraId="21579876" w14:textId="77777777" w:rsidR="007B219A" w:rsidRPr="003E349F" w:rsidRDefault="007B219A" w:rsidP="00A50304">
            <w:pPr>
              <w:jc w:val="both"/>
              <w:cnfStyle w:val="000000100000" w:firstRow="0" w:lastRow="0" w:firstColumn="0" w:lastColumn="0" w:oddVBand="0" w:evenVBand="0" w:oddHBand="1" w:evenHBand="0" w:firstRowFirstColumn="0" w:firstRowLastColumn="0" w:lastRowFirstColumn="0" w:lastRowLastColumn="0"/>
              <w:rPr>
                <w:color w:val="1C1D1E"/>
                <w:sz w:val="20"/>
                <w:szCs w:val="20"/>
              </w:rPr>
            </w:pPr>
          </w:p>
        </w:tc>
      </w:tr>
      <w:tr w:rsidR="007B219A" w:rsidRPr="003E349F" w14:paraId="6695512E" w14:textId="77777777" w:rsidTr="00A50304">
        <w:trPr>
          <w:jc w:val="center"/>
        </w:trPr>
        <w:tc>
          <w:tcPr>
            <w:cnfStyle w:val="001000000000" w:firstRow="0" w:lastRow="0" w:firstColumn="1" w:lastColumn="0" w:oddVBand="0" w:evenVBand="0" w:oddHBand="0" w:evenHBand="0" w:firstRowFirstColumn="0" w:firstRowLastColumn="0" w:lastRowFirstColumn="0" w:lastRowLastColumn="0"/>
            <w:tcW w:w="4111" w:type="dxa"/>
            <w:gridSpan w:val="2"/>
            <w:tcBorders>
              <w:top w:val="single" w:sz="4" w:space="0" w:color="auto"/>
              <w:bottom w:val="nil"/>
            </w:tcBorders>
          </w:tcPr>
          <w:p w14:paraId="3A8DFE0B" w14:textId="77777777" w:rsidR="007B219A" w:rsidRPr="003E349F" w:rsidRDefault="007B219A" w:rsidP="00A50304">
            <w:pPr>
              <w:jc w:val="both"/>
              <w:rPr>
                <w:b w:val="0"/>
                <w:bCs w:val="0"/>
                <w:color w:val="1C1D1E"/>
                <w:sz w:val="20"/>
                <w:szCs w:val="20"/>
              </w:rPr>
            </w:pPr>
            <w:r w:rsidRPr="003E349F">
              <w:rPr>
                <w:b w:val="0"/>
                <w:bCs w:val="0"/>
                <w:color w:val="1C1D1E"/>
                <w:sz w:val="20"/>
                <w:szCs w:val="20"/>
              </w:rPr>
              <w:t xml:space="preserve">Meconium </w:t>
            </w:r>
          </w:p>
        </w:tc>
        <w:tc>
          <w:tcPr>
            <w:tcW w:w="4915" w:type="dxa"/>
            <w:gridSpan w:val="2"/>
            <w:tcBorders>
              <w:top w:val="single" w:sz="4" w:space="0" w:color="auto"/>
              <w:bottom w:val="nil"/>
            </w:tcBorders>
          </w:tcPr>
          <w:p w14:paraId="7457C7B5" w14:textId="77777777" w:rsidR="007B219A" w:rsidRPr="003E349F" w:rsidRDefault="007B219A" w:rsidP="00A50304">
            <w:pPr>
              <w:jc w:val="both"/>
              <w:cnfStyle w:val="000000000000" w:firstRow="0" w:lastRow="0" w:firstColumn="0" w:lastColumn="0" w:oddVBand="0" w:evenVBand="0" w:oddHBand="0" w:evenHBand="0" w:firstRowFirstColumn="0" w:firstRowLastColumn="0" w:lastRowFirstColumn="0" w:lastRowLastColumn="0"/>
              <w:rPr>
                <w:color w:val="1C1D1E"/>
                <w:sz w:val="20"/>
                <w:szCs w:val="20"/>
              </w:rPr>
            </w:pPr>
            <w:r w:rsidRPr="003E349F">
              <w:rPr>
                <w:color w:val="1C1D1E"/>
                <w:sz w:val="20"/>
                <w:szCs w:val="20"/>
              </w:rPr>
              <w:t>29 (24.8)</w:t>
            </w:r>
          </w:p>
        </w:tc>
      </w:tr>
      <w:tr w:rsidR="007B219A" w:rsidRPr="003E349F" w14:paraId="36515E86" w14:textId="77777777" w:rsidTr="00A503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gridSpan w:val="2"/>
            <w:tcBorders>
              <w:top w:val="nil"/>
              <w:bottom w:val="nil"/>
            </w:tcBorders>
          </w:tcPr>
          <w:p w14:paraId="0958373E" w14:textId="77777777" w:rsidR="007B219A" w:rsidRPr="003E349F" w:rsidRDefault="007B219A" w:rsidP="00A50304">
            <w:pPr>
              <w:jc w:val="both"/>
              <w:rPr>
                <w:b w:val="0"/>
                <w:bCs w:val="0"/>
                <w:color w:val="1C1D1E"/>
                <w:sz w:val="20"/>
                <w:szCs w:val="20"/>
              </w:rPr>
            </w:pPr>
            <w:r w:rsidRPr="003E349F">
              <w:rPr>
                <w:b w:val="0"/>
                <w:bCs w:val="0"/>
                <w:color w:val="1C1D1E"/>
                <w:sz w:val="20"/>
                <w:szCs w:val="20"/>
              </w:rPr>
              <w:t xml:space="preserve">Fetal Tachycardia prior to delivery </w:t>
            </w:r>
          </w:p>
        </w:tc>
        <w:tc>
          <w:tcPr>
            <w:tcW w:w="4915" w:type="dxa"/>
            <w:gridSpan w:val="2"/>
            <w:tcBorders>
              <w:top w:val="nil"/>
              <w:bottom w:val="nil"/>
            </w:tcBorders>
          </w:tcPr>
          <w:p w14:paraId="184BFDB9" w14:textId="77777777" w:rsidR="007B219A" w:rsidRPr="003E349F" w:rsidRDefault="007B219A" w:rsidP="00A50304">
            <w:pPr>
              <w:jc w:val="both"/>
              <w:cnfStyle w:val="000000100000" w:firstRow="0" w:lastRow="0" w:firstColumn="0" w:lastColumn="0" w:oddVBand="0" w:evenVBand="0" w:oddHBand="1" w:evenHBand="0" w:firstRowFirstColumn="0" w:firstRowLastColumn="0" w:lastRowFirstColumn="0" w:lastRowLastColumn="0"/>
              <w:rPr>
                <w:color w:val="1C1D1E"/>
                <w:sz w:val="20"/>
                <w:szCs w:val="20"/>
              </w:rPr>
            </w:pPr>
            <w:r w:rsidRPr="003E349F">
              <w:rPr>
                <w:color w:val="1C1D1E"/>
                <w:sz w:val="20"/>
                <w:szCs w:val="20"/>
              </w:rPr>
              <w:t>47 (40.2)</w:t>
            </w:r>
          </w:p>
        </w:tc>
      </w:tr>
      <w:tr w:rsidR="007B219A" w:rsidRPr="003E349F" w14:paraId="491E97F2" w14:textId="77777777" w:rsidTr="00A50304">
        <w:trPr>
          <w:jc w:val="center"/>
        </w:trPr>
        <w:tc>
          <w:tcPr>
            <w:cnfStyle w:val="001000000000" w:firstRow="0" w:lastRow="0" w:firstColumn="1" w:lastColumn="0" w:oddVBand="0" w:evenVBand="0" w:oddHBand="0" w:evenHBand="0" w:firstRowFirstColumn="0" w:firstRowLastColumn="0" w:lastRowFirstColumn="0" w:lastRowLastColumn="0"/>
            <w:tcW w:w="4111" w:type="dxa"/>
            <w:gridSpan w:val="2"/>
            <w:tcBorders>
              <w:top w:val="nil"/>
              <w:bottom w:val="nil"/>
            </w:tcBorders>
          </w:tcPr>
          <w:p w14:paraId="6AA41CFC" w14:textId="59851FC3" w:rsidR="007B219A" w:rsidRPr="003E349F" w:rsidRDefault="007B219A" w:rsidP="00A50304">
            <w:pPr>
              <w:jc w:val="both"/>
              <w:rPr>
                <w:b w:val="0"/>
                <w:bCs w:val="0"/>
                <w:color w:val="1C1D1E"/>
                <w:sz w:val="20"/>
                <w:szCs w:val="20"/>
              </w:rPr>
            </w:pPr>
            <w:r w:rsidRPr="003E349F">
              <w:rPr>
                <w:b w:val="0"/>
                <w:bCs w:val="0"/>
                <w:color w:val="1C1D1E"/>
                <w:sz w:val="20"/>
                <w:szCs w:val="20"/>
              </w:rPr>
              <w:t>Admission to neonatal I</w:t>
            </w:r>
            <w:r>
              <w:rPr>
                <w:b w:val="0"/>
                <w:bCs w:val="0"/>
                <w:color w:val="1C1D1E"/>
                <w:sz w:val="20"/>
                <w:szCs w:val="20"/>
              </w:rPr>
              <w:t>C</w:t>
            </w:r>
            <w:r w:rsidRPr="003E349F">
              <w:rPr>
                <w:b w:val="0"/>
                <w:bCs w:val="0"/>
                <w:color w:val="1C1D1E"/>
                <w:sz w:val="20"/>
                <w:szCs w:val="20"/>
              </w:rPr>
              <w:t xml:space="preserve">U </w:t>
            </w:r>
          </w:p>
        </w:tc>
        <w:tc>
          <w:tcPr>
            <w:tcW w:w="4915" w:type="dxa"/>
            <w:gridSpan w:val="2"/>
            <w:tcBorders>
              <w:top w:val="nil"/>
              <w:bottom w:val="nil"/>
            </w:tcBorders>
          </w:tcPr>
          <w:p w14:paraId="34F8D560" w14:textId="77777777" w:rsidR="007B219A" w:rsidRPr="003E349F" w:rsidRDefault="007B219A" w:rsidP="00A50304">
            <w:pPr>
              <w:jc w:val="both"/>
              <w:cnfStyle w:val="000000000000" w:firstRow="0" w:lastRow="0" w:firstColumn="0" w:lastColumn="0" w:oddVBand="0" w:evenVBand="0" w:oddHBand="0" w:evenHBand="0" w:firstRowFirstColumn="0" w:firstRowLastColumn="0" w:lastRowFirstColumn="0" w:lastRowLastColumn="0"/>
              <w:rPr>
                <w:color w:val="1C1D1E"/>
                <w:sz w:val="20"/>
                <w:szCs w:val="20"/>
              </w:rPr>
            </w:pPr>
            <w:r w:rsidRPr="003E349F">
              <w:rPr>
                <w:color w:val="1C1D1E"/>
                <w:sz w:val="20"/>
                <w:szCs w:val="20"/>
              </w:rPr>
              <w:t>15 (12.8)</w:t>
            </w:r>
          </w:p>
        </w:tc>
      </w:tr>
      <w:tr w:rsidR="007B219A" w:rsidRPr="003E349F" w14:paraId="42DE2890" w14:textId="77777777" w:rsidTr="00A503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gridSpan w:val="2"/>
            <w:tcBorders>
              <w:top w:val="nil"/>
              <w:bottom w:val="nil"/>
            </w:tcBorders>
          </w:tcPr>
          <w:p w14:paraId="35B7F11D" w14:textId="77777777" w:rsidR="007B219A" w:rsidRPr="003E349F" w:rsidRDefault="007B219A" w:rsidP="00A50304">
            <w:pPr>
              <w:jc w:val="both"/>
              <w:rPr>
                <w:b w:val="0"/>
                <w:bCs w:val="0"/>
                <w:color w:val="1C1D1E"/>
                <w:sz w:val="20"/>
                <w:szCs w:val="20"/>
              </w:rPr>
            </w:pPr>
            <w:r w:rsidRPr="003E349F">
              <w:rPr>
                <w:b w:val="0"/>
                <w:bCs w:val="0"/>
                <w:color w:val="1C1D1E"/>
                <w:sz w:val="20"/>
                <w:szCs w:val="20"/>
              </w:rPr>
              <w:t xml:space="preserve">Neonates requiring assisted ventilation </w:t>
            </w:r>
          </w:p>
        </w:tc>
        <w:tc>
          <w:tcPr>
            <w:tcW w:w="4915" w:type="dxa"/>
            <w:gridSpan w:val="2"/>
            <w:tcBorders>
              <w:top w:val="nil"/>
              <w:bottom w:val="nil"/>
            </w:tcBorders>
          </w:tcPr>
          <w:p w14:paraId="6CA9A2F9" w14:textId="77777777" w:rsidR="007B219A" w:rsidRPr="003E349F" w:rsidRDefault="007B219A" w:rsidP="00A50304">
            <w:pPr>
              <w:jc w:val="both"/>
              <w:cnfStyle w:val="000000100000" w:firstRow="0" w:lastRow="0" w:firstColumn="0" w:lastColumn="0" w:oddVBand="0" w:evenVBand="0" w:oddHBand="1" w:evenHBand="0" w:firstRowFirstColumn="0" w:firstRowLastColumn="0" w:lastRowFirstColumn="0" w:lastRowLastColumn="0"/>
              <w:rPr>
                <w:color w:val="1C1D1E"/>
                <w:sz w:val="20"/>
                <w:szCs w:val="20"/>
              </w:rPr>
            </w:pPr>
            <w:r w:rsidRPr="003E349F">
              <w:rPr>
                <w:color w:val="1C1D1E"/>
                <w:sz w:val="20"/>
                <w:szCs w:val="20"/>
              </w:rPr>
              <w:t>11 (9.4)</w:t>
            </w:r>
          </w:p>
        </w:tc>
      </w:tr>
      <w:tr w:rsidR="007B219A" w:rsidRPr="003E349F" w14:paraId="5D10BD1D" w14:textId="77777777" w:rsidTr="00A50304">
        <w:trPr>
          <w:jc w:val="center"/>
        </w:trPr>
        <w:tc>
          <w:tcPr>
            <w:cnfStyle w:val="001000000000" w:firstRow="0" w:lastRow="0" w:firstColumn="1" w:lastColumn="0" w:oddVBand="0" w:evenVBand="0" w:oddHBand="0" w:evenHBand="0" w:firstRowFirstColumn="0" w:firstRowLastColumn="0" w:lastRowFirstColumn="0" w:lastRowLastColumn="0"/>
            <w:tcW w:w="4111" w:type="dxa"/>
            <w:gridSpan w:val="2"/>
            <w:tcBorders>
              <w:top w:val="nil"/>
              <w:bottom w:val="single" w:sz="4" w:space="0" w:color="auto"/>
            </w:tcBorders>
          </w:tcPr>
          <w:p w14:paraId="5FC6EAC3" w14:textId="77777777" w:rsidR="007B219A" w:rsidRPr="003E349F" w:rsidRDefault="007B219A" w:rsidP="00A50304">
            <w:pPr>
              <w:jc w:val="both"/>
              <w:rPr>
                <w:b w:val="0"/>
                <w:bCs w:val="0"/>
                <w:color w:val="1C1D1E"/>
                <w:sz w:val="20"/>
                <w:szCs w:val="20"/>
              </w:rPr>
            </w:pPr>
            <w:r>
              <w:rPr>
                <w:b w:val="0"/>
                <w:bCs w:val="0"/>
                <w:color w:val="1C1D1E"/>
                <w:sz w:val="20"/>
                <w:szCs w:val="20"/>
              </w:rPr>
              <w:t>D</w:t>
            </w:r>
            <w:r w:rsidRPr="003E349F">
              <w:rPr>
                <w:b w:val="0"/>
                <w:bCs w:val="0"/>
                <w:color w:val="1C1D1E"/>
                <w:sz w:val="20"/>
                <w:szCs w:val="20"/>
              </w:rPr>
              <w:t xml:space="preserve">ay of discharge </w:t>
            </w:r>
          </w:p>
        </w:tc>
        <w:tc>
          <w:tcPr>
            <w:tcW w:w="4915" w:type="dxa"/>
            <w:gridSpan w:val="2"/>
            <w:tcBorders>
              <w:top w:val="nil"/>
              <w:bottom w:val="single" w:sz="4" w:space="0" w:color="auto"/>
            </w:tcBorders>
          </w:tcPr>
          <w:p w14:paraId="6D291B7F" w14:textId="77777777" w:rsidR="007B219A" w:rsidRPr="003E349F" w:rsidRDefault="007B219A" w:rsidP="00A50304">
            <w:pPr>
              <w:jc w:val="both"/>
              <w:cnfStyle w:val="000000000000" w:firstRow="0" w:lastRow="0" w:firstColumn="0" w:lastColumn="0" w:oddVBand="0" w:evenVBand="0" w:oddHBand="0" w:evenHBand="0" w:firstRowFirstColumn="0" w:firstRowLastColumn="0" w:lastRowFirstColumn="0" w:lastRowLastColumn="0"/>
              <w:rPr>
                <w:color w:val="1C1D1E"/>
                <w:sz w:val="20"/>
                <w:szCs w:val="20"/>
              </w:rPr>
            </w:pPr>
            <w:r>
              <w:rPr>
                <w:color w:val="1C1D1E"/>
                <w:sz w:val="20"/>
                <w:szCs w:val="20"/>
              </w:rPr>
              <w:t xml:space="preserve">                                                    </w:t>
            </w:r>
            <w:r w:rsidRPr="003E349F">
              <w:rPr>
                <w:color w:val="1C1D1E"/>
                <w:sz w:val="20"/>
                <w:szCs w:val="20"/>
              </w:rPr>
              <w:t>6.6 days (</w:t>
            </w:r>
            <w:r>
              <w:rPr>
                <w:color w:val="1C1D1E"/>
                <w:sz w:val="20"/>
                <w:szCs w:val="20"/>
              </w:rPr>
              <w:t>2.2</w:t>
            </w:r>
            <w:r w:rsidRPr="003E349F">
              <w:rPr>
                <w:color w:val="1C1D1E"/>
                <w:sz w:val="20"/>
                <w:szCs w:val="20"/>
              </w:rPr>
              <w:t>)</w:t>
            </w:r>
          </w:p>
        </w:tc>
      </w:tr>
      <w:tr w:rsidR="007B219A" w:rsidRPr="003E349F" w14:paraId="6FAFF552" w14:textId="77777777" w:rsidTr="00A503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26" w:type="dxa"/>
            <w:gridSpan w:val="4"/>
            <w:tcBorders>
              <w:top w:val="single" w:sz="4" w:space="0" w:color="auto"/>
              <w:bottom w:val="single" w:sz="4" w:space="0" w:color="auto"/>
            </w:tcBorders>
            <w:shd w:val="clear" w:color="auto" w:fill="D9E2F3" w:themeFill="accent1" w:themeFillTint="33"/>
          </w:tcPr>
          <w:p w14:paraId="6633E39D" w14:textId="77777777" w:rsidR="007B219A" w:rsidRPr="003E349F" w:rsidRDefault="007B219A" w:rsidP="00A50304">
            <w:pPr>
              <w:jc w:val="both"/>
              <w:rPr>
                <w:color w:val="1C1D1E"/>
                <w:sz w:val="20"/>
                <w:szCs w:val="20"/>
              </w:rPr>
            </w:pPr>
            <w:r w:rsidRPr="003E349F">
              <w:rPr>
                <w:color w:val="1C1D1E"/>
                <w:sz w:val="20"/>
                <w:szCs w:val="20"/>
              </w:rPr>
              <w:t>Neonatal Intravenous Antibiotic length of course:</w:t>
            </w:r>
          </w:p>
        </w:tc>
      </w:tr>
      <w:tr w:rsidR="007B219A" w:rsidRPr="003E349F" w14:paraId="630D7288" w14:textId="77777777" w:rsidTr="00A50304">
        <w:trPr>
          <w:trHeight w:val="140"/>
          <w:jc w:val="center"/>
        </w:trPr>
        <w:tc>
          <w:tcPr>
            <w:cnfStyle w:val="001000000000" w:firstRow="0" w:lastRow="0" w:firstColumn="1" w:lastColumn="0" w:oddVBand="0" w:evenVBand="0" w:oddHBand="0" w:evenHBand="0" w:firstRowFirstColumn="0" w:firstRowLastColumn="0" w:lastRowFirstColumn="0" w:lastRowLastColumn="0"/>
            <w:tcW w:w="4111" w:type="dxa"/>
            <w:gridSpan w:val="2"/>
            <w:tcBorders>
              <w:top w:val="single" w:sz="4" w:space="0" w:color="auto"/>
              <w:bottom w:val="nil"/>
            </w:tcBorders>
          </w:tcPr>
          <w:p w14:paraId="4C632B39" w14:textId="77777777" w:rsidR="007B219A" w:rsidRPr="003E349F" w:rsidRDefault="007B219A" w:rsidP="00A50304">
            <w:pPr>
              <w:jc w:val="both"/>
              <w:rPr>
                <w:b w:val="0"/>
                <w:bCs w:val="0"/>
                <w:color w:val="1C1D1E"/>
                <w:sz w:val="20"/>
                <w:szCs w:val="20"/>
              </w:rPr>
            </w:pPr>
            <w:r w:rsidRPr="003E349F">
              <w:rPr>
                <w:b w:val="0"/>
                <w:bCs w:val="0"/>
                <w:color w:val="1C1D1E"/>
                <w:sz w:val="20"/>
                <w:szCs w:val="20"/>
              </w:rPr>
              <w:t xml:space="preserve">36 hours </w:t>
            </w:r>
          </w:p>
        </w:tc>
        <w:tc>
          <w:tcPr>
            <w:tcW w:w="4915" w:type="dxa"/>
            <w:gridSpan w:val="2"/>
            <w:tcBorders>
              <w:top w:val="nil"/>
              <w:bottom w:val="nil"/>
            </w:tcBorders>
          </w:tcPr>
          <w:p w14:paraId="137DFADB" w14:textId="77777777" w:rsidR="007B219A" w:rsidRPr="003E349F" w:rsidRDefault="007B219A" w:rsidP="00A50304">
            <w:pPr>
              <w:jc w:val="both"/>
              <w:cnfStyle w:val="000000000000" w:firstRow="0" w:lastRow="0" w:firstColumn="0" w:lastColumn="0" w:oddVBand="0" w:evenVBand="0" w:oddHBand="0" w:evenHBand="0" w:firstRowFirstColumn="0" w:firstRowLastColumn="0" w:lastRowFirstColumn="0" w:lastRowLastColumn="0"/>
              <w:rPr>
                <w:color w:val="1C1D1E"/>
                <w:sz w:val="20"/>
                <w:szCs w:val="20"/>
              </w:rPr>
            </w:pPr>
            <w:r w:rsidRPr="003E349F">
              <w:rPr>
                <w:color w:val="1C1D1E"/>
                <w:sz w:val="20"/>
                <w:szCs w:val="20"/>
              </w:rPr>
              <w:t>46 (39.3)</w:t>
            </w:r>
          </w:p>
        </w:tc>
      </w:tr>
      <w:tr w:rsidR="007B219A" w:rsidRPr="003E349F" w14:paraId="1440F132" w14:textId="77777777" w:rsidTr="00A50304">
        <w:trPr>
          <w:cnfStyle w:val="000000100000" w:firstRow="0" w:lastRow="0" w:firstColumn="0" w:lastColumn="0" w:oddVBand="0" w:evenVBand="0" w:oddHBand="1" w:evenHBand="0" w:firstRowFirstColumn="0" w:firstRowLastColumn="0" w:lastRowFirstColumn="0" w:lastRowLastColumn="0"/>
          <w:trHeight w:val="171"/>
          <w:jc w:val="center"/>
        </w:trPr>
        <w:tc>
          <w:tcPr>
            <w:cnfStyle w:val="001000000000" w:firstRow="0" w:lastRow="0" w:firstColumn="1" w:lastColumn="0" w:oddVBand="0" w:evenVBand="0" w:oddHBand="0" w:evenHBand="0" w:firstRowFirstColumn="0" w:firstRowLastColumn="0" w:lastRowFirstColumn="0" w:lastRowLastColumn="0"/>
            <w:tcW w:w="4111" w:type="dxa"/>
            <w:gridSpan w:val="2"/>
            <w:tcBorders>
              <w:top w:val="nil"/>
              <w:bottom w:val="nil"/>
            </w:tcBorders>
          </w:tcPr>
          <w:p w14:paraId="15EFB67B" w14:textId="77777777" w:rsidR="007B219A" w:rsidRPr="003E349F" w:rsidRDefault="007B219A" w:rsidP="00A50304">
            <w:pPr>
              <w:jc w:val="both"/>
              <w:rPr>
                <w:b w:val="0"/>
                <w:bCs w:val="0"/>
                <w:color w:val="1C1D1E"/>
                <w:sz w:val="20"/>
                <w:szCs w:val="20"/>
              </w:rPr>
            </w:pPr>
            <w:r w:rsidRPr="003E349F">
              <w:rPr>
                <w:b w:val="0"/>
                <w:bCs w:val="0"/>
                <w:color w:val="1C1D1E"/>
                <w:sz w:val="20"/>
                <w:szCs w:val="20"/>
              </w:rPr>
              <w:t>48 hours</w:t>
            </w:r>
          </w:p>
        </w:tc>
        <w:tc>
          <w:tcPr>
            <w:tcW w:w="4915" w:type="dxa"/>
            <w:gridSpan w:val="2"/>
            <w:tcBorders>
              <w:top w:val="nil"/>
              <w:bottom w:val="nil"/>
            </w:tcBorders>
          </w:tcPr>
          <w:p w14:paraId="283855D1" w14:textId="77777777" w:rsidR="007B219A" w:rsidRPr="003E349F" w:rsidRDefault="007B219A" w:rsidP="00A50304">
            <w:pPr>
              <w:jc w:val="both"/>
              <w:cnfStyle w:val="000000100000" w:firstRow="0" w:lastRow="0" w:firstColumn="0" w:lastColumn="0" w:oddVBand="0" w:evenVBand="0" w:oddHBand="1" w:evenHBand="0" w:firstRowFirstColumn="0" w:firstRowLastColumn="0" w:lastRowFirstColumn="0" w:lastRowLastColumn="0"/>
              <w:rPr>
                <w:color w:val="1C1D1E"/>
                <w:sz w:val="20"/>
                <w:szCs w:val="20"/>
              </w:rPr>
            </w:pPr>
            <w:r w:rsidRPr="003E349F">
              <w:rPr>
                <w:color w:val="1C1D1E"/>
                <w:sz w:val="20"/>
                <w:szCs w:val="20"/>
              </w:rPr>
              <w:t>29 (24.8)</w:t>
            </w:r>
          </w:p>
        </w:tc>
      </w:tr>
      <w:tr w:rsidR="007B219A" w:rsidRPr="003E349F" w14:paraId="054450D0" w14:textId="77777777" w:rsidTr="00A50304">
        <w:trPr>
          <w:jc w:val="center"/>
        </w:trPr>
        <w:tc>
          <w:tcPr>
            <w:cnfStyle w:val="001000000000" w:firstRow="0" w:lastRow="0" w:firstColumn="1" w:lastColumn="0" w:oddVBand="0" w:evenVBand="0" w:oddHBand="0" w:evenHBand="0" w:firstRowFirstColumn="0" w:firstRowLastColumn="0" w:lastRowFirstColumn="0" w:lastRowLastColumn="0"/>
            <w:tcW w:w="4111" w:type="dxa"/>
            <w:gridSpan w:val="2"/>
            <w:tcBorders>
              <w:top w:val="nil"/>
              <w:bottom w:val="nil"/>
            </w:tcBorders>
          </w:tcPr>
          <w:p w14:paraId="1A71BC78" w14:textId="77777777" w:rsidR="007B219A" w:rsidRPr="003E349F" w:rsidRDefault="007B219A" w:rsidP="00A50304">
            <w:pPr>
              <w:jc w:val="both"/>
              <w:rPr>
                <w:b w:val="0"/>
                <w:bCs w:val="0"/>
                <w:color w:val="1C1D1E"/>
                <w:sz w:val="20"/>
                <w:szCs w:val="20"/>
              </w:rPr>
            </w:pPr>
            <w:r w:rsidRPr="003E349F">
              <w:rPr>
                <w:b w:val="0"/>
                <w:bCs w:val="0"/>
                <w:color w:val="1C1D1E"/>
                <w:sz w:val="20"/>
                <w:szCs w:val="20"/>
              </w:rPr>
              <w:t xml:space="preserve">72 hours </w:t>
            </w:r>
          </w:p>
        </w:tc>
        <w:tc>
          <w:tcPr>
            <w:tcW w:w="4915" w:type="dxa"/>
            <w:gridSpan w:val="2"/>
            <w:tcBorders>
              <w:top w:val="nil"/>
              <w:bottom w:val="nil"/>
            </w:tcBorders>
          </w:tcPr>
          <w:p w14:paraId="18580F01" w14:textId="77777777" w:rsidR="007B219A" w:rsidRPr="003E349F" w:rsidRDefault="007B219A" w:rsidP="00A50304">
            <w:pPr>
              <w:jc w:val="both"/>
              <w:cnfStyle w:val="000000000000" w:firstRow="0" w:lastRow="0" w:firstColumn="0" w:lastColumn="0" w:oddVBand="0" w:evenVBand="0" w:oddHBand="0" w:evenHBand="0" w:firstRowFirstColumn="0" w:firstRowLastColumn="0" w:lastRowFirstColumn="0" w:lastRowLastColumn="0"/>
              <w:rPr>
                <w:color w:val="1C1D1E"/>
                <w:sz w:val="20"/>
                <w:szCs w:val="20"/>
              </w:rPr>
            </w:pPr>
            <w:r w:rsidRPr="003E349F">
              <w:rPr>
                <w:color w:val="1C1D1E"/>
                <w:sz w:val="20"/>
                <w:szCs w:val="20"/>
              </w:rPr>
              <w:t>10 (8.5)</w:t>
            </w:r>
          </w:p>
        </w:tc>
      </w:tr>
      <w:tr w:rsidR="007B219A" w:rsidRPr="003E349F" w14:paraId="648C4E8B" w14:textId="77777777" w:rsidTr="00A503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gridSpan w:val="2"/>
            <w:tcBorders>
              <w:top w:val="nil"/>
              <w:bottom w:val="nil"/>
            </w:tcBorders>
          </w:tcPr>
          <w:p w14:paraId="28DCFEED" w14:textId="77777777" w:rsidR="007B219A" w:rsidRPr="003E349F" w:rsidRDefault="007B219A" w:rsidP="00A50304">
            <w:pPr>
              <w:jc w:val="both"/>
              <w:rPr>
                <w:b w:val="0"/>
                <w:bCs w:val="0"/>
                <w:color w:val="1C1D1E"/>
                <w:sz w:val="20"/>
                <w:szCs w:val="20"/>
              </w:rPr>
            </w:pPr>
            <w:r w:rsidRPr="003E349F">
              <w:rPr>
                <w:b w:val="0"/>
                <w:bCs w:val="0"/>
                <w:color w:val="1C1D1E"/>
                <w:sz w:val="20"/>
                <w:szCs w:val="20"/>
              </w:rPr>
              <w:t xml:space="preserve">5 days </w:t>
            </w:r>
          </w:p>
        </w:tc>
        <w:tc>
          <w:tcPr>
            <w:tcW w:w="4915" w:type="dxa"/>
            <w:gridSpan w:val="2"/>
            <w:tcBorders>
              <w:top w:val="nil"/>
              <w:bottom w:val="nil"/>
            </w:tcBorders>
          </w:tcPr>
          <w:p w14:paraId="412C88E3" w14:textId="77777777" w:rsidR="007B219A" w:rsidRPr="003E349F" w:rsidRDefault="007B219A" w:rsidP="00A50304">
            <w:pPr>
              <w:jc w:val="both"/>
              <w:cnfStyle w:val="000000100000" w:firstRow="0" w:lastRow="0" w:firstColumn="0" w:lastColumn="0" w:oddVBand="0" w:evenVBand="0" w:oddHBand="1" w:evenHBand="0" w:firstRowFirstColumn="0" w:firstRowLastColumn="0" w:lastRowFirstColumn="0" w:lastRowLastColumn="0"/>
              <w:rPr>
                <w:color w:val="1C1D1E"/>
                <w:sz w:val="20"/>
                <w:szCs w:val="20"/>
              </w:rPr>
            </w:pPr>
            <w:r w:rsidRPr="003E349F">
              <w:rPr>
                <w:color w:val="1C1D1E"/>
                <w:sz w:val="20"/>
                <w:szCs w:val="20"/>
              </w:rPr>
              <w:t>29 (24.8)</w:t>
            </w:r>
          </w:p>
        </w:tc>
      </w:tr>
      <w:tr w:rsidR="007B219A" w:rsidRPr="003E349F" w14:paraId="68EC0180" w14:textId="77777777" w:rsidTr="00A50304">
        <w:trPr>
          <w:jc w:val="center"/>
        </w:trPr>
        <w:tc>
          <w:tcPr>
            <w:cnfStyle w:val="001000000000" w:firstRow="0" w:lastRow="0" w:firstColumn="1" w:lastColumn="0" w:oddVBand="0" w:evenVBand="0" w:oddHBand="0" w:evenHBand="0" w:firstRowFirstColumn="0" w:firstRowLastColumn="0" w:lastRowFirstColumn="0" w:lastRowLastColumn="0"/>
            <w:tcW w:w="4111" w:type="dxa"/>
            <w:gridSpan w:val="2"/>
            <w:tcBorders>
              <w:top w:val="nil"/>
              <w:bottom w:val="single" w:sz="4" w:space="0" w:color="auto"/>
            </w:tcBorders>
          </w:tcPr>
          <w:p w14:paraId="75AE21C7" w14:textId="77777777" w:rsidR="007B219A" w:rsidRPr="003E349F" w:rsidRDefault="007B219A" w:rsidP="00A50304">
            <w:pPr>
              <w:jc w:val="both"/>
              <w:rPr>
                <w:b w:val="0"/>
                <w:bCs w:val="0"/>
                <w:color w:val="1C1D1E"/>
                <w:sz w:val="20"/>
                <w:szCs w:val="20"/>
              </w:rPr>
            </w:pPr>
            <w:r w:rsidRPr="003E349F">
              <w:rPr>
                <w:b w:val="0"/>
                <w:bCs w:val="0"/>
                <w:color w:val="1C1D1E"/>
                <w:sz w:val="20"/>
                <w:szCs w:val="20"/>
              </w:rPr>
              <w:t xml:space="preserve">7 days </w:t>
            </w:r>
          </w:p>
        </w:tc>
        <w:tc>
          <w:tcPr>
            <w:tcW w:w="4915" w:type="dxa"/>
            <w:gridSpan w:val="2"/>
            <w:tcBorders>
              <w:top w:val="nil"/>
              <w:bottom w:val="single" w:sz="4" w:space="0" w:color="auto"/>
            </w:tcBorders>
          </w:tcPr>
          <w:p w14:paraId="3452D617" w14:textId="77777777" w:rsidR="007B219A" w:rsidRPr="003E349F" w:rsidRDefault="007B219A" w:rsidP="00A50304">
            <w:pPr>
              <w:jc w:val="both"/>
              <w:cnfStyle w:val="000000000000" w:firstRow="0" w:lastRow="0" w:firstColumn="0" w:lastColumn="0" w:oddVBand="0" w:evenVBand="0" w:oddHBand="0" w:evenHBand="0" w:firstRowFirstColumn="0" w:firstRowLastColumn="0" w:lastRowFirstColumn="0" w:lastRowLastColumn="0"/>
              <w:rPr>
                <w:color w:val="1C1D1E"/>
                <w:sz w:val="20"/>
                <w:szCs w:val="20"/>
              </w:rPr>
            </w:pPr>
            <w:r w:rsidRPr="003E349F">
              <w:rPr>
                <w:color w:val="1C1D1E"/>
                <w:sz w:val="20"/>
                <w:szCs w:val="20"/>
              </w:rPr>
              <w:t>3 (2.6)</w:t>
            </w:r>
          </w:p>
        </w:tc>
      </w:tr>
      <w:tr w:rsidR="007B219A" w:rsidRPr="003E349F" w14:paraId="18157CD1" w14:textId="77777777" w:rsidTr="00A503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26" w:type="dxa"/>
            <w:gridSpan w:val="4"/>
            <w:tcBorders>
              <w:top w:val="single" w:sz="4" w:space="0" w:color="auto"/>
              <w:bottom w:val="single" w:sz="4" w:space="0" w:color="auto"/>
            </w:tcBorders>
            <w:shd w:val="clear" w:color="auto" w:fill="8EAADB" w:themeFill="accent1" w:themeFillTint="99"/>
          </w:tcPr>
          <w:p w14:paraId="410280D7" w14:textId="77777777" w:rsidR="007B219A" w:rsidRPr="003E349F" w:rsidRDefault="007B219A" w:rsidP="00A50304">
            <w:pPr>
              <w:jc w:val="center"/>
              <w:rPr>
                <w:color w:val="1C1D1E"/>
                <w:sz w:val="20"/>
                <w:szCs w:val="20"/>
              </w:rPr>
            </w:pPr>
            <w:r w:rsidRPr="003E349F">
              <w:rPr>
                <w:color w:val="1C1D1E"/>
                <w:sz w:val="20"/>
                <w:szCs w:val="20"/>
              </w:rPr>
              <w:t>Categorisation:</w:t>
            </w:r>
          </w:p>
        </w:tc>
      </w:tr>
      <w:tr w:rsidR="007B219A" w:rsidRPr="003E349F" w14:paraId="6458166D" w14:textId="77777777" w:rsidTr="00A50304">
        <w:trPr>
          <w:jc w:val="center"/>
        </w:trPr>
        <w:tc>
          <w:tcPr>
            <w:cnfStyle w:val="001000000000" w:firstRow="0" w:lastRow="0" w:firstColumn="1" w:lastColumn="0" w:oddVBand="0" w:evenVBand="0" w:oddHBand="0" w:evenHBand="0" w:firstRowFirstColumn="0" w:firstRowLastColumn="0" w:lastRowFirstColumn="0" w:lastRowLastColumn="0"/>
            <w:tcW w:w="2256" w:type="dxa"/>
            <w:tcBorders>
              <w:top w:val="single" w:sz="4" w:space="0" w:color="auto"/>
            </w:tcBorders>
            <w:shd w:val="clear" w:color="auto" w:fill="D9E2F3" w:themeFill="accent1" w:themeFillTint="33"/>
          </w:tcPr>
          <w:p w14:paraId="0B62270F" w14:textId="77777777" w:rsidR="007B219A" w:rsidRPr="003E349F" w:rsidRDefault="007B219A" w:rsidP="00A50304">
            <w:pPr>
              <w:jc w:val="both"/>
              <w:rPr>
                <w:b w:val="0"/>
                <w:bCs w:val="0"/>
                <w:color w:val="1C1D1E"/>
                <w:sz w:val="20"/>
                <w:szCs w:val="20"/>
              </w:rPr>
            </w:pPr>
          </w:p>
        </w:tc>
        <w:tc>
          <w:tcPr>
            <w:tcW w:w="1855" w:type="dxa"/>
            <w:tcBorders>
              <w:top w:val="single" w:sz="4" w:space="0" w:color="auto"/>
            </w:tcBorders>
            <w:shd w:val="clear" w:color="auto" w:fill="D9E2F3" w:themeFill="accent1" w:themeFillTint="33"/>
          </w:tcPr>
          <w:p w14:paraId="4F8128B7" w14:textId="77777777" w:rsidR="007B219A" w:rsidRPr="003E349F" w:rsidRDefault="007B219A" w:rsidP="00A50304">
            <w:pPr>
              <w:jc w:val="both"/>
              <w:cnfStyle w:val="000000000000" w:firstRow="0" w:lastRow="0" w:firstColumn="0" w:lastColumn="0" w:oddVBand="0" w:evenVBand="0" w:oddHBand="0" w:evenHBand="0" w:firstRowFirstColumn="0" w:firstRowLastColumn="0" w:lastRowFirstColumn="0" w:lastRowLastColumn="0"/>
              <w:rPr>
                <w:b/>
                <w:bCs/>
                <w:color w:val="1C1D1E"/>
                <w:sz w:val="20"/>
                <w:szCs w:val="20"/>
              </w:rPr>
            </w:pPr>
            <w:r w:rsidRPr="003E349F">
              <w:rPr>
                <w:b/>
                <w:bCs/>
                <w:color w:val="000000" w:themeColor="text1"/>
                <w:sz w:val="20"/>
                <w:szCs w:val="20"/>
              </w:rPr>
              <w:t>Low-suspicion BS</w:t>
            </w:r>
          </w:p>
        </w:tc>
        <w:tc>
          <w:tcPr>
            <w:tcW w:w="2658" w:type="dxa"/>
            <w:tcBorders>
              <w:top w:val="single" w:sz="4" w:space="0" w:color="auto"/>
            </w:tcBorders>
            <w:shd w:val="clear" w:color="auto" w:fill="D9E2F3" w:themeFill="accent1" w:themeFillTint="33"/>
          </w:tcPr>
          <w:p w14:paraId="2903CC26" w14:textId="77777777" w:rsidR="007B219A" w:rsidRPr="003E349F" w:rsidRDefault="007B219A" w:rsidP="00A50304">
            <w:pPr>
              <w:jc w:val="both"/>
              <w:cnfStyle w:val="000000000000" w:firstRow="0" w:lastRow="0" w:firstColumn="0" w:lastColumn="0" w:oddVBand="0" w:evenVBand="0" w:oddHBand="0" w:evenHBand="0" w:firstRowFirstColumn="0" w:firstRowLastColumn="0" w:lastRowFirstColumn="0" w:lastRowLastColumn="0"/>
              <w:rPr>
                <w:b/>
                <w:bCs/>
                <w:color w:val="1C1D1E"/>
                <w:sz w:val="20"/>
                <w:szCs w:val="20"/>
              </w:rPr>
            </w:pPr>
            <w:r>
              <w:rPr>
                <w:b/>
                <w:bCs/>
                <w:color w:val="1C1D1E"/>
                <w:sz w:val="20"/>
                <w:szCs w:val="20"/>
              </w:rPr>
              <w:t xml:space="preserve">          </w:t>
            </w:r>
            <w:r w:rsidRPr="003E349F">
              <w:rPr>
                <w:b/>
                <w:bCs/>
                <w:color w:val="1C1D1E"/>
                <w:sz w:val="20"/>
                <w:szCs w:val="20"/>
              </w:rPr>
              <w:t>Equivocal BS</w:t>
            </w:r>
          </w:p>
        </w:tc>
        <w:tc>
          <w:tcPr>
            <w:tcW w:w="2257" w:type="dxa"/>
            <w:tcBorders>
              <w:top w:val="single" w:sz="4" w:space="0" w:color="auto"/>
            </w:tcBorders>
            <w:shd w:val="clear" w:color="auto" w:fill="D9E2F3" w:themeFill="accent1" w:themeFillTint="33"/>
          </w:tcPr>
          <w:p w14:paraId="11BB9537" w14:textId="77777777" w:rsidR="007B219A" w:rsidRPr="003E349F" w:rsidRDefault="007B219A" w:rsidP="00A50304">
            <w:pPr>
              <w:jc w:val="both"/>
              <w:cnfStyle w:val="000000000000" w:firstRow="0" w:lastRow="0" w:firstColumn="0" w:lastColumn="0" w:oddVBand="0" w:evenVBand="0" w:oddHBand="0" w:evenHBand="0" w:firstRowFirstColumn="0" w:firstRowLastColumn="0" w:lastRowFirstColumn="0" w:lastRowLastColumn="0"/>
              <w:rPr>
                <w:color w:val="1C1D1E"/>
                <w:sz w:val="20"/>
                <w:szCs w:val="20"/>
              </w:rPr>
            </w:pPr>
            <w:r w:rsidRPr="003E349F">
              <w:rPr>
                <w:b/>
                <w:bCs/>
                <w:color w:val="1C1D1E"/>
                <w:sz w:val="20"/>
                <w:szCs w:val="20"/>
              </w:rPr>
              <w:t>High-suspicion BS</w:t>
            </w:r>
            <w:r w:rsidRPr="003E349F">
              <w:rPr>
                <w:color w:val="1C1D1E"/>
                <w:sz w:val="20"/>
                <w:szCs w:val="20"/>
              </w:rPr>
              <w:t>:</w:t>
            </w:r>
          </w:p>
        </w:tc>
      </w:tr>
      <w:tr w:rsidR="007B219A" w:rsidRPr="003E349F" w14:paraId="2E24D15D" w14:textId="77777777" w:rsidTr="00A503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6" w:type="dxa"/>
            <w:tcBorders>
              <w:top w:val="nil"/>
            </w:tcBorders>
            <w:vAlign w:val="center"/>
          </w:tcPr>
          <w:p w14:paraId="22613D53" w14:textId="77777777" w:rsidR="007B219A" w:rsidRPr="003E349F" w:rsidRDefault="007B219A" w:rsidP="00A50304">
            <w:pPr>
              <w:jc w:val="both"/>
              <w:rPr>
                <w:b w:val="0"/>
                <w:bCs w:val="0"/>
                <w:color w:val="1C1D1E"/>
                <w:sz w:val="20"/>
                <w:szCs w:val="20"/>
              </w:rPr>
            </w:pPr>
            <w:r w:rsidRPr="003E349F">
              <w:rPr>
                <w:color w:val="000000"/>
                <w:sz w:val="20"/>
                <w:szCs w:val="20"/>
              </w:rPr>
              <w:t>Number (</w:t>
            </w:r>
            <w:r>
              <w:rPr>
                <w:color w:val="000000"/>
                <w:sz w:val="20"/>
                <w:szCs w:val="20"/>
              </w:rPr>
              <w:t>percentage</w:t>
            </w:r>
            <w:r w:rsidRPr="003E349F">
              <w:rPr>
                <w:color w:val="000000"/>
                <w:sz w:val="20"/>
                <w:szCs w:val="20"/>
              </w:rPr>
              <w:t>)</w:t>
            </w:r>
          </w:p>
        </w:tc>
        <w:tc>
          <w:tcPr>
            <w:tcW w:w="1855" w:type="dxa"/>
            <w:tcBorders>
              <w:top w:val="nil"/>
            </w:tcBorders>
            <w:vAlign w:val="center"/>
          </w:tcPr>
          <w:p w14:paraId="077A57F2" w14:textId="77777777" w:rsidR="007B219A" w:rsidRPr="003E349F" w:rsidRDefault="007B219A" w:rsidP="00A50304">
            <w:pPr>
              <w:jc w:val="both"/>
              <w:cnfStyle w:val="000000100000" w:firstRow="0" w:lastRow="0" w:firstColumn="0" w:lastColumn="0" w:oddVBand="0" w:evenVBand="0" w:oddHBand="1" w:evenHBand="0" w:firstRowFirstColumn="0" w:firstRowLastColumn="0" w:lastRowFirstColumn="0" w:lastRowLastColumn="0"/>
              <w:rPr>
                <w:b/>
                <w:bCs/>
                <w:color w:val="1C1D1E"/>
                <w:sz w:val="20"/>
                <w:szCs w:val="20"/>
              </w:rPr>
            </w:pPr>
            <w:r w:rsidRPr="003E349F">
              <w:rPr>
                <w:color w:val="000000"/>
                <w:sz w:val="20"/>
                <w:szCs w:val="20"/>
              </w:rPr>
              <w:t>20 (17)</w:t>
            </w:r>
          </w:p>
        </w:tc>
        <w:tc>
          <w:tcPr>
            <w:tcW w:w="2658" w:type="dxa"/>
            <w:tcBorders>
              <w:top w:val="nil"/>
            </w:tcBorders>
            <w:vAlign w:val="center"/>
          </w:tcPr>
          <w:p w14:paraId="7B8C9AA1" w14:textId="77777777" w:rsidR="007B219A" w:rsidRPr="003E349F" w:rsidRDefault="007B219A" w:rsidP="00A50304">
            <w:pPr>
              <w:jc w:val="both"/>
              <w:cnfStyle w:val="000000100000" w:firstRow="0" w:lastRow="0" w:firstColumn="0" w:lastColumn="0" w:oddVBand="0" w:evenVBand="0" w:oddHBand="1" w:evenHBand="0" w:firstRowFirstColumn="0" w:firstRowLastColumn="0" w:lastRowFirstColumn="0" w:lastRowLastColumn="0"/>
              <w:rPr>
                <w:b/>
                <w:bCs/>
                <w:color w:val="1C1D1E"/>
                <w:sz w:val="20"/>
                <w:szCs w:val="20"/>
              </w:rPr>
            </w:pPr>
            <w:r>
              <w:rPr>
                <w:color w:val="000000"/>
                <w:sz w:val="20"/>
                <w:szCs w:val="20"/>
              </w:rPr>
              <w:t xml:space="preserve">                </w:t>
            </w:r>
            <w:r w:rsidRPr="003E349F">
              <w:rPr>
                <w:color w:val="000000"/>
                <w:sz w:val="20"/>
                <w:szCs w:val="20"/>
              </w:rPr>
              <w:t>55 (47)</w:t>
            </w:r>
          </w:p>
        </w:tc>
        <w:tc>
          <w:tcPr>
            <w:tcW w:w="2257" w:type="dxa"/>
            <w:tcBorders>
              <w:top w:val="nil"/>
            </w:tcBorders>
            <w:vAlign w:val="center"/>
          </w:tcPr>
          <w:p w14:paraId="5C1509C6" w14:textId="77777777" w:rsidR="007B219A" w:rsidRPr="003E349F" w:rsidRDefault="007B219A" w:rsidP="00A50304">
            <w:pPr>
              <w:jc w:val="both"/>
              <w:cnfStyle w:val="000000100000" w:firstRow="0" w:lastRow="0" w:firstColumn="0" w:lastColumn="0" w:oddVBand="0" w:evenVBand="0" w:oddHBand="1" w:evenHBand="0" w:firstRowFirstColumn="0" w:firstRowLastColumn="0" w:lastRowFirstColumn="0" w:lastRowLastColumn="0"/>
              <w:rPr>
                <w:color w:val="1C1D1E"/>
                <w:sz w:val="20"/>
                <w:szCs w:val="20"/>
              </w:rPr>
            </w:pPr>
            <w:r w:rsidRPr="003E349F">
              <w:rPr>
                <w:color w:val="000000"/>
                <w:sz w:val="20"/>
                <w:szCs w:val="20"/>
              </w:rPr>
              <w:t>42 (36)</w:t>
            </w:r>
          </w:p>
        </w:tc>
      </w:tr>
    </w:tbl>
    <w:p w14:paraId="5580ADDB" w14:textId="37B18B72" w:rsidR="007B219A" w:rsidRPr="003E349F" w:rsidRDefault="007B219A" w:rsidP="007B219A">
      <w:pPr>
        <w:jc w:val="both"/>
        <w:rPr>
          <w:color w:val="1C1D1E"/>
          <w:sz w:val="20"/>
          <w:szCs w:val="20"/>
        </w:rPr>
      </w:pPr>
      <w:r w:rsidRPr="003E349F">
        <w:rPr>
          <w:b/>
          <w:bCs/>
          <w:color w:val="1C1D1E"/>
          <w:sz w:val="20"/>
          <w:szCs w:val="20"/>
        </w:rPr>
        <w:t>Table 1</w:t>
      </w:r>
      <w:r w:rsidRPr="003E349F">
        <w:rPr>
          <w:color w:val="1C1D1E"/>
          <w:sz w:val="20"/>
          <w:szCs w:val="20"/>
        </w:rPr>
        <w:t xml:space="preserve">: Neonatal Demographics of results. Data are presented as number (percentage). The bottom row shows the number of </w:t>
      </w:r>
      <w:r w:rsidR="00C12A5A">
        <w:rPr>
          <w:color w:val="1C1D1E"/>
          <w:sz w:val="20"/>
          <w:szCs w:val="20"/>
        </w:rPr>
        <w:t>neonates in</w:t>
      </w:r>
      <w:r w:rsidRPr="003E349F">
        <w:rPr>
          <w:color w:val="1C1D1E"/>
          <w:sz w:val="20"/>
          <w:szCs w:val="20"/>
        </w:rPr>
        <w:t xml:space="preserve"> the 3 determined categories </w:t>
      </w:r>
      <w:r w:rsidR="00C12A5A">
        <w:rPr>
          <w:color w:val="1C1D1E"/>
          <w:sz w:val="20"/>
          <w:szCs w:val="20"/>
        </w:rPr>
        <w:t xml:space="preserve">of bacterial sepsis. </w:t>
      </w:r>
      <w:r w:rsidRPr="003E349F">
        <w:rPr>
          <w:color w:val="1C1D1E"/>
          <w:sz w:val="20"/>
          <w:szCs w:val="20"/>
        </w:rPr>
        <w:t>* ICU = intensive care unit, BS = Bacterial sepsis</w:t>
      </w:r>
      <w:r>
        <w:rPr>
          <w:color w:val="1C1D1E"/>
          <w:sz w:val="20"/>
          <w:szCs w:val="20"/>
        </w:rPr>
        <w:t>, GBS = Group B Streptococcus</w:t>
      </w:r>
      <w:r w:rsidRPr="003E349F">
        <w:rPr>
          <w:color w:val="1C1D1E"/>
          <w:sz w:val="20"/>
          <w:szCs w:val="20"/>
        </w:rPr>
        <w:t>.</w:t>
      </w:r>
    </w:p>
    <w:p w14:paraId="449A98EE" w14:textId="77777777" w:rsidR="007B219A" w:rsidRDefault="007B219A" w:rsidP="007B219A">
      <w:pPr>
        <w:jc w:val="both"/>
        <w:rPr>
          <w:rFonts w:ascii="Calibri" w:hAnsi="Calibri"/>
          <w:color w:val="1C1D1E"/>
        </w:rPr>
      </w:pPr>
    </w:p>
    <w:p w14:paraId="173396DC" w14:textId="72F35B2B" w:rsidR="00F9104F" w:rsidRDefault="00F9104F" w:rsidP="00580388">
      <w:pPr>
        <w:pStyle w:val="ListParagraph"/>
        <w:spacing w:line="480" w:lineRule="auto"/>
        <w:rPr>
          <w:sz w:val="20"/>
          <w:szCs w:val="20"/>
        </w:rPr>
      </w:pPr>
    </w:p>
    <w:p w14:paraId="7CFD8517" w14:textId="68D30DBE" w:rsidR="0000037C" w:rsidRDefault="0000037C" w:rsidP="00580388">
      <w:pPr>
        <w:pStyle w:val="ListParagraph"/>
        <w:spacing w:line="480" w:lineRule="auto"/>
        <w:rPr>
          <w:sz w:val="20"/>
          <w:szCs w:val="20"/>
        </w:rPr>
      </w:pPr>
    </w:p>
    <w:p w14:paraId="03C32BC9" w14:textId="5596A9F2" w:rsidR="0000037C" w:rsidRDefault="0000037C" w:rsidP="00580388">
      <w:pPr>
        <w:pStyle w:val="ListParagraph"/>
        <w:spacing w:line="480" w:lineRule="auto"/>
        <w:rPr>
          <w:sz w:val="20"/>
          <w:szCs w:val="20"/>
        </w:rPr>
      </w:pPr>
    </w:p>
    <w:p w14:paraId="10029543" w14:textId="44416E68" w:rsidR="0000037C" w:rsidRDefault="0000037C" w:rsidP="00580388">
      <w:pPr>
        <w:pStyle w:val="ListParagraph"/>
        <w:spacing w:line="480" w:lineRule="auto"/>
        <w:rPr>
          <w:sz w:val="20"/>
          <w:szCs w:val="20"/>
        </w:rPr>
      </w:pPr>
    </w:p>
    <w:p w14:paraId="1D356459" w14:textId="3FBFFCC0" w:rsidR="0000037C" w:rsidRDefault="0000037C" w:rsidP="00580388">
      <w:pPr>
        <w:pStyle w:val="ListParagraph"/>
        <w:spacing w:line="480" w:lineRule="auto"/>
        <w:rPr>
          <w:sz w:val="20"/>
          <w:szCs w:val="20"/>
        </w:rPr>
      </w:pPr>
    </w:p>
    <w:p w14:paraId="4350176F" w14:textId="3B4AF5C2" w:rsidR="0000037C" w:rsidRDefault="0000037C" w:rsidP="00580388">
      <w:pPr>
        <w:pStyle w:val="ListParagraph"/>
        <w:spacing w:line="480" w:lineRule="auto"/>
        <w:rPr>
          <w:sz w:val="20"/>
          <w:szCs w:val="20"/>
        </w:rPr>
      </w:pPr>
    </w:p>
    <w:p w14:paraId="45C2D616" w14:textId="76AE3DE3" w:rsidR="0000037C" w:rsidRDefault="0000037C" w:rsidP="00580388">
      <w:pPr>
        <w:pStyle w:val="ListParagraph"/>
        <w:spacing w:line="480" w:lineRule="auto"/>
        <w:rPr>
          <w:sz w:val="20"/>
          <w:szCs w:val="20"/>
        </w:rPr>
      </w:pPr>
    </w:p>
    <w:p w14:paraId="7D9B83B6" w14:textId="77777777" w:rsidR="007B219A" w:rsidRDefault="007B219A" w:rsidP="007B219A">
      <w:pPr>
        <w:jc w:val="both"/>
        <w:rPr>
          <w:rFonts w:ascii="Calibri" w:hAnsi="Calibri"/>
          <w:color w:val="1C1D1E"/>
        </w:rPr>
      </w:pPr>
    </w:p>
    <w:p w14:paraId="5218D826" w14:textId="77777777" w:rsidR="007B219A" w:rsidRDefault="007B219A" w:rsidP="007B219A">
      <w:pPr>
        <w:jc w:val="both"/>
        <w:rPr>
          <w:rFonts w:ascii="Calibri" w:hAnsi="Calibri"/>
          <w:color w:val="1C1D1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126"/>
        <w:gridCol w:w="2410"/>
      </w:tblGrid>
      <w:tr w:rsidR="007B219A" w:rsidRPr="00F93D3F" w14:paraId="27F9118B" w14:textId="77777777" w:rsidTr="00A50304">
        <w:trPr>
          <w:jc w:val="center"/>
        </w:trPr>
        <w:tc>
          <w:tcPr>
            <w:tcW w:w="6771" w:type="dxa"/>
            <w:gridSpan w:val="3"/>
            <w:tcBorders>
              <w:top w:val="single" w:sz="4" w:space="0" w:color="auto"/>
              <w:bottom w:val="single" w:sz="4" w:space="0" w:color="auto"/>
            </w:tcBorders>
            <w:shd w:val="clear" w:color="auto" w:fill="8EAADB" w:themeFill="accent1" w:themeFillTint="99"/>
          </w:tcPr>
          <w:p w14:paraId="1E290D89" w14:textId="77777777" w:rsidR="007B219A" w:rsidRPr="00F93D3F" w:rsidRDefault="007B219A" w:rsidP="00A50304">
            <w:pPr>
              <w:jc w:val="both"/>
              <w:rPr>
                <w:b/>
                <w:bCs/>
                <w:color w:val="1C1D1E"/>
                <w:sz w:val="20"/>
                <w:szCs w:val="20"/>
              </w:rPr>
            </w:pPr>
            <w:r w:rsidRPr="00F93D3F">
              <w:rPr>
                <w:b/>
                <w:bCs/>
                <w:color w:val="1C1D1E"/>
                <w:sz w:val="20"/>
                <w:szCs w:val="20"/>
              </w:rPr>
              <w:t>Neonatal Time 0 Bloods:</w:t>
            </w:r>
          </w:p>
        </w:tc>
      </w:tr>
      <w:tr w:rsidR="007B219A" w:rsidRPr="00F93D3F" w14:paraId="1BE20069" w14:textId="77777777" w:rsidTr="00A50304">
        <w:trPr>
          <w:jc w:val="center"/>
        </w:trPr>
        <w:tc>
          <w:tcPr>
            <w:tcW w:w="2235" w:type="dxa"/>
            <w:tcBorders>
              <w:top w:val="single" w:sz="4" w:space="0" w:color="auto"/>
              <w:bottom w:val="single" w:sz="4" w:space="0" w:color="auto"/>
              <w:right w:val="single" w:sz="4" w:space="0" w:color="auto"/>
            </w:tcBorders>
            <w:shd w:val="clear" w:color="auto" w:fill="D9E2F3" w:themeFill="accent1" w:themeFillTint="33"/>
          </w:tcPr>
          <w:p w14:paraId="1922D3FF" w14:textId="77777777" w:rsidR="007B219A" w:rsidRPr="00F93D3F" w:rsidRDefault="007B219A" w:rsidP="00A50304">
            <w:pPr>
              <w:jc w:val="both"/>
              <w:rPr>
                <w:color w:val="1C1D1E"/>
                <w:sz w:val="20"/>
                <w:szCs w:val="20"/>
              </w:rPr>
            </w:pPr>
            <w:r w:rsidRPr="00F93D3F">
              <w:rPr>
                <w:b/>
                <w:bCs/>
                <w:color w:val="1C1D1E"/>
                <w:sz w:val="20"/>
                <w:szCs w:val="20"/>
              </w:rPr>
              <w:t>Biomarker</w:t>
            </w:r>
          </w:p>
        </w:tc>
        <w:tc>
          <w:tcPr>
            <w:tcW w:w="2126" w:type="dxa"/>
            <w:tcBorders>
              <w:top w:val="single" w:sz="4" w:space="0" w:color="auto"/>
              <w:bottom w:val="single" w:sz="4" w:space="0" w:color="auto"/>
              <w:right w:val="single" w:sz="4" w:space="0" w:color="auto"/>
            </w:tcBorders>
            <w:shd w:val="clear" w:color="auto" w:fill="D9E2F3" w:themeFill="accent1" w:themeFillTint="33"/>
          </w:tcPr>
          <w:p w14:paraId="682B9096" w14:textId="77777777" w:rsidR="007B219A" w:rsidRPr="00F93D3F" w:rsidRDefault="007B219A" w:rsidP="00A50304">
            <w:pPr>
              <w:jc w:val="both"/>
              <w:rPr>
                <w:color w:val="1C1D1E"/>
                <w:sz w:val="20"/>
                <w:szCs w:val="20"/>
              </w:rPr>
            </w:pPr>
            <w:r w:rsidRPr="00F93D3F">
              <w:rPr>
                <w:b/>
                <w:bCs/>
                <w:color w:val="1C1D1E"/>
                <w:sz w:val="20"/>
                <w:szCs w:val="20"/>
              </w:rPr>
              <w:t xml:space="preserve">Number (%)  </w:t>
            </w:r>
          </w:p>
        </w:tc>
        <w:tc>
          <w:tcPr>
            <w:tcW w:w="2410" w:type="dxa"/>
            <w:tcBorders>
              <w:top w:val="single" w:sz="4" w:space="0" w:color="auto"/>
              <w:bottom w:val="single" w:sz="4" w:space="0" w:color="auto"/>
            </w:tcBorders>
            <w:shd w:val="clear" w:color="auto" w:fill="D9E2F3" w:themeFill="accent1" w:themeFillTint="33"/>
          </w:tcPr>
          <w:p w14:paraId="6A56B81C" w14:textId="77777777" w:rsidR="007B219A" w:rsidRPr="00F93D3F" w:rsidRDefault="007B219A" w:rsidP="00A50304">
            <w:pPr>
              <w:jc w:val="both"/>
              <w:rPr>
                <w:color w:val="1C1D1E"/>
                <w:sz w:val="20"/>
                <w:szCs w:val="20"/>
              </w:rPr>
            </w:pPr>
            <w:r w:rsidRPr="00F93D3F">
              <w:rPr>
                <w:b/>
                <w:bCs/>
                <w:color w:val="1C1D1E"/>
                <w:sz w:val="20"/>
                <w:szCs w:val="20"/>
              </w:rPr>
              <w:t>Number Raised</w:t>
            </w:r>
          </w:p>
        </w:tc>
      </w:tr>
      <w:tr w:rsidR="007B219A" w:rsidRPr="00F93D3F" w14:paraId="607B8312" w14:textId="77777777" w:rsidTr="00A50304">
        <w:trPr>
          <w:jc w:val="center"/>
        </w:trPr>
        <w:tc>
          <w:tcPr>
            <w:tcW w:w="2235" w:type="dxa"/>
            <w:tcBorders>
              <w:top w:val="single" w:sz="4" w:space="0" w:color="auto"/>
            </w:tcBorders>
            <w:shd w:val="clear" w:color="auto" w:fill="auto"/>
          </w:tcPr>
          <w:p w14:paraId="483687BF" w14:textId="77777777" w:rsidR="007B219A" w:rsidRPr="00F93D3F" w:rsidRDefault="007B219A" w:rsidP="00A50304">
            <w:pPr>
              <w:jc w:val="both"/>
              <w:rPr>
                <w:color w:val="1C1D1E"/>
                <w:sz w:val="20"/>
                <w:szCs w:val="20"/>
              </w:rPr>
            </w:pPr>
            <w:r w:rsidRPr="00F93D3F">
              <w:rPr>
                <w:color w:val="1C1D1E"/>
                <w:sz w:val="20"/>
                <w:szCs w:val="20"/>
              </w:rPr>
              <w:t>WCC</w:t>
            </w:r>
          </w:p>
        </w:tc>
        <w:tc>
          <w:tcPr>
            <w:tcW w:w="2126" w:type="dxa"/>
            <w:tcBorders>
              <w:top w:val="single" w:sz="4" w:space="0" w:color="auto"/>
            </w:tcBorders>
            <w:shd w:val="clear" w:color="auto" w:fill="auto"/>
          </w:tcPr>
          <w:p w14:paraId="6F028ECA" w14:textId="77777777" w:rsidR="007B219A" w:rsidRPr="00F93D3F" w:rsidRDefault="007B219A" w:rsidP="00A50304">
            <w:pPr>
              <w:jc w:val="both"/>
              <w:rPr>
                <w:color w:val="1C1D1E"/>
                <w:sz w:val="20"/>
                <w:szCs w:val="20"/>
              </w:rPr>
            </w:pPr>
            <w:r w:rsidRPr="00F93D3F">
              <w:rPr>
                <w:color w:val="1C1D1E"/>
                <w:sz w:val="20"/>
                <w:szCs w:val="20"/>
              </w:rPr>
              <w:t>108 (92.3)</w:t>
            </w:r>
          </w:p>
        </w:tc>
        <w:tc>
          <w:tcPr>
            <w:tcW w:w="2410" w:type="dxa"/>
            <w:tcBorders>
              <w:top w:val="single" w:sz="4" w:space="0" w:color="auto"/>
            </w:tcBorders>
            <w:shd w:val="clear" w:color="auto" w:fill="auto"/>
          </w:tcPr>
          <w:p w14:paraId="502CC482" w14:textId="77777777" w:rsidR="007B219A" w:rsidRPr="00F93D3F" w:rsidRDefault="007B219A" w:rsidP="00A50304">
            <w:pPr>
              <w:jc w:val="both"/>
              <w:rPr>
                <w:color w:val="1C1D1E"/>
                <w:sz w:val="20"/>
                <w:szCs w:val="20"/>
              </w:rPr>
            </w:pPr>
            <w:r>
              <w:rPr>
                <w:color w:val="1C1D1E"/>
                <w:sz w:val="20"/>
                <w:szCs w:val="20"/>
              </w:rPr>
              <w:t>6</w:t>
            </w:r>
            <w:r w:rsidRPr="00F93D3F">
              <w:rPr>
                <w:color w:val="1C1D1E"/>
                <w:sz w:val="20"/>
                <w:szCs w:val="20"/>
              </w:rPr>
              <w:t xml:space="preserve"> (</w:t>
            </w:r>
            <w:r>
              <w:rPr>
                <w:color w:val="1C1D1E"/>
                <w:sz w:val="20"/>
                <w:szCs w:val="20"/>
              </w:rPr>
              <w:t>5</w:t>
            </w:r>
            <w:r w:rsidRPr="00F93D3F">
              <w:rPr>
                <w:color w:val="1C1D1E"/>
                <w:sz w:val="20"/>
                <w:szCs w:val="20"/>
              </w:rPr>
              <w:t>.</w:t>
            </w:r>
            <w:r>
              <w:rPr>
                <w:color w:val="1C1D1E"/>
                <w:sz w:val="20"/>
                <w:szCs w:val="20"/>
              </w:rPr>
              <w:t>6</w:t>
            </w:r>
            <w:r w:rsidRPr="00F93D3F">
              <w:rPr>
                <w:color w:val="1C1D1E"/>
                <w:sz w:val="20"/>
                <w:szCs w:val="20"/>
              </w:rPr>
              <w:t>)</w:t>
            </w:r>
          </w:p>
        </w:tc>
      </w:tr>
      <w:tr w:rsidR="007B219A" w:rsidRPr="00F93D3F" w14:paraId="49B49F01" w14:textId="77777777" w:rsidTr="00A50304">
        <w:trPr>
          <w:jc w:val="center"/>
        </w:trPr>
        <w:tc>
          <w:tcPr>
            <w:tcW w:w="2235" w:type="dxa"/>
            <w:shd w:val="clear" w:color="auto" w:fill="auto"/>
          </w:tcPr>
          <w:p w14:paraId="7D602D31" w14:textId="77777777" w:rsidR="007B219A" w:rsidRPr="00F93D3F" w:rsidRDefault="007B219A" w:rsidP="00A50304">
            <w:pPr>
              <w:jc w:val="both"/>
              <w:rPr>
                <w:color w:val="1C1D1E"/>
                <w:sz w:val="20"/>
                <w:szCs w:val="20"/>
              </w:rPr>
            </w:pPr>
            <w:r w:rsidRPr="00F93D3F">
              <w:rPr>
                <w:color w:val="1C1D1E"/>
                <w:sz w:val="20"/>
                <w:szCs w:val="20"/>
              </w:rPr>
              <w:t>CRP</w:t>
            </w:r>
          </w:p>
        </w:tc>
        <w:tc>
          <w:tcPr>
            <w:tcW w:w="2126" w:type="dxa"/>
            <w:shd w:val="clear" w:color="auto" w:fill="auto"/>
          </w:tcPr>
          <w:p w14:paraId="6DB2A0F7" w14:textId="77777777" w:rsidR="007B219A" w:rsidRPr="00F93D3F" w:rsidRDefault="007B219A" w:rsidP="00A50304">
            <w:pPr>
              <w:jc w:val="both"/>
              <w:rPr>
                <w:color w:val="1C1D1E"/>
                <w:sz w:val="20"/>
                <w:szCs w:val="20"/>
              </w:rPr>
            </w:pPr>
            <w:r w:rsidRPr="00F93D3F">
              <w:rPr>
                <w:color w:val="1C1D1E"/>
                <w:sz w:val="20"/>
                <w:szCs w:val="20"/>
              </w:rPr>
              <w:t>117 (100)</w:t>
            </w:r>
          </w:p>
        </w:tc>
        <w:tc>
          <w:tcPr>
            <w:tcW w:w="2410" w:type="dxa"/>
            <w:shd w:val="clear" w:color="auto" w:fill="auto"/>
          </w:tcPr>
          <w:p w14:paraId="78D620C8" w14:textId="77777777" w:rsidR="007B219A" w:rsidRPr="00F93D3F" w:rsidRDefault="007B219A" w:rsidP="00A50304">
            <w:pPr>
              <w:jc w:val="both"/>
              <w:rPr>
                <w:color w:val="1C1D1E"/>
                <w:sz w:val="20"/>
                <w:szCs w:val="20"/>
              </w:rPr>
            </w:pPr>
            <w:r w:rsidRPr="00F93D3F">
              <w:rPr>
                <w:color w:val="1C1D1E"/>
                <w:sz w:val="20"/>
                <w:szCs w:val="20"/>
              </w:rPr>
              <w:t>7 (5.98)</w:t>
            </w:r>
          </w:p>
        </w:tc>
      </w:tr>
      <w:tr w:rsidR="007B219A" w:rsidRPr="00F93D3F" w14:paraId="4296EAC5" w14:textId="77777777" w:rsidTr="00A50304">
        <w:trPr>
          <w:jc w:val="center"/>
        </w:trPr>
        <w:tc>
          <w:tcPr>
            <w:tcW w:w="2235" w:type="dxa"/>
            <w:tcBorders>
              <w:bottom w:val="single" w:sz="4" w:space="0" w:color="auto"/>
            </w:tcBorders>
            <w:shd w:val="clear" w:color="auto" w:fill="auto"/>
          </w:tcPr>
          <w:p w14:paraId="3144B711" w14:textId="77777777" w:rsidR="007B219A" w:rsidRPr="00F93D3F" w:rsidRDefault="007B219A" w:rsidP="00A50304">
            <w:pPr>
              <w:jc w:val="both"/>
              <w:rPr>
                <w:color w:val="1C1D1E"/>
                <w:sz w:val="20"/>
                <w:szCs w:val="20"/>
              </w:rPr>
            </w:pPr>
            <w:r w:rsidRPr="00F93D3F">
              <w:rPr>
                <w:color w:val="1C1D1E"/>
                <w:sz w:val="20"/>
                <w:szCs w:val="20"/>
              </w:rPr>
              <w:t>PCT</w:t>
            </w:r>
          </w:p>
        </w:tc>
        <w:tc>
          <w:tcPr>
            <w:tcW w:w="2126" w:type="dxa"/>
            <w:tcBorders>
              <w:bottom w:val="single" w:sz="4" w:space="0" w:color="auto"/>
            </w:tcBorders>
            <w:shd w:val="clear" w:color="auto" w:fill="auto"/>
          </w:tcPr>
          <w:p w14:paraId="342FC884" w14:textId="77777777" w:rsidR="007B219A" w:rsidRPr="00F93D3F" w:rsidRDefault="007B219A" w:rsidP="00A50304">
            <w:pPr>
              <w:jc w:val="both"/>
              <w:rPr>
                <w:color w:val="1C1D1E"/>
                <w:sz w:val="20"/>
                <w:szCs w:val="20"/>
              </w:rPr>
            </w:pPr>
            <w:r w:rsidRPr="00F93D3F">
              <w:rPr>
                <w:color w:val="1C1D1E"/>
                <w:sz w:val="20"/>
                <w:szCs w:val="20"/>
              </w:rPr>
              <w:t>85 (72.7)</w:t>
            </w:r>
          </w:p>
        </w:tc>
        <w:tc>
          <w:tcPr>
            <w:tcW w:w="2410" w:type="dxa"/>
            <w:tcBorders>
              <w:bottom w:val="single" w:sz="4" w:space="0" w:color="auto"/>
            </w:tcBorders>
            <w:shd w:val="clear" w:color="auto" w:fill="auto"/>
          </w:tcPr>
          <w:p w14:paraId="282C326B" w14:textId="77777777" w:rsidR="007B219A" w:rsidRPr="00F93D3F" w:rsidRDefault="007B219A" w:rsidP="00A50304">
            <w:pPr>
              <w:jc w:val="both"/>
              <w:rPr>
                <w:color w:val="1C1D1E"/>
                <w:sz w:val="20"/>
                <w:szCs w:val="20"/>
              </w:rPr>
            </w:pPr>
            <w:r w:rsidRPr="00F93D3F">
              <w:rPr>
                <w:color w:val="1C1D1E"/>
                <w:sz w:val="20"/>
                <w:szCs w:val="20"/>
              </w:rPr>
              <w:t>47 (55.4)</w:t>
            </w:r>
          </w:p>
        </w:tc>
      </w:tr>
      <w:tr w:rsidR="007B219A" w:rsidRPr="00F93D3F" w14:paraId="0A00854E" w14:textId="77777777" w:rsidTr="00A50304">
        <w:trPr>
          <w:jc w:val="center"/>
        </w:trPr>
        <w:tc>
          <w:tcPr>
            <w:tcW w:w="6771" w:type="dxa"/>
            <w:gridSpan w:val="3"/>
            <w:tcBorders>
              <w:top w:val="single" w:sz="4" w:space="0" w:color="auto"/>
              <w:bottom w:val="single" w:sz="4" w:space="0" w:color="auto"/>
            </w:tcBorders>
            <w:shd w:val="clear" w:color="auto" w:fill="8EAADB" w:themeFill="accent1" w:themeFillTint="99"/>
          </w:tcPr>
          <w:p w14:paraId="32B94E60" w14:textId="77777777" w:rsidR="007B219A" w:rsidRPr="00F93D3F" w:rsidRDefault="007B219A" w:rsidP="00A50304">
            <w:pPr>
              <w:jc w:val="both"/>
              <w:rPr>
                <w:b/>
                <w:bCs/>
                <w:color w:val="1C1D1E"/>
                <w:sz w:val="20"/>
                <w:szCs w:val="20"/>
              </w:rPr>
            </w:pPr>
            <w:r w:rsidRPr="00F93D3F">
              <w:rPr>
                <w:b/>
                <w:bCs/>
                <w:color w:val="1C1D1E"/>
                <w:sz w:val="20"/>
                <w:szCs w:val="20"/>
              </w:rPr>
              <w:t>Neonatal Day 1 Bloods:</w:t>
            </w:r>
          </w:p>
        </w:tc>
      </w:tr>
      <w:tr w:rsidR="007B219A" w:rsidRPr="00F93D3F" w14:paraId="3DBD200D" w14:textId="77777777" w:rsidTr="00A50304">
        <w:trPr>
          <w:jc w:val="center"/>
        </w:trPr>
        <w:tc>
          <w:tcPr>
            <w:tcW w:w="2235" w:type="dxa"/>
            <w:tcBorders>
              <w:top w:val="single" w:sz="4" w:space="0" w:color="auto"/>
              <w:bottom w:val="single" w:sz="4" w:space="0" w:color="auto"/>
              <w:right w:val="single" w:sz="4" w:space="0" w:color="auto"/>
            </w:tcBorders>
            <w:shd w:val="clear" w:color="auto" w:fill="D9E2F3" w:themeFill="accent1" w:themeFillTint="33"/>
          </w:tcPr>
          <w:p w14:paraId="5106BF4D" w14:textId="77777777" w:rsidR="007B219A" w:rsidRPr="00F93D3F" w:rsidRDefault="007B219A" w:rsidP="00A50304">
            <w:pPr>
              <w:jc w:val="both"/>
              <w:rPr>
                <w:color w:val="1C1D1E"/>
                <w:sz w:val="20"/>
                <w:szCs w:val="20"/>
              </w:rPr>
            </w:pPr>
            <w:r w:rsidRPr="00F93D3F">
              <w:rPr>
                <w:b/>
                <w:bCs/>
                <w:color w:val="1C1D1E"/>
                <w:sz w:val="20"/>
                <w:szCs w:val="20"/>
              </w:rPr>
              <w:t>Biomarker</w:t>
            </w:r>
          </w:p>
        </w:tc>
        <w:tc>
          <w:tcPr>
            <w:tcW w:w="2126" w:type="dxa"/>
            <w:tcBorders>
              <w:top w:val="single" w:sz="4" w:space="0" w:color="auto"/>
              <w:bottom w:val="single" w:sz="4" w:space="0" w:color="auto"/>
              <w:right w:val="single" w:sz="4" w:space="0" w:color="auto"/>
            </w:tcBorders>
            <w:shd w:val="clear" w:color="auto" w:fill="D9E2F3" w:themeFill="accent1" w:themeFillTint="33"/>
          </w:tcPr>
          <w:p w14:paraId="0AE5CF22" w14:textId="77777777" w:rsidR="007B219A" w:rsidRPr="00F93D3F" w:rsidRDefault="007B219A" w:rsidP="00A50304">
            <w:pPr>
              <w:jc w:val="both"/>
              <w:rPr>
                <w:color w:val="1C1D1E"/>
                <w:sz w:val="20"/>
                <w:szCs w:val="20"/>
              </w:rPr>
            </w:pPr>
            <w:r w:rsidRPr="00F93D3F">
              <w:rPr>
                <w:b/>
                <w:bCs/>
                <w:color w:val="1C1D1E"/>
                <w:sz w:val="20"/>
                <w:szCs w:val="20"/>
              </w:rPr>
              <w:t>Number (%)</w:t>
            </w:r>
          </w:p>
        </w:tc>
        <w:tc>
          <w:tcPr>
            <w:tcW w:w="2410" w:type="dxa"/>
            <w:tcBorders>
              <w:top w:val="single" w:sz="4" w:space="0" w:color="auto"/>
              <w:bottom w:val="single" w:sz="4" w:space="0" w:color="auto"/>
            </w:tcBorders>
            <w:shd w:val="clear" w:color="auto" w:fill="D9E2F3" w:themeFill="accent1" w:themeFillTint="33"/>
          </w:tcPr>
          <w:p w14:paraId="2D47FCE1" w14:textId="77777777" w:rsidR="007B219A" w:rsidRPr="00F93D3F" w:rsidRDefault="007B219A" w:rsidP="00A50304">
            <w:pPr>
              <w:jc w:val="both"/>
              <w:rPr>
                <w:color w:val="1C1D1E"/>
                <w:sz w:val="20"/>
                <w:szCs w:val="20"/>
              </w:rPr>
            </w:pPr>
            <w:r w:rsidRPr="00F93D3F">
              <w:rPr>
                <w:b/>
                <w:bCs/>
                <w:color w:val="1C1D1E"/>
                <w:sz w:val="20"/>
                <w:szCs w:val="20"/>
              </w:rPr>
              <w:t>Number Raised</w:t>
            </w:r>
          </w:p>
        </w:tc>
      </w:tr>
      <w:tr w:rsidR="007B219A" w:rsidRPr="00F93D3F" w14:paraId="55DBC3B4" w14:textId="77777777" w:rsidTr="00A50304">
        <w:trPr>
          <w:jc w:val="center"/>
        </w:trPr>
        <w:tc>
          <w:tcPr>
            <w:tcW w:w="2235" w:type="dxa"/>
            <w:tcBorders>
              <w:top w:val="single" w:sz="4" w:space="0" w:color="auto"/>
            </w:tcBorders>
            <w:shd w:val="clear" w:color="auto" w:fill="auto"/>
          </w:tcPr>
          <w:p w14:paraId="1B83642C" w14:textId="77777777" w:rsidR="007B219A" w:rsidRPr="00F93D3F" w:rsidRDefault="007B219A" w:rsidP="00A50304">
            <w:pPr>
              <w:jc w:val="both"/>
              <w:rPr>
                <w:color w:val="1C1D1E"/>
                <w:sz w:val="20"/>
                <w:szCs w:val="20"/>
              </w:rPr>
            </w:pPr>
            <w:r w:rsidRPr="00F93D3F">
              <w:rPr>
                <w:color w:val="1C1D1E"/>
                <w:sz w:val="20"/>
                <w:szCs w:val="20"/>
              </w:rPr>
              <w:t>CRP</w:t>
            </w:r>
          </w:p>
        </w:tc>
        <w:tc>
          <w:tcPr>
            <w:tcW w:w="2126" w:type="dxa"/>
            <w:tcBorders>
              <w:top w:val="single" w:sz="4" w:space="0" w:color="auto"/>
            </w:tcBorders>
            <w:shd w:val="clear" w:color="auto" w:fill="auto"/>
          </w:tcPr>
          <w:p w14:paraId="1AA6B079" w14:textId="77777777" w:rsidR="007B219A" w:rsidRPr="00F93D3F" w:rsidRDefault="007B219A" w:rsidP="00A50304">
            <w:pPr>
              <w:jc w:val="both"/>
              <w:rPr>
                <w:color w:val="1C1D1E"/>
                <w:sz w:val="20"/>
                <w:szCs w:val="20"/>
              </w:rPr>
            </w:pPr>
            <w:r w:rsidRPr="00F93D3F">
              <w:rPr>
                <w:color w:val="1C1D1E"/>
                <w:sz w:val="20"/>
                <w:szCs w:val="20"/>
              </w:rPr>
              <w:t>117 (100)</w:t>
            </w:r>
          </w:p>
        </w:tc>
        <w:tc>
          <w:tcPr>
            <w:tcW w:w="2410" w:type="dxa"/>
            <w:tcBorders>
              <w:top w:val="single" w:sz="4" w:space="0" w:color="auto"/>
            </w:tcBorders>
            <w:shd w:val="clear" w:color="auto" w:fill="auto"/>
          </w:tcPr>
          <w:p w14:paraId="07CCC630" w14:textId="77777777" w:rsidR="007B219A" w:rsidRPr="00F93D3F" w:rsidRDefault="007B219A" w:rsidP="00A50304">
            <w:pPr>
              <w:jc w:val="both"/>
              <w:rPr>
                <w:color w:val="1C1D1E"/>
                <w:sz w:val="20"/>
                <w:szCs w:val="20"/>
              </w:rPr>
            </w:pPr>
            <w:r w:rsidRPr="00F93D3F">
              <w:rPr>
                <w:color w:val="1C1D1E"/>
                <w:sz w:val="20"/>
                <w:szCs w:val="20"/>
              </w:rPr>
              <w:t>41 (35.04)</w:t>
            </w:r>
          </w:p>
        </w:tc>
      </w:tr>
      <w:tr w:rsidR="007B219A" w:rsidRPr="00F93D3F" w14:paraId="2B629D93" w14:textId="77777777" w:rsidTr="00A50304">
        <w:trPr>
          <w:jc w:val="center"/>
        </w:trPr>
        <w:tc>
          <w:tcPr>
            <w:tcW w:w="2235" w:type="dxa"/>
            <w:tcBorders>
              <w:bottom w:val="single" w:sz="4" w:space="0" w:color="auto"/>
            </w:tcBorders>
            <w:shd w:val="clear" w:color="auto" w:fill="auto"/>
          </w:tcPr>
          <w:p w14:paraId="6AEFA6EE" w14:textId="77777777" w:rsidR="007B219A" w:rsidRPr="00F93D3F" w:rsidRDefault="007B219A" w:rsidP="00A50304">
            <w:pPr>
              <w:jc w:val="both"/>
              <w:rPr>
                <w:color w:val="1C1D1E"/>
                <w:sz w:val="20"/>
                <w:szCs w:val="20"/>
              </w:rPr>
            </w:pPr>
            <w:r w:rsidRPr="00F93D3F">
              <w:rPr>
                <w:color w:val="1C1D1E"/>
                <w:sz w:val="20"/>
                <w:szCs w:val="20"/>
              </w:rPr>
              <w:t>PCT</w:t>
            </w:r>
          </w:p>
        </w:tc>
        <w:tc>
          <w:tcPr>
            <w:tcW w:w="2126" w:type="dxa"/>
            <w:tcBorders>
              <w:bottom w:val="single" w:sz="4" w:space="0" w:color="auto"/>
            </w:tcBorders>
            <w:shd w:val="clear" w:color="auto" w:fill="auto"/>
          </w:tcPr>
          <w:p w14:paraId="06E3F0CD" w14:textId="77777777" w:rsidR="007B219A" w:rsidRPr="00F93D3F" w:rsidRDefault="007B219A" w:rsidP="00A50304">
            <w:pPr>
              <w:jc w:val="both"/>
              <w:rPr>
                <w:color w:val="1C1D1E"/>
                <w:sz w:val="20"/>
                <w:szCs w:val="20"/>
              </w:rPr>
            </w:pPr>
            <w:r w:rsidRPr="00F93D3F">
              <w:rPr>
                <w:color w:val="1C1D1E"/>
                <w:sz w:val="20"/>
                <w:szCs w:val="20"/>
              </w:rPr>
              <w:t>96 (82.1)</w:t>
            </w:r>
          </w:p>
        </w:tc>
        <w:tc>
          <w:tcPr>
            <w:tcW w:w="2410" w:type="dxa"/>
            <w:tcBorders>
              <w:bottom w:val="single" w:sz="4" w:space="0" w:color="auto"/>
            </w:tcBorders>
            <w:shd w:val="clear" w:color="auto" w:fill="auto"/>
          </w:tcPr>
          <w:p w14:paraId="71999128" w14:textId="77777777" w:rsidR="007B219A" w:rsidRPr="00F93D3F" w:rsidRDefault="007B219A" w:rsidP="00A50304">
            <w:pPr>
              <w:jc w:val="both"/>
              <w:rPr>
                <w:color w:val="1C1D1E"/>
                <w:sz w:val="20"/>
                <w:szCs w:val="20"/>
              </w:rPr>
            </w:pPr>
            <w:r w:rsidRPr="00F93D3F">
              <w:rPr>
                <w:color w:val="1C1D1E"/>
                <w:sz w:val="20"/>
                <w:szCs w:val="20"/>
              </w:rPr>
              <w:t>95 (98.9)</w:t>
            </w:r>
          </w:p>
        </w:tc>
      </w:tr>
      <w:tr w:rsidR="007B219A" w:rsidRPr="00F93D3F" w14:paraId="2264C1E4" w14:textId="77777777" w:rsidTr="00A50304">
        <w:trPr>
          <w:jc w:val="center"/>
        </w:trPr>
        <w:tc>
          <w:tcPr>
            <w:tcW w:w="6771" w:type="dxa"/>
            <w:gridSpan w:val="3"/>
            <w:tcBorders>
              <w:top w:val="single" w:sz="4" w:space="0" w:color="auto"/>
              <w:bottom w:val="single" w:sz="4" w:space="0" w:color="auto"/>
            </w:tcBorders>
            <w:shd w:val="clear" w:color="auto" w:fill="8EAADB" w:themeFill="accent1" w:themeFillTint="99"/>
          </w:tcPr>
          <w:p w14:paraId="0143D591" w14:textId="77777777" w:rsidR="007B219A" w:rsidRPr="00F93D3F" w:rsidRDefault="007B219A" w:rsidP="00A50304">
            <w:pPr>
              <w:jc w:val="both"/>
              <w:rPr>
                <w:b/>
                <w:bCs/>
                <w:color w:val="1C1D1E"/>
                <w:sz w:val="20"/>
                <w:szCs w:val="20"/>
              </w:rPr>
            </w:pPr>
            <w:r w:rsidRPr="00F93D3F">
              <w:rPr>
                <w:b/>
                <w:bCs/>
                <w:color w:val="1C1D1E"/>
                <w:sz w:val="20"/>
                <w:szCs w:val="20"/>
              </w:rPr>
              <w:t xml:space="preserve">Neonatal </w:t>
            </w:r>
            <w:r w:rsidRPr="00F93D3F">
              <w:rPr>
                <w:b/>
                <w:bCs/>
                <w:color w:val="1C1D1E"/>
                <w:sz w:val="20"/>
                <w:szCs w:val="20"/>
                <w:shd w:val="clear" w:color="auto" w:fill="8EAADB" w:themeFill="accent1" w:themeFillTint="99"/>
              </w:rPr>
              <w:t>Microbiology Results:</w:t>
            </w:r>
          </w:p>
        </w:tc>
      </w:tr>
      <w:tr w:rsidR="007B219A" w:rsidRPr="00F93D3F" w14:paraId="6E5DB47A" w14:textId="77777777" w:rsidTr="00A50304">
        <w:trPr>
          <w:jc w:val="center"/>
        </w:trPr>
        <w:tc>
          <w:tcPr>
            <w:tcW w:w="2235" w:type="dxa"/>
            <w:tcBorders>
              <w:top w:val="single" w:sz="4" w:space="0" w:color="auto"/>
              <w:bottom w:val="single" w:sz="4" w:space="0" w:color="auto"/>
              <w:right w:val="single" w:sz="4" w:space="0" w:color="auto"/>
            </w:tcBorders>
            <w:shd w:val="clear" w:color="auto" w:fill="D9E2F3" w:themeFill="accent1" w:themeFillTint="33"/>
          </w:tcPr>
          <w:p w14:paraId="0E6F13BC" w14:textId="77777777" w:rsidR="007B219A" w:rsidRPr="00F93D3F" w:rsidRDefault="007B219A" w:rsidP="00A50304">
            <w:pPr>
              <w:jc w:val="both"/>
              <w:rPr>
                <w:b/>
                <w:bCs/>
                <w:color w:val="1C1D1E"/>
                <w:sz w:val="20"/>
                <w:szCs w:val="20"/>
              </w:rPr>
            </w:pPr>
            <w:r w:rsidRPr="00F93D3F">
              <w:rPr>
                <w:b/>
                <w:bCs/>
                <w:color w:val="1C1D1E"/>
                <w:sz w:val="20"/>
                <w:szCs w:val="20"/>
              </w:rPr>
              <w:t>Microbiology Sample</w:t>
            </w:r>
          </w:p>
        </w:tc>
        <w:tc>
          <w:tcPr>
            <w:tcW w:w="2126" w:type="dxa"/>
            <w:tcBorders>
              <w:top w:val="single" w:sz="4" w:space="0" w:color="auto"/>
              <w:bottom w:val="single" w:sz="4" w:space="0" w:color="auto"/>
              <w:right w:val="single" w:sz="4" w:space="0" w:color="auto"/>
            </w:tcBorders>
            <w:shd w:val="clear" w:color="auto" w:fill="D9E2F3" w:themeFill="accent1" w:themeFillTint="33"/>
          </w:tcPr>
          <w:p w14:paraId="5654D259" w14:textId="77777777" w:rsidR="007B219A" w:rsidRPr="00F93D3F" w:rsidRDefault="007B219A" w:rsidP="00A50304">
            <w:pPr>
              <w:jc w:val="both"/>
              <w:rPr>
                <w:b/>
                <w:bCs/>
                <w:color w:val="1C1D1E"/>
                <w:sz w:val="20"/>
                <w:szCs w:val="20"/>
              </w:rPr>
            </w:pPr>
            <w:r w:rsidRPr="00F93D3F">
              <w:rPr>
                <w:b/>
                <w:bCs/>
                <w:color w:val="1C1D1E"/>
                <w:sz w:val="20"/>
                <w:szCs w:val="20"/>
              </w:rPr>
              <w:t>Number (%)</w:t>
            </w:r>
          </w:p>
        </w:tc>
        <w:tc>
          <w:tcPr>
            <w:tcW w:w="2410" w:type="dxa"/>
            <w:tcBorders>
              <w:top w:val="single" w:sz="4" w:space="0" w:color="auto"/>
              <w:bottom w:val="single" w:sz="4" w:space="0" w:color="auto"/>
            </w:tcBorders>
            <w:shd w:val="clear" w:color="auto" w:fill="D9E2F3" w:themeFill="accent1" w:themeFillTint="33"/>
          </w:tcPr>
          <w:p w14:paraId="0F1687A0" w14:textId="77777777" w:rsidR="007B219A" w:rsidRPr="00F93D3F" w:rsidRDefault="007B219A" w:rsidP="00A50304">
            <w:pPr>
              <w:jc w:val="both"/>
              <w:rPr>
                <w:b/>
                <w:bCs/>
                <w:color w:val="1C1D1E"/>
                <w:sz w:val="20"/>
                <w:szCs w:val="20"/>
              </w:rPr>
            </w:pPr>
            <w:r w:rsidRPr="00F93D3F">
              <w:rPr>
                <w:b/>
                <w:bCs/>
                <w:color w:val="1C1D1E"/>
                <w:sz w:val="20"/>
                <w:szCs w:val="20"/>
              </w:rPr>
              <w:t>Positive Culture Growth</w:t>
            </w:r>
          </w:p>
        </w:tc>
      </w:tr>
      <w:tr w:rsidR="007B219A" w:rsidRPr="00F93D3F" w14:paraId="42161F05" w14:textId="77777777" w:rsidTr="00A50304">
        <w:trPr>
          <w:jc w:val="center"/>
        </w:trPr>
        <w:tc>
          <w:tcPr>
            <w:tcW w:w="2235" w:type="dxa"/>
            <w:tcBorders>
              <w:top w:val="single" w:sz="4" w:space="0" w:color="auto"/>
            </w:tcBorders>
            <w:shd w:val="clear" w:color="auto" w:fill="auto"/>
          </w:tcPr>
          <w:p w14:paraId="1BE1A4BC" w14:textId="77777777" w:rsidR="007B219A" w:rsidRPr="00F93D3F" w:rsidRDefault="007B219A" w:rsidP="00A50304">
            <w:pPr>
              <w:jc w:val="both"/>
              <w:rPr>
                <w:color w:val="1C1D1E"/>
                <w:sz w:val="20"/>
                <w:szCs w:val="20"/>
              </w:rPr>
            </w:pPr>
            <w:r w:rsidRPr="00F93D3F">
              <w:rPr>
                <w:color w:val="1C1D1E"/>
                <w:sz w:val="20"/>
                <w:szCs w:val="20"/>
              </w:rPr>
              <w:t>Blood Cultures</w:t>
            </w:r>
          </w:p>
        </w:tc>
        <w:tc>
          <w:tcPr>
            <w:tcW w:w="2126" w:type="dxa"/>
            <w:tcBorders>
              <w:top w:val="single" w:sz="4" w:space="0" w:color="auto"/>
            </w:tcBorders>
            <w:shd w:val="clear" w:color="auto" w:fill="auto"/>
          </w:tcPr>
          <w:p w14:paraId="3A796FE1" w14:textId="77777777" w:rsidR="007B219A" w:rsidRPr="00F93D3F" w:rsidRDefault="007B219A" w:rsidP="00A50304">
            <w:pPr>
              <w:jc w:val="both"/>
              <w:rPr>
                <w:color w:val="1C1D1E"/>
                <w:sz w:val="20"/>
                <w:szCs w:val="20"/>
              </w:rPr>
            </w:pPr>
            <w:r w:rsidRPr="00F93D3F">
              <w:rPr>
                <w:color w:val="1C1D1E"/>
                <w:sz w:val="20"/>
                <w:szCs w:val="20"/>
              </w:rPr>
              <w:t>117 (100)</w:t>
            </w:r>
          </w:p>
        </w:tc>
        <w:tc>
          <w:tcPr>
            <w:tcW w:w="2410" w:type="dxa"/>
            <w:tcBorders>
              <w:top w:val="single" w:sz="4" w:space="0" w:color="auto"/>
            </w:tcBorders>
            <w:shd w:val="clear" w:color="auto" w:fill="auto"/>
          </w:tcPr>
          <w:p w14:paraId="5FC5CB53" w14:textId="77777777" w:rsidR="007B219A" w:rsidRPr="00F93D3F" w:rsidRDefault="007B219A" w:rsidP="00A50304">
            <w:pPr>
              <w:jc w:val="both"/>
              <w:rPr>
                <w:color w:val="1C1D1E"/>
                <w:sz w:val="20"/>
                <w:szCs w:val="20"/>
              </w:rPr>
            </w:pPr>
            <w:r w:rsidRPr="00F93D3F">
              <w:rPr>
                <w:color w:val="1C1D1E"/>
                <w:sz w:val="20"/>
                <w:szCs w:val="20"/>
              </w:rPr>
              <w:t>0</w:t>
            </w:r>
          </w:p>
        </w:tc>
      </w:tr>
      <w:tr w:rsidR="007B219A" w:rsidRPr="00F93D3F" w14:paraId="7D672E8C" w14:textId="77777777" w:rsidTr="00A50304">
        <w:trPr>
          <w:jc w:val="center"/>
        </w:trPr>
        <w:tc>
          <w:tcPr>
            <w:tcW w:w="2235" w:type="dxa"/>
            <w:tcBorders>
              <w:bottom w:val="single" w:sz="4" w:space="0" w:color="auto"/>
            </w:tcBorders>
            <w:shd w:val="clear" w:color="auto" w:fill="auto"/>
          </w:tcPr>
          <w:p w14:paraId="65B0E3EC" w14:textId="77777777" w:rsidR="007B219A" w:rsidRPr="00F93D3F" w:rsidRDefault="007B219A" w:rsidP="00A50304">
            <w:pPr>
              <w:jc w:val="both"/>
              <w:rPr>
                <w:color w:val="1C1D1E"/>
                <w:sz w:val="20"/>
                <w:szCs w:val="20"/>
              </w:rPr>
            </w:pPr>
            <w:r w:rsidRPr="00F93D3F">
              <w:rPr>
                <w:color w:val="1C1D1E"/>
                <w:sz w:val="20"/>
                <w:szCs w:val="20"/>
              </w:rPr>
              <w:t>Lumbar Puncture CSF</w:t>
            </w:r>
          </w:p>
        </w:tc>
        <w:tc>
          <w:tcPr>
            <w:tcW w:w="2126" w:type="dxa"/>
            <w:tcBorders>
              <w:bottom w:val="single" w:sz="4" w:space="0" w:color="auto"/>
            </w:tcBorders>
            <w:shd w:val="clear" w:color="auto" w:fill="auto"/>
          </w:tcPr>
          <w:p w14:paraId="4E24BE28" w14:textId="77777777" w:rsidR="007B219A" w:rsidRPr="00F93D3F" w:rsidRDefault="007B219A" w:rsidP="00A50304">
            <w:pPr>
              <w:jc w:val="both"/>
              <w:rPr>
                <w:color w:val="1C1D1E"/>
                <w:sz w:val="20"/>
                <w:szCs w:val="20"/>
              </w:rPr>
            </w:pPr>
            <w:r w:rsidRPr="00F93D3F">
              <w:rPr>
                <w:color w:val="1C1D1E"/>
                <w:sz w:val="20"/>
                <w:szCs w:val="20"/>
              </w:rPr>
              <w:t>26 (22.2)</w:t>
            </w:r>
          </w:p>
        </w:tc>
        <w:tc>
          <w:tcPr>
            <w:tcW w:w="2410" w:type="dxa"/>
            <w:tcBorders>
              <w:bottom w:val="single" w:sz="4" w:space="0" w:color="auto"/>
            </w:tcBorders>
            <w:shd w:val="clear" w:color="auto" w:fill="auto"/>
          </w:tcPr>
          <w:p w14:paraId="729FF42C" w14:textId="77777777" w:rsidR="007B219A" w:rsidRPr="00F93D3F" w:rsidRDefault="007B219A" w:rsidP="00A50304">
            <w:pPr>
              <w:jc w:val="both"/>
              <w:rPr>
                <w:color w:val="1C1D1E"/>
                <w:sz w:val="20"/>
                <w:szCs w:val="20"/>
              </w:rPr>
            </w:pPr>
            <w:r w:rsidRPr="00F93D3F">
              <w:rPr>
                <w:color w:val="1C1D1E"/>
                <w:sz w:val="20"/>
                <w:szCs w:val="20"/>
              </w:rPr>
              <w:t>0</w:t>
            </w:r>
          </w:p>
        </w:tc>
      </w:tr>
    </w:tbl>
    <w:p w14:paraId="7A71A6B8" w14:textId="42C305C8" w:rsidR="007B219A" w:rsidRPr="00F93D3F" w:rsidRDefault="007B219A" w:rsidP="007B219A">
      <w:pPr>
        <w:rPr>
          <w:color w:val="1C1D1E"/>
          <w:sz w:val="20"/>
          <w:szCs w:val="20"/>
        </w:rPr>
      </w:pPr>
      <w:r w:rsidRPr="00F93D3F">
        <w:rPr>
          <w:b/>
          <w:bCs/>
          <w:color w:val="1C1D1E"/>
          <w:sz w:val="20"/>
          <w:szCs w:val="20"/>
        </w:rPr>
        <w:t>Table 2</w:t>
      </w:r>
      <w:r w:rsidRPr="00F93D3F">
        <w:rPr>
          <w:color w:val="1C1D1E"/>
          <w:sz w:val="20"/>
          <w:szCs w:val="20"/>
        </w:rPr>
        <w:t xml:space="preserve">: Total number of neonatal biomarker and microbiology samples completed </w:t>
      </w:r>
      <w:r w:rsidR="00C12A5A">
        <w:rPr>
          <w:color w:val="1C1D1E"/>
          <w:sz w:val="20"/>
          <w:szCs w:val="20"/>
        </w:rPr>
        <w:t>with results</w:t>
      </w:r>
      <w:r w:rsidRPr="00F93D3F">
        <w:rPr>
          <w:color w:val="1C1D1E"/>
          <w:sz w:val="20"/>
          <w:szCs w:val="20"/>
        </w:rPr>
        <w:t xml:space="preserve">.  Data are presented as number (percentage).  *Raised PCT = </w:t>
      </w:r>
      <w:r w:rsidRPr="00F93D3F">
        <w:rPr>
          <w:rFonts w:cs="Arial"/>
          <w:color w:val="202124"/>
          <w:sz w:val="20"/>
          <w:szCs w:val="20"/>
        </w:rPr>
        <w:t>≥</w:t>
      </w:r>
      <w:r w:rsidRPr="00F93D3F">
        <w:rPr>
          <w:color w:val="000000"/>
          <w:sz w:val="20"/>
          <w:szCs w:val="20"/>
        </w:rPr>
        <w:t>0.25</w:t>
      </w:r>
      <w:r w:rsidRPr="00F93D3F">
        <w:rPr>
          <w:color w:val="202124"/>
          <w:sz w:val="20"/>
          <w:szCs w:val="20"/>
        </w:rPr>
        <w:t xml:space="preserve">ug/L, Raised CRP = </w:t>
      </w:r>
      <w:r w:rsidRPr="00F93D3F">
        <w:rPr>
          <w:rFonts w:cs="Arial"/>
          <w:color w:val="202124"/>
          <w:sz w:val="20"/>
          <w:szCs w:val="20"/>
        </w:rPr>
        <w:t>≥</w:t>
      </w:r>
      <w:r w:rsidRPr="00F93D3F">
        <w:rPr>
          <w:color w:val="000000"/>
          <w:sz w:val="20"/>
          <w:szCs w:val="20"/>
        </w:rPr>
        <w:t>10mg/L, Raised WCC = &gt;</w:t>
      </w:r>
      <w:r>
        <w:rPr>
          <w:color w:val="000000"/>
          <w:sz w:val="20"/>
          <w:szCs w:val="20"/>
        </w:rPr>
        <w:t>30</w:t>
      </w:r>
      <w:r w:rsidRPr="00F93D3F">
        <w:rPr>
          <w:color w:val="000000"/>
          <w:sz w:val="20"/>
          <w:szCs w:val="20"/>
        </w:rPr>
        <w:t>x10</w:t>
      </w:r>
      <w:r w:rsidRPr="00F93D3F">
        <w:rPr>
          <w:color w:val="000000"/>
          <w:sz w:val="20"/>
          <w:szCs w:val="20"/>
          <w:vertAlign w:val="superscript"/>
        </w:rPr>
        <w:t>9</w:t>
      </w:r>
      <w:r w:rsidRPr="00F93D3F">
        <w:rPr>
          <w:color w:val="000000"/>
          <w:sz w:val="20"/>
          <w:szCs w:val="20"/>
        </w:rPr>
        <w:t>/L</w:t>
      </w:r>
    </w:p>
    <w:p w14:paraId="20F4A217" w14:textId="3DCBA6D9" w:rsidR="009566DD" w:rsidRDefault="009566DD" w:rsidP="00580388">
      <w:pPr>
        <w:pStyle w:val="ListParagraph"/>
        <w:spacing w:line="480" w:lineRule="auto"/>
        <w:rPr>
          <w:color w:val="000000" w:themeColor="text1"/>
          <w:sz w:val="20"/>
          <w:szCs w:val="20"/>
        </w:rPr>
      </w:pPr>
    </w:p>
    <w:p w14:paraId="48CCA853" w14:textId="054D5E92" w:rsidR="0000037C" w:rsidRDefault="0000037C" w:rsidP="00580388">
      <w:pPr>
        <w:pStyle w:val="ListParagraph"/>
        <w:spacing w:line="480" w:lineRule="auto"/>
        <w:rPr>
          <w:color w:val="000000" w:themeColor="text1"/>
          <w:sz w:val="20"/>
          <w:szCs w:val="20"/>
        </w:rPr>
      </w:pPr>
    </w:p>
    <w:p w14:paraId="0431C7C8" w14:textId="5EE69032" w:rsidR="0000037C" w:rsidRDefault="0000037C" w:rsidP="00580388">
      <w:pPr>
        <w:pStyle w:val="ListParagraph"/>
        <w:spacing w:line="480" w:lineRule="auto"/>
        <w:rPr>
          <w:color w:val="000000" w:themeColor="text1"/>
          <w:sz w:val="20"/>
          <w:szCs w:val="20"/>
        </w:rPr>
      </w:pPr>
    </w:p>
    <w:p w14:paraId="4E36AF32" w14:textId="414A5E5B" w:rsidR="0000037C" w:rsidRDefault="0000037C" w:rsidP="00580388">
      <w:pPr>
        <w:pStyle w:val="ListParagraph"/>
        <w:spacing w:line="480" w:lineRule="auto"/>
        <w:rPr>
          <w:color w:val="000000" w:themeColor="text1"/>
          <w:sz w:val="20"/>
          <w:szCs w:val="20"/>
        </w:rPr>
      </w:pPr>
    </w:p>
    <w:p w14:paraId="5D1298C8" w14:textId="446B9257" w:rsidR="00F73817" w:rsidRDefault="00F73817" w:rsidP="00580388">
      <w:pPr>
        <w:pStyle w:val="ListParagraph"/>
        <w:spacing w:line="480" w:lineRule="auto"/>
        <w:rPr>
          <w:color w:val="000000" w:themeColor="text1"/>
          <w:sz w:val="20"/>
          <w:szCs w:val="20"/>
        </w:rPr>
      </w:pPr>
    </w:p>
    <w:p w14:paraId="6DD9FCCD" w14:textId="0EDE9531" w:rsidR="00F73817" w:rsidRDefault="00F73817" w:rsidP="00580388">
      <w:pPr>
        <w:pStyle w:val="ListParagraph"/>
        <w:spacing w:line="480" w:lineRule="auto"/>
        <w:rPr>
          <w:color w:val="000000" w:themeColor="text1"/>
          <w:sz w:val="20"/>
          <w:szCs w:val="20"/>
        </w:rPr>
      </w:pPr>
    </w:p>
    <w:p w14:paraId="0C0E23BD" w14:textId="5C1F0C3F" w:rsidR="00F73817" w:rsidRDefault="00F73817" w:rsidP="00580388">
      <w:pPr>
        <w:pStyle w:val="ListParagraph"/>
        <w:spacing w:line="480" w:lineRule="auto"/>
        <w:rPr>
          <w:color w:val="000000" w:themeColor="text1"/>
          <w:sz w:val="20"/>
          <w:szCs w:val="20"/>
        </w:rPr>
      </w:pPr>
    </w:p>
    <w:p w14:paraId="2E25C5E6" w14:textId="38CCED6D" w:rsidR="00F73817" w:rsidRDefault="00F73817" w:rsidP="00580388">
      <w:pPr>
        <w:pStyle w:val="ListParagraph"/>
        <w:spacing w:line="480" w:lineRule="auto"/>
        <w:rPr>
          <w:color w:val="000000" w:themeColor="text1"/>
          <w:sz w:val="20"/>
          <w:szCs w:val="20"/>
        </w:rPr>
      </w:pPr>
    </w:p>
    <w:p w14:paraId="28BD35B5" w14:textId="280DE09C" w:rsidR="00F73817" w:rsidRDefault="00F73817" w:rsidP="00580388">
      <w:pPr>
        <w:pStyle w:val="ListParagraph"/>
        <w:spacing w:line="480" w:lineRule="auto"/>
        <w:rPr>
          <w:color w:val="000000" w:themeColor="text1"/>
          <w:sz w:val="20"/>
          <w:szCs w:val="20"/>
        </w:rPr>
      </w:pPr>
    </w:p>
    <w:p w14:paraId="376E763F" w14:textId="48609257" w:rsidR="00F73817" w:rsidRDefault="00F73817" w:rsidP="00580388">
      <w:pPr>
        <w:pStyle w:val="ListParagraph"/>
        <w:spacing w:line="480" w:lineRule="auto"/>
        <w:rPr>
          <w:color w:val="000000" w:themeColor="text1"/>
          <w:sz w:val="20"/>
          <w:szCs w:val="20"/>
        </w:rPr>
      </w:pPr>
    </w:p>
    <w:p w14:paraId="3BDAF4DD" w14:textId="62204891" w:rsidR="00F73817" w:rsidRDefault="00F73817" w:rsidP="00580388">
      <w:pPr>
        <w:pStyle w:val="ListParagraph"/>
        <w:spacing w:line="480" w:lineRule="auto"/>
        <w:rPr>
          <w:color w:val="000000" w:themeColor="text1"/>
          <w:sz w:val="20"/>
          <w:szCs w:val="20"/>
        </w:rPr>
      </w:pPr>
    </w:p>
    <w:p w14:paraId="0B8CD399" w14:textId="47E2E22F" w:rsidR="00F73817" w:rsidRDefault="00F73817" w:rsidP="00580388">
      <w:pPr>
        <w:pStyle w:val="ListParagraph"/>
        <w:spacing w:line="480" w:lineRule="auto"/>
        <w:rPr>
          <w:color w:val="000000" w:themeColor="text1"/>
          <w:sz w:val="20"/>
          <w:szCs w:val="20"/>
        </w:rPr>
      </w:pPr>
    </w:p>
    <w:p w14:paraId="660C025C" w14:textId="5E34E80E" w:rsidR="00F73817" w:rsidRDefault="00F73817" w:rsidP="00580388">
      <w:pPr>
        <w:pStyle w:val="ListParagraph"/>
        <w:spacing w:line="480" w:lineRule="auto"/>
        <w:rPr>
          <w:color w:val="000000" w:themeColor="text1"/>
          <w:sz w:val="20"/>
          <w:szCs w:val="20"/>
        </w:rPr>
      </w:pPr>
    </w:p>
    <w:p w14:paraId="2EB756E0" w14:textId="28EB6152" w:rsidR="00F73817" w:rsidRDefault="00F73817" w:rsidP="00580388">
      <w:pPr>
        <w:pStyle w:val="ListParagraph"/>
        <w:spacing w:line="480" w:lineRule="auto"/>
        <w:rPr>
          <w:color w:val="000000" w:themeColor="text1"/>
          <w:sz w:val="20"/>
          <w:szCs w:val="20"/>
        </w:rPr>
      </w:pPr>
    </w:p>
    <w:p w14:paraId="690151F1" w14:textId="1660CA47" w:rsidR="00F73817" w:rsidRDefault="00F73817" w:rsidP="00580388">
      <w:pPr>
        <w:pStyle w:val="ListParagraph"/>
        <w:spacing w:line="480" w:lineRule="auto"/>
        <w:rPr>
          <w:color w:val="000000" w:themeColor="text1"/>
          <w:sz w:val="20"/>
          <w:szCs w:val="20"/>
        </w:rPr>
      </w:pPr>
    </w:p>
    <w:p w14:paraId="1A3CC45C" w14:textId="426B14B4" w:rsidR="001758C7" w:rsidRDefault="001758C7" w:rsidP="00580388">
      <w:pPr>
        <w:pStyle w:val="ListParagraph"/>
        <w:spacing w:line="480" w:lineRule="auto"/>
        <w:rPr>
          <w:color w:val="000000" w:themeColor="text1"/>
          <w:sz w:val="20"/>
          <w:szCs w:val="20"/>
        </w:rPr>
      </w:pPr>
    </w:p>
    <w:p w14:paraId="21061ECD" w14:textId="77777777" w:rsidR="001758C7" w:rsidRDefault="001758C7" w:rsidP="00580388">
      <w:pPr>
        <w:pStyle w:val="ListParagraph"/>
        <w:spacing w:line="480" w:lineRule="auto"/>
        <w:rPr>
          <w:color w:val="000000" w:themeColor="text1"/>
          <w:sz w:val="20"/>
          <w:szCs w:val="20"/>
        </w:rPr>
      </w:pPr>
    </w:p>
    <w:p w14:paraId="057B513D" w14:textId="176744A0" w:rsidR="00F73817" w:rsidRDefault="00F73817" w:rsidP="00580388">
      <w:pPr>
        <w:pStyle w:val="ListParagraph"/>
        <w:spacing w:line="480" w:lineRule="auto"/>
        <w:rPr>
          <w:color w:val="000000" w:themeColor="text1"/>
          <w:sz w:val="20"/>
          <w:szCs w:val="20"/>
        </w:rPr>
      </w:pPr>
    </w:p>
    <w:p w14:paraId="6FC05E14" w14:textId="1EF2A5EF" w:rsidR="00F73817" w:rsidRDefault="00F73817" w:rsidP="00580388">
      <w:pPr>
        <w:pStyle w:val="ListParagraph"/>
        <w:spacing w:line="480" w:lineRule="auto"/>
        <w:rPr>
          <w:color w:val="000000" w:themeColor="text1"/>
          <w:sz w:val="20"/>
          <w:szCs w:val="20"/>
        </w:rPr>
      </w:pPr>
    </w:p>
    <w:p w14:paraId="5DD48F73" w14:textId="6916D4BC" w:rsidR="00F73817" w:rsidRDefault="00F73817" w:rsidP="00580388">
      <w:pPr>
        <w:pStyle w:val="ListParagraph"/>
        <w:spacing w:line="480" w:lineRule="auto"/>
        <w:rPr>
          <w:color w:val="000000" w:themeColor="text1"/>
          <w:sz w:val="20"/>
          <w:szCs w:val="20"/>
        </w:rPr>
      </w:pPr>
    </w:p>
    <w:p w14:paraId="3F7C4D44" w14:textId="62A1C44E" w:rsidR="00F9104F" w:rsidRDefault="00F9104F" w:rsidP="002F12AB">
      <w:pPr>
        <w:spacing w:line="480" w:lineRule="auto"/>
        <w:rPr>
          <w:color w:val="000000" w:themeColor="text1"/>
          <w:sz w:val="20"/>
          <w:szCs w:val="20"/>
        </w:rPr>
      </w:pPr>
    </w:p>
    <w:p w14:paraId="72F4C178" w14:textId="77777777" w:rsidR="00AA6EF8" w:rsidRPr="002F12AB" w:rsidRDefault="00AA6EF8" w:rsidP="002F12AB">
      <w:pPr>
        <w:spacing w:line="480" w:lineRule="auto"/>
        <w:rPr>
          <w:color w:val="000000" w:themeColor="text1"/>
          <w:sz w:val="20"/>
          <w:szCs w:val="20"/>
        </w:rPr>
      </w:pPr>
    </w:p>
    <w:p w14:paraId="6E0EE16F" w14:textId="77777777" w:rsidR="00F9104F" w:rsidRPr="00D33DED" w:rsidRDefault="00F9104F" w:rsidP="00580388">
      <w:pPr>
        <w:pStyle w:val="ListParagraph"/>
        <w:spacing w:line="480" w:lineRule="auto"/>
        <w:rPr>
          <w:color w:val="000000" w:themeColor="text1"/>
          <w:sz w:val="20"/>
          <w:szCs w:val="20"/>
        </w:rPr>
      </w:pPr>
    </w:p>
    <w:p w14:paraId="03822D9E" w14:textId="5EAD0995" w:rsidR="00F85D51" w:rsidRPr="00F85D51" w:rsidRDefault="00F85D51" w:rsidP="00F85D51">
      <w:pPr>
        <w:spacing w:line="480" w:lineRule="auto"/>
        <w:jc w:val="center"/>
        <w:rPr>
          <w:b/>
          <w:bCs/>
          <w:sz w:val="20"/>
          <w:szCs w:val="20"/>
        </w:rPr>
      </w:pPr>
      <w:r w:rsidRPr="00F85D51">
        <w:rPr>
          <w:b/>
          <w:bCs/>
          <w:sz w:val="20"/>
          <w:szCs w:val="20"/>
        </w:rPr>
        <w:t>Figure Legends:</w:t>
      </w:r>
    </w:p>
    <w:p w14:paraId="0EF42D90" w14:textId="77777777" w:rsidR="00F85D51" w:rsidRPr="00F85D51" w:rsidRDefault="00F85D51" w:rsidP="00F85D51">
      <w:pPr>
        <w:rPr>
          <w:sz w:val="20"/>
          <w:szCs w:val="20"/>
        </w:rPr>
      </w:pPr>
      <w:r w:rsidRPr="00F85D51">
        <w:rPr>
          <w:b/>
          <w:bCs/>
          <w:sz w:val="20"/>
          <w:szCs w:val="20"/>
        </w:rPr>
        <w:t>Figure 1</w:t>
      </w:r>
      <w:r w:rsidRPr="00F85D51">
        <w:rPr>
          <w:sz w:val="20"/>
          <w:szCs w:val="20"/>
        </w:rPr>
        <w:t xml:space="preserve">: Box Plot graphs showing the spread of biomarker (WCC, CRP and PCT) results with quartiles represented by the lines across the 3 determined </w:t>
      </w:r>
      <w:r w:rsidRPr="00F85D51">
        <w:rPr>
          <w:color w:val="1C1D1E"/>
          <w:sz w:val="20"/>
          <w:szCs w:val="20"/>
        </w:rPr>
        <w:t>categories of ‘high-suspicion bacterial sepsis,’ ‘equivocal bacterial sepsis’ and ‘low-suspicion bacterial sepsis.’</w:t>
      </w:r>
      <w:r w:rsidRPr="00F85D51">
        <w:rPr>
          <w:sz w:val="20"/>
          <w:szCs w:val="20"/>
        </w:rPr>
        <w:t xml:space="preserve"> The top three graphs represent the ‘Time 0’ blood results and the bottom two graphs represent the ‘Day 1’ blood results. </w:t>
      </w:r>
    </w:p>
    <w:p w14:paraId="4884A2BC" w14:textId="77777777" w:rsidR="00F85D51" w:rsidRPr="00F85D51" w:rsidRDefault="00F85D51" w:rsidP="00F85D51">
      <w:pPr>
        <w:rPr>
          <w:sz w:val="20"/>
          <w:szCs w:val="20"/>
        </w:rPr>
      </w:pPr>
      <w:r w:rsidRPr="00F85D51">
        <w:rPr>
          <w:color w:val="1C1D1E"/>
          <w:sz w:val="20"/>
          <w:szCs w:val="20"/>
        </w:rPr>
        <w:t>*BS = Bacterial sepsis.</w:t>
      </w:r>
    </w:p>
    <w:p w14:paraId="4BE2B935" w14:textId="77777777" w:rsidR="00F85D51" w:rsidRPr="00F85D51" w:rsidRDefault="00F85D51" w:rsidP="00F85D51">
      <w:pPr>
        <w:rPr>
          <w:b/>
          <w:bCs/>
          <w:color w:val="1C1D1E"/>
          <w:sz w:val="20"/>
          <w:szCs w:val="20"/>
        </w:rPr>
      </w:pPr>
    </w:p>
    <w:p w14:paraId="5ADBF285" w14:textId="74D98BAB" w:rsidR="00F85D51" w:rsidRDefault="00F85D51" w:rsidP="00F85D51">
      <w:pPr>
        <w:rPr>
          <w:color w:val="1C1D1E"/>
          <w:sz w:val="20"/>
          <w:szCs w:val="20"/>
        </w:rPr>
      </w:pPr>
      <w:r w:rsidRPr="00F85D51">
        <w:rPr>
          <w:b/>
          <w:bCs/>
          <w:color w:val="1C1D1E"/>
          <w:sz w:val="20"/>
          <w:szCs w:val="20"/>
        </w:rPr>
        <w:t>Figure 2:</w:t>
      </w:r>
      <w:r w:rsidRPr="00F85D51">
        <w:rPr>
          <w:color w:val="1C1D1E"/>
          <w:sz w:val="20"/>
          <w:szCs w:val="20"/>
        </w:rPr>
        <w:t xml:space="preserve"> Neonatal Mean PCT results for the 3</w:t>
      </w:r>
      <w:r w:rsidRPr="00F85D51">
        <w:rPr>
          <w:sz w:val="20"/>
          <w:szCs w:val="20"/>
        </w:rPr>
        <w:t xml:space="preserve"> determined </w:t>
      </w:r>
      <w:r w:rsidRPr="00F85D51">
        <w:rPr>
          <w:color w:val="1C1D1E"/>
          <w:sz w:val="20"/>
          <w:szCs w:val="20"/>
        </w:rPr>
        <w:t>categories of ‘high-suspicion bacterial sepsis,’ ‘equivocal bacterial sepsis’ and ‘low-suspicion bacterial sepsis,’ for their ‘Time 0’ and ‘Day 1’ blood samples. *BS = Bacterial sepsis.</w:t>
      </w:r>
      <w:r w:rsidRPr="00F85D51">
        <w:rPr>
          <w:color w:val="202124"/>
          <w:sz w:val="20"/>
          <w:szCs w:val="20"/>
          <w:shd w:val="clear" w:color="auto" w:fill="FFFFFF"/>
        </w:rPr>
        <w:t xml:space="preserve"> </w:t>
      </w:r>
      <w:r w:rsidRPr="00F85D51">
        <w:rPr>
          <w:color w:val="1C1D1E"/>
          <w:sz w:val="20"/>
          <w:szCs w:val="20"/>
        </w:rPr>
        <w:t>PCT units =</w:t>
      </w:r>
      <w:r w:rsidRPr="00F85D51">
        <w:rPr>
          <w:color w:val="000000" w:themeColor="text1"/>
          <w:sz w:val="20"/>
          <w:szCs w:val="20"/>
          <w:shd w:val="clear" w:color="auto" w:fill="FFFFFF"/>
        </w:rPr>
        <w:t xml:space="preserve"> ug/L</w:t>
      </w:r>
      <w:r w:rsidRPr="00F85D51">
        <w:rPr>
          <w:color w:val="1C1D1E"/>
          <w:sz w:val="20"/>
          <w:szCs w:val="20"/>
        </w:rPr>
        <w:t xml:space="preserve"> </w:t>
      </w:r>
    </w:p>
    <w:p w14:paraId="58D005D9" w14:textId="77777777" w:rsidR="00F85D51" w:rsidRPr="00F85D51" w:rsidRDefault="00F85D51" w:rsidP="00F85D51">
      <w:pPr>
        <w:rPr>
          <w:color w:val="1C1D1E"/>
          <w:sz w:val="20"/>
          <w:szCs w:val="20"/>
        </w:rPr>
      </w:pPr>
    </w:p>
    <w:p w14:paraId="467BB124" w14:textId="77777777" w:rsidR="00F85D51" w:rsidRPr="00F85D51" w:rsidRDefault="00F85D51" w:rsidP="00F85D51">
      <w:pPr>
        <w:textAlignment w:val="baseline"/>
        <w:rPr>
          <w:b/>
          <w:bCs/>
          <w:color w:val="000000" w:themeColor="text1"/>
          <w:kern w:val="24"/>
          <w:sz w:val="20"/>
          <w:szCs w:val="20"/>
        </w:rPr>
      </w:pPr>
      <w:r w:rsidRPr="00F85D51">
        <w:rPr>
          <w:b/>
          <w:bCs/>
          <w:color w:val="000000" w:themeColor="text1"/>
          <w:kern w:val="24"/>
          <w:sz w:val="20"/>
          <w:szCs w:val="20"/>
        </w:rPr>
        <w:t xml:space="preserve">Figure 3: </w:t>
      </w:r>
      <w:r w:rsidRPr="00F85D51">
        <w:rPr>
          <w:sz w:val="20"/>
          <w:szCs w:val="20"/>
        </w:rPr>
        <w:t>Box Plot graphs showing the spread of</w:t>
      </w:r>
      <w:r w:rsidRPr="00F85D51">
        <w:rPr>
          <w:color w:val="000000" w:themeColor="text1"/>
          <w:kern w:val="24"/>
          <w:sz w:val="20"/>
          <w:szCs w:val="20"/>
        </w:rPr>
        <w:t xml:space="preserve"> placental histopathology scores with the quartiles for the 3 determined categories for </w:t>
      </w:r>
      <w:r w:rsidRPr="00F85D51">
        <w:rPr>
          <w:color w:val="1C1D1E"/>
          <w:sz w:val="20"/>
          <w:szCs w:val="20"/>
        </w:rPr>
        <w:t>‘high-suspicion bacterial sepsis,’ ‘equivocal bacterial sepsis’ and ‘low-suspicion bacterial sepsis.’</w:t>
      </w:r>
    </w:p>
    <w:p w14:paraId="1AF22F9A" w14:textId="12ED8662" w:rsidR="00F85D51" w:rsidRPr="00D33DED" w:rsidRDefault="00F85D51" w:rsidP="00580388">
      <w:pPr>
        <w:spacing w:line="480" w:lineRule="auto"/>
        <w:rPr>
          <w:sz w:val="20"/>
          <w:szCs w:val="20"/>
        </w:rPr>
      </w:pPr>
    </w:p>
    <w:sectPr w:rsidR="00F85D51" w:rsidRPr="00D33DED" w:rsidSect="004601B0">
      <w:headerReference w:type="even" r:id="rId11"/>
      <w:headerReference w:type="default" r:id="rId12"/>
      <w:pgSz w:w="11906" w:h="16838"/>
      <w:pgMar w:top="1134" w:right="1134" w:bottom="1134" w:left="1134"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FA928" w14:textId="77777777" w:rsidR="00CC5C23" w:rsidRDefault="00CC5C23" w:rsidP="00F229DB">
      <w:r>
        <w:separator/>
      </w:r>
    </w:p>
  </w:endnote>
  <w:endnote w:type="continuationSeparator" w:id="0">
    <w:p w14:paraId="34EAC613" w14:textId="77777777" w:rsidR="00CC5C23" w:rsidRDefault="00CC5C23" w:rsidP="00F22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292D6" w14:textId="77777777" w:rsidR="00CC5C23" w:rsidRDefault="00CC5C23" w:rsidP="00F229DB">
      <w:r>
        <w:separator/>
      </w:r>
    </w:p>
  </w:footnote>
  <w:footnote w:type="continuationSeparator" w:id="0">
    <w:p w14:paraId="06AEC36D" w14:textId="77777777" w:rsidR="00CC5C23" w:rsidRDefault="00CC5C23" w:rsidP="00F22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9236731"/>
      <w:docPartObj>
        <w:docPartGallery w:val="Page Numbers (Top of Page)"/>
        <w:docPartUnique/>
      </w:docPartObj>
    </w:sdtPr>
    <w:sdtEndPr>
      <w:rPr>
        <w:rStyle w:val="PageNumber"/>
      </w:rPr>
    </w:sdtEndPr>
    <w:sdtContent>
      <w:p w14:paraId="511455A8" w14:textId="3346CB6F" w:rsidR="00F229DB" w:rsidRDefault="00F229DB" w:rsidP="00CB71C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D936B3" w14:textId="77777777" w:rsidR="00F229DB" w:rsidRDefault="00F229DB" w:rsidP="00F229D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62127388"/>
      <w:docPartObj>
        <w:docPartGallery w:val="Page Numbers (Top of Page)"/>
        <w:docPartUnique/>
      </w:docPartObj>
    </w:sdtPr>
    <w:sdtEndPr>
      <w:rPr>
        <w:rStyle w:val="PageNumber"/>
      </w:rPr>
    </w:sdtEndPr>
    <w:sdtContent>
      <w:p w14:paraId="7986188A" w14:textId="3F65B1C2" w:rsidR="00F229DB" w:rsidRDefault="00F229DB" w:rsidP="00CB71C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CA4CE2B" w14:textId="77777777" w:rsidR="00F229DB" w:rsidRDefault="00F229DB" w:rsidP="00F229D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7EF6"/>
    <w:multiLevelType w:val="hybridMultilevel"/>
    <w:tmpl w:val="E0FA8B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8A5948"/>
    <w:multiLevelType w:val="hybridMultilevel"/>
    <w:tmpl w:val="00A630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4E00D8"/>
    <w:multiLevelType w:val="hybridMultilevel"/>
    <w:tmpl w:val="E83E364E"/>
    <w:lvl w:ilvl="0" w:tplc="97BC9D6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540777D"/>
    <w:multiLevelType w:val="hybridMultilevel"/>
    <w:tmpl w:val="78945872"/>
    <w:lvl w:ilvl="0" w:tplc="C16A973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C33C75"/>
    <w:multiLevelType w:val="hybridMultilevel"/>
    <w:tmpl w:val="932696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088"/>
    <w:rsid w:val="0000037C"/>
    <w:rsid w:val="0003605B"/>
    <w:rsid w:val="00037B4D"/>
    <w:rsid w:val="00054F11"/>
    <w:rsid w:val="0008300C"/>
    <w:rsid w:val="000A0AF1"/>
    <w:rsid w:val="000A195F"/>
    <w:rsid w:val="000A315C"/>
    <w:rsid w:val="000C585D"/>
    <w:rsid w:val="000F3181"/>
    <w:rsid w:val="001064C2"/>
    <w:rsid w:val="001524BA"/>
    <w:rsid w:val="00164229"/>
    <w:rsid w:val="001670D0"/>
    <w:rsid w:val="00167EFB"/>
    <w:rsid w:val="001758C7"/>
    <w:rsid w:val="0018556A"/>
    <w:rsid w:val="00190EBC"/>
    <w:rsid w:val="00192D5A"/>
    <w:rsid w:val="001F64AA"/>
    <w:rsid w:val="00205F4F"/>
    <w:rsid w:val="00214DA5"/>
    <w:rsid w:val="00231637"/>
    <w:rsid w:val="0023756F"/>
    <w:rsid w:val="0024354E"/>
    <w:rsid w:val="0024375F"/>
    <w:rsid w:val="00254446"/>
    <w:rsid w:val="00261FAB"/>
    <w:rsid w:val="002940F1"/>
    <w:rsid w:val="002C47DC"/>
    <w:rsid w:val="002D2B25"/>
    <w:rsid w:val="002E10DC"/>
    <w:rsid w:val="002F12AB"/>
    <w:rsid w:val="00304E97"/>
    <w:rsid w:val="00310347"/>
    <w:rsid w:val="00323D11"/>
    <w:rsid w:val="003267AA"/>
    <w:rsid w:val="00342636"/>
    <w:rsid w:val="00356FC7"/>
    <w:rsid w:val="00377C11"/>
    <w:rsid w:val="00390CA0"/>
    <w:rsid w:val="003A5BFF"/>
    <w:rsid w:val="003B7C6D"/>
    <w:rsid w:val="003C21BB"/>
    <w:rsid w:val="003C6459"/>
    <w:rsid w:val="00412542"/>
    <w:rsid w:val="00432D03"/>
    <w:rsid w:val="004601B0"/>
    <w:rsid w:val="00473063"/>
    <w:rsid w:val="00481C18"/>
    <w:rsid w:val="0048330B"/>
    <w:rsid w:val="00496309"/>
    <w:rsid w:val="004A7931"/>
    <w:rsid w:val="00506DF7"/>
    <w:rsid w:val="00556734"/>
    <w:rsid w:val="00557C40"/>
    <w:rsid w:val="00580388"/>
    <w:rsid w:val="005B13A4"/>
    <w:rsid w:val="005C6C74"/>
    <w:rsid w:val="005F0EDD"/>
    <w:rsid w:val="006170D9"/>
    <w:rsid w:val="006363A4"/>
    <w:rsid w:val="006433F0"/>
    <w:rsid w:val="00643D25"/>
    <w:rsid w:val="0065314F"/>
    <w:rsid w:val="00655F8E"/>
    <w:rsid w:val="00665013"/>
    <w:rsid w:val="00676157"/>
    <w:rsid w:val="00685747"/>
    <w:rsid w:val="00685F2E"/>
    <w:rsid w:val="006A3893"/>
    <w:rsid w:val="006A6A88"/>
    <w:rsid w:val="006C27B5"/>
    <w:rsid w:val="006D5E50"/>
    <w:rsid w:val="00703B78"/>
    <w:rsid w:val="00713356"/>
    <w:rsid w:val="007171E7"/>
    <w:rsid w:val="00733822"/>
    <w:rsid w:val="00734FE3"/>
    <w:rsid w:val="0073725D"/>
    <w:rsid w:val="00753C68"/>
    <w:rsid w:val="00757A01"/>
    <w:rsid w:val="007640EC"/>
    <w:rsid w:val="0076641D"/>
    <w:rsid w:val="0077541D"/>
    <w:rsid w:val="00776294"/>
    <w:rsid w:val="0078589D"/>
    <w:rsid w:val="007A003A"/>
    <w:rsid w:val="007B219A"/>
    <w:rsid w:val="007E1F92"/>
    <w:rsid w:val="007E7781"/>
    <w:rsid w:val="0080191F"/>
    <w:rsid w:val="008045FA"/>
    <w:rsid w:val="0080682E"/>
    <w:rsid w:val="00811846"/>
    <w:rsid w:val="00815B3D"/>
    <w:rsid w:val="00836D6C"/>
    <w:rsid w:val="00842825"/>
    <w:rsid w:val="0088442C"/>
    <w:rsid w:val="0088627D"/>
    <w:rsid w:val="00890C7E"/>
    <w:rsid w:val="008D08D3"/>
    <w:rsid w:val="008D6EFB"/>
    <w:rsid w:val="009009AA"/>
    <w:rsid w:val="0092646C"/>
    <w:rsid w:val="00930C53"/>
    <w:rsid w:val="00937293"/>
    <w:rsid w:val="00950088"/>
    <w:rsid w:val="00950AE9"/>
    <w:rsid w:val="009566DD"/>
    <w:rsid w:val="009876CE"/>
    <w:rsid w:val="009A65C5"/>
    <w:rsid w:val="009D2FFB"/>
    <w:rsid w:val="009E6D65"/>
    <w:rsid w:val="00A34B6F"/>
    <w:rsid w:val="00A51B17"/>
    <w:rsid w:val="00A54728"/>
    <w:rsid w:val="00A61E40"/>
    <w:rsid w:val="00A62947"/>
    <w:rsid w:val="00A73418"/>
    <w:rsid w:val="00AA0616"/>
    <w:rsid w:val="00AA166A"/>
    <w:rsid w:val="00AA6C77"/>
    <w:rsid w:val="00AA6EF8"/>
    <w:rsid w:val="00AB0C75"/>
    <w:rsid w:val="00AB1738"/>
    <w:rsid w:val="00AC44DE"/>
    <w:rsid w:val="00B100B5"/>
    <w:rsid w:val="00B8407E"/>
    <w:rsid w:val="00B85D8F"/>
    <w:rsid w:val="00BA7CB7"/>
    <w:rsid w:val="00BB305A"/>
    <w:rsid w:val="00BC7C91"/>
    <w:rsid w:val="00BE6564"/>
    <w:rsid w:val="00BF5928"/>
    <w:rsid w:val="00BF70F3"/>
    <w:rsid w:val="00C12A5A"/>
    <w:rsid w:val="00C23ADA"/>
    <w:rsid w:val="00C37F7A"/>
    <w:rsid w:val="00C47733"/>
    <w:rsid w:val="00C84D94"/>
    <w:rsid w:val="00C86FA2"/>
    <w:rsid w:val="00C95ED6"/>
    <w:rsid w:val="00CB5001"/>
    <w:rsid w:val="00CC5C23"/>
    <w:rsid w:val="00CD768A"/>
    <w:rsid w:val="00D21DBE"/>
    <w:rsid w:val="00D33DED"/>
    <w:rsid w:val="00D52C67"/>
    <w:rsid w:val="00D55B0C"/>
    <w:rsid w:val="00DA34F5"/>
    <w:rsid w:val="00DE1AC3"/>
    <w:rsid w:val="00E1159F"/>
    <w:rsid w:val="00E2625D"/>
    <w:rsid w:val="00E34138"/>
    <w:rsid w:val="00E65D52"/>
    <w:rsid w:val="00E7265E"/>
    <w:rsid w:val="00E8204B"/>
    <w:rsid w:val="00E82A08"/>
    <w:rsid w:val="00E8687E"/>
    <w:rsid w:val="00EC7F95"/>
    <w:rsid w:val="00EF3A15"/>
    <w:rsid w:val="00F045C3"/>
    <w:rsid w:val="00F229DB"/>
    <w:rsid w:val="00F27500"/>
    <w:rsid w:val="00F41B82"/>
    <w:rsid w:val="00F43CE0"/>
    <w:rsid w:val="00F469D4"/>
    <w:rsid w:val="00F5163A"/>
    <w:rsid w:val="00F53E4F"/>
    <w:rsid w:val="00F70949"/>
    <w:rsid w:val="00F73817"/>
    <w:rsid w:val="00F81E73"/>
    <w:rsid w:val="00F85D51"/>
    <w:rsid w:val="00F9104F"/>
    <w:rsid w:val="00F96B10"/>
    <w:rsid w:val="00FA2A74"/>
    <w:rsid w:val="00FA65E1"/>
    <w:rsid w:val="00FC366E"/>
    <w:rsid w:val="00FF27D6"/>
    <w:rsid w:val="00FF3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7090D"/>
  <w15:chartTrackingRefBased/>
  <w15:docId w15:val="{62EA949B-1153-C343-8776-99D7EE019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5C5"/>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2">
    <w:name w:val="Plain Table 2"/>
    <w:basedOn w:val="TableNormal"/>
    <w:uiPriority w:val="99"/>
    <w:rsid w:val="00950088"/>
    <w:rPr>
      <w:rFonts w:eastAsiaTheme="minorEastAsia"/>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59"/>
    <w:rsid w:val="00950088"/>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3C68"/>
    <w:rPr>
      <w:color w:val="0000FF"/>
      <w:u w:val="single"/>
    </w:rPr>
  </w:style>
  <w:style w:type="paragraph" w:styleId="ListParagraph">
    <w:name w:val="List Paragraph"/>
    <w:basedOn w:val="Normal"/>
    <w:uiPriority w:val="34"/>
    <w:qFormat/>
    <w:rsid w:val="0065314F"/>
    <w:pPr>
      <w:ind w:left="720"/>
      <w:contextualSpacing/>
    </w:pPr>
  </w:style>
  <w:style w:type="character" w:styleId="UnresolvedMention">
    <w:name w:val="Unresolved Mention"/>
    <w:basedOn w:val="DefaultParagraphFont"/>
    <w:uiPriority w:val="99"/>
    <w:semiHidden/>
    <w:unhideWhenUsed/>
    <w:rsid w:val="0065314F"/>
    <w:rPr>
      <w:color w:val="605E5C"/>
      <w:shd w:val="clear" w:color="auto" w:fill="E1DFDD"/>
    </w:rPr>
  </w:style>
  <w:style w:type="character" w:styleId="FollowedHyperlink">
    <w:name w:val="FollowedHyperlink"/>
    <w:basedOn w:val="DefaultParagraphFont"/>
    <w:uiPriority w:val="99"/>
    <w:semiHidden/>
    <w:unhideWhenUsed/>
    <w:rsid w:val="0065314F"/>
    <w:rPr>
      <w:color w:val="954F72" w:themeColor="followedHyperlink"/>
      <w:u w:val="single"/>
    </w:rPr>
  </w:style>
  <w:style w:type="paragraph" w:styleId="NormalWeb">
    <w:name w:val="Normal (Web)"/>
    <w:basedOn w:val="Normal"/>
    <w:uiPriority w:val="99"/>
    <w:semiHidden/>
    <w:unhideWhenUsed/>
    <w:rsid w:val="0065314F"/>
    <w:pPr>
      <w:spacing w:before="100" w:beforeAutospacing="1" w:after="100" w:afterAutospacing="1"/>
    </w:pPr>
  </w:style>
  <w:style w:type="paragraph" w:customStyle="1" w:styleId="Default">
    <w:name w:val="Default"/>
    <w:rsid w:val="00BF5928"/>
    <w:pPr>
      <w:widowControl w:val="0"/>
      <w:autoSpaceDE w:val="0"/>
      <w:autoSpaceDN w:val="0"/>
      <w:adjustRightInd w:val="0"/>
    </w:pPr>
    <w:rPr>
      <w:rFonts w:ascii="Calibri" w:eastAsiaTheme="minorEastAsia" w:hAnsi="Calibri" w:cs="Calibri"/>
      <w:color w:val="000000"/>
      <w:lang w:val="en-US"/>
    </w:rPr>
  </w:style>
  <w:style w:type="character" w:customStyle="1" w:styleId="apple-converted-space">
    <w:name w:val="apple-converted-space"/>
    <w:basedOn w:val="DefaultParagraphFont"/>
    <w:rsid w:val="00AB1738"/>
  </w:style>
  <w:style w:type="paragraph" w:styleId="Header">
    <w:name w:val="header"/>
    <w:basedOn w:val="Normal"/>
    <w:link w:val="HeaderChar"/>
    <w:uiPriority w:val="99"/>
    <w:unhideWhenUsed/>
    <w:rsid w:val="00F229DB"/>
    <w:pPr>
      <w:tabs>
        <w:tab w:val="center" w:pos="4513"/>
        <w:tab w:val="right" w:pos="9026"/>
      </w:tabs>
    </w:pPr>
  </w:style>
  <w:style w:type="character" w:customStyle="1" w:styleId="HeaderChar">
    <w:name w:val="Header Char"/>
    <w:basedOn w:val="DefaultParagraphFont"/>
    <w:link w:val="Header"/>
    <w:uiPriority w:val="99"/>
    <w:rsid w:val="00F229DB"/>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F229DB"/>
  </w:style>
  <w:style w:type="character" w:styleId="LineNumber">
    <w:name w:val="line number"/>
    <w:basedOn w:val="DefaultParagraphFont"/>
    <w:uiPriority w:val="99"/>
    <w:semiHidden/>
    <w:unhideWhenUsed/>
    <w:rsid w:val="00460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43489">
      <w:bodyDiv w:val="1"/>
      <w:marLeft w:val="0"/>
      <w:marRight w:val="0"/>
      <w:marTop w:val="0"/>
      <w:marBottom w:val="0"/>
      <w:divBdr>
        <w:top w:val="none" w:sz="0" w:space="0" w:color="auto"/>
        <w:left w:val="none" w:sz="0" w:space="0" w:color="auto"/>
        <w:bottom w:val="none" w:sz="0" w:space="0" w:color="auto"/>
        <w:right w:val="none" w:sz="0" w:space="0" w:color="auto"/>
      </w:divBdr>
    </w:div>
    <w:div w:id="303198035">
      <w:bodyDiv w:val="1"/>
      <w:marLeft w:val="0"/>
      <w:marRight w:val="0"/>
      <w:marTop w:val="0"/>
      <w:marBottom w:val="0"/>
      <w:divBdr>
        <w:top w:val="none" w:sz="0" w:space="0" w:color="auto"/>
        <w:left w:val="none" w:sz="0" w:space="0" w:color="auto"/>
        <w:bottom w:val="none" w:sz="0" w:space="0" w:color="auto"/>
        <w:right w:val="none" w:sz="0" w:space="0" w:color="auto"/>
      </w:divBdr>
    </w:div>
    <w:div w:id="429401173">
      <w:bodyDiv w:val="1"/>
      <w:marLeft w:val="0"/>
      <w:marRight w:val="0"/>
      <w:marTop w:val="0"/>
      <w:marBottom w:val="0"/>
      <w:divBdr>
        <w:top w:val="none" w:sz="0" w:space="0" w:color="auto"/>
        <w:left w:val="none" w:sz="0" w:space="0" w:color="auto"/>
        <w:bottom w:val="none" w:sz="0" w:space="0" w:color="auto"/>
        <w:right w:val="none" w:sz="0" w:space="0" w:color="auto"/>
      </w:divBdr>
    </w:div>
    <w:div w:id="540166477">
      <w:bodyDiv w:val="1"/>
      <w:marLeft w:val="0"/>
      <w:marRight w:val="0"/>
      <w:marTop w:val="0"/>
      <w:marBottom w:val="0"/>
      <w:divBdr>
        <w:top w:val="none" w:sz="0" w:space="0" w:color="auto"/>
        <w:left w:val="none" w:sz="0" w:space="0" w:color="auto"/>
        <w:bottom w:val="none" w:sz="0" w:space="0" w:color="auto"/>
        <w:right w:val="none" w:sz="0" w:space="0" w:color="auto"/>
      </w:divBdr>
    </w:div>
    <w:div w:id="832532404">
      <w:bodyDiv w:val="1"/>
      <w:marLeft w:val="0"/>
      <w:marRight w:val="0"/>
      <w:marTop w:val="0"/>
      <w:marBottom w:val="0"/>
      <w:divBdr>
        <w:top w:val="none" w:sz="0" w:space="0" w:color="auto"/>
        <w:left w:val="none" w:sz="0" w:space="0" w:color="auto"/>
        <w:bottom w:val="none" w:sz="0" w:space="0" w:color="auto"/>
        <w:right w:val="none" w:sz="0" w:space="0" w:color="auto"/>
      </w:divBdr>
    </w:div>
    <w:div w:id="934749622">
      <w:bodyDiv w:val="1"/>
      <w:marLeft w:val="0"/>
      <w:marRight w:val="0"/>
      <w:marTop w:val="0"/>
      <w:marBottom w:val="0"/>
      <w:divBdr>
        <w:top w:val="none" w:sz="0" w:space="0" w:color="auto"/>
        <w:left w:val="none" w:sz="0" w:space="0" w:color="auto"/>
        <w:bottom w:val="none" w:sz="0" w:space="0" w:color="auto"/>
        <w:right w:val="none" w:sz="0" w:space="0" w:color="auto"/>
      </w:divBdr>
    </w:div>
    <w:div w:id="1058432111">
      <w:bodyDiv w:val="1"/>
      <w:marLeft w:val="0"/>
      <w:marRight w:val="0"/>
      <w:marTop w:val="0"/>
      <w:marBottom w:val="0"/>
      <w:divBdr>
        <w:top w:val="none" w:sz="0" w:space="0" w:color="auto"/>
        <w:left w:val="none" w:sz="0" w:space="0" w:color="auto"/>
        <w:bottom w:val="none" w:sz="0" w:space="0" w:color="auto"/>
        <w:right w:val="none" w:sz="0" w:space="0" w:color="auto"/>
      </w:divBdr>
    </w:div>
    <w:div w:id="1365910730">
      <w:bodyDiv w:val="1"/>
      <w:marLeft w:val="0"/>
      <w:marRight w:val="0"/>
      <w:marTop w:val="0"/>
      <w:marBottom w:val="0"/>
      <w:divBdr>
        <w:top w:val="none" w:sz="0" w:space="0" w:color="auto"/>
        <w:left w:val="none" w:sz="0" w:space="0" w:color="auto"/>
        <w:bottom w:val="none" w:sz="0" w:space="0" w:color="auto"/>
        <w:right w:val="none" w:sz="0" w:space="0" w:color="auto"/>
      </w:divBdr>
    </w:div>
    <w:div w:id="1508060871">
      <w:bodyDiv w:val="1"/>
      <w:marLeft w:val="0"/>
      <w:marRight w:val="0"/>
      <w:marTop w:val="0"/>
      <w:marBottom w:val="0"/>
      <w:divBdr>
        <w:top w:val="none" w:sz="0" w:space="0" w:color="auto"/>
        <w:left w:val="none" w:sz="0" w:space="0" w:color="auto"/>
        <w:bottom w:val="none" w:sz="0" w:space="0" w:color="auto"/>
        <w:right w:val="none" w:sz="0" w:space="0" w:color="auto"/>
      </w:divBdr>
      <w:divsChild>
        <w:div w:id="1297103251">
          <w:marLeft w:val="0"/>
          <w:marRight w:val="0"/>
          <w:marTop w:val="0"/>
          <w:marBottom w:val="0"/>
          <w:divBdr>
            <w:top w:val="none" w:sz="0" w:space="0" w:color="auto"/>
            <w:left w:val="none" w:sz="0" w:space="0" w:color="auto"/>
            <w:bottom w:val="none" w:sz="0" w:space="0" w:color="auto"/>
            <w:right w:val="none" w:sz="0" w:space="0" w:color="auto"/>
          </w:divBdr>
          <w:divsChild>
            <w:div w:id="1120539171">
              <w:marLeft w:val="0"/>
              <w:marRight w:val="0"/>
              <w:marTop w:val="0"/>
              <w:marBottom w:val="0"/>
              <w:divBdr>
                <w:top w:val="none" w:sz="0" w:space="0" w:color="auto"/>
                <w:left w:val="none" w:sz="0" w:space="0" w:color="auto"/>
                <w:bottom w:val="none" w:sz="0" w:space="0" w:color="auto"/>
                <w:right w:val="none" w:sz="0" w:space="0" w:color="auto"/>
              </w:divBdr>
              <w:divsChild>
                <w:div w:id="179289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512225">
      <w:bodyDiv w:val="1"/>
      <w:marLeft w:val="0"/>
      <w:marRight w:val="0"/>
      <w:marTop w:val="0"/>
      <w:marBottom w:val="0"/>
      <w:divBdr>
        <w:top w:val="none" w:sz="0" w:space="0" w:color="auto"/>
        <w:left w:val="none" w:sz="0" w:space="0" w:color="auto"/>
        <w:bottom w:val="none" w:sz="0" w:space="0" w:color="auto"/>
        <w:right w:val="none" w:sz="0" w:space="0" w:color="auto"/>
      </w:divBdr>
    </w:div>
    <w:div w:id="1577086506">
      <w:bodyDiv w:val="1"/>
      <w:marLeft w:val="0"/>
      <w:marRight w:val="0"/>
      <w:marTop w:val="0"/>
      <w:marBottom w:val="0"/>
      <w:divBdr>
        <w:top w:val="none" w:sz="0" w:space="0" w:color="auto"/>
        <w:left w:val="none" w:sz="0" w:space="0" w:color="auto"/>
        <w:bottom w:val="none" w:sz="0" w:space="0" w:color="auto"/>
        <w:right w:val="none" w:sz="0" w:space="0" w:color="auto"/>
      </w:divBdr>
    </w:div>
    <w:div w:id="1606574501">
      <w:bodyDiv w:val="1"/>
      <w:marLeft w:val="0"/>
      <w:marRight w:val="0"/>
      <w:marTop w:val="0"/>
      <w:marBottom w:val="0"/>
      <w:divBdr>
        <w:top w:val="none" w:sz="0" w:space="0" w:color="auto"/>
        <w:left w:val="none" w:sz="0" w:space="0" w:color="auto"/>
        <w:bottom w:val="none" w:sz="0" w:space="0" w:color="auto"/>
        <w:right w:val="none" w:sz="0" w:space="0" w:color="auto"/>
      </w:divBdr>
      <w:divsChild>
        <w:div w:id="1382287787">
          <w:marLeft w:val="0"/>
          <w:marRight w:val="0"/>
          <w:marTop w:val="0"/>
          <w:marBottom w:val="0"/>
          <w:divBdr>
            <w:top w:val="none" w:sz="0" w:space="0" w:color="auto"/>
            <w:left w:val="none" w:sz="0" w:space="0" w:color="auto"/>
            <w:bottom w:val="none" w:sz="0" w:space="0" w:color="auto"/>
            <w:right w:val="none" w:sz="0" w:space="0" w:color="auto"/>
          </w:divBdr>
          <w:divsChild>
            <w:div w:id="1930769097">
              <w:marLeft w:val="0"/>
              <w:marRight w:val="0"/>
              <w:marTop w:val="0"/>
              <w:marBottom w:val="0"/>
              <w:divBdr>
                <w:top w:val="none" w:sz="0" w:space="0" w:color="auto"/>
                <w:left w:val="none" w:sz="0" w:space="0" w:color="auto"/>
                <w:bottom w:val="none" w:sz="0" w:space="0" w:color="auto"/>
                <w:right w:val="none" w:sz="0" w:space="0" w:color="auto"/>
              </w:divBdr>
              <w:divsChild>
                <w:div w:id="146947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958473">
      <w:bodyDiv w:val="1"/>
      <w:marLeft w:val="0"/>
      <w:marRight w:val="0"/>
      <w:marTop w:val="0"/>
      <w:marBottom w:val="0"/>
      <w:divBdr>
        <w:top w:val="none" w:sz="0" w:space="0" w:color="auto"/>
        <w:left w:val="none" w:sz="0" w:space="0" w:color="auto"/>
        <w:bottom w:val="none" w:sz="0" w:space="0" w:color="auto"/>
        <w:right w:val="none" w:sz="0" w:space="0" w:color="auto"/>
      </w:divBdr>
    </w:div>
    <w:div w:id="1949852146">
      <w:bodyDiv w:val="1"/>
      <w:marLeft w:val="0"/>
      <w:marRight w:val="0"/>
      <w:marTop w:val="0"/>
      <w:marBottom w:val="0"/>
      <w:divBdr>
        <w:top w:val="none" w:sz="0" w:space="0" w:color="auto"/>
        <w:left w:val="none" w:sz="0" w:space="0" w:color="auto"/>
        <w:bottom w:val="none" w:sz="0" w:space="0" w:color="auto"/>
        <w:right w:val="none" w:sz="0" w:space="0" w:color="auto"/>
      </w:divBdr>
    </w:div>
    <w:div w:id="196176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agnostics.roche.com/global/en/products/params/elecsys-brahms-procalcitonin-pct.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neonatalsepsiscalculator.kaiserpermanente.org" TargetMode="External"/><Relationship Id="rId4" Type="http://schemas.openxmlformats.org/officeDocument/2006/relationships/settings" Target="settings.xml"/><Relationship Id="rId9" Type="http://schemas.openxmlformats.org/officeDocument/2006/relationships/hyperlink" Target="https://www.nortonsoundhealth.org/wp-content/uploads/Elecsys-BRAHMS-PCT.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2A3FE-C963-CE49-AB64-46BF1B1A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15</Pages>
  <Words>4408</Words>
  <Characters>25131</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walker</dc:creator>
  <cp:keywords/>
  <dc:description/>
  <cp:lastModifiedBy>sarah walker</cp:lastModifiedBy>
  <cp:revision>16</cp:revision>
  <dcterms:created xsi:type="dcterms:W3CDTF">2023-01-20T13:32:00Z</dcterms:created>
  <dcterms:modified xsi:type="dcterms:W3CDTF">2023-03-26T14:36:00Z</dcterms:modified>
</cp:coreProperties>
</file>