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50DF" w14:textId="76ECBA1A" w:rsidR="004C6745" w:rsidRPr="004C6745" w:rsidRDefault="004C6745" w:rsidP="000F3EF5">
      <w:pPr>
        <w:pStyle w:val="MainTitle"/>
      </w:pPr>
      <w:r w:rsidRPr="004C6745">
        <w:t>Chinese Interprovincial Income Disparity via Regional Mobility Dynamics</w:t>
      </w:r>
    </w:p>
    <w:p w14:paraId="1AD1DC5E" w14:textId="47B832AB" w:rsidR="004C6745" w:rsidRPr="004C6745" w:rsidRDefault="004C6745" w:rsidP="000F3EF5">
      <w:pPr>
        <w:pStyle w:val="AuthorsName"/>
        <w:jc w:val="center"/>
      </w:pPr>
      <w:r w:rsidRPr="004C6745">
        <w:t>Archana Kumari</w:t>
      </w:r>
      <w:r w:rsidR="00E74790">
        <w:t xml:space="preserve"> </w:t>
      </w:r>
      <w:r>
        <w:t>and</w:t>
      </w:r>
      <w:r w:rsidRPr="004C6745">
        <w:t xml:space="preserve"> Ian Smith</w:t>
      </w:r>
    </w:p>
    <w:p w14:paraId="2979CC8C" w14:textId="5022C15F" w:rsidR="004C6745" w:rsidRPr="004C6745" w:rsidRDefault="004C6745" w:rsidP="000F3EF5">
      <w:pPr>
        <w:pStyle w:val="AuthorsParagraph"/>
        <w:jc w:val="center"/>
        <w:rPr>
          <w:lang w:val="en-US"/>
        </w:rPr>
      </w:pPr>
      <w:r w:rsidRPr="004C6745">
        <w:rPr>
          <w:lang w:val="en-US"/>
        </w:rPr>
        <w:t>Archana Kumari</w:t>
      </w:r>
      <w:r>
        <w:rPr>
          <w:vertAlign w:val="superscript"/>
          <w:lang w:val="en-US"/>
        </w:rPr>
        <w:t xml:space="preserve"> </w:t>
      </w:r>
      <w:r>
        <w:rPr>
          <w:lang w:val="en-US"/>
        </w:rPr>
        <w:t xml:space="preserve">is at the </w:t>
      </w:r>
      <w:r w:rsidRPr="004C6745">
        <w:rPr>
          <w:lang w:val="en-US"/>
        </w:rPr>
        <w:t>Gloucestershire Business School, University of Gloucestershire, U</w:t>
      </w:r>
      <w:r>
        <w:rPr>
          <w:lang w:val="en-US"/>
        </w:rPr>
        <w:t xml:space="preserve">nited Kingdom. </w:t>
      </w:r>
      <w:r w:rsidRPr="004C6745">
        <w:rPr>
          <w:lang w:val="en-US"/>
        </w:rPr>
        <w:t>Ian Smith</w:t>
      </w:r>
      <w:r>
        <w:rPr>
          <w:vertAlign w:val="superscript"/>
          <w:lang w:val="en-US"/>
        </w:rPr>
        <w:t xml:space="preserve"> </w:t>
      </w:r>
      <w:r>
        <w:rPr>
          <w:lang w:val="en-US"/>
        </w:rPr>
        <w:t>is at B</w:t>
      </w:r>
      <w:r w:rsidRPr="004C6745">
        <w:rPr>
          <w:lang w:val="en-US"/>
        </w:rPr>
        <w:t>ristol Business School, University of the West of England, U</w:t>
      </w:r>
      <w:r>
        <w:rPr>
          <w:lang w:val="en-US"/>
        </w:rPr>
        <w:t xml:space="preserve">nited </w:t>
      </w:r>
      <w:r w:rsidRPr="004C6745">
        <w:rPr>
          <w:lang w:val="en-US"/>
        </w:rPr>
        <w:t>K</w:t>
      </w:r>
      <w:r>
        <w:rPr>
          <w:lang w:val="en-US"/>
        </w:rPr>
        <w:t>ingdom.</w:t>
      </w:r>
    </w:p>
    <w:p w14:paraId="5B3D3138" w14:textId="65B25F9E" w:rsidR="00A65B7C" w:rsidRDefault="004C6745" w:rsidP="00A65B7C">
      <w:pPr>
        <w:pStyle w:val="AbstractText"/>
      </w:pPr>
      <w:r w:rsidRPr="004C6745">
        <w:rPr>
          <w:rFonts w:ascii="CG Omega" w:hAnsi="CG Omega"/>
          <w:b/>
          <w:bCs/>
          <w:i/>
          <w:iCs/>
        </w:rPr>
        <w:t>Abstract</w:t>
      </w:r>
      <w:r>
        <w:t xml:space="preserve">: </w:t>
      </w:r>
      <w:r w:rsidR="00A65B7C">
        <w:t xml:space="preserve">The growth paths in China diverge widely between the rich coastal and poor inland provinces. As a result, the impact of institutional effects on reducing provincial disparity in terms of the </w:t>
      </w:r>
      <w:r w:rsidR="008B20CE">
        <w:t>“</w:t>
      </w:r>
      <w:r w:rsidR="00A65B7C">
        <w:t>Go West</w:t>
      </w:r>
      <w:r w:rsidR="008B20CE">
        <w:t>”</w:t>
      </w:r>
      <w:r w:rsidR="00A65B7C">
        <w:t xml:space="preserve"> policies implemented in the early-2000s appears to be based on the biased cultural attitudes of elites. In this study, the provincial disparity is studied from </w:t>
      </w:r>
      <w:r w:rsidR="001A6B56">
        <w:t xml:space="preserve">the </w:t>
      </w:r>
      <w:r w:rsidR="00A65B7C">
        <w:t>perspective of regional mobility dynamics from 1993 to 2016 employing the X-convergence technique. With regards to findings, the study reveals the predominance of divergence among thirty-one provinces from 1993 until 2005 and convergence during 2005</w:t>
      </w:r>
      <w:r w:rsidR="008B20CE">
        <w:t>–</w:t>
      </w:r>
      <w:r w:rsidR="00A65B7C">
        <w:t xml:space="preserve">2014. However, within the low-income group of provinces, the convergence started predominating after 2008. This suggests that some of the poorest of the poor provinces began to grow faster to catch up with the rest only from 2008, and therefore, the decline in regional disparity truly happened from 2008 which could be the result of </w:t>
      </w:r>
      <w:r w:rsidR="008B20CE">
        <w:t>“</w:t>
      </w:r>
      <w:r w:rsidR="00A65B7C">
        <w:t>Go West</w:t>
      </w:r>
      <w:r w:rsidR="008B20CE">
        <w:t>”</w:t>
      </w:r>
      <w:r w:rsidR="00A65B7C">
        <w:t xml:space="preserve"> policy implementation in the early-2000s. Another important finding of this study is the prevalence of persistence between the income groups indicating rich provinces remain rich and poor remain poor. The implications of this study are particularly important for regional decision making in planning for economic cohesion.</w:t>
      </w:r>
    </w:p>
    <w:p w14:paraId="4F6386D0" w14:textId="77777777" w:rsidR="004753F9" w:rsidRDefault="004753F9" w:rsidP="009C4C75">
      <w:pPr>
        <w:pStyle w:val="AbstractText"/>
        <w:rPr>
          <w:rFonts w:ascii="CG Omega" w:hAnsi="CG Omega"/>
          <w:b/>
          <w:bCs/>
          <w:i/>
          <w:iCs/>
        </w:rPr>
      </w:pPr>
    </w:p>
    <w:p w14:paraId="44D22C20" w14:textId="305F343B" w:rsidR="004C6745" w:rsidRDefault="004C6745" w:rsidP="009C4C75">
      <w:pPr>
        <w:pStyle w:val="AbstractText"/>
      </w:pPr>
      <w:r w:rsidRPr="004C6745">
        <w:rPr>
          <w:rFonts w:ascii="CG Omega" w:hAnsi="CG Omega"/>
          <w:b/>
          <w:bCs/>
          <w:i/>
          <w:iCs/>
        </w:rPr>
        <w:t>Keywords:</w:t>
      </w:r>
      <w:r w:rsidRPr="004C6745">
        <w:t xml:space="preserve"> </w:t>
      </w:r>
      <w:r>
        <w:t>p</w:t>
      </w:r>
      <w:r w:rsidRPr="004C6745">
        <w:t xml:space="preserve">rovincial disparity, </w:t>
      </w:r>
      <w:r w:rsidR="009C4C75" w:rsidRPr="004C6745">
        <w:t>culture-based</w:t>
      </w:r>
      <w:r w:rsidRPr="004C6745">
        <w:t xml:space="preserve"> development, neo-Weberian approach, introvertive perspective, regional mobility dynamics</w:t>
      </w:r>
    </w:p>
    <w:p w14:paraId="4A5D99F0" w14:textId="77777777" w:rsidR="004753F9" w:rsidRDefault="004753F9" w:rsidP="009C4C75">
      <w:pPr>
        <w:pStyle w:val="AbstractText"/>
        <w:rPr>
          <w:rFonts w:ascii="CG Omega" w:hAnsi="CG Omega"/>
          <w:b/>
          <w:bCs/>
          <w:i/>
          <w:iCs/>
        </w:rPr>
      </w:pPr>
    </w:p>
    <w:p w14:paraId="086A855C" w14:textId="3837A910" w:rsidR="004C6745" w:rsidRPr="004C6745" w:rsidRDefault="004C6745" w:rsidP="009C4C75">
      <w:pPr>
        <w:pStyle w:val="AbstractText"/>
        <w:rPr>
          <w:rFonts w:ascii="CG Omega" w:hAnsi="CG Omega"/>
          <w:b/>
          <w:bCs/>
          <w:i/>
          <w:iCs/>
        </w:rPr>
      </w:pPr>
      <w:r w:rsidRPr="004C6745">
        <w:rPr>
          <w:rFonts w:ascii="CG Omega" w:hAnsi="CG Omega"/>
          <w:b/>
          <w:bCs/>
          <w:i/>
          <w:iCs/>
        </w:rPr>
        <w:t xml:space="preserve">JEL Codes: </w:t>
      </w:r>
      <w:r w:rsidR="005F0482" w:rsidRPr="008B20CE">
        <w:t xml:space="preserve">D60, </w:t>
      </w:r>
      <w:r w:rsidR="00677D4D" w:rsidRPr="008B20CE">
        <w:t>D63,</w:t>
      </w:r>
      <w:r w:rsidR="005F0482" w:rsidRPr="008B20CE">
        <w:t xml:space="preserve"> D69</w:t>
      </w:r>
      <w:r w:rsidR="00677D4D">
        <w:rPr>
          <w:rFonts w:ascii="CG Omega" w:hAnsi="CG Omega"/>
          <w:b/>
          <w:bCs/>
          <w:iCs/>
        </w:rPr>
        <w:t xml:space="preserve"> </w:t>
      </w:r>
    </w:p>
    <w:p w14:paraId="0A75CE8F" w14:textId="36DB015A" w:rsidR="004C6745" w:rsidRPr="004C6745" w:rsidRDefault="004C6745" w:rsidP="004C6745">
      <w:pPr>
        <w:pStyle w:val="ArticleTextP1"/>
      </w:pPr>
      <w:r w:rsidRPr="004C6745">
        <w:t xml:space="preserve">The issue of regional disparity becomes important when the disparity persists and hinders the overall regional integration process. The persistence of economic disparities has been explained with the help of a number of factors such as physical capital, human capital, technology, etc. Other factors such as cultural legacies of institutions, values, norms, etc. explaining the regional income inequality have gained attention in the last decade (Tubadji and Nijkamp 2018; Tubadji 2020; Lynn 2008; Pollitt 2008). Accordingly, a common reason behind inequality is considered to be the repetitive </w:t>
      </w:r>
      <w:r w:rsidR="008B20CE">
        <w:t>“</w:t>
      </w:r>
      <w:r w:rsidRPr="004C6745">
        <w:t>institutional corrosive effect</w:t>
      </w:r>
      <w:r w:rsidR="008B20CE">
        <w:t>”</w:t>
      </w:r>
      <w:r w:rsidRPr="004C6745">
        <w:t xml:space="preserve"> as explained by </w:t>
      </w:r>
      <w:r w:rsidR="00911FB1">
        <w:t xml:space="preserve">Leonard </w:t>
      </w:r>
      <w:r w:rsidRPr="004C6745">
        <w:t xml:space="preserve">Seabrooke (2002). In this regard, concentrated wealth and income generated concentrated power at the top which in turn influenced the institutional decision making that advocated the betterment of the elites and the cycle continues. This implies that the disparity persists or widens between rich and poor. </w:t>
      </w:r>
    </w:p>
    <w:p w14:paraId="64820B6E" w14:textId="4295A3AE" w:rsidR="004C6745" w:rsidRPr="004C6745" w:rsidRDefault="004C6745" w:rsidP="004C6745">
      <w:pPr>
        <w:pStyle w:val="ArticleTextP2"/>
      </w:pPr>
      <w:r w:rsidRPr="00E74790">
        <w:t xml:space="preserve">The cultural embeddedness in geographical development </w:t>
      </w:r>
      <w:r w:rsidR="00AA17FD" w:rsidRPr="00E74790">
        <w:t>behavior</w:t>
      </w:r>
      <w:r w:rsidRPr="00E74790">
        <w:t xml:space="preserve"> has been explained by Culture-Based Development (CBD) literature (Tubadji 2020). The literature highlights the significance of culture in local/rural and regional economic systems for the overall development of the national economy</w:t>
      </w:r>
      <w:r w:rsidR="00E74790">
        <w:t>,</w:t>
      </w:r>
      <w:r w:rsidRPr="00E74790">
        <w:t xml:space="preserve"> which is an introversive take on the neo-Weberian approach (Xue</w:t>
      </w:r>
      <w:r w:rsidR="008729C6">
        <w:t xml:space="preserve">, </w:t>
      </w:r>
      <w:r w:rsidR="002A1898" w:rsidRPr="002A1898">
        <w:t>Hong</w:t>
      </w:r>
      <w:r w:rsidR="008729C6">
        <w:t xml:space="preserve">, and </w:t>
      </w:r>
      <w:r w:rsidR="002A1898">
        <w:t>Xu</w:t>
      </w:r>
      <w:r w:rsidRPr="00E74790">
        <w:t xml:space="preserve"> 2020). In other words, CBD results in individual and group cultural biases on economic choices that influence local economic development (Tubadji and Nijkamp 2018). One of the ideas of the neo-Weberian approach encompasses the CBD approach to understand the influence of cultural decision making on regional development.</w:t>
      </w:r>
      <w:r w:rsidRPr="004C6745">
        <w:t xml:space="preserve"> </w:t>
      </w:r>
    </w:p>
    <w:p w14:paraId="6BFD5FBD" w14:textId="605C17BE" w:rsidR="004C6745" w:rsidRPr="004C6745" w:rsidRDefault="004C6745" w:rsidP="004C6745">
      <w:pPr>
        <w:pStyle w:val="ArticleTextP2"/>
      </w:pPr>
      <w:r w:rsidRPr="004C6745">
        <w:lastRenderedPageBreak/>
        <w:t xml:space="preserve">The regional disparity in China highlights the problem of a wide economic gap between coastal and inland regions (Lemoine et al. 2014). The coastal provinces have been more open to the rest of the world through seaport and merchant trading (Lemoine et al. 2014). These provinces initiated a regime of </w:t>
      </w:r>
      <w:r w:rsidR="009C4C75" w:rsidRPr="004C6745">
        <w:t>modernization</w:t>
      </w:r>
      <w:r w:rsidRPr="004C6745">
        <w:t xml:space="preserve"> through the presence of foreign powers, colonial penetration, etc. Coastal regions have modern textile and food industries, commerce, banks, etc. and, therefore, they were more developed than inland. The modernity in the society was reflected in the cultural </w:t>
      </w:r>
      <w:r w:rsidR="00AA17FD">
        <w:t>behavior</w:t>
      </w:r>
      <w:r w:rsidRPr="004C6745">
        <w:t xml:space="preserve"> of elites who influenced institutional decision making for their own development. Reportedly, the gap between provinces’ per capita output was very high during the 1990s.</w:t>
      </w:r>
    </w:p>
    <w:p w14:paraId="724EBB43" w14:textId="5E9DBF9E" w:rsidR="004C6745" w:rsidRPr="004C6745" w:rsidRDefault="004C6745" w:rsidP="004C6745">
      <w:pPr>
        <w:pStyle w:val="ArticleTextP2"/>
      </w:pPr>
      <w:r w:rsidRPr="004C6745">
        <w:t xml:space="preserve">Furthermore, </w:t>
      </w:r>
      <w:r w:rsidR="00911FB1">
        <w:t xml:space="preserve">Branko </w:t>
      </w:r>
      <w:r w:rsidRPr="004C6745">
        <w:t xml:space="preserve">Milanovic (2014) argued that income inequality in China is stimulated by corruption at all levels of government that inhibit policy implementations that could benefit the poor. Likewise, </w:t>
      </w:r>
      <w:r w:rsidR="001614F3" w:rsidRPr="001614F3">
        <w:t>Leonid</w:t>
      </w:r>
      <w:r w:rsidR="001614F3" w:rsidRPr="001614F3" w:rsidDel="001614F3">
        <w:t xml:space="preserve"> </w:t>
      </w:r>
      <w:r w:rsidRPr="004C6745">
        <w:t>Grinin</w:t>
      </w:r>
      <w:r w:rsidR="00154904">
        <w:t>,</w:t>
      </w:r>
      <w:r w:rsidR="001614F3">
        <w:t xml:space="preserve"> </w:t>
      </w:r>
      <w:r w:rsidR="001614F3" w:rsidRPr="001614F3">
        <w:t>Sergey Tsirel, and Andrey Korotayev</w:t>
      </w:r>
      <w:r w:rsidRPr="004C6745">
        <w:t xml:space="preserve"> (2015) argued that limited resources and demographic problems would limit the Chinese economy from growing </w:t>
      </w:r>
      <w:r w:rsidR="00E74790">
        <w:t xml:space="preserve">too </w:t>
      </w:r>
      <w:r w:rsidRPr="004C6745">
        <w:t xml:space="preserve">fast. The evidence shows that the cultural implications of regional biased </w:t>
      </w:r>
      <w:r w:rsidR="00AA17FD">
        <w:t>behavior</w:t>
      </w:r>
      <w:r w:rsidRPr="004C6745">
        <w:t xml:space="preserve"> aggravate the regional disparity highlighting the importance of the institutional corrosive effect and political concentration (Malesky</w:t>
      </w:r>
      <w:r w:rsidR="001534BB">
        <w:t xml:space="preserve">, </w:t>
      </w:r>
      <w:r w:rsidR="001534BB" w:rsidRPr="001534BB">
        <w:t>Abrami</w:t>
      </w:r>
      <w:r w:rsidR="001534BB">
        <w:t xml:space="preserve">, </w:t>
      </w:r>
      <w:r w:rsidR="001534BB" w:rsidRPr="001534BB">
        <w:t>Zheng</w:t>
      </w:r>
      <w:r w:rsidRPr="004C6745">
        <w:t xml:space="preserve"> 2011). Thus, institutional intervention in terms of policy implementation to reduce the regional income disparity is deemed important as it happened during the early-2000s when the Chinese government implemented the </w:t>
      </w:r>
      <w:r w:rsidR="008B20CE">
        <w:t>“</w:t>
      </w:r>
      <w:r w:rsidRPr="004C6745">
        <w:t>Go West</w:t>
      </w:r>
      <w:r w:rsidR="008B20CE">
        <w:t>”</w:t>
      </w:r>
      <w:r w:rsidRPr="004C6745">
        <w:t xml:space="preserve"> policies. This accentuated the importance of regional administration and governance in policy implementation. The successful policy implementation that helped in reducing disparity could be deemed as an effect of neo-Weberian reforms (Byrkjeflot</w:t>
      </w:r>
      <w:r w:rsidR="005F4CBF">
        <w:t xml:space="preserve">, </w:t>
      </w:r>
      <w:r w:rsidR="005F4CBF" w:rsidRPr="005F4CBF">
        <w:t>Gay</w:t>
      </w:r>
      <w:r w:rsidR="005F4CBF">
        <w:t xml:space="preserve">, </w:t>
      </w:r>
      <w:r w:rsidR="005F4CBF" w:rsidRPr="005F4CBF">
        <w:t>Greve</w:t>
      </w:r>
      <w:r w:rsidRPr="004C6745">
        <w:t xml:space="preserve"> 2018; Lynn 2008; Sanderson 1988).</w:t>
      </w:r>
    </w:p>
    <w:p w14:paraId="5172DEDE" w14:textId="0F1D5BFA" w:rsidR="004C6745" w:rsidRPr="004C6745" w:rsidRDefault="004C6745" w:rsidP="004C6745">
      <w:pPr>
        <w:pStyle w:val="ArticleTextP2"/>
      </w:pPr>
      <w:r w:rsidRPr="004C6745">
        <w:t>In this study, Chinese provincial disparity is discussed from a different perspective. The study highlights the importance of the regional mobility perspective to assess the change in rank order positions of the provincial income. This mobility assessment makes a thorough investigation of provinces that have overtaken, lagged behind</w:t>
      </w:r>
      <w:r w:rsidR="00E74790">
        <w:t>,</w:t>
      </w:r>
      <w:r w:rsidRPr="004C6745">
        <w:t xml:space="preserve"> or stagnated compared to others. The methodology that is employed in the study is a pairwise comparative assessment using the X-convergence technique (Webber and White 2003; 2009). First, the provinces will be grouped into high- and low-income groups using a grouping algorithm technique called group-based trajectory method proposed by </w:t>
      </w:r>
      <w:r w:rsidR="00911FB1">
        <w:t xml:space="preserve">Daniel S. </w:t>
      </w:r>
      <w:r w:rsidRPr="004C6745">
        <w:t xml:space="preserve">Nagin (1999). </w:t>
      </w:r>
    </w:p>
    <w:p w14:paraId="3EDCC949" w14:textId="7F00A1B8" w:rsidR="004C6745" w:rsidRPr="004C6745" w:rsidRDefault="004C6745" w:rsidP="004C6745">
      <w:pPr>
        <w:pStyle w:val="ArticleTextP2"/>
      </w:pPr>
      <w:r w:rsidRPr="004C6745">
        <w:t xml:space="preserve">The pairwise assessment will give a thorough outlook on the change in rank order position of provinces. The aim is to examine the implications of the </w:t>
      </w:r>
      <w:r w:rsidR="008B20CE">
        <w:t>“</w:t>
      </w:r>
      <w:r w:rsidRPr="004C6745">
        <w:t>Go West</w:t>
      </w:r>
      <w:r w:rsidR="008B20CE">
        <w:t>”</w:t>
      </w:r>
      <w:r w:rsidRPr="004C6745">
        <w:t xml:space="preserve"> policies on provincial income convergence and divergence while understanding their mobility </w:t>
      </w:r>
      <w:r w:rsidR="00AA17FD">
        <w:t>behavior</w:t>
      </w:r>
      <w:r w:rsidRPr="004C6745">
        <w:t xml:space="preserve">. Regional policies were implemented to attract investment in the western poor provinces in China. </w:t>
      </w:r>
    </w:p>
    <w:p w14:paraId="3722B8CE" w14:textId="3F35632D" w:rsidR="004C6745" w:rsidRPr="004C6745" w:rsidRDefault="004C6745" w:rsidP="001A6148">
      <w:pPr>
        <w:pStyle w:val="ArticleTextP2"/>
      </w:pPr>
      <w:r w:rsidRPr="004C6745">
        <w:rPr>
          <w:noProof/>
          <w:lang w:eastAsia="en-GB"/>
        </w:rPr>
        <w:t xml:space="preserve">Mobility dynamics has been studied in China </w:t>
      </w:r>
      <w:r w:rsidRPr="004C6745">
        <w:t xml:space="preserve">in terms of social mobility for individuals moving from one social stratum to another based on their income, education, </w:t>
      </w:r>
      <w:r w:rsidR="009C4C75" w:rsidRPr="004C6745">
        <w:t>health,</w:t>
      </w:r>
      <w:r w:rsidRPr="004C6745">
        <w:t xml:space="preserve"> and nutrition, among others (Cheong and Wu 2018; Chen and Cowell 2017; Cowell and Flachaire</w:t>
      </w:r>
      <w:r w:rsidR="00911FB1">
        <w:t xml:space="preserve"> </w:t>
      </w:r>
      <w:r w:rsidRPr="004C6745">
        <w:t xml:space="preserve">2018; Khor and Pencavel 2011; Corak, 2013; </w:t>
      </w:r>
      <w:r w:rsidR="001A6148" w:rsidRPr="001A6148">
        <w:t>Sun</w:t>
      </w:r>
      <w:r w:rsidR="001A6148">
        <w:t xml:space="preserve">, </w:t>
      </w:r>
      <w:r w:rsidR="001A6148" w:rsidRPr="001A6148">
        <w:t>Lu</w:t>
      </w:r>
      <w:r w:rsidR="001A6148">
        <w:t xml:space="preserve">, and </w:t>
      </w:r>
      <w:r w:rsidR="001A6148" w:rsidRPr="001A6148">
        <w:t>Bai</w:t>
      </w:r>
      <w:r w:rsidR="001A6B56">
        <w:t xml:space="preserve"> </w:t>
      </w:r>
      <w:r w:rsidRPr="004C6745">
        <w:rPr>
          <w:rFonts w:eastAsia="Times New Roman"/>
          <w:lang w:eastAsia="en-GB"/>
        </w:rPr>
        <w:t>2007</w:t>
      </w:r>
      <w:r w:rsidRPr="004C6745">
        <w:t xml:space="preserve">). However, the use of mobility dynamics has been ignored in the study of regional growth mobility. </w:t>
      </w:r>
      <w:r w:rsidR="00911FB1">
        <w:t xml:space="preserve">Chao </w:t>
      </w:r>
      <w:r w:rsidRPr="004C6745">
        <w:rPr>
          <w:noProof/>
          <w:lang w:eastAsia="en-GB"/>
        </w:rPr>
        <w:t>Wu et al. (2019) emphasi</w:t>
      </w:r>
      <w:r w:rsidR="00E74790">
        <w:rPr>
          <w:noProof/>
          <w:lang w:eastAsia="en-GB"/>
        </w:rPr>
        <w:t>z</w:t>
      </w:r>
      <w:r w:rsidRPr="004C6745">
        <w:rPr>
          <w:noProof/>
          <w:lang w:eastAsia="en-GB"/>
        </w:rPr>
        <w:t xml:space="preserve">ed the need to understand the relative </w:t>
      </w:r>
      <w:r w:rsidR="00AA17FD">
        <w:rPr>
          <w:noProof/>
          <w:lang w:eastAsia="en-GB"/>
        </w:rPr>
        <w:t>behavior</w:t>
      </w:r>
      <w:r w:rsidRPr="004C6745">
        <w:rPr>
          <w:noProof/>
          <w:lang w:eastAsia="en-GB"/>
        </w:rPr>
        <w:t xml:space="preserve">s of regions with regards to regional growth mobility. Just like the gradual social mobility of individuals (either in one generation or multiple generations) from low to high income strata in society is important, the mobility of regions from low to high income group is important for their economic growth and development. </w:t>
      </w:r>
    </w:p>
    <w:p w14:paraId="4A189505" w14:textId="42A42C06" w:rsidR="004C6745" w:rsidRPr="004C6745" w:rsidRDefault="004C6745" w:rsidP="004C6745">
      <w:pPr>
        <w:pStyle w:val="ArticleTextP2"/>
        <w:rPr>
          <w:noProof/>
          <w:lang w:eastAsia="en-GB"/>
        </w:rPr>
      </w:pPr>
      <w:r w:rsidRPr="004C6745">
        <w:rPr>
          <w:noProof/>
          <w:lang w:eastAsia="en-GB"/>
        </w:rPr>
        <w:t xml:space="preserve">With regard to the methodology, a novel technique </w:t>
      </w:r>
      <w:r w:rsidR="00E74790" w:rsidRPr="004C6745">
        <w:rPr>
          <w:noProof/>
          <w:lang w:eastAsia="en-GB"/>
        </w:rPr>
        <w:t>called X-convergence</w:t>
      </w:r>
      <w:r w:rsidR="00E74790">
        <w:rPr>
          <w:noProof/>
          <w:lang w:eastAsia="en-GB"/>
        </w:rPr>
        <w:t>,</w:t>
      </w:r>
      <w:r w:rsidR="00E74790" w:rsidRPr="004C6745">
        <w:rPr>
          <w:noProof/>
          <w:lang w:eastAsia="en-GB"/>
        </w:rPr>
        <w:t xml:space="preserve"> </w:t>
      </w:r>
      <w:r w:rsidRPr="004C6745">
        <w:rPr>
          <w:noProof/>
          <w:lang w:eastAsia="en-GB"/>
        </w:rPr>
        <w:t xml:space="preserve">proposed by </w:t>
      </w:r>
      <w:r w:rsidR="00911FB1">
        <w:rPr>
          <w:noProof/>
          <w:lang w:eastAsia="en-GB"/>
        </w:rPr>
        <w:t xml:space="preserve">Don </w:t>
      </w:r>
      <w:r w:rsidRPr="004C6745">
        <w:rPr>
          <w:noProof/>
          <w:lang w:eastAsia="en-GB"/>
        </w:rPr>
        <w:t xml:space="preserve">Webber and </w:t>
      </w:r>
      <w:r w:rsidR="00911FB1">
        <w:rPr>
          <w:noProof/>
          <w:lang w:eastAsia="en-GB"/>
        </w:rPr>
        <w:t xml:space="preserve">Paul </w:t>
      </w:r>
      <w:r w:rsidRPr="004C6745">
        <w:rPr>
          <w:noProof/>
          <w:lang w:eastAsia="en-GB"/>
        </w:rPr>
        <w:t>White (2003</w:t>
      </w:r>
      <w:r w:rsidR="00911FB1">
        <w:rPr>
          <w:noProof/>
          <w:lang w:eastAsia="en-GB"/>
        </w:rPr>
        <w:t>;</w:t>
      </w:r>
      <w:r w:rsidRPr="004C6745">
        <w:rPr>
          <w:noProof/>
          <w:lang w:eastAsia="en-GB"/>
        </w:rPr>
        <w:t xml:space="preserve"> 2009) and </w:t>
      </w:r>
      <w:r w:rsidR="00911FB1">
        <w:rPr>
          <w:noProof/>
          <w:lang w:eastAsia="en-GB"/>
        </w:rPr>
        <w:t xml:space="preserve">Don </w:t>
      </w:r>
      <w:r w:rsidRPr="004C6745">
        <w:rPr>
          <w:noProof/>
          <w:lang w:eastAsia="en-GB"/>
        </w:rPr>
        <w:t>Webber</w:t>
      </w:r>
      <w:r w:rsidR="00B576BE">
        <w:rPr>
          <w:noProof/>
          <w:lang w:eastAsia="en-GB"/>
        </w:rPr>
        <w:t>, Paul White, and David Allen</w:t>
      </w:r>
      <w:r w:rsidR="001A6B56">
        <w:rPr>
          <w:noProof/>
          <w:lang w:eastAsia="en-GB"/>
        </w:rPr>
        <w:t xml:space="preserve"> </w:t>
      </w:r>
      <w:r w:rsidRPr="004C6745">
        <w:rPr>
          <w:noProof/>
          <w:lang w:eastAsia="en-GB"/>
        </w:rPr>
        <w:lastRenderedPageBreak/>
        <w:t>(2005)</w:t>
      </w:r>
      <w:r w:rsidR="00E74790">
        <w:rPr>
          <w:noProof/>
          <w:lang w:eastAsia="en-GB"/>
        </w:rPr>
        <w:t>,</w:t>
      </w:r>
      <w:r w:rsidRPr="004C6745">
        <w:rPr>
          <w:noProof/>
          <w:lang w:eastAsia="en-GB"/>
        </w:rPr>
        <w:t xml:space="preserve"> can easily interpret the findings on the dynamic </w:t>
      </w:r>
      <w:r w:rsidR="00AA17FD">
        <w:rPr>
          <w:noProof/>
          <w:lang w:eastAsia="en-GB"/>
        </w:rPr>
        <w:t>behavior</w:t>
      </w:r>
      <w:r w:rsidRPr="004C6745">
        <w:rPr>
          <w:noProof/>
          <w:lang w:eastAsia="en-GB"/>
        </w:rPr>
        <w:t xml:space="preserve"> of regions in pairwise settings. This technique has been employed and acknowledged by many researchers (</w:t>
      </w:r>
      <w:r w:rsidRPr="004C6745">
        <w:t xml:space="preserve">Liobikienė and Mandravickaitė 2013; Novotný 2011; </w:t>
      </w:r>
      <w:r w:rsidR="00084EF3" w:rsidRPr="00084EF3">
        <w:t>Aparicio</w:t>
      </w:r>
      <w:r w:rsidR="00084EF3">
        <w:t xml:space="preserve">, </w:t>
      </w:r>
      <w:r w:rsidR="00084EF3" w:rsidRPr="00084EF3">
        <w:t>Carrasco</w:t>
      </w:r>
      <w:r w:rsidR="00084EF3">
        <w:t>,</w:t>
      </w:r>
      <w:r w:rsidR="00FF2377">
        <w:t xml:space="preserve"> and</w:t>
      </w:r>
      <w:r w:rsidR="00084EF3">
        <w:t xml:space="preserve"> </w:t>
      </w:r>
      <w:r w:rsidR="00084EF3" w:rsidRPr="00084EF3">
        <w:t>Gómez</w:t>
      </w:r>
      <w:r w:rsidRPr="004C6745">
        <w:t xml:space="preserve"> 2014</w:t>
      </w:r>
      <w:r w:rsidRPr="004C6745">
        <w:rPr>
          <w:noProof/>
          <w:lang w:eastAsia="en-GB"/>
        </w:rPr>
        <w:t xml:space="preserve">). One of the advantages of this technique is that it can unravel many regional dynamics simultaneously. For instance, in addition to convergence and divergence, the X-convergence technique has the potential to reveal the mobility </w:t>
      </w:r>
      <w:r w:rsidR="00AA17FD">
        <w:rPr>
          <w:noProof/>
          <w:lang w:eastAsia="en-GB"/>
        </w:rPr>
        <w:t>behavior</w:t>
      </w:r>
      <w:r w:rsidRPr="004C6745">
        <w:rPr>
          <w:noProof/>
          <w:lang w:eastAsia="en-GB"/>
        </w:rPr>
        <w:t xml:space="preserve"> of regions by identifying regions that are overtaking, lagging behind, and stagnating. If the regions are not switching places between high- and low-income groups, then it implies persistence between the income groups</w:t>
      </w:r>
      <w:r w:rsidR="00E74790">
        <w:rPr>
          <w:noProof/>
          <w:lang w:eastAsia="en-GB"/>
        </w:rPr>
        <w:t xml:space="preserve"> (</w:t>
      </w:r>
      <w:r w:rsidRPr="004C6745">
        <w:rPr>
          <w:noProof/>
          <w:lang w:eastAsia="en-GB"/>
        </w:rPr>
        <w:t>i.e., rich are still rich and poor are still poor</w:t>
      </w:r>
      <w:r w:rsidR="00E74790">
        <w:rPr>
          <w:noProof/>
          <w:lang w:eastAsia="en-GB"/>
        </w:rPr>
        <w:t>)</w:t>
      </w:r>
      <w:r w:rsidRPr="004C6745">
        <w:rPr>
          <w:noProof/>
          <w:lang w:eastAsia="en-GB"/>
        </w:rPr>
        <w:t>.</w:t>
      </w:r>
    </w:p>
    <w:p w14:paraId="2C19C705" w14:textId="43519616" w:rsidR="004C6745" w:rsidRPr="004C6745" w:rsidRDefault="004C6745" w:rsidP="004C6745">
      <w:pPr>
        <w:pStyle w:val="ArticleTextP2"/>
        <w:rPr>
          <w:noProof/>
          <w:lang w:eastAsia="en-GB"/>
        </w:rPr>
      </w:pPr>
      <w:r w:rsidRPr="004C6745">
        <w:rPr>
          <w:noProof/>
          <w:lang w:eastAsia="en-GB"/>
        </w:rPr>
        <w:t xml:space="preserve">Therefore, investigation of the evolution of regional dynamics of convergence, mobility, and persistence can reveal the subtleties of regional disparity that has not been studied in detail. The effects of the implementation of the </w:t>
      </w:r>
      <w:r w:rsidR="008B20CE">
        <w:rPr>
          <w:noProof/>
          <w:lang w:eastAsia="en-GB"/>
        </w:rPr>
        <w:t>“</w:t>
      </w:r>
      <w:r w:rsidRPr="004C6745">
        <w:rPr>
          <w:noProof/>
          <w:lang w:eastAsia="en-GB"/>
        </w:rPr>
        <w:t>Go West</w:t>
      </w:r>
      <w:r w:rsidR="008B20CE">
        <w:rPr>
          <w:noProof/>
          <w:lang w:eastAsia="en-GB"/>
        </w:rPr>
        <w:t>”</w:t>
      </w:r>
      <w:r w:rsidRPr="004C6745">
        <w:rPr>
          <w:noProof/>
          <w:lang w:eastAsia="en-GB"/>
        </w:rPr>
        <w:t xml:space="preserve"> policies via changing income per capita or understanding regional dynamics in detail could provide valuable insights</w:t>
      </w:r>
      <w:r w:rsidR="00F4546B">
        <w:rPr>
          <w:noProof/>
          <w:lang w:eastAsia="en-GB"/>
        </w:rPr>
        <w:t xml:space="preserve"> on regional disparity</w:t>
      </w:r>
      <w:r w:rsidRPr="004C6745">
        <w:rPr>
          <w:noProof/>
          <w:lang w:eastAsia="en-GB"/>
        </w:rPr>
        <w:t>. The mobility assessment between groups of high- and low-income provinces will reveal whether the income groups are persistent or not. Persistence demonstrates path dependency which could be the result of culturally biased decision making by the institutions. Hence the X-convergence method would be appropriate to compare the subtleties of regional disparity pre-</w:t>
      </w:r>
      <w:r w:rsidR="009C4C75">
        <w:rPr>
          <w:noProof/>
          <w:lang w:eastAsia="en-GB"/>
        </w:rPr>
        <w:t xml:space="preserve"> </w:t>
      </w:r>
      <w:r w:rsidRPr="004C6745">
        <w:rPr>
          <w:noProof/>
          <w:lang w:eastAsia="en-GB"/>
        </w:rPr>
        <w:t xml:space="preserve">and post-implementation of the </w:t>
      </w:r>
      <w:r w:rsidR="008B20CE">
        <w:rPr>
          <w:noProof/>
          <w:lang w:eastAsia="en-GB"/>
        </w:rPr>
        <w:t>“</w:t>
      </w:r>
      <w:r w:rsidRPr="004C6745">
        <w:rPr>
          <w:noProof/>
          <w:lang w:eastAsia="en-GB"/>
        </w:rPr>
        <w:t>Go West</w:t>
      </w:r>
      <w:r w:rsidR="008B20CE">
        <w:rPr>
          <w:noProof/>
          <w:lang w:eastAsia="en-GB"/>
        </w:rPr>
        <w:t>”</w:t>
      </w:r>
      <w:r w:rsidRPr="004C6745">
        <w:rPr>
          <w:noProof/>
          <w:lang w:eastAsia="en-GB"/>
        </w:rPr>
        <w:t xml:space="preserve"> policies. The investigation of regional dynamics of mobility and persistence is not explored in widely studied regional inequality studies in China. Reali</w:t>
      </w:r>
      <w:r w:rsidR="00E74790">
        <w:rPr>
          <w:noProof/>
          <w:lang w:eastAsia="en-GB"/>
        </w:rPr>
        <w:t>z</w:t>
      </w:r>
      <w:r w:rsidRPr="004C6745">
        <w:rPr>
          <w:noProof/>
          <w:lang w:eastAsia="en-GB"/>
        </w:rPr>
        <w:t xml:space="preserve">ing the gap in the literature on understanding the evolution of regional dynamics to identify the provincial disparity, this </w:t>
      </w:r>
      <w:r w:rsidR="002359AE">
        <w:rPr>
          <w:noProof/>
          <w:lang w:eastAsia="en-GB"/>
        </w:rPr>
        <w:t>article</w:t>
      </w:r>
      <w:r w:rsidRPr="004C6745">
        <w:rPr>
          <w:noProof/>
          <w:lang w:eastAsia="en-GB"/>
        </w:rPr>
        <w:t xml:space="preserve"> employs the X-convergence technique to assess the inequality trend for </w:t>
      </w:r>
      <w:r w:rsidR="00911FB1">
        <w:rPr>
          <w:noProof/>
          <w:lang w:eastAsia="en-GB"/>
        </w:rPr>
        <w:t>thirty-one</w:t>
      </w:r>
      <w:r w:rsidR="00911FB1" w:rsidRPr="004C6745">
        <w:rPr>
          <w:noProof/>
          <w:lang w:eastAsia="en-GB"/>
        </w:rPr>
        <w:t xml:space="preserve"> </w:t>
      </w:r>
      <w:r w:rsidRPr="004C6745">
        <w:rPr>
          <w:noProof/>
          <w:lang w:eastAsia="en-GB"/>
        </w:rPr>
        <w:t>provinces from 1991 to 2015.</w:t>
      </w:r>
    </w:p>
    <w:p w14:paraId="2528D27D" w14:textId="1782C869" w:rsidR="004C6745" w:rsidRPr="008B20CE" w:rsidRDefault="004C6745" w:rsidP="008B20CE">
      <w:pPr>
        <w:pStyle w:val="SectionTitle1"/>
      </w:pPr>
      <w:r w:rsidRPr="008B20CE">
        <w:t>Regional Inequality in China</w:t>
      </w:r>
    </w:p>
    <w:p w14:paraId="2A1FD97B" w14:textId="49CADD9D" w:rsidR="004C6745" w:rsidRPr="004C6745" w:rsidRDefault="004C6745" w:rsidP="004C6745">
      <w:pPr>
        <w:pStyle w:val="ArticleTextP1"/>
        <w:rPr>
          <w:noProof/>
          <w:szCs w:val="20"/>
          <w:lang w:eastAsia="en-GB"/>
        </w:rPr>
      </w:pPr>
      <w:r w:rsidRPr="004C6745">
        <w:rPr>
          <w:noProof/>
          <w:szCs w:val="20"/>
          <w:lang w:eastAsia="en-GB"/>
        </w:rPr>
        <w:t>One of the sustainable development goals of the United Nations is to promote balanced growth within a nation,</w:t>
      </w:r>
      <w:r w:rsidR="00475674">
        <w:rPr>
          <w:noProof/>
          <w:szCs w:val="20"/>
          <w:lang w:eastAsia="en-GB"/>
        </w:rPr>
        <w:t xml:space="preserve"> (United Nations, 2020)</w:t>
      </w:r>
      <w:r w:rsidR="006E681F">
        <w:rPr>
          <w:noProof/>
          <w:szCs w:val="20"/>
          <w:lang w:eastAsia="en-GB"/>
        </w:rPr>
        <w:t>.</w:t>
      </w:r>
      <w:r w:rsidRPr="004C6745">
        <w:rPr>
          <w:rStyle w:val="FootnoteReference"/>
          <w:rFonts w:eastAsia="Calibri"/>
          <w:sz w:val="20"/>
        </w:rPr>
        <w:footnoteReference w:id="1"/>
      </w:r>
      <w:r w:rsidRPr="004C6745">
        <w:rPr>
          <w:noProof/>
          <w:szCs w:val="20"/>
          <w:lang w:eastAsia="en-GB"/>
        </w:rPr>
        <w:t xml:space="preserve"> Rising inequality poses </w:t>
      </w:r>
      <w:r w:rsidR="00E74790">
        <w:rPr>
          <w:noProof/>
          <w:szCs w:val="20"/>
          <w:lang w:eastAsia="en-GB"/>
        </w:rPr>
        <w:t xml:space="preserve">a </w:t>
      </w:r>
      <w:r w:rsidRPr="004C6745">
        <w:rPr>
          <w:noProof/>
          <w:szCs w:val="20"/>
          <w:lang w:eastAsia="en-GB"/>
        </w:rPr>
        <w:t xml:space="preserve">threat to the long-term sustainable growth of a country through economic, social, and political risks (Kanbur and Lustig 2000). The divide between rich and poor provinces in China can be illustrated with the gap between the richest and poorest provinces. In 2016, the highest income was for Beijing at 118,198 yuan/person which was around four times Gansu’s income at 27,643 yuan/person (see </w:t>
      </w:r>
      <w:r w:rsidR="00911FB1">
        <w:rPr>
          <w:noProof/>
          <w:szCs w:val="20"/>
          <w:lang w:eastAsia="en-GB"/>
        </w:rPr>
        <w:t>f</w:t>
      </w:r>
      <w:r w:rsidRPr="004C6745">
        <w:rPr>
          <w:noProof/>
          <w:szCs w:val="20"/>
          <w:lang w:eastAsia="en-GB"/>
        </w:rPr>
        <w:t xml:space="preserve">igure 1). In 2016, out of the </w:t>
      </w:r>
      <w:r w:rsidR="00E74790">
        <w:rPr>
          <w:noProof/>
          <w:szCs w:val="20"/>
          <w:lang w:eastAsia="en-GB"/>
        </w:rPr>
        <w:t>ten</w:t>
      </w:r>
      <w:r w:rsidR="00E74790" w:rsidRPr="004C6745">
        <w:rPr>
          <w:noProof/>
          <w:szCs w:val="20"/>
          <w:lang w:eastAsia="en-GB"/>
        </w:rPr>
        <w:t xml:space="preserve"> </w:t>
      </w:r>
      <w:r w:rsidRPr="004C6745">
        <w:rPr>
          <w:noProof/>
          <w:szCs w:val="20"/>
          <w:lang w:eastAsia="en-GB"/>
        </w:rPr>
        <w:t xml:space="preserve">top income provinces, </w:t>
      </w:r>
      <w:r w:rsidR="00E74790">
        <w:rPr>
          <w:noProof/>
          <w:szCs w:val="20"/>
          <w:lang w:eastAsia="en-GB"/>
        </w:rPr>
        <w:t>eight</w:t>
      </w:r>
      <w:r w:rsidR="00E74790" w:rsidRPr="004C6745">
        <w:rPr>
          <w:noProof/>
          <w:szCs w:val="20"/>
          <w:lang w:eastAsia="en-GB"/>
        </w:rPr>
        <w:t xml:space="preserve"> </w:t>
      </w:r>
      <w:r w:rsidRPr="004C6745">
        <w:rPr>
          <w:noProof/>
          <w:szCs w:val="20"/>
          <w:lang w:eastAsia="en-GB"/>
        </w:rPr>
        <w:t xml:space="preserve">were coastal. The divide between coastal and inland provinces are studied by many researchers (Tian et al. 2016; Yang 2002). For instance, </w:t>
      </w:r>
      <w:r w:rsidR="00911FB1">
        <w:rPr>
          <w:noProof/>
          <w:szCs w:val="20"/>
          <w:lang w:eastAsia="en-GB"/>
        </w:rPr>
        <w:t xml:space="preserve">Xu </w:t>
      </w:r>
      <w:r w:rsidRPr="004C6745">
        <w:rPr>
          <w:noProof/>
          <w:szCs w:val="20"/>
          <w:lang w:eastAsia="en-GB"/>
        </w:rPr>
        <w:t>Tian et al. (2016) used</w:t>
      </w:r>
      <w:r w:rsidR="002359AE">
        <w:rPr>
          <w:noProof/>
          <w:szCs w:val="20"/>
          <w:lang w:eastAsia="en-GB"/>
        </w:rPr>
        <w:t xml:space="preserve"> </w:t>
      </w:r>
      <w:r w:rsidR="00911FB1">
        <w:rPr>
          <w:noProof/>
          <w:szCs w:val="20"/>
          <w:lang w:eastAsia="en-GB"/>
        </w:rPr>
        <w:t xml:space="preserve">Peter C. B. </w:t>
      </w:r>
      <w:r w:rsidRPr="004C6745">
        <w:rPr>
          <w:noProof/>
          <w:szCs w:val="20"/>
          <w:lang w:eastAsia="en-GB"/>
        </w:rPr>
        <w:t>Phil</w:t>
      </w:r>
      <w:r w:rsidR="00911FB1">
        <w:rPr>
          <w:noProof/>
          <w:szCs w:val="20"/>
          <w:lang w:eastAsia="en-GB"/>
        </w:rPr>
        <w:t>l</w:t>
      </w:r>
      <w:r w:rsidRPr="004C6745">
        <w:rPr>
          <w:noProof/>
          <w:szCs w:val="20"/>
          <w:lang w:eastAsia="en-GB"/>
        </w:rPr>
        <w:t>ip</w:t>
      </w:r>
      <w:r w:rsidR="00911FB1">
        <w:rPr>
          <w:noProof/>
          <w:szCs w:val="20"/>
          <w:lang w:eastAsia="en-GB"/>
        </w:rPr>
        <w:t>s</w:t>
      </w:r>
      <w:r w:rsidRPr="004C6745">
        <w:rPr>
          <w:noProof/>
          <w:szCs w:val="20"/>
          <w:lang w:eastAsia="en-GB"/>
        </w:rPr>
        <w:t xml:space="preserve"> and </w:t>
      </w:r>
      <w:r w:rsidR="00911FB1">
        <w:rPr>
          <w:noProof/>
          <w:szCs w:val="20"/>
          <w:lang w:eastAsia="en-GB"/>
        </w:rPr>
        <w:t xml:space="preserve">Donggyu </w:t>
      </w:r>
      <w:r w:rsidRPr="004C6745">
        <w:rPr>
          <w:noProof/>
          <w:szCs w:val="20"/>
          <w:lang w:eastAsia="en-GB"/>
        </w:rPr>
        <w:t>Sul</w:t>
      </w:r>
      <w:r w:rsidR="00911FB1">
        <w:rPr>
          <w:noProof/>
          <w:szCs w:val="20"/>
          <w:lang w:eastAsia="en-GB"/>
        </w:rPr>
        <w:t>’s</w:t>
      </w:r>
      <w:r w:rsidRPr="004C6745">
        <w:rPr>
          <w:noProof/>
          <w:szCs w:val="20"/>
          <w:lang w:eastAsia="en-GB"/>
        </w:rPr>
        <w:t xml:space="preserve"> (2007) method to identify clubs of </w:t>
      </w:r>
      <w:r w:rsidR="00911FB1">
        <w:rPr>
          <w:noProof/>
          <w:szCs w:val="20"/>
          <w:lang w:eastAsia="en-GB"/>
        </w:rPr>
        <w:t>thirty-one</w:t>
      </w:r>
      <w:r w:rsidR="00911FB1" w:rsidRPr="004C6745">
        <w:rPr>
          <w:noProof/>
          <w:szCs w:val="20"/>
          <w:lang w:eastAsia="en-GB"/>
        </w:rPr>
        <w:t xml:space="preserve"> </w:t>
      </w:r>
      <w:r w:rsidRPr="004C6745">
        <w:rPr>
          <w:noProof/>
          <w:szCs w:val="20"/>
          <w:lang w:eastAsia="en-GB"/>
        </w:rPr>
        <w:t>provinces using GDP per capita data from 1978 to 2013. The study identified two clubs including Shanghai, Tianjin, Jiangsu, Zhejiang, Guangdong, Shandong, Fujian (eastern coastal provinces), and Inner Mongolia converge into a high-income club, and the remaining provinces converge into a low-income club.</w:t>
      </w:r>
    </w:p>
    <w:p w14:paraId="7B8E8375" w14:textId="204AD2FF" w:rsidR="004C6745" w:rsidRDefault="004C6745" w:rsidP="004C6745">
      <w:pPr>
        <w:spacing w:line="360" w:lineRule="auto"/>
        <w:jc w:val="both"/>
        <w:rPr>
          <w:noProof/>
          <w:lang w:eastAsia="en-GB"/>
        </w:rPr>
      </w:pPr>
      <w:bookmarkStart w:id="0" w:name="_Toc51247008"/>
      <w:r w:rsidRPr="004C6745">
        <w:t>Figure 1</w:t>
      </w:r>
      <w:r>
        <w:rPr>
          <w:noProof/>
          <w:lang w:eastAsia="en-GB"/>
        </w:rPr>
        <w:t>.</w:t>
      </w:r>
      <w:r w:rsidRPr="004C6745">
        <w:rPr>
          <w:noProof/>
          <w:lang w:eastAsia="en-GB"/>
        </w:rPr>
        <w:t xml:space="preserve"> GRP per Capita of </w:t>
      </w:r>
      <w:r w:rsidR="009C4C75">
        <w:rPr>
          <w:noProof/>
          <w:lang w:eastAsia="en-GB"/>
        </w:rPr>
        <w:t>Thirty-Onee</w:t>
      </w:r>
      <w:r w:rsidR="009C4C75" w:rsidRPr="004C6745">
        <w:rPr>
          <w:noProof/>
          <w:lang w:eastAsia="en-GB"/>
        </w:rPr>
        <w:t xml:space="preserve"> </w:t>
      </w:r>
      <w:r w:rsidRPr="004C6745">
        <w:rPr>
          <w:noProof/>
          <w:lang w:eastAsia="en-GB"/>
        </w:rPr>
        <w:t>Provinces in 1993 and 2016</w:t>
      </w:r>
      <w:bookmarkEnd w:id="0"/>
      <w:r w:rsidR="002359AE">
        <w:rPr>
          <w:noProof/>
          <w:lang w:eastAsia="en-GB"/>
        </w:rPr>
        <w:t xml:space="preserve"> </w:t>
      </w:r>
    </w:p>
    <w:p w14:paraId="718D4C63" w14:textId="54B8644E" w:rsidR="00E20858" w:rsidRPr="004C6745" w:rsidRDefault="00E20858" w:rsidP="004C6745">
      <w:pPr>
        <w:spacing w:line="360" w:lineRule="auto"/>
        <w:jc w:val="both"/>
        <w:rPr>
          <w:rFonts w:ascii="Arial" w:hAnsi="Arial" w:cs="Arial"/>
          <w:noProof/>
          <w:sz w:val="24"/>
          <w:szCs w:val="24"/>
          <w:lang w:val="en-US" w:eastAsia="en-GB"/>
        </w:rPr>
      </w:pPr>
      <w:r w:rsidRPr="0034356E">
        <w:rPr>
          <w:rFonts w:ascii="Arial" w:hAnsi="Arial" w:cs="Arial"/>
          <w:noProof/>
          <w:sz w:val="24"/>
          <w:szCs w:val="24"/>
          <w:lang w:eastAsia="en-GB"/>
        </w:rPr>
        <w:lastRenderedPageBreak/>
        <w:drawing>
          <wp:inline distT="0" distB="0" distL="0" distR="0" wp14:anchorId="40ECE55E" wp14:editId="01BDC7B0">
            <wp:extent cx="4572000" cy="2105356"/>
            <wp:effectExtent l="0" t="0" r="0"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105356"/>
                    </a:xfrm>
                    <a:prstGeom prst="rect">
                      <a:avLst/>
                    </a:prstGeom>
                    <a:noFill/>
                    <a:ln>
                      <a:noFill/>
                    </a:ln>
                  </pic:spPr>
                </pic:pic>
              </a:graphicData>
            </a:graphic>
          </wp:inline>
        </w:drawing>
      </w:r>
    </w:p>
    <w:p w14:paraId="6C03D3D4" w14:textId="77777777" w:rsidR="004C6745" w:rsidRDefault="004C6745" w:rsidP="004C6745">
      <w:pPr>
        <w:pStyle w:val="FigureSourceCaption"/>
        <w:rPr>
          <w:i w:val="0"/>
          <w:iCs/>
        </w:rPr>
      </w:pPr>
      <w:r w:rsidRPr="004C6745">
        <w:rPr>
          <w:noProof/>
          <w:lang w:eastAsia="en-GB"/>
        </w:rPr>
        <w:t xml:space="preserve">Source: </w:t>
      </w:r>
      <w:r w:rsidRPr="004C6745">
        <w:rPr>
          <w:i w:val="0"/>
          <w:iCs/>
        </w:rPr>
        <w:t>National Bureau of Statistics China</w:t>
      </w:r>
    </w:p>
    <w:p w14:paraId="70BB3A93" w14:textId="655BB318" w:rsidR="004C6745" w:rsidRPr="004C6745" w:rsidRDefault="004C6745" w:rsidP="004C6745">
      <w:pPr>
        <w:pStyle w:val="ArticleTextP2"/>
        <w:rPr>
          <w:noProof/>
          <w:lang w:eastAsia="en-GB"/>
        </w:rPr>
      </w:pPr>
      <w:r w:rsidRPr="004C6745">
        <w:rPr>
          <w:noProof/>
          <w:lang w:eastAsia="en-GB"/>
        </w:rPr>
        <w:t>The Chinese reforms of 1978 marked the beginning of fiscal and economic decentrali</w:t>
      </w:r>
      <w:r w:rsidR="00E74790">
        <w:rPr>
          <w:noProof/>
          <w:lang w:eastAsia="en-GB"/>
        </w:rPr>
        <w:t>z</w:t>
      </w:r>
      <w:r w:rsidRPr="004C6745">
        <w:rPr>
          <w:noProof/>
          <w:lang w:eastAsia="en-GB"/>
        </w:rPr>
        <w:t>ation in China. Due to decentrali</w:t>
      </w:r>
      <w:r w:rsidR="00E74790">
        <w:rPr>
          <w:noProof/>
          <w:lang w:eastAsia="en-GB"/>
        </w:rPr>
        <w:t>z</w:t>
      </w:r>
      <w:r w:rsidRPr="004C6745">
        <w:rPr>
          <w:noProof/>
          <w:lang w:eastAsia="en-GB"/>
        </w:rPr>
        <w:t>ation, autonomous power was delegated to regional local governments and they were incentivi</w:t>
      </w:r>
      <w:r w:rsidR="00E74790">
        <w:rPr>
          <w:noProof/>
          <w:lang w:eastAsia="en-GB"/>
        </w:rPr>
        <w:t>z</w:t>
      </w:r>
      <w:r w:rsidRPr="004C6745">
        <w:rPr>
          <w:noProof/>
          <w:lang w:eastAsia="en-GB"/>
        </w:rPr>
        <w:t>ed to stimulate economic growth (Lin and Liu 2000; Yang 2002; Jian</w:t>
      </w:r>
      <w:r w:rsidR="00AF1722">
        <w:rPr>
          <w:noProof/>
          <w:lang w:eastAsia="en-GB"/>
        </w:rPr>
        <w:t>,</w:t>
      </w:r>
      <w:r w:rsidRPr="004C6745">
        <w:rPr>
          <w:noProof/>
          <w:lang w:eastAsia="en-GB"/>
        </w:rPr>
        <w:t xml:space="preserve"> </w:t>
      </w:r>
      <w:r w:rsidR="00740A6B" w:rsidRPr="00740A6B">
        <w:rPr>
          <w:noProof/>
          <w:lang w:eastAsia="en-GB"/>
        </w:rPr>
        <w:t>Sachs</w:t>
      </w:r>
      <w:r w:rsidR="00740A6B">
        <w:rPr>
          <w:noProof/>
          <w:lang w:eastAsia="en-GB"/>
        </w:rPr>
        <w:t xml:space="preserve">, </w:t>
      </w:r>
      <w:r w:rsidR="00740A6B" w:rsidRPr="00740A6B">
        <w:rPr>
          <w:noProof/>
          <w:lang w:eastAsia="en-GB"/>
        </w:rPr>
        <w:t>Warner</w:t>
      </w:r>
      <w:r w:rsidR="00740A6B">
        <w:rPr>
          <w:noProof/>
          <w:lang w:eastAsia="en-GB"/>
        </w:rPr>
        <w:t xml:space="preserve"> </w:t>
      </w:r>
      <w:r w:rsidRPr="004C6745">
        <w:rPr>
          <w:noProof/>
          <w:lang w:eastAsia="en-GB"/>
        </w:rPr>
        <w:t>1996). Because of the decentrali</w:t>
      </w:r>
      <w:r w:rsidR="00E74790">
        <w:rPr>
          <w:noProof/>
          <w:lang w:eastAsia="en-GB"/>
        </w:rPr>
        <w:t>z</w:t>
      </w:r>
      <w:r w:rsidRPr="004C6745">
        <w:rPr>
          <w:noProof/>
          <w:lang w:eastAsia="en-GB"/>
        </w:rPr>
        <w:t>ation</w:t>
      </w:r>
      <w:r w:rsidR="00E74790">
        <w:rPr>
          <w:noProof/>
          <w:lang w:eastAsia="en-GB"/>
        </w:rPr>
        <w:t>,</w:t>
      </w:r>
      <w:r w:rsidRPr="004C6745">
        <w:rPr>
          <w:noProof/>
          <w:lang w:eastAsia="en-GB"/>
        </w:rPr>
        <w:t xml:space="preserve"> China’s economy grew at a fast rate</w:t>
      </w:r>
      <w:r w:rsidR="00E74790">
        <w:rPr>
          <w:noProof/>
          <w:lang w:eastAsia="en-GB"/>
        </w:rPr>
        <w:t>;</w:t>
      </w:r>
      <w:r w:rsidRPr="004C6745">
        <w:rPr>
          <w:noProof/>
          <w:lang w:eastAsia="en-GB"/>
        </w:rPr>
        <w:t xml:space="preserve"> however, at the same time, it promoted competition among economies to become rich (Li and Haynes 2011). Government fund transfers directed to poor regions were easily manipulated by the rich provincial and municipal governments (Li and Wu 2012). Therefore, the economic divide between coastal and inland provinces appear to be the result of the unprecedented growth of coastal provinces, partially due to the nature of government policies and programs designed to achieve further economic growth.</w:t>
      </w:r>
    </w:p>
    <w:p w14:paraId="59C30D3E" w14:textId="01463572" w:rsidR="004C6745" w:rsidRPr="004C6745" w:rsidRDefault="004C6745" w:rsidP="004C6745">
      <w:pPr>
        <w:pStyle w:val="ArticleTextP2"/>
        <w:rPr>
          <w:noProof/>
          <w:lang w:eastAsia="en-GB"/>
        </w:rPr>
      </w:pPr>
      <w:r w:rsidRPr="00911FB1">
        <w:t>Regional income convergence and inequality in China ha</w:t>
      </w:r>
      <w:r w:rsidR="00E74790">
        <w:t>ve</w:t>
      </w:r>
      <w:r w:rsidRPr="00911FB1">
        <w:t xml:space="preserve"> been studied by many researchers such as </w:t>
      </w:r>
      <w:r w:rsidR="00911FB1" w:rsidRPr="00911FB1">
        <w:t xml:space="preserve">Ravi </w:t>
      </w:r>
      <w:r w:rsidRPr="00911FB1">
        <w:rPr>
          <w:noProof/>
          <w:lang w:eastAsia="en-GB"/>
        </w:rPr>
        <w:t xml:space="preserve">Kanbur and </w:t>
      </w:r>
      <w:r w:rsidR="00911FB1" w:rsidRPr="00911FB1">
        <w:rPr>
          <w:noProof/>
          <w:lang w:eastAsia="en-GB"/>
        </w:rPr>
        <w:t xml:space="preserve">Nora </w:t>
      </w:r>
      <w:r w:rsidRPr="00911FB1">
        <w:rPr>
          <w:noProof/>
          <w:lang w:eastAsia="en-GB"/>
        </w:rPr>
        <w:t xml:space="preserve">Lustig (2000), </w:t>
      </w:r>
      <w:r w:rsidR="00911FB1" w:rsidRPr="00911FB1">
        <w:rPr>
          <w:noProof/>
          <w:lang w:eastAsia="en-GB"/>
        </w:rPr>
        <w:t xml:space="preserve">Sonali </w:t>
      </w:r>
      <w:r w:rsidRPr="00911FB1">
        <w:rPr>
          <w:noProof/>
          <w:lang w:eastAsia="en-GB"/>
        </w:rPr>
        <w:t xml:space="preserve">Jain-Chandra et al. (2018), </w:t>
      </w:r>
      <w:r w:rsidR="00911FB1" w:rsidRPr="00911FB1">
        <w:rPr>
          <w:noProof/>
          <w:lang w:eastAsia="en-GB"/>
        </w:rPr>
        <w:t xml:space="preserve">Xu </w:t>
      </w:r>
      <w:r w:rsidRPr="00911FB1">
        <w:rPr>
          <w:noProof/>
          <w:lang w:eastAsia="en-GB"/>
        </w:rPr>
        <w:t xml:space="preserve">Tian et al. (2016), and </w:t>
      </w:r>
      <w:r w:rsidR="00911FB1" w:rsidRPr="00911FB1">
        <w:rPr>
          <w:noProof/>
          <w:lang w:eastAsia="en-GB"/>
        </w:rPr>
        <w:t xml:space="preserve">Dennis Tao </w:t>
      </w:r>
      <w:r w:rsidRPr="00911FB1">
        <w:rPr>
          <w:noProof/>
          <w:lang w:eastAsia="en-GB"/>
        </w:rPr>
        <w:t>Yang</w:t>
      </w:r>
      <w:r w:rsidR="002359AE">
        <w:rPr>
          <w:noProof/>
          <w:lang w:eastAsia="en-GB"/>
        </w:rPr>
        <w:t xml:space="preserve"> </w:t>
      </w:r>
      <w:r w:rsidRPr="00911FB1">
        <w:rPr>
          <w:noProof/>
          <w:lang w:eastAsia="en-GB"/>
        </w:rPr>
        <w:t>(20</w:t>
      </w:r>
      <w:r w:rsidR="00C36BDA">
        <w:rPr>
          <w:noProof/>
          <w:lang w:eastAsia="en-GB"/>
        </w:rPr>
        <w:t>02</w:t>
      </w:r>
      <w:r w:rsidRPr="00911FB1">
        <w:rPr>
          <w:noProof/>
          <w:lang w:eastAsia="en-GB"/>
        </w:rPr>
        <w:t>). Trends on regional inequality reveal that China has been showing evidence of conditional convergence, after controlling for factors such as physical and human capital, investment, employment, etc. (Cai</w:t>
      </w:r>
      <w:r w:rsidR="006238C0">
        <w:rPr>
          <w:noProof/>
          <w:lang w:eastAsia="en-GB"/>
        </w:rPr>
        <w:t xml:space="preserve">, </w:t>
      </w:r>
      <w:r w:rsidR="006238C0" w:rsidRPr="006238C0">
        <w:rPr>
          <w:noProof/>
          <w:lang w:eastAsia="en-GB"/>
        </w:rPr>
        <w:t>Wang</w:t>
      </w:r>
      <w:r w:rsidR="006238C0">
        <w:rPr>
          <w:noProof/>
          <w:lang w:eastAsia="en-GB"/>
        </w:rPr>
        <w:t xml:space="preserve">, </w:t>
      </w:r>
      <w:r w:rsidR="006238C0" w:rsidRPr="006238C0">
        <w:rPr>
          <w:noProof/>
          <w:lang w:eastAsia="en-GB"/>
        </w:rPr>
        <w:t>Du</w:t>
      </w:r>
      <w:r w:rsidRPr="00911FB1">
        <w:rPr>
          <w:noProof/>
          <w:lang w:eastAsia="en-GB"/>
        </w:rPr>
        <w:t xml:space="preserve"> 2002; Weeks and Yao 2003; Chen and Fleisher 1996; Raiser 1998; Zhang</w:t>
      </w:r>
      <w:r w:rsidR="00D61619">
        <w:rPr>
          <w:noProof/>
          <w:lang w:eastAsia="en-GB"/>
        </w:rPr>
        <w:t>,</w:t>
      </w:r>
      <w:r w:rsidR="008B20CE">
        <w:rPr>
          <w:noProof/>
          <w:lang w:eastAsia="en-GB"/>
        </w:rPr>
        <w:t xml:space="preserve"> Z.,</w:t>
      </w:r>
      <w:r w:rsidR="00D61619">
        <w:rPr>
          <w:noProof/>
          <w:lang w:eastAsia="en-GB"/>
        </w:rPr>
        <w:t xml:space="preserve"> </w:t>
      </w:r>
      <w:r w:rsidR="00D61619" w:rsidRPr="00D61619">
        <w:rPr>
          <w:noProof/>
          <w:lang w:eastAsia="en-GB"/>
        </w:rPr>
        <w:t>Liu</w:t>
      </w:r>
      <w:r w:rsidR="00D61619">
        <w:rPr>
          <w:noProof/>
          <w:lang w:eastAsia="en-GB"/>
        </w:rPr>
        <w:t xml:space="preserve">, </w:t>
      </w:r>
      <w:r w:rsidR="00D61619" w:rsidRPr="00D61619">
        <w:rPr>
          <w:noProof/>
          <w:lang w:eastAsia="en-GB"/>
        </w:rPr>
        <w:t>Yao</w:t>
      </w:r>
      <w:r w:rsidRPr="00911FB1">
        <w:rPr>
          <w:noProof/>
          <w:lang w:eastAsia="en-GB"/>
        </w:rPr>
        <w:t xml:space="preserve"> 2001; Tian et al. 201</w:t>
      </w:r>
      <w:r w:rsidR="00622BC1">
        <w:rPr>
          <w:noProof/>
          <w:lang w:eastAsia="en-GB"/>
        </w:rPr>
        <w:t>6</w:t>
      </w:r>
      <w:r w:rsidRPr="00911FB1">
        <w:rPr>
          <w:noProof/>
          <w:lang w:eastAsia="en-GB"/>
        </w:rPr>
        <w:t>. According to the conditional convergence hypothesis of neoclassical theory, economies experience conditional convergence depending on the similarity of their structural characteristics</w:t>
      </w:r>
      <w:r w:rsidR="00E74790">
        <w:rPr>
          <w:noProof/>
          <w:lang w:eastAsia="en-GB"/>
        </w:rPr>
        <w:t>,</w:t>
      </w:r>
      <w:r w:rsidRPr="00911FB1">
        <w:rPr>
          <w:noProof/>
          <w:lang w:eastAsia="en-GB"/>
        </w:rPr>
        <w:t xml:space="preserve"> such as preferences, technologies, and savings rate (Galor 1996; Islam 2003). </w:t>
      </w:r>
      <w:r w:rsidR="00911FB1">
        <w:rPr>
          <w:noProof/>
          <w:lang w:eastAsia="en-GB"/>
        </w:rPr>
        <w:t xml:space="preserve">Jian </w:t>
      </w:r>
      <w:r w:rsidRPr="00911FB1">
        <w:rPr>
          <w:noProof/>
          <w:lang w:eastAsia="en-GB"/>
        </w:rPr>
        <w:t xml:space="preserve">Chen and </w:t>
      </w:r>
      <w:r w:rsidR="00911FB1">
        <w:rPr>
          <w:noProof/>
          <w:lang w:eastAsia="en-GB"/>
        </w:rPr>
        <w:t xml:space="preserve">Belton M. </w:t>
      </w:r>
      <w:r w:rsidRPr="00911FB1">
        <w:rPr>
          <w:noProof/>
          <w:lang w:eastAsia="en-GB"/>
        </w:rPr>
        <w:t>Fleisher (1996)</w:t>
      </w:r>
      <w:r w:rsidR="00E74790">
        <w:rPr>
          <w:noProof/>
          <w:lang w:eastAsia="en-GB"/>
        </w:rPr>
        <w:t>,</w:t>
      </w:r>
      <w:r w:rsidRPr="00911FB1">
        <w:rPr>
          <w:noProof/>
          <w:lang w:eastAsia="en-GB"/>
        </w:rPr>
        <w:t xml:space="preserve"> using beta and sigma convergence</w:t>
      </w:r>
      <w:r w:rsidR="00E74790">
        <w:rPr>
          <w:noProof/>
          <w:lang w:eastAsia="en-GB"/>
        </w:rPr>
        <w:t>,</w:t>
      </w:r>
      <w:r w:rsidRPr="00911FB1">
        <w:rPr>
          <w:noProof/>
          <w:lang w:eastAsia="en-GB"/>
        </w:rPr>
        <w:t xml:space="preserve"> provided the evidence of conditional convergence among </w:t>
      </w:r>
      <w:r w:rsidR="00911FB1">
        <w:rPr>
          <w:noProof/>
          <w:lang w:eastAsia="en-GB"/>
        </w:rPr>
        <w:t>twenty-five</w:t>
      </w:r>
      <w:r w:rsidR="00911FB1" w:rsidRPr="00911FB1">
        <w:rPr>
          <w:noProof/>
          <w:lang w:eastAsia="en-GB"/>
        </w:rPr>
        <w:t xml:space="preserve"> </w:t>
      </w:r>
      <w:r w:rsidRPr="00911FB1">
        <w:rPr>
          <w:noProof/>
          <w:lang w:eastAsia="en-GB"/>
        </w:rPr>
        <w:t xml:space="preserve">Chinese provinces between 1978 and 1993 by controlling for coastal location, physical and human capital, employment growth, and foreign direct investment. However, at the same time, evidence of unconditional (absolute) convergence has been provided by </w:t>
      </w:r>
      <w:r w:rsidR="00911FB1">
        <w:rPr>
          <w:noProof/>
          <w:lang w:eastAsia="en-GB"/>
        </w:rPr>
        <w:t xml:space="preserve">Erich </w:t>
      </w:r>
      <w:r w:rsidRPr="00911FB1">
        <w:rPr>
          <w:noProof/>
          <w:lang w:eastAsia="en-GB"/>
        </w:rPr>
        <w:t xml:space="preserve">Gundlach (1997) by employing beta and sigma convergence for regional income per worker in </w:t>
      </w:r>
      <w:r w:rsidR="00911FB1">
        <w:rPr>
          <w:noProof/>
          <w:lang w:eastAsia="en-GB"/>
        </w:rPr>
        <w:t>twenty-nine</w:t>
      </w:r>
      <w:r w:rsidR="00911FB1" w:rsidRPr="00911FB1">
        <w:rPr>
          <w:noProof/>
          <w:lang w:eastAsia="en-GB"/>
        </w:rPr>
        <w:t xml:space="preserve"> </w:t>
      </w:r>
      <w:r w:rsidRPr="00911FB1">
        <w:rPr>
          <w:noProof/>
          <w:lang w:eastAsia="en-GB"/>
        </w:rPr>
        <w:t>provinces from 1978 to 1989. Please note that unconditional (absolute) convergence suggest</w:t>
      </w:r>
      <w:r w:rsidR="00E74790">
        <w:rPr>
          <w:noProof/>
          <w:lang w:eastAsia="en-GB"/>
        </w:rPr>
        <w:t>s</w:t>
      </w:r>
      <w:r w:rsidRPr="00911FB1">
        <w:rPr>
          <w:noProof/>
          <w:lang w:eastAsia="en-GB"/>
        </w:rPr>
        <w:t xml:space="preserve"> that convergence between capital rich and poor economies occurs because capital poor economies experience higher growth over time than capital rich economies due to factor mobility and factor price equali</w:t>
      </w:r>
      <w:r w:rsidR="00E74790">
        <w:rPr>
          <w:noProof/>
          <w:lang w:eastAsia="en-GB"/>
        </w:rPr>
        <w:t>z</w:t>
      </w:r>
      <w:r w:rsidRPr="00911FB1">
        <w:rPr>
          <w:noProof/>
          <w:lang w:eastAsia="en-GB"/>
        </w:rPr>
        <w:t>ation.</w:t>
      </w:r>
      <w:r w:rsidR="002359AE">
        <w:rPr>
          <w:noProof/>
          <w:lang w:eastAsia="en-GB"/>
        </w:rPr>
        <w:t xml:space="preserve"> </w:t>
      </w:r>
    </w:p>
    <w:p w14:paraId="2ADFD678" w14:textId="1C123AA8" w:rsidR="004C6745" w:rsidRPr="004C6745" w:rsidRDefault="004C6745" w:rsidP="004C6745">
      <w:pPr>
        <w:pStyle w:val="ArticleTextP2"/>
        <w:rPr>
          <w:noProof/>
          <w:lang w:eastAsia="en-GB"/>
        </w:rPr>
      </w:pPr>
      <w:r w:rsidRPr="004C6745">
        <w:rPr>
          <w:noProof/>
          <w:lang w:eastAsia="en-GB"/>
        </w:rPr>
        <w:t xml:space="preserve">Exploring the reasons behind the coastal and inland regional inequality, </w:t>
      </w:r>
      <w:r w:rsidR="00911FB1">
        <w:rPr>
          <w:noProof/>
          <w:lang w:eastAsia="en-GB"/>
        </w:rPr>
        <w:t xml:space="preserve">Tianlun </w:t>
      </w:r>
      <w:r w:rsidRPr="004C6745">
        <w:rPr>
          <w:noProof/>
          <w:lang w:eastAsia="en-GB"/>
        </w:rPr>
        <w:t>Jian</w:t>
      </w:r>
      <w:r w:rsidR="002A453D">
        <w:rPr>
          <w:noProof/>
          <w:lang w:eastAsia="en-GB"/>
        </w:rPr>
        <w:t xml:space="preserve">, </w:t>
      </w:r>
      <w:r w:rsidR="002A453D" w:rsidRPr="002A453D">
        <w:rPr>
          <w:noProof/>
          <w:lang w:eastAsia="en-GB"/>
        </w:rPr>
        <w:t>Jeffrey Sachs, and Andrew Warner</w:t>
      </w:r>
      <w:r w:rsidRPr="004C6745">
        <w:rPr>
          <w:noProof/>
          <w:lang w:eastAsia="en-GB"/>
        </w:rPr>
        <w:t xml:space="preserve"> (1996) observed that the convergence from 1978 was the </w:t>
      </w:r>
      <w:r w:rsidRPr="004C6745">
        <w:rPr>
          <w:noProof/>
          <w:lang w:eastAsia="en-GB"/>
        </w:rPr>
        <w:lastRenderedPageBreak/>
        <w:t xml:space="preserve">result of rural areas of coastal provinces growing faster and not the rural areas of inland provinces. Later, </w:t>
      </w:r>
      <w:r w:rsidR="00911FB1">
        <w:rPr>
          <w:noProof/>
          <w:lang w:eastAsia="en-GB"/>
        </w:rPr>
        <w:t xml:space="preserve">Martin </w:t>
      </w:r>
      <w:r w:rsidRPr="004C6745">
        <w:rPr>
          <w:noProof/>
          <w:lang w:eastAsia="en-GB"/>
        </w:rPr>
        <w:t xml:space="preserve">Raiser (1998) further investigated the convergence phenomena of Chinese provinces from 1978 to 1992 and found a weakening of convergence from 1985 mainly because the rich coastal areas were growing at a faster rate due to redirection of capital toward rich coastal provinces rather than poor inland regions. Simialrly, </w:t>
      </w:r>
      <w:r w:rsidR="00A22563" w:rsidRPr="00A22563">
        <w:rPr>
          <w:noProof/>
          <w:lang w:eastAsia="en-GB"/>
        </w:rPr>
        <w:t xml:space="preserve">Yingqi Wei </w:t>
      </w:r>
      <w:r w:rsidR="00A22563">
        <w:rPr>
          <w:noProof/>
          <w:lang w:eastAsia="en-GB"/>
        </w:rPr>
        <w:t xml:space="preserve">and </w:t>
      </w:r>
      <w:r w:rsidR="00911FB1">
        <w:rPr>
          <w:noProof/>
          <w:lang w:eastAsia="en-GB"/>
        </w:rPr>
        <w:t xml:space="preserve">Xiaming </w:t>
      </w:r>
      <w:r w:rsidRPr="004C6745">
        <w:rPr>
          <w:noProof/>
          <w:lang w:eastAsia="en-GB"/>
        </w:rPr>
        <w:t>Liu (2004) investigated the provincial income for the period from 1980 to 2001 and</w:t>
      </w:r>
      <w:r w:rsidR="00E74790">
        <w:rPr>
          <w:noProof/>
          <w:lang w:eastAsia="en-GB"/>
        </w:rPr>
        <w:t>,</w:t>
      </w:r>
      <w:r w:rsidRPr="004C6745">
        <w:rPr>
          <w:noProof/>
          <w:lang w:eastAsia="en-GB"/>
        </w:rPr>
        <w:t xml:space="preserve"> using the Gini Coefficient</w:t>
      </w:r>
      <w:r w:rsidR="00E74790">
        <w:rPr>
          <w:noProof/>
          <w:lang w:eastAsia="en-GB"/>
        </w:rPr>
        <w:t>,</w:t>
      </w:r>
      <w:r w:rsidRPr="004C6745">
        <w:rPr>
          <w:noProof/>
          <w:lang w:eastAsia="en-GB"/>
        </w:rPr>
        <w:t xml:space="preserve"> found increasing regional disparity from the 1990s. Increasing regional disparity during the 1990s is in line with studies such as </w:t>
      </w:r>
      <w:r w:rsidR="00911FB1">
        <w:rPr>
          <w:noProof/>
          <w:lang w:eastAsia="en-GB"/>
        </w:rPr>
        <w:t xml:space="preserve">Fang </w:t>
      </w:r>
      <w:r w:rsidRPr="004C6745">
        <w:rPr>
          <w:noProof/>
          <w:lang w:eastAsia="en-GB"/>
        </w:rPr>
        <w:t>Cai</w:t>
      </w:r>
      <w:r w:rsidR="00C706B9">
        <w:rPr>
          <w:noProof/>
          <w:lang w:eastAsia="en-GB"/>
        </w:rPr>
        <w:t xml:space="preserve">, </w:t>
      </w:r>
      <w:r w:rsidR="00C706B9" w:rsidRPr="00C706B9">
        <w:rPr>
          <w:noProof/>
          <w:lang w:eastAsia="en-GB"/>
        </w:rPr>
        <w:t>Dewen Wang, and Yang Du</w:t>
      </w:r>
      <w:r w:rsidRPr="004C6745">
        <w:rPr>
          <w:noProof/>
          <w:lang w:eastAsia="en-GB"/>
        </w:rPr>
        <w:t xml:space="preserve"> (2002), </w:t>
      </w:r>
      <w:r w:rsidR="00911FB1">
        <w:rPr>
          <w:noProof/>
          <w:lang w:eastAsia="en-GB"/>
        </w:rPr>
        <w:t xml:space="preserve">Sylvie </w:t>
      </w:r>
      <w:r w:rsidRPr="004C6745">
        <w:rPr>
          <w:noProof/>
          <w:lang w:eastAsia="en-GB"/>
        </w:rPr>
        <w:t xml:space="preserve">Demurger et al. (2002), </w:t>
      </w:r>
      <w:r w:rsidR="00911FB1">
        <w:rPr>
          <w:noProof/>
          <w:lang w:eastAsia="en-GB"/>
        </w:rPr>
        <w:t xml:space="preserve">Max </w:t>
      </w:r>
      <w:r w:rsidRPr="004C6745">
        <w:rPr>
          <w:noProof/>
          <w:lang w:eastAsia="en-GB"/>
        </w:rPr>
        <w:t xml:space="preserve">Lu and </w:t>
      </w:r>
      <w:r w:rsidR="00911FB1">
        <w:rPr>
          <w:noProof/>
          <w:lang w:eastAsia="en-GB"/>
        </w:rPr>
        <w:t xml:space="preserve">Enru </w:t>
      </w:r>
      <w:r w:rsidRPr="004C6745">
        <w:rPr>
          <w:noProof/>
          <w:lang w:eastAsia="en-GB"/>
        </w:rPr>
        <w:t>Wang (2002),</w:t>
      </w:r>
      <w:r w:rsidR="00ED3678">
        <w:rPr>
          <w:noProof/>
          <w:lang w:eastAsia="en-GB"/>
        </w:rPr>
        <w:t xml:space="preserve"> among others. </w:t>
      </w:r>
    </w:p>
    <w:p w14:paraId="6833965A" w14:textId="215A7C97" w:rsidR="004C6745" w:rsidRPr="004C6745" w:rsidRDefault="004C6745" w:rsidP="004C6745">
      <w:pPr>
        <w:pStyle w:val="ArticleTextP2"/>
      </w:pPr>
      <w:r w:rsidRPr="004C6745">
        <w:rPr>
          <w:noProof/>
          <w:lang w:eastAsia="en-GB"/>
        </w:rPr>
        <w:t xml:space="preserve">The rural economic system plays </w:t>
      </w:r>
      <w:r w:rsidR="00E74790">
        <w:rPr>
          <w:noProof/>
          <w:lang w:eastAsia="en-GB"/>
        </w:rPr>
        <w:t xml:space="preserve">an </w:t>
      </w:r>
      <w:r w:rsidRPr="004C6745">
        <w:rPr>
          <w:noProof/>
          <w:lang w:eastAsia="en-GB"/>
        </w:rPr>
        <w:t xml:space="preserve">important role in rural development and they are influenced by differences in cultural backgrounds (Xue et al. 2020). This can be explained with the help of corrosive institutional effects as explained by </w:t>
      </w:r>
      <w:r w:rsidRPr="004C6745">
        <w:t xml:space="preserve">Seabrooke (2002). In China, there has been a concentration of economic activities near the coastal provinces that helped them </w:t>
      </w:r>
      <w:r w:rsidR="00435C6F">
        <w:t>prosper</w:t>
      </w:r>
      <w:r w:rsidRPr="004C6745">
        <w:t>. This led to the concentration of wealth and power in certain areas</w:t>
      </w:r>
      <w:r w:rsidR="00E74790">
        <w:t>,</w:t>
      </w:r>
      <w:r w:rsidRPr="004C6745">
        <w:t xml:space="preserve"> which in turn increased the possibility of public institutions being lobbied/captured by private elites. The government funding was easily manipulated and transferred to the already rich and powerful regions </w:t>
      </w:r>
      <w:r w:rsidR="00E74790">
        <w:t>that</w:t>
      </w:r>
      <w:r w:rsidR="00E74790" w:rsidRPr="004C6745">
        <w:t xml:space="preserve"> </w:t>
      </w:r>
      <w:r w:rsidRPr="004C6745">
        <w:t xml:space="preserve">undermined the autonomy of local/rural regions. The ongoing social and economic norms got imbibed </w:t>
      </w:r>
      <w:r w:rsidR="00E74790">
        <w:t>by</w:t>
      </w:r>
      <w:r w:rsidR="00E74790" w:rsidRPr="004C6745">
        <w:t xml:space="preserve"> </w:t>
      </w:r>
      <w:r w:rsidRPr="004C6745">
        <w:t>the regional/rural development cultural biasedness in China that aggravated the regional income disparity. The local and regional institutional autonomy constitutes an important part of neo-Weberian literature (Seabrooke 2002; Byrkjeflot</w:t>
      </w:r>
      <w:r w:rsidR="0092238B">
        <w:t>,</w:t>
      </w:r>
      <w:r w:rsidRPr="004C6745">
        <w:t xml:space="preserve"> </w:t>
      </w:r>
      <w:r w:rsidR="0092238B" w:rsidRPr="005F4CBF">
        <w:t>Gay</w:t>
      </w:r>
      <w:r w:rsidR="0092238B">
        <w:t xml:space="preserve">, </w:t>
      </w:r>
      <w:r w:rsidR="0092238B" w:rsidRPr="005F4CBF">
        <w:t>Greve</w:t>
      </w:r>
      <w:r w:rsidR="0092238B" w:rsidRPr="004C6745">
        <w:t xml:space="preserve"> </w:t>
      </w:r>
      <w:r w:rsidRPr="004C6745">
        <w:t xml:space="preserve">2018; Lynn 2008; Sanderson 1988). </w:t>
      </w:r>
    </w:p>
    <w:p w14:paraId="1E1BF5F4" w14:textId="5B9D32AB" w:rsidR="004C6745" w:rsidRPr="004C6745" w:rsidRDefault="004C6745" w:rsidP="004C6745">
      <w:pPr>
        <w:pStyle w:val="ArticleTextP2"/>
      </w:pPr>
      <w:r w:rsidRPr="004C6745">
        <w:rPr>
          <w:noProof/>
          <w:lang w:eastAsia="en-GB"/>
        </w:rPr>
        <w:t>The Chinese economic reforms starting in 1978 have been important factors that led to a drastic change in the economic growth of the country. Similarly, in the early-2000s</w:t>
      </w:r>
      <w:r w:rsidR="00E74790">
        <w:rPr>
          <w:noProof/>
          <w:lang w:eastAsia="en-GB"/>
        </w:rPr>
        <w:t>,</w:t>
      </w:r>
      <w:r w:rsidRPr="004C6745">
        <w:rPr>
          <w:noProof/>
          <w:lang w:eastAsia="en-GB"/>
        </w:rPr>
        <w:t xml:space="preserve"> reali</w:t>
      </w:r>
      <w:r w:rsidR="00E74790">
        <w:rPr>
          <w:noProof/>
          <w:lang w:eastAsia="en-GB"/>
        </w:rPr>
        <w:t>z</w:t>
      </w:r>
      <w:r w:rsidRPr="004C6745">
        <w:rPr>
          <w:noProof/>
          <w:lang w:eastAsia="en-GB"/>
        </w:rPr>
        <w:t xml:space="preserve">ing the increasing income gap between provinces, the government started to implement </w:t>
      </w:r>
      <w:r w:rsidR="008B20CE">
        <w:rPr>
          <w:noProof/>
          <w:lang w:eastAsia="en-GB"/>
        </w:rPr>
        <w:t>“</w:t>
      </w:r>
      <w:r w:rsidRPr="004C6745">
        <w:rPr>
          <w:noProof/>
          <w:lang w:eastAsia="en-GB"/>
        </w:rPr>
        <w:t>Go West</w:t>
      </w:r>
      <w:r w:rsidR="008B20CE">
        <w:rPr>
          <w:noProof/>
          <w:lang w:eastAsia="en-GB"/>
        </w:rPr>
        <w:t>”</w:t>
      </w:r>
      <w:r w:rsidRPr="004C6745">
        <w:rPr>
          <w:noProof/>
          <w:lang w:eastAsia="en-GB"/>
        </w:rPr>
        <w:t xml:space="preserve"> strategies for the development of western/inland regions—</w:t>
      </w:r>
      <w:r w:rsidRPr="004C6745">
        <w:t>Chongqing, Sichuan, Guizhou, Yunnan, Tibet, Shaanxi, Gansu, Ningxia, Xinjiang, Inner Mongolia, Guangxi, and Qinghai (</w:t>
      </w:r>
      <w:r w:rsidRPr="004C6745">
        <w:rPr>
          <w:noProof/>
          <w:lang w:eastAsia="en-GB"/>
        </w:rPr>
        <w:t xml:space="preserve">Singh 2002; Goodman and Edmonds 2004; Lin and Chen 2004). The government started to implement policies to make regions conducive to foreign investments by investing in infrastructure, educational facilities, reskilling labors, etc. (Lemoine et al. 2014; </w:t>
      </w:r>
      <w:r w:rsidRPr="004C6745">
        <w:t>The State Council 2016</w:t>
      </w:r>
      <w:r w:rsidRPr="004C6745">
        <w:rPr>
          <w:noProof/>
          <w:lang w:eastAsia="en-GB"/>
        </w:rPr>
        <w:t xml:space="preserve">). </w:t>
      </w:r>
      <w:r w:rsidRPr="004C6745">
        <w:t xml:space="preserve">The government tried to bridge the gap among provinces through policies and administration and enhance regional integration. </w:t>
      </w:r>
    </w:p>
    <w:p w14:paraId="31B763C3" w14:textId="7D7CF55B" w:rsidR="004C6745" w:rsidRPr="004C6745" w:rsidRDefault="004C6745" w:rsidP="004C6745">
      <w:pPr>
        <w:pStyle w:val="ArticleTextP2"/>
        <w:rPr>
          <w:noProof/>
          <w:lang w:eastAsia="en-GB"/>
        </w:rPr>
      </w:pPr>
      <w:r w:rsidRPr="004C6745">
        <w:t xml:space="preserve">However, every effort to strengthen regional growth has been </w:t>
      </w:r>
      <w:r w:rsidR="00E74790" w:rsidRPr="004C6745">
        <w:t xml:space="preserve">initially </w:t>
      </w:r>
      <w:r w:rsidRPr="004C6745">
        <w:t>overcast by the culture of local politics, bureaucracy, and chaos (Li and Wu 2012). As a result, it took some time to reflect the benefits of the policies in the provincial income in China. The studies suggest that t</w:t>
      </w:r>
      <w:r w:rsidRPr="004C6745">
        <w:rPr>
          <w:noProof/>
          <w:lang w:eastAsia="en-GB"/>
        </w:rPr>
        <w:t xml:space="preserve">hese initiatives started showing signs of improvement for regional inequality and inequality reversed during </w:t>
      </w:r>
      <w:r w:rsidR="008B20CE">
        <w:rPr>
          <w:noProof/>
          <w:lang w:eastAsia="en-GB"/>
        </w:rPr>
        <w:t xml:space="preserve">the period from </w:t>
      </w:r>
      <w:r w:rsidR="00435C6F">
        <w:rPr>
          <w:noProof/>
          <w:lang w:eastAsia="en-GB"/>
        </w:rPr>
        <w:t>2005</w:t>
      </w:r>
      <w:r w:rsidR="008B20CE">
        <w:rPr>
          <w:noProof/>
          <w:lang w:eastAsia="en-GB"/>
        </w:rPr>
        <w:t xml:space="preserve"> to </w:t>
      </w:r>
      <w:r w:rsidR="00435C6F">
        <w:rPr>
          <w:noProof/>
          <w:lang w:eastAsia="en-GB"/>
        </w:rPr>
        <w:t>2010</w:t>
      </w:r>
      <w:r w:rsidR="001A6B56">
        <w:rPr>
          <w:noProof/>
          <w:lang w:eastAsia="en-GB"/>
        </w:rPr>
        <w:t xml:space="preserve"> </w:t>
      </w:r>
      <w:r w:rsidRPr="004C6745">
        <w:rPr>
          <w:noProof/>
          <w:lang w:eastAsia="en-GB"/>
        </w:rPr>
        <w:t>when inland provinces started to converge with the coastal provinces (</w:t>
      </w:r>
      <w:r w:rsidRPr="004C6745">
        <w:t xml:space="preserve">Fan and Sun 2008; </w:t>
      </w:r>
      <w:r w:rsidRPr="004C6745">
        <w:rPr>
          <w:noProof/>
          <w:lang w:eastAsia="en-GB"/>
        </w:rPr>
        <w:t xml:space="preserve">Liao and Wei 2016; Ma and Summers 2009). </w:t>
      </w:r>
      <w:r w:rsidR="00911FB1">
        <w:rPr>
          <w:noProof/>
          <w:lang w:eastAsia="en-GB"/>
        </w:rPr>
        <w:t xml:space="preserve">Zhengyun </w:t>
      </w:r>
      <w:r w:rsidRPr="004C6745">
        <w:rPr>
          <w:noProof/>
          <w:lang w:eastAsia="en-GB"/>
        </w:rPr>
        <w:t>Sun (2013)</w:t>
      </w:r>
      <w:r w:rsidR="00911FB1">
        <w:rPr>
          <w:noProof/>
          <w:lang w:eastAsia="en-GB"/>
        </w:rPr>
        <w:t>,</w:t>
      </w:r>
      <w:r w:rsidRPr="004C6745">
        <w:rPr>
          <w:noProof/>
          <w:lang w:eastAsia="en-GB"/>
        </w:rPr>
        <w:t xml:space="preserve"> using the coefficient of variation, Gini</w:t>
      </w:r>
      <w:r w:rsidR="00911FB1">
        <w:rPr>
          <w:noProof/>
          <w:lang w:eastAsia="en-GB"/>
        </w:rPr>
        <w:t>,</w:t>
      </w:r>
      <w:r w:rsidRPr="004C6745">
        <w:rPr>
          <w:noProof/>
          <w:lang w:eastAsia="en-GB"/>
        </w:rPr>
        <w:t xml:space="preserve"> and Theil index</w:t>
      </w:r>
      <w:r w:rsidR="00911FB1">
        <w:rPr>
          <w:noProof/>
          <w:lang w:eastAsia="en-GB"/>
        </w:rPr>
        <w:t>,</w:t>
      </w:r>
      <w:r w:rsidRPr="004C6745">
        <w:rPr>
          <w:noProof/>
          <w:lang w:eastAsia="en-GB"/>
        </w:rPr>
        <w:t xml:space="preserve"> showed declining interprovincial inequality around 2005. </w:t>
      </w:r>
    </w:p>
    <w:p w14:paraId="637B0CAD" w14:textId="7623890C" w:rsidR="004C6745" w:rsidRPr="004C6745" w:rsidRDefault="004C6745" w:rsidP="004C6745">
      <w:pPr>
        <w:pStyle w:val="ArticleTextP2"/>
        <w:rPr>
          <w:noProof/>
          <w:lang w:eastAsia="en-GB"/>
        </w:rPr>
      </w:pPr>
      <w:r w:rsidRPr="004C6745">
        <w:rPr>
          <w:noProof/>
          <w:lang w:eastAsia="en-GB"/>
        </w:rPr>
        <w:t>The reduction in regional inequality was reflected in the reduction of household inequality as well. In 2010</w:t>
      </w:r>
      <w:r w:rsidR="00E74790">
        <w:rPr>
          <w:noProof/>
          <w:lang w:eastAsia="en-GB"/>
        </w:rPr>
        <w:t>,</w:t>
      </w:r>
      <w:r w:rsidRPr="004C6745">
        <w:rPr>
          <w:noProof/>
          <w:lang w:eastAsia="en-GB"/>
        </w:rPr>
        <w:t xml:space="preserve"> China became the first developing country to achieve the World Bank’s Millennium Development Goals (MDGs) before the target year. </w:t>
      </w:r>
      <w:r w:rsidR="00A77A2B">
        <w:rPr>
          <w:noProof/>
          <w:lang w:eastAsia="en-GB"/>
        </w:rPr>
        <w:t>In this regard</w:t>
      </w:r>
      <w:r w:rsidRPr="004C6745">
        <w:rPr>
          <w:noProof/>
          <w:lang w:eastAsia="en-GB"/>
        </w:rPr>
        <w:t>, research shows that the absolute income gap has reduced but the relative gap still need</w:t>
      </w:r>
      <w:r w:rsidR="00E74790">
        <w:rPr>
          <w:noProof/>
          <w:lang w:eastAsia="en-GB"/>
        </w:rPr>
        <w:t>s</w:t>
      </w:r>
      <w:r w:rsidRPr="004C6745">
        <w:rPr>
          <w:noProof/>
          <w:lang w:eastAsia="en-GB"/>
        </w:rPr>
        <w:t xml:space="preserve"> attention (Wang et al. 2020; Yu et al. 2019). For instance, </w:t>
      </w:r>
      <w:r w:rsidRPr="004C6745">
        <w:t>Jain-Chandra</w:t>
      </w:r>
      <w:r w:rsidRPr="004C6745">
        <w:rPr>
          <w:noProof/>
          <w:lang w:eastAsia="en-GB"/>
        </w:rPr>
        <w:t xml:space="preserve"> et al. (2018) outlined that a moderate decline in Gini coefficient from 2008 has been driven by a decline in the income share of the top </w:t>
      </w:r>
      <w:r w:rsidR="00911FB1">
        <w:rPr>
          <w:noProof/>
          <w:lang w:eastAsia="en-GB"/>
        </w:rPr>
        <w:t>twenty</w:t>
      </w:r>
      <w:r w:rsidR="00911FB1" w:rsidRPr="004C6745">
        <w:rPr>
          <w:noProof/>
          <w:lang w:eastAsia="en-GB"/>
        </w:rPr>
        <w:t xml:space="preserve"> </w:t>
      </w:r>
      <w:r w:rsidRPr="004C6745">
        <w:rPr>
          <w:noProof/>
          <w:lang w:eastAsia="en-GB"/>
        </w:rPr>
        <w:t xml:space="preserve">and gains in the middle of the income distribution, instead </w:t>
      </w:r>
      <w:r w:rsidRPr="004C6745">
        <w:rPr>
          <w:noProof/>
          <w:lang w:eastAsia="en-GB"/>
        </w:rPr>
        <w:lastRenderedPageBreak/>
        <w:t xml:space="preserve">of an increase in the income share of the bottom group. Therefore, it appears that an improvement in the middle-class segment led to a reduction in income inequality rather than the poor class. This inference is also applicable to the most backward regions that still need support to show growth improvements (Ma and Summers 2009; </w:t>
      </w:r>
      <w:r w:rsidRPr="00236D4E">
        <w:rPr>
          <w:i/>
          <w:iCs/>
          <w:noProof/>
          <w:lang w:eastAsia="en-GB"/>
        </w:rPr>
        <w:t>The Economist</w:t>
      </w:r>
      <w:r w:rsidRPr="004C6745">
        <w:rPr>
          <w:noProof/>
          <w:lang w:eastAsia="en-GB"/>
        </w:rPr>
        <w:t xml:space="preserve"> 2019). </w:t>
      </w:r>
    </w:p>
    <w:p w14:paraId="02A224B7" w14:textId="6987D91F" w:rsidR="004C6745" w:rsidRPr="004C6745" w:rsidRDefault="004C6745" w:rsidP="004C6745">
      <w:pPr>
        <w:pStyle w:val="ArticleTextP2"/>
        <w:rPr>
          <w:noProof/>
          <w:lang w:eastAsia="en-GB"/>
        </w:rPr>
      </w:pPr>
      <w:r w:rsidRPr="004C6745">
        <w:rPr>
          <w:noProof/>
          <w:lang w:eastAsia="en-GB"/>
        </w:rPr>
        <w:t>The neo-Weberian institutional approach highlights the capacity of local and regional institutions in reducing income disparity (Lottholz and Lemay-Hébert 2016).</w:t>
      </w:r>
      <w:r w:rsidR="002359AE">
        <w:rPr>
          <w:noProof/>
          <w:lang w:eastAsia="en-GB"/>
        </w:rPr>
        <w:t xml:space="preserve"> </w:t>
      </w:r>
      <w:r w:rsidRPr="004C6745">
        <w:rPr>
          <w:noProof/>
          <w:lang w:eastAsia="en-GB"/>
        </w:rPr>
        <w:t xml:space="preserve">In the context of China, the institutional intervention has proved important for enhancing regional economic growth. It is also evident that the local government decision making is culturally biased in promoting the already developed regions. In this regard, the </w:t>
      </w:r>
      <w:r w:rsidR="002359AE">
        <w:rPr>
          <w:noProof/>
          <w:lang w:eastAsia="en-GB"/>
        </w:rPr>
        <w:t>article</w:t>
      </w:r>
      <w:r w:rsidRPr="004C6745">
        <w:rPr>
          <w:noProof/>
          <w:lang w:eastAsia="en-GB"/>
        </w:rPr>
        <w:t xml:space="preserve"> will empirically assess the regional dynamics of convergence, mobility and persistence to understand the nuances of provincial disparity in China. The implementation of </w:t>
      </w:r>
      <w:r w:rsidR="008B20CE">
        <w:rPr>
          <w:noProof/>
          <w:lang w:eastAsia="en-GB"/>
        </w:rPr>
        <w:t>“</w:t>
      </w:r>
      <w:r w:rsidRPr="004C6745">
        <w:rPr>
          <w:noProof/>
          <w:lang w:eastAsia="en-GB"/>
        </w:rPr>
        <w:t>Go West</w:t>
      </w:r>
      <w:r w:rsidR="008B20CE">
        <w:rPr>
          <w:noProof/>
          <w:lang w:eastAsia="en-GB"/>
        </w:rPr>
        <w:t>”</w:t>
      </w:r>
      <w:r w:rsidRPr="004C6745">
        <w:rPr>
          <w:noProof/>
          <w:lang w:eastAsia="en-GB"/>
        </w:rPr>
        <w:t xml:space="preserve"> policies have changed the rank order positions of inland provinces by changing the cultural attitudes of local economic systems. Therefore, this </w:t>
      </w:r>
      <w:r w:rsidR="002359AE">
        <w:rPr>
          <w:noProof/>
          <w:lang w:eastAsia="en-GB"/>
        </w:rPr>
        <w:t>article</w:t>
      </w:r>
      <w:r w:rsidRPr="004C6745">
        <w:rPr>
          <w:noProof/>
          <w:lang w:eastAsia="en-GB"/>
        </w:rPr>
        <w:t xml:space="preserve"> will provide empirical evidence of change in </w:t>
      </w:r>
      <w:r w:rsidR="00E74790">
        <w:rPr>
          <w:noProof/>
          <w:lang w:eastAsia="en-GB"/>
        </w:rPr>
        <w:t xml:space="preserve">the </w:t>
      </w:r>
      <w:r w:rsidRPr="004C6745">
        <w:rPr>
          <w:noProof/>
          <w:lang w:eastAsia="en-GB"/>
        </w:rPr>
        <w:t xml:space="preserve">economic disparity trend for </w:t>
      </w:r>
      <w:r w:rsidR="00911FB1">
        <w:rPr>
          <w:noProof/>
          <w:lang w:eastAsia="en-GB"/>
        </w:rPr>
        <w:t>thirty-one</w:t>
      </w:r>
      <w:r w:rsidR="00911FB1" w:rsidRPr="004C6745">
        <w:rPr>
          <w:noProof/>
          <w:lang w:eastAsia="en-GB"/>
        </w:rPr>
        <w:t xml:space="preserve"> </w:t>
      </w:r>
      <w:r w:rsidRPr="004C6745">
        <w:rPr>
          <w:noProof/>
          <w:lang w:eastAsia="en-GB"/>
        </w:rPr>
        <w:t>provinces considering the mobility and persistence dynamics due to institutional intervention</w:t>
      </w:r>
      <w:r w:rsidR="00E74790">
        <w:rPr>
          <w:noProof/>
          <w:lang w:eastAsia="en-GB"/>
        </w:rPr>
        <w:t>,</w:t>
      </w:r>
      <w:r w:rsidRPr="004C6745">
        <w:rPr>
          <w:noProof/>
          <w:lang w:eastAsia="en-GB"/>
        </w:rPr>
        <w:t xml:space="preserve"> which is an introvertive take for China. The mobility assessment of economies in China from an introvertive perspective has limited evidence in the literature. </w:t>
      </w:r>
    </w:p>
    <w:p w14:paraId="0D7AE41D" w14:textId="4DAE8AA3" w:rsidR="004C6745" w:rsidRPr="008B20CE" w:rsidRDefault="004C6745" w:rsidP="008B20CE">
      <w:pPr>
        <w:pStyle w:val="SectionTitle1"/>
      </w:pPr>
      <w:r w:rsidRPr="008B20CE">
        <w:t xml:space="preserve"> Methodology</w:t>
      </w:r>
    </w:p>
    <w:p w14:paraId="3E8DF584" w14:textId="2B66DEBF" w:rsidR="004C6745" w:rsidRPr="004C6745" w:rsidRDefault="004C6745" w:rsidP="004C6745">
      <w:pPr>
        <w:pStyle w:val="ArticleTextP1"/>
      </w:pPr>
      <w:r w:rsidRPr="004C6745">
        <w:t xml:space="preserve">The </w:t>
      </w:r>
      <w:r w:rsidR="002359AE">
        <w:t>article</w:t>
      </w:r>
      <w:r w:rsidRPr="004C6745">
        <w:t xml:space="preserve"> argues that convergence as a relative measure is better than as an aggregate measure. That is, measuring convergence between two regions in a pairwise setting provides more details when examining convergence patterns between regions. Moreover, the quantification of actual movement of economies by identifying economies that are overtaking, stagnating, or lagging behind in relative terms could help policymakers to appropriately focus resources to regions that need them the most. </w:t>
      </w:r>
    </w:p>
    <w:p w14:paraId="67109FA5" w14:textId="4FEAB170" w:rsidR="004C6745" w:rsidRPr="004C6745" w:rsidRDefault="004C6745" w:rsidP="004C6745">
      <w:pPr>
        <w:pStyle w:val="ArticleTextP2"/>
      </w:pPr>
      <w:r w:rsidRPr="004C6745">
        <w:t>Even after recognition of the importance of mobility dynamics to investigate growth and inequality among economies, there remain</w:t>
      </w:r>
      <w:r w:rsidR="00E74790">
        <w:t>s</w:t>
      </w:r>
      <w:r w:rsidRPr="004C6745">
        <w:t xml:space="preserve"> a lack of sufficient measures to investigate distributional dynamics issues in detail (Novotný 2011; Castro 2003; Gluschenko 2012; Monfort 2008). To fill this gap, Webber and White (2003</w:t>
      </w:r>
      <w:r w:rsidR="00911FB1">
        <w:t>;</w:t>
      </w:r>
      <w:r w:rsidRPr="004C6745">
        <w:t xml:space="preserve"> 2009) and Webber</w:t>
      </w:r>
      <w:r w:rsidR="00443A47">
        <w:t>, White</w:t>
      </w:r>
      <w:r w:rsidR="008B20CE">
        <w:t>,</w:t>
      </w:r>
      <w:r w:rsidR="00443A47">
        <w:t xml:space="preserve"> and Allen</w:t>
      </w:r>
      <w:r w:rsidRPr="004C6745">
        <w:t xml:space="preserve"> (2005) have proposed the X-convergence technique that examines important regional dynamics of convergence, divergence, switching, persistence, </w:t>
      </w:r>
      <w:r w:rsidR="009C4C75" w:rsidRPr="004C6745">
        <w:t>polarization</w:t>
      </w:r>
      <w:r w:rsidRPr="004C6745">
        <w:t>, and mobility of economies, all at the same time. The simultaneous assessment of major regional dynamics is a feature that makes Webber and White</w:t>
      </w:r>
      <w:r w:rsidR="00E74790">
        <w:t>’s</w:t>
      </w:r>
      <w:r w:rsidRPr="004C6745">
        <w:t xml:space="preserve"> (2003</w:t>
      </w:r>
      <w:r w:rsidR="00911FB1">
        <w:t>;</w:t>
      </w:r>
      <w:r w:rsidRPr="004C6745">
        <w:t xml:space="preserve"> 2009) measure distinct from other measures of inequality. Since the technique assesses the change in income for two provinces between two time periods in a pairwise setting, it helps precisely quantify and compare the mobility of economies within a distribution. </w:t>
      </w:r>
    </w:p>
    <w:p w14:paraId="5E4768DB" w14:textId="7CE93015" w:rsidR="00710928" w:rsidRDefault="004C6745" w:rsidP="004C6745">
      <w:pPr>
        <w:pStyle w:val="ArticleTextP2"/>
        <w:rPr>
          <w:noProof/>
          <w:lang w:eastAsia="en-GB"/>
        </w:rPr>
      </w:pPr>
      <w:r w:rsidRPr="004C6745">
        <w:rPr>
          <w:noProof/>
          <w:lang w:eastAsia="en-GB"/>
        </w:rPr>
        <w:t xml:space="preserve">The studies in the domain show limited evidence of the dynamic </w:t>
      </w:r>
      <w:r w:rsidR="00AA17FD">
        <w:rPr>
          <w:noProof/>
          <w:lang w:eastAsia="en-GB"/>
        </w:rPr>
        <w:t>behavior</w:t>
      </w:r>
      <w:r w:rsidRPr="004C6745">
        <w:rPr>
          <w:noProof/>
          <w:lang w:eastAsia="en-GB"/>
        </w:rPr>
        <w:t xml:space="preserve"> of income distribution in terms of changing rank order positions in a comprehensive pairwise setting (</w:t>
      </w:r>
      <w:r w:rsidRPr="004C6745">
        <w:t xml:space="preserve">Novotný 2011). </w:t>
      </w:r>
      <w:r w:rsidRPr="004C6745">
        <w:rPr>
          <w:noProof/>
          <w:lang w:eastAsia="en-GB"/>
        </w:rPr>
        <w:t xml:space="preserve">The dynamic </w:t>
      </w:r>
      <w:r w:rsidR="00AA17FD">
        <w:rPr>
          <w:noProof/>
          <w:lang w:eastAsia="en-GB"/>
        </w:rPr>
        <w:t>behavior</w:t>
      </w:r>
      <w:r w:rsidRPr="004C6745">
        <w:rPr>
          <w:noProof/>
          <w:lang w:eastAsia="en-GB"/>
        </w:rPr>
        <w:t xml:space="preserve"> of economies between two time periods has been assessed by the changing rank order positions of economies by researchers such as </w:t>
      </w:r>
      <w:r w:rsidR="00911FB1">
        <w:rPr>
          <w:noProof/>
          <w:lang w:eastAsia="en-GB"/>
        </w:rPr>
        <w:t xml:space="preserve">Danny </w:t>
      </w:r>
      <w:r w:rsidRPr="004C6745">
        <w:rPr>
          <w:noProof/>
          <w:lang w:eastAsia="en-GB"/>
        </w:rPr>
        <w:t>Quah (1993</w:t>
      </w:r>
      <w:r w:rsidR="00911FB1">
        <w:rPr>
          <w:noProof/>
          <w:lang w:eastAsia="en-GB"/>
        </w:rPr>
        <w:t>;</w:t>
      </w:r>
      <w:r w:rsidRPr="004C6745">
        <w:rPr>
          <w:noProof/>
          <w:lang w:eastAsia="en-GB"/>
        </w:rPr>
        <w:t xml:space="preserve"> 1997) and </w:t>
      </w:r>
      <w:r w:rsidR="00911FB1">
        <w:rPr>
          <w:noProof/>
          <w:lang w:eastAsia="en-GB"/>
        </w:rPr>
        <w:t xml:space="preserve">G. E. </w:t>
      </w:r>
      <w:r w:rsidRPr="004C6745">
        <w:rPr>
          <w:noProof/>
          <w:lang w:eastAsia="en-GB"/>
        </w:rPr>
        <w:t xml:space="preserve">Boyle and </w:t>
      </w:r>
      <w:r w:rsidR="00911FB1">
        <w:rPr>
          <w:noProof/>
          <w:lang w:eastAsia="en-GB"/>
        </w:rPr>
        <w:t xml:space="preserve">T. G. </w:t>
      </w:r>
      <w:r w:rsidRPr="004C6745">
        <w:rPr>
          <w:noProof/>
          <w:lang w:eastAsia="en-GB"/>
        </w:rPr>
        <w:t>McCarthy (1997</w:t>
      </w:r>
      <w:r w:rsidR="00911FB1">
        <w:rPr>
          <w:noProof/>
          <w:lang w:eastAsia="en-GB"/>
        </w:rPr>
        <w:t>;</w:t>
      </w:r>
      <w:r w:rsidRPr="004C6745">
        <w:rPr>
          <w:noProof/>
          <w:lang w:eastAsia="en-GB"/>
        </w:rPr>
        <w:t xml:space="preserve"> 1999). By examining the changing rank positions, Webber</w:t>
      </w:r>
      <w:r w:rsidR="00F45243">
        <w:rPr>
          <w:noProof/>
          <w:lang w:eastAsia="en-GB"/>
        </w:rPr>
        <w:t>, White</w:t>
      </w:r>
      <w:r w:rsidR="008B20CE">
        <w:rPr>
          <w:noProof/>
          <w:lang w:eastAsia="en-GB"/>
        </w:rPr>
        <w:t>,</w:t>
      </w:r>
      <w:r w:rsidR="00F45243">
        <w:rPr>
          <w:noProof/>
          <w:lang w:eastAsia="en-GB"/>
        </w:rPr>
        <w:t xml:space="preserve"> and Allen</w:t>
      </w:r>
      <w:r w:rsidRPr="004C6745">
        <w:rPr>
          <w:noProof/>
          <w:lang w:eastAsia="en-GB"/>
        </w:rPr>
        <w:t xml:space="preserve"> (2005) showed various possibilities of emerging distributional dynamics as shown in </w:t>
      </w:r>
      <w:r w:rsidR="00E74790">
        <w:rPr>
          <w:noProof/>
          <w:lang w:eastAsia="en-GB"/>
        </w:rPr>
        <w:t>f</w:t>
      </w:r>
      <w:r w:rsidRPr="004C6745">
        <w:rPr>
          <w:noProof/>
          <w:lang w:eastAsia="en-GB"/>
        </w:rPr>
        <w:t>igure 2.</w:t>
      </w:r>
    </w:p>
    <w:p w14:paraId="0E05A3D3" w14:textId="77777777" w:rsidR="00854B9F" w:rsidRPr="004C6745" w:rsidRDefault="00854B9F" w:rsidP="00854B9F">
      <w:pPr>
        <w:pStyle w:val="ArticleTextP2"/>
      </w:pPr>
      <w:bookmarkStart w:id="1" w:name="_Toc51218803"/>
      <w:r w:rsidRPr="004C6745">
        <w:t>Another distinctive feature of the X-convergence method proposed by Webber and White (2003</w:t>
      </w:r>
      <w:r>
        <w:t>;</w:t>
      </w:r>
      <w:r w:rsidRPr="004C6745">
        <w:t xml:space="preserve"> 2009) is that it facilitates an in-depth study of two regions between two time periods to assess the exact frequency of convergence or switching. This allows the researchers </w:t>
      </w:r>
      <w:r w:rsidRPr="004C6745">
        <w:lastRenderedPageBreak/>
        <w:t xml:space="preserve">to take account of the repercussions of any small change that happens during a particular time period. The method has been employed to understand various forms of inequalities in a number of subsequent studies—the living standard inequality dynamics by </w:t>
      </w:r>
      <w:r>
        <w:t xml:space="preserve">Josef </w:t>
      </w:r>
      <w:proofErr w:type="spellStart"/>
      <w:r w:rsidRPr="004C6745">
        <w:t>Novotný</w:t>
      </w:r>
      <w:proofErr w:type="spellEnd"/>
      <w:r w:rsidRPr="004C6745">
        <w:t xml:space="preserve"> (2011)</w:t>
      </w:r>
      <w:r>
        <w:t>,</w:t>
      </w:r>
      <w:r w:rsidRPr="004C6745">
        <w:t xml:space="preserve"> changes in household consumption expenditure regarding environmental impact by </w:t>
      </w:r>
      <w:proofErr w:type="spellStart"/>
      <w:r w:rsidRPr="00911FB1">
        <w:t>Genovait</w:t>
      </w:r>
      <w:r w:rsidRPr="00911FB1">
        <w:rPr>
          <w:rFonts w:hint="eastAsia"/>
        </w:rPr>
        <w:t>ė</w:t>
      </w:r>
      <w:proofErr w:type="spellEnd"/>
      <w:r w:rsidRPr="00911FB1">
        <w:t xml:space="preserve"> </w:t>
      </w:r>
      <w:proofErr w:type="spellStart"/>
      <w:r w:rsidRPr="004C6745">
        <w:t>Liobikienė</w:t>
      </w:r>
      <w:proofErr w:type="spellEnd"/>
      <w:r w:rsidRPr="004C6745">
        <w:t xml:space="preserve"> and </w:t>
      </w:r>
      <w:r>
        <w:t xml:space="preserve">Justina </w:t>
      </w:r>
      <w:proofErr w:type="spellStart"/>
      <w:r w:rsidRPr="004C6745">
        <w:t>Mandravickaitė</w:t>
      </w:r>
      <w:proofErr w:type="spellEnd"/>
      <w:r w:rsidRPr="004C6745">
        <w:t xml:space="preserve"> (2013)</w:t>
      </w:r>
      <w:r>
        <w:t>,</w:t>
      </w:r>
      <w:r w:rsidRPr="004C6745">
        <w:t xml:space="preserve"> and convergence of public expenditure by </w:t>
      </w:r>
      <w:r>
        <w:t xml:space="preserve">Jesus </w:t>
      </w:r>
      <w:proofErr w:type="spellStart"/>
      <w:r w:rsidRPr="004C6745">
        <w:t>Ferreiro</w:t>
      </w:r>
      <w:proofErr w:type="spellEnd"/>
      <w:r>
        <w:t xml:space="preserve">, </w:t>
      </w:r>
      <w:r w:rsidRPr="001E55F2">
        <w:t>Carlos Alberto Carrasco, and Carmen Gómez</w:t>
      </w:r>
      <w:r w:rsidRPr="004C6745">
        <w:t xml:space="preserve"> (2014), among others. It is evident that the X-convergence technique has been used by researchers to get insights on the convergence of different variables. X-convergence could provide important insights for understanding inter-regional growth convergence and inequality. </w:t>
      </w:r>
    </w:p>
    <w:p w14:paraId="1B19AE28" w14:textId="57820285" w:rsidR="00E71366" w:rsidRDefault="004C6745" w:rsidP="004C6745">
      <w:pPr>
        <w:pStyle w:val="FigureTableTitle"/>
      </w:pPr>
      <w:r w:rsidRPr="004C6745">
        <w:t>Figure 2</w:t>
      </w:r>
      <w:r>
        <w:t>.</w:t>
      </w:r>
      <w:r w:rsidRPr="004C6745">
        <w:t xml:space="preserve"> Different Possibilities of Emerging Distribution Dynamics</w:t>
      </w:r>
      <w:bookmarkEnd w:id="1"/>
      <w:r w:rsidR="00E71366" w:rsidRPr="005F2612">
        <w:rPr>
          <w:rFonts w:ascii="Arial" w:hAnsi="Arial" w:cs="Arial"/>
          <w:color w:val="000000"/>
          <w:sz w:val="24"/>
          <w:lang w:eastAsia="en-GB"/>
        </w:rPr>
        <w:drawing>
          <wp:anchor distT="0" distB="0" distL="114300" distR="114300" simplePos="0" relativeHeight="251659264" behindDoc="0" locked="0" layoutInCell="1" allowOverlap="1" wp14:anchorId="58DDAC27" wp14:editId="2E56687D">
            <wp:simplePos x="0" y="0"/>
            <wp:positionH relativeFrom="margin">
              <wp:align>left</wp:align>
            </wp:positionH>
            <wp:positionV relativeFrom="paragraph">
              <wp:posOffset>382230</wp:posOffset>
            </wp:positionV>
            <wp:extent cx="4400959" cy="5083714"/>
            <wp:effectExtent l="0" t="0" r="0" b="3175"/>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959" cy="50837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D2431" w14:textId="77777777" w:rsidR="00710928" w:rsidRPr="004C6745" w:rsidRDefault="00710928" w:rsidP="004C6745">
      <w:pPr>
        <w:pStyle w:val="FigureTableTitle"/>
      </w:pPr>
    </w:p>
    <w:p w14:paraId="26E58DEF" w14:textId="238DF921" w:rsidR="004C6745" w:rsidRPr="004C6745" w:rsidRDefault="004C6745" w:rsidP="004C6745">
      <w:pPr>
        <w:pStyle w:val="FigureSourceCaption"/>
        <w:rPr>
          <w:i w:val="0"/>
          <w:iCs/>
        </w:rPr>
      </w:pPr>
      <w:r w:rsidRPr="004C6745">
        <w:t>Source:</w:t>
      </w:r>
      <w:r w:rsidRPr="004C6745">
        <w:rPr>
          <w:rFonts w:cs="Arial"/>
          <w:noProof/>
          <w:sz w:val="24"/>
          <w:szCs w:val="24"/>
          <w:lang w:eastAsia="en-GB"/>
        </w:rPr>
        <w:t xml:space="preserve"> </w:t>
      </w:r>
      <w:r w:rsidRPr="004C6745">
        <w:rPr>
          <w:i w:val="0"/>
          <w:iCs/>
        </w:rPr>
        <w:t>Web</w:t>
      </w:r>
      <w:r w:rsidR="00353EDA">
        <w:rPr>
          <w:i w:val="0"/>
          <w:iCs/>
        </w:rPr>
        <w:t>b</w:t>
      </w:r>
      <w:r w:rsidRPr="004C6745">
        <w:rPr>
          <w:i w:val="0"/>
          <w:iCs/>
        </w:rPr>
        <w:t>er</w:t>
      </w:r>
      <w:r w:rsidR="00353EDA">
        <w:rPr>
          <w:i w:val="0"/>
          <w:iCs/>
        </w:rPr>
        <w:t>, White</w:t>
      </w:r>
      <w:r w:rsidR="008B20CE">
        <w:rPr>
          <w:i w:val="0"/>
          <w:iCs/>
        </w:rPr>
        <w:t>,</w:t>
      </w:r>
      <w:r w:rsidR="00353EDA">
        <w:rPr>
          <w:i w:val="0"/>
          <w:iCs/>
        </w:rPr>
        <w:t xml:space="preserve"> and Allen</w:t>
      </w:r>
      <w:r w:rsidRPr="004C6745">
        <w:rPr>
          <w:i w:val="0"/>
          <w:iCs/>
        </w:rPr>
        <w:t xml:space="preserve"> (2005)</w:t>
      </w:r>
    </w:p>
    <w:p w14:paraId="76BE382D" w14:textId="22E302C4" w:rsidR="004C6745" w:rsidRPr="004C6745" w:rsidRDefault="004C6745" w:rsidP="004C6745">
      <w:pPr>
        <w:pStyle w:val="ArticleTextP2"/>
      </w:pPr>
      <w:r w:rsidRPr="004C6745">
        <w:lastRenderedPageBreak/>
        <w:t xml:space="preserve">The X-convergence statistic calculates convergence and divergence indicators in terms of relative ratios of differences in per capita income between two economies between two time periods. Averaging the estimated frequencies of per capita income differentials for each pair provides a measure of converging pairs and diverging pairs of economies. The method is much more comprehensive than the earlier cited indicators of convergence and divergence because this method interprets outcomes based on every pair of economies. If the comparison is based on </w:t>
      </w:r>
      <w:r w:rsidR="008B20CE">
        <w:t>“</w:t>
      </w:r>
      <w:r w:rsidRPr="004C6745">
        <w:t>n</w:t>
      </w:r>
      <w:r w:rsidR="008B20CE">
        <w:t>”</w:t>
      </w:r>
      <w:r w:rsidRPr="004C6745">
        <w:t xml:space="preserve"> economies, total indicators of n(n</w:t>
      </w:r>
      <w:r w:rsidR="009C4C75">
        <w:t>–</w:t>
      </w:r>
      <w:r w:rsidRPr="004C6745">
        <w:t xml:space="preserve">1)/2 pairs are investigated. This provides an overview of differentials in per capita GDP in relative ratios terms. </w:t>
      </w:r>
    </w:p>
    <w:p w14:paraId="7A7E0AC8" w14:textId="5ACC9AF2" w:rsidR="004C6745" w:rsidRPr="004C6745" w:rsidRDefault="004C6745" w:rsidP="004C6745">
      <w:pPr>
        <w:pStyle w:val="ArticleTextP2"/>
      </w:pPr>
      <w:r w:rsidRPr="004C6745">
        <w:t>Inspired by the neoclassical growth predictions of convergence that a poor economy grows at a higher speed to catch up with a rich economy, Webber and White’s (2003</w:t>
      </w:r>
      <w:r w:rsidR="00911FB1">
        <w:t>;</w:t>
      </w:r>
      <w:r w:rsidRPr="004C6745">
        <w:t xml:space="preserve"> 2009) model outlines that convergence could be referred to </w:t>
      </w:r>
      <w:r w:rsidR="00E74790">
        <w:t xml:space="preserve">as </w:t>
      </w:r>
      <w:r w:rsidRPr="004C6745">
        <w:t>a gradual decrease in the magnitude of difference between rich country</w:t>
      </w:r>
      <w:r w:rsidR="00E74790">
        <w:t>’s</w:t>
      </w:r>
      <w:r w:rsidRPr="004C6745">
        <w:t xml:space="preserve"> (</w:t>
      </w:r>
      <w:r w:rsidRPr="004C6745">
        <w:rPr>
          <w:i/>
        </w:rPr>
        <w:t>i</w:t>
      </w:r>
      <w:r w:rsidRPr="004C6745">
        <w:t>) and poor country’s (</w:t>
      </w:r>
      <w:r w:rsidRPr="004C6745">
        <w:rPr>
          <w:i/>
        </w:rPr>
        <w:t>j</w:t>
      </w:r>
      <w:r w:rsidRPr="004C6745">
        <w:t>) output per capita (s</w:t>
      </w:r>
      <w:r w:rsidRPr="004C6745">
        <w:rPr>
          <w:vertAlign w:val="subscript"/>
        </w:rPr>
        <w:t>i</w:t>
      </w:r>
      <w:r w:rsidRPr="004C6745">
        <w:t xml:space="preserve"> and s</w:t>
      </w:r>
      <w:r w:rsidRPr="004C6745">
        <w:rPr>
          <w:vertAlign w:val="subscript"/>
        </w:rPr>
        <w:t>j</w:t>
      </w:r>
      <w:r w:rsidRPr="004C6745">
        <w:t xml:space="preserve">) between periods t and t+T. </w:t>
      </w:r>
    </w:p>
    <w:p w14:paraId="5070A559" w14:textId="17C7FE35" w:rsidR="004C6745" w:rsidRPr="004C6745" w:rsidRDefault="004C6745" w:rsidP="004C6745">
      <w:pPr>
        <w:pStyle w:val="ArticleTextP2"/>
      </w:pPr>
      <w:r w:rsidRPr="004C6745">
        <w:t xml:space="preserve">That is, if </w:t>
      </w:r>
      <w:proofErr w:type="gramStart"/>
      <w:r w:rsidRPr="004C6745">
        <w:t>s</w:t>
      </w:r>
      <w:r w:rsidRPr="004C6745">
        <w:rPr>
          <w:vertAlign w:val="subscript"/>
        </w:rPr>
        <w:t>i,t</w:t>
      </w:r>
      <w:proofErr w:type="gramEnd"/>
      <w:r w:rsidRPr="004C6745">
        <w:t xml:space="preserve"> &gt; s</w:t>
      </w:r>
      <w:r w:rsidRPr="004C6745">
        <w:rPr>
          <w:vertAlign w:val="subscript"/>
        </w:rPr>
        <w:t>j,t</w:t>
      </w:r>
      <w:r w:rsidRPr="004C6745">
        <w:t xml:space="preserve"> and (s</w:t>
      </w:r>
      <w:r w:rsidRPr="004C6745">
        <w:rPr>
          <w:vertAlign w:val="subscript"/>
        </w:rPr>
        <w:t>i,t</w:t>
      </w:r>
      <w:r w:rsidRPr="004C6745">
        <w:t xml:space="preserve"> – s</w:t>
      </w:r>
      <w:r w:rsidRPr="004C6745">
        <w:rPr>
          <w:vertAlign w:val="subscript"/>
        </w:rPr>
        <w:t>j,t</w:t>
      </w:r>
      <w:r w:rsidRPr="004C6745">
        <w:t>) &gt; (s</w:t>
      </w:r>
      <w:r w:rsidRPr="004C6745">
        <w:rPr>
          <w:vertAlign w:val="subscript"/>
        </w:rPr>
        <w:t>i,t+T</w:t>
      </w:r>
      <w:r w:rsidRPr="004C6745">
        <w:t xml:space="preserve"> – s</w:t>
      </w:r>
      <w:r w:rsidRPr="004C6745">
        <w:rPr>
          <w:vertAlign w:val="subscript"/>
        </w:rPr>
        <w:t>j,t+T</w:t>
      </w:r>
      <w:r w:rsidRPr="004C6745">
        <w:t xml:space="preserve">), then this is </w:t>
      </w:r>
      <w:r w:rsidR="008B20CE">
        <w:t>“</w:t>
      </w:r>
      <w:r w:rsidRPr="004C6745">
        <w:t>convergence without switching</w:t>
      </w:r>
      <w:r w:rsidR="002359AE">
        <w:t>.</w:t>
      </w:r>
      <w:r w:rsidR="008B20CE">
        <w:t>”</w:t>
      </w:r>
      <w:r w:rsidRPr="004C6745">
        <w:t xml:space="preserve"> Note that rich country </w:t>
      </w:r>
      <w:r w:rsidRPr="004C6745">
        <w:rPr>
          <w:i/>
        </w:rPr>
        <w:t>i</w:t>
      </w:r>
      <w:r w:rsidRPr="004C6745">
        <w:t xml:space="preserve">’s growth rate will be lower than the poor country </w:t>
      </w:r>
      <w:r w:rsidRPr="004C6745">
        <w:rPr>
          <w:i/>
        </w:rPr>
        <w:t>j</w:t>
      </w:r>
      <w:r w:rsidRPr="004C6745">
        <w:t xml:space="preserve">’s growth rate in </w:t>
      </w:r>
      <w:r w:rsidRPr="004C6745">
        <w:rPr>
          <w:i/>
        </w:rPr>
        <w:t>t+T</w:t>
      </w:r>
      <w:r w:rsidRPr="004C6745">
        <w:t>. In other words, convergence without switching based on ratios of per capita GDP happens when (</w:t>
      </w:r>
      <w:proofErr w:type="gramStart"/>
      <w:r w:rsidRPr="004C6745">
        <w:t>s</w:t>
      </w:r>
      <w:r w:rsidRPr="004C6745">
        <w:rPr>
          <w:vertAlign w:val="subscript"/>
        </w:rPr>
        <w:t>i,t</w:t>
      </w:r>
      <w:proofErr w:type="gramEnd"/>
      <w:r w:rsidRPr="004C6745">
        <w:t>/ s</w:t>
      </w:r>
      <w:r w:rsidRPr="004C6745">
        <w:rPr>
          <w:vertAlign w:val="subscript"/>
        </w:rPr>
        <w:t>j,t</w:t>
      </w:r>
      <w:r w:rsidRPr="004C6745">
        <w:t>) &gt; (s</w:t>
      </w:r>
      <w:r w:rsidRPr="004C6745">
        <w:rPr>
          <w:vertAlign w:val="subscript"/>
        </w:rPr>
        <w:t>i,t+T</w:t>
      </w:r>
      <w:r w:rsidRPr="004C6745">
        <w:t>/ s</w:t>
      </w:r>
      <w:r w:rsidRPr="004C6745">
        <w:rPr>
          <w:vertAlign w:val="subscript"/>
        </w:rPr>
        <w:t>i,t+T</w:t>
      </w:r>
      <w:r w:rsidRPr="004C6745">
        <w:t>) &gt; 1.</w:t>
      </w:r>
    </w:p>
    <w:p w14:paraId="0C842991" w14:textId="77777777" w:rsidR="004C6745" w:rsidRPr="004C6745" w:rsidRDefault="004C6745" w:rsidP="004C6745">
      <w:pPr>
        <w:pStyle w:val="ArticleTextP2"/>
      </w:pPr>
      <w:r w:rsidRPr="004C6745">
        <w:t>Following Webber and White (2009):</w:t>
      </w:r>
    </w:p>
    <w:p w14:paraId="453B582C" w14:textId="32BC51DC" w:rsidR="004C6745" w:rsidRPr="004C6745" w:rsidRDefault="004C6745" w:rsidP="004C6745">
      <w:pPr>
        <w:pStyle w:val="ArticleTextP2"/>
        <w:tabs>
          <w:tab w:val="center" w:pos="3600"/>
          <w:tab w:val="right" w:pos="7200"/>
        </w:tabs>
      </w:pPr>
      <w:r>
        <w:tab/>
      </w:r>
      <w:r w:rsidRPr="004C6745">
        <w:t>(</w:t>
      </w:r>
      <w:proofErr w:type="gramStart"/>
      <w:r w:rsidRPr="004C6745">
        <w:t>s</w:t>
      </w:r>
      <w:r w:rsidRPr="004C6745">
        <w:rPr>
          <w:vertAlign w:val="subscript"/>
        </w:rPr>
        <w:t>i,t</w:t>
      </w:r>
      <w:proofErr w:type="gramEnd"/>
      <w:r w:rsidRPr="004C6745">
        <w:t>/ s</w:t>
      </w:r>
      <w:r w:rsidRPr="004C6745">
        <w:rPr>
          <w:vertAlign w:val="subscript"/>
        </w:rPr>
        <w:t>j,t</w:t>
      </w:r>
      <w:r w:rsidRPr="004C6745">
        <w:t>)</w:t>
      </w:r>
      <w:r w:rsidRPr="004C6745">
        <w:rPr>
          <w:vertAlign w:val="superscript"/>
        </w:rPr>
        <w:t>Xi,j</w:t>
      </w:r>
      <w:r w:rsidRPr="004C6745">
        <w:rPr>
          <w:vertAlign w:val="subscript"/>
        </w:rPr>
        <w:t xml:space="preserve"> </w:t>
      </w:r>
      <w:r w:rsidRPr="004C6745">
        <w:t>= (s</w:t>
      </w:r>
      <w:r w:rsidRPr="004C6745">
        <w:rPr>
          <w:vertAlign w:val="subscript"/>
        </w:rPr>
        <w:t>i,t+T</w:t>
      </w:r>
      <w:r w:rsidRPr="004C6745">
        <w:t>/ s</w:t>
      </w:r>
      <w:r w:rsidRPr="004C6745">
        <w:rPr>
          <w:vertAlign w:val="subscript"/>
        </w:rPr>
        <w:t>i,t+T</w:t>
      </w:r>
      <w:r w:rsidRPr="004C6745">
        <w:t xml:space="preserve">) </w:t>
      </w:r>
      <w:r w:rsidRPr="004C6745">
        <w:tab/>
        <w:t>(1)</w:t>
      </w:r>
    </w:p>
    <w:p w14:paraId="10B2682E" w14:textId="7D9D4101" w:rsidR="004C6745" w:rsidRPr="004C6745" w:rsidRDefault="004C6745" w:rsidP="004C6745">
      <w:pPr>
        <w:pStyle w:val="ArticleTextP2"/>
        <w:tabs>
          <w:tab w:val="center" w:pos="3600"/>
          <w:tab w:val="right" w:pos="7200"/>
        </w:tabs>
      </w:pPr>
      <w:r>
        <w:tab/>
      </w:r>
      <w:r w:rsidRPr="004C6745">
        <w:t>s</w:t>
      </w:r>
      <w:r w:rsidRPr="004C6745">
        <w:rPr>
          <w:vertAlign w:val="subscript"/>
        </w:rPr>
        <w:t>i</w:t>
      </w:r>
      <w:r w:rsidRPr="004C6745">
        <w:t xml:space="preserve"> &gt; s</w:t>
      </w:r>
      <w:r w:rsidRPr="004C6745">
        <w:rPr>
          <w:vertAlign w:val="subscript"/>
        </w:rPr>
        <w:t xml:space="preserve">j </w:t>
      </w:r>
      <w:r w:rsidRPr="004C6745">
        <w:t>&gt; 0</w:t>
      </w:r>
    </w:p>
    <w:p w14:paraId="2753582C" w14:textId="01406894" w:rsidR="004C6745" w:rsidRDefault="004C6745" w:rsidP="004C6745">
      <w:pPr>
        <w:pStyle w:val="ArticleTextP2"/>
        <w:tabs>
          <w:tab w:val="center" w:pos="3600"/>
          <w:tab w:val="right" w:pos="7200"/>
        </w:tabs>
      </w:pPr>
      <w:r w:rsidRPr="004C6745">
        <w:t>By defining X</w:t>
      </w:r>
      <w:r w:rsidRPr="004C6745">
        <w:rPr>
          <w:vertAlign w:val="subscript"/>
        </w:rPr>
        <w:t>ij</w:t>
      </w:r>
      <w:r w:rsidRPr="004C6745">
        <w:t xml:space="preserve"> as a solution for </w:t>
      </w:r>
      <w:r w:rsidR="006D0FA9">
        <w:t>1</w:t>
      </w:r>
      <w:r w:rsidRPr="004C6745">
        <w:t>) and taking logarithms on both sides gives:</w:t>
      </w:r>
    </w:p>
    <w:p w14:paraId="168AC419" w14:textId="555FB208" w:rsidR="004C6745" w:rsidRDefault="004C6745" w:rsidP="004C6745">
      <w:pPr>
        <w:pStyle w:val="ArticleTextP2"/>
        <w:tabs>
          <w:tab w:val="center" w:pos="3600"/>
          <w:tab w:val="right" w:pos="7200"/>
        </w:tabs>
      </w:pPr>
    </w:p>
    <w:p w14:paraId="607BBB8A" w14:textId="77777777" w:rsidR="006D0FA9" w:rsidRPr="004C6745" w:rsidRDefault="006D0FA9" w:rsidP="004C6745">
      <w:pPr>
        <w:pStyle w:val="ArticleTextP2"/>
        <w:tabs>
          <w:tab w:val="center" w:pos="3600"/>
          <w:tab w:val="right" w:pos="7200"/>
        </w:tabs>
      </w:pPr>
    </w:p>
    <w:p w14:paraId="436A50F3" w14:textId="3792F4C4" w:rsidR="004C6745" w:rsidRPr="004C6745" w:rsidRDefault="004C6745" w:rsidP="004C6745">
      <w:pPr>
        <w:pStyle w:val="ArticleTextP2"/>
        <w:tabs>
          <w:tab w:val="center" w:pos="3600"/>
          <w:tab w:val="right" w:pos="7200"/>
        </w:tabs>
      </w:pPr>
      <w:r>
        <w:tab/>
      </w:r>
      <w:r w:rsidR="0083514D">
        <w:t xml:space="preserve"> </w:t>
      </w:r>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log⁡</m:t>
                </m:r>
                <m:r>
                  <w:rPr>
                    <w:rFonts w:ascii="Cambria Math" w:hAnsi="Cambria Math"/>
                  </w:rPr>
                  <m:t>(s</m:t>
                </m:r>
              </m:e>
              <m:sub>
                <m:r>
                  <w:rPr>
                    <w:rFonts w:ascii="Cambria Math" w:hAnsi="Cambria Math"/>
                  </w:rPr>
                  <m:t xml:space="preserve">i,t+T </m:t>
                </m:r>
              </m:sub>
            </m:sSub>
            <m:r>
              <w:rPr>
                <w:rFonts w:ascii="Cambria Math" w:hAnsi="Cambria Math"/>
              </w:rPr>
              <m:t>)-</m:t>
            </m:r>
            <m:r>
              <m:rPr>
                <m:sty m:val="p"/>
              </m:rPr>
              <w:rPr>
                <w:rFonts w:ascii="Cambria Math" w:hAnsi="Cambria Math"/>
              </w:rPr>
              <m:t>log⁡</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j,t+T</m:t>
                </m:r>
              </m:sub>
            </m:sSub>
            <m:r>
              <w:rPr>
                <w:rFonts w:ascii="Cambria Math" w:hAnsi="Cambria Math"/>
              </w:rPr>
              <m:t>)</m:t>
            </m:r>
          </m:num>
          <m:den>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i,t</m:t>
                        </m:r>
                      </m:sub>
                    </m:sSub>
                  </m:e>
                </m:d>
              </m:e>
            </m:func>
            <m:r>
              <w:rPr>
                <w:rFonts w:ascii="Cambria Math" w:hAnsi="Cambria Math"/>
              </w:rPr>
              <m:t>-</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j,t</m:t>
                        </m:r>
                      </m:sub>
                    </m:sSub>
                  </m:e>
                </m:d>
              </m:e>
            </m:func>
          </m:den>
        </m:f>
      </m:oMath>
      <w:r w:rsidR="0083514D">
        <w:rPr>
          <w:rFonts w:eastAsiaTheme="minorEastAsia"/>
        </w:rPr>
        <w:t xml:space="preserve"> </w:t>
      </w:r>
      <w:r w:rsidRPr="004C6745">
        <w:rPr>
          <w:rFonts w:eastAsiaTheme="minorEastAsia"/>
        </w:rPr>
        <w:tab/>
        <w:t>(2)</w:t>
      </w:r>
    </w:p>
    <w:p w14:paraId="60B04042" w14:textId="4F55BA04" w:rsidR="004C6745" w:rsidRPr="004C6745" w:rsidRDefault="004C6745" w:rsidP="008B20CE">
      <w:pPr>
        <w:pStyle w:val="ArticleTextP2"/>
        <w:tabs>
          <w:tab w:val="center" w:pos="3600"/>
          <w:tab w:val="right" w:pos="7200"/>
        </w:tabs>
      </w:pPr>
    </w:p>
    <w:p w14:paraId="649E16D7" w14:textId="682AA3A5" w:rsidR="004C6745" w:rsidRPr="004C6745" w:rsidRDefault="004C6745" w:rsidP="004C6745">
      <w:pPr>
        <w:pStyle w:val="ArticleTextP2"/>
      </w:pPr>
      <w:r w:rsidRPr="004C6745">
        <w:t xml:space="preserve">If, </w:t>
      </w:r>
      <w:proofErr w:type="gramStart"/>
      <w:r w:rsidRPr="004C6745">
        <w:t>X</w:t>
      </w:r>
      <w:r w:rsidRPr="004C6745">
        <w:rPr>
          <w:vertAlign w:val="subscript"/>
        </w:rPr>
        <w:t>i,j</w:t>
      </w:r>
      <w:proofErr w:type="gramEnd"/>
      <w:r w:rsidR="002359AE">
        <w:t xml:space="preserve"> </w:t>
      </w:r>
      <w:r w:rsidRPr="004C6745">
        <w:t xml:space="preserve">&gt; 1 then countries i and j exhibit divergence in ratios without switching, </w:t>
      </w:r>
    </w:p>
    <w:p w14:paraId="1FDF2168" w14:textId="6BF782E7" w:rsidR="004C6745" w:rsidRPr="004C6745" w:rsidRDefault="004C6745" w:rsidP="004C6745">
      <w:pPr>
        <w:pStyle w:val="ArticleTextP2"/>
      </w:pPr>
      <w:r w:rsidRPr="004C6745">
        <w:t>Type I</w:t>
      </w:r>
      <w:r w:rsidRPr="006D0FA9">
        <w:rPr>
          <w:rStyle w:val="FootnoteReference"/>
          <w:rFonts w:eastAsia="Calibri" w:cs="Arial"/>
          <w:sz w:val="20"/>
          <w:lang w:val="en-US"/>
        </w:rPr>
        <w:footnoteReference w:id="2"/>
      </w:r>
      <w:r w:rsidRPr="004C6745">
        <w:t xml:space="preserve">, where a relatively high-income region (A) grows at a faster rate rather than low-income region (B) as shown below in </w:t>
      </w:r>
      <w:r w:rsidR="00911FB1">
        <w:t>f</w:t>
      </w:r>
      <w:r w:rsidRPr="004C6745">
        <w:t>igure 3:</w:t>
      </w:r>
    </w:p>
    <w:p w14:paraId="7FE67A4E" w14:textId="0DD90C05" w:rsidR="00EE60A6" w:rsidRDefault="004C6745" w:rsidP="004C6745">
      <w:pPr>
        <w:pStyle w:val="FigureTableTitle"/>
      </w:pPr>
      <w:bookmarkStart w:id="2" w:name="_Toc51246665"/>
      <w:r w:rsidRPr="004C6745">
        <w:t xml:space="preserve">Figure </w:t>
      </w:r>
      <w:r>
        <w:t>3.</w:t>
      </w:r>
      <w:r w:rsidRPr="004C6745">
        <w:t xml:space="preserve"> Type I </w:t>
      </w:r>
      <w:bookmarkEnd w:id="2"/>
      <w:r w:rsidR="00AA17FD">
        <w:t>Behavior</w:t>
      </w:r>
    </w:p>
    <w:p w14:paraId="6261C0B4" w14:textId="203DCBC6" w:rsidR="00EE60A6" w:rsidRDefault="00EE60A6" w:rsidP="004C6745">
      <w:pPr>
        <w:pStyle w:val="FigureTableTitle"/>
      </w:pPr>
    </w:p>
    <w:p w14:paraId="74999888" w14:textId="1E9C8201" w:rsidR="00EE60A6" w:rsidRDefault="00EE60A6" w:rsidP="004C6745">
      <w:pPr>
        <w:pStyle w:val="FigureTableTitle"/>
      </w:pPr>
      <w:r w:rsidRPr="00552FD3">
        <w:rPr>
          <w:rFonts w:ascii="Arial" w:hAnsi="Arial" w:cs="Arial"/>
          <w:sz w:val="24"/>
          <w:lang w:eastAsia="en-GB"/>
        </w:rPr>
        <w:drawing>
          <wp:anchor distT="0" distB="0" distL="114300" distR="114300" simplePos="0" relativeHeight="251660288" behindDoc="0" locked="0" layoutInCell="1" allowOverlap="1" wp14:anchorId="7534158F" wp14:editId="6AA3F32E">
            <wp:simplePos x="0" y="0"/>
            <wp:positionH relativeFrom="column">
              <wp:posOffset>0</wp:posOffset>
            </wp:positionH>
            <wp:positionV relativeFrom="paragraph">
              <wp:posOffset>-362</wp:posOffset>
            </wp:positionV>
            <wp:extent cx="2400000" cy="1980952"/>
            <wp:effectExtent l="0" t="0" r="635" b="635"/>
            <wp:wrapSquare wrapText="bothSides"/>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00000" cy="1980952"/>
                    </a:xfrm>
                    <a:prstGeom prst="rect">
                      <a:avLst/>
                    </a:prstGeom>
                  </pic:spPr>
                </pic:pic>
              </a:graphicData>
            </a:graphic>
          </wp:anchor>
        </w:drawing>
      </w:r>
    </w:p>
    <w:p w14:paraId="4518E061" w14:textId="6664D416" w:rsidR="00EE60A6" w:rsidRDefault="00EE60A6" w:rsidP="004C6745">
      <w:pPr>
        <w:pStyle w:val="FigureTableTitle"/>
      </w:pPr>
    </w:p>
    <w:p w14:paraId="45292A95" w14:textId="575360C2" w:rsidR="00EE60A6" w:rsidRDefault="00EE60A6" w:rsidP="004C6745">
      <w:pPr>
        <w:pStyle w:val="FigureTableTitle"/>
      </w:pPr>
    </w:p>
    <w:p w14:paraId="34B3C905" w14:textId="703396C9" w:rsidR="00EE60A6" w:rsidRDefault="00EE60A6" w:rsidP="004C6745">
      <w:pPr>
        <w:pStyle w:val="FigureTableTitle"/>
      </w:pPr>
    </w:p>
    <w:p w14:paraId="062C9249" w14:textId="76F4B855" w:rsidR="00EE60A6" w:rsidRDefault="00EE60A6" w:rsidP="004C6745">
      <w:pPr>
        <w:pStyle w:val="FigureTableTitle"/>
      </w:pPr>
    </w:p>
    <w:p w14:paraId="25508F77" w14:textId="77777777" w:rsidR="00EE60A6" w:rsidRDefault="00EE60A6" w:rsidP="004C6745">
      <w:pPr>
        <w:pStyle w:val="FigureTableTitle"/>
      </w:pPr>
    </w:p>
    <w:p w14:paraId="729FB883" w14:textId="77777777" w:rsidR="00EE60A6" w:rsidRDefault="00EE60A6" w:rsidP="004C6745">
      <w:pPr>
        <w:pStyle w:val="ArticleTextP2"/>
      </w:pPr>
    </w:p>
    <w:p w14:paraId="7D7F1145" w14:textId="77777777" w:rsidR="00EE60A6" w:rsidRDefault="00EE60A6" w:rsidP="004C6745">
      <w:pPr>
        <w:pStyle w:val="ArticleTextP2"/>
      </w:pPr>
    </w:p>
    <w:p w14:paraId="6F4BEE24" w14:textId="77777777" w:rsidR="00EE60A6" w:rsidRDefault="00EE60A6" w:rsidP="004C6745">
      <w:pPr>
        <w:pStyle w:val="ArticleTextP2"/>
      </w:pPr>
    </w:p>
    <w:p w14:paraId="2C9727AB" w14:textId="77777777" w:rsidR="00EE60A6" w:rsidRDefault="00EE60A6" w:rsidP="004C6745">
      <w:pPr>
        <w:pStyle w:val="ArticleTextP2"/>
      </w:pPr>
    </w:p>
    <w:p w14:paraId="147EB63F" w14:textId="4EFBCA92" w:rsidR="004C6745" w:rsidRPr="004C6745" w:rsidRDefault="004C6745" w:rsidP="004C6745">
      <w:pPr>
        <w:pStyle w:val="ArticleTextP2"/>
      </w:pPr>
      <w:r w:rsidRPr="004C6745">
        <w:lastRenderedPageBreak/>
        <w:t xml:space="preserve">If 0 &lt; </w:t>
      </w:r>
      <w:proofErr w:type="spellStart"/>
      <w:proofErr w:type="gramStart"/>
      <w:r w:rsidRPr="004C6745">
        <w:t>X</w:t>
      </w:r>
      <w:r w:rsidRPr="004C6745">
        <w:rPr>
          <w:vertAlign w:val="subscript"/>
        </w:rPr>
        <w:t>i,j</w:t>
      </w:r>
      <w:proofErr w:type="spellEnd"/>
      <w:proofErr w:type="gramEnd"/>
      <w:r w:rsidRPr="004C6745">
        <w:t xml:space="preserve"> &lt; 1 then countries i and j exhibit convergence in ratios without switching which is called Type II</w:t>
      </w:r>
      <w:r w:rsidR="002359AE">
        <w:t xml:space="preserve"> </w:t>
      </w:r>
      <w:r w:rsidRPr="004C6745">
        <w:t xml:space="preserve">and where a relatively low-income region (B) grows faster rate than the relatively high-income region (A) which stagnate as shown below in </w:t>
      </w:r>
      <w:r w:rsidR="00911FB1">
        <w:t>f</w:t>
      </w:r>
      <w:r w:rsidRPr="004C6745">
        <w:t>igure 4:</w:t>
      </w:r>
    </w:p>
    <w:p w14:paraId="34772284" w14:textId="3DD9A2CA" w:rsidR="004C6745" w:rsidRDefault="004C6745" w:rsidP="004C6745">
      <w:pPr>
        <w:pStyle w:val="FigureTableTitle"/>
      </w:pPr>
      <w:bookmarkStart w:id="3" w:name="_Toc51246666"/>
      <w:r w:rsidRPr="004C6745">
        <w:t xml:space="preserve">Figure </w:t>
      </w:r>
      <w:r>
        <w:t>4.</w:t>
      </w:r>
      <w:r w:rsidRPr="004C6745">
        <w:t xml:space="preserve"> Type II </w:t>
      </w:r>
      <w:bookmarkEnd w:id="3"/>
      <w:r w:rsidR="00AA17FD">
        <w:t>behavior</w:t>
      </w:r>
    </w:p>
    <w:p w14:paraId="770B3841" w14:textId="047A00FD" w:rsidR="00EE60A6" w:rsidRDefault="00EE60A6" w:rsidP="004C6745">
      <w:pPr>
        <w:pStyle w:val="FigureTableTitle"/>
        <w:rPr>
          <w:i/>
        </w:rPr>
      </w:pPr>
    </w:p>
    <w:p w14:paraId="5784A8A0" w14:textId="77777777" w:rsidR="00EE60A6" w:rsidRDefault="00EE60A6" w:rsidP="004C6745">
      <w:pPr>
        <w:pStyle w:val="FigureTableTitle"/>
        <w:rPr>
          <w:i/>
        </w:rPr>
      </w:pPr>
    </w:p>
    <w:p w14:paraId="7A385904" w14:textId="5EBBE25E" w:rsidR="00EE60A6" w:rsidRDefault="00EE60A6" w:rsidP="004C6745">
      <w:pPr>
        <w:pStyle w:val="FigureTableTitle"/>
        <w:rPr>
          <w:i/>
        </w:rPr>
      </w:pPr>
    </w:p>
    <w:p w14:paraId="68E809FC" w14:textId="28D40095" w:rsidR="00EE60A6" w:rsidRDefault="00EE60A6" w:rsidP="004C6745">
      <w:pPr>
        <w:pStyle w:val="FigureTableTitle"/>
        <w:rPr>
          <w:i/>
        </w:rPr>
      </w:pPr>
    </w:p>
    <w:p w14:paraId="68272D84" w14:textId="72CB462A" w:rsidR="00EE60A6" w:rsidRDefault="00EE60A6" w:rsidP="004C6745">
      <w:pPr>
        <w:pStyle w:val="FigureTableTitle"/>
        <w:rPr>
          <w:i/>
        </w:rPr>
      </w:pPr>
    </w:p>
    <w:p w14:paraId="7B4FB20A" w14:textId="3B6E2258" w:rsidR="00EE60A6" w:rsidRDefault="00EE60A6" w:rsidP="004C6745">
      <w:pPr>
        <w:pStyle w:val="FigureTableTitle"/>
        <w:rPr>
          <w:i/>
        </w:rPr>
      </w:pPr>
    </w:p>
    <w:p w14:paraId="0B28556D" w14:textId="2561E6B4" w:rsidR="00EE60A6" w:rsidRDefault="00EE60A6" w:rsidP="004C6745">
      <w:pPr>
        <w:pStyle w:val="FigureTableTitle"/>
        <w:rPr>
          <w:i/>
        </w:rPr>
      </w:pPr>
    </w:p>
    <w:p w14:paraId="37DC5265" w14:textId="1A51BFB7" w:rsidR="00EE60A6" w:rsidRDefault="00EE60A6" w:rsidP="004C6745">
      <w:pPr>
        <w:pStyle w:val="FigureTableTitle"/>
        <w:rPr>
          <w:i/>
        </w:rPr>
      </w:pPr>
    </w:p>
    <w:p w14:paraId="4D348CD9" w14:textId="740C319A" w:rsidR="00EE60A6" w:rsidRDefault="00EE60A6" w:rsidP="004C6745">
      <w:pPr>
        <w:pStyle w:val="FigureTableTitle"/>
        <w:rPr>
          <w:i/>
        </w:rPr>
      </w:pPr>
    </w:p>
    <w:p w14:paraId="12D7D9CF" w14:textId="7DCB8D39" w:rsidR="00EE60A6" w:rsidRDefault="00EE60A6" w:rsidP="004C6745">
      <w:pPr>
        <w:pStyle w:val="FigureTableTitle"/>
        <w:rPr>
          <w:i/>
        </w:rPr>
      </w:pPr>
      <w:r w:rsidRPr="00552FD3">
        <w:rPr>
          <w:rFonts w:ascii="Arial" w:hAnsi="Arial" w:cs="Arial"/>
          <w:sz w:val="24"/>
          <w:lang w:eastAsia="en-GB"/>
        </w:rPr>
        <w:drawing>
          <wp:anchor distT="0" distB="0" distL="114300" distR="114300" simplePos="0" relativeHeight="251661312" behindDoc="0" locked="0" layoutInCell="1" allowOverlap="1" wp14:anchorId="04F5B84D" wp14:editId="6C907396">
            <wp:simplePos x="0" y="0"/>
            <wp:positionH relativeFrom="column">
              <wp:posOffset>0</wp:posOffset>
            </wp:positionH>
            <wp:positionV relativeFrom="paragraph">
              <wp:posOffset>-1857737</wp:posOffset>
            </wp:positionV>
            <wp:extent cx="2390476" cy="1980952"/>
            <wp:effectExtent l="0" t="0" r="0" b="635"/>
            <wp:wrapSquare wrapText="bothSides"/>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390476" cy="1980952"/>
                    </a:xfrm>
                    <a:prstGeom prst="rect">
                      <a:avLst/>
                    </a:prstGeom>
                  </pic:spPr>
                </pic:pic>
              </a:graphicData>
            </a:graphic>
          </wp:anchor>
        </w:drawing>
      </w:r>
    </w:p>
    <w:p w14:paraId="3F0A91F4" w14:textId="77777777" w:rsidR="00EE60A6" w:rsidRPr="004C6745" w:rsidRDefault="00EE60A6" w:rsidP="004C6745">
      <w:pPr>
        <w:pStyle w:val="FigureTableTitle"/>
        <w:rPr>
          <w:i/>
        </w:rPr>
      </w:pPr>
    </w:p>
    <w:p w14:paraId="4EAF8D86" w14:textId="67B5E16E" w:rsidR="004C6745" w:rsidRPr="004C6745" w:rsidRDefault="004C6745" w:rsidP="004C6745">
      <w:pPr>
        <w:pStyle w:val="ArticleTextP2"/>
      </w:pPr>
      <w:r w:rsidRPr="004C6745">
        <w:t xml:space="preserve">When </w:t>
      </w:r>
      <w:r w:rsidR="009C4C75">
        <w:t>–</w:t>
      </w:r>
      <w:r w:rsidRPr="004C6745">
        <w:t xml:space="preserve">1 &lt; </w:t>
      </w:r>
      <w:proofErr w:type="gramStart"/>
      <w:r w:rsidRPr="004C6745">
        <w:t>X</w:t>
      </w:r>
      <w:r w:rsidRPr="004C6745">
        <w:rPr>
          <w:vertAlign w:val="subscript"/>
        </w:rPr>
        <w:t>i,j</w:t>
      </w:r>
      <w:proofErr w:type="gramEnd"/>
      <w:r w:rsidRPr="004C6745">
        <w:t xml:space="preserve"> &lt; 0 occurs then countries i and j exhibit convergence in ratios with switching, which is called Type III and where a relatively high-income region (A) lags behind the relatively low-income region in terms of growth, as shown below in </w:t>
      </w:r>
      <w:r w:rsidR="00911FB1">
        <w:t>f</w:t>
      </w:r>
      <w:r w:rsidRPr="004C6745">
        <w:t>igure 5.</w:t>
      </w:r>
    </w:p>
    <w:p w14:paraId="185C2DF8" w14:textId="7CAF2F09" w:rsidR="004C6745" w:rsidRDefault="004C6745" w:rsidP="004C6745">
      <w:pPr>
        <w:pStyle w:val="FigureTableTitle"/>
      </w:pPr>
      <w:bookmarkStart w:id="4" w:name="_Toc51246667"/>
      <w:r w:rsidRPr="004C6745">
        <w:t xml:space="preserve">Figure </w:t>
      </w:r>
      <w:r>
        <w:t>5.</w:t>
      </w:r>
      <w:r w:rsidRPr="004C6745">
        <w:t xml:space="preserve"> Type III </w:t>
      </w:r>
      <w:bookmarkEnd w:id="4"/>
      <w:r w:rsidR="00AA17FD">
        <w:t>Behavior</w:t>
      </w:r>
    </w:p>
    <w:p w14:paraId="67AC5BB0" w14:textId="5A464CAC" w:rsidR="00EE60A6" w:rsidRDefault="00EE60A6" w:rsidP="004C6745">
      <w:pPr>
        <w:pStyle w:val="FigureTableTitle"/>
        <w:rPr>
          <w:i/>
        </w:rPr>
      </w:pPr>
    </w:p>
    <w:p w14:paraId="1E3E41F8" w14:textId="55759565" w:rsidR="00EE60A6" w:rsidRDefault="00EE60A6" w:rsidP="004C6745">
      <w:pPr>
        <w:pStyle w:val="FigureTableTitle"/>
        <w:rPr>
          <w:i/>
        </w:rPr>
      </w:pPr>
    </w:p>
    <w:p w14:paraId="1AF1166A" w14:textId="2DF5A85E" w:rsidR="00EE60A6" w:rsidRDefault="00EE60A6" w:rsidP="004C6745">
      <w:pPr>
        <w:pStyle w:val="FigureTableTitle"/>
        <w:rPr>
          <w:i/>
        </w:rPr>
      </w:pPr>
    </w:p>
    <w:p w14:paraId="4448D90B" w14:textId="39BB4BFF" w:rsidR="00EE60A6" w:rsidRDefault="00EE60A6" w:rsidP="004C6745">
      <w:pPr>
        <w:pStyle w:val="FigureTableTitle"/>
        <w:rPr>
          <w:i/>
        </w:rPr>
      </w:pPr>
    </w:p>
    <w:p w14:paraId="615F36AC" w14:textId="1CC157CD" w:rsidR="00EE60A6" w:rsidRDefault="00EE60A6" w:rsidP="004C6745">
      <w:pPr>
        <w:pStyle w:val="FigureTableTitle"/>
        <w:rPr>
          <w:i/>
        </w:rPr>
      </w:pPr>
    </w:p>
    <w:p w14:paraId="40521BDB" w14:textId="290365DE" w:rsidR="00EE60A6" w:rsidRDefault="00EE60A6" w:rsidP="004C6745">
      <w:pPr>
        <w:pStyle w:val="FigureTableTitle"/>
        <w:rPr>
          <w:i/>
        </w:rPr>
      </w:pPr>
    </w:p>
    <w:p w14:paraId="0267D02A" w14:textId="63A99EEB" w:rsidR="00EE60A6" w:rsidRDefault="00EE60A6" w:rsidP="004C6745">
      <w:pPr>
        <w:pStyle w:val="FigureTableTitle"/>
        <w:rPr>
          <w:i/>
        </w:rPr>
      </w:pPr>
    </w:p>
    <w:p w14:paraId="7D427809" w14:textId="7A03D9DE" w:rsidR="00EE60A6" w:rsidRDefault="00EE60A6" w:rsidP="004C6745">
      <w:pPr>
        <w:pStyle w:val="FigureTableTitle"/>
        <w:rPr>
          <w:i/>
        </w:rPr>
      </w:pPr>
    </w:p>
    <w:p w14:paraId="00CA095F" w14:textId="61D62E64" w:rsidR="00EE60A6" w:rsidRDefault="00EE60A6" w:rsidP="004C6745">
      <w:pPr>
        <w:pStyle w:val="FigureTableTitle"/>
        <w:rPr>
          <w:i/>
        </w:rPr>
      </w:pPr>
    </w:p>
    <w:p w14:paraId="70BEAAF6" w14:textId="15D41ABA" w:rsidR="00EE60A6" w:rsidRPr="004C6745" w:rsidRDefault="00EE60A6" w:rsidP="004C6745">
      <w:pPr>
        <w:pStyle w:val="FigureTableTitle"/>
        <w:rPr>
          <w:i/>
        </w:rPr>
      </w:pPr>
      <w:r w:rsidRPr="00552FD3">
        <w:rPr>
          <w:rFonts w:ascii="Arial" w:hAnsi="Arial" w:cs="Arial"/>
          <w:sz w:val="24"/>
          <w:lang w:eastAsia="en-GB"/>
        </w:rPr>
        <w:drawing>
          <wp:anchor distT="0" distB="0" distL="114300" distR="114300" simplePos="0" relativeHeight="251662336" behindDoc="0" locked="0" layoutInCell="1" allowOverlap="1" wp14:anchorId="05120F8A" wp14:editId="52919C5D">
            <wp:simplePos x="0" y="0"/>
            <wp:positionH relativeFrom="column">
              <wp:posOffset>0</wp:posOffset>
            </wp:positionH>
            <wp:positionV relativeFrom="paragraph">
              <wp:posOffset>-1866418</wp:posOffset>
            </wp:positionV>
            <wp:extent cx="2285714" cy="1990476"/>
            <wp:effectExtent l="0" t="0" r="635" b="0"/>
            <wp:wrapSquare wrapText="bothSides"/>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285714" cy="1990476"/>
                    </a:xfrm>
                    <a:prstGeom prst="rect">
                      <a:avLst/>
                    </a:prstGeom>
                  </pic:spPr>
                </pic:pic>
              </a:graphicData>
            </a:graphic>
          </wp:anchor>
        </w:drawing>
      </w:r>
    </w:p>
    <w:p w14:paraId="5168EB0D" w14:textId="57A67D82" w:rsidR="004C6745" w:rsidRPr="004C6745" w:rsidRDefault="004C6745" w:rsidP="004C6745">
      <w:pPr>
        <w:pStyle w:val="ArticleTextP2"/>
      </w:pPr>
      <w:r w:rsidRPr="004C6745">
        <w:t xml:space="preserve">When </w:t>
      </w:r>
      <w:r w:rsidR="009C4C75">
        <w:t>–</w:t>
      </w:r>
      <w:r w:rsidRPr="004C6745">
        <w:t xml:space="preserve">1 &gt; </w:t>
      </w:r>
      <w:proofErr w:type="gramStart"/>
      <w:r w:rsidRPr="004C6745">
        <w:t>X</w:t>
      </w:r>
      <w:r w:rsidRPr="004C6745">
        <w:rPr>
          <w:vertAlign w:val="subscript"/>
        </w:rPr>
        <w:t>i,j</w:t>
      </w:r>
      <w:proofErr w:type="gramEnd"/>
      <w:r w:rsidRPr="004C6745">
        <w:t xml:space="preserve"> then countries i and j exhibit divergence in ratios with switching, which is called Type IV and where a relatively low-income region (B) overtakes high-income region (A), as shown in </w:t>
      </w:r>
      <w:r w:rsidR="00911FB1">
        <w:t>f</w:t>
      </w:r>
      <w:r w:rsidRPr="004C6745">
        <w:t>igure 6.</w:t>
      </w:r>
    </w:p>
    <w:p w14:paraId="57CC836E" w14:textId="03AB625F" w:rsidR="004C6745" w:rsidRDefault="004C6745" w:rsidP="004C6745">
      <w:pPr>
        <w:pStyle w:val="FigureTableTitle"/>
      </w:pPr>
      <w:bookmarkStart w:id="5" w:name="_Toc51246668"/>
      <w:r w:rsidRPr="004C6745">
        <w:t>Figure</w:t>
      </w:r>
      <w:r>
        <w:t xml:space="preserve"> 6.</w:t>
      </w:r>
      <w:r w:rsidRPr="004C6745">
        <w:t xml:space="preserve"> Type IV </w:t>
      </w:r>
      <w:bookmarkEnd w:id="5"/>
      <w:r w:rsidR="00AA17FD">
        <w:t>Behavior</w:t>
      </w:r>
    </w:p>
    <w:p w14:paraId="47914926" w14:textId="2BB0118B" w:rsidR="004263C0" w:rsidRDefault="004263C0" w:rsidP="004C6745">
      <w:pPr>
        <w:pStyle w:val="FigureTableTitle"/>
        <w:rPr>
          <w:i/>
        </w:rPr>
      </w:pPr>
    </w:p>
    <w:p w14:paraId="1C9DDA10" w14:textId="6EC3661C" w:rsidR="004263C0" w:rsidRDefault="004263C0" w:rsidP="004C6745">
      <w:pPr>
        <w:pStyle w:val="FigureTableTitle"/>
        <w:rPr>
          <w:i/>
        </w:rPr>
      </w:pPr>
    </w:p>
    <w:p w14:paraId="59313941" w14:textId="506E60D5" w:rsidR="004263C0" w:rsidRDefault="004263C0" w:rsidP="004C6745">
      <w:pPr>
        <w:pStyle w:val="FigureTableTitle"/>
        <w:rPr>
          <w:i/>
        </w:rPr>
      </w:pPr>
    </w:p>
    <w:p w14:paraId="3585ACA3" w14:textId="643CBA36" w:rsidR="004263C0" w:rsidRDefault="004263C0" w:rsidP="004C6745">
      <w:pPr>
        <w:pStyle w:val="FigureTableTitle"/>
        <w:rPr>
          <w:i/>
        </w:rPr>
      </w:pPr>
    </w:p>
    <w:p w14:paraId="08C09106" w14:textId="5E8839C4" w:rsidR="004263C0" w:rsidRDefault="004263C0" w:rsidP="004C6745">
      <w:pPr>
        <w:pStyle w:val="FigureTableTitle"/>
        <w:rPr>
          <w:i/>
        </w:rPr>
      </w:pPr>
    </w:p>
    <w:p w14:paraId="2B1D02F3" w14:textId="1306E997" w:rsidR="004263C0" w:rsidRDefault="004263C0" w:rsidP="004C6745">
      <w:pPr>
        <w:pStyle w:val="FigureTableTitle"/>
        <w:rPr>
          <w:i/>
        </w:rPr>
      </w:pPr>
    </w:p>
    <w:p w14:paraId="0B3BFA02" w14:textId="16F2E264" w:rsidR="004263C0" w:rsidRDefault="004263C0" w:rsidP="004C6745">
      <w:pPr>
        <w:pStyle w:val="FigureTableTitle"/>
        <w:rPr>
          <w:i/>
        </w:rPr>
      </w:pPr>
    </w:p>
    <w:p w14:paraId="7EE3CAA0" w14:textId="03E15417" w:rsidR="004263C0" w:rsidRDefault="004263C0" w:rsidP="004C6745">
      <w:pPr>
        <w:pStyle w:val="FigureTableTitle"/>
        <w:rPr>
          <w:i/>
        </w:rPr>
      </w:pPr>
    </w:p>
    <w:p w14:paraId="7663A27C" w14:textId="675D6EB9" w:rsidR="004263C0" w:rsidRDefault="004263C0" w:rsidP="004C6745">
      <w:pPr>
        <w:pStyle w:val="FigureTableTitle"/>
        <w:rPr>
          <w:i/>
        </w:rPr>
      </w:pPr>
    </w:p>
    <w:p w14:paraId="066D9CD5" w14:textId="362640E4" w:rsidR="004263C0" w:rsidRDefault="004263C0" w:rsidP="004C6745">
      <w:pPr>
        <w:pStyle w:val="FigureTableTitle"/>
        <w:rPr>
          <w:i/>
        </w:rPr>
      </w:pPr>
    </w:p>
    <w:p w14:paraId="7494366E" w14:textId="76A7DCFA" w:rsidR="004263C0" w:rsidRPr="004C6745" w:rsidRDefault="004263C0" w:rsidP="004C6745">
      <w:pPr>
        <w:pStyle w:val="FigureTableTitle"/>
        <w:rPr>
          <w:i/>
        </w:rPr>
      </w:pPr>
      <w:r w:rsidRPr="00552FD3">
        <w:rPr>
          <w:rFonts w:ascii="Arial" w:hAnsi="Arial" w:cs="Arial"/>
          <w:sz w:val="24"/>
          <w:lang w:eastAsia="en-GB"/>
        </w:rPr>
        <w:drawing>
          <wp:anchor distT="0" distB="0" distL="114300" distR="114300" simplePos="0" relativeHeight="251663360" behindDoc="0" locked="0" layoutInCell="1" allowOverlap="1" wp14:anchorId="20D55FE1" wp14:editId="650F5C36">
            <wp:simplePos x="0" y="0"/>
            <wp:positionH relativeFrom="column">
              <wp:posOffset>0</wp:posOffset>
            </wp:positionH>
            <wp:positionV relativeFrom="paragraph">
              <wp:posOffset>-2061258</wp:posOffset>
            </wp:positionV>
            <wp:extent cx="2400000" cy="2180952"/>
            <wp:effectExtent l="0" t="0" r="635" b="0"/>
            <wp:wrapSquare wrapText="bothSides"/>
            <wp:docPr id="15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400000" cy="2180952"/>
                    </a:xfrm>
                    <a:prstGeom prst="rect">
                      <a:avLst/>
                    </a:prstGeom>
                  </pic:spPr>
                </pic:pic>
              </a:graphicData>
            </a:graphic>
          </wp:anchor>
        </w:drawing>
      </w:r>
    </w:p>
    <w:p w14:paraId="77CE0E01" w14:textId="78B7B617" w:rsidR="004C6745" w:rsidRPr="004C6745" w:rsidRDefault="004C6745" w:rsidP="004C6745">
      <w:pPr>
        <w:pStyle w:val="ArticleTextP2"/>
      </w:pPr>
      <w:r w:rsidRPr="004C6745">
        <w:t xml:space="preserve">When </w:t>
      </w:r>
      <w:proofErr w:type="gramStart"/>
      <w:r w:rsidRPr="004C6745">
        <w:t>X</w:t>
      </w:r>
      <w:r w:rsidRPr="004C6745">
        <w:rPr>
          <w:vertAlign w:val="subscript"/>
        </w:rPr>
        <w:t>i,j</w:t>
      </w:r>
      <w:proofErr w:type="gramEnd"/>
      <w:r w:rsidRPr="004C6745">
        <w:t xml:space="preserve"> = 0 then the countries have already merged and there cannot be any further convergence, which is called Type V, as shown in </w:t>
      </w:r>
      <w:r w:rsidR="00911FB1">
        <w:t>f</w:t>
      </w:r>
      <w:r w:rsidRPr="004C6745">
        <w:t>igure 7.</w:t>
      </w:r>
    </w:p>
    <w:p w14:paraId="10232C46" w14:textId="6791A3EE" w:rsidR="004C6745" w:rsidRDefault="004C6745" w:rsidP="004C6745">
      <w:pPr>
        <w:pStyle w:val="FigureTableTitle"/>
      </w:pPr>
      <w:bookmarkStart w:id="6" w:name="_Toc51246669"/>
      <w:r w:rsidRPr="004C6745">
        <w:t xml:space="preserve">Figure </w:t>
      </w:r>
      <w:r>
        <w:t>7.</w:t>
      </w:r>
      <w:r w:rsidRPr="004C6745">
        <w:t xml:space="preserve"> Type V </w:t>
      </w:r>
      <w:bookmarkEnd w:id="6"/>
      <w:r w:rsidR="00AA17FD">
        <w:t>Behavior</w:t>
      </w:r>
    </w:p>
    <w:p w14:paraId="0CC3459D" w14:textId="3A525DA5" w:rsidR="001905A3" w:rsidRDefault="001905A3" w:rsidP="004C6745">
      <w:pPr>
        <w:pStyle w:val="FigureTableTitle"/>
        <w:rPr>
          <w:rFonts w:ascii="Arial" w:hAnsi="Arial" w:cs="Arial"/>
          <w:sz w:val="24"/>
        </w:rPr>
      </w:pPr>
    </w:p>
    <w:p w14:paraId="04DF52F8" w14:textId="067EA746" w:rsidR="001905A3" w:rsidRDefault="001905A3" w:rsidP="004C6745">
      <w:pPr>
        <w:pStyle w:val="FigureTableTitle"/>
        <w:rPr>
          <w:rFonts w:ascii="Arial" w:hAnsi="Arial" w:cs="Arial"/>
          <w:sz w:val="24"/>
        </w:rPr>
      </w:pPr>
    </w:p>
    <w:p w14:paraId="43E3DE3A" w14:textId="17D140F2" w:rsidR="001905A3" w:rsidRDefault="001905A3" w:rsidP="004C6745">
      <w:pPr>
        <w:pStyle w:val="FigureTableTitle"/>
        <w:rPr>
          <w:rFonts w:ascii="Arial" w:hAnsi="Arial" w:cs="Arial"/>
          <w:sz w:val="24"/>
        </w:rPr>
      </w:pPr>
    </w:p>
    <w:p w14:paraId="51B550A4" w14:textId="33E37D6B" w:rsidR="001905A3" w:rsidRDefault="001905A3" w:rsidP="004C6745">
      <w:pPr>
        <w:pStyle w:val="FigureTableTitle"/>
        <w:rPr>
          <w:rFonts w:ascii="Arial" w:hAnsi="Arial" w:cs="Arial"/>
          <w:sz w:val="24"/>
        </w:rPr>
      </w:pPr>
    </w:p>
    <w:p w14:paraId="394F438B" w14:textId="30DF04E3" w:rsidR="001905A3" w:rsidRDefault="001905A3" w:rsidP="004C6745">
      <w:pPr>
        <w:pStyle w:val="FigureTableTitle"/>
        <w:rPr>
          <w:rFonts w:ascii="Arial" w:hAnsi="Arial" w:cs="Arial"/>
          <w:sz w:val="24"/>
        </w:rPr>
      </w:pPr>
    </w:p>
    <w:p w14:paraId="76CB46B0" w14:textId="6F63C00D" w:rsidR="001905A3" w:rsidRDefault="001905A3" w:rsidP="004C6745">
      <w:pPr>
        <w:pStyle w:val="FigureTableTitle"/>
        <w:rPr>
          <w:rFonts w:ascii="Arial" w:hAnsi="Arial" w:cs="Arial"/>
          <w:sz w:val="24"/>
        </w:rPr>
      </w:pPr>
    </w:p>
    <w:p w14:paraId="60CBA523" w14:textId="7F8B17A3" w:rsidR="001905A3" w:rsidRDefault="001905A3" w:rsidP="004C6745">
      <w:pPr>
        <w:pStyle w:val="FigureTableTitle"/>
        <w:rPr>
          <w:rFonts w:ascii="Arial" w:hAnsi="Arial" w:cs="Arial"/>
          <w:sz w:val="24"/>
        </w:rPr>
      </w:pPr>
    </w:p>
    <w:p w14:paraId="1616C5F3" w14:textId="02B4A6F7" w:rsidR="001905A3" w:rsidRDefault="001905A3" w:rsidP="004C6745">
      <w:pPr>
        <w:pStyle w:val="FigureTableTitle"/>
        <w:rPr>
          <w:rFonts w:ascii="Arial" w:hAnsi="Arial" w:cs="Arial"/>
          <w:sz w:val="24"/>
        </w:rPr>
      </w:pPr>
    </w:p>
    <w:p w14:paraId="12B41885" w14:textId="36AF64AA" w:rsidR="001905A3" w:rsidRPr="004C6745" w:rsidRDefault="001905A3" w:rsidP="004C6745">
      <w:pPr>
        <w:pStyle w:val="FigureTableTitle"/>
        <w:rPr>
          <w:rFonts w:ascii="Arial" w:hAnsi="Arial" w:cs="Arial"/>
          <w:sz w:val="24"/>
        </w:rPr>
      </w:pPr>
      <w:r w:rsidRPr="00552FD3">
        <w:rPr>
          <w:rFonts w:ascii="Arial" w:hAnsi="Arial" w:cs="Arial"/>
          <w:sz w:val="24"/>
          <w:lang w:eastAsia="en-GB"/>
        </w:rPr>
        <w:drawing>
          <wp:anchor distT="0" distB="0" distL="114300" distR="114300" simplePos="0" relativeHeight="251664384" behindDoc="0" locked="0" layoutInCell="1" allowOverlap="1" wp14:anchorId="47C4A0D0" wp14:editId="6720FC3E">
            <wp:simplePos x="0" y="0"/>
            <wp:positionH relativeFrom="column">
              <wp:posOffset>0</wp:posOffset>
            </wp:positionH>
            <wp:positionV relativeFrom="paragraph">
              <wp:posOffset>-1828527</wp:posOffset>
            </wp:positionV>
            <wp:extent cx="2285714" cy="1980952"/>
            <wp:effectExtent l="0" t="0" r="635" b="635"/>
            <wp:wrapSquare wrapText="bothSides"/>
            <wp:docPr id="15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285714" cy="1980952"/>
                    </a:xfrm>
                    <a:prstGeom prst="rect">
                      <a:avLst/>
                    </a:prstGeom>
                  </pic:spPr>
                </pic:pic>
              </a:graphicData>
            </a:graphic>
          </wp:anchor>
        </w:drawing>
      </w:r>
    </w:p>
    <w:p w14:paraId="5A90950E" w14:textId="09F7ABFA" w:rsidR="004C6745" w:rsidRPr="004C6745" w:rsidRDefault="004C6745" w:rsidP="004C6745">
      <w:pPr>
        <w:pStyle w:val="ArticleTextP2"/>
      </w:pPr>
      <w:r w:rsidRPr="004C6745">
        <w:t xml:space="preserve">The typologies are based on the corollary of the neoclassical hypothesis of convergence </w:t>
      </w:r>
      <w:r w:rsidR="00E74790">
        <w:t>(</w:t>
      </w:r>
      <w:r w:rsidRPr="004C6745">
        <w:t>i.e., where poor regions grow at a faster rate to converge with the richer ones</w:t>
      </w:r>
      <w:r w:rsidR="00E74790">
        <w:t>)</w:t>
      </w:r>
      <w:r w:rsidRPr="004C6745">
        <w:t>. The total convergence among regions is determined by adding Type II and Type III percentages and the total amount of divergence is determined by adding together Type I + Type IV. Type V instances of full convergence were not noted in the analysis, and that is why it is omitted from the analysis.</w:t>
      </w:r>
    </w:p>
    <w:p w14:paraId="77B329A7" w14:textId="7D8D4FD0" w:rsidR="004C6745" w:rsidRPr="004C6745" w:rsidRDefault="004C6745" w:rsidP="004C6745">
      <w:pPr>
        <w:pStyle w:val="ArticleTextP2"/>
      </w:pPr>
      <w:r w:rsidRPr="004C6745">
        <w:t xml:space="preserve">Moreover, the X-convergence measure is based on changes in income per capita of two regions between two time periods. The indicators could be interpreted based on the estimates obtained by the formula. The statistical estimates simply describe the data and do not allow </w:t>
      </w:r>
      <w:r w:rsidR="009C4C75" w:rsidRPr="004C6745">
        <w:t>predictions;</w:t>
      </w:r>
      <w:r w:rsidRPr="004C6745">
        <w:t xml:space="preserve"> hence, the measure is descriptive and not inferential.</w:t>
      </w:r>
    </w:p>
    <w:p w14:paraId="71BC1F3F" w14:textId="14E80FA6" w:rsidR="004C6745" w:rsidRPr="008B20CE" w:rsidRDefault="004C6745" w:rsidP="008B20CE">
      <w:pPr>
        <w:pStyle w:val="SectionTitle1"/>
      </w:pPr>
      <w:r w:rsidRPr="008B20CE">
        <w:t xml:space="preserve"> Data </w:t>
      </w:r>
    </w:p>
    <w:p w14:paraId="5907A208" w14:textId="313BDD68" w:rsidR="004C6745" w:rsidRPr="004C6745" w:rsidRDefault="004C6745" w:rsidP="004C6745">
      <w:pPr>
        <w:pStyle w:val="ArticleTextP1"/>
      </w:pPr>
      <w:r w:rsidRPr="004C6745">
        <w:lastRenderedPageBreak/>
        <w:t xml:space="preserve">Per capita Gross Regional Product data (yuan/person) was obtained for </w:t>
      </w:r>
      <w:r w:rsidR="009C4C75">
        <w:t>thirty-one</w:t>
      </w:r>
      <w:r w:rsidRPr="004C6745">
        <w:t xml:space="preserve"> provinces from 1993 to 2016 from the National Bureau of Statistics China. The time period justifies the aim to evaluate the evolution of regional convergence and disparity issues as the literature suggests that the mid-1990s experienced a widening between the growth paths of rich and poor provinces in China. The evidence of culturally biased attitudes in the redistribution of income is assessed in a casual manner in Chinese literature. This study attempts to provide an understanding of the regional dynamics change due to institutional intervention in terms of policy implementation in the early-2000s.</w:t>
      </w:r>
    </w:p>
    <w:p w14:paraId="6CBAFE06" w14:textId="7E0EA89A" w:rsidR="004C6745" w:rsidRPr="004C6745" w:rsidRDefault="004C6745" w:rsidP="008B20CE">
      <w:pPr>
        <w:pStyle w:val="SectionTitle1"/>
        <w:rPr>
          <w:noProof/>
          <w:lang w:eastAsia="en-GB"/>
        </w:rPr>
      </w:pPr>
      <w:r w:rsidRPr="008B20CE">
        <w:rPr>
          <w:noProof/>
          <w:lang w:eastAsia="en-GB"/>
        </w:rPr>
        <w:t>Findings</w:t>
      </w:r>
    </w:p>
    <w:p w14:paraId="5CB00AF6" w14:textId="3D8A73AC" w:rsidR="004C6745" w:rsidRPr="004C6745" w:rsidRDefault="004C6745" w:rsidP="004C6745">
      <w:pPr>
        <w:pStyle w:val="ArticleTextP1"/>
        <w:rPr>
          <w:noProof/>
          <w:lang w:eastAsia="en-GB"/>
        </w:rPr>
      </w:pPr>
      <w:r w:rsidRPr="004C6745">
        <w:t xml:space="preserve">To show some basic characteristics of per capita Gross Regional Product (GRP), </w:t>
      </w:r>
      <w:r w:rsidR="00E74790">
        <w:t>t</w:t>
      </w:r>
      <w:r w:rsidRPr="004C6745">
        <w:t xml:space="preserve">able 1 provides the descriptive statistics for four periods—1993, 2000, 2007 and 2016. The mean per capita GRP is increasing thereby revealing an increase in the average income of provinces in China. </w:t>
      </w:r>
      <w:r w:rsidRPr="004C6745">
        <w:rPr>
          <w:noProof/>
          <w:lang w:eastAsia="en-GB"/>
        </w:rPr>
        <w:t xml:space="preserve">The standard deviation is continuously increasing since 1993 indicating that the values are spreading out from the mean. </w:t>
      </w:r>
      <w:r w:rsidR="00E13FBA">
        <w:rPr>
          <w:noProof/>
          <w:lang w:eastAsia="en-GB"/>
        </w:rPr>
        <w:t>F</w:t>
      </w:r>
      <w:r w:rsidRPr="004C6745">
        <w:rPr>
          <w:noProof/>
          <w:lang w:eastAsia="en-GB"/>
        </w:rPr>
        <w:t>igure 8 shows the minimum and maximum values for per capita GRP over these years.</w:t>
      </w:r>
      <w:r w:rsidR="002359AE">
        <w:rPr>
          <w:noProof/>
          <w:lang w:eastAsia="en-GB"/>
        </w:rPr>
        <w:t xml:space="preserve"> </w:t>
      </w:r>
      <w:r w:rsidRPr="004C6745">
        <w:rPr>
          <w:noProof/>
          <w:lang w:eastAsia="en-GB"/>
        </w:rPr>
        <w:t>The minimum value depicts the minimum per capita GRP for the low-income provinces such as Guizhou, Gansu, Yunnan, etc. Whereas, the maximum value depicts the maximum per capita GRP for the respective years. Shanghai was the richest province until 2011 and, thereafter, Beijing secured the top position. The maximum value reflects Shanghai’s per capita GRP in 1993, 2000, and 2007 and Beijing’s in 2016. The minimum and maximum values have an increasing trend showing increasing incomes for low</w:t>
      </w:r>
      <w:r w:rsidR="00E74790">
        <w:rPr>
          <w:noProof/>
          <w:lang w:eastAsia="en-GB"/>
        </w:rPr>
        <w:t>-</w:t>
      </w:r>
      <w:r w:rsidRPr="004C6745">
        <w:rPr>
          <w:noProof/>
          <w:lang w:eastAsia="en-GB"/>
        </w:rPr>
        <w:t xml:space="preserve"> and high-income provinces, however, the big difference between the two values indicate a large income differential between the richest and the poorest provinces over the years. </w:t>
      </w:r>
    </w:p>
    <w:p w14:paraId="68A17707" w14:textId="1EC9D05C" w:rsidR="004C6745" w:rsidRPr="004C6745" w:rsidRDefault="004C6745" w:rsidP="004C6745">
      <w:pPr>
        <w:pStyle w:val="ArticleTextP2"/>
      </w:pPr>
      <w:r w:rsidRPr="004C6745">
        <w:t>Examination of the difference between the minimum and maximum values in 1993 and 2016 reveals a disproportionate share of income between rich and poor provinces. Comparison of income in relative ratios become</w:t>
      </w:r>
      <w:r w:rsidR="00E74790">
        <w:t>s</w:t>
      </w:r>
      <w:r w:rsidRPr="004C6745">
        <w:t xml:space="preserve"> significant in the case of China because there is a big gap between the richest and the poorest province.</w:t>
      </w:r>
    </w:p>
    <w:p w14:paraId="5E407BD5" w14:textId="13DD2FF6" w:rsidR="004C6745" w:rsidRPr="004C6745" w:rsidRDefault="004C6745" w:rsidP="004C6745">
      <w:pPr>
        <w:pStyle w:val="FigureTableTitle"/>
        <w:rPr>
          <w:i/>
        </w:rPr>
      </w:pPr>
      <w:bookmarkStart w:id="7" w:name="_Toc51535455"/>
      <w:r w:rsidRPr="004C6745">
        <w:t xml:space="preserve">Table </w:t>
      </w:r>
      <w:r>
        <w:t>1.</w:t>
      </w:r>
      <w:r w:rsidRPr="004C6745">
        <w:t xml:space="preserve"> Descriptive Statistics</w:t>
      </w:r>
      <w:bookmarkEnd w:id="7"/>
    </w:p>
    <w:tbl>
      <w:tblPr>
        <w:tblW w:w="6947" w:type="dxa"/>
        <w:tblInd w:w="-5" w:type="dxa"/>
        <w:tblLook w:val="04A0" w:firstRow="1" w:lastRow="0" w:firstColumn="1" w:lastColumn="0" w:noHBand="0" w:noVBand="1"/>
      </w:tblPr>
      <w:tblGrid>
        <w:gridCol w:w="995"/>
        <w:gridCol w:w="960"/>
        <w:gridCol w:w="960"/>
        <w:gridCol w:w="1053"/>
        <w:gridCol w:w="1245"/>
        <w:gridCol w:w="774"/>
        <w:gridCol w:w="960"/>
      </w:tblGrid>
      <w:tr w:rsidR="004C6745" w:rsidRPr="004C6745" w14:paraId="22F3F784" w14:textId="77777777" w:rsidTr="00052D92">
        <w:trPr>
          <w:trHeight w:val="255"/>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B8BE5" w14:textId="77777777" w:rsidR="004C6745" w:rsidRPr="004C6745" w:rsidRDefault="004C6745" w:rsidP="004C6745">
            <w:pPr>
              <w:spacing w:line="200" w:lineRule="exact"/>
              <w:jc w:val="both"/>
              <w:rPr>
                <w:rFonts w:eastAsia="Times New Roman" w:cs="Arial"/>
                <w:b/>
                <w:bCs/>
                <w:szCs w:val="20"/>
                <w:lang w:val="en-US" w:eastAsia="en-GB"/>
              </w:rPr>
            </w:pPr>
            <w:r w:rsidRPr="004C6745">
              <w:rPr>
                <w:rFonts w:eastAsia="Times New Roman" w:cs="Arial"/>
                <w:b/>
                <w:bCs/>
                <w:szCs w:val="20"/>
                <w:lang w:val="en-US" w:eastAsia="en-GB"/>
              </w:rPr>
              <w:t>Variable</w:t>
            </w:r>
          </w:p>
        </w:tc>
        <w:tc>
          <w:tcPr>
            <w:tcW w:w="960" w:type="dxa"/>
            <w:tcBorders>
              <w:top w:val="single" w:sz="4" w:space="0" w:color="auto"/>
              <w:left w:val="nil"/>
              <w:bottom w:val="single" w:sz="4" w:space="0" w:color="auto"/>
              <w:right w:val="nil"/>
            </w:tcBorders>
          </w:tcPr>
          <w:p w14:paraId="0392B127" w14:textId="77777777" w:rsidR="004C6745" w:rsidRPr="004C6745" w:rsidRDefault="004C6745" w:rsidP="004C6745">
            <w:pPr>
              <w:spacing w:line="200" w:lineRule="exact"/>
              <w:jc w:val="both"/>
              <w:rPr>
                <w:rFonts w:eastAsia="Times New Roman" w:cs="Arial"/>
                <w:b/>
                <w:bCs/>
                <w:szCs w:val="20"/>
                <w:lang w:val="en-US" w:eastAsia="en-GB"/>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A2DA72" w14:textId="77777777" w:rsidR="004C6745" w:rsidRPr="004C6745" w:rsidRDefault="004C6745" w:rsidP="004C6745">
            <w:pPr>
              <w:spacing w:line="200" w:lineRule="exact"/>
              <w:jc w:val="both"/>
              <w:rPr>
                <w:rFonts w:eastAsia="Times New Roman" w:cs="Arial"/>
                <w:b/>
                <w:bCs/>
                <w:szCs w:val="20"/>
                <w:lang w:val="en-US" w:eastAsia="en-GB"/>
              </w:rPr>
            </w:pPr>
            <w:r w:rsidRPr="004C6745">
              <w:rPr>
                <w:rFonts w:eastAsia="Times New Roman" w:cs="Arial"/>
                <w:b/>
                <w:bCs/>
                <w:szCs w:val="20"/>
                <w:lang w:val="en-US" w:eastAsia="en-GB"/>
              </w:rPr>
              <w:t>Obs</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5BA30082" w14:textId="77777777" w:rsidR="004C6745" w:rsidRPr="004C6745" w:rsidRDefault="004C6745" w:rsidP="004C6745">
            <w:pPr>
              <w:spacing w:line="200" w:lineRule="exact"/>
              <w:jc w:val="both"/>
              <w:rPr>
                <w:rFonts w:eastAsia="Times New Roman" w:cs="Arial"/>
                <w:b/>
                <w:bCs/>
                <w:szCs w:val="20"/>
                <w:lang w:val="en-US" w:eastAsia="en-GB"/>
              </w:rPr>
            </w:pPr>
            <w:r w:rsidRPr="004C6745">
              <w:rPr>
                <w:rFonts w:eastAsia="Times New Roman" w:cs="Arial"/>
                <w:b/>
                <w:bCs/>
                <w:szCs w:val="20"/>
                <w:lang w:val="en-US" w:eastAsia="en-GB"/>
              </w:rPr>
              <w:t>Mean</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14:paraId="175764CE" w14:textId="77777777" w:rsidR="004C6745" w:rsidRPr="004C6745" w:rsidRDefault="004C6745" w:rsidP="004C6745">
            <w:pPr>
              <w:spacing w:line="200" w:lineRule="exact"/>
              <w:jc w:val="both"/>
              <w:rPr>
                <w:rFonts w:eastAsia="Times New Roman" w:cs="Arial"/>
                <w:b/>
                <w:bCs/>
                <w:szCs w:val="20"/>
                <w:lang w:val="en-US" w:eastAsia="en-GB"/>
              </w:rPr>
            </w:pPr>
            <w:r w:rsidRPr="004C6745">
              <w:rPr>
                <w:rFonts w:eastAsia="Times New Roman" w:cs="Arial"/>
                <w:b/>
                <w:bCs/>
                <w:szCs w:val="20"/>
                <w:lang w:val="en-US" w:eastAsia="en-GB"/>
              </w:rPr>
              <w:t>Std. Dev.</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0EC2E3B1" w14:textId="77777777" w:rsidR="004C6745" w:rsidRPr="004C6745" w:rsidRDefault="004C6745" w:rsidP="004C6745">
            <w:pPr>
              <w:spacing w:line="200" w:lineRule="exact"/>
              <w:jc w:val="both"/>
              <w:rPr>
                <w:rFonts w:eastAsia="Times New Roman" w:cs="Arial"/>
                <w:b/>
                <w:bCs/>
                <w:szCs w:val="20"/>
                <w:lang w:val="en-US" w:eastAsia="en-GB"/>
              </w:rPr>
            </w:pPr>
            <w:r w:rsidRPr="004C6745">
              <w:rPr>
                <w:rFonts w:eastAsia="Times New Roman" w:cs="Arial"/>
                <w:b/>
                <w:bCs/>
                <w:szCs w:val="20"/>
                <w:lang w:val="en-US" w:eastAsia="en-GB"/>
              </w:rPr>
              <w:t>Min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A5C142" w14:textId="77777777" w:rsidR="004C6745" w:rsidRPr="004C6745" w:rsidRDefault="004C6745" w:rsidP="004C6745">
            <w:pPr>
              <w:spacing w:line="200" w:lineRule="exact"/>
              <w:jc w:val="both"/>
              <w:rPr>
                <w:rFonts w:eastAsia="Times New Roman" w:cs="Arial"/>
                <w:b/>
                <w:bCs/>
                <w:szCs w:val="20"/>
                <w:lang w:val="en-US" w:eastAsia="en-GB"/>
              </w:rPr>
            </w:pPr>
            <w:r w:rsidRPr="004C6745">
              <w:rPr>
                <w:rFonts w:eastAsia="Times New Roman" w:cs="Arial"/>
                <w:b/>
                <w:bCs/>
                <w:szCs w:val="20"/>
                <w:lang w:val="en-US" w:eastAsia="en-GB"/>
              </w:rPr>
              <w:t>Max</w:t>
            </w:r>
          </w:p>
        </w:tc>
      </w:tr>
      <w:tr w:rsidR="004C6745" w:rsidRPr="004C6745" w14:paraId="7EAC866E" w14:textId="77777777" w:rsidTr="00052D92">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46B4412"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1993</w:t>
            </w:r>
          </w:p>
        </w:tc>
        <w:tc>
          <w:tcPr>
            <w:tcW w:w="960" w:type="dxa"/>
            <w:tcBorders>
              <w:top w:val="nil"/>
              <w:left w:val="nil"/>
              <w:bottom w:val="single" w:sz="4" w:space="0" w:color="auto"/>
              <w:right w:val="nil"/>
            </w:tcBorders>
          </w:tcPr>
          <w:p w14:paraId="221F1419" w14:textId="77777777" w:rsidR="004C6745" w:rsidRPr="004C6745" w:rsidRDefault="004C6745" w:rsidP="004C6745">
            <w:pPr>
              <w:spacing w:line="200" w:lineRule="exact"/>
              <w:jc w:val="both"/>
              <w:rPr>
                <w:rFonts w:eastAsia="Times New Roman" w:cs="Arial"/>
                <w:szCs w:val="20"/>
                <w:lang w:val="en-US"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1D52C758"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31</w:t>
            </w:r>
          </w:p>
        </w:tc>
        <w:tc>
          <w:tcPr>
            <w:tcW w:w="1053" w:type="dxa"/>
            <w:tcBorders>
              <w:top w:val="nil"/>
              <w:left w:val="nil"/>
              <w:bottom w:val="single" w:sz="4" w:space="0" w:color="auto"/>
              <w:right w:val="single" w:sz="4" w:space="0" w:color="auto"/>
            </w:tcBorders>
            <w:shd w:val="clear" w:color="auto" w:fill="auto"/>
            <w:noWrap/>
            <w:vAlign w:val="center"/>
            <w:hideMark/>
          </w:tcPr>
          <w:p w14:paraId="0BB640A8"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3211.871</w:t>
            </w:r>
          </w:p>
        </w:tc>
        <w:tc>
          <w:tcPr>
            <w:tcW w:w="1245" w:type="dxa"/>
            <w:tcBorders>
              <w:top w:val="nil"/>
              <w:left w:val="nil"/>
              <w:bottom w:val="single" w:sz="4" w:space="0" w:color="auto"/>
              <w:right w:val="single" w:sz="4" w:space="0" w:color="auto"/>
            </w:tcBorders>
            <w:shd w:val="clear" w:color="auto" w:fill="auto"/>
            <w:noWrap/>
            <w:vAlign w:val="center"/>
            <w:hideMark/>
          </w:tcPr>
          <w:p w14:paraId="69DB1DA8"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2077.605</w:t>
            </w:r>
          </w:p>
        </w:tc>
        <w:tc>
          <w:tcPr>
            <w:tcW w:w="774" w:type="dxa"/>
            <w:tcBorders>
              <w:top w:val="nil"/>
              <w:left w:val="nil"/>
              <w:bottom w:val="single" w:sz="4" w:space="0" w:color="auto"/>
              <w:right w:val="single" w:sz="4" w:space="0" w:color="auto"/>
            </w:tcBorders>
            <w:shd w:val="clear" w:color="auto" w:fill="auto"/>
            <w:noWrap/>
            <w:vAlign w:val="center"/>
            <w:hideMark/>
          </w:tcPr>
          <w:p w14:paraId="160DB1D1"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1234</w:t>
            </w:r>
          </w:p>
        </w:tc>
        <w:tc>
          <w:tcPr>
            <w:tcW w:w="960" w:type="dxa"/>
            <w:tcBorders>
              <w:top w:val="nil"/>
              <w:left w:val="nil"/>
              <w:bottom w:val="single" w:sz="4" w:space="0" w:color="auto"/>
              <w:right w:val="single" w:sz="4" w:space="0" w:color="auto"/>
            </w:tcBorders>
            <w:shd w:val="clear" w:color="auto" w:fill="auto"/>
            <w:noWrap/>
            <w:vAlign w:val="center"/>
            <w:hideMark/>
          </w:tcPr>
          <w:p w14:paraId="266B551A"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11061</w:t>
            </w:r>
          </w:p>
        </w:tc>
      </w:tr>
      <w:tr w:rsidR="004C6745" w:rsidRPr="004C6745" w14:paraId="761D3A3C" w14:textId="77777777" w:rsidTr="00052D92">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BAE2ECF"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2000</w:t>
            </w:r>
          </w:p>
        </w:tc>
        <w:tc>
          <w:tcPr>
            <w:tcW w:w="960" w:type="dxa"/>
            <w:tcBorders>
              <w:top w:val="nil"/>
              <w:left w:val="nil"/>
              <w:bottom w:val="single" w:sz="4" w:space="0" w:color="auto"/>
              <w:right w:val="nil"/>
            </w:tcBorders>
          </w:tcPr>
          <w:p w14:paraId="244696FD" w14:textId="77777777" w:rsidR="004C6745" w:rsidRPr="004C6745" w:rsidRDefault="004C6745" w:rsidP="004C6745">
            <w:pPr>
              <w:spacing w:line="200" w:lineRule="exact"/>
              <w:jc w:val="both"/>
              <w:rPr>
                <w:rFonts w:eastAsia="Times New Roman" w:cs="Arial"/>
                <w:szCs w:val="20"/>
                <w:lang w:val="en-US"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431B2EF1"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31</w:t>
            </w:r>
          </w:p>
        </w:tc>
        <w:tc>
          <w:tcPr>
            <w:tcW w:w="1053" w:type="dxa"/>
            <w:tcBorders>
              <w:top w:val="nil"/>
              <w:left w:val="nil"/>
              <w:bottom w:val="single" w:sz="4" w:space="0" w:color="auto"/>
              <w:right w:val="single" w:sz="4" w:space="0" w:color="auto"/>
            </w:tcBorders>
            <w:shd w:val="clear" w:color="auto" w:fill="auto"/>
            <w:noWrap/>
            <w:vAlign w:val="center"/>
            <w:hideMark/>
          </w:tcPr>
          <w:p w14:paraId="04E4B4E3"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8520.129</w:t>
            </w:r>
          </w:p>
        </w:tc>
        <w:tc>
          <w:tcPr>
            <w:tcW w:w="1245" w:type="dxa"/>
            <w:tcBorders>
              <w:top w:val="nil"/>
              <w:left w:val="nil"/>
              <w:bottom w:val="single" w:sz="4" w:space="0" w:color="auto"/>
              <w:right w:val="single" w:sz="4" w:space="0" w:color="auto"/>
            </w:tcBorders>
            <w:shd w:val="clear" w:color="auto" w:fill="auto"/>
            <w:noWrap/>
            <w:vAlign w:val="center"/>
            <w:hideMark/>
          </w:tcPr>
          <w:p w14:paraId="54FC1A11"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5938.547</w:t>
            </w:r>
          </w:p>
        </w:tc>
        <w:tc>
          <w:tcPr>
            <w:tcW w:w="774" w:type="dxa"/>
            <w:tcBorders>
              <w:top w:val="nil"/>
              <w:left w:val="nil"/>
              <w:bottom w:val="single" w:sz="4" w:space="0" w:color="auto"/>
              <w:right w:val="single" w:sz="4" w:space="0" w:color="auto"/>
            </w:tcBorders>
            <w:shd w:val="clear" w:color="auto" w:fill="auto"/>
            <w:noWrap/>
            <w:vAlign w:val="center"/>
            <w:hideMark/>
          </w:tcPr>
          <w:p w14:paraId="6680E174"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2759</w:t>
            </w:r>
          </w:p>
        </w:tc>
        <w:tc>
          <w:tcPr>
            <w:tcW w:w="960" w:type="dxa"/>
            <w:tcBorders>
              <w:top w:val="nil"/>
              <w:left w:val="nil"/>
              <w:bottom w:val="single" w:sz="4" w:space="0" w:color="auto"/>
              <w:right w:val="single" w:sz="4" w:space="0" w:color="auto"/>
            </w:tcBorders>
            <w:shd w:val="clear" w:color="auto" w:fill="auto"/>
            <w:noWrap/>
            <w:vAlign w:val="center"/>
            <w:hideMark/>
          </w:tcPr>
          <w:p w14:paraId="795612D4"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29671</w:t>
            </w:r>
          </w:p>
        </w:tc>
      </w:tr>
      <w:tr w:rsidR="004C6745" w:rsidRPr="004C6745" w14:paraId="6451EC7A" w14:textId="77777777" w:rsidTr="00052D92">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A500D4D"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2007</w:t>
            </w:r>
          </w:p>
        </w:tc>
        <w:tc>
          <w:tcPr>
            <w:tcW w:w="960" w:type="dxa"/>
            <w:tcBorders>
              <w:top w:val="nil"/>
              <w:left w:val="nil"/>
              <w:bottom w:val="single" w:sz="4" w:space="0" w:color="auto"/>
              <w:right w:val="nil"/>
            </w:tcBorders>
          </w:tcPr>
          <w:p w14:paraId="4C1B2667" w14:textId="77777777" w:rsidR="004C6745" w:rsidRPr="004C6745" w:rsidRDefault="004C6745" w:rsidP="004C6745">
            <w:pPr>
              <w:spacing w:line="200" w:lineRule="exact"/>
              <w:jc w:val="both"/>
              <w:rPr>
                <w:rFonts w:eastAsia="Times New Roman" w:cs="Arial"/>
                <w:szCs w:val="20"/>
                <w:lang w:val="en-US"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489D18AE"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31</w:t>
            </w:r>
          </w:p>
        </w:tc>
        <w:tc>
          <w:tcPr>
            <w:tcW w:w="1053" w:type="dxa"/>
            <w:tcBorders>
              <w:top w:val="nil"/>
              <w:left w:val="nil"/>
              <w:bottom w:val="single" w:sz="4" w:space="0" w:color="auto"/>
              <w:right w:val="single" w:sz="4" w:space="0" w:color="auto"/>
            </w:tcBorders>
            <w:shd w:val="clear" w:color="auto" w:fill="auto"/>
            <w:noWrap/>
            <w:vAlign w:val="center"/>
            <w:hideMark/>
          </w:tcPr>
          <w:p w14:paraId="4DC8AE31"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22189.81</w:t>
            </w:r>
          </w:p>
        </w:tc>
        <w:tc>
          <w:tcPr>
            <w:tcW w:w="1245" w:type="dxa"/>
            <w:tcBorders>
              <w:top w:val="nil"/>
              <w:left w:val="nil"/>
              <w:bottom w:val="single" w:sz="4" w:space="0" w:color="auto"/>
              <w:right w:val="single" w:sz="4" w:space="0" w:color="auto"/>
            </w:tcBorders>
            <w:shd w:val="clear" w:color="auto" w:fill="auto"/>
            <w:noWrap/>
            <w:vAlign w:val="center"/>
            <w:hideMark/>
          </w:tcPr>
          <w:p w14:paraId="26CF659E"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13672.5</w:t>
            </w:r>
          </w:p>
        </w:tc>
        <w:tc>
          <w:tcPr>
            <w:tcW w:w="774" w:type="dxa"/>
            <w:tcBorders>
              <w:top w:val="nil"/>
              <w:left w:val="nil"/>
              <w:bottom w:val="single" w:sz="4" w:space="0" w:color="auto"/>
              <w:right w:val="single" w:sz="4" w:space="0" w:color="auto"/>
            </w:tcBorders>
            <w:shd w:val="clear" w:color="auto" w:fill="auto"/>
            <w:noWrap/>
            <w:vAlign w:val="center"/>
            <w:hideMark/>
          </w:tcPr>
          <w:p w14:paraId="7D7A33BD"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7878</w:t>
            </w:r>
          </w:p>
        </w:tc>
        <w:tc>
          <w:tcPr>
            <w:tcW w:w="960" w:type="dxa"/>
            <w:tcBorders>
              <w:top w:val="nil"/>
              <w:left w:val="nil"/>
              <w:bottom w:val="single" w:sz="4" w:space="0" w:color="auto"/>
              <w:right w:val="single" w:sz="4" w:space="0" w:color="auto"/>
            </w:tcBorders>
            <w:shd w:val="clear" w:color="auto" w:fill="auto"/>
            <w:noWrap/>
            <w:vAlign w:val="center"/>
            <w:hideMark/>
          </w:tcPr>
          <w:p w14:paraId="541FD597"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62041</w:t>
            </w:r>
          </w:p>
        </w:tc>
      </w:tr>
      <w:tr w:rsidR="004C6745" w:rsidRPr="004C6745" w14:paraId="570F3215" w14:textId="77777777" w:rsidTr="00052D92">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5E9F05E"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2016</w:t>
            </w:r>
          </w:p>
        </w:tc>
        <w:tc>
          <w:tcPr>
            <w:tcW w:w="960" w:type="dxa"/>
            <w:tcBorders>
              <w:top w:val="nil"/>
              <w:left w:val="nil"/>
              <w:bottom w:val="single" w:sz="4" w:space="0" w:color="auto"/>
              <w:right w:val="nil"/>
            </w:tcBorders>
          </w:tcPr>
          <w:p w14:paraId="6AB71D23" w14:textId="77777777" w:rsidR="004C6745" w:rsidRPr="004C6745" w:rsidRDefault="004C6745" w:rsidP="004C6745">
            <w:pPr>
              <w:spacing w:line="200" w:lineRule="exact"/>
              <w:jc w:val="both"/>
              <w:rPr>
                <w:rFonts w:eastAsia="Times New Roman" w:cs="Arial"/>
                <w:szCs w:val="20"/>
                <w:lang w:val="en-US"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0DE5C380"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31</w:t>
            </w:r>
          </w:p>
        </w:tc>
        <w:tc>
          <w:tcPr>
            <w:tcW w:w="1053" w:type="dxa"/>
            <w:tcBorders>
              <w:top w:val="nil"/>
              <w:left w:val="nil"/>
              <w:bottom w:val="single" w:sz="4" w:space="0" w:color="auto"/>
              <w:right w:val="single" w:sz="4" w:space="0" w:color="auto"/>
            </w:tcBorders>
            <w:shd w:val="clear" w:color="auto" w:fill="auto"/>
            <w:noWrap/>
            <w:vAlign w:val="center"/>
            <w:hideMark/>
          </w:tcPr>
          <w:p w14:paraId="4289BBAC"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56766.23</w:t>
            </w:r>
          </w:p>
        </w:tc>
        <w:tc>
          <w:tcPr>
            <w:tcW w:w="1245" w:type="dxa"/>
            <w:tcBorders>
              <w:top w:val="nil"/>
              <w:left w:val="nil"/>
              <w:bottom w:val="single" w:sz="4" w:space="0" w:color="auto"/>
              <w:right w:val="single" w:sz="4" w:space="0" w:color="auto"/>
            </w:tcBorders>
            <w:shd w:val="clear" w:color="auto" w:fill="auto"/>
            <w:noWrap/>
            <w:vAlign w:val="center"/>
            <w:hideMark/>
          </w:tcPr>
          <w:p w14:paraId="38F19BD6"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25721.24</w:t>
            </w:r>
          </w:p>
        </w:tc>
        <w:tc>
          <w:tcPr>
            <w:tcW w:w="774" w:type="dxa"/>
            <w:tcBorders>
              <w:top w:val="nil"/>
              <w:left w:val="nil"/>
              <w:bottom w:val="single" w:sz="4" w:space="0" w:color="auto"/>
              <w:right w:val="single" w:sz="4" w:space="0" w:color="auto"/>
            </w:tcBorders>
            <w:shd w:val="clear" w:color="auto" w:fill="auto"/>
            <w:noWrap/>
            <w:vAlign w:val="center"/>
            <w:hideMark/>
          </w:tcPr>
          <w:p w14:paraId="27F43F3B"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27643</w:t>
            </w:r>
          </w:p>
        </w:tc>
        <w:tc>
          <w:tcPr>
            <w:tcW w:w="960" w:type="dxa"/>
            <w:tcBorders>
              <w:top w:val="nil"/>
              <w:left w:val="nil"/>
              <w:bottom w:val="single" w:sz="4" w:space="0" w:color="auto"/>
              <w:right w:val="single" w:sz="4" w:space="0" w:color="auto"/>
            </w:tcBorders>
            <w:shd w:val="clear" w:color="auto" w:fill="auto"/>
            <w:noWrap/>
            <w:vAlign w:val="center"/>
            <w:hideMark/>
          </w:tcPr>
          <w:p w14:paraId="602A6FC8" w14:textId="77777777" w:rsidR="004C6745" w:rsidRPr="004C6745" w:rsidRDefault="004C6745" w:rsidP="004C6745">
            <w:pPr>
              <w:spacing w:line="200" w:lineRule="exact"/>
              <w:jc w:val="both"/>
              <w:rPr>
                <w:rFonts w:eastAsia="Times New Roman" w:cs="Arial"/>
                <w:szCs w:val="20"/>
                <w:lang w:val="en-US" w:eastAsia="en-GB"/>
              </w:rPr>
            </w:pPr>
            <w:r w:rsidRPr="004C6745">
              <w:rPr>
                <w:rFonts w:eastAsia="Times New Roman" w:cs="Arial"/>
                <w:szCs w:val="20"/>
                <w:lang w:val="en-US" w:eastAsia="en-GB"/>
              </w:rPr>
              <w:t>118198</w:t>
            </w:r>
          </w:p>
        </w:tc>
      </w:tr>
    </w:tbl>
    <w:p w14:paraId="51224062" w14:textId="77777777" w:rsidR="00E74790" w:rsidRDefault="00E74790" w:rsidP="004C6745">
      <w:pPr>
        <w:pStyle w:val="FigureTableTitle"/>
      </w:pPr>
      <w:bookmarkStart w:id="8" w:name="_Toc51247009"/>
    </w:p>
    <w:p w14:paraId="6485D138" w14:textId="66896CBD" w:rsidR="004C6745" w:rsidRDefault="004C6745" w:rsidP="004C6745">
      <w:pPr>
        <w:pStyle w:val="FigureTableTitle"/>
      </w:pPr>
      <w:r w:rsidRPr="004C6745">
        <w:t xml:space="preserve">Figure </w:t>
      </w:r>
      <w:r>
        <w:t>8.</w:t>
      </w:r>
      <w:r w:rsidRPr="004C6745">
        <w:t xml:space="preserve"> Minimum and Maximum per Capita GRP Values Trend</w:t>
      </w:r>
      <w:bookmarkEnd w:id="8"/>
    </w:p>
    <w:p w14:paraId="3C7F7DB3" w14:textId="71A56ED5" w:rsidR="003A3FF5" w:rsidRDefault="003A3FF5" w:rsidP="004C6745">
      <w:pPr>
        <w:pStyle w:val="FigureTableTitle"/>
      </w:pPr>
      <w:r w:rsidRPr="0034356E">
        <w:rPr>
          <w:rFonts w:ascii="Arial" w:hAnsi="Arial" w:cs="Arial"/>
          <w:b w:val="0"/>
          <w:sz w:val="24"/>
          <w:lang w:eastAsia="en-GB"/>
        </w:rPr>
        <w:lastRenderedPageBreak/>
        <w:drawing>
          <wp:anchor distT="0" distB="0" distL="114300" distR="114300" simplePos="0" relativeHeight="251666432" behindDoc="0" locked="0" layoutInCell="1" allowOverlap="1" wp14:anchorId="7299C5DB" wp14:editId="104852BB">
            <wp:simplePos x="0" y="0"/>
            <wp:positionH relativeFrom="column">
              <wp:posOffset>0</wp:posOffset>
            </wp:positionH>
            <wp:positionV relativeFrom="paragraph">
              <wp:posOffset>225425</wp:posOffset>
            </wp:positionV>
            <wp:extent cx="4572000" cy="1681056"/>
            <wp:effectExtent l="0" t="0" r="0" b="0"/>
            <wp:wrapSquare wrapText="bothSides"/>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572000" cy="1681056"/>
                    </a:xfrm>
                    <a:prstGeom prst="rect">
                      <a:avLst/>
                    </a:prstGeom>
                  </pic:spPr>
                </pic:pic>
              </a:graphicData>
            </a:graphic>
          </wp:anchor>
        </w:drawing>
      </w:r>
    </w:p>
    <w:p w14:paraId="3D7C2317" w14:textId="77777777" w:rsidR="003A3FF5" w:rsidRDefault="003A3FF5" w:rsidP="004C6745">
      <w:pPr>
        <w:pStyle w:val="FigureTableTitle"/>
      </w:pPr>
    </w:p>
    <w:p w14:paraId="57246384" w14:textId="77777777" w:rsidR="003A3FF5" w:rsidRDefault="003A3FF5" w:rsidP="008B20CE">
      <w:pPr>
        <w:pStyle w:val="SubsectionTitle"/>
        <w:rPr>
          <w:noProof/>
          <w:lang w:eastAsia="en-GB"/>
        </w:rPr>
      </w:pPr>
    </w:p>
    <w:p w14:paraId="429F41C0" w14:textId="02F048C5" w:rsidR="004C6745" w:rsidRPr="004C6745" w:rsidRDefault="004C6745" w:rsidP="008B20CE">
      <w:pPr>
        <w:pStyle w:val="SubsectionTitle"/>
        <w:rPr>
          <w:noProof/>
          <w:lang w:eastAsia="en-GB"/>
        </w:rPr>
      </w:pPr>
      <w:r w:rsidRPr="004C6745">
        <w:rPr>
          <w:noProof/>
          <w:lang w:eastAsia="en-GB"/>
        </w:rPr>
        <w:t xml:space="preserve">X-Convergence </w:t>
      </w:r>
    </w:p>
    <w:p w14:paraId="5CAF572A" w14:textId="3075652D" w:rsidR="00E375A5" w:rsidRDefault="004C6745" w:rsidP="004C6745">
      <w:pPr>
        <w:pStyle w:val="ArticleTextP2"/>
      </w:pPr>
      <w:r w:rsidRPr="004C6745">
        <w:t xml:space="preserve">This section discusses the findings obtained by employing the X-convergence technique. It starts by investigating the aggregate trend on convergence among </w:t>
      </w:r>
      <w:r w:rsidR="009C4C75">
        <w:t>thirty-one</w:t>
      </w:r>
      <w:r w:rsidRPr="004C6745">
        <w:t xml:space="preserve"> provinces and then it divides the provinces into groups of high- and low-income provinces using group-based trajectory modelling. Furthermore, it analy</w:t>
      </w:r>
      <w:r w:rsidR="00E74790">
        <w:t>z</w:t>
      </w:r>
      <w:r w:rsidRPr="004C6745">
        <w:t xml:space="preserve">es the convergence trend within and between high- and low-income groups of provinces. </w:t>
      </w:r>
    </w:p>
    <w:p w14:paraId="13FEFC48" w14:textId="71EEAF3C" w:rsidR="004C6745" w:rsidRPr="004C6745" w:rsidRDefault="004C6745" w:rsidP="00783A4E">
      <w:pPr>
        <w:pStyle w:val="ArticleTextP2"/>
      </w:pPr>
      <w:r w:rsidRPr="004C6745">
        <w:t xml:space="preserve">Figure 9 shows the percentage occurrence of convergence and divergence in relative ratios for </w:t>
      </w:r>
      <w:r w:rsidR="009C4C75">
        <w:t>thirty-one</w:t>
      </w:r>
      <w:r w:rsidRPr="004C6745">
        <w:t xml:space="preserve"> provinces compared in pairs. Between 1993</w:t>
      </w:r>
      <w:r w:rsidR="009C4C75">
        <w:t>–</w:t>
      </w:r>
      <w:r w:rsidRPr="004C6745">
        <w:t xml:space="preserve">2005, barring a few exceptions, Type I </w:t>
      </w:r>
      <w:r w:rsidR="00AA17FD">
        <w:t>behavior</w:t>
      </w:r>
      <w:r w:rsidRPr="004C6745">
        <w:t xml:space="preserve"> is predominant throughout. This finding suggests that high percentages of pairs of provinces demonstrated divergence without switching. This could mean two things, first, that high-income provinces are growing at a very fast speed and diverging away, secondly, low-income province is growing at a very slow rate creating a gap with their counterparts. In the case of Chinese provinces, the rich coastal provinces were growing at faster rates during the 1990s and diverging away with the rest as demonstrated below in </w:t>
      </w:r>
      <w:r w:rsidR="00911FB1">
        <w:t>t</w:t>
      </w:r>
      <w:r w:rsidRPr="004C6745">
        <w:t>able 2. Table 2 shows that during 1993</w:t>
      </w:r>
      <w:r w:rsidR="009C4C75">
        <w:t>–</w:t>
      </w:r>
      <w:r w:rsidRPr="004C6745">
        <w:t>2003, except for the year 1995</w:t>
      </w:r>
      <w:r w:rsidR="009C4C75">
        <w:t>–</w:t>
      </w:r>
      <w:r w:rsidR="00911FB1">
        <w:t>19</w:t>
      </w:r>
      <w:r w:rsidRPr="004C6745">
        <w:t xml:space="preserve">96, all the </w:t>
      </w:r>
      <w:r w:rsidR="00E74790">
        <w:t>ten</w:t>
      </w:r>
      <w:r w:rsidR="00E74790" w:rsidRPr="004C6745">
        <w:t xml:space="preserve"> </w:t>
      </w:r>
      <w:r w:rsidRPr="004C6745">
        <w:t xml:space="preserve">coastal provinces were demonstrating higher percentages of Type I </w:t>
      </w:r>
      <w:r w:rsidR="00AA17FD">
        <w:t>behavior</w:t>
      </w:r>
      <w:r w:rsidRPr="004C6745">
        <w:t xml:space="preserve"> with the rest of the provinces. This underlines an increase in provincial income disparity led by higher growth rates experienced by relatively high-income provinces during the 1990s. </w:t>
      </w:r>
    </w:p>
    <w:p w14:paraId="38210BA8" w14:textId="1D728984" w:rsidR="004C6745" w:rsidRPr="004C6745" w:rsidRDefault="004C6745" w:rsidP="004C6745">
      <w:pPr>
        <w:pStyle w:val="ArticleTextP2"/>
      </w:pPr>
      <w:r w:rsidRPr="004C6745">
        <w:t xml:space="preserve">On the other hand, </w:t>
      </w:r>
      <w:r w:rsidR="00E74790">
        <w:t>t</w:t>
      </w:r>
      <w:r w:rsidRPr="004C6745">
        <w:t xml:space="preserve">able 3 shows the Type I and II </w:t>
      </w:r>
      <w:r w:rsidR="009C4C75" w:rsidRPr="004C6745">
        <w:t>behaviors</w:t>
      </w:r>
      <w:r w:rsidRPr="004C6745">
        <w:t xml:space="preserve"> demonstrated by </w:t>
      </w:r>
      <w:r w:rsidR="00E74790">
        <w:t>twenty-one</w:t>
      </w:r>
      <w:r w:rsidR="00E74790" w:rsidRPr="004C6745">
        <w:t xml:space="preserve"> </w:t>
      </w:r>
      <w:r w:rsidRPr="004C6745">
        <w:t xml:space="preserve">inland provinces with the rest of the provinces from 2005 to 2013. It shows higher instances of Type II </w:t>
      </w:r>
      <w:r w:rsidR="00AA17FD">
        <w:t>behavior</w:t>
      </w:r>
      <w:r w:rsidRPr="004C6745">
        <w:t xml:space="preserve"> which is convergence without switching with others. This implies that low-income inland provinces have attained higher growth to converge with the rest as explained by the neoclassical convergence hypothesis. In other words, the low-income provinces grew at a faster rate compared to the rest of the provinces that helped in catching up of these provinces with the rest. This could be the effect of </w:t>
      </w:r>
      <w:r w:rsidR="008B20CE">
        <w:t>“</w:t>
      </w:r>
      <w:r w:rsidRPr="004C6745">
        <w:t>Go West</w:t>
      </w:r>
      <w:r w:rsidR="008B20CE">
        <w:t>”</w:t>
      </w:r>
      <w:r w:rsidRPr="004C6745">
        <w:t xml:space="preserve"> policies implemented in the early-2000s. The insights on high- and low-income groups of provinces are demonstrated in subsequent sections. </w:t>
      </w:r>
    </w:p>
    <w:p w14:paraId="38B317DD" w14:textId="3594AC39" w:rsidR="004C6745" w:rsidRDefault="004C6745" w:rsidP="004C6745">
      <w:pPr>
        <w:pStyle w:val="FigureTableTitle"/>
      </w:pPr>
      <w:bookmarkStart w:id="9" w:name="_Toc51247011"/>
      <w:r w:rsidRPr="004C6745">
        <w:t xml:space="preserve">Figure </w:t>
      </w:r>
      <w:r>
        <w:t>9.</w:t>
      </w:r>
      <w:r w:rsidRPr="004C6745">
        <w:t xml:space="preserve"> Percentage of Instances of Types of </w:t>
      </w:r>
      <w:r w:rsidR="00AA17FD">
        <w:t>Behavior</w:t>
      </w:r>
      <w:r w:rsidRPr="004C6745">
        <w:t xml:space="preserve"> Exhibited by Provinces </w:t>
      </w:r>
    </w:p>
    <w:p w14:paraId="1DBC5513" w14:textId="28EC5023" w:rsidR="00776231" w:rsidRDefault="00776231" w:rsidP="004C6745">
      <w:pPr>
        <w:pStyle w:val="FigureTableTitle"/>
      </w:pPr>
    </w:p>
    <w:p w14:paraId="2BD74E7E" w14:textId="438A2FDA" w:rsidR="003A4860" w:rsidRDefault="00CE275C" w:rsidP="004C6745">
      <w:pPr>
        <w:pStyle w:val="FigureTableTitle"/>
      </w:pPr>
      <w:r>
        <w:lastRenderedPageBreak/>
        <w:drawing>
          <wp:anchor distT="0" distB="0" distL="114300" distR="114300" simplePos="0" relativeHeight="251679744" behindDoc="0" locked="0" layoutInCell="1" allowOverlap="1" wp14:anchorId="1FDE36E6" wp14:editId="275A8DFF">
            <wp:simplePos x="0" y="0"/>
            <wp:positionH relativeFrom="margin">
              <wp:align>left</wp:align>
            </wp:positionH>
            <wp:positionV relativeFrom="paragraph">
              <wp:posOffset>0</wp:posOffset>
            </wp:positionV>
            <wp:extent cx="3952240" cy="15513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2240" cy="1551305"/>
                    </a:xfrm>
                    <a:prstGeom prst="rect">
                      <a:avLst/>
                    </a:prstGeom>
                    <a:noFill/>
                    <a:ln>
                      <a:noFill/>
                    </a:ln>
                  </pic:spPr>
                </pic:pic>
              </a:graphicData>
            </a:graphic>
            <wp14:sizeRelH relativeFrom="margin">
              <wp14:pctWidth>0</wp14:pctWidth>
            </wp14:sizeRelH>
          </wp:anchor>
        </w:drawing>
      </w:r>
    </w:p>
    <w:p w14:paraId="39A8B867" w14:textId="18B72528" w:rsidR="003A4860" w:rsidRDefault="003A4860" w:rsidP="004C6745">
      <w:pPr>
        <w:pStyle w:val="FigureTableTitle"/>
      </w:pPr>
    </w:p>
    <w:p w14:paraId="45192BEC" w14:textId="71B6E602" w:rsidR="003A4860" w:rsidRDefault="003A4860" w:rsidP="004C6745">
      <w:pPr>
        <w:pStyle w:val="FigureTableTitle"/>
      </w:pPr>
    </w:p>
    <w:p w14:paraId="10A2BC70" w14:textId="4E23C2C5" w:rsidR="003A4860" w:rsidRDefault="003A4860" w:rsidP="004C6745">
      <w:pPr>
        <w:pStyle w:val="FigureTableTitle"/>
      </w:pPr>
    </w:p>
    <w:p w14:paraId="4CF3CE3E" w14:textId="403BEFB9" w:rsidR="003A4860" w:rsidRDefault="003A4860" w:rsidP="004C6745">
      <w:pPr>
        <w:pStyle w:val="FigureTableTitle"/>
      </w:pPr>
    </w:p>
    <w:p w14:paraId="566865D2" w14:textId="7E170C6A" w:rsidR="003A4860" w:rsidRDefault="003A4860" w:rsidP="004C6745">
      <w:pPr>
        <w:pStyle w:val="FigureTableTitle"/>
      </w:pPr>
    </w:p>
    <w:p w14:paraId="55444A9F" w14:textId="72946F99" w:rsidR="003A4860" w:rsidRDefault="003A4860" w:rsidP="004C6745">
      <w:pPr>
        <w:pStyle w:val="FigureTableTitle"/>
      </w:pPr>
    </w:p>
    <w:p w14:paraId="266410EC" w14:textId="63CD5325" w:rsidR="004C6745" w:rsidRPr="004C6745" w:rsidRDefault="004C6745" w:rsidP="004C6745">
      <w:pPr>
        <w:pStyle w:val="FigureSourceCaption"/>
        <w:rPr>
          <w:i w:val="0"/>
          <w:iCs/>
        </w:rPr>
      </w:pPr>
      <w:r w:rsidRPr="004C6745">
        <w:rPr>
          <w:i w:val="0"/>
          <w:iCs/>
        </w:rPr>
        <w:t>Type I = Divergence without switching, Type II = Convergence without switching, Type III = Convergence with switching, Type IV = Divergence with switching.</w:t>
      </w:r>
      <w:bookmarkEnd w:id="9"/>
    </w:p>
    <w:p w14:paraId="5446329E" w14:textId="4DAFBDA0" w:rsidR="004C6745" w:rsidRPr="004C6745" w:rsidRDefault="004C6745" w:rsidP="004C6745">
      <w:pPr>
        <w:pStyle w:val="FigureTableTitle"/>
        <w:rPr>
          <w:i/>
        </w:rPr>
      </w:pPr>
      <w:bookmarkStart w:id="10" w:name="_Toc51535456"/>
      <w:r w:rsidRPr="004C6745">
        <w:t xml:space="preserve">Table </w:t>
      </w:r>
      <w:r>
        <w:t>2.</w:t>
      </w:r>
      <w:r w:rsidRPr="004C6745">
        <w:t xml:space="preserve"> Percentages of Type I and II </w:t>
      </w:r>
      <w:r w:rsidR="00AA17FD">
        <w:t>Behavior</w:t>
      </w:r>
      <w:r w:rsidRPr="004C6745">
        <w:t xml:space="preserve"> Demonstrated by </w:t>
      </w:r>
      <w:r w:rsidR="00E74790">
        <w:t>Ten</w:t>
      </w:r>
      <w:r w:rsidR="00E74790" w:rsidRPr="004C6745">
        <w:t xml:space="preserve"> </w:t>
      </w:r>
      <w:r w:rsidRPr="004C6745">
        <w:t>Coastal Provinces with the Rest during 1993</w:t>
      </w:r>
      <w:r w:rsidR="009C4C75">
        <w:t>–</w:t>
      </w:r>
      <w:r w:rsidRPr="004C6745">
        <w:t>2007</w:t>
      </w:r>
      <w:bookmarkEnd w:id="10"/>
    </w:p>
    <w:tbl>
      <w:tblPr>
        <w:tblW w:w="2880" w:type="dxa"/>
        <w:tblLook w:val="04A0" w:firstRow="1" w:lastRow="0" w:firstColumn="1" w:lastColumn="0" w:noHBand="0" w:noVBand="1"/>
      </w:tblPr>
      <w:tblGrid>
        <w:gridCol w:w="960"/>
        <w:gridCol w:w="960"/>
        <w:gridCol w:w="960"/>
      </w:tblGrid>
      <w:tr w:rsidR="00ED0BE5" w:rsidRPr="00E05878" w14:paraId="089139CD" w14:textId="77777777" w:rsidTr="00783A4E">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260CB"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280597"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Type 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6B5463"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Type II</w:t>
            </w:r>
          </w:p>
        </w:tc>
      </w:tr>
      <w:tr w:rsidR="00ED0BE5" w:rsidRPr="00E05878" w14:paraId="4DBAC966"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632D29"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1993-94</w:t>
            </w:r>
          </w:p>
        </w:tc>
        <w:tc>
          <w:tcPr>
            <w:tcW w:w="960" w:type="dxa"/>
            <w:tcBorders>
              <w:top w:val="nil"/>
              <w:left w:val="nil"/>
              <w:bottom w:val="single" w:sz="4" w:space="0" w:color="auto"/>
              <w:right w:val="single" w:sz="4" w:space="0" w:color="auto"/>
            </w:tcBorders>
            <w:shd w:val="clear" w:color="auto" w:fill="auto"/>
            <w:noWrap/>
            <w:vAlign w:val="bottom"/>
            <w:hideMark/>
          </w:tcPr>
          <w:p w14:paraId="65C866DE"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0.657</w:t>
            </w:r>
          </w:p>
        </w:tc>
        <w:tc>
          <w:tcPr>
            <w:tcW w:w="960" w:type="dxa"/>
            <w:tcBorders>
              <w:top w:val="nil"/>
              <w:left w:val="nil"/>
              <w:bottom w:val="single" w:sz="4" w:space="0" w:color="auto"/>
              <w:right w:val="single" w:sz="4" w:space="0" w:color="auto"/>
            </w:tcBorders>
            <w:shd w:val="clear" w:color="auto" w:fill="auto"/>
            <w:noWrap/>
            <w:vAlign w:val="bottom"/>
            <w:hideMark/>
          </w:tcPr>
          <w:p w14:paraId="541F3ED8"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0.33</w:t>
            </w:r>
          </w:p>
        </w:tc>
      </w:tr>
      <w:tr w:rsidR="00ED0BE5" w:rsidRPr="00E05878" w14:paraId="66B7F8CE"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CD1B3C"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1994-95</w:t>
            </w:r>
          </w:p>
        </w:tc>
        <w:tc>
          <w:tcPr>
            <w:tcW w:w="960" w:type="dxa"/>
            <w:tcBorders>
              <w:top w:val="nil"/>
              <w:left w:val="nil"/>
              <w:bottom w:val="single" w:sz="4" w:space="0" w:color="auto"/>
              <w:right w:val="single" w:sz="4" w:space="0" w:color="auto"/>
            </w:tcBorders>
            <w:shd w:val="clear" w:color="auto" w:fill="auto"/>
            <w:noWrap/>
            <w:vAlign w:val="bottom"/>
            <w:hideMark/>
          </w:tcPr>
          <w:p w14:paraId="049A83B9"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0.537</w:t>
            </w:r>
          </w:p>
        </w:tc>
        <w:tc>
          <w:tcPr>
            <w:tcW w:w="960" w:type="dxa"/>
            <w:tcBorders>
              <w:top w:val="nil"/>
              <w:left w:val="nil"/>
              <w:bottom w:val="single" w:sz="4" w:space="0" w:color="auto"/>
              <w:right w:val="single" w:sz="4" w:space="0" w:color="auto"/>
            </w:tcBorders>
            <w:shd w:val="clear" w:color="auto" w:fill="auto"/>
            <w:noWrap/>
            <w:vAlign w:val="bottom"/>
            <w:hideMark/>
          </w:tcPr>
          <w:p w14:paraId="36BC0927"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0.44</w:t>
            </w:r>
          </w:p>
        </w:tc>
      </w:tr>
      <w:tr w:rsidR="00ED0BE5" w:rsidRPr="00E05878" w14:paraId="313AF630"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D0D64C"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1995-96</w:t>
            </w:r>
          </w:p>
        </w:tc>
        <w:tc>
          <w:tcPr>
            <w:tcW w:w="960" w:type="dxa"/>
            <w:tcBorders>
              <w:top w:val="nil"/>
              <w:left w:val="nil"/>
              <w:bottom w:val="single" w:sz="4" w:space="0" w:color="auto"/>
              <w:right w:val="single" w:sz="4" w:space="0" w:color="auto"/>
            </w:tcBorders>
            <w:shd w:val="clear" w:color="auto" w:fill="auto"/>
            <w:noWrap/>
            <w:vAlign w:val="bottom"/>
            <w:hideMark/>
          </w:tcPr>
          <w:p w14:paraId="78B9E4D1"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0.447</w:t>
            </w:r>
          </w:p>
        </w:tc>
        <w:tc>
          <w:tcPr>
            <w:tcW w:w="960" w:type="dxa"/>
            <w:tcBorders>
              <w:top w:val="nil"/>
              <w:left w:val="nil"/>
              <w:bottom w:val="single" w:sz="4" w:space="0" w:color="auto"/>
              <w:right w:val="single" w:sz="4" w:space="0" w:color="auto"/>
            </w:tcBorders>
            <w:shd w:val="clear" w:color="auto" w:fill="auto"/>
            <w:noWrap/>
            <w:vAlign w:val="bottom"/>
            <w:hideMark/>
          </w:tcPr>
          <w:p w14:paraId="0E8C2382"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0.55</w:t>
            </w:r>
          </w:p>
        </w:tc>
      </w:tr>
      <w:tr w:rsidR="00ED0BE5" w:rsidRPr="00E05878" w14:paraId="268E57D5"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035F9C"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1996-97</w:t>
            </w:r>
          </w:p>
        </w:tc>
        <w:tc>
          <w:tcPr>
            <w:tcW w:w="960" w:type="dxa"/>
            <w:tcBorders>
              <w:top w:val="nil"/>
              <w:left w:val="nil"/>
              <w:bottom w:val="single" w:sz="4" w:space="0" w:color="auto"/>
              <w:right w:val="single" w:sz="4" w:space="0" w:color="auto"/>
            </w:tcBorders>
            <w:shd w:val="clear" w:color="auto" w:fill="auto"/>
            <w:noWrap/>
            <w:vAlign w:val="bottom"/>
            <w:hideMark/>
          </w:tcPr>
          <w:p w14:paraId="2277CB26"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0.61</w:t>
            </w:r>
          </w:p>
        </w:tc>
        <w:tc>
          <w:tcPr>
            <w:tcW w:w="960" w:type="dxa"/>
            <w:tcBorders>
              <w:top w:val="nil"/>
              <w:left w:val="nil"/>
              <w:bottom w:val="single" w:sz="4" w:space="0" w:color="auto"/>
              <w:right w:val="single" w:sz="4" w:space="0" w:color="auto"/>
            </w:tcBorders>
            <w:shd w:val="clear" w:color="auto" w:fill="auto"/>
            <w:noWrap/>
            <w:vAlign w:val="bottom"/>
            <w:hideMark/>
          </w:tcPr>
          <w:p w14:paraId="68B944B9"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0.373</w:t>
            </w:r>
          </w:p>
        </w:tc>
      </w:tr>
      <w:tr w:rsidR="00ED0BE5" w:rsidRPr="00E05878" w14:paraId="2D4E9627"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CC4C10"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1997-98</w:t>
            </w:r>
          </w:p>
        </w:tc>
        <w:tc>
          <w:tcPr>
            <w:tcW w:w="960" w:type="dxa"/>
            <w:tcBorders>
              <w:top w:val="nil"/>
              <w:left w:val="nil"/>
              <w:bottom w:val="single" w:sz="4" w:space="0" w:color="auto"/>
              <w:right w:val="single" w:sz="4" w:space="0" w:color="auto"/>
            </w:tcBorders>
            <w:shd w:val="clear" w:color="auto" w:fill="auto"/>
            <w:noWrap/>
            <w:vAlign w:val="bottom"/>
            <w:hideMark/>
          </w:tcPr>
          <w:p w14:paraId="618ED8CD"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0.64</w:t>
            </w:r>
          </w:p>
        </w:tc>
        <w:tc>
          <w:tcPr>
            <w:tcW w:w="960" w:type="dxa"/>
            <w:tcBorders>
              <w:top w:val="nil"/>
              <w:left w:val="nil"/>
              <w:bottom w:val="single" w:sz="4" w:space="0" w:color="auto"/>
              <w:right w:val="single" w:sz="4" w:space="0" w:color="auto"/>
            </w:tcBorders>
            <w:shd w:val="clear" w:color="auto" w:fill="auto"/>
            <w:noWrap/>
            <w:vAlign w:val="bottom"/>
            <w:hideMark/>
          </w:tcPr>
          <w:p w14:paraId="40202C41"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0.36</w:t>
            </w:r>
          </w:p>
        </w:tc>
      </w:tr>
      <w:tr w:rsidR="00ED0BE5" w:rsidRPr="00E05878" w14:paraId="31ECA5B0"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E31628"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1998-99</w:t>
            </w:r>
          </w:p>
        </w:tc>
        <w:tc>
          <w:tcPr>
            <w:tcW w:w="960" w:type="dxa"/>
            <w:tcBorders>
              <w:top w:val="nil"/>
              <w:left w:val="nil"/>
              <w:bottom w:val="single" w:sz="4" w:space="0" w:color="auto"/>
              <w:right w:val="single" w:sz="4" w:space="0" w:color="auto"/>
            </w:tcBorders>
            <w:shd w:val="clear" w:color="auto" w:fill="auto"/>
            <w:noWrap/>
            <w:vAlign w:val="bottom"/>
            <w:hideMark/>
          </w:tcPr>
          <w:p w14:paraId="34D5DB04"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0.693</w:t>
            </w:r>
          </w:p>
        </w:tc>
        <w:tc>
          <w:tcPr>
            <w:tcW w:w="960" w:type="dxa"/>
            <w:tcBorders>
              <w:top w:val="nil"/>
              <w:left w:val="nil"/>
              <w:bottom w:val="single" w:sz="4" w:space="0" w:color="auto"/>
              <w:right w:val="single" w:sz="4" w:space="0" w:color="auto"/>
            </w:tcBorders>
            <w:shd w:val="clear" w:color="auto" w:fill="auto"/>
            <w:noWrap/>
            <w:vAlign w:val="bottom"/>
            <w:hideMark/>
          </w:tcPr>
          <w:p w14:paraId="0B40042B"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0.307</w:t>
            </w:r>
          </w:p>
        </w:tc>
      </w:tr>
      <w:tr w:rsidR="00ED0BE5" w:rsidRPr="00E05878" w14:paraId="7543B119"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9D1007"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1999-00</w:t>
            </w:r>
          </w:p>
        </w:tc>
        <w:tc>
          <w:tcPr>
            <w:tcW w:w="960" w:type="dxa"/>
            <w:tcBorders>
              <w:top w:val="nil"/>
              <w:left w:val="nil"/>
              <w:bottom w:val="single" w:sz="4" w:space="0" w:color="auto"/>
              <w:right w:val="single" w:sz="4" w:space="0" w:color="auto"/>
            </w:tcBorders>
            <w:shd w:val="clear" w:color="auto" w:fill="auto"/>
            <w:noWrap/>
            <w:vAlign w:val="bottom"/>
            <w:hideMark/>
          </w:tcPr>
          <w:p w14:paraId="4A7CB422"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0.617</w:t>
            </w:r>
          </w:p>
        </w:tc>
        <w:tc>
          <w:tcPr>
            <w:tcW w:w="960" w:type="dxa"/>
            <w:tcBorders>
              <w:top w:val="nil"/>
              <w:left w:val="nil"/>
              <w:bottom w:val="single" w:sz="4" w:space="0" w:color="auto"/>
              <w:right w:val="single" w:sz="4" w:space="0" w:color="auto"/>
            </w:tcBorders>
            <w:shd w:val="clear" w:color="auto" w:fill="auto"/>
            <w:noWrap/>
            <w:vAlign w:val="bottom"/>
            <w:hideMark/>
          </w:tcPr>
          <w:p w14:paraId="2D176328"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0.383</w:t>
            </w:r>
          </w:p>
        </w:tc>
      </w:tr>
      <w:tr w:rsidR="00ED0BE5" w:rsidRPr="00E05878" w14:paraId="0F38C6F7"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EDF56E"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2000-01</w:t>
            </w:r>
          </w:p>
        </w:tc>
        <w:tc>
          <w:tcPr>
            <w:tcW w:w="960" w:type="dxa"/>
            <w:tcBorders>
              <w:top w:val="nil"/>
              <w:left w:val="nil"/>
              <w:bottom w:val="single" w:sz="4" w:space="0" w:color="auto"/>
              <w:right w:val="single" w:sz="4" w:space="0" w:color="auto"/>
            </w:tcBorders>
            <w:shd w:val="clear" w:color="auto" w:fill="auto"/>
            <w:noWrap/>
            <w:vAlign w:val="bottom"/>
            <w:hideMark/>
          </w:tcPr>
          <w:p w14:paraId="03ED65CA"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0.55</w:t>
            </w:r>
          </w:p>
        </w:tc>
        <w:tc>
          <w:tcPr>
            <w:tcW w:w="960" w:type="dxa"/>
            <w:tcBorders>
              <w:top w:val="nil"/>
              <w:left w:val="nil"/>
              <w:bottom w:val="single" w:sz="4" w:space="0" w:color="auto"/>
              <w:right w:val="single" w:sz="4" w:space="0" w:color="auto"/>
            </w:tcBorders>
            <w:shd w:val="clear" w:color="auto" w:fill="auto"/>
            <w:noWrap/>
            <w:vAlign w:val="bottom"/>
            <w:hideMark/>
          </w:tcPr>
          <w:p w14:paraId="4566AE48"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0.443</w:t>
            </w:r>
          </w:p>
        </w:tc>
      </w:tr>
      <w:tr w:rsidR="00ED0BE5" w:rsidRPr="00E05878" w14:paraId="013E314F"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35BE29"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2001-02</w:t>
            </w:r>
          </w:p>
        </w:tc>
        <w:tc>
          <w:tcPr>
            <w:tcW w:w="960" w:type="dxa"/>
            <w:tcBorders>
              <w:top w:val="nil"/>
              <w:left w:val="nil"/>
              <w:bottom w:val="single" w:sz="4" w:space="0" w:color="auto"/>
              <w:right w:val="single" w:sz="4" w:space="0" w:color="auto"/>
            </w:tcBorders>
            <w:shd w:val="clear" w:color="auto" w:fill="auto"/>
            <w:noWrap/>
            <w:vAlign w:val="bottom"/>
            <w:hideMark/>
          </w:tcPr>
          <w:p w14:paraId="78CCE8DB"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0.647</w:t>
            </w:r>
          </w:p>
        </w:tc>
        <w:tc>
          <w:tcPr>
            <w:tcW w:w="960" w:type="dxa"/>
            <w:tcBorders>
              <w:top w:val="nil"/>
              <w:left w:val="nil"/>
              <w:bottom w:val="single" w:sz="4" w:space="0" w:color="auto"/>
              <w:right w:val="single" w:sz="4" w:space="0" w:color="auto"/>
            </w:tcBorders>
            <w:shd w:val="clear" w:color="auto" w:fill="auto"/>
            <w:noWrap/>
            <w:vAlign w:val="bottom"/>
            <w:hideMark/>
          </w:tcPr>
          <w:p w14:paraId="680E2213"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0.353</w:t>
            </w:r>
          </w:p>
        </w:tc>
      </w:tr>
      <w:tr w:rsidR="00ED0BE5" w:rsidRPr="00E05878" w14:paraId="062F801A"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F66795"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2002-03</w:t>
            </w:r>
          </w:p>
        </w:tc>
        <w:tc>
          <w:tcPr>
            <w:tcW w:w="960" w:type="dxa"/>
            <w:tcBorders>
              <w:top w:val="nil"/>
              <w:left w:val="nil"/>
              <w:bottom w:val="single" w:sz="4" w:space="0" w:color="auto"/>
              <w:right w:val="single" w:sz="4" w:space="0" w:color="auto"/>
            </w:tcBorders>
            <w:shd w:val="clear" w:color="auto" w:fill="auto"/>
            <w:noWrap/>
            <w:vAlign w:val="bottom"/>
            <w:hideMark/>
          </w:tcPr>
          <w:p w14:paraId="0CF0AEB4"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0.58</w:t>
            </w:r>
          </w:p>
        </w:tc>
        <w:tc>
          <w:tcPr>
            <w:tcW w:w="960" w:type="dxa"/>
            <w:tcBorders>
              <w:top w:val="nil"/>
              <w:left w:val="nil"/>
              <w:bottom w:val="single" w:sz="4" w:space="0" w:color="auto"/>
              <w:right w:val="single" w:sz="4" w:space="0" w:color="auto"/>
            </w:tcBorders>
            <w:shd w:val="clear" w:color="auto" w:fill="auto"/>
            <w:noWrap/>
            <w:vAlign w:val="bottom"/>
            <w:hideMark/>
          </w:tcPr>
          <w:p w14:paraId="086AD9BB"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0.413</w:t>
            </w:r>
          </w:p>
        </w:tc>
      </w:tr>
      <w:tr w:rsidR="00ED0BE5" w:rsidRPr="00E05878" w14:paraId="371321F1"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521C84"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2003-04</w:t>
            </w:r>
          </w:p>
        </w:tc>
        <w:tc>
          <w:tcPr>
            <w:tcW w:w="960" w:type="dxa"/>
            <w:tcBorders>
              <w:top w:val="nil"/>
              <w:left w:val="nil"/>
              <w:bottom w:val="single" w:sz="4" w:space="0" w:color="auto"/>
              <w:right w:val="single" w:sz="4" w:space="0" w:color="auto"/>
            </w:tcBorders>
            <w:shd w:val="clear" w:color="auto" w:fill="auto"/>
            <w:noWrap/>
            <w:vAlign w:val="bottom"/>
            <w:hideMark/>
          </w:tcPr>
          <w:p w14:paraId="541CE133"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0.447</w:t>
            </w:r>
          </w:p>
        </w:tc>
        <w:tc>
          <w:tcPr>
            <w:tcW w:w="960" w:type="dxa"/>
            <w:tcBorders>
              <w:top w:val="nil"/>
              <w:left w:val="nil"/>
              <w:bottom w:val="single" w:sz="4" w:space="0" w:color="auto"/>
              <w:right w:val="single" w:sz="4" w:space="0" w:color="auto"/>
            </w:tcBorders>
            <w:shd w:val="clear" w:color="auto" w:fill="auto"/>
            <w:noWrap/>
            <w:vAlign w:val="bottom"/>
            <w:hideMark/>
          </w:tcPr>
          <w:p w14:paraId="72F834EB"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0.54</w:t>
            </w:r>
          </w:p>
        </w:tc>
      </w:tr>
      <w:tr w:rsidR="00ED0BE5" w:rsidRPr="00E05878" w14:paraId="7E5338D0"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09FD14"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2004-05</w:t>
            </w:r>
          </w:p>
        </w:tc>
        <w:tc>
          <w:tcPr>
            <w:tcW w:w="960" w:type="dxa"/>
            <w:tcBorders>
              <w:top w:val="nil"/>
              <w:left w:val="nil"/>
              <w:bottom w:val="single" w:sz="4" w:space="0" w:color="auto"/>
              <w:right w:val="single" w:sz="4" w:space="0" w:color="auto"/>
            </w:tcBorders>
            <w:shd w:val="clear" w:color="auto" w:fill="auto"/>
            <w:noWrap/>
            <w:vAlign w:val="bottom"/>
            <w:hideMark/>
          </w:tcPr>
          <w:p w14:paraId="3E3EE300"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0.467</w:t>
            </w:r>
          </w:p>
        </w:tc>
        <w:tc>
          <w:tcPr>
            <w:tcW w:w="960" w:type="dxa"/>
            <w:tcBorders>
              <w:top w:val="nil"/>
              <w:left w:val="nil"/>
              <w:bottom w:val="single" w:sz="4" w:space="0" w:color="auto"/>
              <w:right w:val="single" w:sz="4" w:space="0" w:color="auto"/>
            </w:tcBorders>
            <w:shd w:val="clear" w:color="auto" w:fill="auto"/>
            <w:noWrap/>
            <w:vAlign w:val="bottom"/>
            <w:hideMark/>
          </w:tcPr>
          <w:p w14:paraId="0D973EDC"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0.51</w:t>
            </w:r>
          </w:p>
        </w:tc>
      </w:tr>
      <w:tr w:rsidR="00ED0BE5" w:rsidRPr="00E05878" w14:paraId="29596065"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B77AEC"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2005-06</w:t>
            </w:r>
          </w:p>
        </w:tc>
        <w:tc>
          <w:tcPr>
            <w:tcW w:w="960" w:type="dxa"/>
            <w:tcBorders>
              <w:top w:val="nil"/>
              <w:left w:val="nil"/>
              <w:bottom w:val="single" w:sz="4" w:space="0" w:color="auto"/>
              <w:right w:val="single" w:sz="4" w:space="0" w:color="auto"/>
            </w:tcBorders>
            <w:shd w:val="clear" w:color="auto" w:fill="auto"/>
            <w:noWrap/>
            <w:vAlign w:val="bottom"/>
            <w:hideMark/>
          </w:tcPr>
          <w:p w14:paraId="6EF39735"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0.387</w:t>
            </w:r>
          </w:p>
        </w:tc>
        <w:tc>
          <w:tcPr>
            <w:tcW w:w="960" w:type="dxa"/>
            <w:tcBorders>
              <w:top w:val="nil"/>
              <w:left w:val="nil"/>
              <w:bottom w:val="single" w:sz="4" w:space="0" w:color="auto"/>
              <w:right w:val="single" w:sz="4" w:space="0" w:color="auto"/>
            </w:tcBorders>
            <w:shd w:val="clear" w:color="auto" w:fill="auto"/>
            <w:noWrap/>
            <w:vAlign w:val="bottom"/>
            <w:hideMark/>
          </w:tcPr>
          <w:p w14:paraId="11FCC68A"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0.61</w:t>
            </w:r>
          </w:p>
        </w:tc>
      </w:tr>
      <w:tr w:rsidR="00ED0BE5" w:rsidRPr="00E05878" w14:paraId="7F8283B5" w14:textId="77777777" w:rsidTr="00783A4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D3C85F" w14:textId="77777777" w:rsidR="00ED0BE5" w:rsidRPr="00E05878" w:rsidRDefault="00ED0BE5" w:rsidP="006C14BB">
            <w:pPr>
              <w:spacing w:line="240" w:lineRule="auto"/>
              <w:rPr>
                <w:rFonts w:ascii="Calibri" w:eastAsia="Times New Roman" w:hAnsi="Calibri" w:cs="Calibri"/>
                <w:color w:val="000000"/>
                <w:lang w:eastAsia="en-GB"/>
              </w:rPr>
            </w:pPr>
            <w:r w:rsidRPr="00E05878">
              <w:rPr>
                <w:rFonts w:ascii="Calibri" w:eastAsia="Times New Roman" w:hAnsi="Calibri" w:cs="Calibri"/>
                <w:color w:val="000000"/>
                <w:lang w:eastAsia="en-GB"/>
              </w:rPr>
              <w:t>2006-07</w:t>
            </w:r>
          </w:p>
        </w:tc>
        <w:tc>
          <w:tcPr>
            <w:tcW w:w="960" w:type="dxa"/>
            <w:tcBorders>
              <w:top w:val="nil"/>
              <w:left w:val="nil"/>
              <w:bottom w:val="single" w:sz="4" w:space="0" w:color="auto"/>
              <w:right w:val="single" w:sz="4" w:space="0" w:color="auto"/>
            </w:tcBorders>
            <w:shd w:val="clear" w:color="auto" w:fill="auto"/>
            <w:noWrap/>
            <w:vAlign w:val="bottom"/>
            <w:hideMark/>
          </w:tcPr>
          <w:p w14:paraId="2BBAE1DE"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0.263</w:t>
            </w:r>
          </w:p>
        </w:tc>
        <w:tc>
          <w:tcPr>
            <w:tcW w:w="960" w:type="dxa"/>
            <w:tcBorders>
              <w:top w:val="nil"/>
              <w:left w:val="nil"/>
              <w:bottom w:val="single" w:sz="4" w:space="0" w:color="auto"/>
              <w:right w:val="single" w:sz="4" w:space="0" w:color="auto"/>
            </w:tcBorders>
            <w:shd w:val="clear" w:color="auto" w:fill="auto"/>
            <w:noWrap/>
            <w:vAlign w:val="bottom"/>
            <w:hideMark/>
          </w:tcPr>
          <w:p w14:paraId="3B77D711" w14:textId="77777777" w:rsidR="00ED0BE5" w:rsidRPr="00E05878" w:rsidRDefault="00ED0BE5" w:rsidP="006C14BB">
            <w:pPr>
              <w:spacing w:line="240" w:lineRule="auto"/>
              <w:jc w:val="right"/>
              <w:rPr>
                <w:rFonts w:ascii="Calibri" w:eastAsia="Times New Roman" w:hAnsi="Calibri" w:cs="Calibri"/>
                <w:color w:val="000000"/>
                <w:lang w:eastAsia="en-GB"/>
              </w:rPr>
            </w:pPr>
            <w:r w:rsidRPr="00E05878">
              <w:rPr>
                <w:rFonts w:ascii="Calibri" w:eastAsia="Times New Roman" w:hAnsi="Calibri" w:cs="Calibri"/>
                <w:color w:val="000000"/>
                <w:lang w:eastAsia="en-GB"/>
              </w:rPr>
              <w:t>0.723</w:t>
            </w:r>
          </w:p>
        </w:tc>
      </w:tr>
    </w:tbl>
    <w:p w14:paraId="0E5B7591" w14:textId="3D1F5154" w:rsidR="001A6B56" w:rsidRDefault="001A6B56" w:rsidP="001A6B56">
      <w:pPr>
        <w:pStyle w:val="FigureTableTitle"/>
        <w:jc w:val="center"/>
      </w:pPr>
    </w:p>
    <w:p w14:paraId="66EF6772" w14:textId="5CB33B4E" w:rsidR="004C6745" w:rsidRPr="004C6745" w:rsidRDefault="004C6745" w:rsidP="004C6745">
      <w:pPr>
        <w:pStyle w:val="FigureTableTitle"/>
        <w:rPr>
          <w:rFonts w:ascii="Arial" w:hAnsi="Arial" w:cs="Arial"/>
          <w:sz w:val="24"/>
        </w:rPr>
      </w:pPr>
      <w:bookmarkStart w:id="11" w:name="_Toc51535457"/>
      <w:r w:rsidRPr="004C6745">
        <w:t xml:space="preserve">Table </w:t>
      </w:r>
      <w:r>
        <w:t>3.</w:t>
      </w:r>
      <w:r w:rsidRPr="004C6745">
        <w:t xml:space="preserve"> Percentages of Type I and II </w:t>
      </w:r>
      <w:r w:rsidR="00AA17FD">
        <w:t>Behavior</w:t>
      </w:r>
      <w:r w:rsidRPr="004C6745">
        <w:t xml:space="preserve"> Demonstrated by </w:t>
      </w:r>
      <w:r w:rsidR="00E74790">
        <w:t>Twenty-One</w:t>
      </w:r>
      <w:r w:rsidR="00E74790" w:rsidRPr="004C6745">
        <w:t xml:space="preserve"> </w:t>
      </w:r>
      <w:r w:rsidRPr="004C6745">
        <w:t>Inland Provinces with the Rest during 2005</w:t>
      </w:r>
      <w:r w:rsidR="009C4C75">
        <w:t>–</w:t>
      </w:r>
      <w:r w:rsidRPr="004C6745">
        <w:t>2013</w:t>
      </w:r>
      <w:bookmarkEnd w:id="11"/>
    </w:p>
    <w:tbl>
      <w:tblPr>
        <w:tblW w:w="2880" w:type="dxa"/>
        <w:tblLook w:val="04A0" w:firstRow="1" w:lastRow="0" w:firstColumn="1" w:lastColumn="0" w:noHBand="0" w:noVBand="1"/>
      </w:tblPr>
      <w:tblGrid>
        <w:gridCol w:w="960"/>
        <w:gridCol w:w="960"/>
        <w:gridCol w:w="960"/>
      </w:tblGrid>
      <w:tr w:rsidR="00ED0BE5" w:rsidRPr="00A05759" w14:paraId="3EC9E816" w14:textId="77777777" w:rsidTr="006C14BB">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71513" w14:textId="77777777" w:rsidR="00ED0BE5" w:rsidRPr="00A05759" w:rsidRDefault="00ED0BE5" w:rsidP="006C14BB">
            <w:pPr>
              <w:spacing w:line="240" w:lineRule="auto"/>
              <w:rPr>
                <w:rFonts w:ascii="Calibri" w:eastAsia="Times New Roman" w:hAnsi="Calibri" w:cs="Calibri"/>
                <w:color w:val="000000"/>
                <w:lang w:eastAsia="en-GB"/>
              </w:rPr>
            </w:pPr>
            <w:r w:rsidRPr="00A05759">
              <w:rPr>
                <w:rFonts w:ascii="Calibri" w:eastAsia="Times New Roman" w:hAnsi="Calibri" w:cs="Calibri"/>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D038FF" w14:textId="77777777" w:rsidR="00ED0BE5" w:rsidRPr="00A05759" w:rsidRDefault="00ED0BE5" w:rsidP="006C14BB">
            <w:pPr>
              <w:spacing w:line="240" w:lineRule="auto"/>
              <w:rPr>
                <w:rFonts w:ascii="Calibri" w:eastAsia="Times New Roman" w:hAnsi="Calibri" w:cs="Calibri"/>
                <w:color w:val="000000"/>
                <w:lang w:eastAsia="en-GB"/>
              </w:rPr>
            </w:pPr>
            <w:r w:rsidRPr="00A05759">
              <w:rPr>
                <w:rFonts w:ascii="Calibri" w:eastAsia="Times New Roman" w:hAnsi="Calibri" w:cs="Calibri"/>
                <w:color w:val="000000"/>
                <w:lang w:eastAsia="en-GB"/>
              </w:rPr>
              <w:t>Type 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273FDE" w14:textId="77777777" w:rsidR="00ED0BE5" w:rsidRPr="00A05759" w:rsidRDefault="00ED0BE5" w:rsidP="006C14BB">
            <w:pPr>
              <w:spacing w:line="240" w:lineRule="auto"/>
              <w:rPr>
                <w:rFonts w:ascii="Calibri" w:eastAsia="Times New Roman" w:hAnsi="Calibri" w:cs="Calibri"/>
                <w:color w:val="000000"/>
                <w:lang w:eastAsia="en-GB"/>
              </w:rPr>
            </w:pPr>
            <w:r w:rsidRPr="00A05759">
              <w:rPr>
                <w:rFonts w:ascii="Calibri" w:eastAsia="Times New Roman" w:hAnsi="Calibri" w:cs="Calibri"/>
                <w:color w:val="000000"/>
                <w:lang w:eastAsia="en-GB"/>
              </w:rPr>
              <w:t>Type II</w:t>
            </w:r>
          </w:p>
        </w:tc>
      </w:tr>
      <w:tr w:rsidR="00ED0BE5" w:rsidRPr="00A05759" w14:paraId="08FB9EAA" w14:textId="77777777" w:rsidTr="006C14BB">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D975EC" w14:textId="77777777" w:rsidR="00ED0BE5" w:rsidRPr="00A05759" w:rsidRDefault="00ED0BE5" w:rsidP="006C14BB">
            <w:pPr>
              <w:spacing w:line="240" w:lineRule="auto"/>
              <w:rPr>
                <w:rFonts w:ascii="Calibri" w:eastAsia="Times New Roman" w:hAnsi="Calibri" w:cs="Calibri"/>
                <w:color w:val="000000"/>
                <w:lang w:eastAsia="en-GB"/>
              </w:rPr>
            </w:pPr>
            <w:r w:rsidRPr="00A05759">
              <w:rPr>
                <w:rFonts w:ascii="Calibri" w:eastAsia="Times New Roman" w:hAnsi="Calibri" w:cs="Calibri"/>
                <w:color w:val="000000"/>
                <w:lang w:eastAsia="en-GB"/>
              </w:rPr>
              <w:t>2005-06</w:t>
            </w:r>
          </w:p>
        </w:tc>
        <w:tc>
          <w:tcPr>
            <w:tcW w:w="960" w:type="dxa"/>
            <w:tcBorders>
              <w:top w:val="nil"/>
              <w:left w:val="nil"/>
              <w:bottom w:val="single" w:sz="4" w:space="0" w:color="auto"/>
              <w:right w:val="single" w:sz="4" w:space="0" w:color="auto"/>
            </w:tcBorders>
            <w:shd w:val="clear" w:color="auto" w:fill="auto"/>
            <w:noWrap/>
            <w:vAlign w:val="bottom"/>
            <w:hideMark/>
          </w:tcPr>
          <w:p w14:paraId="4B8DC815"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0.444</w:t>
            </w:r>
          </w:p>
        </w:tc>
        <w:tc>
          <w:tcPr>
            <w:tcW w:w="960" w:type="dxa"/>
            <w:tcBorders>
              <w:top w:val="nil"/>
              <w:left w:val="nil"/>
              <w:bottom w:val="single" w:sz="4" w:space="0" w:color="auto"/>
              <w:right w:val="single" w:sz="4" w:space="0" w:color="auto"/>
            </w:tcBorders>
            <w:shd w:val="clear" w:color="auto" w:fill="auto"/>
            <w:noWrap/>
            <w:vAlign w:val="bottom"/>
            <w:hideMark/>
          </w:tcPr>
          <w:p w14:paraId="1941B64E"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0.544</w:t>
            </w:r>
          </w:p>
        </w:tc>
      </w:tr>
      <w:tr w:rsidR="00ED0BE5" w:rsidRPr="00A05759" w14:paraId="40C7DE93" w14:textId="77777777" w:rsidTr="006C14BB">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028872" w14:textId="77777777" w:rsidR="00ED0BE5" w:rsidRPr="00A05759" w:rsidRDefault="00ED0BE5" w:rsidP="006C14BB">
            <w:pPr>
              <w:spacing w:line="240" w:lineRule="auto"/>
              <w:rPr>
                <w:rFonts w:ascii="Calibri" w:eastAsia="Times New Roman" w:hAnsi="Calibri" w:cs="Calibri"/>
                <w:color w:val="000000"/>
                <w:lang w:eastAsia="en-GB"/>
              </w:rPr>
            </w:pPr>
            <w:r w:rsidRPr="00A05759">
              <w:rPr>
                <w:rFonts w:ascii="Calibri" w:eastAsia="Times New Roman" w:hAnsi="Calibri" w:cs="Calibri"/>
                <w:color w:val="000000"/>
                <w:lang w:eastAsia="en-GB"/>
              </w:rPr>
              <w:t>2006-07</w:t>
            </w:r>
          </w:p>
        </w:tc>
        <w:tc>
          <w:tcPr>
            <w:tcW w:w="960" w:type="dxa"/>
            <w:tcBorders>
              <w:top w:val="nil"/>
              <w:left w:val="nil"/>
              <w:bottom w:val="single" w:sz="4" w:space="0" w:color="auto"/>
              <w:right w:val="single" w:sz="4" w:space="0" w:color="auto"/>
            </w:tcBorders>
            <w:shd w:val="clear" w:color="auto" w:fill="auto"/>
            <w:noWrap/>
            <w:vAlign w:val="bottom"/>
            <w:hideMark/>
          </w:tcPr>
          <w:p w14:paraId="54394917"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0.408</w:t>
            </w:r>
          </w:p>
        </w:tc>
        <w:tc>
          <w:tcPr>
            <w:tcW w:w="960" w:type="dxa"/>
            <w:tcBorders>
              <w:top w:val="nil"/>
              <w:left w:val="nil"/>
              <w:bottom w:val="single" w:sz="4" w:space="0" w:color="auto"/>
              <w:right w:val="single" w:sz="4" w:space="0" w:color="auto"/>
            </w:tcBorders>
            <w:shd w:val="clear" w:color="auto" w:fill="auto"/>
            <w:noWrap/>
            <w:vAlign w:val="bottom"/>
            <w:hideMark/>
          </w:tcPr>
          <w:p w14:paraId="34B5E2BB"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0.551</w:t>
            </w:r>
          </w:p>
        </w:tc>
      </w:tr>
      <w:tr w:rsidR="00ED0BE5" w:rsidRPr="00A05759" w14:paraId="3EC48067" w14:textId="77777777" w:rsidTr="006C14BB">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B2818C" w14:textId="77777777" w:rsidR="00ED0BE5" w:rsidRPr="00A05759" w:rsidRDefault="00ED0BE5" w:rsidP="006C14BB">
            <w:pPr>
              <w:spacing w:line="240" w:lineRule="auto"/>
              <w:rPr>
                <w:rFonts w:ascii="Calibri" w:eastAsia="Times New Roman" w:hAnsi="Calibri" w:cs="Calibri"/>
                <w:color w:val="000000"/>
                <w:lang w:eastAsia="en-GB"/>
              </w:rPr>
            </w:pPr>
            <w:r w:rsidRPr="00A05759">
              <w:rPr>
                <w:rFonts w:ascii="Calibri" w:eastAsia="Times New Roman" w:hAnsi="Calibri" w:cs="Calibri"/>
                <w:color w:val="000000"/>
                <w:lang w:eastAsia="en-GB"/>
              </w:rPr>
              <w:t>2007-08</w:t>
            </w:r>
          </w:p>
        </w:tc>
        <w:tc>
          <w:tcPr>
            <w:tcW w:w="960" w:type="dxa"/>
            <w:tcBorders>
              <w:top w:val="nil"/>
              <w:left w:val="nil"/>
              <w:bottom w:val="single" w:sz="4" w:space="0" w:color="auto"/>
              <w:right w:val="single" w:sz="4" w:space="0" w:color="auto"/>
            </w:tcBorders>
            <w:shd w:val="clear" w:color="auto" w:fill="auto"/>
            <w:noWrap/>
            <w:vAlign w:val="bottom"/>
            <w:hideMark/>
          </w:tcPr>
          <w:p w14:paraId="3120B106"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0.478</w:t>
            </w:r>
          </w:p>
        </w:tc>
        <w:tc>
          <w:tcPr>
            <w:tcW w:w="960" w:type="dxa"/>
            <w:tcBorders>
              <w:top w:val="nil"/>
              <w:left w:val="nil"/>
              <w:bottom w:val="single" w:sz="4" w:space="0" w:color="auto"/>
              <w:right w:val="single" w:sz="4" w:space="0" w:color="auto"/>
            </w:tcBorders>
            <w:shd w:val="clear" w:color="auto" w:fill="auto"/>
            <w:noWrap/>
            <w:vAlign w:val="bottom"/>
            <w:hideMark/>
          </w:tcPr>
          <w:p w14:paraId="4E3412DD"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0.494</w:t>
            </w:r>
          </w:p>
        </w:tc>
      </w:tr>
      <w:tr w:rsidR="00ED0BE5" w:rsidRPr="00A05759" w14:paraId="2AAA116A" w14:textId="77777777" w:rsidTr="006C14BB">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7EBA46" w14:textId="77777777" w:rsidR="00ED0BE5" w:rsidRPr="00A05759" w:rsidRDefault="00ED0BE5" w:rsidP="006C14BB">
            <w:pPr>
              <w:spacing w:line="240" w:lineRule="auto"/>
              <w:rPr>
                <w:rFonts w:ascii="Calibri" w:eastAsia="Times New Roman" w:hAnsi="Calibri" w:cs="Calibri"/>
                <w:color w:val="000000"/>
                <w:lang w:eastAsia="en-GB"/>
              </w:rPr>
            </w:pPr>
            <w:r w:rsidRPr="00A05759">
              <w:rPr>
                <w:rFonts w:ascii="Calibri" w:eastAsia="Times New Roman" w:hAnsi="Calibri" w:cs="Calibri"/>
                <w:color w:val="000000"/>
                <w:lang w:eastAsia="en-GB"/>
              </w:rPr>
              <w:t>2008-09</w:t>
            </w:r>
          </w:p>
        </w:tc>
        <w:tc>
          <w:tcPr>
            <w:tcW w:w="960" w:type="dxa"/>
            <w:tcBorders>
              <w:top w:val="nil"/>
              <w:left w:val="nil"/>
              <w:bottom w:val="single" w:sz="4" w:space="0" w:color="auto"/>
              <w:right w:val="single" w:sz="4" w:space="0" w:color="auto"/>
            </w:tcBorders>
            <w:shd w:val="clear" w:color="auto" w:fill="auto"/>
            <w:noWrap/>
            <w:vAlign w:val="bottom"/>
            <w:hideMark/>
          </w:tcPr>
          <w:p w14:paraId="7FBCD483"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0.468</w:t>
            </w:r>
          </w:p>
        </w:tc>
        <w:tc>
          <w:tcPr>
            <w:tcW w:w="960" w:type="dxa"/>
            <w:tcBorders>
              <w:top w:val="nil"/>
              <w:left w:val="nil"/>
              <w:bottom w:val="single" w:sz="4" w:space="0" w:color="auto"/>
              <w:right w:val="single" w:sz="4" w:space="0" w:color="auto"/>
            </w:tcBorders>
            <w:shd w:val="clear" w:color="auto" w:fill="auto"/>
            <w:noWrap/>
            <w:vAlign w:val="bottom"/>
            <w:hideMark/>
          </w:tcPr>
          <w:p w14:paraId="0A319191"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0.489</w:t>
            </w:r>
          </w:p>
        </w:tc>
      </w:tr>
      <w:tr w:rsidR="00ED0BE5" w:rsidRPr="00A05759" w14:paraId="28D3CCB8" w14:textId="77777777" w:rsidTr="006C14BB">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6AC9A7" w14:textId="77777777" w:rsidR="00ED0BE5" w:rsidRPr="00A05759" w:rsidRDefault="00ED0BE5" w:rsidP="006C14BB">
            <w:pPr>
              <w:spacing w:line="240" w:lineRule="auto"/>
              <w:rPr>
                <w:rFonts w:ascii="Calibri" w:eastAsia="Times New Roman" w:hAnsi="Calibri" w:cs="Calibri"/>
                <w:color w:val="000000"/>
                <w:lang w:eastAsia="en-GB"/>
              </w:rPr>
            </w:pPr>
            <w:r w:rsidRPr="00A05759">
              <w:rPr>
                <w:rFonts w:ascii="Calibri" w:eastAsia="Times New Roman" w:hAnsi="Calibri" w:cs="Calibri"/>
                <w:color w:val="000000"/>
                <w:lang w:eastAsia="en-GB"/>
              </w:rPr>
              <w:t>2009-10</w:t>
            </w:r>
          </w:p>
        </w:tc>
        <w:tc>
          <w:tcPr>
            <w:tcW w:w="960" w:type="dxa"/>
            <w:tcBorders>
              <w:top w:val="nil"/>
              <w:left w:val="nil"/>
              <w:bottom w:val="single" w:sz="4" w:space="0" w:color="auto"/>
              <w:right w:val="single" w:sz="4" w:space="0" w:color="auto"/>
            </w:tcBorders>
            <w:shd w:val="clear" w:color="auto" w:fill="auto"/>
            <w:noWrap/>
            <w:vAlign w:val="bottom"/>
            <w:hideMark/>
          </w:tcPr>
          <w:p w14:paraId="70C6E3B5"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0.341</w:t>
            </w:r>
          </w:p>
        </w:tc>
        <w:tc>
          <w:tcPr>
            <w:tcW w:w="960" w:type="dxa"/>
            <w:tcBorders>
              <w:top w:val="nil"/>
              <w:left w:val="nil"/>
              <w:bottom w:val="single" w:sz="4" w:space="0" w:color="auto"/>
              <w:right w:val="single" w:sz="4" w:space="0" w:color="auto"/>
            </w:tcBorders>
            <w:shd w:val="clear" w:color="auto" w:fill="auto"/>
            <w:noWrap/>
            <w:vAlign w:val="bottom"/>
            <w:hideMark/>
          </w:tcPr>
          <w:p w14:paraId="191A8101"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0.635</w:t>
            </w:r>
          </w:p>
        </w:tc>
      </w:tr>
      <w:tr w:rsidR="00ED0BE5" w:rsidRPr="00A05759" w14:paraId="2192BCF9" w14:textId="77777777" w:rsidTr="006C14BB">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618203" w14:textId="77777777" w:rsidR="00ED0BE5" w:rsidRPr="00A05759" w:rsidRDefault="00ED0BE5" w:rsidP="006C14BB">
            <w:pPr>
              <w:spacing w:line="240" w:lineRule="auto"/>
              <w:rPr>
                <w:rFonts w:ascii="Calibri" w:eastAsia="Times New Roman" w:hAnsi="Calibri" w:cs="Calibri"/>
                <w:color w:val="000000"/>
                <w:lang w:eastAsia="en-GB"/>
              </w:rPr>
            </w:pPr>
            <w:r w:rsidRPr="00A05759">
              <w:rPr>
                <w:rFonts w:ascii="Calibri" w:eastAsia="Times New Roman" w:hAnsi="Calibri" w:cs="Calibri"/>
                <w:color w:val="000000"/>
                <w:lang w:eastAsia="en-GB"/>
              </w:rPr>
              <w:t>2010-11</w:t>
            </w:r>
          </w:p>
        </w:tc>
        <w:tc>
          <w:tcPr>
            <w:tcW w:w="960" w:type="dxa"/>
            <w:tcBorders>
              <w:top w:val="nil"/>
              <w:left w:val="nil"/>
              <w:bottom w:val="single" w:sz="4" w:space="0" w:color="auto"/>
              <w:right w:val="single" w:sz="4" w:space="0" w:color="auto"/>
            </w:tcBorders>
            <w:shd w:val="clear" w:color="auto" w:fill="auto"/>
            <w:noWrap/>
            <w:vAlign w:val="bottom"/>
            <w:hideMark/>
          </w:tcPr>
          <w:p w14:paraId="17C59EC2"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0.332</w:t>
            </w:r>
          </w:p>
        </w:tc>
        <w:tc>
          <w:tcPr>
            <w:tcW w:w="960" w:type="dxa"/>
            <w:tcBorders>
              <w:top w:val="nil"/>
              <w:left w:val="nil"/>
              <w:bottom w:val="single" w:sz="4" w:space="0" w:color="auto"/>
              <w:right w:val="single" w:sz="4" w:space="0" w:color="auto"/>
            </w:tcBorders>
            <w:shd w:val="clear" w:color="auto" w:fill="auto"/>
            <w:noWrap/>
            <w:vAlign w:val="bottom"/>
            <w:hideMark/>
          </w:tcPr>
          <w:p w14:paraId="13684103"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0.654</w:t>
            </w:r>
          </w:p>
        </w:tc>
      </w:tr>
      <w:tr w:rsidR="00ED0BE5" w:rsidRPr="00A05759" w14:paraId="212B469B" w14:textId="77777777" w:rsidTr="006C14BB">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686EBB" w14:textId="77777777" w:rsidR="00ED0BE5" w:rsidRPr="00A05759" w:rsidRDefault="00ED0BE5" w:rsidP="006C14BB">
            <w:pPr>
              <w:spacing w:line="240" w:lineRule="auto"/>
              <w:rPr>
                <w:rFonts w:ascii="Calibri" w:eastAsia="Times New Roman" w:hAnsi="Calibri" w:cs="Calibri"/>
                <w:color w:val="000000"/>
                <w:lang w:eastAsia="en-GB"/>
              </w:rPr>
            </w:pPr>
            <w:r w:rsidRPr="00A05759">
              <w:rPr>
                <w:rFonts w:ascii="Calibri" w:eastAsia="Times New Roman" w:hAnsi="Calibri" w:cs="Calibri"/>
                <w:color w:val="000000"/>
                <w:lang w:eastAsia="en-GB"/>
              </w:rPr>
              <w:lastRenderedPageBreak/>
              <w:t>2011-12</w:t>
            </w:r>
          </w:p>
        </w:tc>
        <w:tc>
          <w:tcPr>
            <w:tcW w:w="960" w:type="dxa"/>
            <w:tcBorders>
              <w:top w:val="nil"/>
              <w:left w:val="nil"/>
              <w:bottom w:val="single" w:sz="4" w:space="0" w:color="auto"/>
              <w:right w:val="single" w:sz="4" w:space="0" w:color="auto"/>
            </w:tcBorders>
            <w:shd w:val="clear" w:color="auto" w:fill="auto"/>
            <w:noWrap/>
            <w:vAlign w:val="bottom"/>
            <w:hideMark/>
          </w:tcPr>
          <w:p w14:paraId="626CC057"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0.324</w:t>
            </w:r>
          </w:p>
        </w:tc>
        <w:tc>
          <w:tcPr>
            <w:tcW w:w="960" w:type="dxa"/>
            <w:tcBorders>
              <w:top w:val="nil"/>
              <w:left w:val="nil"/>
              <w:bottom w:val="single" w:sz="4" w:space="0" w:color="auto"/>
              <w:right w:val="single" w:sz="4" w:space="0" w:color="auto"/>
            </w:tcBorders>
            <w:shd w:val="clear" w:color="auto" w:fill="auto"/>
            <w:noWrap/>
            <w:vAlign w:val="bottom"/>
            <w:hideMark/>
          </w:tcPr>
          <w:p w14:paraId="011BC398"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0.662</w:t>
            </w:r>
          </w:p>
        </w:tc>
      </w:tr>
      <w:tr w:rsidR="00ED0BE5" w:rsidRPr="00A05759" w14:paraId="2C0C9AA0" w14:textId="77777777" w:rsidTr="006C14BB">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407E7B" w14:textId="77777777" w:rsidR="00ED0BE5" w:rsidRPr="00A05759" w:rsidRDefault="00ED0BE5" w:rsidP="006C14BB">
            <w:pPr>
              <w:spacing w:line="240" w:lineRule="auto"/>
              <w:rPr>
                <w:rFonts w:ascii="Calibri" w:eastAsia="Times New Roman" w:hAnsi="Calibri" w:cs="Calibri"/>
                <w:color w:val="000000"/>
                <w:lang w:eastAsia="en-GB"/>
              </w:rPr>
            </w:pPr>
            <w:r w:rsidRPr="00A05759">
              <w:rPr>
                <w:rFonts w:ascii="Calibri" w:eastAsia="Times New Roman" w:hAnsi="Calibri" w:cs="Calibri"/>
                <w:color w:val="000000"/>
                <w:lang w:eastAsia="en-GB"/>
              </w:rPr>
              <w:t>2012-13</w:t>
            </w:r>
          </w:p>
        </w:tc>
        <w:tc>
          <w:tcPr>
            <w:tcW w:w="960" w:type="dxa"/>
            <w:tcBorders>
              <w:top w:val="nil"/>
              <w:left w:val="nil"/>
              <w:bottom w:val="single" w:sz="4" w:space="0" w:color="auto"/>
              <w:right w:val="single" w:sz="4" w:space="0" w:color="auto"/>
            </w:tcBorders>
            <w:shd w:val="clear" w:color="auto" w:fill="auto"/>
            <w:noWrap/>
            <w:vAlign w:val="bottom"/>
            <w:hideMark/>
          </w:tcPr>
          <w:p w14:paraId="0940EF52"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0.281</w:t>
            </w:r>
          </w:p>
        </w:tc>
        <w:tc>
          <w:tcPr>
            <w:tcW w:w="960" w:type="dxa"/>
            <w:tcBorders>
              <w:top w:val="nil"/>
              <w:left w:val="nil"/>
              <w:bottom w:val="single" w:sz="4" w:space="0" w:color="auto"/>
              <w:right w:val="single" w:sz="4" w:space="0" w:color="auto"/>
            </w:tcBorders>
            <w:shd w:val="clear" w:color="auto" w:fill="auto"/>
            <w:noWrap/>
            <w:vAlign w:val="bottom"/>
            <w:hideMark/>
          </w:tcPr>
          <w:p w14:paraId="1B29C238" w14:textId="77777777" w:rsidR="00ED0BE5" w:rsidRPr="00A05759" w:rsidRDefault="00ED0BE5" w:rsidP="006C14BB">
            <w:pPr>
              <w:spacing w:line="240" w:lineRule="auto"/>
              <w:jc w:val="right"/>
              <w:rPr>
                <w:rFonts w:ascii="Calibri" w:eastAsia="Times New Roman" w:hAnsi="Calibri" w:cs="Calibri"/>
                <w:color w:val="000000"/>
                <w:lang w:eastAsia="en-GB"/>
              </w:rPr>
            </w:pPr>
            <w:r w:rsidRPr="00A05759">
              <w:rPr>
                <w:rFonts w:ascii="Calibri" w:eastAsia="Times New Roman" w:hAnsi="Calibri" w:cs="Calibri"/>
                <w:color w:val="000000"/>
                <w:lang w:eastAsia="en-GB"/>
              </w:rPr>
              <w:t>0.702</w:t>
            </w:r>
          </w:p>
        </w:tc>
      </w:tr>
    </w:tbl>
    <w:p w14:paraId="3BA595EF" w14:textId="6A0A7505" w:rsidR="00ED0BE5" w:rsidRDefault="00ED0BE5" w:rsidP="004C6745">
      <w:pPr>
        <w:pStyle w:val="ArticleTextP2"/>
      </w:pPr>
    </w:p>
    <w:p w14:paraId="53E89974" w14:textId="299E5EBF" w:rsidR="004C6745" w:rsidRPr="004C6745" w:rsidRDefault="004C6745" w:rsidP="004C6745">
      <w:pPr>
        <w:pStyle w:val="ArticleTextP2"/>
        <w:rPr>
          <w:rFonts w:ascii="Arial" w:hAnsi="Arial" w:cs="Arial"/>
          <w:b/>
          <w:sz w:val="24"/>
        </w:rPr>
      </w:pPr>
      <w:r w:rsidRPr="004C6745">
        <w:t>The findings of the prevalence of divergence during the 1990s and convergence during the mid-2000s are supported by the literature (Lu and Deng 2011; Fan and Sun 2008; Liao and Wei 2016). These findings also confirm the outcomes of standard measures of convergence that reveal a prevalence of convergence during 2000s. The trend seems to reverse from 2014</w:t>
      </w:r>
      <w:r w:rsidR="009C4C75">
        <w:t>–</w:t>
      </w:r>
      <w:r w:rsidR="00E74790">
        <w:t>20</w:t>
      </w:r>
      <w:r w:rsidRPr="004C6745">
        <w:t>15 when the instances of divergence have surpassed the instances of convergence. This indicates a slowdown in the economy for the inland provinces; for instance, Gansu experienced an increase in GRP per capita from 26</w:t>
      </w:r>
      <w:r w:rsidR="00E74790">
        <w:t>,</w:t>
      </w:r>
      <w:r w:rsidRPr="004C6745">
        <w:t>433 to 27</w:t>
      </w:r>
      <w:r w:rsidR="00E74790">
        <w:t>,</w:t>
      </w:r>
      <w:r w:rsidRPr="004C6745">
        <w:t>643 yuan/person in 2014 and 2016. Similarly, Guangxi experienced an increase in per capita income from 33</w:t>
      </w:r>
      <w:r w:rsidR="00E74790">
        <w:t>,</w:t>
      </w:r>
      <w:r w:rsidRPr="004C6745">
        <w:t>090 to 38</w:t>
      </w:r>
      <w:r w:rsidR="00E74790">
        <w:t>,</w:t>
      </w:r>
      <w:r w:rsidRPr="004C6745">
        <w:t>027 yuan/person only. On the other hand, Beijing and Shanghai experienced increases in income from 99</w:t>
      </w:r>
      <w:r w:rsidR="00E74790">
        <w:t>,</w:t>
      </w:r>
      <w:r w:rsidRPr="004C6745">
        <w:t>995 to 118</w:t>
      </w:r>
      <w:r w:rsidR="00E74790">
        <w:t>,</w:t>
      </w:r>
      <w:r w:rsidRPr="004C6745">
        <w:t>198 and from 97</w:t>
      </w:r>
      <w:r w:rsidR="00E74790" w:rsidRPr="00A00F8C">
        <w:t>,</w:t>
      </w:r>
      <w:r w:rsidRPr="00A00F8C">
        <w:t>370 to 1</w:t>
      </w:r>
      <w:r w:rsidR="00F23C3E" w:rsidRPr="008B20CE">
        <w:t>1</w:t>
      </w:r>
      <w:r w:rsidRPr="00A00F8C">
        <w:t>1</w:t>
      </w:r>
      <w:r w:rsidR="00F23C3E" w:rsidRPr="008B20CE">
        <w:t>,</w:t>
      </w:r>
      <w:r w:rsidRPr="00A00F8C">
        <w:t>652,</w:t>
      </w:r>
      <w:r w:rsidRPr="004C6745">
        <w:t xml:space="preserve"> respectively. </w:t>
      </w:r>
    </w:p>
    <w:p w14:paraId="1D53CD3C" w14:textId="61F38E5A" w:rsidR="004C6745" w:rsidRPr="004C6745" w:rsidRDefault="004C6745" w:rsidP="004C6745">
      <w:pPr>
        <w:pStyle w:val="ArticleTextP2"/>
      </w:pPr>
      <w:r w:rsidRPr="004C6745">
        <w:t xml:space="preserve">Examining the Type III and Type IV </w:t>
      </w:r>
      <w:r w:rsidR="00AA17FD">
        <w:t>behavior</w:t>
      </w:r>
      <w:r w:rsidRPr="004C6745">
        <w:t xml:space="preserve"> in </w:t>
      </w:r>
      <w:r w:rsidR="00E74790">
        <w:t>f</w:t>
      </w:r>
      <w:r w:rsidRPr="004C6745">
        <w:t xml:space="preserve">igure 10, the proportion of pairs of provinces switching is very low compared to those without switching. The highest switching </w:t>
      </w:r>
      <w:r w:rsidR="00AA17FD">
        <w:t>behavior</w:t>
      </w:r>
      <w:r w:rsidRPr="004C6745">
        <w:t xml:space="preserve"> is observed for Type IV </w:t>
      </w:r>
      <w:r w:rsidR="00AA17FD">
        <w:t>behavior</w:t>
      </w:r>
      <w:r w:rsidRPr="004C6745">
        <w:t xml:space="preserve"> which is divergence with switching for the period 2014</w:t>
      </w:r>
      <w:r w:rsidR="009C4C75">
        <w:t>–</w:t>
      </w:r>
      <w:r w:rsidR="00E74790">
        <w:t>20</w:t>
      </w:r>
      <w:r w:rsidRPr="004C6745">
        <w:t xml:space="preserve">15. Provinces have switched places at </w:t>
      </w:r>
      <w:r w:rsidR="00E74790">
        <w:t>ten</w:t>
      </w:r>
      <w:r w:rsidR="00E74790" w:rsidRPr="004C6745">
        <w:t xml:space="preserve"> </w:t>
      </w:r>
      <w:r w:rsidRPr="004C6745">
        <w:t xml:space="preserve">instances. Provinces that changed positions mostly are Xinjiang, Anhui, Jiangxi, Fujian, Hainan, Shanxi, Liaoning, Guangdong, Heilongjiang, Yunnan, Guizhou, Hebei, Hunan, Qinghai. Most of these provinces are low-income inland provinces. The low instances of Type III and IV </w:t>
      </w:r>
      <w:r w:rsidR="009C4C75" w:rsidRPr="004C6745">
        <w:t>behaviors</w:t>
      </w:r>
      <w:r w:rsidRPr="004C6745">
        <w:t xml:space="preserve"> for the high-income coastal provinces indicate that they are mostly permanently placed in their rank positions. The evidence suggests that there is a persistence in the income groups of the provinces.</w:t>
      </w:r>
    </w:p>
    <w:p w14:paraId="635F2C28" w14:textId="4B05F321" w:rsidR="004C6745" w:rsidRDefault="004C6745" w:rsidP="004C6745">
      <w:pPr>
        <w:pStyle w:val="FigureTableTitle"/>
      </w:pPr>
      <w:bookmarkStart w:id="12" w:name="_Toc51247012"/>
      <w:r w:rsidRPr="004C6745">
        <w:t>Figure 10</w:t>
      </w:r>
      <w:r>
        <w:t>.</w:t>
      </w:r>
      <w:r w:rsidRPr="004C6745">
        <w:t xml:space="preserve"> Percentage of Instances of Types of </w:t>
      </w:r>
      <w:r w:rsidR="00AA17FD">
        <w:t>Behavior</w:t>
      </w:r>
      <w:r w:rsidRPr="004C6745">
        <w:t xml:space="preserve"> Exhibited by Provinces</w:t>
      </w:r>
    </w:p>
    <w:p w14:paraId="34BBF8DA" w14:textId="2F929698" w:rsidR="00D40C0D" w:rsidRDefault="00D40C0D" w:rsidP="004C6745">
      <w:pPr>
        <w:pStyle w:val="FigureTableTitle"/>
      </w:pPr>
      <w:r>
        <w:drawing>
          <wp:anchor distT="0" distB="0" distL="114300" distR="114300" simplePos="0" relativeHeight="251680768" behindDoc="0" locked="0" layoutInCell="1" allowOverlap="1" wp14:anchorId="62D36EA4" wp14:editId="25A81565">
            <wp:simplePos x="0" y="0"/>
            <wp:positionH relativeFrom="margin">
              <wp:align>left</wp:align>
            </wp:positionH>
            <wp:positionV relativeFrom="paragraph">
              <wp:posOffset>154305</wp:posOffset>
            </wp:positionV>
            <wp:extent cx="4241800" cy="156845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1800" cy="1568450"/>
                    </a:xfrm>
                    <a:prstGeom prst="rect">
                      <a:avLst/>
                    </a:prstGeom>
                    <a:noFill/>
                    <a:ln>
                      <a:noFill/>
                    </a:ln>
                  </pic:spPr>
                </pic:pic>
              </a:graphicData>
            </a:graphic>
            <wp14:sizeRelH relativeFrom="margin">
              <wp14:pctWidth>0</wp14:pctWidth>
            </wp14:sizeRelH>
          </wp:anchor>
        </w:drawing>
      </w:r>
    </w:p>
    <w:p w14:paraId="4BD33D1F" w14:textId="01DCB4D8" w:rsidR="00D40C0D" w:rsidRDefault="00D40C0D" w:rsidP="004C6745">
      <w:pPr>
        <w:pStyle w:val="FigureTableTitle"/>
      </w:pPr>
    </w:p>
    <w:p w14:paraId="420DBE5D" w14:textId="6E02CC43" w:rsidR="004C6745" w:rsidRPr="004C6745" w:rsidRDefault="004C6745" w:rsidP="004C6745">
      <w:pPr>
        <w:pStyle w:val="FigureSourceCaption"/>
      </w:pPr>
      <w:r w:rsidRPr="004C6745">
        <w:t>Type III = Convergence with switching, Type IV = Divergence with switching.</w:t>
      </w:r>
      <w:bookmarkEnd w:id="12"/>
    </w:p>
    <w:p w14:paraId="330DB00E" w14:textId="24462998" w:rsidR="004C6745" w:rsidRPr="004C6745" w:rsidRDefault="004C6745" w:rsidP="004C6745">
      <w:pPr>
        <w:pStyle w:val="ArticleTextP2"/>
      </w:pPr>
      <w:r w:rsidRPr="004C6745">
        <w:t xml:space="preserve">The X-convergence technique suggests the prevalence of higher instances of convergence from the mid-2000s and not before. The next section identifies the groups of high- and low-income provinces and then </w:t>
      </w:r>
      <w:r w:rsidR="009C4C75" w:rsidRPr="004C6745">
        <w:t>analyze</w:t>
      </w:r>
      <w:r w:rsidRPr="004C6745">
        <w:t xml:space="preserve"> in detail the change in regional dynamics within and between groups to understand their mobility </w:t>
      </w:r>
      <w:r w:rsidR="009C4C75" w:rsidRPr="004C6745">
        <w:t>behaviors</w:t>
      </w:r>
      <w:r w:rsidRPr="004C6745">
        <w:t xml:space="preserve">. </w:t>
      </w:r>
    </w:p>
    <w:p w14:paraId="26BE00D8" w14:textId="6E0010B8" w:rsidR="004C6745" w:rsidRPr="004C6745" w:rsidRDefault="004C6745" w:rsidP="008B20CE">
      <w:pPr>
        <w:pStyle w:val="SubsectionTitle"/>
      </w:pPr>
      <w:r w:rsidRPr="004C6745">
        <w:t>Group Analysis</w:t>
      </w:r>
    </w:p>
    <w:p w14:paraId="62331863" w14:textId="70E05FE2" w:rsidR="004C6745" w:rsidRPr="004C6745" w:rsidRDefault="004C6745" w:rsidP="004C6745">
      <w:pPr>
        <w:pStyle w:val="ArticleTextP2"/>
      </w:pPr>
      <w:r w:rsidRPr="004C6745">
        <w:lastRenderedPageBreak/>
        <w:t>Two groups of provinces were identified using Nagin’s (</w:t>
      </w:r>
      <w:r w:rsidR="00E44631">
        <w:t>1999</w:t>
      </w:r>
      <w:r w:rsidRPr="004C6745">
        <w:t xml:space="preserve">) </w:t>
      </w:r>
      <w:r w:rsidR="009C4C75" w:rsidRPr="004C6745">
        <w:t>group-based</w:t>
      </w:r>
      <w:r w:rsidRPr="004C6745">
        <w:t xml:space="preserve"> trajectory modelling approach. </w:t>
      </w:r>
      <w:r w:rsidRPr="00D83E84">
        <w:t xml:space="preserve">The </w:t>
      </w:r>
      <w:r w:rsidR="00F66436" w:rsidRPr="00D83E84">
        <w:t>Bayesian information criterion</w:t>
      </w:r>
      <w:r w:rsidR="00F66436" w:rsidRPr="0098322B">
        <w:t xml:space="preserve"> (</w:t>
      </w:r>
      <w:r w:rsidRPr="0098322B">
        <w:t>BIC</w:t>
      </w:r>
      <w:r w:rsidR="00F66436" w:rsidRPr="008B20CE">
        <w:t>)</w:t>
      </w:r>
      <w:r w:rsidRPr="00D83E84">
        <w:t xml:space="preserve"> is</w:t>
      </w:r>
      <w:r w:rsidRPr="004C6745">
        <w:t xml:space="preserve"> highest at </w:t>
      </w:r>
      <w:r w:rsidR="009C4C75">
        <w:t>–</w:t>
      </w:r>
      <w:r w:rsidRPr="004C6745">
        <w:t xml:space="preserve">2172.79 for two groups with linear growth paths for group members. The other deciding factor for group determination is the p-value for every parameter. Table 4 shows a significant p-value for every parameter. The group membership for the first group indicates that 32.25 percent of total provinces lie in group 1. This turns out to be </w:t>
      </w:r>
      <w:r w:rsidR="00E74790">
        <w:t>ten</w:t>
      </w:r>
      <w:r w:rsidR="00E74790" w:rsidRPr="004C6745">
        <w:t xml:space="preserve"> </w:t>
      </w:r>
      <w:r w:rsidRPr="004C6745">
        <w:t xml:space="preserve">provinces (0.3225X31 provinces) in group 1. Similarly, there are </w:t>
      </w:r>
      <w:r w:rsidR="00E74790">
        <w:t>twenty-one</w:t>
      </w:r>
      <w:r w:rsidR="00E74790" w:rsidRPr="004C6745">
        <w:t xml:space="preserve"> </w:t>
      </w:r>
      <w:r w:rsidRPr="004C6745">
        <w:t>provinces (0.6774X31 provinces) in group 2. Table 5 provides a list of provinces in group 1 and group 2.</w:t>
      </w:r>
    </w:p>
    <w:p w14:paraId="5D3B7776" w14:textId="64054791" w:rsidR="004C6745" w:rsidRPr="004C6745" w:rsidRDefault="004C6745" w:rsidP="004C6745">
      <w:pPr>
        <w:pStyle w:val="ArticleTextP2"/>
      </w:pPr>
      <w:r w:rsidRPr="004C6745">
        <w:t xml:space="preserve">The high-income group consists of </w:t>
      </w:r>
      <w:r w:rsidR="00E74790">
        <w:t>ten</w:t>
      </w:r>
      <w:r w:rsidR="00E74790" w:rsidRPr="004C6745">
        <w:t xml:space="preserve"> </w:t>
      </w:r>
      <w:r w:rsidRPr="004C6745">
        <w:t xml:space="preserve">provinces and the low-income group consists of </w:t>
      </w:r>
      <w:r w:rsidR="00E74790">
        <w:t>twenty-one</w:t>
      </w:r>
      <w:r w:rsidR="00E74790" w:rsidRPr="004C6745">
        <w:t xml:space="preserve"> </w:t>
      </w:r>
      <w:r w:rsidRPr="004C6745">
        <w:t xml:space="preserve">provinces as shown in </w:t>
      </w:r>
      <w:r w:rsidR="00E74790">
        <w:t>t</w:t>
      </w:r>
      <w:r w:rsidRPr="004C6745">
        <w:t xml:space="preserve">able 4. The high-income group consists of eight coastal provinces in addition to Inner Mongolia and Liaoning. Liaoning relies on the steel industry and </w:t>
      </w:r>
      <w:r w:rsidR="009C4C75" w:rsidRPr="004C6745">
        <w:t>has</w:t>
      </w:r>
      <w:r w:rsidRPr="004C6745">
        <w:t xml:space="preserve"> a higher income per capita than Inner Mongolia in 1993 but Inner Mongolia surpassed Liaoning’s income per capita in 2007.</w:t>
      </w:r>
      <w:r w:rsidR="002359AE">
        <w:t xml:space="preserve"> </w:t>
      </w:r>
      <w:r w:rsidRPr="004C6745">
        <w:t>Inner Mongolia, rich in rare earth mineral resources, has experienced sustained and stable flourishing in regional industries</w:t>
      </w:r>
      <w:r w:rsidR="00E74790">
        <w:t>,</w:t>
      </w:r>
      <w:r w:rsidRPr="004C6745">
        <w:t xml:space="preserve"> including dairy, clean energy, processing, and rare earth industry. The increasing regional investment in fixed assets with sustained regional industries helped Inner Mongolia show significant improvement in economic growth. The growth supports Inner Mongolia to surpass some coastal provinces’ output growth.</w:t>
      </w:r>
    </w:p>
    <w:p w14:paraId="3312C463" w14:textId="036A8C81" w:rsidR="001A6B56" w:rsidRPr="004C6745" w:rsidRDefault="004C6745" w:rsidP="004C6745">
      <w:pPr>
        <w:pStyle w:val="FigureTableTitle"/>
      </w:pPr>
      <w:r w:rsidRPr="004C6745">
        <w:t xml:space="preserve">Table </w:t>
      </w:r>
      <w:r>
        <w:rPr>
          <w:noProof w:val="0"/>
        </w:rPr>
        <w:t>4.</w:t>
      </w:r>
      <w:r w:rsidRPr="004C6745">
        <w:t xml:space="preserve"> </w:t>
      </w:r>
      <w:r w:rsidR="003442F9">
        <w:t xml:space="preserve">Group </w:t>
      </w:r>
      <w:r w:rsidR="00E375A5">
        <w:t>M</w:t>
      </w:r>
      <w:r w:rsidR="003442F9">
        <w:t xml:space="preserve">embership </w:t>
      </w:r>
      <w:r w:rsidR="00E375A5">
        <w:t>B</w:t>
      </w:r>
      <w:r w:rsidR="003442F9">
        <w:t xml:space="preserve">ased on </w:t>
      </w:r>
      <w:r w:rsidR="00E375A5">
        <w:t>G</w:t>
      </w:r>
      <w:r w:rsidR="003442F9">
        <w:t>roup-</w:t>
      </w:r>
      <w:r w:rsidR="00E375A5">
        <w:t>B</w:t>
      </w:r>
      <w:r w:rsidR="003442F9">
        <w:t xml:space="preserve">ased </w:t>
      </w:r>
      <w:r w:rsidR="00E375A5">
        <w:t>T</w:t>
      </w:r>
      <w:r w:rsidR="003442F9">
        <w:t xml:space="preserve">rajectory </w:t>
      </w:r>
      <w:r w:rsidR="00E375A5">
        <w:t>M</w:t>
      </w:r>
      <w:r w:rsidR="003442F9">
        <w:t>odelling</w:t>
      </w:r>
      <w:r w:rsidR="00B04F2E">
        <w:t xml:space="preserve"> </w:t>
      </w:r>
      <w:r w:rsidR="00E375A5">
        <w:t>A</w:t>
      </w:r>
      <w:r w:rsidR="00B04F2E">
        <w:t>pproach</w:t>
      </w:r>
      <w:r w:rsidR="003442F9">
        <w:t xml:space="preserve"> </w:t>
      </w:r>
    </w:p>
    <w:tbl>
      <w:tblPr>
        <w:tblW w:w="4987" w:type="dxa"/>
        <w:tblLook w:val="04A0" w:firstRow="1" w:lastRow="0" w:firstColumn="1" w:lastColumn="0" w:noHBand="0" w:noVBand="1"/>
      </w:tblPr>
      <w:tblGrid>
        <w:gridCol w:w="960"/>
        <w:gridCol w:w="1347"/>
        <w:gridCol w:w="1140"/>
        <w:gridCol w:w="1160"/>
        <w:gridCol w:w="380"/>
      </w:tblGrid>
      <w:tr w:rsidR="003442F9" w:rsidRPr="004C6745" w14:paraId="6E8E439F" w14:textId="77777777" w:rsidTr="00E375A5">
        <w:trPr>
          <w:trHeight w:val="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A96C3"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Group</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7986AD00"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Parameter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EA7C3FF"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Estimate</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4516F629"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Prob &gt; |T|</w:t>
            </w:r>
          </w:p>
        </w:tc>
        <w:tc>
          <w:tcPr>
            <w:tcW w:w="380" w:type="dxa"/>
            <w:tcBorders>
              <w:top w:val="nil"/>
              <w:left w:val="nil"/>
              <w:bottom w:val="nil"/>
              <w:right w:val="nil"/>
            </w:tcBorders>
            <w:shd w:val="clear" w:color="auto" w:fill="auto"/>
            <w:noWrap/>
            <w:vAlign w:val="bottom"/>
            <w:hideMark/>
          </w:tcPr>
          <w:p w14:paraId="1CEE6BA6" w14:textId="77777777" w:rsidR="003442F9" w:rsidRPr="004C6745" w:rsidRDefault="003442F9" w:rsidP="004C6745">
            <w:pPr>
              <w:spacing w:line="200" w:lineRule="exact"/>
              <w:jc w:val="center"/>
              <w:rPr>
                <w:rFonts w:eastAsia="Times New Roman" w:cs="Calibri"/>
                <w:color w:val="000000"/>
                <w:sz w:val="18"/>
                <w:szCs w:val="18"/>
                <w:lang w:val="en-US" w:eastAsia="en-GB"/>
              </w:rPr>
            </w:pPr>
          </w:p>
        </w:tc>
      </w:tr>
      <w:tr w:rsidR="003442F9" w:rsidRPr="004C6745" w14:paraId="0EBB0461" w14:textId="77777777" w:rsidTr="00E375A5">
        <w:trPr>
          <w:trHeight w:val="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C51E1D"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1347" w:type="dxa"/>
            <w:tcBorders>
              <w:top w:val="nil"/>
              <w:left w:val="nil"/>
              <w:bottom w:val="single" w:sz="4" w:space="0" w:color="auto"/>
              <w:right w:val="single" w:sz="4" w:space="0" w:color="auto"/>
            </w:tcBorders>
            <w:shd w:val="clear" w:color="auto" w:fill="auto"/>
            <w:noWrap/>
            <w:vAlign w:val="bottom"/>
            <w:hideMark/>
          </w:tcPr>
          <w:p w14:paraId="3F211D9F"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747A237E"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0CB08499"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380" w:type="dxa"/>
            <w:tcBorders>
              <w:top w:val="nil"/>
              <w:left w:val="nil"/>
              <w:bottom w:val="nil"/>
              <w:right w:val="nil"/>
            </w:tcBorders>
            <w:shd w:val="clear" w:color="auto" w:fill="auto"/>
            <w:noWrap/>
            <w:vAlign w:val="bottom"/>
            <w:hideMark/>
          </w:tcPr>
          <w:p w14:paraId="6ADBA3BE" w14:textId="77777777" w:rsidR="003442F9" w:rsidRPr="004C6745" w:rsidRDefault="003442F9" w:rsidP="004C6745">
            <w:pPr>
              <w:spacing w:line="200" w:lineRule="exact"/>
              <w:jc w:val="center"/>
              <w:rPr>
                <w:rFonts w:eastAsia="Times New Roman" w:cs="Calibri"/>
                <w:color w:val="000000"/>
                <w:sz w:val="18"/>
                <w:szCs w:val="18"/>
                <w:lang w:val="en-US" w:eastAsia="en-GB"/>
              </w:rPr>
            </w:pPr>
          </w:p>
        </w:tc>
      </w:tr>
      <w:tr w:rsidR="003442F9" w:rsidRPr="004C6745" w14:paraId="03BF66A8" w14:textId="77777777" w:rsidTr="00E375A5">
        <w:trPr>
          <w:trHeight w:val="9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A3C10D"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1</w:t>
            </w:r>
          </w:p>
        </w:tc>
        <w:tc>
          <w:tcPr>
            <w:tcW w:w="1347" w:type="dxa"/>
            <w:tcBorders>
              <w:top w:val="nil"/>
              <w:left w:val="nil"/>
              <w:bottom w:val="single" w:sz="4" w:space="0" w:color="auto"/>
              <w:right w:val="single" w:sz="4" w:space="0" w:color="auto"/>
            </w:tcBorders>
            <w:shd w:val="clear" w:color="auto" w:fill="auto"/>
            <w:noWrap/>
            <w:vAlign w:val="bottom"/>
            <w:hideMark/>
          </w:tcPr>
          <w:p w14:paraId="2031D1F6"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Intercept</w:t>
            </w:r>
          </w:p>
        </w:tc>
        <w:tc>
          <w:tcPr>
            <w:tcW w:w="1140" w:type="dxa"/>
            <w:tcBorders>
              <w:top w:val="nil"/>
              <w:left w:val="nil"/>
              <w:bottom w:val="single" w:sz="4" w:space="0" w:color="auto"/>
              <w:right w:val="single" w:sz="4" w:space="0" w:color="auto"/>
            </w:tcBorders>
            <w:shd w:val="clear" w:color="auto" w:fill="auto"/>
            <w:noWrap/>
            <w:vAlign w:val="bottom"/>
            <w:hideMark/>
          </w:tcPr>
          <w:p w14:paraId="325093B9"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1.8419</w:t>
            </w:r>
          </w:p>
        </w:tc>
        <w:tc>
          <w:tcPr>
            <w:tcW w:w="1160" w:type="dxa"/>
            <w:tcBorders>
              <w:top w:val="nil"/>
              <w:left w:val="nil"/>
              <w:bottom w:val="single" w:sz="4" w:space="0" w:color="auto"/>
              <w:right w:val="single" w:sz="4" w:space="0" w:color="auto"/>
            </w:tcBorders>
            <w:shd w:val="clear" w:color="auto" w:fill="auto"/>
            <w:noWrap/>
            <w:vAlign w:val="bottom"/>
            <w:hideMark/>
          </w:tcPr>
          <w:p w14:paraId="583FF360"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0</w:t>
            </w:r>
          </w:p>
        </w:tc>
        <w:tc>
          <w:tcPr>
            <w:tcW w:w="380" w:type="dxa"/>
            <w:tcBorders>
              <w:top w:val="nil"/>
              <w:left w:val="nil"/>
              <w:bottom w:val="nil"/>
              <w:right w:val="nil"/>
            </w:tcBorders>
            <w:shd w:val="clear" w:color="auto" w:fill="auto"/>
            <w:noWrap/>
            <w:vAlign w:val="bottom"/>
            <w:hideMark/>
          </w:tcPr>
          <w:p w14:paraId="28689B8B" w14:textId="77777777" w:rsidR="003442F9" w:rsidRPr="004C6745" w:rsidRDefault="003442F9" w:rsidP="004C6745">
            <w:pPr>
              <w:spacing w:line="200" w:lineRule="exact"/>
              <w:jc w:val="center"/>
              <w:rPr>
                <w:rFonts w:eastAsia="Times New Roman" w:cs="Calibri"/>
                <w:color w:val="000000"/>
                <w:sz w:val="18"/>
                <w:szCs w:val="18"/>
                <w:lang w:val="en-US" w:eastAsia="en-GB"/>
              </w:rPr>
            </w:pPr>
          </w:p>
        </w:tc>
      </w:tr>
      <w:tr w:rsidR="003442F9" w:rsidRPr="004C6745" w14:paraId="713A5C0F" w14:textId="77777777" w:rsidTr="00E375A5">
        <w:trPr>
          <w:trHeight w:val="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D1FF70"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1347" w:type="dxa"/>
            <w:tcBorders>
              <w:top w:val="nil"/>
              <w:left w:val="nil"/>
              <w:bottom w:val="single" w:sz="4" w:space="0" w:color="auto"/>
              <w:right w:val="single" w:sz="4" w:space="0" w:color="auto"/>
            </w:tcBorders>
            <w:shd w:val="clear" w:color="auto" w:fill="auto"/>
            <w:noWrap/>
            <w:vAlign w:val="bottom"/>
            <w:hideMark/>
          </w:tcPr>
          <w:p w14:paraId="734165AB"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Linear</w:t>
            </w:r>
          </w:p>
        </w:tc>
        <w:tc>
          <w:tcPr>
            <w:tcW w:w="1140" w:type="dxa"/>
            <w:tcBorders>
              <w:top w:val="nil"/>
              <w:left w:val="nil"/>
              <w:bottom w:val="single" w:sz="4" w:space="0" w:color="auto"/>
              <w:right w:val="single" w:sz="4" w:space="0" w:color="auto"/>
            </w:tcBorders>
            <w:shd w:val="clear" w:color="auto" w:fill="auto"/>
            <w:noWrap/>
            <w:vAlign w:val="bottom"/>
            <w:hideMark/>
          </w:tcPr>
          <w:p w14:paraId="2EE6463C"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0.00001</w:t>
            </w:r>
          </w:p>
        </w:tc>
        <w:tc>
          <w:tcPr>
            <w:tcW w:w="1160" w:type="dxa"/>
            <w:tcBorders>
              <w:top w:val="nil"/>
              <w:left w:val="nil"/>
              <w:bottom w:val="single" w:sz="4" w:space="0" w:color="auto"/>
              <w:right w:val="single" w:sz="4" w:space="0" w:color="auto"/>
            </w:tcBorders>
            <w:shd w:val="clear" w:color="auto" w:fill="auto"/>
            <w:noWrap/>
            <w:vAlign w:val="bottom"/>
            <w:hideMark/>
          </w:tcPr>
          <w:p w14:paraId="5321420A"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0</w:t>
            </w:r>
          </w:p>
        </w:tc>
        <w:tc>
          <w:tcPr>
            <w:tcW w:w="380" w:type="dxa"/>
            <w:tcBorders>
              <w:top w:val="nil"/>
              <w:left w:val="nil"/>
              <w:bottom w:val="nil"/>
              <w:right w:val="nil"/>
            </w:tcBorders>
            <w:shd w:val="clear" w:color="auto" w:fill="auto"/>
            <w:noWrap/>
            <w:vAlign w:val="bottom"/>
            <w:hideMark/>
          </w:tcPr>
          <w:p w14:paraId="3DEF5618" w14:textId="77777777" w:rsidR="003442F9" w:rsidRPr="004C6745" w:rsidRDefault="003442F9" w:rsidP="004C6745">
            <w:pPr>
              <w:spacing w:line="200" w:lineRule="exact"/>
              <w:jc w:val="center"/>
              <w:rPr>
                <w:rFonts w:eastAsia="Times New Roman" w:cs="Calibri"/>
                <w:color w:val="000000"/>
                <w:sz w:val="18"/>
                <w:szCs w:val="18"/>
                <w:lang w:val="en-US" w:eastAsia="en-GB"/>
              </w:rPr>
            </w:pPr>
          </w:p>
        </w:tc>
      </w:tr>
      <w:tr w:rsidR="003442F9" w:rsidRPr="004C6745" w14:paraId="29A2AD41" w14:textId="77777777" w:rsidTr="00E375A5">
        <w:trPr>
          <w:trHeight w:val="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EA9565"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1347" w:type="dxa"/>
            <w:tcBorders>
              <w:top w:val="nil"/>
              <w:left w:val="nil"/>
              <w:bottom w:val="single" w:sz="4" w:space="0" w:color="auto"/>
              <w:right w:val="single" w:sz="4" w:space="0" w:color="auto"/>
            </w:tcBorders>
            <w:shd w:val="clear" w:color="auto" w:fill="auto"/>
            <w:noWrap/>
            <w:vAlign w:val="bottom"/>
            <w:hideMark/>
          </w:tcPr>
          <w:p w14:paraId="50723DE6"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49BD8436"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0685D56D"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380" w:type="dxa"/>
            <w:tcBorders>
              <w:top w:val="nil"/>
              <w:left w:val="nil"/>
              <w:bottom w:val="nil"/>
              <w:right w:val="nil"/>
            </w:tcBorders>
            <w:shd w:val="clear" w:color="auto" w:fill="auto"/>
            <w:noWrap/>
            <w:vAlign w:val="bottom"/>
            <w:hideMark/>
          </w:tcPr>
          <w:p w14:paraId="575966DA" w14:textId="77777777" w:rsidR="003442F9" w:rsidRPr="004C6745" w:rsidRDefault="003442F9" w:rsidP="004C6745">
            <w:pPr>
              <w:spacing w:line="200" w:lineRule="exact"/>
              <w:jc w:val="center"/>
              <w:rPr>
                <w:rFonts w:eastAsia="Times New Roman" w:cs="Calibri"/>
                <w:color w:val="000000"/>
                <w:sz w:val="18"/>
                <w:szCs w:val="18"/>
                <w:lang w:val="en-US" w:eastAsia="en-GB"/>
              </w:rPr>
            </w:pPr>
          </w:p>
        </w:tc>
      </w:tr>
      <w:tr w:rsidR="003442F9" w:rsidRPr="004C6745" w14:paraId="30B3A561" w14:textId="77777777" w:rsidTr="00E375A5">
        <w:trPr>
          <w:trHeight w:val="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DD606A"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2</w:t>
            </w:r>
          </w:p>
        </w:tc>
        <w:tc>
          <w:tcPr>
            <w:tcW w:w="1347" w:type="dxa"/>
            <w:tcBorders>
              <w:top w:val="nil"/>
              <w:left w:val="nil"/>
              <w:bottom w:val="single" w:sz="4" w:space="0" w:color="auto"/>
              <w:right w:val="single" w:sz="4" w:space="0" w:color="auto"/>
            </w:tcBorders>
            <w:shd w:val="clear" w:color="auto" w:fill="auto"/>
            <w:noWrap/>
            <w:vAlign w:val="bottom"/>
            <w:hideMark/>
          </w:tcPr>
          <w:p w14:paraId="27C8BF7D"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Intercept</w:t>
            </w:r>
          </w:p>
        </w:tc>
        <w:tc>
          <w:tcPr>
            <w:tcW w:w="1140" w:type="dxa"/>
            <w:tcBorders>
              <w:top w:val="nil"/>
              <w:left w:val="nil"/>
              <w:bottom w:val="single" w:sz="4" w:space="0" w:color="auto"/>
              <w:right w:val="single" w:sz="4" w:space="0" w:color="auto"/>
            </w:tcBorders>
            <w:shd w:val="clear" w:color="auto" w:fill="auto"/>
            <w:noWrap/>
            <w:vAlign w:val="bottom"/>
            <w:hideMark/>
          </w:tcPr>
          <w:p w14:paraId="5B66F759"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1.87837</w:t>
            </w:r>
          </w:p>
        </w:tc>
        <w:tc>
          <w:tcPr>
            <w:tcW w:w="1160" w:type="dxa"/>
            <w:tcBorders>
              <w:top w:val="nil"/>
              <w:left w:val="nil"/>
              <w:bottom w:val="single" w:sz="4" w:space="0" w:color="auto"/>
              <w:right w:val="single" w:sz="4" w:space="0" w:color="auto"/>
            </w:tcBorders>
            <w:shd w:val="clear" w:color="auto" w:fill="auto"/>
            <w:noWrap/>
            <w:vAlign w:val="bottom"/>
            <w:hideMark/>
          </w:tcPr>
          <w:p w14:paraId="182C027A"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0</w:t>
            </w:r>
          </w:p>
        </w:tc>
        <w:tc>
          <w:tcPr>
            <w:tcW w:w="380" w:type="dxa"/>
            <w:tcBorders>
              <w:top w:val="nil"/>
              <w:left w:val="nil"/>
              <w:bottom w:val="nil"/>
              <w:right w:val="nil"/>
            </w:tcBorders>
            <w:shd w:val="clear" w:color="auto" w:fill="auto"/>
            <w:noWrap/>
            <w:vAlign w:val="bottom"/>
            <w:hideMark/>
          </w:tcPr>
          <w:p w14:paraId="6B67C06F" w14:textId="77777777" w:rsidR="003442F9" w:rsidRPr="004C6745" w:rsidRDefault="003442F9" w:rsidP="004C6745">
            <w:pPr>
              <w:spacing w:line="200" w:lineRule="exact"/>
              <w:jc w:val="center"/>
              <w:rPr>
                <w:rFonts w:eastAsia="Times New Roman" w:cs="Calibri"/>
                <w:color w:val="000000"/>
                <w:sz w:val="18"/>
                <w:szCs w:val="18"/>
                <w:lang w:val="en-US" w:eastAsia="en-GB"/>
              </w:rPr>
            </w:pPr>
          </w:p>
        </w:tc>
      </w:tr>
      <w:tr w:rsidR="003442F9" w:rsidRPr="004C6745" w14:paraId="75F8F041" w14:textId="77777777" w:rsidTr="00E375A5">
        <w:trPr>
          <w:trHeight w:val="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DC44A4"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1347" w:type="dxa"/>
            <w:tcBorders>
              <w:top w:val="nil"/>
              <w:left w:val="nil"/>
              <w:bottom w:val="single" w:sz="4" w:space="0" w:color="auto"/>
              <w:right w:val="single" w:sz="4" w:space="0" w:color="auto"/>
            </w:tcBorders>
            <w:shd w:val="clear" w:color="auto" w:fill="auto"/>
            <w:noWrap/>
            <w:vAlign w:val="bottom"/>
            <w:hideMark/>
          </w:tcPr>
          <w:p w14:paraId="7B422F93"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Linear</w:t>
            </w:r>
          </w:p>
        </w:tc>
        <w:tc>
          <w:tcPr>
            <w:tcW w:w="1140" w:type="dxa"/>
            <w:tcBorders>
              <w:top w:val="nil"/>
              <w:left w:val="nil"/>
              <w:bottom w:val="single" w:sz="4" w:space="0" w:color="auto"/>
              <w:right w:val="single" w:sz="4" w:space="0" w:color="auto"/>
            </w:tcBorders>
            <w:shd w:val="clear" w:color="auto" w:fill="auto"/>
            <w:noWrap/>
            <w:vAlign w:val="bottom"/>
            <w:hideMark/>
          </w:tcPr>
          <w:p w14:paraId="35281F1A"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0.00003</w:t>
            </w:r>
          </w:p>
        </w:tc>
        <w:tc>
          <w:tcPr>
            <w:tcW w:w="1160" w:type="dxa"/>
            <w:tcBorders>
              <w:top w:val="nil"/>
              <w:left w:val="nil"/>
              <w:bottom w:val="single" w:sz="4" w:space="0" w:color="auto"/>
              <w:right w:val="single" w:sz="4" w:space="0" w:color="auto"/>
            </w:tcBorders>
            <w:shd w:val="clear" w:color="auto" w:fill="auto"/>
            <w:noWrap/>
            <w:vAlign w:val="bottom"/>
            <w:hideMark/>
          </w:tcPr>
          <w:p w14:paraId="5F3DF64B"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0</w:t>
            </w:r>
          </w:p>
        </w:tc>
        <w:tc>
          <w:tcPr>
            <w:tcW w:w="380" w:type="dxa"/>
            <w:tcBorders>
              <w:top w:val="nil"/>
              <w:left w:val="nil"/>
              <w:bottom w:val="nil"/>
              <w:right w:val="nil"/>
            </w:tcBorders>
            <w:shd w:val="clear" w:color="auto" w:fill="auto"/>
            <w:noWrap/>
            <w:vAlign w:val="bottom"/>
            <w:hideMark/>
          </w:tcPr>
          <w:p w14:paraId="671E90E2" w14:textId="77777777" w:rsidR="003442F9" w:rsidRPr="004C6745" w:rsidRDefault="003442F9" w:rsidP="004C6745">
            <w:pPr>
              <w:spacing w:line="200" w:lineRule="exact"/>
              <w:jc w:val="center"/>
              <w:rPr>
                <w:rFonts w:eastAsia="Times New Roman" w:cs="Calibri"/>
                <w:color w:val="000000"/>
                <w:sz w:val="18"/>
                <w:szCs w:val="18"/>
                <w:lang w:val="en-US" w:eastAsia="en-GB"/>
              </w:rPr>
            </w:pPr>
          </w:p>
        </w:tc>
      </w:tr>
      <w:tr w:rsidR="003442F9" w:rsidRPr="004C6745" w14:paraId="1DC5A1C0" w14:textId="77777777" w:rsidTr="00E375A5">
        <w:trPr>
          <w:trHeight w:val="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B2307A"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1347" w:type="dxa"/>
            <w:tcBorders>
              <w:top w:val="nil"/>
              <w:left w:val="nil"/>
              <w:bottom w:val="single" w:sz="4" w:space="0" w:color="auto"/>
              <w:right w:val="single" w:sz="4" w:space="0" w:color="auto"/>
            </w:tcBorders>
            <w:shd w:val="clear" w:color="auto" w:fill="auto"/>
            <w:noWrap/>
            <w:vAlign w:val="bottom"/>
            <w:hideMark/>
          </w:tcPr>
          <w:p w14:paraId="15FAB2E8"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4DAE280D"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2D435649"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380" w:type="dxa"/>
            <w:tcBorders>
              <w:top w:val="nil"/>
              <w:left w:val="nil"/>
              <w:bottom w:val="nil"/>
              <w:right w:val="nil"/>
            </w:tcBorders>
            <w:shd w:val="clear" w:color="auto" w:fill="auto"/>
            <w:noWrap/>
            <w:vAlign w:val="bottom"/>
            <w:hideMark/>
          </w:tcPr>
          <w:p w14:paraId="0B520703" w14:textId="77777777" w:rsidR="003442F9" w:rsidRPr="004C6745" w:rsidRDefault="003442F9" w:rsidP="004C6745">
            <w:pPr>
              <w:spacing w:line="200" w:lineRule="exact"/>
              <w:jc w:val="center"/>
              <w:rPr>
                <w:rFonts w:eastAsia="Times New Roman" w:cs="Calibri"/>
                <w:color w:val="000000"/>
                <w:sz w:val="18"/>
                <w:szCs w:val="18"/>
                <w:lang w:val="en-US" w:eastAsia="en-GB"/>
              </w:rPr>
            </w:pPr>
          </w:p>
        </w:tc>
      </w:tr>
      <w:tr w:rsidR="003442F9" w:rsidRPr="004C6745" w14:paraId="0F6B8559" w14:textId="77777777" w:rsidTr="00E375A5">
        <w:trPr>
          <w:trHeight w:val="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DB012A"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Group</w:t>
            </w:r>
          </w:p>
        </w:tc>
        <w:tc>
          <w:tcPr>
            <w:tcW w:w="1347" w:type="dxa"/>
            <w:tcBorders>
              <w:top w:val="nil"/>
              <w:left w:val="nil"/>
              <w:bottom w:val="single" w:sz="4" w:space="0" w:color="auto"/>
              <w:right w:val="single" w:sz="4" w:space="0" w:color="auto"/>
            </w:tcBorders>
            <w:shd w:val="clear" w:color="auto" w:fill="auto"/>
            <w:noWrap/>
            <w:vAlign w:val="bottom"/>
            <w:hideMark/>
          </w:tcPr>
          <w:p w14:paraId="09C88DDD"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membership</w:t>
            </w:r>
          </w:p>
        </w:tc>
        <w:tc>
          <w:tcPr>
            <w:tcW w:w="1140" w:type="dxa"/>
            <w:tcBorders>
              <w:top w:val="nil"/>
              <w:left w:val="nil"/>
              <w:bottom w:val="single" w:sz="4" w:space="0" w:color="auto"/>
              <w:right w:val="single" w:sz="4" w:space="0" w:color="auto"/>
            </w:tcBorders>
            <w:shd w:val="clear" w:color="auto" w:fill="auto"/>
            <w:noWrap/>
            <w:vAlign w:val="bottom"/>
            <w:hideMark/>
          </w:tcPr>
          <w:p w14:paraId="6DF71672"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3B251856"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 </w:t>
            </w:r>
          </w:p>
        </w:tc>
        <w:tc>
          <w:tcPr>
            <w:tcW w:w="380" w:type="dxa"/>
            <w:tcBorders>
              <w:top w:val="nil"/>
              <w:left w:val="nil"/>
              <w:bottom w:val="nil"/>
              <w:right w:val="nil"/>
            </w:tcBorders>
            <w:shd w:val="clear" w:color="auto" w:fill="auto"/>
            <w:noWrap/>
            <w:vAlign w:val="bottom"/>
            <w:hideMark/>
          </w:tcPr>
          <w:p w14:paraId="19237E13" w14:textId="77777777" w:rsidR="003442F9" w:rsidRPr="004C6745" w:rsidRDefault="003442F9" w:rsidP="004C6745">
            <w:pPr>
              <w:spacing w:line="200" w:lineRule="exact"/>
              <w:jc w:val="center"/>
              <w:rPr>
                <w:rFonts w:eastAsia="Times New Roman" w:cs="Calibri"/>
                <w:color w:val="000000"/>
                <w:sz w:val="18"/>
                <w:szCs w:val="18"/>
                <w:lang w:val="en-US" w:eastAsia="en-GB"/>
              </w:rPr>
            </w:pPr>
          </w:p>
        </w:tc>
      </w:tr>
      <w:tr w:rsidR="003442F9" w:rsidRPr="004C6745" w14:paraId="5AB0240D" w14:textId="77777777" w:rsidTr="00E375A5">
        <w:trPr>
          <w:trHeight w:val="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E757A0"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1</w:t>
            </w:r>
          </w:p>
        </w:tc>
        <w:tc>
          <w:tcPr>
            <w:tcW w:w="1347" w:type="dxa"/>
            <w:tcBorders>
              <w:top w:val="nil"/>
              <w:left w:val="nil"/>
              <w:bottom w:val="single" w:sz="4" w:space="0" w:color="auto"/>
              <w:right w:val="single" w:sz="4" w:space="0" w:color="auto"/>
            </w:tcBorders>
            <w:shd w:val="clear" w:color="auto" w:fill="auto"/>
            <w:noWrap/>
            <w:vAlign w:val="bottom"/>
            <w:hideMark/>
          </w:tcPr>
          <w:p w14:paraId="08195E5F"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w:t>
            </w:r>
          </w:p>
        </w:tc>
        <w:tc>
          <w:tcPr>
            <w:tcW w:w="1140" w:type="dxa"/>
            <w:tcBorders>
              <w:top w:val="nil"/>
              <w:left w:val="nil"/>
              <w:bottom w:val="single" w:sz="4" w:space="0" w:color="auto"/>
              <w:right w:val="single" w:sz="4" w:space="0" w:color="auto"/>
            </w:tcBorders>
            <w:shd w:val="clear" w:color="auto" w:fill="auto"/>
            <w:noWrap/>
            <w:vAlign w:val="bottom"/>
            <w:hideMark/>
          </w:tcPr>
          <w:p w14:paraId="5046180C"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32.25811</w:t>
            </w:r>
          </w:p>
        </w:tc>
        <w:tc>
          <w:tcPr>
            <w:tcW w:w="1160" w:type="dxa"/>
            <w:tcBorders>
              <w:top w:val="nil"/>
              <w:left w:val="nil"/>
              <w:bottom w:val="single" w:sz="4" w:space="0" w:color="auto"/>
              <w:right w:val="single" w:sz="4" w:space="0" w:color="auto"/>
            </w:tcBorders>
            <w:shd w:val="clear" w:color="auto" w:fill="auto"/>
            <w:noWrap/>
            <w:vAlign w:val="bottom"/>
            <w:hideMark/>
          </w:tcPr>
          <w:p w14:paraId="2C156907"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0.0001</w:t>
            </w:r>
          </w:p>
        </w:tc>
        <w:tc>
          <w:tcPr>
            <w:tcW w:w="380" w:type="dxa"/>
            <w:tcBorders>
              <w:top w:val="nil"/>
              <w:left w:val="nil"/>
              <w:bottom w:val="nil"/>
              <w:right w:val="nil"/>
            </w:tcBorders>
            <w:shd w:val="clear" w:color="auto" w:fill="auto"/>
            <w:noWrap/>
            <w:vAlign w:val="bottom"/>
            <w:hideMark/>
          </w:tcPr>
          <w:p w14:paraId="4C6AF979" w14:textId="77777777" w:rsidR="003442F9" w:rsidRPr="004C6745" w:rsidRDefault="003442F9" w:rsidP="004C6745">
            <w:pPr>
              <w:spacing w:line="200" w:lineRule="exact"/>
              <w:jc w:val="center"/>
              <w:rPr>
                <w:rFonts w:eastAsia="Times New Roman" w:cs="Calibri"/>
                <w:color w:val="000000"/>
                <w:sz w:val="18"/>
                <w:szCs w:val="18"/>
                <w:lang w:val="en-US" w:eastAsia="en-GB"/>
              </w:rPr>
            </w:pPr>
          </w:p>
        </w:tc>
      </w:tr>
      <w:tr w:rsidR="003442F9" w:rsidRPr="004C6745" w14:paraId="0F5EF3D7" w14:textId="77777777" w:rsidTr="00E375A5">
        <w:trPr>
          <w:trHeight w:val="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3F684"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2</w:t>
            </w:r>
          </w:p>
        </w:tc>
        <w:tc>
          <w:tcPr>
            <w:tcW w:w="1347" w:type="dxa"/>
            <w:tcBorders>
              <w:top w:val="nil"/>
              <w:left w:val="nil"/>
              <w:bottom w:val="single" w:sz="4" w:space="0" w:color="auto"/>
              <w:right w:val="single" w:sz="4" w:space="0" w:color="auto"/>
            </w:tcBorders>
            <w:shd w:val="clear" w:color="auto" w:fill="auto"/>
            <w:noWrap/>
            <w:vAlign w:val="bottom"/>
            <w:hideMark/>
          </w:tcPr>
          <w:p w14:paraId="3FF50018"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w:t>
            </w:r>
          </w:p>
        </w:tc>
        <w:tc>
          <w:tcPr>
            <w:tcW w:w="1140" w:type="dxa"/>
            <w:tcBorders>
              <w:top w:val="nil"/>
              <w:left w:val="nil"/>
              <w:bottom w:val="single" w:sz="4" w:space="0" w:color="auto"/>
              <w:right w:val="single" w:sz="4" w:space="0" w:color="auto"/>
            </w:tcBorders>
            <w:shd w:val="clear" w:color="auto" w:fill="auto"/>
            <w:noWrap/>
            <w:vAlign w:val="bottom"/>
            <w:hideMark/>
          </w:tcPr>
          <w:p w14:paraId="35115FE7"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67.74189</w:t>
            </w:r>
          </w:p>
        </w:tc>
        <w:tc>
          <w:tcPr>
            <w:tcW w:w="1160" w:type="dxa"/>
            <w:tcBorders>
              <w:top w:val="nil"/>
              <w:left w:val="nil"/>
              <w:bottom w:val="single" w:sz="4" w:space="0" w:color="auto"/>
              <w:right w:val="single" w:sz="4" w:space="0" w:color="auto"/>
            </w:tcBorders>
            <w:shd w:val="clear" w:color="auto" w:fill="auto"/>
            <w:noWrap/>
            <w:vAlign w:val="bottom"/>
            <w:hideMark/>
          </w:tcPr>
          <w:p w14:paraId="7698E9D2" w14:textId="77777777" w:rsidR="003442F9" w:rsidRPr="004C6745" w:rsidRDefault="003442F9" w:rsidP="004C6745">
            <w:pPr>
              <w:spacing w:line="200" w:lineRule="exact"/>
              <w:jc w:val="center"/>
              <w:rPr>
                <w:rFonts w:eastAsia="Times New Roman" w:cs="Calibri"/>
                <w:color w:val="000000"/>
                <w:sz w:val="18"/>
                <w:szCs w:val="18"/>
                <w:lang w:val="en-US" w:eastAsia="en-GB"/>
              </w:rPr>
            </w:pPr>
            <w:r w:rsidRPr="004C6745">
              <w:rPr>
                <w:rFonts w:eastAsia="Times New Roman" w:cs="Calibri"/>
                <w:color w:val="000000"/>
                <w:sz w:val="18"/>
                <w:szCs w:val="18"/>
                <w:lang w:val="en-US" w:eastAsia="en-GB"/>
              </w:rPr>
              <w:t>0</w:t>
            </w:r>
          </w:p>
        </w:tc>
        <w:tc>
          <w:tcPr>
            <w:tcW w:w="380" w:type="dxa"/>
            <w:tcBorders>
              <w:top w:val="nil"/>
              <w:left w:val="nil"/>
              <w:bottom w:val="nil"/>
              <w:right w:val="nil"/>
            </w:tcBorders>
            <w:shd w:val="clear" w:color="auto" w:fill="auto"/>
            <w:noWrap/>
            <w:vAlign w:val="bottom"/>
            <w:hideMark/>
          </w:tcPr>
          <w:p w14:paraId="634F1360" w14:textId="77777777" w:rsidR="003442F9" w:rsidRPr="004C6745" w:rsidRDefault="003442F9" w:rsidP="004C6745">
            <w:pPr>
              <w:spacing w:line="200" w:lineRule="exact"/>
              <w:jc w:val="center"/>
              <w:rPr>
                <w:rFonts w:eastAsia="Times New Roman" w:cs="Calibri"/>
                <w:color w:val="000000"/>
                <w:sz w:val="18"/>
                <w:szCs w:val="18"/>
                <w:lang w:val="en-US" w:eastAsia="en-GB"/>
              </w:rPr>
            </w:pPr>
          </w:p>
        </w:tc>
      </w:tr>
      <w:tr w:rsidR="003442F9" w:rsidRPr="004C6745" w14:paraId="380D0A88" w14:textId="77777777" w:rsidTr="00E375A5">
        <w:trPr>
          <w:trHeight w:val="75"/>
        </w:trPr>
        <w:tc>
          <w:tcPr>
            <w:tcW w:w="960" w:type="dxa"/>
            <w:tcBorders>
              <w:top w:val="nil"/>
              <w:left w:val="nil"/>
              <w:bottom w:val="nil"/>
              <w:right w:val="nil"/>
            </w:tcBorders>
            <w:shd w:val="clear" w:color="auto" w:fill="auto"/>
            <w:noWrap/>
            <w:vAlign w:val="bottom"/>
            <w:hideMark/>
          </w:tcPr>
          <w:p w14:paraId="48BD417E" w14:textId="77777777" w:rsidR="003442F9" w:rsidRPr="004C6745" w:rsidRDefault="003442F9" w:rsidP="004C6745">
            <w:pPr>
              <w:spacing w:line="200" w:lineRule="exact"/>
              <w:jc w:val="right"/>
              <w:rPr>
                <w:rFonts w:eastAsia="Times New Roman" w:cs="Calibri"/>
                <w:color w:val="000000"/>
                <w:sz w:val="18"/>
                <w:szCs w:val="18"/>
                <w:lang w:val="en-US" w:eastAsia="en-GB"/>
              </w:rPr>
            </w:pPr>
          </w:p>
        </w:tc>
        <w:tc>
          <w:tcPr>
            <w:tcW w:w="1347" w:type="dxa"/>
            <w:tcBorders>
              <w:top w:val="nil"/>
              <w:left w:val="nil"/>
              <w:bottom w:val="nil"/>
              <w:right w:val="nil"/>
            </w:tcBorders>
            <w:shd w:val="clear" w:color="auto" w:fill="auto"/>
            <w:noWrap/>
            <w:vAlign w:val="bottom"/>
            <w:hideMark/>
          </w:tcPr>
          <w:p w14:paraId="1F865611" w14:textId="77777777" w:rsidR="003442F9" w:rsidRPr="004C6745" w:rsidRDefault="003442F9" w:rsidP="004C6745">
            <w:pPr>
              <w:spacing w:line="200" w:lineRule="exact"/>
              <w:jc w:val="center"/>
              <w:rPr>
                <w:rFonts w:eastAsia="Times New Roman" w:cs="Times New Roman"/>
                <w:sz w:val="18"/>
                <w:szCs w:val="18"/>
                <w:lang w:val="en-US" w:eastAsia="en-GB"/>
              </w:rPr>
            </w:pPr>
          </w:p>
        </w:tc>
        <w:tc>
          <w:tcPr>
            <w:tcW w:w="1140" w:type="dxa"/>
            <w:tcBorders>
              <w:top w:val="nil"/>
              <w:left w:val="nil"/>
              <w:bottom w:val="nil"/>
              <w:right w:val="nil"/>
            </w:tcBorders>
            <w:shd w:val="clear" w:color="auto" w:fill="auto"/>
            <w:noWrap/>
            <w:vAlign w:val="bottom"/>
            <w:hideMark/>
          </w:tcPr>
          <w:p w14:paraId="7FA0951A" w14:textId="77777777" w:rsidR="003442F9" w:rsidRPr="004C6745" w:rsidRDefault="003442F9" w:rsidP="004C6745">
            <w:pPr>
              <w:spacing w:line="200" w:lineRule="exact"/>
              <w:jc w:val="center"/>
              <w:rPr>
                <w:rFonts w:eastAsia="Times New Roman" w:cs="Times New Roman"/>
                <w:sz w:val="18"/>
                <w:szCs w:val="18"/>
                <w:lang w:val="en-US" w:eastAsia="en-GB"/>
              </w:rPr>
            </w:pPr>
          </w:p>
        </w:tc>
        <w:tc>
          <w:tcPr>
            <w:tcW w:w="1160" w:type="dxa"/>
            <w:tcBorders>
              <w:top w:val="nil"/>
              <w:left w:val="nil"/>
              <w:bottom w:val="nil"/>
              <w:right w:val="nil"/>
            </w:tcBorders>
            <w:shd w:val="clear" w:color="auto" w:fill="auto"/>
            <w:noWrap/>
            <w:vAlign w:val="bottom"/>
            <w:hideMark/>
          </w:tcPr>
          <w:p w14:paraId="4E84F8DC" w14:textId="77777777" w:rsidR="003442F9" w:rsidRPr="004C6745" w:rsidRDefault="003442F9" w:rsidP="004C6745">
            <w:pPr>
              <w:spacing w:line="200" w:lineRule="exact"/>
              <w:jc w:val="center"/>
              <w:rPr>
                <w:rFonts w:eastAsia="Times New Roman" w:cs="Times New Roman"/>
                <w:sz w:val="18"/>
                <w:szCs w:val="18"/>
                <w:lang w:val="en-US" w:eastAsia="en-GB"/>
              </w:rPr>
            </w:pPr>
          </w:p>
        </w:tc>
        <w:tc>
          <w:tcPr>
            <w:tcW w:w="380" w:type="dxa"/>
            <w:tcBorders>
              <w:top w:val="nil"/>
              <w:left w:val="nil"/>
              <w:bottom w:val="nil"/>
              <w:right w:val="nil"/>
            </w:tcBorders>
            <w:shd w:val="clear" w:color="auto" w:fill="auto"/>
            <w:noWrap/>
            <w:vAlign w:val="bottom"/>
            <w:hideMark/>
          </w:tcPr>
          <w:p w14:paraId="5E4BF7D9" w14:textId="77777777" w:rsidR="003442F9" w:rsidRPr="004C6745" w:rsidRDefault="003442F9" w:rsidP="004C6745">
            <w:pPr>
              <w:spacing w:line="200" w:lineRule="exact"/>
              <w:jc w:val="center"/>
              <w:rPr>
                <w:rFonts w:eastAsia="Times New Roman" w:cs="Times New Roman"/>
                <w:sz w:val="18"/>
                <w:szCs w:val="18"/>
                <w:lang w:val="en-US" w:eastAsia="en-GB"/>
              </w:rPr>
            </w:pPr>
          </w:p>
        </w:tc>
      </w:tr>
    </w:tbl>
    <w:p w14:paraId="466206D7" w14:textId="77777777" w:rsidR="00783A4E" w:rsidRDefault="00783A4E" w:rsidP="004C6745">
      <w:pPr>
        <w:pStyle w:val="ArticleTextP2"/>
      </w:pPr>
    </w:p>
    <w:p w14:paraId="721479C2" w14:textId="0ABE6CD6" w:rsidR="004C6745" w:rsidRPr="004C6745" w:rsidRDefault="004C6745" w:rsidP="004C6745">
      <w:pPr>
        <w:pStyle w:val="ArticleTextP2"/>
      </w:pPr>
      <w:r w:rsidRPr="004C6745">
        <w:t xml:space="preserve">The high-income group consists of </w:t>
      </w:r>
      <w:r w:rsidR="00E74790">
        <w:t>ten</w:t>
      </w:r>
      <w:r w:rsidR="00E74790" w:rsidRPr="004C6745">
        <w:t xml:space="preserve"> </w:t>
      </w:r>
      <w:r w:rsidRPr="004C6745">
        <w:t xml:space="preserve">provinces and the low-income group consists of </w:t>
      </w:r>
      <w:r w:rsidR="00911FB1">
        <w:t>twenty-one</w:t>
      </w:r>
      <w:r w:rsidR="00911FB1" w:rsidRPr="004C6745">
        <w:t xml:space="preserve"> </w:t>
      </w:r>
      <w:r w:rsidRPr="004C6745">
        <w:t xml:space="preserve">provinces as shown in </w:t>
      </w:r>
      <w:r w:rsidR="00911FB1">
        <w:t>t</w:t>
      </w:r>
      <w:r w:rsidRPr="004C6745">
        <w:t xml:space="preserve">able 5. The high-income group consists of eight coastal provinces in addition to Inner Mongolia and Liaoning. Liaoning relies on the steel industry and </w:t>
      </w:r>
      <w:r w:rsidR="009C4C75" w:rsidRPr="004C6745">
        <w:t>has</w:t>
      </w:r>
      <w:r w:rsidRPr="004C6745">
        <w:t xml:space="preserve"> a higher income per capita than Inner Mongolia in 1993 but Inner Mongolia surpassed Liaoning’s income per capita in 2007.</w:t>
      </w:r>
      <w:r w:rsidR="002359AE">
        <w:t xml:space="preserve"> </w:t>
      </w:r>
      <w:r w:rsidRPr="004C6745">
        <w:t>Inner Mongolia, rich in rare earth mineral resources, has experienced sustained and stable flourishing in regional industries including dairy, clean energy, processing, and rare earth industry. The increasing regional investment in fixed assets with sustained regional industries helped Inner Mongolia show significant improvement in economic growth. The growth supports Inner Mongolia to surpass some coastal provinces’ output growth.</w:t>
      </w:r>
    </w:p>
    <w:p w14:paraId="168FFB9E" w14:textId="30332CEF" w:rsidR="004C6745" w:rsidRPr="004C6745" w:rsidRDefault="004C6745" w:rsidP="004C6745">
      <w:pPr>
        <w:pStyle w:val="FigureTableTitle"/>
        <w:rPr>
          <w:i/>
        </w:rPr>
      </w:pPr>
      <w:bookmarkStart w:id="13" w:name="_Toc51535458"/>
      <w:r w:rsidRPr="004C6745">
        <w:t>Table 5</w:t>
      </w:r>
      <w:r>
        <w:t>.</w:t>
      </w:r>
      <w:r w:rsidRPr="004C6745">
        <w:t xml:space="preserve"> Names of High-Income and Low-Income Provinces</w:t>
      </w:r>
      <w:bookmarkEnd w:id="13"/>
    </w:p>
    <w:tbl>
      <w:tblPr>
        <w:tblStyle w:val="TableGrid"/>
        <w:tblW w:w="0" w:type="auto"/>
        <w:tblLook w:val="04A0" w:firstRow="1" w:lastRow="0" w:firstColumn="1" w:lastColumn="0" w:noHBand="0" w:noVBand="1"/>
      </w:tblPr>
      <w:tblGrid>
        <w:gridCol w:w="1662"/>
        <w:gridCol w:w="5528"/>
      </w:tblGrid>
      <w:tr w:rsidR="004C6745" w:rsidRPr="004C6745" w14:paraId="7732C3BF" w14:textId="77777777" w:rsidTr="00052D92">
        <w:tc>
          <w:tcPr>
            <w:tcW w:w="1980" w:type="dxa"/>
          </w:tcPr>
          <w:p w14:paraId="2CB4A4DB"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High-income group</w:t>
            </w:r>
          </w:p>
        </w:tc>
        <w:tc>
          <w:tcPr>
            <w:tcW w:w="7036" w:type="dxa"/>
          </w:tcPr>
          <w:p w14:paraId="12F5B523" w14:textId="5C536DAD"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Beijing Tianjin, Inner Mongolia, Liaoning, Shanghai, Jiangsu, Zhejiang, Fujian, Shandong, Guangdong</w:t>
            </w:r>
          </w:p>
        </w:tc>
      </w:tr>
      <w:tr w:rsidR="004C6745" w:rsidRPr="004C6745" w14:paraId="1C702051" w14:textId="77777777" w:rsidTr="00052D92">
        <w:tc>
          <w:tcPr>
            <w:tcW w:w="1980" w:type="dxa"/>
          </w:tcPr>
          <w:p w14:paraId="718C73E4"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lastRenderedPageBreak/>
              <w:t>Low-income group</w:t>
            </w:r>
          </w:p>
        </w:tc>
        <w:tc>
          <w:tcPr>
            <w:tcW w:w="7036" w:type="dxa"/>
          </w:tcPr>
          <w:p w14:paraId="3446D542"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Hebei, Shanxi, Jilin, Heilongjiang, Anhui, Jiangxi, Henan, Hubei, Hunan, Guangxi, Hainan, Chongqing, Sichuan, Guizhou, Yunnan, Tibet, Shaanxi, Gansu, Qinghai, Ningxia, Xinjiang</w:t>
            </w:r>
          </w:p>
        </w:tc>
      </w:tr>
    </w:tbl>
    <w:p w14:paraId="70AA61BC" w14:textId="047D8912" w:rsidR="004C6745" w:rsidRPr="004C6745" w:rsidRDefault="004C6745" w:rsidP="004C6745">
      <w:pPr>
        <w:pStyle w:val="SubSubSectionTitle"/>
      </w:pPr>
      <w:r w:rsidRPr="004C6745">
        <w:t>Between High-Income and Low-Income Provinces</w:t>
      </w:r>
    </w:p>
    <w:p w14:paraId="32D532B3" w14:textId="75956BD8" w:rsidR="004C6745" w:rsidRPr="004C6745" w:rsidRDefault="004C6745" w:rsidP="004C6745">
      <w:pPr>
        <w:pStyle w:val="ArticleTextP2"/>
      </w:pPr>
      <w:r w:rsidRPr="004C6745">
        <w:t xml:space="preserve">The between group analysis of high and low-income group as shown in </w:t>
      </w:r>
      <w:r w:rsidR="00E74790">
        <w:t>f</w:t>
      </w:r>
      <w:r w:rsidRPr="004C6745">
        <w:t xml:space="preserve">igure 11 reveals that the percentage of instances of Type I </w:t>
      </w:r>
      <w:r w:rsidR="00AA17FD">
        <w:t>behavior</w:t>
      </w:r>
      <w:r w:rsidRPr="004C6745">
        <w:t xml:space="preserve"> was higher during the 1990s than in the 2000s and Type II </w:t>
      </w:r>
      <w:r w:rsidR="00AA17FD">
        <w:t>behavior</w:t>
      </w:r>
      <w:r w:rsidRPr="004C6745">
        <w:t xml:space="preserve"> was higher after the mid-2000s. The finding</w:t>
      </w:r>
      <w:r w:rsidR="00E74790">
        <w:t>s</w:t>
      </w:r>
      <w:r w:rsidRPr="004C6745">
        <w:t xml:space="preserve"> suggests that the low-income provinces were growing at a faster rate than the richer provinces from 2005 and catching up with the high-income provinces. This is consistent with the literature that reveals that inequality reduced after the mid-2000s (Fan and Sun 2008). </w:t>
      </w:r>
    </w:p>
    <w:p w14:paraId="7D40DF35" w14:textId="1E23E12B" w:rsidR="00806DEA" w:rsidRDefault="004C6745" w:rsidP="004C6745">
      <w:pPr>
        <w:pStyle w:val="FigureTableTitle"/>
      </w:pPr>
      <w:bookmarkStart w:id="14" w:name="_Toc51247013"/>
      <w:r w:rsidRPr="004C6745">
        <w:t>Figure 11</w:t>
      </w:r>
      <w:r>
        <w:t>.</w:t>
      </w:r>
      <w:r w:rsidRPr="004C6745">
        <w:t xml:space="preserve"> Percentage of Instances of Types of </w:t>
      </w:r>
      <w:r w:rsidR="00AA17FD">
        <w:t>Behavior</w:t>
      </w:r>
      <w:r w:rsidRPr="004C6745">
        <w:t xml:space="preserve"> Exhibited by Provinces</w:t>
      </w:r>
      <w:r w:rsidR="00B13FC1">
        <w:drawing>
          <wp:anchor distT="0" distB="0" distL="114300" distR="114300" simplePos="0" relativeHeight="251681792" behindDoc="0" locked="0" layoutInCell="1" allowOverlap="1" wp14:anchorId="7BFC70A0" wp14:editId="4F3778D8">
            <wp:simplePos x="0" y="0"/>
            <wp:positionH relativeFrom="margin">
              <wp:posOffset>-635</wp:posOffset>
            </wp:positionH>
            <wp:positionV relativeFrom="paragraph">
              <wp:posOffset>333375</wp:posOffset>
            </wp:positionV>
            <wp:extent cx="4230370" cy="16148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0370" cy="1614805"/>
                    </a:xfrm>
                    <a:prstGeom prst="rect">
                      <a:avLst/>
                    </a:prstGeom>
                    <a:noFill/>
                    <a:ln>
                      <a:noFill/>
                    </a:ln>
                  </pic:spPr>
                </pic:pic>
              </a:graphicData>
            </a:graphic>
            <wp14:sizeRelH relativeFrom="margin">
              <wp14:pctWidth>0</wp14:pctWidth>
            </wp14:sizeRelH>
          </wp:anchor>
        </w:drawing>
      </w:r>
    </w:p>
    <w:p w14:paraId="54036041" w14:textId="3C1B6D87" w:rsidR="00B13FC1" w:rsidRDefault="00B13FC1" w:rsidP="004C6745">
      <w:pPr>
        <w:pStyle w:val="FigureTableTitle"/>
      </w:pPr>
    </w:p>
    <w:p w14:paraId="5AC5C206" w14:textId="08CD3B4F" w:rsidR="004C6745" w:rsidRPr="004C6745" w:rsidRDefault="004C6745" w:rsidP="004C6745">
      <w:pPr>
        <w:pStyle w:val="FigureSourceCaption"/>
      </w:pPr>
      <w:r w:rsidRPr="004C6745">
        <w:t>Type I = Divergence without switching, Type II = Convergence without switching, Type III = Convergence with switching, Type IV = Divergence with switching.</w:t>
      </w:r>
      <w:bookmarkEnd w:id="14"/>
    </w:p>
    <w:p w14:paraId="7F618896" w14:textId="5475BBED" w:rsidR="004C6745" w:rsidRPr="004C6745" w:rsidRDefault="004C6745" w:rsidP="004C6745">
      <w:pPr>
        <w:pStyle w:val="ArticleTextP2"/>
      </w:pPr>
      <w:r w:rsidRPr="004C6745">
        <w:t xml:space="preserve">The instances of switching places as shown by Type III and IV </w:t>
      </w:r>
      <w:r w:rsidR="009C4C75" w:rsidRPr="004C6745">
        <w:t>behaviors</w:t>
      </w:r>
      <w:r w:rsidRPr="004C6745">
        <w:t xml:space="preserve"> between high-income provinces and low-income provinces during 2000</w:t>
      </w:r>
      <w:r w:rsidR="009C4C75">
        <w:t>–</w:t>
      </w:r>
      <w:r w:rsidRPr="004C6745">
        <w:t xml:space="preserve">2016 are shown in </w:t>
      </w:r>
      <w:r w:rsidR="00911FB1">
        <w:t>t</w:t>
      </w:r>
      <w:r w:rsidRPr="004C6745">
        <w:t>able 6:</w:t>
      </w:r>
    </w:p>
    <w:p w14:paraId="361D2FB1" w14:textId="5C1E0247" w:rsidR="004C6745" w:rsidRPr="004C6745" w:rsidRDefault="004C6745" w:rsidP="004C6745">
      <w:pPr>
        <w:pStyle w:val="FigureTableTitle"/>
        <w:rPr>
          <w:i/>
        </w:rPr>
      </w:pPr>
      <w:bookmarkStart w:id="15" w:name="_Toc51535459"/>
      <w:r w:rsidRPr="004C6745">
        <w:t>Table 6</w:t>
      </w:r>
      <w:r>
        <w:t>.</w:t>
      </w:r>
      <w:r w:rsidRPr="004C6745">
        <w:t xml:space="preserve"> High-Income Provinces Switching Rank Order Positions with Low-Income Provinces during 1993</w:t>
      </w:r>
      <w:r w:rsidR="009C4C75">
        <w:t>–</w:t>
      </w:r>
      <w:r w:rsidRPr="004C6745">
        <w:t>2016</w:t>
      </w:r>
      <w:bookmarkEnd w:id="15"/>
    </w:p>
    <w:tbl>
      <w:tblPr>
        <w:tblStyle w:val="TableGrid"/>
        <w:tblW w:w="0" w:type="auto"/>
        <w:tblLook w:val="04A0" w:firstRow="1" w:lastRow="0" w:firstColumn="1" w:lastColumn="0" w:noHBand="0" w:noVBand="1"/>
      </w:tblPr>
      <w:tblGrid>
        <w:gridCol w:w="2004"/>
        <w:gridCol w:w="5186"/>
      </w:tblGrid>
      <w:tr w:rsidR="004C6745" w:rsidRPr="004C6745" w14:paraId="4548E1CD" w14:textId="77777777" w:rsidTr="00052D92">
        <w:tc>
          <w:tcPr>
            <w:tcW w:w="2254" w:type="dxa"/>
          </w:tcPr>
          <w:p w14:paraId="18BB6030" w14:textId="77777777" w:rsidR="004C6745" w:rsidRPr="004C6745" w:rsidRDefault="004C6745" w:rsidP="004C6745">
            <w:pPr>
              <w:spacing w:line="200" w:lineRule="exact"/>
              <w:jc w:val="both"/>
              <w:rPr>
                <w:rFonts w:ascii="GoudyOldSty" w:hAnsi="GoudyOldSty" w:cs="Arial"/>
                <w:b/>
                <w:sz w:val="18"/>
                <w:szCs w:val="18"/>
                <w:lang w:val="en-US"/>
              </w:rPr>
            </w:pPr>
            <w:r w:rsidRPr="004C6745">
              <w:rPr>
                <w:rFonts w:ascii="GoudyOldSty" w:hAnsi="GoudyOldSty" w:cs="Arial"/>
                <w:b/>
                <w:sz w:val="18"/>
                <w:szCs w:val="18"/>
                <w:lang w:val="en-US"/>
              </w:rPr>
              <w:t>Coastal province</w:t>
            </w:r>
          </w:p>
        </w:tc>
        <w:tc>
          <w:tcPr>
            <w:tcW w:w="6246" w:type="dxa"/>
          </w:tcPr>
          <w:p w14:paraId="6765BE78" w14:textId="77777777" w:rsidR="004C6745" w:rsidRPr="004C6745" w:rsidRDefault="004C6745" w:rsidP="004C6745">
            <w:pPr>
              <w:spacing w:line="200" w:lineRule="exact"/>
              <w:jc w:val="both"/>
              <w:rPr>
                <w:rFonts w:ascii="GoudyOldSty" w:hAnsi="GoudyOldSty" w:cs="Arial"/>
                <w:b/>
                <w:sz w:val="18"/>
                <w:szCs w:val="18"/>
                <w:lang w:val="en-US"/>
              </w:rPr>
            </w:pPr>
            <w:r w:rsidRPr="004C6745">
              <w:rPr>
                <w:rFonts w:ascii="GoudyOldSty" w:hAnsi="GoudyOldSty" w:cs="Arial"/>
                <w:b/>
                <w:sz w:val="18"/>
                <w:szCs w:val="18"/>
                <w:lang w:val="en-US"/>
              </w:rPr>
              <w:t>Switching places with inland provinces</w:t>
            </w:r>
          </w:p>
        </w:tc>
      </w:tr>
      <w:tr w:rsidR="004C6745" w:rsidRPr="004C6745" w14:paraId="44DBDE01" w14:textId="77777777" w:rsidTr="00052D92">
        <w:tc>
          <w:tcPr>
            <w:tcW w:w="2254" w:type="dxa"/>
          </w:tcPr>
          <w:p w14:paraId="180B5802"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 xml:space="preserve">Beijing </w:t>
            </w:r>
          </w:p>
        </w:tc>
        <w:tc>
          <w:tcPr>
            <w:tcW w:w="6246" w:type="dxa"/>
          </w:tcPr>
          <w:p w14:paraId="063BF2BD"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No Switch</w:t>
            </w:r>
          </w:p>
        </w:tc>
      </w:tr>
      <w:tr w:rsidR="004C6745" w:rsidRPr="004C6745" w14:paraId="74C97336" w14:textId="77777777" w:rsidTr="00052D92">
        <w:tc>
          <w:tcPr>
            <w:tcW w:w="2254" w:type="dxa"/>
          </w:tcPr>
          <w:p w14:paraId="41E09FAF"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Shanghai</w:t>
            </w:r>
          </w:p>
        </w:tc>
        <w:tc>
          <w:tcPr>
            <w:tcW w:w="6246" w:type="dxa"/>
          </w:tcPr>
          <w:p w14:paraId="615AD5D0"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No Switch</w:t>
            </w:r>
          </w:p>
        </w:tc>
      </w:tr>
      <w:tr w:rsidR="004C6745" w:rsidRPr="004C6745" w14:paraId="64FE263B" w14:textId="77777777" w:rsidTr="00052D92">
        <w:tc>
          <w:tcPr>
            <w:tcW w:w="2254" w:type="dxa"/>
          </w:tcPr>
          <w:p w14:paraId="6F55D8F9"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Tianjin</w:t>
            </w:r>
          </w:p>
        </w:tc>
        <w:tc>
          <w:tcPr>
            <w:tcW w:w="6246" w:type="dxa"/>
          </w:tcPr>
          <w:p w14:paraId="4B71BA1F"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No Switch</w:t>
            </w:r>
          </w:p>
        </w:tc>
      </w:tr>
      <w:tr w:rsidR="004C6745" w:rsidRPr="004C6745" w14:paraId="3EFE3A4A" w14:textId="77777777" w:rsidTr="00052D92">
        <w:tc>
          <w:tcPr>
            <w:tcW w:w="2254" w:type="dxa"/>
          </w:tcPr>
          <w:p w14:paraId="050D7FA7"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Jiangsu</w:t>
            </w:r>
          </w:p>
        </w:tc>
        <w:tc>
          <w:tcPr>
            <w:tcW w:w="6246" w:type="dxa"/>
          </w:tcPr>
          <w:p w14:paraId="71E6D174"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No Switch</w:t>
            </w:r>
          </w:p>
        </w:tc>
      </w:tr>
      <w:tr w:rsidR="004C6745" w:rsidRPr="004C6745" w14:paraId="02725320" w14:textId="77777777" w:rsidTr="00052D92">
        <w:tc>
          <w:tcPr>
            <w:tcW w:w="2254" w:type="dxa"/>
          </w:tcPr>
          <w:p w14:paraId="3A0EF922"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Zhejiang</w:t>
            </w:r>
          </w:p>
        </w:tc>
        <w:tc>
          <w:tcPr>
            <w:tcW w:w="6246" w:type="dxa"/>
          </w:tcPr>
          <w:p w14:paraId="6B78556E"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No Switch</w:t>
            </w:r>
          </w:p>
        </w:tc>
      </w:tr>
      <w:tr w:rsidR="004C6745" w:rsidRPr="004C6745" w14:paraId="31246338" w14:textId="77777777" w:rsidTr="00052D92">
        <w:tc>
          <w:tcPr>
            <w:tcW w:w="2254" w:type="dxa"/>
          </w:tcPr>
          <w:p w14:paraId="76EBB755"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 xml:space="preserve">Fujian </w:t>
            </w:r>
          </w:p>
        </w:tc>
        <w:tc>
          <w:tcPr>
            <w:tcW w:w="6246" w:type="dxa"/>
          </w:tcPr>
          <w:p w14:paraId="4BE52760"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No Switch</w:t>
            </w:r>
          </w:p>
        </w:tc>
      </w:tr>
      <w:tr w:rsidR="004C6745" w:rsidRPr="004C6745" w14:paraId="06DC6E03" w14:textId="77777777" w:rsidTr="00052D92">
        <w:tc>
          <w:tcPr>
            <w:tcW w:w="2254" w:type="dxa"/>
          </w:tcPr>
          <w:p w14:paraId="5BFF30E9"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Shandong</w:t>
            </w:r>
          </w:p>
        </w:tc>
        <w:tc>
          <w:tcPr>
            <w:tcW w:w="6246" w:type="dxa"/>
          </w:tcPr>
          <w:p w14:paraId="6804451E"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No Switch</w:t>
            </w:r>
          </w:p>
        </w:tc>
      </w:tr>
      <w:tr w:rsidR="004C6745" w:rsidRPr="004C6745" w14:paraId="69DBCFD9" w14:textId="77777777" w:rsidTr="00052D92">
        <w:tc>
          <w:tcPr>
            <w:tcW w:w="2254" w:type="dxa"/>
          </w:tcPr>
          <w:p w14:paraId="517521F6"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Guangdong</w:t>
            </w:r>
          </w:p>
        </w:tc>
        <w:tc>
          <w:tcPr>
            <w:tcW w:w="6246" w:type="dxa"/>
          </w:tcPr>
          <w:p w14:paraId="15A4AF0A"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No Switch</w:t>
            </w:r>
          </w:p>
        </w:tc>
      </w:tr>
      <w:tr w:rsidR="004C6745" w:rsidRPr="004C6745" w14:paraId="6012B481" w14:textId="77777777" w:rsidTr="00052D92">
        <w:tc>
          <w:tcPr>
            <w:tcW w:w="2254" w:type="dxa"/>
          </w:tcPr>
          <w:p w14:paraId="30C1A108"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Liaoning</w:t>
            </w:r>
          </w:p>
        </w:tc>
        <w:tc>
          <w:tcPr>
            <w:tcW w:w="6246" w:type="dxa"/>
          </w:tcPr>
          <w:p w14:paraId="0F4B8AA6"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No Switch</w:t>
            </w:r>
          </w:p>
        </w:tc>
      </w:tr>
      <w:tr w:rsidR="004C6745" w:rsidRPr="004C6745" w14:paraId="5055B50F" w14:textId="77777777" w:rsidTr="00052D92">
        <w:tc>
          <w:tcPr>
            <w:tcW w:w="2254" w:type="dxa"/>
          </w:tcPr>
          <w:p w14:paraId="48A3AD87"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Inner Mongolia</w:t>
            </w:r>
          </w:p>
        </w:tc>
        <w:tc>
          <w:tcPr>
            <w:tcW w:w="6246" w:type="dxa"/>
          </w:tcPr>
          <w:p w14:paraId="4A44E6C3"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Jilin, Xinjiang, Heilongjiang, Hubei</w:t>
            </w:r>
          </w:p>
        </w:tc>
      </w:tr>
    </w:tbl>
    <w:p w14:paraId="1352ADC1" w14:textId="77777777" w:rsidR="004C6745" w:rsidRPr="004C6745" w:rsidRDefault="004C6745" w:rsidP="004C6745">
      <w:pPr>
        <w:pStyle w:val="ArticleTextP2"/>
      </w:pPr>
      <w:r w:rsidRPr="004C6745">
        <w:t>Table 6 suggests that except Inner Mongolia, no other high-income province has changed positions with any low-income province. Instead, there is evidence of stratification and persistence between high-income and low-income provinces. In other words, the rich provinces were still rich and poor were still poor throughout the period of analysis.</w:t>
      </w:r>
    </w:p>
    <w:p w14:paraId="71876A1F" w14:textId="143BA350" w:rsidR="004C6745" w:rsidRPr="004C6745" w:rsidRDefault="004C6745" w:rsidP="004C6745">
      <w:pPr>
        <w:pStyle w:val="SubSubSectionTitle"/>
      </w:pPr>
      <w:r w:rsidRPr="004C6745">
        <w:t xml:space="preserve">Within High-Income Group </w:t>
      </w:r>
    </w:p>
    <w:p w14:paraId="72FF0CF0" w14:textId="6915501C" w:rsidR="004C6745" w:rsidRPr="004C6745" w:rsidRDefault="004C6745" w:rsidP="004C6745">
      <w:pPr>
        <w:pStyle w:val="ArticleTextP2"/>
      </w:pPr>
      <w:r w:rsidRPr="004C6745">
        <w:lastRenderedPageBreak/>
        <w:t xml:space="preserve">As shown in </w:t>
      </w:r>
      <w:r w:rsidR="00911FB1">
        <w:t>f</w:t>
      </w:r>
      <w:r w:rsidRPr="004C6745">
        <w:t xml:space="preserve">igure 12, the high-income provinces show higher instances of Type II </w:t>
      </w:r>
      <w:r w:rsidR="00AA17FD">
        <w:t>behavior</w:t>
      </w:r>
      <w:r w:rsidRPr="004C6745">
        <w:t xml:space="preserve"> of convergence within themselves roughly from 2002 to 2014. </w:t>
      </w:r>
    </w:p>
    <w:p w14:paraId="28564775" w14:textId="066AE16F" w:rsidR="004C6745" w:rsidRDefault="00933EDC" w:rsidP="004C6745">
      <w:pPr>
        <w:pStyle w:val="FigureTableTitle"/>
      </w:pPr>
      <w:bookmarkStart w:id="16" w:name="_Toc51247014"/>
      <w:r>
        <w:drawing>
          <wp:anchor distT="0" distB="0" distL="114300" distR="114300" simplePos="0" relativeHeight="251682816" behindDoc="0" locked="0" layoutInCell="1" allowOverlap="1" wp14:anchorId="3FA265A8" wp14:editId="4D5711C0">
            <wp:simplePos x="0" y="0"/>
            <wp:positionH relativeFrom="margin">
              <wp:align>left</wp:align>
            </wp:positionH>
            <wp:positionV relativeFrom="paragraph">
              <wp:posOffset>424397</wp:posOffset>
            </wp:positionV>
            <wp:extent cx="4206875" cy="1620520"/>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06875" cy="1620520"/>
                    </a:xfrm>
                    <a:prstGeom prst="rect">
                      <a:avLst/>
                    </a:prstGeom>
                    <a:noFill/>
                    <a:ln>
                      <a:noFill/>
                    </a:ln>
                  </pic:spPr>
                </pic:pic>
              </a:graphicData>
            </a:graphic>
            <wp14:sizeRelH relativeFrom="margin">
              <wp14:pctWidth>0</wp14:pctWidth>
            </wp14:sizeRelH>
          </wp:anchor>
        </w:drawing>
      </w:r>
      <w:r w:rsidR="004C6745" w:rsidRPr="004C6745">
        <w:t>Figure 12</w:t>
      </w:r>
      <w:r w:rsidR="004C6745">
        <w:t>.</w:t>
      </w:r>
      <w:r w:rsidR="004C6745" w:rsidRPr="004C6745">
        <w:t xml:space="preserve"> Percentage of Instances of Types of </w:t>
      </w:r>
      <w:r w:rsidR="00AA17FD">
        <w:t>Behavior</w:t>
      </w:r>
      <w:r w:rsidR="004C6745" w:rsidRPr="004C6745">
        <w:t xml:space="preserve"> Exhibited by Provinces.</w:t>
      </w:r>
    </w:p>
    <w:p w14:paraId="1968AB53" w14:textId="77A81642" w:rsidR="00933EDC" w:rsidRDefault="00933EDC" w:rsidP="004C6745">
      <w:pPr>
        <w:pStyle w:val="FigureTableTitle"/>
      </w:pPr>
    </w:p>
    <w:p w14:paraId="00B18074" w14:textId="34998954" w:rsidR="00933EDC" w:rsidRDefault="00933EDC" w:rsidP="004C6745">
      <w:pPr>
        <w:pStyle w:val="FigureTableTitle"/>
      </w:pPr>
    </w:p>
    <w:p w14:paraId="01363549" w14:textId="17A6E15D" w:rsidR="00933EDC" w:rsidRDefault="00933EDC" w:rsidP="004C6745">
      <w:pPr>
        <w:pStyle w:val="FigureTableTitle"/>
      </w:pPr>
    </w:p>
    <w:p w14:paraId="78207294" w14:textId="0FD897E5" w:rsidR="00933EDC" w:rsidRDefault="00933EDC" w:rsidP="004C6745">
      <w:pPr>
        <w:pStyle w:val="FigureTableTitle"/>
      </w:pPr>
    </w:p>
    <w:p w14:paraId="0347F70C" w14:textId="7ADD4C71" w:rsidR="00933EDC" w:rsidRDefault="00933EDC" w:rsidP="004C6745">
      <w:pPr>
        <w:pStyle w:val="FigureTableTitle"/>
      </w:pPr>
    </w:p>
    <w:p w14:paraId="16CA7707" w14:textId="70450834" w:rsidR="00933EDC" w:rsidRDefault="00933EDC" w:rsidP="004C6745">
      <w:pPr>
        <w:pStyle w:val="FigureTableTitle"/>
      </w:pPr>
    </w:p>
    <w:p w14:paraId="2358A9BB" w14:textId="1B7421B5" w:rsidR="00933EDC" w:rsidRDefault="00933EDC" w:rsidP="004C6745">
      <w:pPr>
        <w:pStyle w:val="FigureTableTitle"/>
      </w:pPr>
    </w:p>
    <w:p w14:paraId="513DEE20" w14:textId="6AA29EEC" w:rsidR="00933EDC" w:rsidRDefault="00933EDC" w:rsidP="004C6745">
      <w:pPr>
        <w:pStyle w:val="FigureTableTitle"/>
      </w:pPr>
    </w:p>
    <w:p w14:paraId="36110061" w14:textId="45484EFF" w:rsidR="00416474" w:rsidRDefault="00416474" w:rsidP="004C6745">
      <w:pPr>
        <w:pStyle w:val="FigureTableTitle"/>
      </w:pPr>
    </w:p>
    <w:p w14:paraId="2AF584DE" w14:textId="262595AF" w:rsidR="004C6745" w:rsidRPr="004C6745" w:rsidRDefault="004C6745" w:rsidP="004C6745">
      <w:pPr>
        <w:pStyle w:val="FigureSourceCaption"/>
        <w:rPr>
          <w:i w:val="0"/>
          <w:iCs/>
        </w:rPr>
      </w:pPr>
      <w:r w:rsidRPr="004C6745">
        <w:rPr>
          <w:i w:val="0"/>
          <w:iCs/>
        </w:rPr>
        <w:t>Type I = Divergence without switching, Type II = Convergence without switching, Type III = Convergence with switching, Type IV = Divergence with switching.</w:t>
      </w:r>
      <w:bookmarkEnd w:id="16"/>
    </w:p>
    <w:p w14:paraId="485A0773" w14:textId="7B789C66" w:rsidR="004C6745" w:rsidRPr="004C6745" w:rsidRDefault="004C6745" w:rsidP="004C6745">
      <w:pPr>
        <w:pStyle w:val="ArticleTextP2"/>
      </w:pPr>
      <w:r w:rsidRPr="004C6745">
        <w:t xml:space="preserve">The prevalence of convergence is evident for </w:t>
      </w:r>
      <w:r w:rsidR="00E74790">
        <w:t xml:space="preserve">a </w:t>
      </w:r>
      <w:r w:rsidRPr="004C6745">
        <w:t>greater number of years than divergence for high-income provinces (1993</w:t>
      </w:r>
      <w:r w:rsidR="009C4C75">
        <w:t>–</w:t>
      </w:r>
      <w:r w:rsidRPr="004C6745">
        <w:t>1996 and 2003</w:t>
      </w:r>
      <w:r w:rsidR="009C4C75">
        <w:t>–</w:t>
      </w:r>
      <w:r w:rsidRPr="004C6745">
        <w:t>2014) indicating a decline in inequality among these provinces. Coastal provinces are mostly converging with each other which is in line with the literature (Fujita and Hu 2001; Démurger et al. 2002; Jian et al. 1996). The preferential government policies and transfers, and industrial agglomeration have helped coastal areas to integrate into the international economy (Raiser 1998). These factors, to a large extent, helped coastal provinces to converge their growth paths with each other.</w:t>
      </w:r>
    </w:p>
    <w:p w14:paraId="40DCA6E9" w14:textId="42BB58E3" w:rsidR="004C6745" w:rsidRPr="004C6745" w:rsidRDefault="004C6745" w:rsidP="004C6745">
      <w:pPr>
        <w:pStyle w:val="ArticleTextP2"/>
      </w:pPr>
      <w:r w:rsidRPr="004C6745">
        <w:t>For the nation as a whole</w:t>
      </w:r>
      <w:r w:rsidR="00E74790">
        <w:t>,</w:t>
      </w:r>
      <w:r w:rsidRPr="004C6745">
        <w:t xml:space="preserve"> convergence trend shown in </w:t>
      </w:r>
      <w:r w:rsidR="00911FB1">
        <w:t>f</w:t>
      </w:r>
      <w:r w:rsidRPr="004C6745">
        <w:t xml:space="preserve">igure 9 and within coastal provinces shown in </w:t>
      </w:r>
      <w:r w:rsidR="00911FB1">
        <w:t>f</w:t>
      </w:r>
      <w:r w:rsidRPr="004C6745">
        <w:t xml:space="preserve">igure 12, the percentage of Type I </w:t>
      </w:r>
      <w:r w:rsidR="00AA17FD">
        <w:t>behavior</w:t>
      </w:r>
      <w:r w:rsidRPr="004C6745">
        <w:t xml:space="preserve"> is surpassing the Type II </w:t>
      </w:r>
      <w:r w:rsidR="00AA17FD">
        <w:t>behavior</w:t>
      </w:r>
      <w:r w:rsidRPr="004C6745">
        <w:t xml:space="preserve"> from 2014. This indicates the phase of income disparity starting to come back during these years.</w:t>
      </w:r>
    </w:p>
    <w:p w14:paraId="6BFC1434" w14:textId="2656DC5A" w:rsidR="004C6745" w:rsidRPr="004C6745" w:rsidRDefault="004C6745" w:rsidP="004C6745">
      <w:pPr>
        <w:pStyle w:val="ArticleTextP2"/>
      </w:pPr>
      <w:r w:rsidRPr="004C6745">
        <w:t xml:space="preserve">In terms of mobility, </w:t>
      </w:r>
      <w:r w:rsidR="00911FB1">
        <w:t>f</w:t>
      </w:r>
      <w:r w:rsidRPr="004C6745">
        <w:t xml:space="preserve">igure 13 suggests limited evidence of Type III and Type IV </w:t>
      </w:r>
      <w:r w:rsidR="00AA17FD">
        <w:t>behavior</w:t>
      </w:r>
      <w:r w:rsidRPr="004C6745">
        <w:t xml:space="preserve"> exhibited by provinces. Consequently, the rank order positions of provinces have not altered very much</w:t>
      </w:r>
      <w:r w:rsidR="00E74790">
        <w:t>,</w:t>
      </w:r>
      <w:r w:rsidRPr="004C6745">
        <w:t xml:space="preserve"> thereby indicating persistence within the rich group with the top three rich positions taken by Beijing, Shanghai, and Tianjin throughout.</w:t>
      </w:r>
    </w:p>
    <w:p w14:paraId="38371D4A" w14:textId="77777777" w:rsidR="001438A5" w:rsidRDefault="001438A5" w:rsidP="004C6745">
      <w:pPr>
        <w:pStyle w:val="FigureTableTitle"/>
      </w:pPr>
      <w:bookmarkStart w:id="17" w:name="_Toc51247015"/>
    </w:p>
    <w:p w14:paraId="76DEC33D" w14:textId="77777777" w:rsidR="001438A5" w:rsidRDefault="001438A5" w:rsidP="004C6745">
      <w:pPr>
        <w:pStyle w:val="FigureTableTitle"/>
      </w:pPr>
    </w:p>
    <w:p w14:paraId="0219FF05" w14:textId="77777777" w:rsidR="001438A5" w:rsidRDefault="001438A5" w:rsidP="004C6745">
      <w:pPr>
        <w:pStyle w:val="FigureTableTitle"/>
      </w:pPr>
    </w:p>
    <w:p w14:paraId="07E11F9A" w14:textId="77777777" w:rsidR="001438A5" w:rsidRDefault="001438A5" w:rsidP="004C6745">
      <w:pPr>
        <w:pStyle w:val="FigureTableTitle"/>
      </w:pPr>
    </w:p>
    <w:p w14:paraId="4E4D003F" w14:textId="77777777" w:rsidR="001438A5" w:rsidRDefault="001438A5" w:rsidP="004C6745">
      <w:pPr>
        <w:pStyle w:val="FigureTableTitle"/>
      </w:pPr>
    </w:p>
    <w:p w14:paraId="15D7C60E" w14:textId="77777777" w:rsidR="001438A5" w:rsidRDefault="001438A5" w:rsidP="004C6745">
      <w:pPr>
        <w:pStyle w:val="FigureTableTitle"/>
      </w:pPr>
    </w:p>
    <w:p w14:paraId="4F90F5EA" w14:textId="77777777" w:rsidR="001438A5" w:rsidRDefault="001438A5" w:rsidP="004C6745">
      <w:pPr>
        <w:pStyle w:val="FigureTableTitle"/>
      </w:pPr>
    </w:p>
    <w:p w14:paraId="573C1FCB" w14:textId="33CA315F" w:rsidR="004C6745" w:rsidRDefault="004D469E" w:rsidP="004C6745">
      <w:pPr>
        <w:pStyle w:val="FigureTableTitle"/>
      </w:pPr>
      <w:r>
        <w:lastRenderedPageBreak/>
        <w:drawing>
          <wp:anchor distT="0" distB="0" distL="114300" distR="114300" simplePos="0" relativeHeight="251683840" behindDoc="0" locked="0" layoutInCell="1" allowOverlap="1" wp14:anchorId="61785160" wp14:editId="6ED4D63C">
            <wp:simplePos x="0" y="0"/>
            <wp:positionH relativeFrom="margin">
              <wp:align>left</wp:align>
            </wp:positionH>
            <wp:positionV relativeFrom="paragraph">
              <wp:posOffset>526415</wp:posOffset>
            </wp:positionV>
            <wp:extent cx="4351655" cy="157988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1655" cy="1579880"/>
                    </a:xfrm>
                    <a:prstGeom prst="rect">
                      <a:avLst/>
                    </a:prstGeom>
                    <a:noFill/>
                    <a:ln>
                      <a:noFill/>
                    </a:ln>
                  </pic:spPr>
                </pic:pic>
              </a:graphicData>
            </a:graphic>
            <wp14:sizeRelH relativeFrom="margin">
              <wp14:pctWidth>0</wp14:pctWidth>
            </wp14:sizeRelH>
          </wp:anchor>
        </w:drawing>
      </w:r>
      <w:r w:rsidR="004C6745" w:rsidRPr="004C6745">
        <w:t>Figure 13</w:t>
      </w:r>
      <w:r w:rsidR="004C6745">
        <w:t>.</w:t>
      </w:r>
      <w:r w:rsidR="004C6745" w:rsidRPr="004C6745">
        <w:t xml:space="preserve"> Frequency of Type III and IV </w:t>
      </w:r>
      <w:r w:rsidR="00AA17FD">
        <w:t>Behavior</w:t>
      </w:r>
      <w:r w:rsidR="004C6745" w:rsidRPr="004C6745">
        <w:t>s within High-Income Group during 1993</w:t>
      </w:r>
      <w:r w:rsidR="009C4C75">
        <w:t>–</w:t>
      </w:r>
      <w:r w:rsidR="004C6745" w:rsidRPr="004C6745">
        <w:t>2016</w:t>
      </w:r>
      <w:bookmarkEnd w:id="17"/>
    </w:p>
    <w:p w14:paraId="226E68D1" w14:textId="6D9E2FF2" w:rsidR="004D469E" w:rsidRDefault="004D469E" w:rsidP="004C6745">
      <w:pPr>
        <w:pStyle w:val="FigureTableTitle"/>
        <w:rPr>
          <w:b w:val="0"/>
        </w:rPr>
      </w:pPr>
    </w:p>
    <w:p w14:paraId="68C90D4F" w14:textId="68CF4D75" w:rsidR="004C6745" w:rsidRPr="004C6745" w:rsidRDefault="004C6745" w:rsidP="004C6745">
      <w:pPr>
        <w:pStyle w:val="ArticleTextP2"/>
      </w:pPr>
      <w:r w:rsidRPr="004C6745">
        <w:t xml:space="preserve">The frequencies of Type III and IV </w:t>
      </w:r>
      <w:r w:rsidR="009C4C75" w:rsidRPr="004C6745">
        <w:t>behaviors</w:t>
      </w:r>
      <w:r w:rsidRPr="004C6745">
        <w:t xml:space="preserve"> are very low for within high-income provinces. One pair (</w:t>
      </w:r>
      <w:r w:rsidR="00E74790">
        <w:t>two</w:t>
      </w:r>
      <w:r w:rsidR="00E74790" w:rsidRPr="004C6745">
        <w:t xml:space="preserve"> </w:t>
      </w:r>
      <w:r w:rsidRPr="004C6745">
        <w:t>instances) in 1993</w:t>
      </w:r>
      <w:r w:rsidR="009C4C75">
        <w:t>–</w:t>
      </w:r>
      <w:r w:rsidR="00911FB1">
        <w:t>19</w:t>
      </w:r>
      <w:r w:rsidRPr="004C6745">
        <w:t>94 and five pairs (</w:t>
      </w:r>
      <w:r w:rsidR="00911FB1">
        <w:t>ten</w:t>
      </w:r>
      <w:r w:rsidR="00911FB1" w:rsidRPr="004C6745">
        <w:t xml:space="preserve"> </w:t>
      </w:r>
      <w:r w:rsidRPr="004C6745">
        <w:t>instances) in 2015</w:t>
      </w:r>
      <w:r w:rsidR="009C4C75">
        <w:t>–</w:t>
      </w:r>
      <w:r w:rsidR="00911FB1">
        <w:t>20</w:t>
      </w:r>
      <w:r w:rsidRPr="004C6745">
        <w:t xml:space="preserve">16 have shown switching </w:t>
      </w:r>
      <w:r w:rsidR="00AA17FD">
        <w:t>behavior</w:t>
      </w:r>
      <w:r w:rsidRPr="004C6745">
        <w:t>. This implies that the switching of places is very low within high-income provinces.</w:t>
      </w:r>
    </w:p>
    <w:p w14:paraId="065FB148" w14:textId="1EAB3142" w:rsidR="004C6745" w:rsidRPr="004C6745" w:rsidRDefault="004C6745" w:rsidP="004C6745">
      <w:pPr>
        <w:pStyle w:val="SubSubSectionTitle"/>
      </w:pPr>
      <w:r w:rsidRPr="004C6745">
        <w:t xml:space="preserve">Within Low-Income Group </w:t>
      </w:r>
    </w:p>
    <w:p w14:paraId="2020C1B8" w14:textId="26353726" w:rsidR="004C6745" w:rsidRDefault="004C6745" w:rsidP="004C6745">
      <w:pPr>
        <w:pStyle w:val="ArticleTextP2"/>
      </w:pPr>
      <w:r w:rsidRPr="004C6745">
        <w:t xml:space="preserve">The within low-income provincial convergence/divergence pattern is very different from what is shown in </w:t>
      </w:r>
      <w:r w:rsidR="00911FB1">
        <w:t>f</w:t>
      </w:r>
      <w:r w:rsidRPr="004C6745">
        <w:t xml:space="preserve">igure 9 for the whole sample. As shown in figure 14, until 2009 the patterns of convergence/divergence for low-income inland provinces are irregular and after 2009 there is a presence of higher instances of Type II </w:t>
      </w:r>
      <w:r w:rsidR="00AA17FD">
        <w:t>behavior</w:t>
      </w:r>
      <w:r w:rsidRPr="004C6745">
        <w:t xml:space="preserve"> of convergence without switching. Thus, the presence of convergence for the whole sample (</w:t>
      </w:r>
      <w:r w:rsidR="00E74790">
        <w:t>f</w:t>
      </w:r>
      <w:r w:rsidRPr="004C6745">
        <w:t>igure 9) after 2005 is mostly driven by high-income provinces’ higher instances of convergence (figure 12) and not inland provinces. This indicates that the reduction in disparity among provinces in China after 2005 is mostly due to a reduction in disparity within high-income provinces and not low-income provinces.</w:t>
      </w:r>
    </w:p>
    <w:p w14:paraId="7987825A" w14:textId="77777777" w:rsidR="00B275F1" w:rsidRPr="004C6745" w:rsidRDefault="00B275F1" w:rsidP="00B275F1">
      <w:pPr>
        <w:pStyle w:val="ArticleTextP2"/>
      </w:pPr>
      <w:r w:rsidRPr="004C6745">
        <w:t>The divergence within inland provinces poses higher risks for already poor inland regions because it could be the case that the poorest of the poor regions did not receive much attention to evolve and perform better</w:t>
      </w:r>
      <w:r>
        <w:t>,</w:t>
      </w:r>
      <w:r w:rsidRPr="004C6745">
        <w:t xml:space="preserve"> which led to a widening of the gap between rich and poor provinces. This seems to have gone unnoticed as literature only talks about the declining disparity between rich coastal and poor inland provinces from the mid-2000s. Between 2000 and 2008, the low-income provinces mostly show higher instances of divergence which indicate that some of the poorest of the poor regions have not performed well in terms of economic growth.</w:t>
      </w:r>
    </w:p>
    <w:p w14:paraId="30542947" w14:textId="77777777" w:rsidR="00250240" w:rsidRDefault="00250240" w:rsidP="00250240">
      <w:pPr>
        <w:pStyle w:val="ArticleTextP2"/>
      </w:pPr>
      <w:r w:rsidRPr="004C6745">
        <w:t xml:space="preserve">In the light of mobility dynamics, there has been a reasonable amount of switching places between the low-income provinces as shown in </w:t>
      </w:r>
      <w:r>
        <w:t>f</w:t>
      </w:r>
      <w:r w:rsidRPr="004C6745">
        <w:t xml:space="preserve">igure 15. This indicates that low-income provinces are showing attributes of intra-distributional mobility. Type III, which is convergence with switching indicates relatively high-income regions lag behind the relatively low-income region within the distribution. Type IV, which is divergence with switching, indicates some relatively low-income regions overtaking some relatively high-income regions within the distribution. Delving deeper into identifying the provinces that have demonstrated these two types of </w:t>
      </w:r>
      <w:r>
        <w:t>behavior</w:t>
      </w:r>
      <w:r w:rsidRPr="004C6745">
        <w:t xml:space="preserve"> would indicate which region is lagging behind and </w:t>
      </w:r>
      <w:r w:rsidRPr="004C6745">
        <w:lastRenderedPageBreak/>
        <w:t xml:space="preserve">which one is overtaking within the distribution. To shed more insights on identifying provinces lagging behind and overtaking, </w:t>
      </w:r>
      <w:r>
        <w:t>t</w:t>
      </w:r>
      <w:r w:rsidRPr="004C6745">
        <w:t>able 7 provides details on the name</w:t>
      </w:r>
      <w:r>
        <w:t>s</w:t>
      </w:r>
      <w:r w:rsidRPr="004C6745">
        <w:t xml:space="preserve"> of provinces that </w:t>
      </w:r>
      <w:r>
        <w:t>showed</w:t>
      </w:r>
      <w:r w:rsidRPr="004C6745">
        <w:t xml:space="preserve"> Type III and IV behaviors between 2004</w:t>
      </w:r>
      <w:r>
        <w:t>–20</w:t>
      </w:r>
      <w:r w:rsidRPr="004C6745">
        <w:t>05 and 2015</w:t>
      </w:r>
      <w:r>
        <w:t>–20</w:t>
      </w:r>
      <w:r w:rsidRPr="004C6745">
        <w:t xml:space="preserve">16. This period was chosen because during this period the whole sample analysis shows the prevalence of convergence. </w:t>
      </w:r>
      <w:r>
        <w:t xml:space="preserve">The table shows the frequency of pairs of provinces that exchanged places with other provinces during a time period. For instance, during 2006-2007, </w:t>
      </w:r>
      <w:r w:rsidRPr="00AB0028">
        <w:t>Chongqing</w:t>
      </w:r>
      <w:r>
        <w:t xml:space="preserve"> showed Type III behavior with one province and Type IV behavior with another province, indicating that this province has converged and diverged with two different provinces by exchanging positions with them. </w:t>
      </w:r>
    </w:p>
    <w:p w14:paraId="629179E7" w14:textId="77777777" w:rsidR="00B275F1" w:rsidRPr="004C6745" w:rsidRDefault="00B275F1" w:rsidP="004C6745">
      <w:pPr>
        <w:pStyle w:val="ArticleTextP2"/>
      </w:pPr>
    </w:p>
    <w:p w14:paraId="36DC7758" w14:textId="037071A2" w:rsidR="004C6745" w:rsidRDefault="004C6745" w:rsidP="004C6745">
      <w:pPr>
        <w:pStyle w:val="FigureTableTitle"/>
      </w:pPr>
      <w:bookmarkStart w:id="18" w:name="_Toc51247016"/>
      <w:r w:rsidRPr="004C6745">
        <w:t>Figure 14</w:t>
      </w:r>
      <w:r>
        <w:t>.</w:t>
      </w:r>
      <w:r w:rsidRPr="004C6745">
        <w:t xml:space="preserve"> Percentage of Instances of Types of </w:t>
      </w:r>
      <w:r w:rsidR="00AA17FD">
        <w:t>Behavior</w:t>
      </w:r>
      <w:r w:rsidRPr="004C6745">
        <w:t xml:space="preserve"> Exhibited by Provinces </w:t>
      </w:r>
    </w:p>
    <w:p w14:paraId="42B77BC2" w14:textId="109EAD5F" w:rsidR="00315786" w:rsidRDefault="00CC7725" w:rsidP="004C6745">
      <w:pPr>
        <w:pStyle w:val="FigureTableTitle"/>
      </w:pPr>
      <w:r>
        <w:drawing>
          <wp:anchor distT="0" distB="0" distL="114300" distR="114300" simplePos="0" relativeHeight="251684864" behindDoc="0" locked="0" layoutInCell="1" allowOverlap="1" wp14:anchorId="40ED0E61" wp14:editId="7B020781">
            <wp:simplePos x="0" y="0"/>
            <wp:positionH relativeFrom="margin">
              <wp:align>left</wp:align>
            </wp:positionH>
            <wp:positionV relativeFrom="paragraph">
              <wp:posOffset>312420</wp:posOffset>
            </wp:positionV>
            <wp:extent cx="4340225" cy="1637665"/>
            <wp:effectExtent l="0" t="0" r="3175" b="63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0225" cy="1637665"/>
                    </a:xfrm>
                    <a:prstGeom prst="rect">
                      <a:avLst/>
                    </a:prstGeom>
                    <a:noFill/>
                    <a:ln>
                      <a:noFill/>
                    </a:ln>
                  </pic:spPr>
                </pic:pic>
              </a:graphicData>
            </a:graphic>
            <wp14:sizeRelH relativeFrom="margin">
              <wp14:pctWidth>0</wp14:pctWidth>
            </wp14:sizeRelH>
          </wp:anchor>
        </w:drawing>
      </w:r>
    </w:p>
    <w:p w14:paraId="282C78A3" w14:textId="2374CB14" w:rsidR="004C6745" w:rsidRPr="004C6745" w:rsidRDefault="004C6745" w:rsidP="00CC7725">
      <w:pPr>
        <w:pStyle w:val="FigureSourceCaption"/>
        <w:rPr>
          <w:i w:val="0"/>
          <w:iCs/>
        </w:rPr>
      </w:pPr>
      <w:r w:rsidRPr="00CC7725">
        <w:rPr>
          <w:i w:val="0"/>
          <w:iCs/>
        </w:rPr>
        <w:t>Type I = Divergence without switching, Type II = Convergence without switching, Type III = Convergence with switching, Type IV = Divergence with switching.</w:t>
      </w:r>
      <w:bookmarkEnd w:id="18"/>
    </w:p>
    <w:p w14:paraId="79DF68D8" w14:textId="312F47C0" w:rsidR="004C6745" w:rsidRDefault="00A41E66" w:rsidP="004C6745">
      <w:pPr>
        <w:pStyle w:val="FigureTableTitle"/>
      </w:pPr>
      <w:bookmarkStart w:id="19" w:name="_Toc51247017"/>
      <w:r>
        <w:drawing>
          <wp:anchor distT="0" distB="0" distL="114300" distR="114300" simplePos="0" relativeHeight="251685888" behindDoc="0" locked="0" layoutInCell="1" allowOverlap="1" wp14:anchorId="1B08EDE4" wp14:editId="7DE04D70">
            <wp:simplePos x="0" y="0"/>
            <wp:positionH relativeFrom="margin">
              <wp:posOffset>-635</wp:posOffset>
            </wp:positionH>
            <wp:positionV relativeFrom="paragraph">
              <wp:posOffset>521970</wp:posOffset>
            </wp:positionV>
            <wp:extent cx="4369435" cy="1579880"/>
            <wp:effectExtent l="0" t="0" r="0" b="127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69435" cy="1579880"/>
                    </a:xfrm>
                    <a:prstGeom prst="rect">
                      <a:avLst/>
                    </a:prstGeom>
                    <a:noFill/>
                    <a:ln>
                      <a:noFill/>
                    </a:ln>
                  </pic:spPr>
                </pic:pic>
              </a:graphicData>
            </a:graphic>
            <wp14:sizeRelH relativeFrom="margin">
              <wp14:pctWidth>0</wp14:pctWidth>
            </wp14:sizeRelH>
          </wp:anchor>
        </w:drawing>
      </w:r>
      <w:r w:rsidR="004C6745" w:rsidRPr="004C6745">
        <w:t>Figure 15</w:t>
      </w:r>
      <w:r w:rsidR="004C6745">
        <w:t>.</w:t>
      </w:r>
      <w:r w:rsidR="004C6745" w:rsidRPr="004C6745">
        <w:t xml:space="preserve"> Frequency of Type III and IV Behaviors within Low-Income Group during 1993</w:t>
      </w:r>
      <w:r w:rsidR="009C4C75">
        <w:t>–</w:t>
      </w:r>
      <w:r w:rsidR="004C6745" w:rsidRPr="004C6745">
        <w:t>2016</w:t>
      </w:r>
      <w:bookmarkEnd w:id="19"/>
    </w:p>
    <w:p w14:paraId="738F7F80" w14:textId="40A39999" w:rsidR="00A41E66" w:rsidRDefault="00A41E66" w:rsidP="004C6745">
      <w:pPr>
        <w:pStyle w:val="FigureTableTitle"/>
        <w:rPr>
          <w:i/>
        </w:rPr>
      </w:pPr>
    </w:p>
    <w:p w14:paraId="38C5F1AA" w14:textId="2E03F4C5" w:rsidR="00A41E66" w:rsidRDefault="00A41E66" w:rsidP="004C6745">
      <w:pPr>
        <w:pStyle w:val="FigureTableTitle"/>
        <w:rPr>
          <w:i/>
        </w:rPr>
      </w:pPr>
    </w:p>
    <w:p w14:paraId="68D1F52B" w14:textId="07DAF3C2" w:rsidR="00A41E66" w:rsidRDefault="00A41E66" w:rsidP="004C6745">
      <w:pPr>
        <w:pStyle w:val="FigureTableTitle"/>
        <w:rPr>
          <w:i/>
        </w:rPr>
      </w:pPr>
    </w:p>
    <w:p w14:paraId="75C61604" w14:textId="095AE4C6" w:rsidR="00A41E66" w:rsidRDefault="00A41E66" w:rsidP="004C6745">
      <w:pPr>
        <w:pStyle w:val="FigureTableTitle"/>
        <w:rPr>
          <w:i/>
        </w:rPr>
      </w:pPr>
    </w:p>
    <w:p w14:paraId="5C7A1E6B" w14:textId="77777777" w:rsidR="007F600E" w:rsidRPr="004C6745" w:rsidRDefault="007F600E" w:rsidP="007F600E">
      <w:pPr>
        <w:pStyle w:val="ArticleTextP2"/>
      </w:pPr>
      <w:r w:rsidRPr="004C6745">
        <w:lastRenderedPageBreak/>
        <w:t>Table 7 indicates that recently, between 2013</w:t>
      </w:r>
      <w:r>
        <w:t>–20</w:t>
      </w:r>
      <w:r w:rsidRPr="004C6745">
        <w:t>14 and 2014</w:t>
      </w:r>
      <w:r>
        <w:t>–20</w:t>
      </w:r>
      <w:r w:rsidRPr="004C6745">
        <w:t xml:space="preserve">15, Hebei has shown Type III </w:t>
      </w:r>
      <w:r>
        <w:t>behavior</w:t>
      </w:r>
      <w:r w:rsidRPr="004C6745">
        <w:t xml:space="preserve"> indicating that it has lagged behind some provinces during these years. For the years between 2012 and 2016, the study did a detailed analysis on a few provinces listed below to identify which provinces lagged behind and overtook based on the instances of Type III and IV behaviors. </w:t>
      </w:r>
    </w:p>
    <w:p w14:paraId="53EDDE83" w14:textId="77777777" w:rsidR="007F600E" w:rsidRPr="004C6745" w:rsidRDefault="007F600E" w:rsidP="007F600E">
      <w:pPr>
        <w:pStyle w:val="ArticleTextP2"/>
      </w:pPr>
      <w:r w:rsidRPr="004C6745">
        <w:t xml:space="preserve">Hebei lagged behind Hainan from 2014 and Hunan from 2014. Shanxi overtook Henan in 2012 but lagged behind Henan since 2014. Anhui, Guangxi, Sichuan, and Jiangxi overtook Shanxi from 2015. Hunan overtook Shanxi from 2013. Therefore, comparing these five provinces, Shanxi has lagged behind all of these provinces—Henan, Anhui, Jiangxi, Guangxi, Sichuan, and Hunan in 2015. Thus, comprehensive details on lagging behind and stagnating regions is a strength of the X-convergence estimates. </w:t>
      </w:r>
    </w:p>
    <w:p w14:paraId="4C3D7629" w14:textId="35B70B35" w:rsidR="004C6745" w:rsidRPr="004C6745" w:rsidRDefault="004C6745" w:rsidP="004C6745">
      <w:pPr>
        <w:pStyle w:val="FigureTableTitle"/>
        <w:rPr>
          <w:i/>
        </w:rPr>
      </w:pPr>
      <w:bookmarkStart w:id="20" w:name="_Toc51535460"/>
      <w:r w:rsidRPr="004C6745">
        <w:t>Table 7</w:t>
      </w:r>
      <w:r>
        <w:t>.</w:t>
      </w:r>
      <w:r w:rsidRPr="004C6745">
        <w:t xml:space="preserve"> Names of </w:t>
      </w:r>
      <w:r w:rsidR="00E74790" w:rsidRPr="004C6745">
        <w:t xml:space="preserve">Provinces Changing Rank Order Positions </w:t>
      </w:r>
      <w:r w:rsidRPr="004C6745">
        <w:t>within Group</w:t>
      </w:r>
      <w:bookmarkEnd w:id="20"/>
      <w:r w:rsidRPr="004C6745">
        <w:t xml:space="preserve"> </w:t>
      </w:r>
    </w:p>
    <w:tbl>
      <w:tblPr>
        <w:tblStyle w:val="TableGrid"/>
        <w:tblW w:w="7366" w:type="dxa"/>
        <w:tblLook w:val="04A0" w:firstRow="1" w:lastRow="0" w:firstColumn="1" w:lastColumn="0" w:noHBand="0" w:noVBand="1"/>
      </w:tblPr>
      <w:tblGrid>
        <w:gridCol w:w="1129"/>
        <w:gridCol w:w="1276"/>
        <w:gridCol w:w="4961"/>
      </w:tblGrid>
      <w:tr w:rsidR="004C6745" w:rsidRPr="004C6745" w14:paraId="5BCCEDF6" w14:textId="77777777" w:rsidTr="00052D92">
        <w:tc>
          <w:tcPr>
            <w:tcW w:w="1129" w:type="dxa"/>
          </w:tcPr>
          <w:p w14:paraId="6CEAD7DC" w14:textId="1B1E77ED"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2004</w:t>
            </w:r>
            <w:r w:rsidR="009C4C75">
              <w:rPr>
                <w:rFonts w:ascii="GoudyOldSty" w:hAnsi="GoudyOldSty" w:cs="Arial"/>
                <w:sz w:val="18"/>
                <w:szCs w:val="18"/>
                <w:lang w:val="en-US"/>
              </w:rPr>
              <w:t>–</w:t>
            </w:r>
            <w:r w:rsidR="00911FB1">
              <w:rPr>
                <w:rFonts w:ascii="GoudyOldSty" w:hAnsi="GoudyOldSty" w:cs="Arial"/>
                <w:sz w:val="18"/>
                <w:szCs w:val="18"/>
                <w:lang w:val="en-US"/>
              </w:rPr>
              <w:t>20</w:t>
            </w:r>
            <w:r w:rsidRPr="004C6745">
              <w:rPr>
                <w:rFonts w:ascii="GoudyOldSty" w:hAnsi="GoudyOldSty" w:cs="Arial"/>
                <w:sz w:val="18"/>
                <w:szCs w:val="18"/>
                <w:lang w:val="en-US"/>
              </w:rPr>
              <w:t>05</w:t>
            </w:r>
          </w:p>
        </w:tc>
        <w:tc>
          <w:tcPr>
            <w:tcW w:w="1276" w:type="dxa"/>
          </w:tcPr>
          <w:p w14:paraId="08681261"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III</w:t>
            </w:r>
          </w:p>
        </w:tc>
        <w:tc>
          <w:tcPr>
            <w:tcW w:w="4961" w:type="dxa"/>
          </w:tcPr>
          <w:p w14:paraId="1B95C5AB"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Guangxi, Hainan, Chongqing, Anhui, Henan</w:t>
            </w:r>
          </w:p>
        </w:tc>
      </w:tr>
      <w:tr w:rsidR="004C6745" w:rsidRPr="004C6745" w14:paraId="76BDA7BB" w14:textId="77777777" w:rsidTr="00052D92">
        <w:tc>
          <w:tcPr>
            <w:tcW w:w="1129" w:type="dxa"/>
          </w:tcPr>
          <w:p w14:paraId="5FD1E316" w14:textId="77777777" w:rsidR="004C6745" w:rsidRPr="004C6745" w:rsidRDefault="004C6745" w:rsidP="004C6745">
            <w:pPr>
              <w:spacing w:line="200" w:lineRule="exact"/>
              <w:rPr>
                <w:rFonts w:ascii="GoudyOldSty" w:hAnsi="GoudyOldSty" w:cs="Arial"/>
                <w:sz w:val="18"/>
                <w:szCs w:val="18"/>
                <w:lang w:val="en-US"/>
              </w:rPr>
            </w:pPr>
          </w:p>
        </w:tc>
        <w:tc>
          <w:tcPr>
            <w:tcW w:w="1276" w:type="dxa"/>
          </w:tcPr>
          <w:p w14:paraId="1201B257"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IV</w:t>
            </w:r>
          </w:p>
        </w:tc>
        <w:tc>
          <w:tcPr>
            <w:tcW w:w="4961" w:type="dxa"/>
          </w:tcPr>
          <w:p w14:paraId="662363EF" w14:textId="77777777" w:rsidR="004C6745" w:rsidRPr="004C6745" w:rsidRDefault="004C6745" w:rsidP="004C6745">
            <w:pPr>
              <w:spacing w:line="200" w:lineRule="exact"/>
              <w:jc w:val="both"/>
              <w:rPr>
                <w:rFonts w:ascii="GoudyOldSty" w:hAnsi="GoudyOldSty" w:cs="Arial"/>
                <w:sz w:val="18"/>
                <w:szCs w:val="18"/>
                <w:lang w:val="en-US"/>
              </w:rPr>
            </w:pPr>
            <w:r w:rsidRPr="004C6745">
              <w:rPr>
                <w:rFonts w:ascii="GoudyOldSty" w:hAnsi="GoudyOldSty" w:cs="Arial"/>
                <w:sz w:val="18"/>
                <w:szCs w:val="18"/>
                <w:lang w:val="en-US"/>
              </w:rPr>
              <w:t>Tibet, Ningxia, Jiangxi, Hunan</w:t>
            </w:r>
          </w:p>
        </w:tc>
      </w:tr>
      <w:tr w:rsidR="004C6745" w:rsidRPr="004C6745" w14:paraId="5E9B3F44" w14:textId="77777777" w:rsidTr="00052D92">
        <w:tc>
          <w:tcPr>
            <w:tcW w:w="1129" w:type="dxa"/>
          </w:tcPr>
          <w:p w14:paraId="64D89DF4" w14:textId="588B824C"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2005</w:t>
            </w:r>
            <w:r w:rsidR="009C4C75">
              <w:rPr>
                <w:rFonts w:ascii="GoudyOldSty" w:hAnsi="GoudyOldSty" w:cs="Arial"/>
                <w:sz w:val="18"/>
                <w:szCs w:val="18"/>
                <w:lang w:val="en-US"/>
              </w:rPr>
              <w:t>–</w:t>
            </w:r>
            <w:r w:rsidR="00911FB1">
              <w:rPr>
                <w:rFonts w:ascii="GoudyOldSty" w:hAnsi="GoudyOldSty" w:cs="Arial"/>
                <w:sz w:val="18"/>
                <w:szCs w:val="18"/>
                <w:lang w:val="en-US"/>
              </w:rPr>
              <w:t>20</w:t>
            </w:r>
            <w:r w:rsidRPr="004C6745">
              <w:rPr>
                <w:rFonts w:ascii="GoudyOldSty" w:hAnsi="GoudyOldSty" w:cs="Arial"/>
                <w:sz w:val="18"/>
                <w:szCs w:val="18"/>
                <w:lang w:val="en-US"/>
              </w:rPr>
              <w:t>06</w:t>
            </w:r>
          </w:p>
        </w:tc>
        <w:tc>
          <w:tcPr>
            <w:tcW w:w="1276" w:type="dxa"/>
          </w:tcPr>
          <w:p w14:paraId="65307E91"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III</w:t>
            </w:r>
          </w:p>
        </w:tc>
        <w:tc>
          <w:tcPr>
            <w:tcW w:w="4961" w:type="dxa"/>
          </w:tcPr>
          <w:p w14:paraId="10747438"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Qinghai, Shaanxi</w:t>
            </w:r>
          </w:p>
        </w:tc>
      </w:tr>
      <w:tr w:rsidR="004C6745" w:rsidRPr="004C6745" w14:paraId="1648561F" w14:textId="77777777" w:rsidTr="00052D92">
        <w:tc>
          <w:tcPr>
            <w:tcW w:w="1129" w:type="dxa"/>
          </w:tcPr>
          <w:p w14:paraId="04D6F304" w14:textId="77777777" w:rsidR="004C6745" w:rsidRPr="004C6745" w:rsidRDefault="004C6745" w:rsidP="004C6745">
            <w:pPr>
              <w:spacing w:line="200" w:lineRule="exact"/>
              <w:rPr>
                <w:rFonts w:ascii="GoudyOldSty" w:hAnsi="GoudyOldSty" w:cs="Arial"/>
                <w:sz w:val="18"/>
                <w:szCs w:val="18"/>
                <w:lang w:val="en-US"/>
              </w:rPr>
            </w:pPr>
          </w:p>
        </w:tc>
        <w:tc>
          <w:tcPr>
            <w:tcW w:w="1276" w:type="dxa"/>
          </w:tcPr>
          <w:p w14:paraId="453595BA"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IV</w:t>
            </w:r>
          </w:p>
        </w:tc>
        <w:tc>
          <w:tcPr>
            <w:tcW w:w="4961" w:type="dxa"/>
          </w:tcPr>
          <w:p w14:paraId="33BDE008"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Henan, Hubei, Chongqing, Hainan, Tibet, Sichuan</w:t>
            </w:r>
          </w:p>
        </w:tc>
      </w:tr>
      <w:tr w:rsidR="004C6745" w:rsidRPr="004C6745" w14:paraId="02DABE12" w14:textId="77777777" w:rsidTr="00052D92">
        <w:tc>
          <w:tcPr>
            <w:tcW w:w="1129" w:type="dxa"/>
          </w:tcPr>
          <w:p w14:paraId="701C941D" w14:textId="4BAC6DED"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2006</w:t>
            </w:r>
            <w:r w:rsidR="009C4C75">
              <w:rPr>
                <w:rFonts w:ascii="GoudyOldSty" w:hAnsi="GoudyOldSty" w:cs="Arial"/>
                <w:sz w:val="18"/>
                <w:szCs w:val="18"/>
                <w:lang w:val="en-US"/>
              </w:rPr>
              <w:t>–</w:t>
            </w:r>
            <w:r w:rsidR="00911FB1">
              <w:rPr>
                <w:rFonts w:ascii="GoudyOldSty" w:hAnsi="GoudyOldSty" w:cs="Arial"/>
                <w:sz w:val="18"/>
                <w:szCs w:val="18"/>
                <w:lang w:val="en-US"/>
              </w:rPr>
              <w:t>20</w:t>
            </w:r>
            <w:r w:rsidRPr="004C6745">
              <w:rPr>
                <w:rFonts w:ascii="GoudyOldSty" w:hAnsi="GoudyOldSty" w:cs="Arial"/>
                <w:sz w:val="18"/>
                <w:szCs w:val="18"/>
                <w:lang w:val="en-US"/>
              </w:rPr>
              <w:t>07</w:t>
            </w:r>
          </w:p>
        </w:tc>
        <w:tc>
          <w:tcPr>
            <w:tcW w:w="1276" w:type="dxa"/>
          </w:tcPr>
          <w:p w14:paraId="136B06DD"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III</w:t>
            </w:r>
          </w:p>
        </w:tc>
        <w:tc>
          <w:tcPr>
            <w:tcW w:w="4961" w:type="dxa"/>
          </w:tcPr>
          <w:p w14:paraId="0BF2F62C"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Xinjiang, Chongqing, Shaanxi, Ningxia, Henan, Hubei, Gansu, Hainan, Yunnan</w:t>
            </w:r>
          </w:p>
        </w:tc>
      </w:tr>
      <w:tr w:rsidR="004C6745" w:rsidRPr="004C6745" w14:paraId="0B00F4CF" w14:textId="77777777" w:rsidTr="00052D92">
        <w:tc>
          <w:tcPr>
            <w:tcW w:w="1129" w:type="dxa"/>
          </w:tcPr>
          <w:p w14:paraId="1CBA61FA" w14:textId="77777777" w:rsidR="004C6745" w:rsidRPr="004C6745" w:rsidRDefault="004C6745" w:rsidP="004C6745">
            <w:pPr>
              <w:spacing w:line="200" w:lineRule="exact"/>
              <w:rPr>
                <w:rFonts w:ascii="GoudyOldSty" w:hAnsi="GoudyOldSty" w:cs="Arial"/>
                <w:sz w:val="18"/>
                <w:szCs w:val="18"/>
                <w:lang w:val="en-US"/>
              </w:rPr>
            </w:pPr>
          </w:p>
        </w:tc>
        <w:tc>
          <w:tcPr>
            <w:tcW w:w="1276" w:type="dxa"/>
          </w:tcPr>
          <w:p w14:paraId="354D7875"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IV</w:t>
            </w:r>
          </w:p>
        </w:tc>
        <w:tc>
          <w:tcPr>
            <w:tcW w:w="4961" w:type="dxa"/>
          </w:tcPr>
          <w:p w14:paraId="7812F9AA" w14:textId="77777777" w:rsidR="004C6745" w:rsidRPr="004C6745" w:rsidRDefault="004C6745" w:rsidP="004C6745">
            <w:pPr>
              <w:spacing w:line="200" w:lineRule="exact"/>
              <w:rPr>
                <w:rFonts w:ascii="GoudyOldSty" w:hAnsi="GoudyOldSty"/>
                <w:b/>
                <w:sz w:val="18"/>
                <w:szCs w:val="18"/>
                <w:lang w:val="en-US"/>
              </w:rPr>
            </w:pPr>
            <w:r w:rsidRPr="004C6745">
              <w:rPr>
                <w:rFonts w:ascii="GoudyOldSty" w:hAnsi="GoudyOldSty" w:cs="Arial"/>
                <w:sz w:val="18"/>
                <w:szCs w:val="18"/>
                <w:lang w:val="en-US"/>
              </w:rPr>
              <w:t>Jilin, Heilongjiang, Henan, Hubei, Shaanxi, Ningxia, Tibet, Chongqing, Hainan, Guangxi, Hunan</w:t>
            </w:r>
          </w:p>
        </w:tc>
      </w:tr>
      <w:tr w:rsidR="004C6745" w:rsidRPr="004C6745" w14:paraId="6E4A4E84" w14:textId="77777777" w:rsidTr="00052D92">
        <w:tc>
          <w:tcPr>
            <w:tcW w:w="1129" w:type="dxa"/>
          </w:tcPr>
          <w:p w14:paraId="3EBC5B07" w14:textId="511E37B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2007</w:t>
            </w:r>
            <w:r w:rsidR="009C4C75">
              <w:rPr>
                <w:rFonts w:ascii="GoudyOldSty" w:hAnsi="GoudyOldSty" w:cs="Arial"/>
                <w:sz w:val="18"/>
                <w:szCs w:val="18"/>
                <w:lang w:val="en-US"/>
              </w:rPr>
              <w:t>–</w:t>
            </w:r>
            <w:r w:rsidR="00911FB1">
              <w:rPr>
                <w:rFonts w:ascii="GoudyOldSty" w:hAnsi="GoudyOldSty" w:cs="Arial"/>
                <w:sz w:val="18"/>
                <w:szCs w:val="18"/>
                <w:lang w:val="en-US"/>
              </w:rPr>
              <w:t>20</w:t>
            </w:r>
            <w:r w:rsidRPr="004C6745">
              <w:rPr>
                <w:rFonts w:ascii="GoudyOldSty" w:hAnsi="GoudyOldSty" w:cs="Arial"/>
                <w:sz w:val="18"/>
                <w:szCs w:val="18"/>
                <w:lang w:val="en-US"/>
              </w:rPr>
              <w:t>08</w:t>
            </w:r>
          </w:p>
        </w:tc>
        <w:tc>
          <w:tcPr>
            <w:tcW w:w="1276" w:type="dxa"/>
          </w:tcPr>
          <w:p w14:paraId="5AFCED5D"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III</w:t>
            </w:r>
          </w:p>
        </w:tc>
        <w:tc>
          <w:tcPr>
            <w:tcW w:w="4961" w:type="dxa"/>
          </w:tcPr>
          <w:p w14:paraId="342AF01D"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 xml:space="preserve">Shaanxi, Ningxia, Xinjiang, Qinghai, Henan, Hunan, Hubei </w:t>
            </w:r>
          </w:p>
        </w:tc>
      </w:tr>
      <w:tr w:rsidR="004C6745" w:rsidRPr="004C6745" w14:paraId="266AB82E" w14:textId="77777777" w:rsidTr="00052D92">
        <w:tc>
          <w:tcPr>
            <w:tcW w:w="1129" w:type="dxa"/>
          </w:tcPr>
          <w:p w14:paraId="33B310D2" w14:textId="77777777" w:rsidR="004C6745" w:rsidRPr="004C6745" w:rsidRDefault="004C6745" w:rsidP="004C6745">
            <w:pPr>
              <w:spacing w:line="200" w:lineRule="exact"/>
              <w:rPr>
                <w:rFonts w:ascii="GoudyOldSty" w:hAnsi="GoudyOldSty" w:cs="Arial"/>
                <w:sz w:val="18"/>
                <w:szCs w:val="18"/>
                <w:lang w:val="en-US"/>
              </w:rPr>
            </w:pPr>
          </w:p>
        </w:tc>
        <w:tc>
          <w:tcPr>
            <w:tcW w:w="1276" w:type="dxa"/>
          </w:tcPr>
          <w:p w14:paraId="77990D4C"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IV</w:t>
            </w:r>
          </w:p>
        </w:tc>
        <w:tc>
          <w:tcPr>
            <w:tcW w:w="4961" w:type="dxa"/>
          </w:tcPr>
          <w:p w14:paraId="45A0019D"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Jilin, Hebei, Tibet, Hainan, Hunan, Qinghai, Xinjiang, Gansu, Anhui, Yunnan, Hainan, Chongqing</w:t>
            </w:r>
          </w:p>
        </w:tc>
      </w:tr>
      <w:tr w:rsidR="004C6745" w:rsidRPr="004C6745" w14:paraId="241E8288" w14:textId="77777777" w:rsidTr="00052D92">
        <w:tc>
          <w:tcPr>
            <w:tcW w:w="1129" w:type="dxa"/>
          </w:tcPr>
          <w:p w14:paraId="672895E0" w14:textId="06D98A49"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2008</w:t>
            </w:r>
            <w:r w:rsidR="009C4C75">
              <w:rPr>
                <w:rFonts w:ascii="GoudyOldSty" w:hAnsi="GoudyOldSty" w:cs="Arial"/>
                <w:sz w:val="18"/>
                <w:szCs w:val="18"/>
                <w:lang w:val="en-US"/>
              </w:rPr>
              <w:t>–</w:t>
            </w:r>
            <w:r w:rsidR="00911FB1">
              <w:rPr>
                <w:rFonts w:ascii="GoudyOldSty" w:hAnsi="GoudyOldSty" w:cs="Arial"/>
                <w:sz w:val="18"/>
                <w:szCs w:val="18"/>
                <w:lang w:val="en-US"/>
              </w:rPr>
              <w:t>20</w:t>
            </w:r>
            <w:r w:rsidRPr="004C6745">
              <w:rPr>
                <w:rFonts w:ascii="GoudyOldSty" w:hAnsi="GoudyOldSty" w:cs="Arial"/>
                <w:sz w:val="18"/>
                <w:szCs w:val="18"/>
                <w:lang w:val="en-US"/>
              </w:rPr>
              <w:t>09</w:t>
            </w:r>
          </w:p>
        </w:tc>
        <w:tc>
          <w:tcPr>
            <w:tcW w:w="1276" w:type="dxa"/>
          </w:tcPr>
          <w:p w14:paraId="1B0A9210"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III</w:t>
            </w:r>
          </w:p>
        </w:tc>
        <w:tc>
          <w:tcPr>
            <w:tcW w:w="4961" w:type="dxa"/>
          </w:tcPr>
          <w:p w14:paraId="7F922190"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Hubei, Shaanxi, Ningxia, Hubei, Chongqing, Sichuan, Shaanxi, Heilongjiang, Xinjiang, Heilongjiang, Jiangxi, Shaanxi, Hunan</w:t>
            </w:r>
          </w:p>
        </w:tc>
      </w:tr>
      <w:tr w:rsidR="004C6745" w:rsidRPr="004C6745" w14:paraId="11F945DF" w14:textId="77777777" w:rsidTr="00052D92">
        <w:tc>
          <w:tcPr>
            <w:tcW w:w="1129" w:type="dxa"/>
          </w:tcPr>
          <w:p w14:paraId="41826091" w14:textId="77777777" w:rsidR="004C6745" w:rsidRPr="004C6745" w:rsidRDefault="004C6745" w:rsidP="004C6745">
            <w:pPr>
              <w:spacing w:line="200" w:lineRule="exact"/>
              <w:rPr>
                <w:rFonts w:ascii="GoudyOldSty" w:hAnsi="GoudyOldSty" w:cs="Arial"/>
                <w:sz w:val="18"/>
                <w:szCs w:val="18"/>
                <w:lang w:val="en-US"/>
              </w:rPr>
            </w:pPr>
          </w:p>
        </w:tc>
        <w:tc>
          <w:tcPr>
            <w:tcW w:w="1276" w:type="dxa"/>
          </w:tcPr>
          <w:p w14:paraId="41BF6741"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IV</w:t>
            </w:r>
          </w:p>
        </w:tc>
        <w:tc>
          <w:tcPr>
            <w:tcW w:w="4961" w:type="dxa"/>
          </w:tcPr>
          <w:p w14:paraId="66E8F483"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Chongqing, Guangxi, Xinjiang, Qinghai, Anhui, Shaanxi, Xinjiang, Hunan, Henan, Ningxia</w:t>
            </w:r>
          </w:p>
        </w:tc>
      </w:tr>
      <w:tr w:rsidR="004C6745" w:rsidRPr="004C6745" w14:paraId="456BCDDF" w14:textId="77777777" w:rsidTr="00052D92">
        <w:tc>
          <w:tcPr>
            <w:tcW w:w="1129" w:type="dxa"/>
          </w:tcPr>
          <w:p w14:paraId="22FA2E4A" w14:textId="0E788618"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2009</w:t>
            </w:r>
            <w:r w:rsidR="009C4C75">
              <w:rPr>
                <w:rFonts w:ascii="GoudyOldSty" w:hAnsi="GoudyOldSty" w:cs="Arial"/>
                <w:sz w:val="18"/>
                <w:szCs w:val="18"/>
                <w:lang w:val="en-US"/>
              </w:rPr>
              <w:t>–</w:t>
            </w:r>
            <w:r w:rsidR="00911FB1">
              <w:rPr>
                <w:rFonts w:ascii="GoudyOldSty" w:hAnsi="GoudyOldSty" w:cs="Arial"/>
                <w:sz w:val="18"/>
                <w:szCs w:val="18"/>
                <w:lang w:val="en-US"/>
              </w:rPr>
              <w:t>20</w:t>
            </w:r>
            <w:r w:rsidRPr="004C6745">
              <w:rPr>
                <w:rFonts w:ascii="GoudyOldSty" w:hAnsi="GoudyOldSty" w:cs="Arial"/>
                <w:sz w:val="18"/>
                <w:szCs w:val="18"/>
                <w:lang w:val="en-US"/>
              </w:rPr>
              <w:t>10</w:t>
            </w:r>
          </w:p>
        </w:tc>
        <w:tc>
          <w:tcPr>
            <w:tcW w:w="1276" w:type="dxa"/>
          </w:tcPr>
          <w:p w14:paraId="72CEA226"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III</w:t>
            </w:r>
          </w:p>
        </w:tc>
        <w:tc>
          <w:tcPr>
            <w:tcW w:w="4961" w:type="dxa"/>
          </w:tcPr>
          <w:p w14:paraId="7C2F80C4"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Shaanxi, Xinjiang, Heilongjiang, Hunan, Henan</w:t>
            </w:r>
          </w:p>
        </w:tc>
      </w:tr>
      <w:tr w:rsidR="004C6745" w:rsidRPr="004C6745" w14:paraId="098FFE77" w14:textId="77777777" w:rsidTr="00052D92">
        <w:tc>
          <w:tcPr>
            <w:tcW w:w="1129" w:type="dxa"/>
          </w:tcPr>
          <w:p w14:paraId="53C5C8CA" w14:textId="77777777" w:rsidR="004C6745" w:rsidRPr="004C6745" w:rsidRDefault="004C6745" w:rsidP="004C6745">
            <w:pPr>
              <w:spacing w:line="200" w:lineRule="exact"/>
              <w:rPr>
                <w:rFonts w:ascii="GoudyOldSty" w:hAnsi="GoudyOldSty" w:cs="Arial"/>
                <w:sz w:val="18"/>
                <w:szCs w:val="18"/>
                <w:lang w:val="en-US"/>
              </w:rPr>
            </w:pPr>
          </w:p>
        </w:tc>
        <w:tc>
          <w:tcPr>
            <w:tcW w:w="1276" w:type="dxa"/>
          </w:tcPr>
          <w:p w14:paraId="65B4D2FC"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IV</w:t>
            </w:r>
          </w:p>
        </w:tc>
        <w:tc>
          <w:tcPr>
            <w:tcW w:w="4961" w:type="dxa"/>
          </w:tcPr>
          <w:p w14:paraId="650EF313"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Sichuan, Hunan, Chongqing, Henan, Hubei, Jiangxi, Gansu, Yunnan</w:t>
            </w:r>
          </w:p>
        </w:tc>
      </w:tr>
      <w:tr w:rsidR="004C6745" w:rsidRPr="004C6745" w14:paraId="64AFA50F" w14:textId="77777777" w:rsidTr="00052D92">
        <w:tc>
          <w:tcPr>
            <w:tcW w:w="1129" w:type="dxa"/>
          </w:tcPr>
          <w:p w14:paraId="7421D78B" w14:textId="2D137F1F"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2010</w:t>
            </w:r>
            <w:r w:rsidR="009C4C75">
              <w:rPr>
                <w:rFonts w:ascii="GoudyOldSty" w:hAnsi="GoudyOldSty" w:cs="Arial"/>
                <w:sz w:val="18"/>
                <w:szCs w:val="18"/>
                <w:lang w:val="en-US"/>
              </w:rPr>
              <w:t>–</w:t>
            </w:r>
            <w:r w:rsidRPr="004C6745">
              <w:rPr>
                <w:rFonts w:ascii="GoudyOldSty" w:hAnsi="GoudyOldSty" w:cs="Arial"/>
                <w:sz w:val="18"/>
                <w:szCs w:val="18"/>
                <w:lang w:val="en-US"/>
              </w:rPr>
              <w:t>1</w:t>
            </w:r>
            <w:r w:rsidR="00911FB1">
              <w:rPr>
                <w:rFonts w:ascii="GoudyOldSty" w:hAnsi="GoudyOldSty" w:cs="Arial"/>
                <w:sz w:val="18"/>
                <w:szCs w:val="18"/>
                <w:lang w:val="en-US"/>
              </w:rPr>
              <w:t>20</w:t>
            </w:r>
            <w:r w:rsidRPr="004C6745">
              <w:rPr>
                <w:rFonts w:ascii="GoudyOldSty" w:hAnsi="GoudyOldSty" w:cs="Arial"/>
                <w:sz w:val="18"/>
                <w:szCs w:val="18"/>
                <w:lang w:val="en-US"/>
              </w:rPr>
              <w:t>1</w:t>
            </w:r>
          </w:p>
        </w:tc>
        <w:tc>
          <w:tcPr>
            <w:tcW w:w="1276" w:type="dxa"/>
          </w:tcPr>
          <w:p w14:paraId="5156F82A"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III</w:t>
            </w:r>
          </w:p>
        </w:tc>
        <w:tc>
          <w:tcPr>
            <w:tcW w:w="4961" w:type="dxa"/>
          </w:tcPr>
          <w:p w14:paraId="107B4917" w14:textId="7B4A0891"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Hubei, Chongqing, Ningxia, Hainan, Hebei, Hubei, Henan, Heilongjiang</w:t>
            </w:r>
            <w:r w:rsidR="002359AE">
              <w:rPr>
                <w:rFonts w:ascii="GoudyOldSty" w:hAnsi="GoudyOldSty" w:cs="Arial"/>
                <w:sz w:val="18"/>
                <w:szCs w:val="18"/>
                <w:lang w:val="en-US"/>
              </w:rPr>
              <w:t xml:space="preserve"> </w:t>
            </w:r>
          </w:p>
        </w:tc>
      </w:tr>
      <w:tr w:rsidR="004C6745" w:rsidRPr="004C6745" w14:paraId="4039B22E" w14:textId="77777777" w:rsidTr="00052D92">
        <w:tc>
          <w:tcPr>
            <w:tcW w:w="1129" w:type="dxa"/>
          </w:tcPr>
          <w:p w14:paraId="415C2902" w14:textId="77777777" w:rsidR="004C6745" w:rsidRPr="004C6745" w:rsidRDefault="004C6745" w:rsidP="004C6745">
            <w:pPr>
              <w:spacing w:line="200" w:lineRule="exact"/>
              <w:rPr>
                <w:rFonts w:ascii="GoudyOldSty" w:hAnsi="GoudyOldSty" w:cs="Arial"/>
                <w:sz w:val="18"/>
                <w:szCs w:val="18"/>
                <w:lang w:val="en-US"/>
              </w:rPr>
            </w:pPr>
          </w:p>
        </w:tc>
        <w:tc>
          <w:tcPr>
            <w:tcW w:w="1276" w:type="dxa"/>
          </w:tcPr>
          <w:p w14:paraId="079E1589"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IV</w:t>
            </w:r>
          </w:p>
        </w:tc>
        <w:tc>
          <w:tcPr>
            <w:tcW w:w="4961" w:type="dxa"/>
          </w:tcPr>
          <w:p w14:paraId="56ACDA25"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Qinghai, Henan</w:t>
            </w:r>
          </w:p>
        </w:tc>
      </w:tr>
      <w:tr w:rsidR="004C6745" w:rsidRPr="004C6745" w14:paraId="53C4D973" w14:textId="77777777" w:rsidTr="00052D92">
        <w:tc>
          <w:tcPr>
            <w:tcW w:w="1129" w:type="dxa"/>
          </w:tcPr>
          <w:p w14:paraId="00756868" w14:textId="11CDC2D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2011</w:t>
            </w:r>
            <w:r w:rsidR="009C4C75">
              <w:rPr>
                <w:rFonts w:ascii="GoudyOldSty" w:hAnsi="GoudyOldSty" w:cs="Arial"/>
                <w:sz w:val="18"/>
                <w:szCs w:val="18"/>
                <w:lang w:val="en-US"/>
              </w:rPr>
              <w:t>–</w:t>
            </w:r>
            <w:r w:rsidR="00911FB1">
              <w:rPr>
                <w:rFonts w:ascii="GoudyOldSty" w:hAnsi="GoudyOldSty" w:cs="Arial"/>
                <w:sz w:val="18"/>
                <w:szCs w:val="18"/>
                <w:lang w:val="en-US"/>
              </w:rPr>
              <w:t>20</w:t>
            </w:r>
            <w:r w:rsidRPr="004C6745">
              <w:rPr>
                <w:rFonts w:ascii="GoudyOldSty" w:hAnsi="GoudyOldSty" w:cs="Arial"/>
                <w:sz w:val="18"/>
                <w:szCs w:val="18"/>
                <w:lang w:val="en-US"/>
              </w:rPr>
              <w:t>12</w:t>
            </w:r>
          </w:p>
        </w:tc>
        <w:tc>
          <w:tcPr>
            <w:tcW w:w="1276" w:type="dxa"/>
          </w:tcPr>
          <w:p w14:paraId="3332FB27"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III</w:t>
            </w:r>
          </w:p>
        </w:tc>
        <w:tc>
          <w:tcPr>
            <w:tcW w:w="4961" w:type="dxa"/>
          </w:tcPr>
          <w:p w14:paraId="45D9E8CD"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Xinjiang, Gansu, Yunnan, Shaanxi</w:t>
            </w:r>
          </w:p>
        </w:tc>
      </w:tr>
      <w:tr w:rsidR="004C6745" w:rsidRPr="004C6745" w14:paraId="1C00E551" w14:textId="77777777" w:rsidTr="00052D92">
        <w:tc>
          <w:tcPr>
            <w:tcW w:w="1129" w:type="dxa"/>
          </w:tcPr>
          <w:p w14:paraId="41D6F22F" w14:textId="77777777" w:rsidR="004C6745" w:rsidRPr="004C6745" w:rsidRDefault="004C6745" w:rsidP="004C6745">
            <w:pPr>
              <w:spacing w:line="200" w:lineRule="exact"/>
              <w:rPr>
                <w:rFonts w:ascii="GoudyOldSty" w:hAnsi="GoudyOldSty" w:cs="Arial"/>
                <w:sz w:val="18"/>
                <w:szCs w:val="18"/>
                <w:lang w:val="en-US"/>
              </w:rPr>
            </w:pPr>
          </w:p>
        </w:tc>
        <w:tc>
          <w:tcPr>
            <w:tcW w:w="1276" w:type="dxa"/>
          </w:tcPr>
          <w:p w14:paraId="6E15D402"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IV</w:t>
            </w:r>
          </w:p>
        </w:tc>
        <w:tc>
          <w:tcPr>
            <w:tcW w:w="4961" w:type="dxa"/>
          </w:tcPr>
          <w:p w14:paraId="56732FE2"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Shaanxi, Sichuan, Jiangxi, Hebei</w:t>
            </w:r>
          </w:p>
        </w:tc>
      </w:tr>
      <w:tr w:rsidR="004C6745" w:rsidRPr="004C6745" w14:paraId="5A691656" w14:textId="77777777" w:rsidTr="00052D92">
        <w:tc>
          <w:tcPr>
            <w:tcW w:w="1129" w:type="dxa"/>
          </w:tcPr>
          <w:p w14:paraId="696A23B3" w14:textId="446BCA54"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2012</w:t>
            </w:r>
            <w:r w:rsidR="009C4C75">
              <w:rPr>
                <w:rFonts w:ascii="GoudyOldSty" w:hAnsi="GoudyOldSty" w:cs="Arial"/>
                <w:sz w:val="18"/>
                <w:szCs w:val="18"/>
                <w:lang w:val="en-US"/>
              </w:rPr>
              <w:t>–</w:t>
            </w:r>
            <w:r w:rsidR="00911FB1">
              <w:rPr>
                <w:rFonts w:ascii="GoudyOldSty" w:hAnsi="GoudyOldSty" w:cs="Arial"/>
                <w:sz w:val="18"/>
                <w:szCs w:val="18"/>
                <w:lang w:val="en-US"/>
              </w:rPr>
              <w:t>20</w:t>
            </w:r>
            <w:r w:rsidRPr="004C6745">
              <w:rPr>
                <w:rFonts w:ascii="GoudyOldSty" w:hAnsi="GoudyOldSty" w:cs="Arial"/>
                <w:sz w:val="18"/>
                <w:szCs w:val="18"/>
                <w:lang w:val="en-US"/>
              </w:rPr>
              <w:t>13</w:t>
            </w:r>
          </w:p>
        </w:tc>
        <w:tc>
          <w:tcPr>
            <w:tcW w:w="1276" w:type="dxa"/>
          </w:tcPr>
          <w:p w14:paraId="27E86A9D"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III</w:t>
            </w:r>
          </w:p>
        </w:tc>
        <w:tc>
          <w:tcPr>
            <w:tcW w:w="4961" w:type="dxa"/>
          </w:tcPr>
          <w:p w14:paraId="1A4EC1AF"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Hainan, Shanxi</w:t>
            </w:r>
          </w:p>
        </w:tc>
      </w:tr>
      <w:tr w:rsidR="004C6745" w:rsidRPr="004C6745" w14:paraId="724AB6D3" w14:textId="77777777" w:rsidTr="00052D92">
        <w:tc>
          <w:tcPr>
            <w:tcW w:w="1129" w:type="dxa"/>
          </w:tcPr>
          <w:p w14:paraId="0C8AD130" w14:textId="77777777" w:rsidR="004C6745" w:rsidRPr="004C6745" w:rsidRDefault="004C6745" w:rsidP="004C6745">
            <w:pPr>
              <w:spacing w:line="200" w:lineRule="exact"/>
              <w:rPr>
                <w:rFonts w:ascii="GoudyOldSty" w:hAnsi="GoudyOldSty" w:cs="Arial"/>
                <w:sz w:val="18"/>
                <w:szCs w:val="18"/>
                <w:lang w:val="en-US"/>
              </w:rPr>
            </w:pPr>
          </w:p>
        </w:tc>
        <w:tc>
          <w:tcPr>
            <w:tcW w:w="1276" w:type="dxa"/>
          </w:tcPr>
          <w:p w14:paraId="4487E026"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IV</w:t>
            </w:r>
          </w:p>
        </w:tc>
        <w:tc>
          <w:tcPr>
            <w:tcW w:w="4961" w:type="dxa"/>
          </w:tcPr>
          <w:p w14:paraId="2BAEF71C"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Ningxia, Hunan, Qinghai, Jiangxi, Anhui, Shaanxi, Shanxi, Hubei, Hebei</w:t>
            </w:r>
          </w:p>
        </w:tc>
      </w:tr>
      <w:tr w:rsidR="004C6745" w:rsidRPr="004C6745" w14:paraId="742A1939" w14:textId="77777777" w:rsidTr="00052D92">
        <w:tc>
          <w:tcPr>
            <w:tcW w:w="1129" w:type="dxa"/>
          </w:tcPr>
          <w:p w14:paraId="3754ABB2" w14:textId="15F6CE85"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2013</w:t>
            </w:r>
            <w:r w:rsidR="009C4C75">
              <w:rPr>
                <w:rFonts w:ascii="GoudyOldSty" w:hAnsi="GoudyOldSty" w:cs="Arial"/>
                <w:sz w:val="18"/>
                <w:szCs w:val="18"/>
                <w:lang w:val="en-US"/>
              </w:rPr>
              <w:t>–</w:t>
            </w:r>
            <w:r w:rsidR="00911FB1">
              <w:rPr>
                <w:rFonts w:ascii="GoudyOldSty" w:hAnsi="GoudyOldSty" w:cs="Arial"/>
                <w:sz w:val="18"/>
                <w:szCs w:val="18"/>
                <w:lang w:val="en-US"/>
              </w:rPr>
              <w:t>20</w:t>
            </w:r>
            <w:r w:rsidRPr="004C6745">
              <w:rPr>
                <w:rFonts w:ascii="GoudyOldSty" w:hAnsi="GoudyOldSty" w:cs="Arial"/>
                <w:sz w:val="18"/>
                <w:szCs w:val="18"/>
                <w:lang w:val="en-US"/>
              </w:rPr>
              <w:t>14</w:t>
            </w:r>
          </w:p>
        </w:tc>
        <w:tc>
          <w:tcPr>
            <w:tcW w:w="1276" w:type="dxa"/>
          </w:tcPr>
          <w:p w14:paraId="464BACFF"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III</w:t>
            </w:r>
          </w:p>
        </w:tc>
        <w:tc>
          <w:tcPr>
            <w:tcW w:w="4961" w:type="dxa"/>
          </w:tcPr>
          <w:p w14:paraId="60388A9A"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Hunan, Xinjiang, Sichuan, Qinghai, Shaanxi, Shanxi, Hubei, Hebei, Gansu, Guizhou, Heilongjiang</w:t>
            </w:r>
          </w:p>
        </w:tc>
      </w:tr>
      <w:tr w:rsidR="004C6745" w:rsidRPr="004C6745" w14:paraId="5BCF114A" w14:textId="77777777" w:rsidTr="00052D92">
        <w:tc>
          <w:tcPr>
            <w:tcW w:w="1129" w:type="dxa"/>
          </w:tcPr>
          <w:p w14:paraId="0E169366" w14:textId="77777777" w:rsidR="004C6745" w:rsidRPr="004C6745" w:rsidRDefault="004C6745" w:rsidP="004C6745">
            <w:pPr>
              <w:spacing w:line="200" w:lineRule="exact"/>
              <w:rPr>
                <w:rFonts w:ascii="GoudyOldSty" w:hAnsi="GoudyOldSty" w:cs="Arial"/>
                <w:sz w:val="18"/>
                <w:szCs w:val="18"/>
                <w:lang w:val="en-US"/>
              </w:rPr>
            </w:pPr>
          </w:p>
        </w:tc>
        <w:tc>
          <w:tcPr>
            <w:tcW w:w="1276" w:type="dxa"/>
          </w:tcPr>
          <w:p w14:paraId="132174EB"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IV</w:t>
            </w:r>
          </w:p>
        </w:tc>
        <w:tc>
          <w:tcPr>
            <w:tcW w:w="4961" w:type="dxa"/>
          </w:tcPr>
          <w:p w14:paraId="058F0C14"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Henan, Hunan, Xinjiang, Jiangxi, Anhui, Shanxi, Heilongjiang</w:t>
            </w:r>
          </w:p>
        </w:tc>
      </w:tr>
      <w:tr w:rsidR="004C6745" w:rsidRPr="004C6745" w14:paraId="4B6A645C" w14:textId="77777777" w:rsidTr="00052D92">
        <w:tc>
          <w:tcPr>
            <w:tcW w:w="1129" w:type="dxa"/>
          </w:tcPr>
          <w:p w14:paraId="31D71C4D" w14:textId="77A67770"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2014</w:t>
            </w:r>
            <w:r w:rsidR="009C4C75">
              <w:rPr>
                <w:rFonts w:ascii="GoudyOldSty" w:hAnsi="GoudyOldSty" w:cs="Arial"/>
                <w:sz w:val="18"/>
                <w:szCs w:val="18"/>
                <w:lang w:val="en-US"/>
              </w:rPr>
              <w:t>–</w:t>
            </w:r>
            <w:r w:rsidR="00911FB1">
              <w:rPr>
                <w:rFonts w:ascii="GoudyOldSty" w:hAnsi="GoudyOldSty" w:cs="Arial"/>
                <w:sz w:val="18"/>
                <w:szCs w:val="18"/>
                <w:lang w:val="en-US"/>
              </w:rPr>
              <w:t>20</w:t>
            </w:r>
            <w:r w:rsidRPr="004C6745">
              <w:rPr>
                <w:rFonts w:ascii="GoudyOldSty" w:hAnsi="GoudyOldSty" w:cs="Arial"/>
                <w:sz w:val="18"/>
                <w:szCs w:val="18"/>
                <w:lang w:val="en-US"/>
              </w:rPr>
              <w:t>15</w:t>
            </w:r>
          </w:p>
        </w:tc>
        <w:tc>
          <w:tcPr>
            <w:tcW w:w="1276" w:type="dxa"/>
          </w:tcPr>
          <w:p w14:paraId="24657657"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III</w:t>
            </w:r>
          </w:p>
        </w:tc>
        <w:tc>
          <w:tcPr>
            <w:tcW w:w="4961" w:type="dxa"/>
          </w:tcPr>
          <w:p w14:paraId="63799C34"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Hainan, Xinjiang, Guangxi, Chongqing, Shanxi, Hebei, Xinjiang, Jilin, Hebei, Hainan</w:t>
            </w:r>
          </w:p>
        </w:tc>
      </w:tr>
      <w:tr w:rsidR="004C6745" w:rsidRPr="004C6745" w14:paraId="3E17DF0B" w14:textId="77777777" w:rsidTr="00052D92">
        <w:tc>
          <w:tcPr>
            <w:tcW w:w="1129" w:type="dxa"/>
          </w:tcPr>
          <w:p w14:paraId="4B9905B9" w14:textId="77777777" w:rsidR="004C6745" w:rsidRPr="004C6745" w:rsidRDefault="004C6745" w:rsidP="004C6745">
            <w:pPr>
              <w:spacing w:line="200" w:lineRule="exact"/>
              <w:rPr>
                <w:rFonts w:ascii="GoudyOldSty" w:hAnsi="GoudyOldSty" w:cs="Arial"/>
                <w:sz w:val="18"/>
                <w:szCs w:val="18"/>
                <w:lang w:val="en-US"/>
              </w:rPr>
            </w:pPr>
          </w:p>
        </w:tc>
        <w:tc>
          <w:tcPr>
            <w:tcW w:w="1276" w:type="dxa"/>
          </w:tcPr>
          <w:p w14:paraId="487D5E0D"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IV</w:t>
            </w:r>
          </w:p>
        </w:tc>
        <w:tc>
          <w:tcPr>
            <w:tcW w:w="4961" w:type="dxa"/>
          </w:tcPr>
          <w:p w14:paraId="0C8DFC61"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Qinghai, Anhui, Jiangxi, Hainan, Shanxi, Shaanxi, Xinjiang, Heilongjiang, Yunnan, Guizhou, Hebei, Xinjiang, Hunan, Qinghai</w:t>
            </w:r>
          </w:p>
        </w:tc>
      </w:tr>
      <w:tr w:rsidR="004C6745" w:rsidRPr="004C6745" w14:paraId="351B8110" w14:textId="77777777" w:rsidTr="00052D92">
        <w:tc>
          <w:tcPr>
            <w:tcW w:w="1129" w:type="dxa"/>
          </w:tcPr>
          <w:p w14:paraId="34D47F9D" w14:textId="5B3CB93B"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2015</w:t>
            </w:r>
            <w:r w:rsidR="009C4C75">
              <w:rPr>
                <w:rFonts w:ascii="GoudyOldSty" w:hAnsi="GoudyOldSty" w:cs="Arial"/>
                <w:sz w:val="18"/>
                <w:szCs w:val="18"/>
                <w:lang w:val="en-US"/>
              </w:rPr>
              <w:t>–</w:t>
            </w:r>
            <w:r w:rsidR="00911FB1">
              <w:rPr>
                <w:rFonts w:ascii="GoudyOldSty" w:hAnsi="GoudyOldSty" w:cs="Arial"/>
                <w:sz w:val="18"/>
                <w:szCs w:val="18"/>
                <w:lang w:val="en-US"/>
              </w:rPr>
              <w:t>20</w:t>
            </w:r>
            <w:r w:rsidRPr="004C6745">
              <w:rPr>
                <w:rFonts w:ascii="GoudyOldSty" w:hAnsi="GoudyOldSty" w:cs="Arial"/>
                <w:sz w:val="18"/>
                <w:szCs w:val="18"/>
                <w:lang w:val="en-US"/>
              </w:rPr>
              <w:t>16</w:t>
            </w:r>
          </w:p>
        </w:tc>
        <w:tc>
          <w:tcPr>
            <w:tcW w:w="1276" w:type="dxa"/>
          </w:tcPr>
          <w:p w14:paraId="573082F9"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III</w:t>
            </w:r>
          </w:p>
        </w:tc>
        <w:tc>
          <w:tcPr>
            <w:tcW w:w="4961" w:type="dxa"/>
          </w:tcPr>
          <w:p w14:paraId="7B1D7B98"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No evidence</w:t>
            </w:r>
          </w:p>
        </w:tc>
      </w:tr>
      <w:tr w:rsidR="004C6745" w:rsidRPr="004C6745" w14:paraId="5C69378B" w14:textId="77777777" w:rsidTr="00052D92">
        <w:tc>
          <w:tcPr>
            <w:tcW w:w="1129" w:type="dxa"/>
          </w:tcPr>
          <w:p w14:paraId="7B330C9D" w14:textId="77777777" w:rsidR="004C6745" w:rsidRPr="004C6745" w:rsidRDefault="004C6745" w:rsidP="004C6745">
            <w:pPr>
              <w:spacing w:line="200" w:lineRule="exact"/>
              <w:rPr>
                <w:rFonts w:ascii="GoudyOldSty" w:hAnsi="GoudyOldSty" w:cs="Arial"/>
                <w:sz w:val="18"/>
                <w:szCs w:val="18"/>
                <w:lang w:val="en-US"/>
              </w:rPr>
            </w:pPr>
          </w:p>
        </w:tc>
        <w:tc>
          <w:tcPr>
            <w:tcW w:w="1276" w:type="dxa"/>
          </w:tcPr>
          <w:p w14:paraId="7077E003" w14:textId="77777777" w:rsidR="004C6745" w:rsidRPr="004C6745" w:rsidRDefault="004C6745" w:rsidP="004C6745">
            <w:pPr>
              <w:spacing w:line="200" w:lineRule="exact"/>
              <w:rPr>
                <w:rFonts w:ascii="GoudyOldSty" w:hAnsi="GoudyOldSty" w:cs="Arial"/>
                <w:sz w:val="18"/>
                <w:szCs w:val="18"/>
                <w:lang w:val="en-US"/>
              </w:rPr>
            </w:pPr>
            <w:r w:rsidRPr="004C6745">
              <w:rPr>
                <w:rFonts w:ascii="GoudyOldSty" w:hAnsi="GoudyOldSty" w:cs="Arial"/>
                <w:sz w:val="18"/>
                <w:szCs w:val="18"/>
                <w:lang w:val="en-US"/>
              </w:rPr>
              <w:t>Type IV</w:t>
            </w:r>
          </w:p>
        </w:tc>
        <w:tc>
          <w:tcPr>
            <w:tcW w:w="4961" w:type="dxa"/>
          </w:tcPr>
          <w:p w14:paraId="41D9D265" w14:textId="77777777" w:rsidR="004C6745" w:rsidRPr="004C6745" w:rsidRDefault="004C6745" w:rsidP="004C6745">
            <w:pPr>
              <w:spacing w:line="200" w:lineRule="exact"/>
              <w:rPr>
                <w:rFonts w:ascii="GoudyOldSty" w:hAnsi="GoudyOldSty"/>
                <w:sz w:val="18"/>
                <w:szCs w:val="18"/>
                <w:lang w:val="en-US"/>
              </w:rPr>
            </w:pPr>
            <w:r w:rsidRPr="004C6745">
              <w:rPr>
                <w:rFonts w:ascii="GoudyOldSty" w:hAnsi="GoudyOldSty" w:cs="Arial"/>
                <w:sz w:val="18"/>
                <w:szCs w:val="18"/>
                <w:lang w:val="en-US"/>
              </w:rPr>
              <w:t>Henan, Hubei, Sichuan, Heilongjiang, Xinjiang, Jilin, Qinghai, Jiangxi, Hainan</w:t>
            </w:r>
          </w:p>
        </w:tc>
      </w:tr>
    </w:tbl>
    <w:p w14:paraId="4B84BAF1" w14:textId="77777777" w:rsidR="004C6745" w:rsidRPr="004C6745" w:rsidRDefault="004C6745" w:rsidP="004C6745">
      <w:pPr>
        <w:spacing w:line="360" w:lineRule="auto"/>
        <w:jc w:val="both"/>
        <w:rPr>
          <w:rFonts w:ascii="Arial" w:hAnsi="Arial" w:cs="Arial"/>
          <w:sz w:val="24"/>
          <w:szCs w:val="24"/>
          <w:lang w:val="en-US"/>
        </w:rPr>
      </w:pPr>
    </w:p>
    <w:p w14:paraId="17DB4CA3" w14:textId="77327E2B" w:rsidR="004C6745" w:rsidRPr="004C6745" w:rsidRDefault="004C6745" w:rsidP="008B20CE">
      <w:pPr>
        <w:pStyle w:val="SectionTitle1"/>
      </w:pPr>
      <w:r w:rsidRPr="004C6745">
        <w:lastRenderedPageBreak/>
        <w:t>Discussion</w:t>
      </w:r>
    </w:p>
    <w:p w14:paraId="5317D5F1" w14:textId="558E1653" w:rsidR="004C6745" w:rsidRPr="004C6745" w:rsidRDefault="004C6745" w:rsidP="008B20CE">
      <w:pPr>
        <w:pStyle w:val="SubsectionTitle"/>
      </w:pPr>
      <w:r w:rsidRPr="004C6745">
        <w:t>Regional Convergence and Disparity Trend</w:t>
      </w:r>
    </w:p>
    <w:p w14:paraId="54775864" w14:textId="5686AB4C" w:rsidR="004C6745" w:rsidRPr="004C6745" w:rsidRDefault="004C6745" w:rsidP="004C6745">
      <w:pPr>
        <w:pStyle w:val="ArticleTextP1"/>
      </w:pPr>
      <w:r w:rsidRPr="004C6745">
        <w:t>The findings indicate that during the 1990s, divergent growth paths were prominent between the provinces. The fast growth rate assisted capital-rich provinces to diverge away from the rest of the provinces via increasing returns to capital, innovative ideas, accumulation economies, knowledge diffusion, etc. One of the important determinants of growth that helped rich coastal areas grow faster during the 1990s is capital assets. Raiser (1998) investigated the convergence phenomena of Chinese provinces and found a slowing of convergence after 1985 mainly because the rich coastal areas were growing at a faster rate due to a redirection of capital towards rich coastal provinces rather than the poor inland regions. Since the early 1980s, government attention has been drawn to the development of infrastructure, telecommunication services</w:t>
      </w:r>
      <w:r w:rsidR="00E74790">
        <w:t>,</w:t>
      </w:r>
      <w:r w:rsidRPr="004C6745">
        <w:t xml:space="preserve"> and the energy sector as a part of fixed capital assets investment based on the priority investment program for priority regions (Démurger 2001). Efforts have been made to increase road and railway networks to open up mineral-rich areas and make them easily accessible. For instance, the development of networks was intended to connect the resource-rich (coal and steel) regions of Shanxi with the rest of China. Likewise, the construction of transportation facilities was located next to coastal provinces or to strategic locations with rich mineral resources. Therefore, investment in capital assets helped coastal areas grow faster</w:t>
      </w:r>
      <w:r w:rsidR="00E74790">
        <w:t>;</w:t>
      </w:r>
      <w:r w:rsidRPr="004C6745">
        <w:t xml:space="preserve"> however, at the same time widened the gap between coastal areas and the remote areas of Xinjiang and Ningxia provinces. </w:t>
      </w:r>
    </w:p>
    <w:p w14:paraId="0186C601" w14:textId="0E7C1AF3" w:rsidR="004C6745" w:rsidRPr="004C6745" w:rsidRDefault="004C6745" w:rsidP="004C6745">
      <w:pPr>
        <w:pStyle w:val="ArticleTextP2"/>
      </w:pPr>
      <w:r w:rsidRPr="004C6745">
        <w:t xml:space="preserve">The findings of convergence from the mid-2000s have been supported by </w:t>
      </w:r>
      <w:r w:rsidR="00E74790">
        <w:t xml:space="preserve">C. Cindy </w:t>
      </w:r>
      <w:r w:rsidRPr="004C6745">
        <w:t xml:space="preserve">Fan and </w:t>
      </w:r>
      <w:proofErr w:type="spellStart"/>
      <w:r w:rsidR="00E74790">
        <w:t>Mingjie</w:t>
      </w:r>
      <w:proofErr w:type="spellEnd"/>
      <w:r w:rsidR="00E74790">
        <w:t xml:space="preserve"> </w:t>
      </w:r>
      <w:r w:rsidRPr="004C6745">
        <w:t xml:space="preserve">Sun (2008). This was the period that saw increased growth rates experienced by the low-income inland provinces. To help the inland provinces catch up with the coastal ones, China launched a strategy of </w:t>
      </w:r>
      <w:r w:rsidR="008B20CE">
        <w:t>“</w:t>
      </w:r>
      <w:r w:rsidRPr="004C6745">
        <w:t>Go West</w:t>
      </w:r>
      <w:r w:rsidR="008B20CE">
        <w:t>”</w:t>
      </w:r>
      <w:r w:rsidRPr="004C6745">
        <w:t xml:space="preserve"> in the early 2000s to promote the economic development of </w:t>
      </w:r>
      <w:r w:rsidR="00911FB1">
        <w:t>twelve</w:t>
      </w:r>
      <w:r w:rsidRPr="004C6745">
        <w:t xml:space="preserve"> inland provinces—Chongqing, Sichuan, Guizhou, Yunnan, Tibet, Shaanxi, Gansu, Ningxia, Xinjiang, Inner Mongolia, </w:t>
      </w:r>
      <w:r w:rsidR="009C4C75" w:rsidRPr="004C6745">
        <w:t>Guangxi,</w:t>
      </w:r>
      <w:r w:rsidRPr="004C6745">
        <w:t xml:space="preserve"> and Qinghai (Lemoine et al. 2014). The </w:t>
      </w:r>
      <w:proofErr w:type="gramStart"/>
      <w:r w:rsidRPr="004C6745">
        <w:t>government built</w:t>
      </w:r>
      <w:proofErr w:type="gramEnd"/>
      <w:r w:rsidRPr="004C6745">
        <w:t xml:space="preserve"> infrastructure, promoted educational facilities, helped to attract foreign investment, etc. to support these regions to perform better. The government invested 6.35 trillion yuan on the </w:t>
      </w:r>
      <w:r w:rsidR="008B20CE">
        <w:t>“</w:t>
      </w:r>
      <w:r w:rsidRPr="004C6745">
        <w:t>Go West</w:t>
      </w:r>
      <w:r w:rsidR="008B20CE">
        <w:t>”</w:t>
      </w:r>
      <w:r w:rsidRPr="004C6745">
        <w:t xml:space="preserve"> strategy from 2000</w:t>
      </w:r>
      <w:r w:rsidR="009C4C75">
        <w:t>–</w:t>
      </w:r>
      <w:r w:rsidRPr="004C6745">
        <w:t xml:space="preserve">2016 (The State Council 2016). Efforts to promote indigenous industries in medicine and handy craft were enhanced, at the same time, the advanced manufacturing sector was developed too. As a result, the inland regions were in the best period of development. The evidence supports the introvertive perspective of neo-Weberian reforms in reducing inequality in China. </w:t>
      </w:r>
    </w:p>
    <w:p w14:paraId="2A66C764" w14:textId="7719711D" w:rsidR="004C6745" w:rsidRPr="004C6745" w:rsidRDefault="00911FB1" w:rsidP="004C6745">
      <w:pPr>
        <w:pStyle w:val="ArticleTextP2"/>
        <w:rPr>
          <w:noProof/>
          <w:lang w:eastAsia="en-GB"/>
        </w:rPr>
      </w:pPr>
      <w:r w:rsidRPr="00911FB1">
        <w:rPr>
          <w:noProof/>
          <w:lang w:eastAsia="en-GB"/>
        </w:rPr>
        <w:t>Felix Haifeng</w:t>
      </w:r>
      <w:r>
        <w:rPr>
          <w:noProof/>
          <w:lang w:eastAsia="en-GB"/>
        </w:rPr>
        <w:t xml:space="preserve"> </w:t>
      </w:r>
      <w:r w:rsidR="004C6745" w:rsidRPr="004C6745">
        <w:rPr>
          <w:noProof/>
          <w:lang w:eastAsia="en-GB"/>
        </w:rPr>
        <w:t xml:space="preserve">Liao and </w:t>
      </w:r>
      <w:r w:rsidRPr="00911FB1">
        <w:t xml:space="preserve">Yehua Dennis </w:t>
      </w:r>
      <w:r w:rsidR="004C6745" w:rsidRPr="004C6745">
        <w:rPr>
          <w:noProof/>
          <w:lang w:eastAsia="en-GB"/>
        </w:rPr>
        <w:t xml:space="preserve">Wei (2016) indicated that a reduction in the interprovincial disparity after 2005 was the result of both development policies for western regions as well as negative impacts of the global financial crisis on trade/export activities of coastal provinces. Hence, it was not only the high growth of inland provinces but it was also the reduced growth of coastal provinces that contributed to the </w:t>
      </w:r>
      <w:r w:rsidR="003269DB">
        <w:rPr>
          <w:noProof/>
          <w:lang w:eastAsia="en-GB"/>
        </w:rPr>
        <w:t xml:space="preserve">decreased </w:t>
      </w:r>
      <w:r w:rsidR="004C6745" w:rsidRPr="004C6745">
        <w:rPr>
          <w:noProof/>
          <w:lang w:eastAsia="en-GB"/>
        </w:rPr>
        <w:t xml:space="preserve">interprovincial disparity after 2005. Highlighting the poor condition of the most backward regions of China, </w:t>
      </w:r>
      <w:r>
        <w:rPr>
          <w:noProof/>
          <w:lang w:eastAsia="en-GB"/>
        </w:rPr>
        <w:t xml:space="preserve">Doris </w:t>
      </w:r>
      <w:r w:rsidR="004C6745" w:rsidRPr="004C6745">
        <w:rPr>
          <w:noProof/>
          <w:lang w:eastAsia="en-GB"/>
        </w:rPr>
        <w:t xml:space="preserve">Ma and </w:t>
      </w:r>
      <w:r>
        <w:rPr>
          <w:noProof/>
          <w:lang w:eastAsia="en-GB"/>
        </w:rPr>
        <w:t xml:space="preserve">Tim </w:t>
      </w:r>
      <w:r w:rsidR="004C6745" w:rsidRPr="004C6745">
        <w:rPr>
          <w:noProof/>
          <w:lang w:eastAsia="en-GB"/>
        </w:rPr>
        <w:t xml:space="preserve">Summers (2009) argue that the policy support to develop west and combat the 2008 global financial crisis assisted the western provinces to boost the economy but the challenge of developing the most backward regions of China still needed to be addressed. </w:t>
      </w:r>
    </w:p>
    <w:p w14:paraId="43FC158E" w14:textId="2F753FC6" w:rsidR="004C6745" w:rsidRPr="004C6745" w:rsidRDefault="004C6745" w:rsidP="004C6745">
      <w:pPr>
        <w:pStyle w:val="ArticleTextP2"/>
      </w:pPr>
      <w:r w:rsidRPr="004C6745">
        <w:t xml:space="preserve">Although the government funds were </w:t>
      </w:r>
      <w:r w:rsidR="00E74790">
        <w:t>among</w:t>
      </w:r>
      <w:r w:rsidRPr="004C6745">
        <w:t xml:space="preserve"> the factors that helped to accelerate the development of regions, </w:t>
      </w:r>
      <w:r w:rsidR="00E45624">
        <w:t xml:space="preserve">Tao </w:t>
      </w:r>
      <w:r w:rsidRPr="004C6745">
        <w:t xml:space="preserve">Huang (2016) reported that the local government borrowing debt was largely uncontrollable. There has been criticism of the government’s poorly </w:t>
      </w:r>
      <w:r w:rsidRPr="004C6745">
        <w:lastRenderedPageBreak/>
        <w:t>managed investment on unproductive projects that were debt-financed (Tsui 2011; Pan et al. 2017; Ansar et al. 2016). Many studies have highlighted the problem of lack of clear criteria to transfer funds between central and local governments that made the regional disparity worse (Kanamori 2004; Kim</w:t>
      </w:r>
      <w:r w:rsidR="00911FB1">
        <w:t xml:space="preserve"> </w:t>
      </w:r>
      <w:r w:rsidRPr="004C6745">
        <w:t xml:space="preserve">2002; Lu and Sun 2013). The problem of lack of criteria has led to a </w:t>
      </w:r>
      <w:r w:rsidR="009C4C75" w:rsidRPr="004C6745">
        <w:t>favorable</w:t>
      </w:r>
      <w:r w:rsidRPr="004C6745">
        <w:t xml:space="preserve"> funds transfer situation for the high-income coastal provinces that widened the gap between high- and low-income provinces and the income gap persists between the groups. This highlight</w:t>
      </w:r>
      <w:r w:rsidR="009C4C75">
        <w:t>s</w:t>
      </w:r>
      <w:r w:rsidRPr="004C6745">
        <w:t xml:space="preserve"> the repetitive </w:t>
      </w:r>
      <w:r w:rsidR="008B20CE">
        <w:t>“</w:t>
      </w:r>
      <w:r w:rsidRPr="004C6745">
        <w:t>institutional corrosive effect</w:t>
      </w:r>
      <w:r w:rsidR="008B20CE">
        <w:t>”</w:t>
      </w:r>
      <w:r w:rsidR="002359AE">
        <w:t xml:space="preserve"> </w:t>
      </w:r>
      <w:r w:rsidRPr="004C6745">
        <w:t>explained by Seabrooke (2002).</w:t>
      </w:r>
    </w:p>
    <w:p w14:paraId="38D3BFD7" w14:textId="1DAAB84F" w:rsidR="004C6745" w:rsidRPr="004C6745" w:rsidRDefault="004C6745" w:rsidP="008B20CE">
      <w:pPr>
        <w:pStyle w:val="SubsectionTitle"/>
      </w:pPr>
      <w:r w:rsidRPr="004C6745">
        <w:t xml:space="preserve">Mobility and Persistence </w:t>
      </w:r>
    </w:p>
    <w:p w14:paraId="2E7375C5" w14:textId="2CAFAF44" w:rsidR="004C6745" w:rsidRPr="004C6745" w:rsidRDefault="004C6745" w:rsidP="004C6745">
      <w:pPr>
        <w:pStyle w:val="ArticleTextP2"/>
      </w:pPr>
      <w:r w:rsidRPr="004C6745">
        <w:t>Measuring regional income mobility becomes important for understanding the changing dynamics of the income distribution (Wu et al. 2019). This helps to identify regions that move slowly or stagnate for a long time. In the context of China, measuring regional income mobility become</w:t>
      </w:r>
      <w:r w:rsidR="00E16367">
        <w:t>s</w:t>
      </w:r>
      <w:r w:rsidRPr="004C6745">
        <w:t xml:space="preserve"> important because the per capita income distribution is changing at a rapid pace and generating an increasing regional gap. </w:t>
      </w:r>
      <w:r w:rsidR="00E74790">
        <w:t>Getting</w:t>
      </w:r>
      <w:r w:rsidRPr="004C6745">
        <w:t xml:space="preserve"> more insight on the details of regions changing rank order positions could help to acquire more clarity on income disparity. This becomes key with regard to the within- and between-group analysis that helps in understanding the economic </w:t>
      </w:r>
      <w:r w:rsidR="00AA17FD">
        <w:t>behavior</w:t>
      </w:r>
      <w:r w:rsidRPr="004C6745">
        <w:t xml:space="preserve"> of the richest of the rich and poorest of the poor provinces—whether the poorest of the poor province is converging with peers or not. The reduction in disparity in the true sense will occur when the poorest region converges with others. Owing to the limited studies in this domain, Wu et al. (2019) highlighted the need to examine regional income mobility based on individual incomes. </w:t>
      </w:r>
    </w:p>
    <w:p w14:paraId="1E79D82A" w14:textId="7C4C7498" w:rsidR="004C6745" w:rsidRPr="004C6745" w:rsidRDefault="004C6745" w:rsidP="004C6745">
      <w:pPr>
        <w:pStyle w:val="ArticleTextP2"/>
      </w:pPr>
      <w:r w:rsidRPr="00911FB1">
        <w:t xml:space="preserve">In this </w:t>
      </w:r>
      <w:r w:rsidR="002359AE">
        <w:t>article</w:t>
      </w:r>
      <w:r w:rsidRPr="00911FB1">
        <w:t xml:space="preserve">, regional mobility dynamics are defined to track regions’ change in rank order positions based on income growth within the distribution over time. The change in rank order positions is captured by Type III and Type IV </w:t>
      </w:r>
      <w:r w:rsidR="009C4C75" w:rsidRPr="00911FB1">
        <w:t>behaviors</w:t>
      </w:r>
      <w:r w:rsidRPr="00911FB1">
        <w:t xml:space="preserve"> of X-convergence. Figures 13 and 15 show the mobility </w:t>
      </w:r>
      <w:r w:rsidR="009C4C75" w:rsidRPr="00911FB1">
        <w:t>behaviors</w:t>
      </w:r>
      <w:r w:rsidRPr="00911FB1">
        <w:t xml:space="preserve"> within high-income and low-income groups. The high-income group showed very limited switching of places with similar provinces. Compared to the high-income group, the low-income group showed a higher number of instances of switching </w:t>
      </w:r>
      <w:r w:rsidR="00AA17FD">
        <w:t>behavior</w:t>
      </w:r>
      <w:r w:rsidRPr="00911FB1">
        <w:t xml:space="preserve"> among themselves. This could be because the low-income group has regions that have similar income per capita and a slight change in income increases the possibility of crossing growth paths within the group. These provinces demonstrate the ability to overtake, lag behind or stagnate within the distribution. For instance, in light of the findings, Shanxi which is a part of low-income group lagged behind Henan, Anhui, Jiangxi, Guangxi, Sichuan, and Hunan in 2015.</w:t>
      </w:r>
    </w:p>
    <w:p w14:paraId="436695AE" w14:textId="44E584A5" w:rsidR="004C6745" w:rsidRPr="004C6745" w:rsidRDefault="004C6745" w:rsidP="004C6745">
      <w:pPr>
        <w:pStyle w:val="ArticleTextP2"/>
      </w:pPr>
      <w:r w:rsidRPr="004C6745">
        <w:t xml:space="preserve">Development of capital, </w:t>
      </w:r>
      <w:r w:rsidR="009C4C75" w:rsidRPr="004C6745">
        <w:t>labor</w:t>
      </w:r>
      <w:r w:rsidRPr="004C6745">
        <w:t xml:space="preserve">, industries, etc. in the low-income group change the income distribution constantly and makes it necessary to understand the changing </w:t>
      </w:r>
      <w:r w:rsidR="00AA17FD">
        <w:t>behavior</w:t>
      </w:r>
      <w:r w:rsidRPr="004C6745">
        <w:t xml:space="preserve"> of provinces. By </w:t>
      </w:r>
      <w:r w:rsidR="009C4C75" w:rsidRPr="004C6745">
        <w:t>analyzing</w:t>
      </w:r>
      <w:r w:rsidRPr="004C6745">
        <w:t xml:space="preserve"> the changing </w:t>
      </w:r>
      <w:r w:rsidR="00AA17FD">
        <w:t>behavior</w:t>
      </w:r>
      <w:r w:rsidRPr="004C6745">
        <w:t xml:space="preserve"> of regions in terms of mobility assessment using the X-convergence technique, it becomes easy to identify regions that are stagnating or lagging behind. Identifying these problem areas help</w:t>
      </w:r>
      <w:r w:rsidR="00E74790">
        <w:t>s</w:t>
      </w:r>
      <w:r w:rsidRPr="004C6745">
        <w:t xml:space="preserve"> by highlighting problem areas that require productivity attention and will help to balance regional growth disparities that China has been trying to achieve since 2000. </w:t>
      </w:r>
    </w:p>
    <w:p w14:paraId="5189068E" w14:textId="341E96D8" w:rsidR="004C6745" w:rsidRPr="004C6745" w:rsidRDefault="004C6745" w:rsidP="004C6745">
      <w:pPr>
        <w:pStyle w:val="ArticleTextP2"/>
      </w:pPr>
      <w:r w:rsidRPr="004C6745">
        <w:t>The findings on persistence in income groups of rich coastal and poor inland Chinese regions have been supported by the literature (Zhang and Zou 2012; Aziz and Duenwald 2001; Bin 2015). Table 6 shows that no coastal province has ever changed ranks or switched places with any inland province during 1993</w:t>
      </w:r>
      <w:r w:rsidR="009C4C75">
        <w:t>–</w:t>
      </w:r>
      <w:r w:rsidRPr="004C6745">
        <w:t xml:space="preserve">2016. Only one high-income province changed places with some low-income inland provinces, namely Inner Mongolia. Inner Mongolia follows the trajectory of high-income provinces according to the grouping technique used in </w:t>
      </w:r>
      <w:r w:rsidRPr="004C6745">
        <w:lastRenderedPageBreak/>
        <w:t xml:space="preserve">the </w:t>
      </w:r>
      <w:r w:rsidR="009C4C75" w:rsidRPr="004C6745">
        <w:t>study,</w:t>
      </w:r>
      <w:r w:rsidRPr="004C6745">
        <w:t xml:space="preserve"> but it is not a coastal province. </w:t>
      </w:r>
      <w:proofErr w:type="gramStart"/>
      <w:r w:rsidRPr="004C6745">
        <w:t>So</w:t>
      </w:r>
      <w:proofErr w:type="gramEnd"/>
      <w:r w:rsidRPr="004C6745">
        <w:t xml:space="preserve"> switching places with Inner Mongolia would not influence the persistence of the divide between coastal and inland provinces in China. Therefore, the tendency for rich provinces to remain rich and poor provinces to remain poor was high in China. This is explained by the literature on club convergence.</w:t>
      </w:r>
    </w:p>
    <w:p w14:paraId="3301D104" w14:textId="396D73C9" w:rsidR="004C6745" w:rsidRPr="004C6745" w:rsidRDefault="004C6745" w:rsidP="008B20CE">
      <w:pPr>
        <w:pStyle w:val="SectionTitle1"/>
      </w:pPr>
      <w:r w:rsidRPr="004C6745">
        <w:t>Conclusion</w:t>
      </w:r>
    </w:p>
    <w:p w14:paraId="3F2BE169" w14:textId="11DA2C41" w:rsidR="004C6745" w:rsidRPr="004C6745" w:rsidRDefault="004C6745" w:rsidP="004C6745">
      <w:pPr>
        <w:pStyle w:val="ArticleTextP1"/>
      </w:pPr>
      <w:r w:rsidRPr="004C6745">
        <w:t xml:space="preserve">This </w:t>
      </w:r>
      <w:r w:rsidR="002359AE">
        <w:t>article</w:t>
      </w:r>
      <w:r w:rsidRPr="004C6745">
        <w:t xml:space="preserve"> provides an overview of China’s regional convergence and disparity patterns between 1993 and 2016 from an introvertive perspective. China’s economy is growing at a fast rate but at the same time struggling to bridge the divide between rich and poor provinces. The country’s bureaucratic and administrative complexities, lack of transparency, corruption, and weak intellectual property rights protection make investors</w:t>
      </w:r>
      <w:r w:rsidR="008351C2">
        <w:t xml:space="preserve"> skeptical </w:t>
      </w:r>
      <w:r w:rsidRPr="004C6745">
        <w:t xml:space="preserve">to invest in the interior parts of China. These factors together with the preferential policies biased by the cultural attitudes of the local economic systems to provide funds to provinces that are earning higher incomes contributed to the growing disparity between rich and poor provinces. The institutional corrosive decision making is an important cause of provincial disparity in China where government decisions are influenced by the elites. </w:t>
      </w:r>
      <w:r w:rsidR="009C4C75" w:rsidRPr="004C6745">
        <w:t>Realizing</w:t>
      </w:r>
      <w:r w:rsidRPr="004C6745">
        <w:t xml:space="preserve"> the increasing disparity between </w:t>
      </w:r>
      <w:r w:rsidR="009C4C75" w:rsidRPr="004C6745">
        <w:t>high- and low-income</w:t>
      </w:r>
      <w:r w:rsidRPr="004C6745">
        <w:t xml:space="preserve"> provinces, the </w:t>
      </w:r>
      <w:r w:rsidR="008B20CE">
        <w:t>“</w:t>
      </w:r>
      <w:r w:rsidRPr="004C6745">
        <w:t>Go West</w:t>
      </w:r>
      <w:r w:rsidR="008B20CE">
        <w:t>”</w:t>
      </w:r>
      <w:r w:rsidRPr="004C6745">
        <w:t xml:space="preserve"> policies were implemented in the early 2000s to invest in the western poor provinces in China. The findings in this </w:t>
      </w:r>
      <w:r w:rsidR="002359AE">
        <w:t>article</w:t>
      </w:r>
      <w:r w:rsidRPr="004C6745">
        <w:t xml:space="preserve"> suggest that the </w:t>
      </w:r>
      <w:r w:rsidR="008B20CE">
        <w:t>“</w:t>
      </w:r>
      <w:r w:rsidRPr="004C6745">
        <w:t>Go West</w:t>
      </w:r>
      <w:r w:rsidR="008B20CE">
        <w:t>”</w:t>
      </w:r>
      <w:r w:rsidRPr="004C6745">
        <w:t xml:space="preserve"> policies came into effect in the late-2000s in bringing prosperity to the poorest of the poor regions. </w:t>
      </w:r>
    </w:p>
    <w:p w14:paraId="11736066" w14:textId="0F792D9B" w:rsidR="004C6745" w:rsidRPr="004C6745" w:rsidRDefault="009C4C75" w:rsidP="004C6745">
      <w:pPr>
        <w:pStyle w:val="ArticleTextP2"/>
      </w:pPr>
      <w:r w:rsidRPr="004C6745">
        <w:t>Analyzing</w:t>
      </w:r>
      <w:r w:rsidR="004C6745" w:rsidRPr="004C6745">
        <w:t xml:space="preserve"> the convergence trend for the whole sample of </w:t>
      </w:r>
      <w:r>
        <w:t>thirty-one</w:t>
      </w:r>
      <w:r w:rsidR="004C6745" w:rsidRPr="004C6745">
        <w:t xml:space="preserve"> provinces, the evidence shows the presence of convergence between 2005</w:t>
      </w:r>
      <w:r>
        <w:t>–</w:t>
      </w:r>
      <w:r w:rsidR="004C6745" w:rsidRPr="004C6745">
        <w:t>2014, thereby indicating a reduction in provincial inequality. Moreover, assessing the convergence trend within high-income group shows a prevalence of convergence after 2005 but within low-income provinces group shows the prevalence of convergence trend from 2008</w:t>
      </w:r>
      <w:r>
        <w:t>–</w:t>
      </w:r>
      <w:r w:rsidR="00E74790">
        <w:t>20</w:t>
      </w:r>
      <w:r w:rsidR="004C6745" w:rsidRPr="004C6745">
        <w:t xml:space="preserve">09. This could be the result of the </w:t>
      </w:r>
      <w:r w:rsidR="008B20CE">
        <w:t>“</w:t>
      </w:r>
      <w:r w:rsidR="004C6745" w:rsidRPr="004C6745">
        <w:t>Go West</w:t>
      </w:r>
      <w:r w:rsidR="008B20CE">
        <w:t>”</w:t>
      </w:r>
      <w:r w:rsidR="004C6745" w:rsidRPr="004C6745">
        <w:t xml:space="preserve"> policies implemented to invest in the western poorer provinces. This implies that when the national disparity was reducing from 2005, some of the poor inland provinces were still struggling to catch up with the rest. In addition, the between group analysis shows less mobility between coastal and inland provinces suggesting persistence in their positions as high-income and low-income groups of provinces. This implies that the rich remain rich and the poor remain poor during the analysis period. Lastly, the study found that the regional income mobility was prominent within the low-income group provinces, i.e., this group has more evidence of provinces stagnating, overtaking, and lagging behind others. These important insights could be found only by conducting a separate study for within and between group effects with the help of X–convergence technique.</w:t>
      </w:r>
    </w:p>
    <w:p w14:paraId="1245E813" w14:textId="5B71851C" w:rsidR="004C6745" w:rsidRPr="004C6745" w:rsidRDefault="004C6745" w:rsidP="004C6745">
      <w:pPr>
        <w:pStyle w:val="ArticleTextP2"/>
      </w:pPr>
      <w:r w:rsidRPr="004C6745">
        <w:t>There are two limitations cited in the study. First, data inaccuracy. Even though the data set used in the study is procured from the national agency of China, it does not guarantee a credible source. It has been reported that some Chinese provinces inflated their GDP figures in the past. For instance, Liaoning inflated its gross regional product from 2011</w:t>
      </w:r>
      <w:r w:rsidR="009C4C75">
        <w:t>–</w:t>
      </w:r>
      <w:r w:rsidRPr="004C6745">
        <w:t>2014 (</w:t>
      </w:r>
      <w:r w:rsidR="00674B26" w:rsidRPr="00674B26">
        <w:t>Huang 2017</w:t>
      </w:r>
      <w:r w:rsidRPr="004C6745">
        <w:t xml:space="preserve">). Some studies highlight the issues on data quality and credibility for Chinese regions in detail (Xiao and Womack 2014; Fischer and </w:t>
      </w:r>
      <w:proofErr w:type="spellStart"/>
      <w:r w:rsidRPr="004C6745">
        <w:t>Fromlet</w:t>
      </w:r>
      <w:proofErr w:type="spellEnd"/>
      <w:r w:rsidRPr="004C6745">
        <w:t xml:space="preserve"> 2015). Despite data manipulation and backward corrections, reports highlight that ignoring one or two data points is still valuable to do a comparative study. From the academic research perspective, the study on regional data will make a significant contribution to the literature on regional disparity and growth. In addition, the study will motivate future researchers to seek a robust data set to challenge the existing findings. </w:t>
      </w:r>
    </w:p>
    <w:p w14:paraId="1EE4CB2A" w14:textId="67A6CE81" w:rsidR="004C6745" w:rsidRPr="004C6745" w:rsidRDefault="004C6745" w:rsidP="004C6745">
      <w:pPr>
        <w:pStyle w:val="ArticleTextP2"/>
      </w:pPr>
      <w:r w:rsidRPr="004C6745">
        <w:lastRenderedPageBreak/>
        <w:t xml:space="preserve">A second limitation is the need to take account of spatial dependence. Literature suggests the use of spatial weights to assess spatial dependency and heterogeneity. This gap can be filled in future work and could help to understand the spillover effect between </w:t>
      </w:r>
      <w:r w:rsidR="009C4C75" w:rsidRPr="004C6745">
        <w:t>neighboring</w:t>
      </w:r>
      <w:r w:rsidRPr="004C6745">
        <w:t xml:space="preserve"> provinces on output growth.</w:t>
      </w:r>
    </w:p>
    <w:p w14:paraId="65D5097B" w14:textId="77777777" w:rsidR="004C6745" w:rsidRPr="004C6745" w:rsidRDefault="004C6745" w:rsidP="008B20CE">
      <w:pPr>
        <w:pStyle w:val="SectionTitle1"/>
      </w:pPr>
      <w:r w:rsidRPr="004C6745">
        <w:t>References</w:t>
      </w:r>
    </w:p>
    <w:p w14:paraId="38D9A08E" w14:textId="65DECE1D" w:rsidR="004C6745" w:rsidRPr="009C4C75" w:rsidRDefault="009C4C75" w:rsidP="009C4C75">
      <w:pPr>
        <w:pStyle w:val="References"/>
      </w:pPr>
      <w:r w:rsidRPr="009C4C75">
        <w:t xml:space="preserve">Ansar Atif, Bent </w:t>
      </w:r>
      <w:proofErr w:type="spellStart"/>
      <w:r w:rsidRPr="009C4C75">
        <w:t>Flyvbjerg</w:t>
      </w:r>
      <w:proofErr w:type="spellEnd"/>
      <w:r w:rsidRPr="009C4C75">
        <w:t>,</w:t>
      </w:r>
      <w:r>
        <w:t xml:space="preserve"> </w:t>
      </w:r>
      <w:r w:rsidRPr="009C4C75">
        <w:t xml:space="preserve">Alexander </w:t>
      </w:r>
      <w:proofErr w:type="spellStart"/>
      <w:r w:rsidRPr="009C4C75">
        <w:t>Budzier</w:t>
      </w:r>
      <w:proofErr w:type="spellEnd"/>
      <w:r w:rsidRPr="009C4C75">
        <w:t>, and</w:t>
      </w:r>
      <w:r>
        <w:t xml:space="preserve"> </w:t>
      </w:r>
      <w:r w:rsidRPr="009C4C75">
        <w:t>Daniel Lunn</w:t>
      </w:r>
      <w:r w:rsidR="004C6745" w:rsidRPr="00911FB1">
        <w:rPr>
          <w:lang w:val="en-US"/>
        </w:rPr>
        <w:t xml:space="preserve">. 2016. </w:t>
      </w:r>
      <w:r w:rsidR="008B20CE">
        <w:rPr>
          <w:lang w:val="en-US"/>
        </w:rPr>
        <w:t>“</w:t>
      </w:r>
      <w:r w:rsidR="004C6745" w:rsidRPr="00911FB1">
        <w:rPr>
          <w:lang w:val="en-US"/>
        </w:rPr>
        <w:t xml:space="preserve">Does </w:t>
      </w:r>
      <w:r>
        <w:rPr>
          <w:lang w:val="en-US"/>
        </w:rPr>
        <w:t>I</w:t>
      </w:r>
      <w:r w:rsidR="004C6745" w:rsidRPr="00911FB1">
        <w:rPr>
          <w:lang w:val="en-US"/>
        </w:rPr>
        <w:t xml:space="preserve">nfrastructure </w:t>
      </w:r>
      <w:r>
        <w:rPr>
          <w:lang w:val="en-US"/>
        </w:rPr>
        <w:t>I</w:t>
      </w:r>
      <w:r w:rsidR="004C6745" w:rsidRPr="00911FB1">
        <w:rPr>
          <w:lang w:val="en-US"/>
        </w:rPr>
        <w:t xml:space="preserve">nvestment </w:t>
      </w:r>
      <w:r>
        <w:rPr>
          <w:lang w:val="en-US"/>
        </w:rPr>
        <w:t>L</w:t>
      </w:r>
      <w:r w:rsidR="004C6745" w:rsidRPr="00911FB1">
        <w:rPr>
          <w:lang w:val="en-US"/>
        </w:rPr>
        <w:t xml:space="preserve">ead to </w:t>
      </w:r>
      <w:r>
        <w:rPr>
          <w:lang w:val="en-US"/>
        </w:rPr>
        <w:t>E</w:t>
      </w:r>
      <w:r w:rsidR="004C6745" w:rsidRPr="00911FB1">
        <w:rPr>
          <w:lang w:val="en-US"/>
        </w:rPr>
        <w:t xml:space="preserve">conomic </w:t>
      </w:r>
      <w:r>
        <w:rPr>
          <w:lang w:val="en-US"/>
        </w:rPr>
        <w:t>G</w:t>
      </w:r>
      <w:r w:rsidR="004C6745" w:rsidRPr="00911FB1">
        <w:rPr>
          <w:lang w:val="en-US"/>
        </w:rPr>
        <w:t xml:space="preserve">rowth or </w:t>
      </w:r>
      <w:r>
        <w:rPr>
          <w:lang w:val="en-US"/>
        </w:rPr>
        <w:t>E</w:t>
      </w:r>
      <w:r w:rsidR="004C6745" w:rsidRPr="00911FB1">
        <w:rPr>
          <w:lang w:val="en-US"/>
        </w:rPr>
        <w:t xml:space="preserve">conomic </w:t>
      </w:r>
      <w:r>
        <w:rPr>
          <w:lang w:val="en-US"/>
        </w:rPr>
        <w:t>F</w:t>
      </w:r>
      <w:r w:rsidR="004C6745" w:rsidRPr="00911FB1">
        <w:rPr>
          <w:lang w:val="en-US"/>
        </w:rPr>
        <w:t>ragility? Evidence from China.</w:t>
      </w:r>
      <w:r w:rsidR="008B20CE">
        <w:rPr>
          <w:lang w:val="en-US"/>
        </w:rPr>
        <w:t>”</w:t>
      </w:r>
      <w:r>
        <w:rPr>
          <w:lang w:val="en-US"/>
        </w:rPr>
        <w:t xml:space="preserve"> </w:t>
      </w:r>
      <w:r w:rsidR="004C6745" w:rsidRPr="00911FB1">
        <w:rPr>
          <w:i/>
          <w:lang w:val="en-US"/>
        </w:rPr>
        <w:t>Oxford Review of Economic Policy</w:t>
      </w:r>
      <w:r>
        <w:rPr>
          <w:lang w:val="en-US"/>
        </w:rPr>
        <w:t xml:space="preserve"> </w:t>
      </w:r>
      <w:r w:rsidR="004C6745" w:rsidRPr="00911FB1">
        <w:rPr>
          <w:lang w:val="en-US"/>
        </w:rPr>
        <w:t>32</w:t>
      </w:r>
      <w:r>
        <w:rPr>
          <w:lang w:val="en-US"/>
        </w:rPr>
        <w:t xml:space="preserve"> </w:t>
      </w:r>
      <w:r w:rsidR="004C6745" w:rsidRPr="00911FB1">
        <w:rPr>
          <w:lang w:val="en-US"/>
        </w:rPr>
        <w:t>(3)</w:t>
      </w:r>
      <w:r>
        <w:rPr>
          <w:lang w:val="en-US"/>
        </w:rPr>
        <w:t xml:space="preserve">: </w:t>
      </w:r>
      <w:r w:rsidR="004C6745" w:rsidRPr="00911FB1">
        <w:rPr>
          <w:lang w:val="en-US"/>
        </w:rPr>
        <w:t>360</w:t>
      </w:r>
      <w:r>
        <w:rPr>
          <w:lang w:val="en-US"/>
        </w:rPr>
        <w:t>–</w:t>
      </w:r>
      <w:r w:rsidR="004C6745" w:rsidRPr="00911FB1">
        <w:rPr>
          <w:lang w:val="en-US"/>
        </w:rPr>
        <w:t>390.</w:t>
      </w:r>
    </w:p>
    <w:p w14:paraId="0C75F65B" w14:textId="35243909" w:rsidR="008B20CE" w:rsidRDefault="008B20CE" w:rsidP="004C6745">
      <w:pPr>
        <w:pStyle w:val="References"/>
      </w:pPr>
      <w:r w:rsidRPr="003D2513">
        <w:t xml:space="preserve">Aparicio, Jesús </w:t>
      </w:r>
      <w:proofErr w:type="spellStart"/>
      <w:r w:rsidRPr="003D2513">
        <w:t>Ferreiro</w:t>
      </w:r>
      <w:proofErr w:type="spellEnd"/>
      <w:r w:rsidRPr="003D2513">
        <w:t xml:space="preserve">, Carlos Alberto Carrasco, and Carmen Gómez. 2014. </w:t>
      </w:r>
      <w:r>
        <w:t>“</w:t>
      </w:r>
      <w:r w:rsidRPr="003D2513">
        <w:t>Convergence of Public Expenditures and Implementation of a Single Model of Public Finances in the European Union.</w:t>
      </w:r>
      <w:r>
        <w:t>”</w:t>
      </w:r>
      <w:r w:rsidRPr="003D2513">
        <w:t> </w:t>
      </w:r>
      <w:proofErr w:type="spellStart"/>
      <w:r w:rsidRPr="003D2513">
        <w:rPr>
          <w:i/>
          <w:iCs/>
        </w:rPr>
        <w:t>Revista</w:t>
      </w:r>
      <w:proofErr w:type="spellEnd"/>
      <w:r w:rsidRPr="003D2513">
        <w:rPr>
          <w:i/>
          <w:iCs/>
        </w:rPr>
        <w:t xml:space="preserve"> de Economía Mundial</w:t>
      </w:r>
      <w:r w:rsidRPr="003D2513">
        <w:t> 37: 75</w:t>
      </w:r>
      <w:r>
        <w:t>–</w:t>
      </w:r>
      <w:r w:rsidRPr="003D2513">
        <w:t>102.</w:t>
      </w:r>
    </w:p>
    <w:p w14:paraId="0FF13E82" w14:textId="14E52687" w:rsidR="004C6745" w:rsidRPr="00911FB1" w:rsidRDefault="004C6745" w:rsidP="004C6745">
      <w:pPr>
        <w:pStyle w:val="References"/>
        <w:rPr>
          <w:lang w:val="en-US"/>
        </w:rPr>
      </w:pPr>
      <w:r w:rsidRPr="00911FB1">
        <w:rPr>
          <w:lang w:val="en-US"/>
        </w:rPr>
        <w:t xml:space="preserve">Aziz, </w:t>
      </w:r>
      <w:r w:rsidR="009C4C75" w:rsidRPr="009C4C75">
        <w:rPr>
          <w:lang w:val="en-US"/>
        </w:rPr>
        <w:t>Jahangir</w:t>
      </w:r>
      <w:r w:rsidR="009C4C75">
        <w:rPr>
          <w:lang w:val="en-US"/>
        </w:rPr>
        <w:t>,</w:t>
      </w:r>
      <w:r w:rsidR="009C4C75" w:rsidRPr="009C4C75" w:rsidDel="009C4C75">
        <w:rPr>
          <w:lang w:val="en-US"/>
        </w:rPr>
        <w:t xml:space="preserve"> </w:t>
      </w:r>
      <w:r w:rsidRPr="00911FB1">
        <w:rPr>
          <w:lang w:val="en-US"/>
        </w:rPr>
        <w:t xml:space="preserve">and </w:t>
      </w:r>
      <w:r w:rsidR="009C4C75">
        <w:rPr>
          <w:lang w:val="en-US"/>
        </w:rPr>
        <w:t xml:space="preserve">Christoph </w:t>
      </w:r>
      <w:r w:rsidRPr="00911FB1">
        <w:rPr>
          <w:lang w:val="en-US"/>
        </w:rPr>
        <w:t xml:space="preserve">Duenwald. 2001. </w:t>
      </w:r>
      <w:r w:rsidR="008B20CE">
        <w:rPr>
          <w:lang w:val="en-US"/>
        </w:rPr>
        <w:t>“</w:t>
      </w:r>
      <w:r w:rsidRPr="00911FB1">
        <w:rPr>
          <w:lang w:val="en-US"/>
        </w:rPr>
        <w:t xml:space="preserve">China's </w:t>
      </w:r>
      <w:r w:rsidR="009C4C75">
        <w:rPr>
          <w:lang w:val="en-US"/>
        </w:rPr>
        <w:t>P</w:t>
      </w:r>
      <w:r w:rsidRPr="00911FB1">
        <w:rPr>
          <w:lang w:val="en-US"/>
        </w:rPr>
        <w:t xml:space="preserve">rovincial </w:t>
      </w:r>
      <w:r w:rsidR="009C4C75">
        <w:rPr>
          <w:lang w:val="en-US"/>
        </w:rPr>
        <w:t>G</w:t>
      </w:r>
      <w:r w:rsidRPr="00911FB1">
        <w:rPr>
          <w:lang w:val="en-US"/>
        </w:rPr>
        <w:t xml:space="preserve">rowth </w:t>
      </w:r>
      <w:r w:rsidR="009C4C75">
        <w:rPr>
          <w:lang w:val="en-US"/>
        </w:rPr>
        <w:t>D</w:t>
      </w:r>
      <w:r w:rsidRPr="00911FB1">
        <w:rPr>
          <w:lang w:val="en-US"/>
        </w:rPr>
        <w:t>ynamics</w:t>
      </w:r>
      <w:r w:rsidR="009C4C75">
        <w:rPr>
          <w:lang w:val="en-US"/>
        </w:rPr>
        <w:t>.</w:t>
      </w:r>
      <w:r w:rsidR="008B20CE">
        <w:rPr>
          <w:lang w:val="en-US"/>
        </w:rPr>
        <w:t>”</w:t>
      </w:r>
      <w:r w:rsidR="009C4C75">
        <w:rPr>
          <w:lang w:val="en-US"/>
        </w:rPr>
        <w:t xml:space="preserve"> Working paper </w:t>
      </w:r>
      <w:r w:rsidRPr="00911FB1">
        <w:rPr>
          <w:lang w:val="en-US"/>
        </w:rPr>
        <w:t xml:space="preserve">No. </w:t>
      </w:r>
      <w:r w:rsidR="009C4C75">
        <w:rPr>
          <w:lang w:val="en-US"/>
        </w:rPr>
        <w:t>0</w:t>
      </w:r>
      <w:r w:rsidRPr="00911FB1">
        <w:rPr>
          <w:lang w:val="en-US"/>
        </w:rPr>
        <w:t>1</w:t>
      </w:r>
      <w:r w:rsidR="009C4C75">
        <w:rPr>
          <w:lang w:val="en-US"/>
        </w:rPr>
        <w:t>/</w:t>
      </w:r>
      <w:r w:rsidRPr="00911FB1">
        <w:rPr>
          <w:lang w:val="en-US"/>
        </w:rPr>
        <w:t>3 International Monetary Fund.</w:t>
      </w:r>
    </w:p>
    <w:p w14:paraId="34F7A950" w14:textId="6A29F65E" w:rsidR="004C6745" w:rsidRPr="00911FB1" w:rsidRDefault="004C6745" w:rsidP="004C6745">
      <w:pPr>
        <w:pStyle w:val="References"/>
        <w:rPr>
          <w:lang w:val="en-US"/>
        </w:rPr>
      </w:pPr>
      <w:r w:rsidRPr="00911FB1">
        <w:rPr>
          <w:lang w:val="en-US"/>
        </w:rPr>
        <w:t>Bin, P</w:t>
      </w:r>
      <w:r w:rsidR="009C4C75">
        <w:rPr>
          <w:lang w:val="en-US"/>
        </w:rPr>
        <w:t>eng</w:t>
      </w:r>
      <w:r w:rsidRPr="00911FB1">
        <w:rPr>
          <w:lang w:val="en-US"/>
        </w:rPr>
        <w:t xml:space="preserve">. 2015. </w:t>
      </w:r>
      <w:r w:rsidR="008B20CE">
        <w:rPr>
          <w:lang w:val="en-US"/>
        </w:rPr>
        <w:t>“</w:t>
      </w:r>
      <w:r w:rsidRPr="00911FB1">
        <w:rPr>
          <w:lang w:val="en-US"/>
        </w:rPr>
        <w:t xml:space="preserve">Regional Disparity and Dynamic Development of China: </w:t>
      </w:r>
      <w:r w:rsidR="009C4C75" w:rsidRPr="00911FB1">
        <w:rPr>
          <w:lang w:val="en-US"/>
        </w:rPr>
        <w:t>A</w:t>
      </w:r>
      <w:r w:rsidRPr="00911FB1">
        <w:rPr>
          <w:lang w:val="en-US"/>
        </w:rPr>
        <w:t xml:space="preserve"> Multidimensional Index.</w:t>
      </w:r>
      <w:r w:rsidR="008B20CE">
        <w:rPr>
          <w:lang w:val="en-US"/>
        </w:rPr>
        <w:t>”</w:t>
      </w:r>
      <w:r w:rsidRPr="00911FB1">
        <w:rPr>
          <w:lang w:val="en-US"/>
        </w:rPr>
        <w:t xml:space="preserve"> Technical Report Working Paper 2015-1, School of International Studies.</w:t>
      </w:r>
      <w:r w:rsidR="002A5CF8">
        <w:rPr>
          <w:lang w:val="en-US"/>
        </w:rPr>
        <w:t xml:space="preserve"> </w:t>
      </w:r>
      <w:r w:rsidR="002A5CF8" w:rsidRPr="002A5CF8">
        <w:rPr>
          <w:lang w:val="en-US"/>
        </w:rPr>
        <w:t>University Library of Munich, Germany</w:t>
      </w:r>
      <w:r w:rsidR="008B20CE">
        <w:rPr>
          <w:lang w:val="en-US"/>
        </w:rPr>
        <w:t>.</w:t>
      </w:r>
    </w:p>
    <w:p w14:paraId="6E3110BA" w14:textId="18EBFB04" w:rsidR="00911FB1" w:rsidRPr="00911FB1" w:rsidRDefault="00911FB1" w:rsidP="00911FB1">
      <w:pPr>
        <w:pStyle w:val="References"/>
        <w:rPr>
          <w:rFonts w:eastAsia="Times New Roman"/>
          <w:lang w:val="en-US"/>
        </w:rPr>
      </w:pPr>
      <w:r w:rsidRPr="00911FB1">
        <w:rPr>
          <w:rFonts w:eastAsia="Times New Roman"/>
          <w:lang w:val="en-US"/>
        </w:rPr>
        <w:t xml:space="preserve">Boyle, G. E., and T. G. McCarthy. 1997. </w:t>
      </w:r>
      <w:r w:rsidR="008B20CE">
        <w:rPr>
          <w:rFonts w:eastAsia="Times New Roman"/>
          <w:lang w:val="en-US"/>
        </w:rPr>
        <w:t>“</w:t>
      </w:r>
      <w:r w:rsidRPr="00911FB1">
        <w:rPr>
          <w:rFonts w:eastAsia="Times New Roman"/>
          <w:lang w:val="en-US"/>
        </w:rPr>
        <w:t xml:space="preserve">A Simple Measure of </w:t>
      </w:r>
      <w:r w:rsidRPr="00911FB1">
        <w:rPr>
          <w:rFonts w:ascii="Cambria" w:eastAsia="Times New Roman" w:hAnsi="Cambria" w:cs="Cambria"/>
          <w:lang w:val="en-US"/>
        </w:rPr>
        <w:t>β</w:t>
      </w:r>
      <w:r w:rsidRPr="00911FB1">
        <w:rPr>
          <w:rFonts w:ascii="Cambria Math" w:eastAsia="Times New Roman" w:hAnsi="Cambria Math" w:cs="Cambria Math"/>
          <w:lang w:val="en-US"/>
        </w:rPr>
        <w:t>‐</w:t>
      </w:r>
      <w:r w:rsidRPr="00911FB1">
        <w:rPr>
          <w:rFonts w:eastAsia="Times New Roman"/>
          <w:lang w:val="en-US"/>
        </w:rPr>
        <w:t xml:space="preserve">Convergence. </w:t>
      </w:r>
      <w:r w:rsidR="008B20CE">
        <w:rPr>
          <w:rFonts w:eastAsia="Times New Roman"/>
          <w:lang w:val="en-US"/>
        </w:rPr>
        <w:t>“</w:t>
      </w:r>
      <w:r w:rsidRPr="00911FB1">
        <w:rPr>
          <w:rFonts w:eastAsia="Times New Roman"/>
          <w:i/>
          <w:iCs/>
          <w:lang w:val="en-US"/>
        </w:rPr>
        <w:t>Oxford Bulletin of Economics and Statistics</w:t>
      </w:r>
      <w:r w:rsidRPr="00911FB1">
        <w:rPr>
          <w:rFonts w:eastAsia="Times New Roman"/>
          <w:lang w:val="en-US"/>
        </w:rPr>
        <w:t xml:space="preserve"> </w:t>
      </w:r>
      <w:r w:rsidRPr="00236D4E">
        <w:rPr>
          <w:rFonts w:eastAsia="Times New Roman"/>
          <w:lang w:val="en-US"/>
        </w:rPr>
        <w:t>59</w:t>
      </w:r>
      <w:r w:rsidR="009C4C75" w:rsidRPr="00236D4E">
        <w:rPr>
          <w:rFonts w:eastAsia="Times New Roman"/>
          <w:lang w:val="en-US"/>
        </w:rPr>
        <w:t xml:space="preserve"> </w:t>
      </w:r>
      <w:r w:rsidRPr="009C4C75">
        <w:rPr>
          <w:rFonts w:eastAsia="Times New Roman"/>
          <w:lang w:val="en-US"/>
        </w:rPr>
        <w:t>(2)</w:t>
      </w:r>
      <w:r w:rsidR="009C4C75">
        <w:rPr>
          <w:rFonts w:eastAsia="Times New Roman"/>
          <w:lang w:val="en-US"/>
        </w:rPr>
        <w:t>:</w:t>
      </w:r>
      <w:r w:rsidRPr="009C4C75">
        <w:rPr>
          <w:rFonts w:eastAsia="Times New Roman"/>
          <w:lang w:val="en-US"/>
        </w:rPr>
        <w:t xml:space="preserve"> 257</w:t>
      </w:r>
      <w:r w:rsidR="009C4C75">
        <w:rPr>
          <w:rFonts w:eastAsia="Times New Roman"/>
          <w:lang w:val="en-US"/>
        </w:rPr>
        <w:t>–</w:t>
      </w:r>
      <w:r w:rsidRPr="009C4C75">
        <w:rPr>
          <w:rFonts w:eastAsia="Times New Roman"/>
          <w:lang w:val="en-US"/>
        </w:rPr>
        <w:t>264</w:t>
      </w:r>
      <w:r w:rsidRPr="00911FB1">
        <w:rPr>
          <w:rFonts w:eastAsia="Times New Roman"/>
          <w:lang w:val="en-US"/>
        </w:rPr>
        <w:t>.</w:t>
      </w:r>
    </w:p>
    <w:p w14:paraId="1C2742B9" w14:textId="3EEF1336" w:rsidR="004C6745" w:rsidRPr="00911FB1" w:rsidRDefault="00911FB1" w:rsidP="004C6745">
      <w:pPr>
        <w:pStyle w:val="References"/>
        <w:rPr>
          <w:rFonts w:eastAsia="Times New Roman"/>
          <w:lang w:val="en-US"/>
        </w:rPr>
      </w:pPr>
      <w:r w:rsidRPr="00911FB1">
        <w:rPr>
          <w:rFonts w:eastAsia="Times New Roman"/>
          <w:lang w:val="en-US"/>
        </w:rPr>
        <w:t xml:space="preserve">Boyle, G. E., and T. G. McCarthy. </w:t>
      </w:r>
      <w:r w:rsidR="004C6745" w:rsidRPr="00911FB1">
        <w:rPr>
          <w:rFonts w:eastAsia="Times New Roman"/>
          <w:lang w:val="en-US"/>
        </w:rPr>
        <w:t xml:space="preserve">1999. </w:t>
      </w:r>
      <w:r w:rsidR="008B20CE">
        <w:rPr>
          <w:rFonts w:eastAsia="Times New Roman"/>
          <w:lang w:val="en-US"/>
        </w:rPr>
        <w:t>“</w:t>
      </w:r>
      <w:r w:rsidR="004C6745" w:rsidRPr="00911FB1">
        <w:rPr>
          <w:rFonts w:eastAsia="Times New Roman"/>
          <w:lang w:val="en-US"/>
        </w:rPr>
        <w:t xml:space="preserve">Simple </w:t>
      </w:r>
      <w:r w:rsidR="009C4C75">
        <w:rPr>
          <w:rFonts w:eastAsia="Times New Roman"/>
          <w:lang w:val="en-US"/>
        </w:rPr>
        <w:t>M</w:t>
      </w:r>
      <w:r w:rsidR="004C6745" w:rsidRPr="00911FB1">
        <w:rPr>
          <w:rFonts w:eastAsia="Times New Roman"/>
          <w:lang w:val="en-US"/>
        </w:rPr>
        <w:t xml:space="preserve">easures of </w:t>
      </w:r>
      <w:r w:rsidR="009C4C75">
        <w:rPr>
          <w:rFonts w:eastAsia="Times New Roman"/>
          <w:lang w:val="en-US"/>
        </w:rPr>
        <w:t>C</w:t>
      </w:r>
      <w:r w:rsidR="004C6745" w:rsidRPr="00911FB1">
        <w:rPr>
          <w:rFonts w:eastAsia="Times New Roman"/>
          <w:lang w:val="en-US"/>
        </w:rPr>
        <w:t xml:space="preserve">onvergence in </w:t>
      </w:r>
      <w:r w:rsidR="009C4C75">
        <w:rPr>
          <w:rFonts w:eastAsia="Times New Roman"/>
          <w:lang w:val="en-US"/>
        </w:rPr>
        <w:t>P</w:t>
      </w:r>
      <w:r w:rsidR="004C6745" w:rsidRPr="00911FB1">
        <w:rPr>
          <w:rFonts w:eastAsia="Times New Roman"/>
          <w:lang w:val="en-US"/>
        </w:rPr>
        <w:t xml:space="preserve">er </w:t>
      </w:r>
      <w:r w:rsidR="009C4C75">
        <w:rPr>
          <w:rFonts w:eastAsia="Times New Roman"/>
          <w:lang w:val="en-US"/>
        </w:rPr>
        <w:t>C</w:t>
      </w:r>
      <w:r w:rsidR="004C6745" w:rsidRPr="00911FB1">
        <w:rPr>
          <w:rFonts w:eastAsia="Times New Roman"/>
          <w:lang w:val="en-US"/>
        </w:rPr>
        <w:t xml:space="preserve">apita GDP: </w:t>
      </w:r>
      <w:r w:rsidR="009C4C75">
        <w:rPr>
          <w:rFonts w:eastAsia="Times New Roman"/>
          <w:lang w:val="en-US"/>
        </w:rPr>
        <w:t>A</w:t>
      </w:r>
      <w:r w:rsidR="009C4C75" w:rsidRPr="00911FB1">
        <w:rPr>
          <w:rFonts w:eastAsia="Times New Roman"/>
          <w:lang w:val="en-US"/>
        </w:rPr>
        <w:t xml:space="preserve"> </w:t>
      </w:r>
      <w:r w:rsidR="009C4C75">
        <w:rPr>
          <w:rFonts w:eastAsia="Times New Roman"/>
          <w:lang w:val="en-US"/>
        </w:rPr>
        <w:t>N</w:t>
      </w:r>
      <w:r w:rsidR="004C6745" w:rsidRPr="00911FB1">
        <w:rPr>
          <w:rFonts w:eastAsia="Times New Roman"/>
          <w:lang w:val="en-US"/>
        </w:rPr>
        <w:t xml:space="preserve">ote on </w:t>
      </w:r>
      <w:r w:rsidR="009C4C75">
        <w:rPr>
          <w:rFonts w:eastAsia="Times New Roman"/>
          <w:lang w:val="en-US"/>
        </w:rPr>
        <w:t>S</w:t>
      </w:r>
      <w:r w:rsidR="004C6745" w:rsidRPr="00911FB1">
        <w:rPr>
          <w:rFonts w:eastAsia="Times New Roman"/>
          <w:lang w:val="en-US"/>
        </w:rPr>
        <w:t xml:space="preserve">ome </w:t>
      </w:r>
      <w:r w:rsidR="009C4C75">
        <w:rPr>
          <w:rFonts w:eastAsia="Times New Roman"/>
          <w:lang w:val="en-US"/>
        </w:rPr>
        <w:t>F</w:t>
      </w:r>
      <w:r w:rsidR="004C6745" w:rsidRPr="00911FB1">
        <w:rPr>
          <w:rFonts w:eastAsia="Times New Roman"/>
          <w:lang w:val="en-US"/>
        </w:rPr>
        <w:t xml:space="preserve">urther </w:t>
      </w:r>
      <w:r w:rsidR="009C4C75">
        <w:rPr>
          <w:rFonts w:eastAsia="Times New Roman"/>
          <w:lang w:val="en-US"/>
        </w:rPr>
        <w:t>I</w:t>
      </w:r>
      <w:r w:rsidR="004C6745" w:rsidRPr="00911FB1">
        <w:rPr>
          <w:rFonts w:eastAsia="Times New Roman"/>
          <w:lang w:val="en-US"/>
        </w:rPr>
        <w:t xml:space="preserve">nternational </w:t>
      </w:r>
      <w:r w:rsidR="009C4C75">
        <w:rPr>
          <w:rFonts w:eastAsia="Times New Roman"/>
          <w:lang w:val="en-US"/>
        </w:rPr>
        <w:t>E</w:t>
      </w:r>
      <w:r w:rsidR="004C6745" w:rsidRPr="00911FB1">
        <w:rPr>
          <w:rFonts w:eastAsia="Times New Roman"/>
          <w:lang w:val="en-US"/>
        </w:rPr>
        <w:t>vidence.</w:t>
      </w:r>
      <w:r w:rsidR="008B20CE">
        <w:rPr>
          <w:rFonts w:eastAsia="Times New Roman"/>
          <w:lang w:val="en-US"/>
        </w:rPr>
        <w:t>”</w:t>
      </w:r>
      <w:r w:rsidR="004C6745" w:rsidRPr="00911FB1">
        <w:rPr>
          <w:rFonts w:eastAsia="Times New Roman"/>
          <w:lang w:val="en-US"/>
        </w:rPr>
        <w:t xml:space="preserve"> </w:t>
      </w:r>
      <w:r w:rsidR="004C6745" w:rsidRPr="00911FB1">
        <w:rPr>
          <w:rFonts w:eastAsia="Times New Roman"/>
          <w:i/>
          <w:iCs/>
          <w:lang w:val="en-US"/>
        </w:rPr>
        <w:t>Applied Economics Letters</w:t>
      </w:r>
      <w:r w:rsidR="004C6745" w:rsidRPr="00911FB1">
        <w:rPr>
          <w:rFonts w:eastAsia="Times New Roman"/>
          <w:lang w:val="en-US"/>
        </w:rPr>
        <w:t xml:space="preserve"> </w:t>
      </w:r>
      <w:r w:rsidR="004C6745" w:rsidRPr="00236D4E">
        <w:rPr>
          <w:rFonts w:eastAsia="Times New Roman"/>
          <w:lang w:val="en-US"/>
        </w:rPr>
        <w:t>6</w:t>
      </w:r>
      <w:r w:rsidR="009C4C75" w:rsidRPr="00236D4E">
        <w:rPr>
          <w:rFonts w:eastAsia="Times New Roman"/>
          <w:lang w:val="en-US"/>
        </w:rPr>
        <w:t xml:space="preserve"> </w:t>
      </w:r>
      <w:r w:rsidR="004C6745" w:rsidRPr="009C4C75">
        <w:rPr>
          <w:rFonts w:eastAsia="Times New Roman"/>
          <w:lang w:val="en-US"/>
        </w:rPr>
        <w:t>(6)</w:t>
      </w:r>
      <w:r w:rsidR="009C4C75">
        <w:rPr>
          <w:rFonts w:eastAsia="Times New Roman"/>
          <w:lang w:val="en-US"/>
        </w:rPr>
        <w:t>:</w:t>
      </w:r>
      <w:r w:rsidR="004C6745" w:rsidRPr="00911FB1">
        <w:rPr>
          <w:rFonts w:eastAsia="Times New Roman"/>
          <w:lang w:val="en-US"/>
        </w:rPr>
        <w:t xml:space="preserve"> 343</w:t>
      </w:r>
      <w:r w:rsidR="009C4C75">
        <w:rPr>
          <w:rFonts w:eastAsia="Times New Roman"/>
          <w:lang w:val="en-US"/>
        </w:rPr>
        <w:t>–</w:t>
      </w:r>
      <w:r w:rsidR="004C6745" w:rsidRPr="00911FB1">
        <w:rPr>
          <w:rFonts w:eastAsia="Times New Roman"/>
          <w:lang w:val="en-US"/>
        </w:rPr>
        <w:t>347.</w:t>
      </w:r>
    </w:p>
    <w:p w14:paraId="7BAB8F17" w14:textId="19958444" w:rsidR="005C5676" w:rsidRDefault="004C6745" w:rsidP="003D2513">
      <w:pPr>
        <w:pStyle w:val="References"/>
        <w:rPr>
          <w:lang w:val="en-US"/>
        </w:rPr>
      </w:pPr>
      <w:proofErr w:type="spellStart"/>
      <w:r w:rsidRPr="00911FB1">
        <w:rPr>
          <w:lang w:val="en-US"/>
        </w:rPr>
        <w:t>Byrkjeflot</w:t>
      </w:r>
      <w:proofErr w:type="spellEnd"/>
      <w:r w:rsidRPr="00911FB1">
        <w:rPr>
          <w:lang w:val="en-US"/>
        </w:rPr>
        <w:t xml:space="preserve">, </w:t>
      </w:r>
      <w:proofErr w:type="spellStart"/>
      <w:r w:rsidRPr="00911FB1">
        <w:rPr>
          <w:lang w:val="en-US"/>
        </w:rPr>
        <w:t>H</w:t>
      </w:r>
      <w:r w:rsidR="009C4C75">
        <w:rPr>
          <w:lang w:val="en-US"/>
        </w:rPr>
        <w:t>aldor</w:t>
      </w:r>
      <w:proofErr w:type="spellEnd"/>
      <w:r w:rsidRPr="00911FB1">
        <w:rPr>
          <w:lang w:val="en-US"/>
        </w:rPr>
        <w:t xml:space="preserve">, </w:t>
      </w:r>
      <w:r w:rsidR="009C4C75">
        <w:rPr>
          <w:lang w:val="en-US"/>
        </w:rPr>
        <w:t xml:space="preserve">Paul </w:t>
      </w:r>
      <w:r w:rsidRPr="00911FB1">
        <w:rPr>
          <w:lang w:val="en-US"/>
        </w:rPr>
        <w:t xml:space="preserve">du Gay, and </w:t>
      </w:r>
      <w:r w:rsidR="009C4C75">
        <w:rPr>
          <w:lang w:val="en-US"/>
        </w:rPr>
        <w:t xml:space="preserve">Carsten </w:t>
      </w:r>
      <w:r w:rsidRPr="00911FB1">
        <w:rPr>
          <w:lang w:val="en-US"/>
        </w:rPr>
        <w:t xml:space="preserve">Greve. 2018. </w:t>
      </w:r>
      <w:r w:rsidR="008B20CE">
        <w:rPr>
          <w:lang w:val="en-US"/>
        </w:rPr>
        <w:t>“</w:t>
      </w:r>
      <w:r w:rsidRPr="00911FB1">
        <w:rPr>
          <w:lang w:val="en-US"/>
        </w:rPr>
        <w:t xml:space="preserve">What is the ‘Neo-Weberian </w:t>
      </w:r>
      <w:r w:rsidR="002359AE" w:rsidRPr="00911FB1">
        <w:rPr>
          <w:lang w:val="en-US"/>
        </w:rPr>
        <w:t>State’ as</w:t>
      </w:r>
      <w:r w:rsidRPr="00911FB1">
        <w:rPr>
          <w:lang w:val="en-US"/>
        </w:rPr>
        <w:t xml:space="preserve"> a Regime of Public Administration?</w:t>
      </w:r>
      <w:r w:rsidR="008B20CE">
        <w:rPr>
          <w:lang w:val="en-US"/>
        </w:rPr>
        <w:t>”</w:t>
      </w:r>
      <w:r w:rsidRPr="00911FB1">
        <w:rPr>
          <w:lang w:val="en-US"/>
        </w:rPr>
        <w:t xml:space="preserve"> </w:t>
      </w:r>
      <w:r w:rsidRPr="00236D4E">
        <w:rPr>
          <w:iCs/>
          <w:lang w:val="en-US"/>
        </w:rPr>
        <w:t>In</w:t>
      </w:r>
      <w:r w:rsidRPr="00911FB1">
        <w:rPr>
          <w:i/>
          <w:lang w:val="en-US"/>
        </w:rPr>
        <w:t xml:space="preserve"> The Palgrave </w:t>
      </w:r>
      <w:r w:rsidR="009C4C75">
        <w:rPr>
          <w:i/>
          <w:lang w:val="en-US"/>
        </w:rPr>
        <w:t>H</w:t>
      </w:r>
      <w:r w:rsidRPr="00911FB1">
        <w:rPr>
          <w:i/>
          <w:lang w:val="en-US"/>
        </w:rPr>
        <w:t xml:space="preserve">andbook of </w:t>
      </w:r>
      <w:r w:rsidR="009C4C75">
        <w:rPr>
          <w:i/>
          <w:lang w:val="en-US"/>
        </w:rPr>
        <w:t>P</w:t>
      </w:r>
      <w:r w:rsidRPr="00911FB1">
        <w:rPr>
          <w:i/>
          <w:lang w:val="en-US"/>
        </w:rPr>
        <w:t xml:space="preserve">ublic </w:t>
      </w:r>
      <w:r w:rsidR="009C4C75">
        <w:rPr>
          <w:i/>
          <w:lang w:val="en-US"/>
        </w:rPr>
        <w:t>A</w:t>
      </w:r>
      <w:r w:rsidRPr="00911FB1">
        <w:rPr>
          <w:i/>
          <w:lang w:val="en-US"/>
        </w:rPr>
        <w:t xml:space="preserve">dministration and </w:t>
      </w:r>
      <w:r w:rsidR="009C4C75">
        <w:rPr>
          <w:i/>
          <w:lang w:val="en-US"/>
        </w:rPr>
        <w:t>M</w:t>
      </w:r>
      <w:r w:rsidRPr="00911FB1">
        <w:rPr>
          <w:i/>
          <w:lang w:val="en-US"/>
        </w:rPr>
        <w:t>anagement in Europe</w:t>
      </w:r>
      <w:r w:rsidR="009C4C75">
        <w:rPr>
          <w:iCs/>
          <w:lang w:val="en-US"/>
        </w:rPr>
        <w:t xml:space="preserve"> edited by </w:t>
      </w:r>
      <w:proofErr w:type="spellStart"/>
      <w:r w:rsidR="009C4C75" w:rsidRPr="009C4C75">
        <w:rPr>
          <w:iCs/>
          <w:lang w:val="en-US"/>
        </w:rPr>
        <w:t>Edoardo</w:t>
      </w:r>
      <w:proofErr w:type="spellEnd"/>
      <w:r w:rsidR="009C4C75" w:rsidRPr="009C4C75">
        <w:rPr>
          <w:iCs/>
          <w:lang w:val="en-US"/>
        </w:rPr>
        <w:t xml:space="preserve"> </w:t>
      </w:r>
      <w:proofErr w:type="spellStart"/>
      <w:r w:rsidR="009C4C75" w:rsidRPr="009C4C75">
        <w:rPr>
          <w:iCs/>
          <w:lang w:val="en-US"/>
        </w:rPr>
        <w:t>Ongaro</w:t>
      </w:r>
      <w:proofErr w:type="spellEnd"/>
      <w:r w:rsidR="009C4C75" w:rsidRPr="009C4C75">
        <w:rPr>
          <w:iCs/>
          <w:lang w:val="en-US"/>
        </w:rPr>
        <w:t xml:space="preserve">, </w:t>
      </w:r>
      <w:r w:rsidR="009C4C75">
        <w:rPr>
          <w:iCs/>
          <w:lang w:val="en-US"/>
        </w:rPr>
        <w:t xml:space="preserve">and </w:t>
      </w:r>
      <w:r w:rsidR="009C4C75" w:rsidRPr="009C4C75">
        <w:rPr>
          <w:iCs/>
          <w:lang w:val="en-US"/>
        </w:rPr>
        <w:t>Sandra Van Thiel</w:t>
      </w:r>
      <w:r w:rsidR="009C4C75">
        <w:rPr>
          <w:lang w:val="en-US"/>
        </w:rPr>
        <w:t xml:space="preserve">, </w:t>
      </w:r>
      <w:r w:rsidRPr="00911FB1">
        <w:rPr>
          <w:lang w:val="en-US"/>
        </w:rPr>
        <w:t>991</w:t>
      </w:r>
      <w:r w:rsidR="009C4C75">
        <w:rPr>
          <w:lang w:val="en-US"/>
        </w:rPr>
        <w:t>–</w:t>
      </w:r>
      <w:r w:rsidRPr="00911FB1">
        <w:rPr>
          <w:lang w:val="en-US"/>
        </w:rPr>
        <w:t xml:space="preserve">1009. </w:t>
      </w:r>
      <w:r w:rsidR="009C4C75" w:rsidRPr="00911FB1">
        <w:rPr>
          <w:lang w:val="en-US"/>
        </w:rPr>
        <w:t>London</w:t>
      </w:r>
      <w:r w:rsidR="009C4C75">
        <w:rPr>
          <w:lang w:val="en-US"/>
        </w:rPr>
        <w:t>:</w:t>
      </w:r>
      <w:r w:rsidR="009C4C75" w:rsidRPr="00911FB1">
        <w:rPr>
          <w:lang w:val="en-US"/>
        </w:rPr>
        <w:t xml:space="preserve"> </w:t>
      </w:r>
      <w:r w:rsidRPr="00911FB1">
        <w:rPr>
          <w:lang w:val="en-US"/>
        </w:rPr>
        <w:t xml:space="preserve">Palgrave </w:t>
      </w:r>
      <w:proofErr w:type="gramStart"/>
      <w:r w:rsidRPr="00911FB1">
        <w:rPr>
          <w:lang w:val="en-US"/>
        </w:rPr>
        <w:t>Macmillan,.</w:t>
      </w:r>
      <w:proofErr w:type="gramEnd"/>
    </w:p>
    <w:p w14:paraId="09E4E07D" w14:textId="52BC795C" w:rsidR="008B20CE" w:rsidRPr="00911FB1" w:rsidRDefault="008B20CE" w:rsidP="008B20CE">
      <w:pPr>
        <w:pStyle w:val="References"/>
        <w:rPr>
          <w:lang w:val="en-US"/>
        </w:rPr>
      </w:pPr>
      <w:r w:rsidRPr="00911FB1">
        <w:rPr>
          <w:lang w:val="en-US"/>
        </w:rPr>
        <w:t xml:space="preserve">Cai, Fang, Wang, D., and Du, Y. (2002). Regional Disparity and Economic Growth in China: The Impact of Labor Market Distortions. </w:t>
      </w:r>
      <w:r w:rsidRPr="00911FB1">
        <w:rPr>
          <w:i/>
          <w:lang w:val="en-US"/>
        </w:rPr>
        <w:t>China Economic Review</w:t>
      </w:r>
      <w:r w:rsidRPr="00911FB1">
        <w:rPr>
          <w:lang w:val="en-US"/>
        </w:rPr>
        <w:t xml:space="preserve"> 13</w:t>
      </w:r>
      <w:r>
        <w:rPr>
          <w:lang w:val="en-US"/>
        </w:rPr>
        <w:t xml:space="preserve"> </w:t>
      </w:r>
      <w:r w:rsidRPr="00911FB1">
        <w:rPr>
          <w:lang w:val="en-US"/>
        </w:rPr>
        <w:t>(2</w:t>
      </w:r>
      <w:r>
        <w:rPr>
          <w:lang w:val="en-US"/>
        </w:rPr>
        <w:t>–</w:t>
      </w:r>
      <w:r w:rsidRPr="00911FB1">
        <w:rPr>
          <w:lang w:val="en-US"/>
        </w:rPr>
        <w:t>3)</w:t>
      </w:r>
      <w:r>
        <w:rPr>
          <w:lang w:val="en-US"/>
        </w:rPr>
        <w:t>:</w:t>
      </w:r>
      <w:r w:rsidRPr="00911FB1">
        <w:rPr>
          <w:lang w:val="en-US"/>
        </w:rPr>
        <w:t>197</w:t>
      </w:r>
      <w:r>
        <w:rPr>
          <w:lang w:val="en-US"/>
        </w:rPr>
        <w:t>–</w:t>
      </w:r>
      <w:r w:rsidRPr="00911FB1">
        <w:rPr>
          <w:lang w:val="en-US"/>
        </w:rPr>
        <w:t>212.</w:t>
      </w:r>
    </w:p>
    <w:p w14:paraId="73527648" w14:textId="3C404760" w:rsidR="003D2513" w:rsidRPr="003D2513" w:rsidRDefault="003D2513" w:rsidP="008B20CE">
      <w:pPr>
        <w:pStyle w:val="References"/>
      </w:pPr>
      <w:r w:rsidRPr="003D2513">
        <w:t xml:space="preserve">Castro, José </w:t>
      </w:r>
      <w:proofErr w:type="spellStart"/>
      <w:r w:rsidRPr="003D2513">
        <w:t>Villaverde</w:t>
      </w:r>
      <w:proofErr w:type="spellEnd"/>
      <w:r w:rsidRPr="003D2513">
        <w:t xml:space="preserve">. 2003. </w:t>
      </w:r>
      <w:r w:rsidR="008B20CE">
        <w:t>“</w:t>
      </w:r>
      <w:r w:rsidRPr="003D2513">
        <w:t xml:space="preserve">Regional </w:t>
      </w:r>
      <w:r w:rsidR="008B20CE" w:rsidRPr="003D2513">
        <w:t xml:space="preserve">Convergence, Polarisation </w:t>
      </w:r>
      <w:r w:rsidRPr="003D2513">
        <w:t xml:space="preserve">and </w:t>
      </w:r>
      <w:r w:rsidR="008B20CE" w:rsidRPr="003D2513">
        <w:t xml:space="preserve">Mobility </w:t>
      </w:r>
      <w:r w:rsidRPr="003D2513">
        <w:t>in the European Union, 1980</w:t>
      </w:r>
      <w:r w:rsidR="008B20CE">
        <w:t>–</w:t>
      </w:r>
      <w:r w:rsidR="008B20CE" w:rsidRPr="008B20CE">
        <w:t xml:space="preserve"> </w:t>
      </w:r>
      <w:r w:rsidRPr="003D2513">
        <w:t>1996.</w:t>
      </w:r>
      <w:r w:rsidR="008B20CE">
        <w:t>”</w:t>
      </w:r>
      <w:r w:rsidRPr="003D2513">
        <w:t> </w:t>
      </w:r>
      <w:r w:rsidRPr="003D2513">
        <w:rPr>
          <w:i/>
          <w:iCs/>
        </w:rPr>
        <w:t>Journal of European Integration</w:t>
      </w:r>
      <w:r w:rsidRPr="003D2513">
        <w:t> 25 (1): 73</w:t>
      </w:r>
      <w:r w:rsidR="008B20CE">
        <w:t>–</w:t>
      </w:r>
      <w:r w:rsidRPr="003D2513">
        <w:t>86.</w:t>
      </w:r>
    </w:p>
    <w:p w14:paraId="3D909ACC" w14:textId="292B49F4" w:rsidR="003D2513" w:rsidRPr="003D2513" w:rsidRDefault="003D2513" w:rsidP="003D2513">
      <w:pPr>
        <w:pStyle w:val="References"/>
      </w:pPr>
      <w:r w:rsidRPr="003D2513">
        <w:t xml:space="preserve">Chen, Jian, and Belton M. Fleisher. 1996. </w:t>
      </w:r>
      <w:r w:rsidR="008B20CE">
        <w:t>“</w:t>
      </w:r>
      <w:r w:rsidRPr="003D2513">
        <w:t xml:space="preserve">Regional </w:t>
      </w:r>
      <w:r w:rsidR="008B20CE" w:rsidRPr="003D2513">
        <w:t xml:space="preserve">Income Inequality </w:t>
      </w:r>
      <w:r w:rsidRPr="003D2513">
        <w:t xml:space="preserve">and </w:t>
      </w:r>
      <w:r w:rsidR="008B20CE" w:rsidRPr="003D2513">
        <w:t xml:space="preserve">Economic Growth </w:t>
      </w:r>
      <w:r w:rsidRPr="003D2513">
        <w:t>in China.</w:t>
      </w:r>
      <w:r w:rsidR="008B20CE">
        <w:t>”</w:t>
      </w:r>
      <w:r w:rsidRPr="003D2513">
        <w:t> </w:t>
      </w:r>
      <w:r w:rsidRPr="003D2513">
        <w:rPr>
          <w:i/>
          <w:iCs/>
        </w:rPr>
        <w:t xml:space="preserve">Journal of </w:t>
      </w:r>
      <w:r w:rsidR="008B20CE" w:rsidRPr="003D2513">
        <w:rPr>
          <w:i/>
          <w:iCs/>
        </w:rPr>
        <w:t>Comparative Economics</w:t>
      </w:r>
      <w:r w:rsidR="008B20CE" w:rsidRPr="003D2513">
        <w:t> </w:t>
      </w:r>
      <w:r w:rsidRPr="003D2513">
        <w:t>22 (2): 141</w:t>
      </w:r>
      <w:r w:rsidR="008B20CE">
        <w:t>–</w:t>
      </w:r>
      <w:r w:rsidRPr="003D2513">
        <w:t>164.</w:t>
      </w:r>
    </w:p>
    <w:p w14:paraId="6F8F5AA6" w14:textId="7FDCFE4F" w:rsidR="003D2513" w:rsidRPr="003D2513" w:rsidRDefault="003D2513" w:rsidP="003D2513">
      <w:pPr>
        <w:pStyle w:val="References"/>
      </w:pPr>
      <w:r w:rsidRPr="003D2513">
        <w:t xml:space="preserve">Chen, Yi, and Frank A. Cowell. 2017. </w:t>
      </w:r>
      <w:r w:rsidR="008B20CE">
        <w:t>“</w:t>
      </w:r>
      <w:r w:rsidRPr="003D2513">
        <w:t>Mobility in China.</w:t>
      </w:r>
      <w:r w:rsidR="008B20CE">
        <w:t>”</w:t>
      </w:r>
      <w:r w:rsidRPr="003D2513">
        <w:t> </w:t>
      </w:r>
      <w:r w:rsidRPr="003D2513">
        <w:rPr>
          <w:i/>
          <w:iCs/>
        </w:rPr>
        <w:t>Review of Income and Wealth</w:t>
      </w:r>
      <w:r w:rsidRPr="003D2513">
        <w:t> 63 (2): 203</w:t>
      </w:r>
      <w:r w:rsidR="008B20CE">
        <w:t>–</w:t>
      </w:r>
      <w:r w:rsidRPr="003D2513">
        <w:t>218.</w:t>
      </w:r>
    </w:p>
    <w:p w14:paraId="69958AA3" w14:textId="0A819C20" w:rsidR="003D2513" w:rsidRPr="003D2513" w:rsidRDefault="003D2513" w:rsidP="003D2513">
      <w:pPr>
        <w:pStyle w:val="References"/>
      </w:pPr>
      <w:r w:rsidRPr="003D2513">
        <w:t xml:space="preserve">Cheong, </w:t>
      </w:r>
      <w:proofErr w:type="spellStart"/>
      <w:r w:rsidRPr="003D2513">
        <w:t>Tsun</w:t>
      </w:r>
      <w:proofErr w:type="spellEnd"/>
      <w:r w:rsidRPr="003D2513">
        <w:t xml:space="preserve"> Se, and </w:t>
      </w:r>
      <w:proofErr w:type="spellStart"/>
      <w:r w:rsidRPr="003D2513">
        <w:t>Yanrui</w:t>
      </w:r>
      <w:proofErr w:type="spellEnd"/>
      <w:r w:rsidRPr="003D2513">
        <w:t xml:space="preserve"> Wu. 2018. </w:t>
      </w:r>
      <w:r w:rsidR="008B20CE">
        <w:t>“</w:t>
      </w:r>
      <w:r w:rsidRPr="003D2513">
        <w:t xml:space="preserve">Convergence and </w:t>
      </w:r>
      <w:r w:rsidR="008B20CE" w:rsidRPr="003D2513">
        <w:t xml:space="preserve">Transitional Dynamics </w:t>
      </w:r>
      <w:r w:rsidRPr="003D2513">
        <w:t xml:space="preserve">of China's </w:t>
      </w:r>
      <w:r w:rsidR="008B20CE" w:rsidRPr="003D2513">
        <w:t>Industrial Output</w:t>
      </w:r>
      <w:r w:rsidRPr="003D2513">
        <w:t xml:space="preserve">: A </w:t>
      </w:r>
      <w:r w:rsidR="008B20CE" w:rsidRPr="003D2513">
        <w:t xml:space="preserve">County-Level Study Using </w:t>
      </w:r>
      <w:r w:rsidRPr="003D2513">
        <w:t xml:space="preserve">a </w:t>
      </w:r>
      <w:r w:rsidR="008B20CE" w:rsidRPr="003D2513">
        <w:t xml:space="preserve">New Framework </w:t>
      </w:r>
      <w:r w:rsidRPr="003D2513">
        <w:t xml:space="preserve">of </w:t>
      </w:r>
      <w:r w:rsidR="008B20CE" w:rsidRPr="003D2513">
        <w:t>Distribution Dynamics Analysis</w:t>
      </w:r>
      <w:r w:rsidRPr="003D2513">
        <w:t>.</w:t>
      </w:r>
      <w:r w:rsidR="008B20CE">
        <w:t>”</w:t>
      </w:r>
      <w:r w:rsidRPr="003D2513">
        <w:t> </w:t>
      </w:r>
      <w:r w:rsidRPr="003D2513">
        <w:rPr>
          <w:i/>
          <w:iCs/>
        </w:rPr>
        <w:t>China Economic Review</w:t>
      </w:r>
      <w:r w:rsidRPr="003D2513">
        <w:t> 48: 125</w:t>
      </w:r>
      <w:r w:rsidR="008B20CE">
        <w:t>–</w:t>
      </w:r>
      <w:r w:rsidRPr="003D2513">
        <w:t>138.</w:t>
      </w:r>
    </w:p>
    <w:p w14:paraId="28F484A1" w14:textId="381B6A6D" w:rsidR="003D2513" w:rsidRPr="003D2513" w:rsidRDefault="003D2513" w:rsidP="003D2513">
      <w:pPr>
        <w:pStyle w:val="References"/>
      </w:pPr>
      <w:proofErr w:type="spellStart"/>
      <w:r w:rsidRPr="003D2513">
        <w:t>Corak</w:t>
      </w:r>
      <w:proofErr w:type="spellEnd"/>
      <w:r w:rsidRPr="003D2513">
        <w:t xml:space="preserve">, Miles. 2013. </w:t>
      </w:r>
      <w:r w:rsidR="008B20CE">
        <w:t>“</w:t>
      </w:r>
      <w:r w:rsidRPr="003D2513">
        <w:t xml:space="preserve">Income </w:t>
      </w:r>
      <w:r w:rsidR="008B20CE" w:rsidRPr="003D2513">
        <w:t xml:space="preserve">Inequality, Equality </w:t>
      </w:r>
      <w:r w:rsidRPr="003D2513">
        <w:t xml:space="preserve">of </w:t>
      </w:r>
      <w:r w:rsidR="008B20CE" w:rsidRPr="003D2513">
        <w:t>Opportunity</w:t>
      </w:r>
      <w:r w:rsidRPr="003D2513">
        <w:t xml:space="preserve">, and </w:t>
      </w:r>
      <w:r w:rsidR="008B20CE" w:rsidRPr="003D2513">
        <w:t>Intergenerational Mobility</w:t>
      </w:r>
      <w:r w:rsidRPr="003D2513">
        <w:t>.</w:t>
      </w:r>
      <w:r w:rsidR="008B20CE">
        <w:t>”</w:t>
      </w:r>
      <w:r w:rsidRPr="003D2513">
        <w:t> </w:t>
      </w:r>
      <w:r w:rsidRPr="003D2513">
        <w:rPr>
          <w:i/>
          <w:iCs/>
        </w:rPr>
        <w:t>Journal of Economic Perspectives</w:t>
      </w:r>
      <w:r w:rsidRPr="003D2513">
        <w:t> 27 (3): 79</w:t>
      </w:r>
      <w:r w:rsidR="008B20CE">
        <w:t>–</w:t>
      </w:r>
      <w:r w:rsidRPr="003D2513">
        <w:t>102.</w:t>
      </w:r>
    </w:p>
    <w:p w14:paraId="4790E02A" w14:textId="1E12BAE7" w:rsidR="003D2513" w:rsidRPr="003D2513" w:rsidRDefault="003D2513" w:rsidP="003D2513">
      <w:pPr>
        <w:pStyle w:val="References"/>
      </w:pPr>
      <w:r w:rsidRPr="003D2513">
        <w:t xml:space="preserve">Cowell, Frank A., and Emmanuel </w:t>
      </w:r>
      <w:proofErr w:type="spellStart"/>
      <w:r w:rsidRPr="003D2513">
        <w:t>Flachaire</w:t>
      </w:r>
      <w:proofErr w:type="spellEnd"/>
      <w:r w:rsidRPr="003D2513">
        <w:t xml:space="preserve">. 2018. </w:t>
      </w:r>
      <w:r w:rsidR="008B20CE">
        <w:t>“</w:t>
      </w:r>
      <w:r w:rsidRPr="003D2513">
        <w:t xml:space="preserve">Measuring </w:t>
      </w:r>
      <w:r w:rsidR="008B20CE" w:rsidRPr="003D2513">
        <w:t>Mobility</w:t>
      </w:r>
      <w:r w:rsidRPr="003D2513">
        <w:t>.</w:t>
      </w:r>
      <w:r w:rsidR="008B20CE">
        <w:t>”</w:t>
      </w:r>
      <w:r w:rsidRPr="003D2513">
        <w:t> </w:t>
      </w:r>
      <w:r w:rsidRPr="003D2513">
        <w:rPr>
          <w:i/>
          <w:iCs/>
        </w:rPr>
        <w:t xml:space="preserve">Quantitative </w:t>
      </w:r>
      <w:r w:rsidR="008B20CE" w:rsidRPr="003D2513">
        <w:rPr>
          <w:i/>
          <w:iCs/>
        </w:rPr>
        <w:t>Economics</w:t>
      </w:r>
      <w:r w:rsidR="008B20CE" w:rsidRPr="003D2513">
        <w:t> </w:t>
      </w:r>
      <w:r w:rsidRPr="003D2513">
        <w:t>9 (2): 865</w:t>
      </w:r>
      <w:r w:rsidR="008B20CE">
        <w:t>–</w:t>
      </w:r>
      <w:r w:rsidRPr="003D2513">
        <w:t>901.</w:t>
      </w:r>
    </w:p>
    <w:p w14:paraId="1BF496A2" w14:textId="3C195085" w:rsidR="003D2513" w:rsidRPr="003D2513" w:rsidRDefault="003D2513" w:rsidP="003D2513">
      <w:pPr>
        <w:pStyle w:val="References"/>
      </w:pPr>
      <w:proofErr w:type="spellStart"/>
      <w:r w:rsidRPr="003D2513">
        <w:t>Démurger</w:t>
      </w:r>
      <w:proofErr w:type="spellEnd"/>
      <w:r w:rsidRPr="003D2513">
        <w:t xml:space="preserve">, Sylvie. 2001. </w:t>
      </w:r>
      <w:r w:rsidR="008B20CE">
        <w:t>“</w:t>
      </w:r>
      <w:r w:rsidRPr="003D2513">
        <w:t xml:space="preserve">Infrastructure </w:t>
      </w:r>
      <w:r w:rsidR="008B20CE" w:rsidRPr="003D2513">
        <w:t xml:space="preserve">Development </w:t>
      </w:r>
      <w:r w:rsidRPr="003D2513">
        <w:t xml:space="preserve">and </w:t>
      </w:r>
      <w:r w:rsidR="008B20CE" w:rsidRPr="003D2513">
        <w:t xml:space="preserve">Economic Growth: An Explanation </w:t>
      </w:r>
      <w:r w:rsidRPr="003D2513">
        <w:t xml:space="preserve">for </w:t>
      </w:r>
      <w:r w:rsidR="008B20CE" w:rsidRPr="003D2513">
        <w:t>Regional Disparities</w:t>
      </w:r>
      <w:r w:rsidRPr="003D2513">
        <w:t xml:space="preserve"> in China?</w:t>
      </w:r>
      <w:r w:rsidR="008B20CE">
        <w:t>”</w:t>
      </w:r>
      <w:r w:rsidRPr="003D2513">
        <w:t> </w:t>
      </w:r>
      <w:r w:rsidRPr="003D2513">
        <w:rPr>
          <w:i/>
          <w:iCs/>
        </w:rPr>
        <w:t xml:space="preserve">Journal of Comparative </w:t>
      </w:r>
      <w:r w:rsidR="008B20CE" w:rsidRPr="003D2513">
        <w:rPr>
          <w:i/>
          <w:iCs/>
        </w:rPr>
        <w:t>Economics</w:t>
      </w:r>
      <w:r w:rsidR="008B20CE" w:rsidRPr="003D2513">
        <w:t> </w:t>
      </w:r>
      <w:r w:rsidRPr="003D2513">
        <w:t>29 (1): 95</w:t>
      </w:r>
      <w:r w:rsidR="008B20CE">
        <w:t>–</w:t>
      </w:r>
      <w:r w:rsidRPr="003D2513">
        <w:t>117.</w:t>
      </w:r>
    </w:p>
    <w:p w14:paraId="1143837F" w14:textId="01DE6DB2" w:rsidR="003D2513" w:rsidRPr="003D2513" w:rsidRDefault="003D2513" w:rsidP="003D2513">
      <w:pPr>
        <w:pStyle w:val="References"/>
      </w:pPr>
      <w:proofErr w:type="spellStart"/>
      <w:r w:rsidRPr="003D2513">
        <w:t>Demurger</w:t>
      </w:r>
      <w:proofErr w:type="spellEnd"/>
      <w:r w:rsidRPr="003D2513">
        <w:t>, Sylvie, Jeffrey D</w:t>
      </w:r>
      <w:r w:rsidR="001A6B56">
        <w:t>.</w:t>
      </w:r>
      <w:r w:rsidRPr="003D2513">
        <w:t xml:space="preserve"> </w:t>
      </w:r>
      <w:r w:rsidR="001A6B56" w:rsidRPr="003D2513">
        <w:t>Sachs</w:t>
      </w:r>
      <w:r w:rsidRPr="003D2513">
        <w:t xml:space="preserve">, Wing </w:t>
      </w:r>
      <w:proofErr w:type="spellStart"/>
      <w:r w:rsidRPr="003D2513">
        <w:t>Thye</w:t>
      </w:r>
      <w:proofErr w:type="spellEnd"/>
      <w:r w:rsidRPr="003D2513">
        <w:t xml:space="preserve"> Woo, B. A. O. </w:t>
      </w:r>
      <w:proofErr w:type="spellStart"/>
      <w:r w:rsidRPr="003D2513">
        <w:t>Shuming</w:t>
      </w:r>
      <w:proofErr w:type="spellEnd"/>
      <w:r w:rsidRPr="003D2513">
        <w:t xml:space="preserve">, and Gene Chang. 2002. </w:t>
      </w:r>
      <w:r w:rsidR="008B20CE">
        <w:t>“</w:t>
      </w:r>
      <w:r w:rsidRPr="003D2513">
        <w:t xml:space="preserve">The </w:t>
      </w:r>
      <w:r w:rsidR="008B20CE" w:rsidRPr="003D2513">
        <w:t>Relative Contribution</w:t>
      </w:r>
      <w:r w:rsidRPr="003D2513">
        <w:t xml:space="preserve">s of </w:t>
      </w:r>
      <w:r w:rsidR="008B20CE" w:rsidRPr="003D2513">
        <w:t xml:space="preserve">Location </w:t>
      </w:r>
      <w:r w:rsidRPr="003D2513">
        <w:t xml:space="preserve">and </w:t>
      </w:r>
      <w:r w:rsidR="008B20CE" w:rsidRPr="003D2513">
        <w:t xml:space="preserve">Preferential Policies </w:t>
      </w:r>
      <w:r w:rsidRPr="003D2513">
        <w:t xml:space="preserve">in China's </w:t>
      </w:r>
      <w:r w:rsidR="008B20CE" w:rsidRPr="003D2513">
        <w:t xml:space="preserve">Regional Development: Being </w:t>
      </w:r>
      <w:r w:rsidRPr="003D2513">
        <w:t xml:space="preserve">in the </w:t>
      </w:r>
      <w:r w:rsidR="008B20CE" w:rsidRPr="003D2513">
        <w:t xml:space="preserve">Right Place </w:t>
      </w:r>
      <w:r w:rsidRPr="003D2513">
        <w:t xml:space="preserve">and </w:t>
      </w:r>
      <w:r w:rsidR="008B20CE" w:rsidRPr="003D2513">
        <w:t xml:space="preserve">Having </w:t>
      </w:r>
      <w:r w:rsidRPr="003D2513">
        <w:t xml:space="preserve">the </w:t>
      </w:r>
      <w:r w:rsidR="008B20CE" w:rsidRPr="003D2513">
        <w:t>Right Incentives</w:t>
      </w:r>
      <w:r w:rsidRPr="003D2513">
        <w:t>.</w:t>
      </w:r>
      <w:r w:rsidR="008B20CE">
        <w:t>”</w:t>
      </w:r>
      <w:r w:rsidRPr="003D2513">
        <w:t> </w:t>
      </w:r>
      <w:r w:rsidRPr="003D2513">
        <w:rPr>
          <w:i/>
          <w:iCs/>
        </w:rPr>
        <w:t>China Economic Review</w:t>
      </w:r>
      <w:r w:rsidRPr="003D2513">
        <w:t> 13 (4): 444</w:t>
      </w:r>
      <w:r w:rsidR="008B20CE">
        <w:t>–</w:t>
      </w:r>
      <w:r w:rsidRPr="003D2513">
        <w:t>465.</w:t>
      </w:r>
    </w:p>
    <w:p w14:paraId="3B6F14A3" w14:textId="3289B404" w:rsidR="008B20CE" w:rsidRPr="003D2513" w:rsidRDefault="008B20CE" w:rsidP="008B20CE">
      <w:pPr>
        <w:pStyle w:val="References"/>
      </w:pPr>
      <w:r w:rsidRPr="008B20CE">
        <w:rPr>
          <w:i/>
          <w:iCs/>
        </w:rPr>
        <w:t>Economist (The</w:t>
      </w:r>
      <w:r>
        <w:t>).</w:t>
      </w:r>
      <w:r w:rsidRPr="003D2513">
        <w:t xml:space="preserve"> 2019. </w:t>
      </w:r>
      <w:r>
        <w:t>“</w:t>
      </w:r>
      <w:r w:rsidRPr="003D2513">
        <w:t>Once Again, China’s Richest Region is Pulling Ahead of the Others.</w:t>
      </w:r>
      <w:r>
        <w:t>”</w:t>
      </w:r>
      <w:r w:rsidRPr="003D2513">
        <w:t xml:space="preserve"> February 28, 2020</w:t>
      </w:r>
      <w:r w:rsidR="001A6B56">
        <w:t>. Available at</w:t>
      </w:r>
      <w:r w:rsidRPr="003D2513">
        <w:t xml:space="preserve"> </w:t>
      </w:r>
      <w:hyperlink r:id="rId25" w:history="1">
        <w:r w:rsidRPr="003D2513">
          <w:rPr>
            <w:rStyle w:val="Hyperlink"/>
          </w:rPr>
          <w:t>https://www.economist.com/china/2019/06/08/once-again-chinas-richest-region-is-pulling-ahead-of-the-others</w:t>
        </w:r>
      </w:hyperlink>
      <w:r w:rsidR="001A6B56">
        <w:rPr>
          <w:lang w:val="en-US"/>
        </w:rPr>
        <w:t>. Accessed on February 28, 2020.</w:t>
      </w:r>
    </w:p>
    <w:p w14:paraId="66184CEA" w14:textId="69C22E56" w:rsidR="003D2513" w:rsidRPr="003D2513" w:rsidRDefault="003D2513" w:rsidP="003D2513">
      <w:pPr>
        <w:pStyle w:val="References"/>
      </w:pPr>
      <w:r w:rsidRPr="003D2513">
        <w:t xml:space="preserve">Fan, C. Cindy, and </w:t>
      </w:r>
      <w:proofErr w:type="spellStart"/>
      <w:r w:rsidRPr="003D2513">
        <w:t>Mingjie</w:t>
      </w:r>
      <w:proofErr w:type="spellEnd"/>
      <w:r w:rsidRPr="003D2513">
        <w:t xml:space="preserve"> Sun. 2008. </w:t>
      </w:r>
      <w:r w:rsidR="008B20CE">
        <w:t>“</w:t>
      </w:r>
      <w:r w:rsidRPr="003D2513">
        <w:t>Regional inequality in China, 1978</w:t>
      </w:r>
      <w:r w:rsidR="008B20CE">
        <w:t>–</w:t>
      </w:r>
      <w:r w:rsidRPr="003D2513">
        <w:t>2006.</w:t>
      </w:r>
      <w:r w:rsidR="008B20CE">
        <w:t>”</w:t>
      </w:r>
      <w:r w:rsidRPr="003D2513">
        <w:t> </w:t>
      </w:r>
      <w:r w:rsidRPr="003D2513">
        <w:rPr>
          <w:i/>
          <w:iCs/>
        </w:rPr>
        <w:t xml:space="preserve">Eurasian </w:t>
      </w:r>
      <w:r w:rsidR="008B20CE" w:rsidRPr="003D2513">
        <w:rPr>
          <w:i/>
          <w:iCs/>
        </w:rPr>
        <w:t xml:space="preserve">Geography </w:t>
      </w:r>
      <w:r w:rsidRPr="003D2513">
        <w:rPr>
          <w:i/>
          <w:iCs/>
        </w:rPr>
        <w:t>and Economics</w:t>
      </w:r>
      <w:r w:rsidRPr="003D2513">
        <w:t> 49 (1): 1</w:t>
      </w:r>
      <w:r w:rsidR="008B20CE">
        <w:t>–</w:t>
      </w:r>
      <w:r w:rsidRPr="003D2513">
        <w:t>18.</w:t>
      </w:r>
    </w:p>
    <w:p w14:paraId="4D4BAC89" w14:textId="621F4893" w:rsidR="003D2513" w:rsidRPr="003D2513" w:rsidRDefault="003D2513" w:rsidP="003D2513">
      <w:pPr>
        <w:pStyle w:val="References"/>
      </w:pPr>
      <w:r w:rsidRPr="003D2513">
        <w:t>Fischer, Doris, and H</w:t>
      </w:r>
      <w:r w:rsidR="008B20CE">
        <w:t>ubert</w:t>
      </w:r>
      <w:r w:rsidRPr="003D2513">
        <w:t xml:space="preserve"> </w:t>
      </w:r>
      <w:proofErr w:type="spellStart"/>
      <w:r w:rsidRPr="003D2513">
        <w:t>Fromlet</w:t>
      </w:r>
      <w:proofErr w:type="spellEnd"/>
      <w:r w:rsidRPr="003D2513">
        <w:t xml:space="preserve">. 2015. </w:t>
      </w:r>
      <w:r w:rsidR="008B20CE">
        <w:t>“</w:t>
      </w:r>
      <w:r w:rsidRPr="003D2513">
        <w:t>China's Strive for Quality of Growth and Growth Data-Challenges for Economic Analyses and The European/Global Corporate Sector.</w:t>
      </w:r>
      <w:r w:rsidR="008B20CE">
        <w:t>”</w:t>
      </w:r>
      <w:r w:rsidRPr="003D2513">
        <w:t xml:space="preserve"> In </w:t>
      </w:r>
      <w:r w:rsidRPr="00981641">
        <w:rPr>
          <w:i/>
          <w:iCs/>
        </w:rPr>
        <w:t>17th Annual Conference on European Integration-Swedish Network for European Studies in Economics and Business</w:t>
      </w:r>
      <w:r w:rsidRPr="003D2513">
        <w:t xml:space="preserve"> (SNEE), </w:t>
      </w:r>
      <w:proofErr w:type="spellStart"/>
      <w:r w:rsidRPr="003D2513">
        <w:t>Mölle</w:t>
      </w:r>
      <w:proofErr w:type="spellEnd"/>
      <w:r w:rsidRPr="003D2513">
        <w:t xml:space="preserve">, Sweden. </w:t>
      </w:r>
    </w:p>
    <w:p w14:paraId="6B26E373" w14:textId="0E612B94" w:rsidR="003D2513" w:rsidRPr="003D2513" w:rsidRDefault="003D2513" w:rsidP="003D2513">
      <w:pPr>
        <w:pStyle w:val="References"/>
      </w:pPr>
      <w:r w:rsidRPr="003D2513">
        <w:t xml:space="preserve">Fujita, Masahisa, and </w:t>
      </w:r>
      <w:proofErr w:type="spellStart"/>
      <w:r w:rsidRPr="003D2513">
        <w:t>Dapeng</w:t>
      </w:r>
      <w:proofErr w:type="spellEnd"/>
      <w:r w:rsidRPr="003D2513">
        <w:t xml:space="preserve"> Hu. 2001. </w:t>
      </w:r>
      <w:r w:rsidR="008B20CE">
        <w:t>“</w:t>
      </w:r>
      <w:r w:rsidRPr="003D2513">
        <w:t xml:space="preserve">Regional </w:t>
      </w:r>
      <w:r w:rsidR="008B20CE" w:rsidRPr="003D2513">
        <w:t xml:space="preserve">Disparity </w:t>
      </w:r>
      <w:r w:rsidRPr="003D2513">
        <w:t xml:space="preserve">in China 1985–1994: The </w:t>
      </w:r>
      <w:r w:rsidR="008B20CE" w:rsidRPr="003D2513">
        <w:t xml:space="preserve">Effects </w:t>
      </w:r>
      <w:r w:rsidRPr="003D2513">
        <w:t xml:space="preserve">of </w:t>
      </w:r>
      <w:r w:rsidR="008B20CE" w:rsidRPr="003D2513">
        <w:t xml:space="preserve">Globalization </w:t>
      </w:r>
      <w:r w:rsidRPr="003D2513">
        <w:t xml:space="preserve">and </w:t>
      </w:r>
      <w:r w:rsidR="008B20CE" w:rsidRPr="003D2513">
        <w:t>Economic Liberalization</w:t>
      </w:r>
      <w:r w:rsidRPr="003D2513">
        <w:t>.</w:t>
      </w:r>
      <w:r w:rsidR="008B20CE">
        <w:t>”</w:t>
      </w:r>
      <w:r w:rsidRPr="003D2513">
        <w:t xml:space="preserve"> </w:t>
      </w:r>
      <w:r w:rsidRPr="003D2513">
        <w:rPr>
          <w:i/>
        </w:rPr>
        <w:t xml:space="preserve">The </w:t>
      </w:r>
      <w:r w:rsidR="008B20CE" w:rsidRPr="003D2513">
        <w:rPr>
          <w:i/>
        </w:rPr>
        <w:t xml:space="preserve">Annals </w:t>
      </w:r>
      <w:r w:rsidRPr="003D2513">
        <w:rPr>
          <w:i/>
        </w:rPr>
        <w:t xml:space="preserve">of </w:t>
      </w:r>
      <w:r w:rsidR="008B20CE" w:rsidRPr="003D2513">
        <w:rPr>
          <w:i/>
        </w:rPr>
        <w:t>Regional Science</w:t>
      </w:r>
      <w:r w:rsidR="008B20CE" w:rsidRPr="003D2513">
        <w:t xml:space="preserve"> </w:t>
      </w:r>
      <w:r w:rsidRPr="003D2513">
        <w:t>35 (1): 3</w:t>
      </w:r>
      <w:r w:rsidR="008B20CE">
        <w:t>–</w:t>
      </w:r>
      <w:r w:rsidRPr="003D2513">
        <w:t>37.</w:t>
      </w:r>
    </w:p>
    <w:p w14:paraId="25CCFBD5" w14:textId="0997EE7E" w:rsidR="003D2513" w:rsidRPr="003D2513" w:rsidRDefault="003D2513" w:rsidP="003D2513">
      <w:pPr>
        <w:pStyle w:val="References"/>
      </w:pPr>
      <w:proofErr w:type="spellStart"/>
      <w:r w:rsidRPr="003D2513">
        <w:t>Galor</w:t>
      </w:r>
      <w:proofErr w:type="spellEnd"/>
      <w:r w:rsidRPr="003D2513">
        <w:t xml:space="preserve">, Oded. 1996. </w:t>
      </w:r>
      <w:r w:rsidR="008B20CE">
        <w:t>“</w:t>
      </w:r>
      <w:r w:rsidRPr="003D2513">
        <w:t xml:space="preserve">Convergence? Inferences from </w:t>
      </w:r>
      <w:r w:rsidR="008B20CE" w:rsidRPr="003D2513">
        <w:t>Theoretical Models</w:t>
      </w:r>
      <w:r w:rsidRPr="003D2513">
        <w:t>.</w:t>
      </w:r>
      <w:r w:rsidR="008B20CE">
        <w:t>”</w:t>
      </w:r>
      <w:r w:rsidRPr="003D2513">
        <w:t> </w:t>
      </w:r>
      <w:r w:rsidRPr="003D2513">
        <w:rPr>
          <w:i/>
          <w:iCs/>
        </w:rPr>
        <w:t xml:space="preserve">The </w:t>
      </w:r>
      <w:r w:rsidR="008B20CE" w:rsidRPr="003D2513">
        <w:rPr>
          <w:i/>
          <w:iCs/>
        </w:rPr>
        <w:t>Economic Journal</w:t>
      </w:r>
      <w:r w:rsidR="008B20CE" w:rsidRPr="003D2513">
        <w:t> </w:t>
      </w:r>
      <w:r w:rsidRPr="003D2513">
        <w:t>106 (437): 1056</w:t>
      </w:r>
      <w:r w:rsidR="008B20CE">
        <w:t>–</w:t>
      </w:r>
      <w:r w:rsidRPr="003D2513">
        <w:t>1069.</w:t>
      </w:r>
    </w:p>
    <w:p w14:paraId="43E5DF76" w14:textId="34B352CE" w:rsidR="003D2513" w:rsidRPr="003D2513" w:rsidRDefault="003D2513" w:rsidP="003D2513">
      <w:pPr>
        <w:pStyle w:val="References"/>
      </w:pPr>
      <w:proofErr w:type="spellStart"/>
      <w:r w:rsidRPr="003D2513">
        <w:t>Gluschenko</w:t>
      </w:r>
      <w:proofErr w:type="spellEnd"/>
      <w:r w:rsidRPr="003D2513">
        <w:t xml:space="preserve">, Konstantin. 2012. </w:t>
      </w:r>
      <w:r w:rsidR="008B20CE">
        <w:t>“</w:t>
      </w:r>
      <w:r w:rsidRPr="003D2513">
        <w:t xml:space="preserve">Myths about </w:t>
      </w:r>
      <w:r w:rsidR="008B20CE" w:rsidRPr="003D2513">
        <w:t>Beta-Convergence</w:t>
      </w:r>
      <w:r w:rsidRPr="003D2513">
        <w:t>.</w:t>
      </w:r>
      <w:r w:rsidR="008B20CE">
        <w:t>”</w:t>
      </w:r>
      <w:r w:rsidRPr="003D2513">
        <w:t xml:space="preserve"> </w:t>
      </w:r>
      <w:r w:rsidR="008B20CE">
        <w:t xml:space="preserve">Ann Arbor, </w:t>
      </w:r>
      <w:r w:rsidRPr="003D2513">
        <w:t>MI: University of Michigan. William Davidson Institute Working Paper Series 1040.</w:t>
      </w:r>
    </w:p>
    <w:p w14:paraId="64BA9DD6" w14:textId="34706EE7" w:rsidR="003D2513" w:rsidRPr="003D2513" w:rsidRDefault="003D2513" w:rsidP="003D2513">
      <w:pPr>
        <w:pStyle w:val="References"/>
      </w:pPr>
      <w:r w:rsidRPr="003D2513">
        <w:t>Goodman, David SG, and Richard Edmonds, eds. 2004. </w:t>
      </w:r>
      <w:proofErr w:type="gramStart"/>
      <w:r w:rsidR="008B20CE">
        <w:t>”</w:t>
      </w:r>
      <w:r w:rsidRPr="00981641">
        <w:t>China's</w:t>
      </w:r>
      <w:proofErr w:type="gramEnd"/>
      <w:r w:rsidRPr="00981641">
        <w:t xml:space="preserve"> Campaign to</w:t>
      </w:r>
      <w:r w:rsidR="008B20CE" w:rsidRPr="00981641">
        <w:t xml:space="preserve"> ‘</w:t>
      </w:r>
      <w:r w:rsidRPr="00981641">
        <w:t>Open up the West:</w:t>
      </w:r>
      <w:r w:rsidR="008B20CE" w:rsidRPr="00981641">
        <w:t>’</w:t>
      </w:r>
      <w:r w:rsidRPr="00981641">
        <w:t xml:space="preserve"> National, Provincial and Local Perspectives</w:t>
      </w:r>
      <w:r w:rsidRPr="003D2513">
        <w:t>.</w:t>
      </w:r>
      <w:r w:rsidR="008B20CE">
        <w:t>”</w:t>
      </w:r>
      <w:r w:rsidRPr="003D2513">
        <w:t xml:space="preserve"> </w:t>
      </w:r>
      <w:r w:rsidR="008B20CE">
        <w:rPr>
          <w:i/>
          <w:iCs/>
        </w:rPr>
        <w:t xml:space="preserve">The China Quarterly </w:t>
      </w:r>
      <w:r w:rsidRPr="003D2513">
        <w:t>178</w:t>
      </w:r>
      <w:r w:rsidR="008B20CE">
        <w:t xml:space="preserve"> (</w:t>
      </w:r>
      <w:r w:rsidR="008B20CE" w:rsidRPr="008B20CE">
        <w:t>June</w:t>
      </w:r>
      <w:r w:rsidR="008B20CE">
        <w:t xml:space="preserve">): </w:t>
      </w:r>
      <w:r w:rsidR="008B20CE" w:rsidRPr="008B20CE">
        <w:t>317</w:t>
      </w:r>
      <w:r w:rsidR="008B20CE">
        <w:t>–</w:t>
      </w:r>
      <w:r w:rsidR="008B20CE" w:rsidRPr="008B20CE">
        <w:t>334</w:t>
      </w:r>
      <w:r w:rsidRPr="003D2513">
        <w:t xml:space="preserve"> </w:t>
      </w:r>
    </w:p>
    <w:p w14:paraId="66461120" w14:textId="38DF6F5C" w:rsidR="003D2513" w:rsidRPr="003D2513" w:rsidRDefault="003D2513" w:rsidP="003D2513">
      <w:pPr>
        <w:pStyle w:val="References"/>
      </w:pPr>
      <w:proofErr w:type="spellStart"/>
      <w:r w:rsidRPr="003D2513">
        <w:lastRenderedPageBreak/>
        <w:t>Grinin</w:t>
      </w:r>
      <w:proofErr w:type="spellEnd"/>
      <w:r w:rsidRPr="003D2513">
        <w:t xml:space="preserve">, Leonid, Sergey </w:t>
      </w:r>
      <w:proofErr w:type="spellStart"/>
      <w:r w:rsidRPr="003D2513">
        <w:t>Tsirel</w:t>
      </w:r>
      <w:proofErr w:type="spellEnd"/>
      <w:r w:rsidRPr="003D2513">
        <w:t xml:space="preserve">, and Andrey </w:t>
      </w:r>
      <w:proofErr w:type="spellStart"/>
      <w:r w:rsidRPr="003D2513">
        <w:t>Korotayev</w:t>
      </w:r>
      <w:proofErr w:type="spellEnd"/>
      <w:r w:rsidRPr="003D2513">
        <w:t xml:space="preserve">. 2015. </w:t>
      </w:r>
      <w:r w:rsidR="008B20CE">
        <w:t>“</w:t>
      </w:r>
      <w:r w:rsidRPr="003D2513">
        <w:t xml:space="preserve">Will the </w:t>
      </w:r>
      <w:r w:rsidR="008B20CE" w:rsidRPr="003D2513">
        <w:t xml:space="preserve">Explosive Growth </w:t>
      </w:r>
      <w:r w:rsidRPr="003D2513">
        <w:t xml:space="preserve">of China </w:t>
      </w:r>
      <w:r w:rsidR="008B20CE" w:rsidRPr="003D2513">
        <w:t>Continue</w:t>
      </w:r>
      <w:r w:rsidRPr="003D2513">
        <w:t>?</w:t>
      </w:r>
      <w:r w:rsidR="008B20CE">
        <w:t>”</w:t>
      </w:r>
      <w:r w:rsidRPr="003D2513">
        <w:t> </w:t>
      </w:r>
      <w:r w:rsidRPr="003D2513">
        <w:rPr>
          <w:i/>
          <w:iCs/>
        </w:rPr>
        <w:t>Technological Forecasting and Social Change</w:t>
      </w:r>
      <w:r w:rsidRPr="003D2513">
        <w:t> 95: 294</w:t>
      </w:r>
      <w:r w:rsidR="008B20CE">
        <w:t>–</w:t>
      </w:r>
      <w:r w:rsidRPr="003D2513">
        <w:t>308.</w:t>
      </w:r>
    </w:p>
    <w:p w14:paraId="290BF888" w14:textId="72DCB1B0" w:rsidR="003D2513" w:rsidRPr="003D2513" w:rsidRDefault="003D2513" w:rsidP="003D2513">
      <w:pPr>
        <w:pStyle w:val="References"/>
      </w:pPr>
      <w:r w:rsidRPr="003D2513">
        <w:t xml:space="preserve">Gundlach, Erich. 1997. </w:t>
      </w:r>
      <w:r w:rsidR="008B20CE">
        <w:t>“</w:t>
      </w:r>
      <w:r w:rsidRPr="003D2513">
        <w:t xml:space="preserve">Regional </w:t>
      </w:r>
      <w:r w:rsidR="008B20CE" w:rsidRPr="003D2513">
        <w:t xml:space="preserve">Convergence </w:t>
      </w:r>
      <w:r w:rsidRPr="003D2513">
        <w:t xml:space="preserve">of </w:t>
      </w:r>
      <w:r w:rsidR="008B20CE" w:rsidRPr="003D2513">
        <w:t xml:space="preserve">Output </w:t>
      </w:r>
      <w:r w:rsidRPr="003D2513">
        <w:t xml:space="preserve">per </w:t>
      </w:r>
      <w:r w:rsidR="008B20CE" w:rsidRPr="003D2513">
        <w:t xml:space="preserve">Worker </w:t>
      </w:r>
      <w:r w:rsidRPr="003D2513">
        <w:t xml:space="preserve">in China: </w:t>
      </w:r>
      <w:r w:rsidR="008B20CE" w:rsidRPr="003D2513">
        <w:t>A Neoclassical Interpretatio</w:t>
      </w:r>
      <w:r w:rsidRPr="003D2513">
        <w:t>n.</w:t>
      </w:r>
      <w:r w:rsidR="008B20CE">
        <w:t>”</w:t>
      </w:r>
      <w:r w:rsidRPr="003D2513">
        <w:t> </w:t>
      </w:r>
      <w:r w:rsidRPr="003D2513">
        <w:rPr>
          <w:i/>
          <w:iCs/>
        </w:rPr>
        <w:t>Asian Economic Journal</w:t>
      </w:r>
      <w:r w:rsidRPr="003D2513">
        <w:t> 11 (4): 423</w:t>
      </w:r>
      <w:r w:rsidR="008B20CE">
        <w:t>–</w:t>
      </w:r>
      <w:r w:rsidRPr="003D2513">
        <w:t>442.</w:t>
      </w:r>
    </w:p>
    <w:p w14:paraId="4B4A2F34" w14:textId="68742333" w:rsidR="003D2513" w:rsidRPr="003D2513" w:rsidRDefault="003D2513" w:rsidP="003D2513">
      <w:pPr>
        <w:pStyle w:val="References"/>
      </w:pPr>
      <w:r w:rsidRPr="003D2513">
        <w:t>Huang, Tao. 2016.</w:t>
      </w:r>
      <w:r w:rsidR="008B20CE">
        <w:t xml:space="preserve"> “</w:t>
      </w:r>
      <w:r w:rsidRPr="003D2513">
        <w:t>Legal Transformation of China's Local Government Debt: A Central-Local Relations Perspective.</w:t>
      </w:r>
      <w:r w:rsidR="008B20CE">
        <w:t>”</w:t>
      </w:r>
      <w:r w:rsidRPr="003D2513">
        <w:t xml:space="preserve"> </w:t>
      </w:r>
      <w:r w:rsidRPr="003D2513">
        <w:rPr>
          <w:i/>
        </w:rPr>
        <w:t>Legal Science</w:t>
      </w:r>
      <w:r w:rsidR="008B20CE">
        <w:t xml:space="preserve"> </w:t>
      </w:r>
      <w:r w:rsidRPr="003D2513">
        <w:t>3: 1.</w:t>
      </w:r>
    </w:p>
    <w:p w14:paraId="5CAB9682" w14:textId="77777777" w:rsidR="00890694" w:rsidRDefault="003D2513" w:rsidP="003D2513">
      <w:pPr>
        <w:pStyle w:val="References"/>
      </w:pPr>
      <w:r w:rsidRPr="003D2513">
        <w:t xml:space="preserve">Huang, </w:t>
      </w:r>
      <w:proofErr w:type="spellStart"/>
      <w:r w:rsidRPr="003D2513">
        <w:t>Zheping</w:t>
      </w:r>
      <w:proofErr w:type="spellEnd"/>
      <w:r w:rsidRPr="003D2513">
        <w:t xml:space="preserve">. 2017. </w:t>
      </w:r>
      <w:r w:rsidR="008B20CE">
        <w:t>“</w:t>
      </w:r>
      <w:r w:rsidRPr="003D2513">
        <w:t xml:space="preserve">The Chinese </w:t>
      </w:r>
      <w:r w:rsidR="008B20CE" w:rsidRPr="003D2513">
        <w:t xml:space="preserve">Government Finally Admitted </w:t>
      </w:r>
      <w:r w:rsidRPr="003D2513">
        <w:t xml:space="preserve">that its </w:t>
      </w:r>
      <w:r w:rsidR="008B20CE" w:rsidRPr="003D2513">
        <w:t xml:space="preserve">Economic Data </w:t>
      </w:r>
      <w:r w:rsidRPr="003D2513">
        <w:t xml:space="preserve">was </w:t>
      </w:r>
      <w:r w:rsidR="008B20CE" w:rsidRPr="003D2513">
        <w:t>Made Up</w:t>
      </w:r>
      <w:r w:rsidRPr="003D2513">
        <w:t>.</w:t>
      </w:r>
      <w:r w:rsidR="008B20CE">
        <w:t>”</w:t>
      </w:r>
      <w:r w:rsidRPr="003D2513">
        <w:t xml:space="preserve"> </w:t>
      </w:r>
      <w:proofErr w:type="gramStart"/>
      <w:r w:rsidRPr="00890694">
        <w:rPr>
          <w:i/>
          <w:iCs/>
        </w:rPr>
        <w:t>Quartz</w:t>
      </w:r>
      <w:r w:rsidRPr="003D2513">
        <w:t>..</w:t>
      </w:r>
      <w:proofErr w:type="gramEnd"/>
      <w:r w:rsidR="001A6B56">
        <w:t xml:space="preserve"> Available at</w:t>
      </w:r>
      <w:r w:rsidRPr="003D2513">
        <w:t xml:space="preserve"> </w:t>
      </w:r>
      <w:hyperlink r:id="rId26" w:history="1">
        <w:r w:rsidRPr="003D2513">
          <w:rPr>
            <w:rStyle w:val="Hyperlink"/>
          </w:rPr>
          <w:t>https://qz.com/887709/chinas-liaoning-province-admitted-that-it-inflated-gdp-figures-from-2011-to-2014</w:t>
        </w:r>
      </w:hyperlink>
      <w:r w:rsidR="001A6B56">
        <w:rPr>
          <w:lang w:val="en-US"/>
        </w:rPr>
        <w:t>.</w:t>
      </w:r>
      <w:r w:rsidRPr="003D2513">
        <w:t xml:space="preserve"> </w:t>
      </w:r>
      <w:r w:rsidR="00B95D59">
        <w:t xml:space="preserve">Accessed on </w:t>
      </w:r>
      <w:r w:rsidR="00B95D59" w:rsidRPr="003D2513">
        <w:t>October 23, 2022</w:t>
      </w:r>
      <w:r w:rsidR="004046E0">
        <w:t>.</w:t>
      </w:r>
    </w:p>
    <w:p w14:paraId="775976ED" w14:textId="3DB9D53D" w:rsidR="003D2513" w:rsidRPr="003D2513" w:rsidRDefault="003D2513" w:rsidP="003D2513">
      <w:pPr>
        <w:pStyle w:val="References"/>
      </w:pPr>
      <w:r w:rsidRPr="003D2513">
        <w:t xml:space="preserve">Islam, Nazrul. 2003. </w:t>
      </w:r>
      <w:r w:rsidR="008B20CE">
        <w:t>“</w:t>
      </w:r>
      <w:r w:rsidRPr="003D2513">
        <w:t xml:space="preserve">What </w:t>
      </w:r>
      <w:r w:rsidR="008B20CE" w:rsidRPr="003D2513">
        <w:t xml:space="preserve">Have We Learnt </w:t>
      </w:r>
      <w:r w:rsidRPr="003D2513">
        <w:t xml:space="preserve">from the </w:t>
      </w:r>
      <w:r w:rsidR="008B20CE" w:rsidRPr="003D2513">
        <w:t>Convergence Debate</w:t>
      </w:r>
      <w:r w:rsidRPr="003D2513">
        <w:t>?</w:t>
      </w:r>
      <w:r w:rsidR="008B20CE">
        <w:t>”</w:t>
      </w:r>
      <w:r w:rsidRPr="003D2513">
        <w:t> </w:t>
      </w:r>
      <w:r w:rsidRPr="003D2513">
        <w:rPr>
          <w:i/>
          <w:iCs/>
        </w:rPr>
        <w:t xml:space="preserve">Journal of </w:t>
      </w:r>
      <w:r w:rsidR="008B20CE" w:rsidRPr="003D2513">
        <w:rPr>
          <w:i/>
          <w:iCs/>
        </w:rPr>
        <w:t>Economic Surveys</w:t>
      </w:r>
      <w:r w:rsidR="008B20CE" w:rsidRPr="003D2513">
        <w:t> </w:t>
      </w:r>
      <w:r w:rsidRPr="003D2513">
        <w:t>17 (3): 309</w:t>
      </w:r>
      <w:r w:rsidR="008B20CE">
        <w:t>–</w:t>
      </w:r>
      <w:r w:rsidRPr="003D2513">
        <w:t>362.</w:t>
      </w:r>
    </w:p>
    <w:p w14:paraId="3E34624D" w14:textId="24B97E0A" w:rsidR="003D2513" w:rsidRPr="003D2513" w:rsidRDefault="003D2513" w:rsidP="003D2513">
      <w:pPr>
        <w:pStyle w:val="References"/>
      </w:pPr>
      <w:r w:rsidRPr="003D2513">
        <w:t xml:space="preserve">Jain-Chandra, Sonali, </w:t>
      </w:r>
      <w:proofErr w:type="spellStart"/>
      <w:r w:rsidRPr="003D2513">
        <w:t>Niny</w:t>
      </w:r>
      <w:proofErr w:type="spellEnd"/>
      <w:r w:rsidRPr="003D2513">
        <w:t xml:space="preserve"> Khor, Rui Mano, Johanna Schauer, Philippe </w:t>
      </w:r>
      <w:proofErr w:type="spellStart"/>
      <w:r w:rsidRPr="003D2513">
        <w:t>Wingender</w:t>
      </w:r>
      <w:proofErr w:type="spellEnd"/>
      <w:r w:rsidRPr="003D2513">
        <w:t xml:space="preserve">, and </w:t>
      </w:r>
      <w:proofErr w:type="spellStart"/>
      <w:r w:rsidRPr="003D2513">
        <w:t>Juzhong</w:t>
      </w:r>
      <w:proofErr w:type="spellEnd"/>
      <w:r w:rsidRPr="003D2513">
        <w:t xml:space="preserve"> Zhuang. 2018. </w:t>
      </w:r>
      <w:r w:rsidR="008B20CE">
        <w:t>“</w:t>
      </w:r>
      <w:r w:rsidRPr="003D2513">
        <w:t>Inequality in China–</w:t>
      </w:r>
      <w:r w:rsidR="008B20CE" w:rsidRPr="003D2513">
        <w:t xml:space="preserve">Trends, Drivers </w:t>
      </w:r>
      <w:r w:rsidRPr="003D2513">
        <w:t xml:space="preserve">and </w:t>
      </w:r>
      <w:r w:rsidR="008B20CE" w:rsidRPr="003D2513">
        <w:t>Policy Remedies</w:t>
      </w:r>
      <w:r w:rsidRPr="003D2513">
        <w:t>.</w:t>
      </w:r>
      <w:r w:rsidR="008B20CE">
        <w:t>”</w:t>
      </w:r>
      <w:r w:rsidRPr="003D2513">
        <w:t xml:space="preserve"> Working Paper No. 18/127 International Monetary Fund.</w:t>
      </w:r>
    </w:p>
    <w:p w14:paraId="7AABF5B7" w14:textId="7418DA32" w:rsidR="003D2513" w:rsidRPr="003D2513" w:rsidRDefault="003D2513" w:rsidP="003D2513">
      <w:pPr>
        <w:pStyle w:val="References"/>
      </w:pPr>
      <w:r w:rsidRPr="003D2513">
        <w:t xml:space="preserve">Jian, </w:t>
      </w:r>
      <w:proofErr w:type="spellStart"/>
      <w:r w:rsidRPr="003D2513">
        <w:t>Tianlun</w:t>
      </w:r>
      <w:proofErr w:type="spellEnd"/>
      <w:r w:rsidRPr="003D2513">
        <w:t xml:space="preserve">, Jeffrey D. Sachs, and Andrew M. Warner. 1996. </w:t>
      </w:r>
      <w:r w:rsidR="008B20CE">
        <w:t>“</w:t>
      </w:r>
      <w:r w:rsidRPr="003D2513">
        <w:t xml:space="preserve">Trends in </w:t>
      </w:r>
      <w:r w:rsidR="008B20CE" w:rsidRPr="003D2513">
        <w:t>Regional Inequality</w:t>
      </w:r>
      <w:r w:rsidRPr="003D2513">
        <w:t xml:space="preserve"> in China.</w:t>
      </w:r>
      <w:r w:rsidR="008B20CE">
        <w:t>”</w:t>
      </w:r>
      <w:r w:rsidRPr="003D2513">
        <w:t> </w:t>
      </w:r>
      <w:r w:rsidRPr="003D2513">
        <w:rPr>
          <w:i/>
          <w:iCs/>
        </w:rPr>
        <w:t xml:space="preserve">China </w:t>
      </w:r>
      <w:r w:rsidR="008B20CE" w:rsidRPr="003D2513">
        <w:rPr>
          <w:i/>
          <w:iCs/>
        </w:rPr>
        <w:t>Economic Review</w:t>
      </w:r>
      <w:r w:rsidR="008B20CE" w:rsidRPr="003D2513">
        <w:t> </w:t>
      </w:r>
      <w:r w:rsidRPr="003D2513">
        <w:t>7 (1): 1-21.</w:t>
      </w:r>
    </w:p>
    <w:p w14:paraId="31FE7434" w14:textId="7A519B67" w:rsidR="003D2513" w:rsidRPr="003D2513" w:rsidRDefault="003D2513" w:rsidP="003D2513">
      <w:pPr>
        <w:pStyle w:val="References"/>
      </w:pPr>
      <w:r w:rsidRPr="003D2513">
        <w:t xml:space="preserve">Kanamori, </w:t>
      </w:r>
      <w:proofErr w:type="spellStart"/>
      <w:r w:rsidRPr="003D2513">
        <w:t>Toshiki</w:t>
      </w:r>
      <w:proofErr w:type="spellEnd"/>
      <w:r w:rsidRPr="003D2513">
        <w:t xml:space="preserve">. 2004. </w:t>
      </w:r>
      <w:r w:rsidR="008B20CE">
        <w:t>“</w:t>
      </w:r>
      <w:r w:rsidRPr="003D2513">
        <w:t>Fiscal Reform in the People's Republic of China: Current Issues and Future Agenda.</w:t>
      </w:r>
      <w:r w:rsidR="008B20CE">
        <w:t>”</w:t>
      </w:r>
      <w:r w:rsidRPr="003D2513">
        <w:t xml:space="preserve"> Asian Development Bank Institute. </w:t>
      </w:r>
      <w:r w:rsidR="001A6B56">
        <w:t>Available at</w:t>
      </w:r>
      <w:r w:rsidRPr="003D2513">
        <w:t xml:space="preserve"> </w:t>
      </w:r>
      <w:hyperlink r:id="rId27" w:history="1">
        <w:r w:rsidRPr="003D2513">
          <w:rPr>
            <w:rStyle w:val="Hyperlink"/>
          </w:rPr>
          <w:t>https://think-asia.org/bitstream/handle/11540/4160/2004.03.rp055.fiscal.reform.pdf?sequence=1</w:t>
        </w:r>
      </w:hyperlink>
      <w:r w:rsidR="001A6B56">
        <w:rPr>
          <w:lang w:val="en-US"/>
        </w:rPr>
        <w:t>.</w:t>
      </w:r>
      <w:r w:rsidR="00425E36">
        <w:rPr>
          <w:lang w:val="en-US"/>
        </w:rPr>
        <w:t xml:space="preserve"> Accessed on </w:t>
      </w:r>
      <w:r w:rsidR="00425E36" w:rsidRPr="003D2513">
        <w:t>September 2, 2018</w:t>
      </w:r>
      <w:r w:rsidR="00425E36">
        <w:t>.</w:t>
      </w:r>
    </w:p>
    <w:p w14:paraId="09BCB926" w14:textId="603682B0" w:rsidR="003D2513" w:rsidRPr="003D2513" w:rsidRDefault="003D2513" w:rsidP="003D2513">
      <w:pPr>
        <w:pStyle w:val="References"/>
      </w:pPr>
      <w:proofErr w:type="spellStart"/>
      <w:r w:rsidRPr="003D2513">
        <w:t>Kanbur</w:t>
      </w:r>
      <w:proofErr w:type="spellEnd"/>
      <w:r w:rsidRPr="003D2513">
        <w:t xml:space="preserve">, Ravi, and Nora Lustig. 1999. </w:t>
      </w:r>
      <w:r w:rsidR="008B20CE">
        <w:t>“</w:t>
      </w:r>
      <w:r w:rsidRPr="003D2513">
        <w:rPr>
          <w:iCs/>
        </w:rPr>
        <w:t xml:space="preserve">Why is </w:t>
      </w:r>
      <w:r w:rsidR="008B20CE" w:rsidRPr="003D2513">
        <w:rPr>
          <w:iCs/>
        </w:rPr>
        <w:t xml:space="preserve">Inequality Back </w:t>
      </w:r>
      <w:r w:rsidRPr="003D2513">
        <w:rPr>
          <w:iCs/>
        </w:rPr>
        <w:t xml:space="preserve">on the </w:t>
      </w:r>
      <w:r w:rsidR="008B20CE" w:rsidRPr="003D2513">
        <w:rPr>
          <w:iCs/>
        </w:rPr>
        <w:t>Agenda</w:t>
      </w:r>
      <w:r w:rsidRPr="003D2513">
        <w:rPr>
          <w:iCs/>
        </w:rPr>
        <w:t>?</w:t>
      </w:r>
      <w:r w:rsidR="008B20CE">
        <w:rPr>
          <w:iCs/>
        </w:rPr>
        <w:t>”</w:t>
      </w:r>
      <w:r w:rsidRPr="003D2513">
        <w:t xml:space="preserve"> Working Paper No. 642-2016-44137. Department of Applied Economics and Management. Cornell University.</w:t>
      </w:r>
    </w:p>
    <w:p w14:paraId="28179A82" w14:textId="0CE466D1" w:rsidR="003D2513" w:rsidRPr="003D2513" w:rsidRDefault="003D2513" w:rsidP="003D2513">
      <w:pPr>
        <w:pStyle w:val="References"/>
      </w:pPr>
      <w:r w:rsidRPr="003D2513">
        <w:t xml:space="preserve">Khor, </w:t>
      </w:r>
      <w:proofErr w:type="spellStart"/>
      <w:r w:rsidRPr="003D2513">
        <w:t>Niny</w:t>
      </w:r>
      <w:proofErr w:type="spellEnd"/>
      <w:r w:rsidRPr="003D2513">
        <w:t xml:space="preserve">, and John </w:t>
      </w:r>
      <w:proofErr w:type="spellStart"/>
      <w:r w:rsidRPr="003D2513">
        <w:t>Pencavel</w:t>
      </w:r>
      <w:proofErr w:type="spellEnd"/>
      <w:r w:rsidRPr="003D2513">
        <w:t xml:space="preserve">. 2011. </w:t>
      </w:r>
      <w:r w:rsidR="008B20CE">
        <w:t>“</w:t>
      </w:r>
      <w:r w:rsidRPr="003D2513">
        <w:rPr>
          <w:i/>
        </w:rPr>
        <w:t>Evolution of Income Mobility: People’s Republic of China</w:t>
      </w:r>
      <w:r w:rsidRPr="003D2513">
        <w:t>.</w:t>
      </w:r>
      <w:r w:rsidR="008B20CE">
        <w:t>”</w:t>
      </w:r>
      <w:r w:rsidRPr="003D2513">
        <w:t> </w:t>
      </w:r>
      <w:r w:rsidR="008B20CE">
        <w:t xml:space="preserve">In </w:t>
      </w:r>
      <w:r w:rsidRPr="00890694">
        <w:rPr>
          <w:i/>
        </w:rPr>
        <w:t>Poverty, Inequality, and Inclusive Growth in Asia: Measurement, Policy Issues, and Country Studies</w:t>
      </w:r>
      <w:r w:rsidR="008B20CE">
        <w:t>, edited by</w:t>
      </w:r>
      <w:r w:rsidRPr="003D2513">
        <w:t xml:space="preserve"> </w:t>
      </w:r>
      <w:proofErr w:type="spellStart"/>
      <w:r w:rsidR="008B20CE">
        <w:t>Juzhong</w:t>
      </w:r>
      <w:proofErr w:type="spellEnd"/>
      <w:r w:rsidR="008B20CE">
        <w:t xml:space="preserve"> Zhuang, </w:t>
      </w:r>
      <w:r w:rsidRPr="003D2513">
        <w:t>387</w:t>
      </w:r>
      <w:r w:rsidR="008B20CE">
        <w:t>–</w:t>
      </w:r>
      <w:r w:rsidRPr="003D2513">
        <w:t xml:space="preserve">408. </w:t>
      </w:r>
      <w:r w:rsidR="008B20CE">
        <w:t xml:space="preserve">Cambridge: </w:t>
      </w:r>
      <w:r w:rsidRPr="003D2513">
        <w:t>Cambridge University Press.</w:t>
      </w:r>
    </w:p>
    <w:p w14:paraId="2C8F2D71" w14:textId="3B1A798C" w:rsidR="003D2513" w:rsidRPr="003D2513" w:rsidRDefault="003D2513" w:rsidP="003D2513">
      <w:pPr>
        <w:pStyle w:val="References"/>
      </w:pPr>
      <w:r w:rsidRPr="003D2513">
        <w:t xml:space="preserve">Kim, </w:t>
      </w:r>
      <w:proofErr w:type="spellStart"/>
      <w:r w:rsidRPr="003D2513">
        <w:t>Myoung</w:t>
      </w:r>
      <w:proofErr w:type="spellEnd"/>
      <w:r w:rsidRPr="003D2513">
        <w:t xml:space="preserve">-Shik. 2002. </w:t>
      </w:r>
      <w:r w:rsidR="008B20CE">
        <w:t>“</w:t>
      </w:r>
      <w:r w:rsidRPr="003D2513">
        <w:t>Fiscal Reforms and the Relationship of Central-Local Governments in China.</w:t>
      </w:r>
      <w:r w:rsidR="008B20CE">
        <w:t>”</w:t>
      </w:r>
      <w:r w:rsidRPr="003D2513">
        <w:t xml:space="preserve"> </w:t>
      </w:r>
      <w:proofErr w:type="spellStart"/>
      <w:r w:rsidR="008B20CE">
        <w:t>Masters</w:t>
      </w:r>
      <w:proofErr w:type="spellEnd"/>
      <w:r w:rsidR="008B20CE">
        <w:t xml:space="preserve"> Thesis, </w:t>
      </w:r>
      <w:r w:rsidRPr="003D2513">
        <w:t xml:space="preserve">University of Tennessee–Knoxville. </w:t>
      </w:r>
      <w:r w:rsidR="008B20CE">
        <w:t xml:space="preserve">Available at </w:t>
      </w:r>
      <w:hyperlink r:id="rId28" w:history="1">
        <w:r w:rsidR="008B20CE" w:rsidRPr="008B20CE">
          <w:rPr>
            <w:rStyle w:val="Hyperlink"/>
          </w:rPr>
          <w:t>https://trace.tennessee.edu/cgi/viewcontent.cgi?article=3442&amp;context=utk_gradthes</w:t>
        </w:r>
      </w:hyperlink>
      <w:r w:rsidR="008B20CE">
        <w:t>.</w:t>
      </w:r>
      <w:r w:rsidR="00827AB2">
        <w:t xml:space="preserve"> Accessed on </w:t>
      </w:r>
      <w:r w:rsidR="00827AB2" w:rsidRPr="003D2513">
        <w:t>September 2, 2018</w:t>
      </w:r>
      <w:r w:rsidR="00827AB2">
        <w:t xml:space="preserve">. </w:t>
      </w:r>
    </w:p>
    <w:p w14:paraId="0BCF1515" w14:textId="148EEBC4" w:rsidR="003D2513" w:rsidRPr="003D2513" w:rsidRDefault="003D2513" w:rsidP="003D2513">
      <w:pPr>
        <w:pStyle w:val="References"/>
      </w:pPr>
      <w:r w:rsidRPr="003D2513">
        <w:t xml:space="preserve">Lemoine, Françoise, Grégoire Mayo, Sandra </w:t>
      </w:r>
      <w:proofErr w:type="spellStart"/>
      <w:r w:rsidRPr="003D2513">
        <w:t>Poncet</w:t>
      </w:r>
      <w:proofErr w:type="spellEnd"/>
      <w:r w:rsidRPr="003D2513">
        <w:t xml:space="preserve">, and Deniz </w:t>
      </w:r>
      <w:proofErr w:type="spellStart"/>
      <w:r w:rsidRPr="003D2513">
        <w:t>Ünal</w:t>
      </w:r>
      <w:proofErr w:type="spellEnd"/>
      <w:r w:rsidRPr="003D2513">
        <w:t xml:space="preserve">. 2014. </w:t>
      </w:r>
      <w:r w:rsidR="008B20CE">
        <w:t>“</w:t>
      </w:r>
      <w:r w:rsidRPr="003D2513">
        <w:rPr>
          <w:iCs/>
        </w:rPr>
        <w:t>The Geographic Pattern of China's Growth and Convergence within Industry</w:t>
      </w:r>
      <w:r w:rsidRPr="003D2513">
        <w:t>.</w:t>
      </w:r>
      <w:r w:rsidR="008B20CE">
        <w:t>”</w:t>
      </w:r>
      <w:r w:rsidRPr="003D2513">
        <w:t xml:space="preserve"> Working paper No. 2014-04. CEPII.</w:t>
      </w:r>
    </w:p>
    <w:p w14:paraId="22686F9E" w14:textId="6057B663" w:rsidR="003D2513" w:rsidRPr="003D2513" w:rsidRDefault="003D2513" w:rsidP="003D2513">
      <w:pPr>
        <w:pStyle w:val="References"/>
      </w:pPr>
      <w:r w:rsidRPr="003D2513">
        <w:t xml:space="preserve">Li, </w:t>
      </w:r>
      <w:proofErr w:type="spellStart"/>
      <w:r w:rsidRPr="003D2513">
        <w:t>Huaqun</w:t>
      </w:r>
      <w:proofErr w:type="spellEnd"/>
      <w:r w:rsidRPr="003D2513">
        <w:t xml:space="preserve">, and Kingsley E. Haynes. 2011. </w:t>
      </w:r>
      <w:r w:rsidR="008B20CE">
        <w:t>“</w:t>
      </w:r>
      <w:r w:rsidRPr="003D2513">
        <w:t xml:space="preserve">Economic </w:t>
      </w:r>
      <w:r w:rsidR="008B20CE" w:rsidRPr="003D2513">
        <w:t xml:space="preserve">Structure </w:t>
      </w:r>
      <w:r w:rsidRPr="003D2513">
        <w:t xml:space="preserve">and </w:t>
      </w:r>
      <w:r w:rsidR="008B20CE" w:rsidRPr="003D2513">
        <w:t xml:space="preserve">Regional Disparity </w:t>
      </w:r>
      <w:r w:rsidRPr="003D2513">
        <w:t xml:space="preserve">in China: </w:t>
      </w:r>
      <w:r w:rsidR="008B20CE" w:rsidRPr="003D2513">
        <w:t xml:space="preserve">Beyond </w:t>
      </w:r>
      <w:r w:rsidRPr="003D2513">
        <w:t xml:space="preserve">the Kuznets </w:t>
      </w:r>
      <w:r w:rsidR="008B20CE" w:rsidRPr="003D2513">
        <w:t>Transition</w:t>
      </w:r>
      <w:r w:rsidRPr="003D2513">
        <w:t>.</w:t>
      </w:r>
      <w:r w:rsidR="008B20CE">
        <w:t>”</w:t>
      </w:r>
      <w:r w:rsidRPr="003D2513">
        <w:t> </w:t>
      </w:r>
      <w:r w:rsidRPr="003D2513">
        <w:rPr>
          <w:i/>
          <w:iCs/>
        </w:rPr>
        <w:t>International Regional Science Review</w:t>
      </w:r>
      <w:r w:rsidRPr="003D2513">
        <w:t> 34 (2): 157</w:t>
      </w:r>
      <w:r w:rsidR="008B20CE">
        <w:t>–</w:t>
      </w:r>
      <w:r w:rsidRPr="003D2513">
        <w:t>190.</w:t>
      </w:r>
    </w:p>
    <w:p w14:paraId="1B8EC197" w14:textId="20A2FB69" w:rsidR="003D2513" w:rsidRPr="003D2513" w:rsidRDefault="003D2513" w:rsidP="003D2513">
      <w:pPr>
        <w:pStyle w:val="References"/>
      </w:pPr>
      <w:r w:rsidRPr="003D2513">
        <w:t xml:space="preserve">Li, Yi, and </w:t>
      </w:r>
      <w:proofErr w:type="spellStart"/>
      <w:r w:rsidRPr="003D2513">
        <w:t>Fulong</w:t>
      </w:r>
      <w:proofErr w:type="spellEnd"/>
      <w:r w:rsidRPr="003D2513">
        <w:t xml:space="preserve"> Wu. 2012. </w:t>
      </w:r>
      <w:r w:rsidR="008B20CE">
        <w:t>“</w:t>
      </w:r>
      <w:r w:rsidRPr="003D2513">
        <w:t xml:space="preserve">The </w:t>
      </w:r>
      <w:r w:rsidR="008B20CE" w:rsidRPr="003D2513">
        <w:t xml:space="preserve">Transformation </w:t>
      </w:r>
      <w:r w:rsidRPr="003D2513">
        <w:t xml:space="preserve">of </w:t>
      </w:r>
      <w:r w:rsidR="008B20CE" w:rsidRPr="003D2513">
        <w:t xml:space="preserve">Regional Governance </w:t>
      </w:r>
      <w:r w:rsidRPr="003D2513">
        <w:t xml:space="preserve">in China: The </w:t>
      </w:r>
      <w:r w:rsidR="008B20CE" w:rsidRPr="003D2513">
        <w:t xml:space="preserve">Rescaling </w:t>
      </w:r>
      <w:r w:rsidRPr="003D2513">
        <w:t xml:space="preserve">of </w:t>
      </w:r>
      <w:r w:rsidR="008B20CE" w:rsidRPr="003D2513">
        <w:t>Statehood</w:t>
      </w:r>
      <w:r w:rsidRPr="003D2513">
        <w:t>.</w:t>
      </w:r>
      <w:r w:rsidR="008B20CE">
        <w:t>”</w:t>
      </w:r>
      <w:r w:rsidRPr="003D2513">
        <w:t> </w:t>
      </w:r>
      <w:r w:rsidRPr="003D2513">
        <w:rPr>
          <w:i/>
          <w:iCs/>
        </w:rPr>
        <w:t>Progress in Planning</w:t>
      </w:r>
      <w:r w:rsidRPr="003D2513">
        <w:t> 78 (2): 55</w:t>
      </w:r>
      <w:r w:rsidR="008B20CE">
        <w:t>–</w:t>
      </w:r>
      <w:r w:rsidRPr="003D2513">
        <w:t>99.</w:t>
      </w:r>
    </w:p>
    <w:p w14:paraId="4EA57261" w14:textId="09EEEA19" w:rsidR="003D2513" w:rsidRPr="003D2513" w:rsidRDefault="003D2513" w:rsidP="003D2513">
      <w:pPr>
        <w:pStyle w:val="References"/>
      </w:pPr>
      <w:r w:rsidRPr="003D2513">
        <w:t xml:space="preserve">Liao, Felix Haifeng, and </w:t>
      </w:r>
      <w:proofErr w:type="spellStart"/>
      <w:r w:rsidRPr="003D2513">
        <w:t>Yehua</w:t>
      </w:r>
      <w:proofErr w:type="spellEnd"/>
      <w:r w:rsidRPr="003D2513">
        <w:t xml:space="preserve"> Dennis Wei. 2016. </w:t>
      </w:r>
      <w:r w:rsidR="008B20CE">
        <w:t>“</w:t>
      </w:r>
      <w:r w:rsidRPr="003D2513">
        <w:t xml:space="preserve">Sixty </w:t>
      </w:r>
      <w:r w:rsidR="008B20CE" w:rsidRPr="003D2513">
        <w:t xml:space="preserve">Years </w:t>
      </w:r>
      <w:r w:rsidRPr="003D2513">
        <w:t xml:space="preserve">of </w:t>
      </w:r>
      <w:r w:rsidR="008B20CE" w:rsidRPr="003D2513">
        <w:t xml:space="preserve">Regional Inequality </w:t>
      </w:r>
      <w:r w:rsidRPr="003D2513">
        <w:t xml:space="preserve">in China: Trends, </w:t>
      </w:r>
      <w:r w:rsidR="008B20CE" w:rsidRPr="003D2513">
        <w:t xml:space="preserve">Scales </w:t>
      </w:r>
      <w:r w:rsidRPr="003D2513">
        <w:t xml:space="preserve">and </w:t>
      </w:r>
      <w:r w:rsidR="008B20CE" w:rsidRPr="003D2513">
        <w:t>Mechanisms</w:t>
      </w:r>
      <w:r w:rsidRPr="003D2513">
        <w:t>.</w:t>
      </w:r>
      <w:r w:rsidR="008B20CE">
        <w:t>”</w:t>
      </w:r>
      <w:r w:rsidRPr="003D2513">
        <w:t> </w:t>
      </w:r>
      <w:r w:rsidRPr="003D2513">
        <w:rPr>
          <w:i/>
          <w:iCs/>
        </w:rPr>
        <w:t>Technical Report</w:t>
      </w:r>
      <w:r w:rsidRPr="003D2513">
        <w:t>. Territorial Cohesion for Development Working Group.</w:t>
      </w:r>
    </w:p>
    <w:p w14:paraId="3C21D9BE" w14:textId="4DF2372A" w:rsidR="003D2513" w:rsidRPr="003D2513" w:rsidRDefault="003D2513" w:rsidP="003D2513">
      <w:pPr>
        <w:pStyle w:val="References"/>
      </w:pPr>
      <w:r w:rsidRPr="003D2513">
        <w:t xml:space="preserve">Lin, Justin Yifu, and </w:t>
      </w:r>
      <w:proofErr w:type="spellStart"/>
      <w:r w:rsidRPr="003D2513">
        <w:t>Zhiqiang</w:t>
      </w:r>
      <w:proofErr w:type="spellEnd"/>
      <w:r w:rsidRPr="003D2513">
        <w:t xml:space="preserve"> Liu. 2000. </w:t>
      </w:r>
      <w:r w:rsidR="008B20CE">
        <w:t>“</w:t>
      </w:r>
      <w:r w:rsidRPr="003D2513">
        <w:t xml:space="preserve">Fiscal </w:t>
      </w:r>
      <w:r w:rsidR="008B20CE" w:rsidRPr="003D2513">
        <w:t xml:space="preserve">Decentralization </w:t>
      </w:r>
      <w:r w:rsidRPr="003D2513">
        <w:t xml:space="preserve">and </w:t>
      </w:r>
      <w:r w:rsidR="008B20CE" w:rsidRPr="003D2513">
        <w:t xml:space="preserve">Economic Growth </w:t>
      </w:r>
      <w:r w:rsidRPr="003D2513">
        <w:t>in China.</w:t>
      </w:r>
      <w:r w:rsidR="008B20CE">
        <w:t>”</w:t>
      </w:r>
      <w:r w:rsidRPr="003D2513">
        <w:t> </w:t>
      </w:r>
      <w:r w:rsidRPr="003D2513">
        <w:rPr>
          <w:i/>
          <w:iCs/>
        </w:rPr>
        <w:t xml:space="preserve">Economic </w:t>
      </w:r>
      <w:r w:rsidR="008B20CE" w:rsidRPr="003D2513">
        <w:rPr>
          <w:i/>
          <w:iCs/>
        </w:rPr>
        <w:t xml:space="preserve">Development </w:t>
      </w:r>
      <w:r w:rsidRPr="003D2513">
        <w:rPr>
          <w:i/>
          <w:iCs/>
        </w:rPr>
        <w:t xml:space="preserve">and </w:t>
      </w:r>
      <w:r w:rsidR="008B20CE" w:rsidRPr="003D2513">
        <w:rPr>
          <w:i/>
          <w:iCs/>
        </w:rPr>
        <w:t>Cultural Change</w:t>
      </w:r>
      <w:r w:rsidR="008B20CE" w:rsidRPr="003D2513">
        <w:t> </w:t>
      </w:r>
      <w:r w:rsidRPr="003D2513">
        <w:t>49 (1): 1</w:t>
      </w:r>
      <w:r w:rsidR="008B20CE">
        <w:t>–</w:t>
      </w:r>
      <w:r w:rsidRPr="003D2513">
        <w:t>21.</w:t>
      </w:r>
    </w:p>
    <w:p w14:paraId="79AB1414" w14:textId="19B9C0B6" w:rsidR="003D2513" w:rsidRPr="003D2513" w:rsidRDefault="003D2513" w:rsidP="003D2513">
      <w:pPr>
        <w:pStyle w:val="References"/>
      </w:pPr>
      <w:r w:rsidRPr="003D2513">
        <w:t xml:space="preserve">Lin, </w:t>
      </w:r>
      <w:proofErr w:type="spellStart"/>
      <w:r w:rsidRPr="003D2513">
        <w:t>Wuu</w:t>
      </w:r>
      <w:proofErr w:type="spellEnd"/>
      <w:r w:rsidRPr="003D2513">
        <w:rPr>
          <w:rFonts w:ascii="Times New Roman" w:hAnsi="Times New Roman" w:cs="Times New Roman"/>
        </w:rPr>
        <w:t>‐</w:t>
      </w:r>
      <w:r w:rsidRPr="003D2513">
        <w:t xml:space="preserve">Long, and Thomas P. Chen. 2004. </w:t>
      </w:r>
      <w:r w:rsidR="008B20CE">
        <w:t>“</w:t>
      </w:r>
      <w:r w:rsidRPr="003D2513">
        <w:t xml:space="preserve">China's </w:t>
      </w:r>
      <w:r w:rsidR="008B20CE" w:rsidRPr="003D2513">
        <w:t xml:space="preserve">Widening Economic Disparities </w:t>
      </w:r>
      <w:r w:rsidRPr="003D2513">
        <w:t>and its ‘Go West Program</w:t>
      </w:r>
      <w:r w:rsidR="008B20CE">
        <w:t>.</w:t>
      </w:r>
      <w:r w:rsidRPr="003D2513">
        <w:t>’</w:t>
      </w:r>
      <w:r w:rsidR="008B20CE">
        <w:t>”</w:t>
      </w:r>
      <w:r w:rsidRPr="003D2513">
        <w:t> </w:t>
      </w:r>
      <w:r w:rsidRPr="003D2513">
        <w:rPr>
          <w:i/>
          <w:iCs/>
        </w:rPr>
        <w:t>Journal of Contemporary China</w:t>
      </w:r>
      <w:r w:rsidRPr="003D2513">
        <w:t> 13 (41): 663</w:t>
      </w:r>
      <w:r w:rsidR="008B20CE">
        <w:t>–</w:t>
      </w:r>
      <w:r w:rsidRPr="003D2513">
        <w:t>686.</w:t>
      </w:r>
    </w:p>
    <w:p w14:paraId="332E3D1A" w14:textId="24F3AB21" w:rsidR="003D2513" w:rsidRPr="003D2513" w:rsidRDefault="003D2513" w:rsidP="003D2513">
      <w:pPr>
        <w:pStyle w:val="References"/>
      </w:pPr>
      <w:proofErr w:type="spellStart"/>
      <w:r w:rsidRPr="003D2513">
        <w:t>Liobikien</w:t>
      </w:r>
      <w:r w:rsidRPr="003D2513">
        <w:rPr>
          <w:rFonts w:ascii="Cambria" w:hAnsi="Cambria" w:cs="Cambria"/>
        </w:rPr>
        <w:t>ė</w:t>
      </w:r>
      <w:proofErr w:type="spellEnd"/>
      <w:r w:rsidRPr="003D2513">
        <w:t xml:space="preserve">, </w:t>
      </w:r>
      <w:proofErr w:type="spellStart"/>
      <w:r w:rsidRPr="003D2513">
        <w:t>Genovait</w:t>
      </w:r>
      <w:r w:rsidRPr="003D2513">
        <w:rPr>
          <w:rFonts w:ascii="Cambria" w:hAnsi="Cambria" w:cs="Cambria"/>
        </w:rPr>
        <w:t>ė</w:t>
      </w:r>
      <w:proofErr w:type="spellEnd"/>
      <w:r w:rsidRPr="003D2513">
        <w:t xml:space="preserve">, and Justina </w:t>
      </w:r>
      <w:proofErr w:type="spellStart"/>
      <w:r w:rsidRPr="003D2513">
        <w:t>Mandravickait</w:t>
      </w:r>
      <w:r w:rsidRPr="003D2513">
        <w:rPr>
          <w:rFonts w:ascii="Cambria" w:hAnsi="Cambria" w:cs="Cambria"/>
        </w:rPr>
        <w:t>ė</w:t>
      </w:r>
      <w:proofErr w:type="spellEnd"/>
      <w:r w:rsidRPr="003D2513">
        <w:t xml:space="preserve">. 2013. </w:t>
      </w:r>
      <w:r w:rsidR="008B20CE">
        <w:t>“</w:t>
      </w:r>
      <w:r w:rsidRPr="003D2513">
        <w:t xml:space="preserve">Convergence of </w:t>
      </w:r>
      <w:r w:rsidR="008B20CE" w:rsidRPr="003D2513">
        <w:t xml:space="preserve">New Members </w:t>
      </w:r>
      <w:r w:rsidRPr="003D2513">
        <w:t xml:space="preserve">of the EU: </w:t>
      </w:r>
      <w:r w:rsidR="008B20CE" w:rsidRPr="003D2513">
        <w:t xml:space="preserve">Changes </w:t>
      </w:r>
      <w:r w:rsidRPr="003D2513">
        <w:t xml:space="preserve">in </w:t>
      </w:r>
      <w:r w:rsidR="008B20CE" w:rsidRPr="003D2513">
        <w:t xml:space="preserve">Household Consumption Expenditure Structure Regarding Environmental Impact </w:t>
      </w:r>
      <w:r w:rsidRPr="003D2513">
        <w:t xml:space="preserve">during the </w:t>
      </w:r>
      <w:r w:rsidR="008B20CE" w:rsidRPr="003D2513">
        <w:t>Prosperous Period</w:t>
      </w:r>
      <w:r w:rsidRPr="003D2513">
        <w:t>.</w:t>
      </w:r>
      <w:r w:rsidR="008B20CE">
        <w:t>”</w:t>
      </w:r>
      <w:r w:rsidRPr="003D2513">
        <w:rPr>
          <w:rFonts w:cs="GoudyOldSty"/>
        </w:rPr>
        <w:t> </w:t>
      </w:r>
      <w:r w:rsidRPr="003D2513">
        <w:rPr>
          <w:i/>
          <w:iCs/>
        </w:rPr>
        <w:t xml:space="preserve">Environment, </w:t>
      </w:r>
      <w:r w:rsidR="008B20CE" w:rsidRPr="003D2513">
        <w:rPr>
          <w:i/>
          <w:iCs/>
        </w:rPr>
        <w:t xml:space="preserve">Development </w:t>
      </w:r>
      <w:r w:rsidRPr="003D2513">
        <w:rPr>
          <w:i/>
          <w:iCs/>
        </w:rPr>
        <w:t xml:space="preserve">and </w:t>
      </w:r>
      <w:r w:rsidR="008B20CE" w:rsidRPr="003D2513">
        <w:rPr>
          <w:i/>
          <w:iCs/>
        </w:rPr>
        <w:t>Sustainability</w:t>
      </w:r>
      <w:r w:rsidR="008B20CE" w:rsidRPr="003D2513">
        <w:t> </w:t>
      </w:r>
      <w:r w:rsidRPr="003D2513">
        <w:t>15 (2): 407</w:t>
      </w:r>
      <w:r w:rsidR="008B20CE">
        <w:t>–</w:t>
      </w:r>
      <w:r w:rsidRPr="003D2513">
        <w:t>427.</w:t>
      </w:r>
    </w:p>
    <w:p w14:paraId="3E23B521" w14:textId="0B579B1C" w:rsidR="003D2513" w:rsidRPr="003D2513" w:rsidRDefault="003D2513" w:rsidP="003D2513">
      <w:pPr>
        <w:pStyle w:val="References"/>
      </w:pPr>
      <w:proofErr w:type="spellStart"/>
      <w:r w:rsidRPr="003D2513">
        <w:t>Lottholz</w:t>
      </w:r>
      <w:proofErr w:type="spellEnd"/>
      <w:r w:rsidRPr="003D2513">
        <w:t xml:space="preserve">, Philipp, and Nicolas Lemay-Hébert. 2016. </w:t>
      </w:r>
      <w:r w:rsidR="008B20CE">
        <w:t>“</w:t>
      </w:r>
      <w:r w:rsidRPr="003D2513">
        <w:t>Re-</w:t>
      </w:r>
      <w:r w:rsidR="008B20CE" w:rsidRPr="003D2513">
        <w:t xml:space="preserve">Reading </w:t>
      </w:r>
      <w:r w:rsidRPr="003D2513">
        <w:t xml:space="preserve">Weber, </w:t>
      </w:r>
      <w:r w:rsidR="008B20CE" w:rsidRPr="003D2513">
        <w:t>Re-Conceptualizing State-Building: From Neo-</w:t>
      </w:r>
      <w:r w:rsidRPr="003D2513">
        <w:t xml:space="preserve">Weberian to </w:t>
      </w:r>
      <w:r w:rsidR="008B20CE" w:rsidRPr="003D2513">
        <w:t>Post</w:t>
      </w:r>
      <w:r w:rsidRPr="003D2513">
        <w:t xml:space="preserve">-Weberian </w:t>
      </w:r>
      <w:r w:rsidR="008B20CE" w:rsidRPr="003D2513">
        <w:t xml:space="preserve">Approaches </w:t>
      </w:r>
      <w:r w:rsidRPr="003D2513">
        <w:t xml:space="preserve">to </w:t>
      </w:r>
      <w:r w:rsidR="008B20CE" w:rsidRPr="003D2513">
        <w:t xml:space="preserve">State, Legitimacy </w:t>
      </w:r>
      <w:r w:rsidRPr="003D2513">
        <w:t xml:space="preserve">and </w:t>
      </w:r>
      <w:r w:rsidR="008B20CE" w:rsidRPr="003D2513">
        <w:t>State-Building</w:t>
      </w:r>
      <w:r w:rsidRPr="003D2513">
        <w:t>.</w:t>
      </w:r>
      <w:r w:rsidR="008B20CE">
        <w:t>”</w:t>
      </w:r>
      <w:r w:rsidRPr="003D2513">
        <w:t> </w:t>
      </w:r>
      <w:r w:rsidRPr="003D2513">
        <w:rPr>
          <w:i/>
          <w:iCs/>
        </w:rPr>
        <w:t>Cambridge Review of International Affairs</w:t>
      </w:r>
      <w:r w:rsidRPr="003D2513">
        <w:t> 29 (4): 1467</w:t>
      </w:r>
      <w:r w:rsidR="008B20CE">
        <w:t>–</w:t>
      </w:r>
      <w:r w:rsidRPr="003D2513">
        <w:t>1485.</w:t>
      </w:r>
    </w:p>
    <w:p w14:paraId="7AE87F7D" w14:textId="30F07A2F" w:rsidR="003D2513" w:rsidRPr="003D2513" w:rsidRDefault="003D2513" w:rsidP="003D2513">
      <w:pPr>
        <w:pStyle w:val="References"/>
      </w:pPr>
      <w:r w:rsidRPr="003D2513">
        <w:t xml:space="preserve">Lu, Max, and </w:t>
      </w:r>
      <w:proofErr w:type="spellStart"/>
      <w:r w:rsidRPr="003D2513">
        <w:t>Enru</w:t>
      </w:r>
      <w:proofErr w:type="spellEnd"/>
      <w:r w:rsidRPr="003D2513">
        <w:t xml:space="preserve"> Wang. 2002. </w:t>
      </w:r>
      <w:r w:rsidR="008B20CE">
        <w:t>“</w:t>
      </w:r>
      <w:r w:rsidRPr="003D2513">
        <w:t xml:space="preserve">Forging </w:t>
      </w:r>
      <w:r w:rsidR="008B20CE" w:rsidRPr="003D2513">
        <w:t xml:space="preserve">Ahead </w:t>
      </w:r>
      <w:r w:rsidRPr="003D2513">
        <w:t xml:space="preserve">and </w:t>
      </w:r>
      <w:r w:rsidR="008B20CE" w:rsidRPr="003D2513">
        <w:t>Falling Behind</w:t>
      </w:r>
      <w:r w:rsidRPr="003D2513">
        <w:t xml:space="preserve">: Changing </w:t>
      </w:r>
      <w:r w:rsidR="008B20CE" w:rsidRPr="003D2513">
        <w:t xml:space="preserve">Regional Inequalities </w:t>
      </w:r>
      <w:r w:rsidRPr="003D2513">
        <w:t>in post</w:t>
      </w:r>
      <w:r w:rsidRPr="003D2513">
        <w:rPr>
          <w:rFonts w:ascii="Times New Roman" w:hAnsi="Times New Roman" w:cs="Times New Roman"/>
        </w:rPr>
        <w:t>‐</w:t>
      </w:r>
      <w:r w:rsidR="008B20CE" w:rsidRPr="003D2513">
        <w:t xml:space="preserve">Reform </w:t>
      </w:r>
      <w:r w:rsidRPr="003D2513">
        <w:t>China.</w:t>
      </w:r>
      <w:r w:rsidR="008B20CE">
        <w:t>”</w:t>
      </w:r>
      <w:r w:rsidRPr="003D2513">
        <w:t> </w:t>
      </w:r>
      <w:r w:rsidRPr="003D2513">
        <w:rPr>
          <w:i/>
          <w:iCs/>
        </w:rPr>
        <w:t>Growth and Change</w:t>
      </w:r>
      <w:r w:rsidRPr="003D2513">
        <w:t> 33 (1): 42</w:t>
      </w:r>
      <w:r w:rsidR="008B20CE">
        <w:t>–</w:t>
      </w:r>
      <w:r w:rsidRPr="003D2513">
        <w:t>71.</w:t>
      </w:r>
    </w:p>
    <w:p w14:paraId="446FC9B5" w14:textId="5C5B5195" w:rsidR="003D2513" w:rsidRPr="003D2513" w:rsidRDefault="003D2513" w:rsidP="003D2513">
      <w:pPr>
        <w:pStyle w:val="References"/>
      </w:pPr>
      <w:r w:rsidRPr="003D2513">
        <w:t xml:space="preserve">Lu, </w:t>
      </w:r>
      <w:proofErr w:type="spellStart"/>
      <w:r w:rsidRPr="003D2513">
        <w:t>Yinqiu</w:t>
      </w:r>
      <w:proofErr w:type="spellEnd"/>
      <w:r w:rsidRPr="003D2513">
        <w:t xml:space="preserve">, and Tao Sun. 2013. </w:t>
      </w:r>
      <w:r w:rsidRPr="003D2513">
        <w:rPr>
          <w:i/>
          <w:iCs/>
        </w:rPr>
        <w:t xml:space="preserve">Local </w:t>
      </w:r>
      <w:r w:rsidR="008B20CE" w:rsidRPr="003D2513">
        <w:rPr>
          <w:i/>
          <w:iCs/>
        </w:rPr>
        <w:t xml:space="preserve">Government Financing Platforms </w:t>
      </w:r>
      <w:r w:rsidRPr="003D2513">
        <w:rPr>
          <w:i/>
          <w:iCs/>
        </w:rPr>
        <w:t xml:space="preserve">in China: A </w:t>
      </w:r>
      <w:r w:rsidR="008B20CE" w:rsidRPr="003D2513">
        <w:rPr>
          <w:i/>
          <w:iCs/>
        </w:rPr>
        <w:t xml:space="preserve">Fortune </w:t>
      </w:r>
      <w:r w:rsidRPr="003D2513">
        <w:rPr>
          <w:i/>
          <w:iCs/>
        </w:rPr>
        <w:t xml:space="preserve">or </w:t>
      </w:r>
      <w:r w:rsidR="008B20CE" w:rsidRPr="003D2513">
        <w:rPr>
          <w:i/>
          <w:iCs/>
        </w:rPr>
        <w:t>Misfortune</w:t>
      </w:r>
      <w:r w:rsidRPr="003D2513">
        <w:rPr>
          <w:i/>
          <w:iCs/>
        </w:rPr>
        <w:t>?</w:t>
      </w:r>
      <w:r w:rsidRPr="003D2513">
        <w:t xml:space="preserve"> International Monetary Fund. Working paper no. 13-243.</w:t>
      </w:r>
    </w:p>
    <w:p w14:paraId="0F9A02CB" w14:textId="373C7111" w:rsidR="003D2513" w:rsidRPr="003D2513" w:rsidRDefault="003D2513" w:rsidP="003D2513">
      <w:pPr>
        <w:pStyle w:val="References"/>
      </w:pPr>
      <w:r w:rsidRPr="003D2513">
        <w:t xml:space="preserve">Lynn, Laurence. 2008. </w:t>
      </w:r>
      <w:r w:rsidR="008B20CE">
        <w:t>“</w:t>
      </w:r>
      <w:r w:rsidRPr="003D2513">
        <w:t>What is a Neo-Weberian State? Reflections on a concept and its implications.</w:t>
      </w:r>
      <w:r w:rsidR="008B20CE">
        <w:t>”</w:t>
      </w:r>
      <w:r w:rsidRPr="003D2513">
        <w:t> </w:t>
      </w:r>
      <w:proofErr w:type="spellStart"/>
      <w:r w:rsidRPr="003D2513">
        <w:rPr>
          <w:i/>
          <w:iCs/>
        </w:rPr>
        <w:t>NISPAcee</w:t>
      </w:r>
      <w:proofErr w:type="spellEnd"/>
      <w:r w:rsidRPr="003D2513">
        <w:rPr>
          <w:i/>
          <w:iCs/>
        </w:rPr>
        <w:t xml:space="preserve"> Journal of Public Administration and Policy</w:t>
      </w:r>
      <w:r w:rsidRPr="003D2513">
        <w:t> 1 (2): 17</w:t>
      </w:r>
      <w:r w:rsidR="008B20CE">
        <w:t>–</w:t>
      </w:r>
      <w:r w:rsidRPr="003D2513">
        <w:t>30.</w:t>
      </w:r>
    </w:p>
    <w:p w14:paraId="2269D7A7" w14:textId="7C8A55A6" w:rsidR="003D2513" w:rsidRPr="003D2513" w:rsidRDefault="003D2513" w:rsidP="003D2513">
      <w:pPr>
        <w:pStyle w:val="References"/>
      </w:pPr>
      <w:r w:rsidRPr="003D2513">
        <w:t xml:space="preserve">Ma, Doris, and Tim Summers. 2009. </w:t>
      </w:r>
      <w:r w:rsidR="008B20CE">
        <w:t>“</w:t>
      </w:r>
      <w:r w:rsidRPr="003D2513">
        <w:t xml:space="preserve">Is China’s Growth Moving Inland? A Decade of </w:t>
      </w:r>
      <w:r w:rsidR="008B20CE">
        <w:t>‘</w:t>
      </w:r>
      <w:r w:rsidRPr="003D2513">
        <w:t>Develop the West.</w:t>
      </w:r>
      <w:r w:rsidR="008B20CE">
        <w:t>’”</w:t>
      </w:r>
      <w:r w:rsidRPr="003D2513">
        <w:t> </w:t>
      </w:r>
      <w:r w:rsidRPr="003D2513">
        <w:rPr>
          <w:i/>
          <w:iCs/>
        </w:rPr>
        <w:t>Chatham House Asia Program Paper</w:t>
      </w:r>
      <w:r w:rsidRPr="003D2513">
        <w:t> 2.</w:t>
      </w:r>
    </w:p>
    <w:p w14:paraId="5182D418" w14:textId="4E80E38F" w:rsidR="003D2513" w:rsidRPr="003D2513" w:rsidRDefault="003D2513" w:rsidP="003D2513">
      <w:pPr>
        <w:pStyle w:val="References"/>
      </w:pPr>
      <w:proofErr w:type="spellStart"/>
      <w:r w:rsidRPr="003D2513">
        <w:t>Malesky</w:t>
      </w:r>
      <w:proofErr w:type="spellEnd"/>
      <w:r w:rsidRPr="003D2513">
        <w:t xml:space="preserve">, Edmund, Regina </w:t>
      </w:r>
      <w:proofErr w:type="spellStart"/>
      <w:r w:rsidRPr="003D2513">
        <w:t>Abrami</w:t>
      </w:r>
      <w:proofErr w:type="spellEnd"/>
      <w:r w:rsidRPr="003D2513">
        <w:t xml:space="preserve">, and Yu Zheng. 2011. </w:t>
      </w:r>
      <w:r w:rsidR="008B20CE">
        <w:t>“</w:t>
      </w:r>
      <w:r w:rsidRPr="003D2513">
        <w:t>Institutions and inequality in single-party regimes: A comparative analysis of Vietnam and China.</w:t>
      </w:r>
      <w:r w:rsidR="008B20CE">
        <w:t>”</w:t>
      </w:r>
      <w:r w:rsidRPr="003D2513">
        <w:t> </w:t>
      </w:r>
      <w:r w:rsidRPr="003D2513">
        <w:rPr>
          <w:i/>
          <w:iCs/>
        </w:rPr>
        <w:t>Comparative Politics</w:t>
      </w:r>
      <w:r w:rsidRPr="003D2513">
        <w:t> 43 (4): 409</w:t>
      </w:r>
      <w:r w:rsidR="008B20CE">
        <w:t>–</w:t>
      </w:r>
      <w:r w:rsidRPr="003D2513">
        <w:t>427.</w:t>
      </w:r>
    </w:p>
    <w:p w14:paraId="230F7FED" w14:textId="37992038" w:rsidR="003D2513" w:rsidRPr="003D2513" w:rsidRDefault="003D2513" w:rsidP="003D2513">
      <w:pPr>
        <w:pStyle w:val="References"/>
      </w:pPr>
      <w:r w:rsidRPr="003D2513">
        <w:t xml:space="preserve">Milanovic, </w:t>
      </w:r>
      <w:proofErr w:type="spellStart"/>
      <w:r w:rsidRPr="003D2513">
        <w:t>Branko</w:t>
      </w:r>
      <w:proofErr w:type="spellEnd"/>
      <w:r w:rsidRPr="003D2513">
        <w:t xml:space="preserve">. 2014. </w:t>
      </w:r>
      <w:r w:rsidR="008B20CE">
        <w:t>“</w:t>
      </w:r>
      <w:r w:rsidRPr="003D2513">
        <w:t>Inequality in the United States and China.</w:t>
      </w:r>
      <w:r w:rsidR="008B20CE">
        <w:t>”</w:t>
      </w:r>
      <w:r w:rsidRPr="003D2513">
        <w:t> </w:t>
      </w:r>
      <w:r w:rsidRPr="003D2513">
        <w:rPr>
          <w:i/>
          <w:iCs/>
        </w:rPr>
        <w:t>Harvard Business Review</w:t>
      </w:r>
      <w:r w:rsidRPr="003D2513">
        <w:t xml:space="preserve">. </w:t>
      </w:r>
      <w:r w:rsidR="001A6B56">
        <w:t xml:space="preserve">Available </w:t>
      </w:r>
      <w:proofErr w:type="gramStart"/>
      <w:r w:rsidR="001A6B56">
        <w:t xml:space="preserve">at </w:t>
      </w:r>
      <w:r w:rsidR="009B6250">
        <w:t xml:space="preserve"> </w:t>
      </w:r>
      <w:r w:rsidR="009B6250" w:rsidRPr="009B6250">
        <w:t>https://hbr.org/2014/01/inequality-in-the-united-states-and-china</w:t>
      </w:r>
      <w:proofErr w:type="gramEnd"/>
      <w:r w:rsidR="001A6B56">
        <w:t>.</w:t>
      </w:r>
      <w:r w:rsidR="00890694">
        <w:t xml:space="preserve"> Accessed on </w:t>
      </w:r>
      <w:r w:rsidR="00890694" w:rsidRPr="003D2513">
        <w:t>March 5, 2020</w:t>
      </w:r>
      <w:r w:rsidR="00890694">
        <w:t>.</w:t>
      </w:r>
    </w:p>
    <w:p w14:paraId="24AB6D75" w14:textId="22F5ED04" w:rsidR="003D2513" w:rsidRPr="003D2513" w:rsidRDefault="003D2513" w:rsidP="003D2513">
      <w:pPr>
        <w:pStyle w:val="References"/>
      </w:pPr>
      <w:proofErr w:type="spellStart"/>
      <w:r w:rsidRPr="003D2513">
        <w:t>Monfort</w:t>
      </w:r>
      <w:proofErr w:type="spellEnd"/>
      <w:r w:rsidRPr="003D2513">
        <w:t xml:space="preserve">, Philippe. 2008. </w:t>
      </w:r>
      <w:r w:rsidR="008B20CE">
        <w:t>“</w:t>
      </w:r>
      <w:r w:rsidRPr="003D2513">
        <w:rPr>
          <w:iCs/>
        </w:rPr>
        <w:t xml:space="preserve">Convergence of EU regions: Measures and </w:t>
      </w:r>
      <w:r w:rsidR="0006640F" w:rsidRPr="003D2513">
        <w:rPr>
          <w:iCs/>
        </w:rPr>
        <w:t>Evolution</w:t>
      </w:r>
      <w:r w:rsidRPr="003D2513">
        <w:t>.</w:t>
      </w:r>
      <w:r w:rsidR="008B20CE">
        <w:t>”</w:t>
      </w:r>
      <w:r w:rsidRPr="003D2513">
        <w:t xml:space="preserve"> Brussels: European Commission, Regional Policy.</w:t>
      </w:r>
    </w:p>
    <w:p w14:paraId="5F92EA7C" w14:textId="11DAA7C9" w:rsidR="003D2513" w:rsidRPr="008B20CE" w:rsidRDefault="003D2513" w:rsidP="003D2513">
      <w:pPr>
        <w:pStyle w:val="References"/>
        <w:rPr>
          <w:lang w:val="en-US"/>
        </w:rPr>
      </w:pPr>
      <w:r w:rsidRPr="008B20CE">
        <w:rPr>
          <w:lang w:val="en-US"/>
        </w:rPr>
        <w:t xml:space="preserve">Nagin, Daniel S. 1999. </w:t>
      </w:r>
      <w:r w:rsidR="008B20CE">
        <w:rPr>
          <w:lang w:val="en-US"/>
        </w:rPr>
        <w:t>“</w:t>
      </w:r>
      <w:r w:rsidRPr="008B20CE">
        <w:rPr>
          <w:lang w:val="en-US"/>
        </w:rPr>
        <w:t xml:space="preserve">Analyzing </w:t>
      </w:r>
      <w:r w:rsidR="0006640F" w:rsidRPr="008B20CE">
        <w:rPr>
          <w:lang w:val="en-US"/>
        </w:rPr>
        <w:t>Developmental Trajectories: A Semiparametric, Group-Based Approach</w:t>
      </w:r>
      <w:r w:rsidRPr="008B20CE">
        <w:rPr>
          <w:lang w:val="en-US"/>
        </w:rPr>
        <w:t>.</w:t>
      </w:r>
      <w:r w:rsidR="008B20CE">
        <w:rPr>
          <w:lang w:val="en-US"/>
        </w:rPr>
        <w:t>”</w:t>
      </w:r>
      <w:r w:rsidRPr="008B20CE">
        <w:rPr>
          <w:lang w:val="en-US"/>
        </w:rPr>
        <w:t> </w:t>
      </w:r>
      <w:r w:rsidRPr="008B20CE">
        <w:rPr>
          <w:i/>
          <w:iCs/>
          <w:lang w:val="en-US"/>
        </w:rPr>
        <w:t xml:space="preserve">Psychological </w:t>
      </w:r>
      <w:r w:rsidR="0006640F" w:rsidRPr="008B20CE">
        <w:rPr>
          <w:i/>
          <w:iCs/>
          <w:lang w:val="en-US"/>
        </w:rPr>
        <w:t>Methods</w:t>
      </w:r>
      <w:r w:rsidR="0006640F" w:rsidRPr="008B20CE">
        <w:rPr>
          <w:lang w:val="en-US"/>
        </w:rPr>
        <w:t> </w:t>
      </w:r>
      <w:r w:rsidRPr="008B20CE">
        <w:rPr>
          <w:lang w:val="en-US"/>
        </w:rPr>
        <w:t>4 (2): 139.</w:t>
      </w:r>
    </w:p>
    <w:p w14:paraId="223A6DBE" w14:textId="3DB1BA26" w:rsidR="003D2513" w:rsidRPr="003D2513" w:rsidRDefault="003D2513" w:rsidP="003D2513">
      <w:pPr>
        <w:pStyle w:val="References"/>
      </w:pPr>
      <w:proofErr w:type="spellStart"/>
      <w:r w:rsidRPr="003D2513">
        <w:lastRenderedPageBreak/>
        <w:t>Novotný</w:t>
      </w:r>
      <w:proofErr w:type="spellEnd"/>
      <w:r w:rsidRPr="003D2513">
        <w:t xml:space="preserve">, Josef. 2011. </w:t>
      </w:r>
      <w:r w:rsidR="008B20CE">
        <w:t>“</w:t>
      </w:r>
      <w:r w:rsidRPr="003D2513">
        <w:t xml:space="preserve">Convergence and </w:t>
      </w:r>
      <w:r w:rsidR="0006640F" w:rsidRPr="003D2513">
        <w:t xml:space="preserve">Divergence </w:t>
      </w:r>
      <w:r w:rsidRPr="003D2513">
        <w:t xml:space="preserve">in </w:t>
      </w:r>
      <w:r w:rsidR="0006640F" w:rsidRPr="003D2513">
        <w:t>Living Standa</w:t>
      </w:r>
      <w:r w:rsidRPr="003D2513">
        <w:t xml:space="preserve">rds among </w:t>
      </w:r>
      <w:r w:rsidR="0006640F" w:rsidRPr="003D2513">
        <w:t xml:space="preserve">Regions </w:t>
      </w:r>
      <w:r w:rsidRPr="003D2513">
        <w:t xml:space="preserve">of the </w:t>
      </w:r>
      <w:r w:rsidR="0006640F" w:rsidRPr="003D2513">
        <w:t xml:space="preserve">Enlarged </w:t>
      </w:r>
      <w:r w:rsidRPr="003D2513">
        <w:t>European Union (1992</w:t>
      </w:r>
      <w:r w:rsidR="008B20CE">
        <w:t>–</w:t>
      </w:r>
      <w:r w:rsidRPr="003D2513">
        <w:t>2006).</w:t>
      </w:r>
      <w:r w:rsidR="008B20CE">
        <w:t>”</w:t>
      </w:r>
      <w:r w:rsidRPr="003D2513">
        <w:t xml:space="preserve"> Munich Personal </w:t>
      </w:r>
      <w:proofErr w:type="spellStart"/>
      <w:r w:rsidRPr="003D2513">
        <w:t>RePEc</w:t>
      </w:r>
      <w:proofErr w:type="spellEnd"/>
      <w:r w:rsidRPr="003D2513">
        <w:t xml:space="preserve"> Archive, No. 34145. </w:t>
      </w:r>
      <w:proofErr w:type="spellStart"/>
      <w:r w:rsidR="00890694">
        <w:t>Avvailable</w:t>
      </w:r>
      <w:proofErr w:type="spellEnd"/>
      <w:r w:rsidR="00890694">
        <w:t xml:space="preserve"> at </w:t>
      </w:r>
      <w:hyperlink r:id="rId29" w:history="1">
        <w:r w:rsidRPr="003D2513">
          <w:rPr>
            <w:rStyle w:val="Hyperlink"/>
          </w:rPr>
          <w:t>https://core.ac.uk/download/pdf/213930937.pdf</w:t>
        </w:r>
      </w:hyperlink>
      <w:r w:rsidR="00890694">
        <w:t xml:space="preserve">. Accessed on </w:t>
      </w:r>
      <w:r w:rsidR="00890694" w:rsidRPr="003D2513">
        <w:t xml:space="preserve">September, 28. 2020, </w:t>
      </w:r>
      <w:r w:rsidR="009B6250">
        <w:t xml:space="preserve"> </w:t>
      </w:r>
    </w:p>
    <w:p w14:paraId="3690CB92" w14:textId="401774B2" w:rsidR="003D2513" w:rsidRPr="003D2513" w:rsidRDefault="003D2513" w:rsidP="003D2513">
      <w:pPr>
        <w:pStyle w:val="References"/>
      </w:pPr>
      <w:r w:rsidRPr="003D2513">
        <w:t xml:space="preserve">Pan, </w:t>
      </w:r>
      <w:proofErr w:type="spellStart"/>
      <w:r w:rsidRPr="003D2513">
        <w:t>Fenghua</w:t>
      </w:r>
      <w:proofErr w:type="spellEnd"/>
      <w:r w:rsidRPr="003D2513">
        <w:t xml:space="preserve">, </w:t>
      </w:r>
      <w:proofErr w:type="spellStart"/>
      <w:r w:rsidRPr="003D2513">
        <w:t>Fengmei</w:t>
      </w:r>
      <w:proofErr w:type="spellEnd"/>
      <w:r w:rsidRPr="003D2513">
        <w:t xml:space="preserve"> Zhang, </w:t>
      </w:r>
      <w:proofErr w:type="spellStart"/>
      <w:r w:rsidRPr="003D2513">
        <w:t>Shengjun</w:t>
      </w:r>
      <w:proofErr w:type="spellEnd"/>
      <w:r w:rsidRPr="003D2513">
        <w:t xml:space="preserve"> Zhu, and Dariusz </w:t>
      </w:r>
      <w:proofErr w:type="spellStart"/>
      <w:r w:rsidRPr="003D2513">
        <w:t>Wójcik</w:t>
      </w:r>
      <w:proofErr w:type="spellEnd"/>
      <w:r w:rsidRPr="003D2513">
        <w:t xml:space="preserve">. 2017. </w:t>
      </w:r>
      <w:r w:rsidR="008B20CE">
        <w:t>“</w:t>
      </w:r>
      <w:r w:rsidRPr="003D2513">
        <w:t xml:space="preserve">Developing by </w:t>
      </w:r>
      <w:r w:rsidR="0006640F" w:rsidRPr="003D2513">
        <w:t>Borrowing</w:t>
      </w:r>
      <w:r w:rsidRPr="003D2513">
        <w:t>? Inter-</w:t>
      </w:r>
      <w:r w:rsidR="0006640F" w:rsidRPr="003D2513">
        <w:t>Jurisdictional Competition, Land Fina</w:t>
      </w:r>
      <w:r w:rsidRPr="003D2513">
        <w:t xml:space="preserve">nce and </w:t>
      </w:r>
      <w:r w:rsidR="0006640F" w:rsidRPr="003D2513">
        <w:t xml:space="preserve">Local Debt Accumulation </w:t>
      </w:r>
      <w:r w:rsidRPr="003D2513">
        <w:t>in China.</w:t>
      </w:r>
      <w:r w:rsidR="008B20CE">
        <w:t>”</w:t>
      </w:r>
      <w:r w:rsidRPr="003D2513">
        <w:t> </w:t>
      </w:r>
      <w:r w:rsidRPr="003D2513">
        <w:rPr>
          <w:i/>
          <w:iCs/>
        </w:rPr>
        <w:t>Urban Studies</w:t>
      </w:r>
      <w:r w:rsidRPr="003D2513">
        <w:t> 54 (4): 897</w:t>
      </w:r>
      <w:r w:rsidR="008B20CE">
        <w:t>–</w:t>
      </w:r>
      <w:r w:rsidRPr="003D2513">
        <w:t>916.</w:t>
      </w:r>
    </w:p>
    <w:p w14:paraId="6BDE66B2" w14:textId="3FB76CD5" w:rsidR="003D2513" w:rsidRPr="003D2513" w:rsidRDefault="003D2513" w:rsidP="003D2513">
      <w:pPr>
        <w:pStyle w:val="References"/>
      </w:pPr>
      <w:r w:rsidRPr="003D2513">
        <w:t>Phillips, Peter C</w:t>
      </w:r>
      <w:r w:rsidR="0006640F">
        <w:t xml:space="preserve">. </w:t>
      </w:r>
      <w:r w:rsidRPr="003D2513">
        <w:t>B</w:t>
      </w:r>
      <w:r w:rsidR="0006640F">
        <w:t>.</w:t>
      </w:r>
      <w:r w:rsidRPr="003D2513">
        <w:t xml:space="preserve">, and </w:t>
      </w:r>
      <w:proofErr w:type="spellStart"/>
      <w:r w:rsidRPr="003D2513">
        <w:t>Donggyu</w:t>
      </w:r>
      <w:proofErr w:type="spellEnd"/>
      <w:r w:rsidRPr="003D2513">
        <w:t xml:space="preserve"> Sul. 2007. </w:t>
      </w:r>
      <w:r w:rsidR="008B20CE">
        <w:t>“</w:t>
      </w:r>
      <w:r w:rsidRPr="003D2513">
        <w:t xml:space="preserve">Transition </w:t>
      </w:r>
      <w:r w:rsidR="001A6B56">
        <w:t>M</w:t>
      </w:r>
      <w:r w:rsidR="001A6B56" w:rsidRPr="003D2513">
        <w:t xml:space="preserve">odelling </w:t>
      </w:r>
      <w:r w:rsidRPr="003D2513">
        <w:t xml:space="preserve">and </w:t>
      </w:r>
      <w:r w:rsidR="0006640F" w:rsidRPr="003D2513">
        <w:t>Econometric Convergence Tests</w:t>
      </w:r>
      <w:r w:rsidRPr="003D2513">
        <w:t>.</w:t>
      </w:r>
      <w:r w:rsidR="008B20CE">
        <w:t>”</w:t>
      </w:r>
      <w:r w:rsidRPr="003D2513">
        <w:t> </w:t>
      </w:r>
      <w:r w:rsidRPr="003D2513">
        <w:rPr>
          <w:i/>
          <w:iCs/>
        </w:rPr>
        <w:t>Econometrica</w:t>
      </w:r>
      <w:r w:rsidRPr="003D2513">
        <w:t> 75 (6): 1771</w:t>
      </w:r>
      <w:r w:rsidR="008B20CE">
        <w:t>–</w:t>
      </w:r>
      <w:r w:rsidRPr="003D2513">
        <w:t>1855.</w:t>
      </w:r>
    </w:p>
    <w:p w14:paraId="4E169F84" w14:textId="5D03011D" w:rsidR="003D2513" w:rsidRPr="003D2513" w:rsidRDefault="003D2513" w:rsidP="003D2513">
      <w:pPr>
        <w:pStyle w:val="References"/>
      </w:pPr>
      <w:r w:rsidRPr="003D2513">
        <w:t xml:space="preserve">Pollitt, Christopher. 2008. </w:t>
      </w:r>
      <w:r w:rsidR="008B20CE">
        <w:t>“</w:t>
      </w:r>
      <w:r w:rsidRPr="003D2513">
        <w:t xml:space="preserve">An </w:t>
      </w:r>
      <w:r w:rsidR="0006640F" w:rsidRPr="003D2513">
        <w:t xml:space="preserve">Overview </w:t>
      </w:r>
      <w:r w:rsidRPr="003D2513">
        <w:t xml:space="preserve">of the </w:t>
      </w:r>
      <w:r w:rsidR="0006640F" w:rsidRPr="003D2513">
        <w:t xml:space="preserve">Papers </w:t>
      </w:r>
      <w:r w:rsidRPr="003D2513">
        <w:t xml:space="preserve">and </w:t>
      </w:r>
      <w:r w:rsidR="0006640F" w:rsidRPr="003D2513">
        <w:t xml:space="preserve">Propositions </w:t>
      </w:r>
      <w:r w:rsidRPr="003D2513">
        <w:t xml:space="preserve">of the </w:t>
      </w:r>
      <w:r w:rsidR="0006640F" w:rsidRPr="003D2513">
        <w:t>First Trans</w:t>
      </w:r>
      <w:r w:rsidRPr="003D2513">
        <w:t xml:space="preserve">-European </w:t>
      </w:r>
      <w:r w:rsidR="0006640F" w:rsidRPr="003D2513">
        <w:t xml:space="preserve">Dialogue </w:t>
      </w:r>
      <w:r w:rsidRPr="003D2513">
        <w:t>(TED1).</w:t>
      </w:r>
      <w:r w:rsidR="008B20CE">
        <w:t>”</w:t>
      </w:r>
      <w:r w:rsidRPr="003D2513">
        <w:t> </w:t>
      </w:r>
      <w:proofErr w:type="spellStart"/>
      <w:r w:rsidRPr="003D2513">
        <w:rPr>
          <w:i/>
          <w:iCs/>
        </w:rPr>
        <w:t>NISPAcee</w:t>
      </w:r>
      <w:proofErr w:type="spellEnd"/>
      <w:r w:rsidRPr="003D2513">
        <w:rPr>
          <w:i/>
          <w:iCs/>
        </w:rPr>
        <w:t xml:space="preserve"> Journal of Public Administration and Policy</w:t>
      </w:r>
      <w:r w:rsidRPr="003D2513">
        <w:t> 1 (2): 9</w:t>
      </w:r>
      <w:r w:rsidR="008B20CE">
        <w:t>–</w:t>
      </w:r>
      <w:r w:rsidRPr="003D2513">
        <w:t>16.</w:t>
      </w:r>
    </w:p>
    <w:p w14:paraId="54F277AC" w14:textId="7AD6F514" w:rsidR="003D2513" w:rsidRPr="003D2513" w:rsidRDefault="003D2513" w:rsidP="003D2513">
      <w:pPr>
        <w:pStyle w:val="References"/>
      </w:pPr>
      <w:r w:rsidRPr="003D2513">
        <w:t xml:space="preserve">Quah, Danny. 1992. </w:t>
      </w:r>
      <w:r w:rsidR="008B20CE">
        <w:t>“</w:t>
      </w:r>
      <w:r w:rsidRPr="003D2513">
        <w:t xml:space="preserve">Empirical </w:t>
      </w:r>
      <w:r w:rsidR="0006640F" w:rsidRPr="003D2513">
        <w:t xml:space="preserve">Cross-Section Dynamics </w:t>
      </w:r>
      <w:r w:rsidRPr="003D2513">
        <w:t xml:space="preserve">in </w:t>
      </w:r>
      <w:r w:rsidR="0006640F" w:rsidRPr="003D2513">
        <w:t>Economic Growth</w:t>
      </w:r>
      <w:r w:rsidRPr="003D2513">
        <w:t>.</w:t>
      </w:r>
      <w:r w:rsidR="008B20CE">
        <w:t>”</w:t>
      </w:r>
      <w:r w:rsidRPr="003D2513">
        <w:t xml:space="preserve"> </w:t>
      </w:r>
      <w:r w:rsidRPr="003D2513">
        <w:rPr>
          <w:i/>
        </w:rPr>
        <w:t>European Economic Review</w:t>
      </w:r>
      <w:r w:rsidRPr="003D2513">
        <w:t xml:space="preserve"> 37 (2/3): 426</w:t>
      </w:r>
      <w:r w:rsidR="008B20CE">
        <w:t>–</w:t>
      </w:r>
      <w:r w:rsidRPr="003D2513">
        <w:t>434.</w:t>
      </w:r>
    </w:p>
    <w:p w14:paraId="74E5F0D3" w14:textId="45DA3990" w:rsidR="003D2513" w:rsidRPr="003D2513" w:rsidRDefault="003D2513" w:rsidP="003D2513">
      <w:pPr>
        <w:pStyle w:val="References"/>
      </w:pPr>
      <w:r w:rsidRPr="003D2513">
        <w:t xml:space="preserve">Quah, Danny T. 1997. </w:t>
      </w:r>
      <w:r w:rsidR="008B20CE">
        <w:t>“</w:t>
      </w:r>
      <w:r w:rsidRPr="003D2513">
        <w:t xml:space="preserve">Empirics for </w:t>
      </w:r>
      <w:r w:rsidR="0006640F" w:rsidRPr="003D2513">
        <w:t xml:space="preserve">Growth </w:t>
      </w:r>
      <w:r w:rsidRPr="003D2513">
        <w:t xml:space="preserve">and </w:t>
      </w:r>
      <w:r w:rsidR="0006640F" w:rsidRPr="003D2513">
        <w:t>Distribution: Stratification, Polarization</w:t>
      </w:r>
      <w:r w:rsidRPr="003D2513">
        <w:t xml:space="preserve">, and </w:t>
      </w:r>
      <w:r w:rsidR="0006640F" w:rsidRPr="003D2513">
        <w:t>Convergence Clubs</w:t>
      </w:r>
      <w:r w:rsidRPr="003D2513">
        <w:t>.</w:t>
      </w:r>
      <w:r w:rsidR="008B20CE">
        <w:t>”</w:t>
      </w:r>
      <w:r w:rsidRPr="003D2513">
        <w:t> </w:t>
      </w:r>
      <w:r w:rsidRPr="003D2513">
        <w:rPr>
          <w:i/>
          <w:iCs/>
        </w:rPr>
        <w:t xml:space="preserve">Journal of </w:t>
      </w:r>
      <w:r w:rsidR="0006640F" w:rsidRPr="003D2513">
        <w:rPr>
          <w:i/>
          <w:iCs/>
        </w:rPr>
        <w:t>Economic Growth</w:t>
      </w:r>
      <w:r w:rsidR="0006640F" w:rsidRPr="003D2513">
        <w:t> </w:t>
      </w:r>
      <w:r w:rsidRPr="003D2513">
        <w:t>2 (1): 27</w:t>
      </w:r>
      <w:r w:rsidR="008B20CE">
        <w:t>–</w:t>
      </w:r>
      <w:r w:rsidRPr="003D2513">
        <w:t>59.</w:t>
      </w:r>
    </w:p>
    <w:p w14:paraId="3454CBB5" w14:textId="6EE55ED4" w:rsidR="003D2513" w:rsidRPr="003D2513" w:rsidRDefault="003D2513" w:rsidP="003D2513">
      <w:pPr>
        <w:pStyle w:val="References"/>
      </w:pPr>
      <w:r w:rsidRPr="003D2513">
        <w:t xml:space="preserve">Raiser, Martin. 1998. </w:t>
      </w:r>
      <w:r w:rsidR="008B20CE">
        <w:t>“</w:t>
      </w:r>
      <w:r w:rsidRPr="003D2513">
        <w:t xml:space="preserve">Subsidising </w:t>
      </w:r>
      <w:r w:rsidR="0006640F" w:rsidRPr="003D2513">
        <w:t xml:space="preserve">Inequality: Economic Reforms, Fiscal Transfers </w:t>
      </w:r>
      <w:r w:rsidRPr="003D2513">
        <w:t xml:space="preserve">and </w:t>
      </w:r>
      <w:r w:rsidR="0006640F" w:rsidRPr="003D2513">
        <w:t xml:space="preserve">Convergence </w:t>
      </w:r>
      <w:r w:rsidRPr="003D2513">
        <w:t xml:space="preserve">across Chinese </w:t>
      </w:r>
      <w:r w:rsidR="0006640F" w:rsidRPr="003D2513">
        <w:t>Provinces</w:t>
      </w:r>
      <w:r w:rsidRPr="003D2513">
        <w:t>.</w:t>
      </w:r>
      <w:r w:rsidR="008B20CE">
        <w:t>”</w:t>
      </w:r>
      <w:r w:rsidRPr="003D2513">
        <w:t> </w:t>
      </w:r>
      <w:r w:rsidRPr="003D2513">
        <w:rPr>
          <w:i/>
          <w:iCs/>
        </w:rPr>
        <w:t>The Journal of Development Studies</w:t>
      </w:r>
      <w:r w:rsidRPr="003D2513">
        <w:t> 34 (3): 1</w:t>
      </w:r>
      <w:r w:rsidR="008B20CE">
        <w:t>–</w:t>
      </w:r>
      <w:r w:rsidRPr="003D2513">
        <w:t>26.</w:t>
      </w:r>
    </w:p>
    <w:p w14:paraId="3417BEBD" w14:textId="5DFAA0EF" w:rsidR="003D2513" w:rsidRPr="003D2513" w:rsidRDefault="003D2513" w:rsidP="003D2513">
      <w:pPr>
        <w:pStyle w:val="References"/>
      </w:pPr>
      <w:r w:rsidRPr="003D2513">
        <w:t xml:space="preserve">Sanderson, Stephen K. 1988. </w:t>
      </w:r>
      <w:r w:rsidR="008B20CE">
        <w:t>“</w:t>
      </w:r>
      <w:r w:rsidRPr="003D2513">
        <w:t xml:space="preserve">The </w:t>
      </w:r>
      <w:r w:rsidR="0006640F" w:rsidRPr="003D2513">
        <w:t>Neo</w:t>
      </w:r>
      <w:r w:rsidRPr="003D2513">
        <w:t xml:space="preserve">-Weberian </w:t>
      </w:r>
      <w:r w:rsidR="0006640F" w:rsidRPr="003D2513">
        <w:t>Revolution</w:t>
      </w:r>
      <w:r w:rsidRPr="003D2513">
        <w:t xml:space="preserve">: A </w:t>
      </w:r>
      <w:r w:rsidR="0006640F" w:rsidRPr="003D2513">
        <w:t>Theoretical Balance Sheet</w:t>
      </w:r>
      <w:r w:rsidRPr="003D2513">
        <w:t>.</w:t>
      </w:r>
      <w:r w:rsidR="008B20CE">
        <w:t>”</w:t>
      </w:r>
      <w:r w:rsidRPr="003D2513">
        <w:t xml:space="preserve"> </w:t>
      </w:r>
      <w:r w:rsidRPr="003D2513">
        <w:rPr>
          <w:i/>
          <w:iCs/>
        </w:rPr>
        <w:t>Sociological Forum</w:t>
      </w:r>
      <w:r w:rsidRPr="003D2513">
        <w:t>, Eastern Sociological Society: 307</w:t>
      </w:r>
      <w:r w:rsidR="008B20CE">
        <w:t>–</w:t>
      </w:r>
      <w:r w:rsidRPr="003D2513">
        <w:t>314.</w:t>
      </w:r>
    </w:p>
    <w:p w14:paraId="0DFD264A" w14:textId="0D685C88" w:rsidR="003D2513" w:rsidRPr="003D2513" w:rsidRDefault="003D2513" w:rsidP="003D2513">
      <w:pPr>
        <w:pStyle w:val="References"/>
      </w:pPr>
      <w:proofErr w:type="spellStart"/>
      <w:r w:rsidRPr="003D2513">
        <w:t>Seabrooke</w:t>
      </w:r>
      <w:proofErr w:type="spellEnd"/>
      <w:r w:rsidRPr="003D2513">
        <w:t xml:space="preserve">, Leonard. 2002. </w:t>
      </w:r>
      <w:r w:rsidR="008B20CE">
        <w:t>“</w:t>
      </w:r>
      <w:r w:rsidRPr="003D2513">
        <w:t xml:space="preserve">Bringing </w:t>
      </w:r>
      <w:r w:rsidR="0006640F" w:rsidRPr="003D2513">
        <w:t xml:space="preserve">Legitimacy Back </w:t>
      </w:r>
      <w:r w:rsidRPr="003D2513">
        <w:t xml:space="preserve">in to </w:t>
      </w:r>
      <w:r w:rsidR="0006640F" w:rsidRPr="003D2513">
        <w:t>Neo</w:t>
      </w:r>
      <w:r w:rsidRPr="003D2513">
        <w:t xml:space="preserve">-Weberian </w:t>
      </w:r>
      <w:r w:rsidR="0006640F" w:rsidRPr="003D2513">
        <w:t xml:space="preserve">State Theory </w:t>
      </w:r>
      <w:r w:rsidRPr="003D2513">
        <w:t xml:space="preserve">and </w:t>
      </w:r>
      <w:r w:rsidR="0006640F" w:rsidRPr="003D2513">
        <w:t>International Relations</w:t>
      </w:r>
      <w:r w:rsidRPr="003D2513">
        <w:t>.</w:t>
      </w:r>
      <w:r w:rsidR="008B20CE">
        <w:t>”</w:t>
      </w:r>
      <w:r w:rsidRPr="003D2513">
        <w:t xml:space="preserve"> Canberra: Department of International Relations, Australian National University.</w:t>
      </w:r>
    </w:p>
    <w:p w14:paraId="43B29F41" w14:textId="101C3096" w:rsidR="003D2513" w:rsidRPr="003D2513" w:rsidRDefault="003D2513" w:rsidP="003D2513">
      <w:pPr>
        <w:pStyle w:val="References"/>
      </w:pPr>
      <w:r w:rsidRPr="003D2513">
        <w:t xml:space="preserve">Singh, Arvinder. 2002. </w:t>
      </w:r>
      <w:r w:rsidR="008B20CE">
        <w:t>“</w:t>
      </w:r>
      <w:r w:rsidRPr="003D2513">
        <w:t>Understanding China's' Go-West' Campaign.</w:t>
      </w:r>
      <w:r w:rsidR="008B20CE">
        <w:t>”</w:t>
      </w:r>
      <w:r w:rsidRPr="003D2513">
        <w:t> </w:t>
      </w:r>
      <w:r w:rsidRPr="003D2513">
        <w:rPr>
          <w:i/>
          <w:iCs/>
        </w:rPr>
        <w:t>China Report</w:t>
      </w:r>
      <w:r w:rsidRPr="003D2513">
        <w:t> 38 (1): 121</w:t>
      </w:r>
      <w:r w:rsidR="008B20CE">
        <w:t>–</w:t>
      </w:r>
      <w:r w:rsidRPr="003D2513">
        <w:t>127.</w:t>
      </w:r>
    </w:p>
    <w:p w14:paraId="3AB29934" w14:textId="678CA848" w:rsidR="008B20CE" w:rsidRPr="003D2513" w:rsidRDefault="008B20CE" w:rsidP="008B20CE">
      <w:pPr>
        <w:pStyle w:val="References"/>
      </w:pPr>
      <w:r w:rsidRPr="008B20CE">
        <w:rPr>
          <w:i/>
          <w:iCs/>
        </w:rPr>
        <w:t>State Council (The</w:t>
      </w:r>
      <w:r>
        <w:t>)</w:t>
      </w:r>
      <w:r w:rsidRPr="003D2513">
        <w:t xml:space="preserve">, The People’s Republic of China. 2016. </w:t>
      </w:r>
      <w:r w:rsidR="0006640F">
        <w:t>“</w:t>
      </w:r>
      <w:r w:rsidRPr="003D2513">
        <w:t xml:space="preserve">New </w:t>
      </w:r>
      <w:r w:rsidR="0006640F" w:rsidRPr="003D2513">
        <w:t xml:space="preserve">Five-Year Plan Brings Hope </w:t>
      </w:r>
      <w:r w:rsidRPr="003D2513">
        <w:t xml:space="preserve">to China’s </w:t>
      </w:r>
      <w:r w:rsidR="0006640F" w:rsidRPr="003D2513">
        <w:t>West</w:t>
      </w:r>
      <w:r w:rsidRPr="003D2513">
        <w:t>.</w:t>
      </w:r>
      <w:r w:rsidR="0006640F">
        <w:t>”</w:t>
      </w:r>
      <w:r w:rsidRPr="003D2513">
        <w:t xml:space="preserve"> </w:t>
      </w:r>
      <w:r w:rsidR="001A6B56">
        <w:t xml:space="preserve">Available at </w:t>
      </w:r>
      <w:r w:rsidRPr="003D2513">
        <w:t xml:space="preserve"> </w:t>
      </w:r>
      <w:hyperlink r:id="rId30" w:history="1">
        <w:r w:rsidRPr="003D2513">
          <w:rPr>
            <w:rStyle w:val="Hyperlink"/>
          </w:rPr>
          <w:t>http://english.gov.cn/premier/news/2016/12/27/content_281475526349906.htm</w:t>
        </w:r>
      </w:hyperlink>
      <w:r w:rsidR="001A6B56">
        <w:rPr>
          <w:lang w:val="en-US"/>
        </w:rPr>
        <w:t>.</w:t>
      </w:r>
      <w:r w:rsidR="002E7375">
        <w:rPr>
          <w:lang w:val="en-US"/>
        </w:rPr>
        <w:t xml:space="preserve"> Accessed on </w:t>
      </w:r>
      <w:r w:rsidR="002E7375" w:rsidRPr="003D2513">
        <w:t>August 6, 2018</w:t>
      </w:r>
      <w:r w:rsidR="002E7375">
        <w:t xml:space="preserve">. </w:t>
      </w:r>
    </w:p>
    <w:p w14:paraId="37479CB5" w14:textId="53C9FB43" w:rsidR="008B20CE" w:rsidRPr="003D2513" w:rsidRDefault="008B20CE" w:rsidP="008B20CE">
      <w:pPr>
        <w:pStyle w:val="References"/>
      </w:pPr>
      <w:r w:rsidRPr="003D2513">
        <w:t xml:space="preserve">Sun, </w:t>
      </w:r>
      <w:proofErr w:type="spellStart"/>
      <w:r w:rsidRPr="003D2513">
        <w:t>Wenkai</w:t>
      </w:r>
      <w:proofErr w:type="spellEnd"/>
      <w:r w:rsidRPr="003D2513">
        <w:t xml:space="preserve">, </w:t>
      </w:r>
      <w:proofErr w:type="spellStart"/>
      <w:r w:rsidRPr="003D2513">
        <w:t>Jiangyong</w:t>
      </w:r>
      <w:proofErr w:type="spellEnd"/>
      <w:r w:rsidRPr="003D2513">
        <w:t xml:space="preserve"> Lu, and </w:t>
      </w:r>
      <w:proofErr w:type="spellStart"/>
      <w:r w:rsidRPr="003D2513">
        <w:t>Chongen</w:t>
      </w:r>
      <w:proofErr w:type="spellEnd"/>
      <w:r w:rsidRPr="003D2513">
        <w:t xml:space="preserve"> Bai. 2007. </w:t>
      </w:r>
      <w:r>
        <w:t>“</w:t>
      </w:r>
      <w:r w:rsidRPr="003D2513">
        <w:t xml:space="preserve">An </w:t>
      </w:r>
      <w:r w:rsidR="0006640F" w:rsidRPr="003D2513">
        <w:t xml:space="preserve">Analysis </w:t>
      </w:r>
      <w:r w:rsidRPr="003D2513">
        <w:t xml:space="preserve">of </w:t>
      </w:r>
      <w:r w:rsidR="0006640F" w:rsidRPr="003D2513">
        <w:t xml:space="preserve">Income Mobility </w:t>
      </w:r>
      <w:r w:rsidRPr="003D2513">
        <w:t xml:space="preserve">in </w:t>
      </w:r>
      <w:r w:rsidR="0006640F" w:rsidRPr="003D2513">
        <w:t xml:space="preserve">Rural </w:t>
      </w:r>
      <w:r w:rsidRPr="003D2513">
        <w:t>China.</w:t>
      </w:r>
      <w:r>
        <w:t>”</w:t>
      </w:r>
      <w:r w:rsidRPr="003D2513">
        <w:t> </w:t>
      </w:r>
      <w:r w:rsidRPr="003D2513">
        <w:rPr>
          <w:i/>
          <w:iCs/>
        </w:rPr>
        <w:t>Economic Research Journal</w:t>
      </w:r>
      <w:r w:rsidRPr="003D2513">
        <w:t> 42 (8): 43</w:t>
      </w:r>
      <w:r>
        <w:t>–</w:t>
      </w:r>
      <w:r w:rsidRPr="003D2513">
        <w:t>57.</w:t>
      </w:r>
    </w:p>
    <w:p w14:paraId="36944732" w14:textId="32CD0B25" w:rsidR="003D2513" w:rsidRPr="003D2513" w:rsidRDefault="003D2513" w:rsidP="003D2513">
      <w:pPr>
        <w:pStyle w:val="References"/>
      </w:pPr>
      <w:r w:rsidRPr="003D2513">
        <w:t xml:space="preserve">Sun, </w:t>
      </w:r>
      <w:proofErr w:type="spellStart"/>
      <w:r w:rsidRPr="003D2513">
        <w:t>Zhengyun</w:t>
      </w:r>
      <w:proofErr w:type="spellEnd"/>
      <w:r w:rsidRPr="003D2513">
        <w:t xml:space="preserve">. 2013. </w:t>
      </w:r>
      <w:r w:rsidR="008B20CE">
        <w:t>“</w:t>
      </w:r>
      <w:r w:rsidRPr="003D2513">
        <w:t xml:space="preserve">Explaining </w:t>
      </w:r>
      <w:r w:rsidR="0006640F" w:rsidRPr="003D2513">
        <w:t xml:space="preserve">Regional Disparities </w:t>
      </w:r>
      <w:r w:rsidRPr="003D2513">
        <w:t xml:space="preserve">of China’s </w:t>
      </w:r>
      <w:r w:rsidR="0006640F" w:rsidRPr="003D2513">
        <w:t>Economic Growth</w:t>
      </w:r>
      <w:r w:rsidRPr="003D2513">
        <w:t xml:space="preserve">: Geography, </w:t>
      </w:r>
      <w:r w:rsidR="0006640F" w:rsidRPr="003D2513">
        <w:t xml:space="preserve">Policy </w:t>
      </w:r>
      <w:r w:rsidRPr="003D2513">
        <w:t xml:space="preserve">and </w:t>
      </w:r>
      <w:r w:rsidR="0006640F" w:rsidRPr="003D2513">
        <w:t>Infrastructure</w:t>
      </w:r>
      <w:r w:rsidRPr="003D2513">
        <w:t>.</w:t>
      </w:r>
      <w:r w:rsidR="008B20CE">
        <w:t>”</w:t>
      </w:r>
      <w:r w:rsidRPr="003D2513">
        <w:t> </w:t>
      </w:r>
      <w:r w:rsidRPr="003D2513">
        <w:rPr>
          <w:iCs/>
        </w:rPr>
        <w:t>Berkeley, CA: University of California</w:t>
      </w:r>
      <w:r w:rsidRPr="003D2513">
        <w:t>.</w:t>
      </w:r>
    </w:p>
    <w:p w14:paraId="7BBD1BC0" w14:textId="60DB5CEC" w:rsidR="003D2513" w:rsidRPr="003D2513" w:rsidRDefault="003D2513" w:rsidP="003D2513">
      <w:pPr>
        <w:pStyle w:val="References"/>
      </w:pPr>
      <w:r w:rsidRPr="003D2513">
        <w:t xml:space="preserve">Tian, Xu, </w:t>
      </w:r>
      <w:proofErr w:type="spellStart"/>
      <w:r w:rsidRPr="003D2513">
        <w:t>Xiaoheng</w:t>
      </w:r>
      <w:proofErr w:type="spellEnd"/>
      <w:r w:rsidRPr="003D2513">
        <w:t xml:space="preserve"> Zhang, </w:t>
      </w:r>
      <w:proofErr w:type="spellStart"/>
      <w:r w:rsidRPr="003D2513">
        <w:t>Yingheng</w:t>
      </w:r>
      <w:proofErr w:type="spellEnd"/>
      <w:r w:rsidRPr="003D2513">
        <w:t xml:space="preserve"> Zhou, and </w:t>
      </w:r>
      <w:proofErr w:type="spellStart"/>
      <w:r w:rsidRPr="003D2513">
        <w:t>Xiaohua</w:t>
      </w:r>
      <w:proofErr w:type="spellEnd"/>
      <w:r w:rsidRPr="003D2513">
        <w:t xml:space="preserve"> Yu. 2016. </w:t>
      </w:r>
      <w:r w:rsidR="008B20CE">
        <w:t>“</w:t>
      </w:r>
      <w:r w:rsidRPr="003D2513">
        <w:t xml:space="preserve">Regional </w:t>
      </w:r>
      <w:r w:rsidR="0006640F" w:rsidRPr="003D2513">
        <w:t xml:space="preserve">Income Inequality </w:t>
      </w:r>
      <w:r w:rsidRPr="003D2513">
        <w:t xml:space="preserve">in China </w:t>
      </w:r>
      <w:r w:rsidR="0006640F" w:rsidRPr="003D2513">
        <w:t>Revisited</w:t>
      </w:r>
      <w:r w:rsidRPr="003D2513">
        <w:t>: A perspective from club convergence.</w:t>
      </w:r>
      <w:r w:rsidR="008B20CE">
        <w:t>”</w:t>
      </w:r>
      <w:r w:rsidRPr="003D2513">
        <w:t> </w:t>
      </w:r>
      <w:r w:rsidRPr="003D2513">
        <w:rPr>
          <w:i/>
          <w:iCs/>
        </w:rPr>
        <w:t>Economic Modelling</w:t>
      </w:r>
      <w:r w:rsidRPr="003D2513">
        <w:t> 56: 50</w:t>
      </w:r>
      <w:r w:rsidR="008B20CE">
        <w:t>–</w:t>
      </w:r>
      <w:r w:rsidRPr="003D2513">
        <w:t>58.</w:t>
      </w:r>
    </w:p>
    <w:p w14:paraId="20DE9D92" w14:textId="00E27A68" w:rsidR="003D2513" w:rsidRPr="003D2513" w:rsidRDefault="003D2513" w:rsidP="003D2513">
      <w:pPr>
        <w:pStyle w:val="References"/>
      </w:pPr>
      <w:r w:rsidRPr="003D2513">
        <w:t xml:space="preserve">Tsui, Kai Yuen. 2011. </w:t>
      </w:r>
      <w:r w:rsidR="008B20CE">
        <w:t>“</w:t>
      </w:r>
      <w:r w:rsidRPr="003D2513">
        <w:t xml:space="preserve">China's </w:t>
      </w:r>
      <w:r w:rsidR="0006640F" w:rsidRPr="003D2513">
        <w:t xml:space="preserve">Infrastructure Investment Boom </w:t>
      </w:r>
      <w:r w:rsidRPr="003D2513">
        <w:t xml:space="preserve">and </w:t>
      </w:r>
      <w:r w:rsidR="0006640F" w:rsidRPr="003D2513">
        <w:t>Local Debt Crisis</w:t>
      </w:r>
      <w:r w:rsidRPr="003D2513">
        <w:t>.</w:t>
      </w:r>
      <w:r w:rsidR="008B20CE">
        <w:t>”</w:t>
      </w:r>
      <w:r w:rsidRPr="003D2513">
        <w:t> </w:t>
      </w:r>
      <w:r w:rsidRPr="003D2513">
        <w:rPr>
          <w:i/>
          <w:iCs/>
        </w:rPr>
        <w:t>Eurasian Geography and Economics</w:t>
      </w:r>
      <w:r w:rsidRPr="003D2513">
        <w:t> 52 (5): 686</w:t>
      </w:r>
      <w:r w:rsidR="008B20CE">
        <w:t>–</w:t>
      </w:r>
      <w:r w:rsidRPr="003D2513">
        <w:t>711.</w:t>
      </w:r>
    </w:p>
    <w:p w14:paraId="174FB798" w14:textId="36C855B0" w:rsidR="003D2513" w:rsidRPr="003D2513" w:rsidRDefault="003D2513" w:rsidP="003D2513">
      <w:pPr>
        <w:pStyle w:val="References"/>
      </w:pPr>
      <w:r w:rsidRPr="003D2513">
        <w:t xml:space="preserve">Tubadji, Annie. 2020. </w:t>
      </w:r>
      <w:r w:rsidR="008B20CE">
        <w:t>“</w:t>
      </w:r>
      <w:r w:rsidRPr="003D2513">
        <w:t>Value-Free Analysis of Values: A Culture-Based Development Approach.</w:t>
      </w:r>
      <w:r w:rsidR="008B20CE">
        <w:t>”</w:t>
      </w:r>
      <w:r w:rsidRPr="003D2513">
        <w:t> </w:t>
      </w:r>
      <w:r w:rsidRPr="003D2513">
        <w:rPr>
          <w:i/>
          <w:iCs/>
        </w:rPr>
        <w:t>Sustainability</w:t>
      </w:r>
      <w:r w:rsidRPr="003D2513">
        <w:t> 12 (22): 9492.</w:t>
      </w:r>
    </w:p>
    <w:p w14:paraId="6842F59E" w14:textId="4269C587" w:rsidR="003D2513" w:rsidRPr="003D2513" w:rsidRDefault="003D2513" w:rsidP="003D2513">
      <w:pPr>
        <w:pStyle w:val="References"/>
      </w:pPr>
      <w:r w:rsidRPr="003D2513">
        <w:t xml:space="preserve">Tubadji, Annie, and Peter Nijkamp. 2018. </w:t>
      </w:r>
      <w:r w:rsidR="008B20CE">
        <w:t>“</w:t>
      </w:r>
      <w:r w:rsidRPr="003D2513">
        <w:t xml:space="preserve">Cultural </w:t>
      </w:r>
      <w:r w:rsidR="0006640F" w:rsidRPr="003D2513">
        <w:t>Corridors</w:t>
      </w:r>
      <w:r w:rsidRPr="003D2513">
        <w:t xml:space="preserve">: An </w:t>
      </w:r>
      <w:r w:rsidR="0006640F" w:rsidRPr="003D2513">
        <w:t xml:space="preserve">Analysis </w:t>
      </w:r>
      <w:r w:rsidRPr="003D2513">
        <w:t xml:space="preserve">of </w:t>
      </w:r>
      <w:r w:rsidR="0006640F" w:rsidRPr="003D2513">
        <w:t xml:space="preserve">Persistence </w:t>
      </w:r>
      <w:r w:rsidRPr="003D2513">
        <w:t xml:space="preserve">in </w:t>
      </w:r>
      <w:r w:rsidR="0006640F" w:rsidRPr="003D2513">
        <w:t xml:space="preserve">Impacts </w:t>
      </w:r>
      <w:r w:rsidRPr="003D2513">
        <w:t xml:space="preserve">on </w:t>
      </w:r>
      <w:r w:rsidR="0006640F" w:rsidRPr="003D2513">
        <w:t>Local Development—</w:t>
      </w:r>
      <w:r w:rsidRPr="003D2513">
        <w:t xml:space="preserve">A </w:t>
      </w:r>
      <w:r w:rsidR="0006640F" w:rsidRPr="003D2513">
        <w:t>Neo-</w:t>
      </w:r>
      <w:r w:rsidRPr="003D2513">
        <w:t xml:space="preserve">Weberian </w:t>
      </w:r>
      <w:r w:rsidR="0006640F" w:rsidRPr="003D2513">
        <w:t xml:space="preserve">Perspective </w:t>
      </w:r>
      <w:r w:rsidRPr="003D2513">
        <w:t>on South-East Europe.</w:t>
      </w:r>
      <w:r w:rsidR="008B20CE">
        <w:t>”</w:t>
      </w:r>
      <w:r w:rsidRPr="003D2513">
        <w:t> </w:t>
      </w:r>
      <w:r w:rsidRPr="003D2513">
        <w:rPr>
          <w:i/>
          <w:iCs/>
        </w:rPr>
        <w:t>Journal of Economic Issues</w:t>
      </w:r>
      <w:r w:rsidRPr="003D2513">
        <w:t> 52 (1): 173</w:t>
      </w:r>
      <w:r w:rsidR="008B20CE">
        <w:t>–</w:t>
      </w:r>
      <w:r w:rsidRPr="003D2513">
        <w:t>204.</w:t>
      </w:r>
    </w:p>
    <w:p w14:paraId="6BD59F76" w14:textId="4116B37A" w:rsidR="003D2513" w:rsidRPr="003D2513" w:rsidRDefault="003D2513" w:rsidP="008B20CE">
      <w:pPr>
        <w:pStyle w:val="References"/>
      </w:pPr>
      <w:r w:rsidRPr="003D2513">
        <w:t xml:space="preserve">United Nations. 2020. </w:t>
      </w:r>
      <w:r w:rsidR="008B20CE">
        <w:t>“</w:t>
      </w:r>
      <w:r w:rsidRPr="003D2513">
        <w:t>Social Development for Sustainable Development.</w:t>
      </w:r>
      <w:r w:rsidR="008B20CE">
        <w:t>” United Nations Department of Economic and Social Affairs: Social Inclusion.</w:t>
      </w:r>
      <w:r w:rsidRPr="003D2513">
        <w:t xml:space="preserve"> </w:t>
      </w:r>
      <w:r w:rsidR="001A6B56">
        <w:t>Available at</w:t>
      </w:r>
      <w:r w:rsidRPr="003D2513">
        <w:t xml:space="preserve"> </w:t>
      </w:r>
      <w:hyperlink r:id="rId31" w:history="1">
        <w:r w:rsidRPr="003D2513">
          <w:rPr>
            <w:rStyle w:val="Hyperlink"/>
          </w:rPr>
          <w:t>https://www.un.org/development/desa/dspd/2030agenda-sdgs.html</w:t>
        </w:r>
      </w:hyperlink>
      <w:r w:rsidR="001A6B56">
        <w:rPr>
          <w:lang w:val="en-US"/>
        </w:rPr>
        <w:t>.</w:t>
      </w:r>
      <w:r w:rsidRPr="003D2513">
        <w:t xml:space="preserve"> </w:t>
      </w:r>
      <w:r w:rsidR="00BA2DE7">
        <w:t xml:space="preserve">Accessed on </w:t>
      </w:r>
      <w:r w:rsidR="00BA2DE7" w:rsidRPr="003D2513">
        <w:t>October 23, 202</w:t>
      </w:r>
      <w:r w:rsidR="00BA2DE7">
        <w:t>0</w:t>
      </w:r>
      <w:r w:rsidR="00BA2DE7" w:rsidRPr="003D2513">
        <w:t>.</w:t>
      </w:r>
    </w:p>
    <w:p w14:paraId="7D5375BD" w14:textId="53BBFD58" w:rsidR="003D2513" w:rsidRPr="003D2513" w:rsidRDefault="003D2513" w:rsidP="003D2513">
      <w:pPr>
        <w:pStyle w:val="References"/>
      </w:pPr>
      <w:r w:rsidRPr="003D2513">
        <w:t xml:space="preserve">Wang, Hanjie, Qiran Zhao, </w:t>
      </w:r>
      <w:proofErr w:type="spellStart"/>
      <w:r w:rsidRPr="003D2513">
        <w:t>Yunli</w:t>
      </w:r>
      <w:proofErr w:type="spellEnd"/>
      <w:r w:rsidRPr="003D2513">
        <w:t xml:space="preserve"> Bai, </w:t>
      </w:r>
      <w:proofErr w:type="spellStart"/>
      <w:r w:rsidRPr="003D2513">
        <w:t>Linxiu</w:t>
      </w:r>
      <w:proofErr w:type="spellEnd"/>
      <w:r w:rsidRPr="003D2513">
        <w:t xml:space="preserve"> Zhang, and </w:t>
      </w:r>
      <w:proofErr w:type="spellStart"/>
      <w:r w:rsidRPr="003D2513">
        <w:t>Xiaohua</w:t>
      </w:r>
      <w:proofErr w:type="spellEnd"/>
      <w:r w:rsidRPr="003D2513">
        <w:t xml:space="preserve"> Yu. 2020. </w:t>
      </w:r>
      <w:r w:rsidR="008B20CE">
        <w:t>“</w:t>
      </w:r>
      <w:r w:rsidRPr="003D2513">
        <w:t xml:space="preserve">Poverty and </w:t>
      </w:r>
      <w:r w:rsidR="0006640F" w:rsidRPr="003D2513">
        <w:t xml:space="preserve">Subjective Poverty </w:t>
      </w:r>
      <w:r w:rsidRPr="003D2513">
        <w:t xml:space="preserve">in </w:t>
      </w:r>
      <w:r w:rsidR="0006640F" w:rsidRPr="003D2513">
        <w:t xml:space="preserve">Rural </w:t>
      </w:r>
      <w:r w:rsidRPr="003D2513">
        <w:t>China.</w:t>
      </w:r>
      <w:r w:rsidR="008B20CE">
        <w:t>”</w:t>
      </w:r>
      <w:r w:rsidRPr="003D2513">
        <w:t> </w:t>
      </w:r>
      <w:r w:rsidRPr="003D2513">
        <w:rPr>
          <w:i/>
          <w:iCs/>
        </w:rPr>
        <w:t>Social Indicators Research</w:t>
      </w:r>
      <w:r w:rsidRPr="003D2513">
        <w:t> 150 (1): 219</w:t>
      </w:r>
      <w:r w:rsidR="008B20CE">
        <w:t>–</w:t>
      </w:r>
      <w:r w:rsidRPr="003D2513">
        <w:t>242.</w:t>
      </w:r>
    </w:p>
    <w:p w14:paraId="05D8C7E1" w14:textId="6E101363" w:rsidR="003D2513" w:rsidRPr="003D2513" w:rsidRDefault="003D2513" w:rsidP="003D2513">
      <w:pPr>
        <w:pStyle w:val="References"/>
      </w:pPr>
      <w:r w:rsidRPr="003D2513">
        <w:t xml:space="preserve">Webber, Don, and Paul White. 2003. </w:t>
      </w:r>
      <w:r w:rsidR="008B20CE">
        <w:t>“</w:t>
      </w:r>
      <w:r w:rsidRPr="003D2513">
        <w:t xml:space="preserve">Regional </w:t>
      </w:r>
      <w:r w:rsidR="0006640F" w:rsidRPr="003D2513">
        <w:t xml:space="preserve">Factor Price Convergence Across Four Major </w:t>
      </w:r>
      <w:r w:rsidRPr="003D2513">
        <w:t xml:space="preserve">European </w:t>
      </w:r>
      <w:r w:rsidR="0006640F" w:rsidRPr="003D2513">
        <w:t>Countries.</w:t>
      </w:r>
      <w:r w:rsidR="008B20CE">
        <w:t>”</w:t>
      </w:r>
      <w:r w:rsidRPr="003D2513">
        <w:t> </w:t>
      </w:r>
      <w:r w:rsidRPr="003D2513">
        <w:rPr>
          <w:i/>
          <w:iCs/>
        </w:rPr>
        <w:t>Regional Studies</w:t>
      </w:r>
      <w:r w:rsidRPr="003D2513">
        <w:t> 37 (8): 773</w:t>
      </w:r>
      <w:r w:rsidR="008B20CE">
        <w:t>–</w:t>
      </w:r>
      <w:r w:rsidRPr="003D2513">
        <w:t>782.</w:t>
      </w:r>
    </w:p>
    <w:p w14:paraId="6878ABB9" w14:textId="42296D13" w:rsidR="003D2513" w:rsidRPr="003D2513" w:rsidRDefault="003D2513" w:rsidP="003D2513">
      <w:pPr>
        <w:pStyle w:val="References"/>
      </w:pPr>
      <w:r w:rsidRPr="003D2513">
        <w:t xml:space="preserve">Webber, Don J., and Paul White. 2009. </w:t>
      </w:r>
      <w:r w:rsidR="008B20CE">
        <w:t>“</w:t>
      </w:r>
      <w:r w:rsidRPr="003D2513">
        <w:t xml:space="preserve">An </w:t>
      </w:r>
      <w:r w:rsidR="0006640F" w:rsidRPr="003D2513">
        <w:t xml:space="preserve">Alternative Test </w:t>
      </w:r>
      <w:r w:rsidRPr="003D2513">
        <w:t xml:space="preserve">to </w:t>
      </w:r>
      <w:r w:rsidR="0006640F" w:rsidRPr="003D2513">
        <w:t xml:space="preserve">Check </w:t>
      </w:r>
      <w:r w:rsidRPr="003D2513">
        <w:t xml:space="preserve">the </w:t>
      </w:r>
      <w:r w:rsidR="0006640F" w:rsidRPr="003D2513">
        <w:t xml:space="preserve">Validity </w:t>
      </w:r>
      <w:r w:rsidRPr="003D2513">
        <w:t xml:space="preserve">of </w:t>
      </w:r>
      <w:r w:rsidR="0006640F" w:rsidRPr="003D2513">
        <w:t>Convergence Results</w:t>
      </w:r>
      <w:r w:rsidRPr="003D2513">
        <w:t>.</w:t>
      </w:r>
      <w:r w:rsidR="008B20CE">
        <w:t>”</w:t>
      </w:r>
      <w:r w:rsidRPr="003D2513">
        <w:t> </w:t>
      </w:r>
      <w:r w:rsidRPr="003D2513">
        <w:rPr>
          <w:i/>
          <w:iCs/>
        </w:rPr>
        <w:t>Applied Economics Letters</w:t>
      </w:r>
      <w:r w:rsidRPr="003D2513">
        <w:t> 16 (18): 1825</w:t>
      </w:r>
      <w:r w:rsidR="008B20CE">
        <w:t>–</w:t>
      </w:r>
      <w:r w:rsidRPr="003D2513">
        <w:t>1829.</w:t>
      </w:r>
    </w:p>
    <w:p w14:paraId="7860BFC1" w14:textId="143EFA37" w:rsidR="003D2513" w:rsidRPr="003D2513" w:rsidRDefault="003D2513" w:rsidP="003D2513">
      <w:pPr>
        <w:pStyle w:val="References"/>
      </w:pPr>
      <w:r w:rsidRPr="003D2513">
        <w:t xml:space="preserve">Webber, Don J., Paul White, and David O. Allen. 2005. </w:t>
      </w:r>
      <w:r w:rsidR="008B20CE">
        <w:t>“</w:t>
      </w:r>
      <w:r w:rsidRPr="003D2513">
        <w:t xml:space="preserve">Income </w:t>
      </w:r>
      <w:r w:rsidR="0006640F" w:rsidRPr="003D2513">
        <w:t xml:space="preserve">Convergence </w:t>
      </w:r>
      <w:r w:rsidRPr="003D2513">
        <w:t xml:space="preserve">across US </w:t>
      </w:r>
      <w:r w:rsidR="0006640F" w:rsidRPr="003D2513">
        <w:t>States</w:t>
      </w:r>
      <w:r w:rsidRPr="003D2513">
        <w:t xml:space="preserve">: An </w:t>
      </w:r>
      <w:r w:rsidR="0006640F" w:rsidRPr="003D2513">
        <w:t>Analysis Using Measures</w:t>
      </w:r>
      <w:r w:rsidRPr="003D2513">
        <w:t xml:space="preserve"> of </w:t>
      </w:r>
      <w:r w:rsidR="0006640F" w:rsidRPr="003D2513">
        <w:t xml:space="preserve">Concordance </w:t>
      </w:r>
      <w:r w:rsidRPr="003D2513">
        <w:t xml:space="preserve">and </w:t>
      </w:r>
      <w:r w:rsidR="0006640F" w:rsidRPr="003D2513">
        <w:t>Discordance</w:t>
      </w:r>
      <w:r w:rsidRPr="003D2513">
        <w:t>.</w:t>
      </w:r>
      <w:r w:rsidR="008B20CE">
        <w:t>”</w:t>
      </w:r>
      <w:r w:rsidRPr="003D2513">
        <w:t> </w:t>
      </w:r>
      <w:r w:rsidRPr="003D2513">
        <w:rPr>
          <w:i/>
          <w:iCs/>
        </w:rPr>
        <w:t>Journal of Regional Science</w:t>
      </w:r>
      <w:r w:rsidRPr="003D2513">
        <w:t> 45 (3): 565</w:t>
      </w:r>
      <w:r w:rsidR="008B20CE">
        <w:t>–</w:t>
      </w:r>
      <w:r w:rsidRPr="003D2513">
        <w:t>589.</w:t>
      </w:r>
    </w:p>
    <w:p w14:paraId="32A9505E" w14:textId="18A89D74" w:rsidR="003D2513" w:rsidRPr="003D2513" w:rsidRDefault="003D2513" w:rsidP="003D2513">
      <w:pPr>
        <w:pStyle w:val="References"/>
      </w:pPr>
      <w:r w:rsidRPr="003D2513">
        <w:t xml:space="preserve">Weeks, Melvyn, and James </w:t>
      </w:r>
      <w:proofErr w:type="spellStart"/>
      <w:r w:rsidRPr="003D2513">
        <w:t>Yudong</w:t>
      </w:r>
      <w:proofErr w:type="spellEnd"/>
      <w:r w:rsidRPr="003D2513">
        <w:t xml:space="preserve"> Yao. 2003. </w:t>
      </w:r>
      <w:r w:rsidR="008B20CE">
        <w:t>“</w:t>
      </w:r>
      <w:r w:rsidRPr="003D2513">
        <w:t xml:space="preserve">Provincial </w:t>
      </w:r>
      <w:r w:rsidR="0006640F" w:rsidRPr="003D2513">
        <w:t xml:space="preserve">Conditional Income Convergence </w:t>
      </w:r>
      <w:r w:rsidRPr="003D2513">
        <w:t xml:space="preserve">in China, 1953–1997: </w:t>
      </w:r>
      <w:r w:rsidR="0006640F" w:rsidRPr="003D2513">
        <w:t>A Panel Data Approach</w:t>
      </w:r>
      <w:r w:rsidRPr="003D2513">
        <w:t>.</w:t>
      </w:r>
      <w:r w:rsidR="008B20CE">
        <w:t>”</w:t>
      </w:r>
      <w:r w:rsidRPr="003D2513">
        <w:t> </w:t>
      </w:r>
      <w:r w:rsidRPr="003D2513">
        <w:rPr>
          <w:i/>
          <w:iCs/>
        </w:rPr>
        <w:t>Econometric Reviews</w:t>
      </w:r>
      <w:r w:rsidRPr="003D2513">
        <w:t> 22 (1): 59</w:t>
      </w:r>
      <w:r w:rsidR="008B20CE">
        <w:t>–</w:t>
      </w:r>
      <w:r w:rsidRPr="003D2513">
        <w:t>77.</w:t>
      </w:r>
    </w:p>
    <w:p w14:paraId="4DEC6357" w14:textId="2023A633" w:rsidR="008B20CE" w:rsidRPr="003D2513" w:rsidRDefault="008B20CE" w:rsidP="008B20CE">
      <w:pPr>
        <w:pStyle w:val="References"/>
      </w:pPr>
      <w:r w:rsidRPr="003D2513">
        <w:t xml:space="preserve">Wei, Yingqi, and Xiaming Liu. 2004. </w:t>
      </w:r>
      <w:r>
        <w:t>“</w:t>
      </w:r>
      <w:r w:rsidRPr="003D2513">
        <w:t xml:space="preserve">Convergence or </w:t>
      </w:r>
      <w:r w:rsidR="0006640F" w:rsidRPr="003D2513">
        <w:t>Divergence</w:t>
      </w:r>
      <w:r w:rsidRPr="003D2513">
        <w:t xml:space="preserve">? Debate on China's </w:t>
      </w:r>
      <w:r w:rsidR="0006640F" w:rsidRPr="003D2513">
        <w:t>Regional Development</w:t>
      </w:r>
      <w:r w:rsidRPr="003D2513">
        <w:t>.</w:t>
      </w:r>
      <w:r>
        <w:t>”</w:t>
      </w:r>
      <w:r w:rsidRPr="003D2513">
        <w:t xml:space="preserve"> </w:t>
      </w:r>
      <w:r w:rsidRPr="003D2513">
        <w:rPr>
          <w:i/>
        </w:rPr>
        <w:t>Economic Research Journal</w:t>
      </w:r>
      <w:r w:rsidRPr="003D2513">
        <w:t xml:space="preserve"> 7: 70–81.</w:t>
      </w:r>
    </w:p>
    <w:p w14:paraId="669E4ACF" w14:textId="7EE7DC87" w:rsidR="003D2513" w:rsidRPr="003D2513" w:rsidRDefault="003D2513" w:rsidP="003D2513">
      <w:pPr>
        <w:pStyle w:val="References"/>
      </w:pPr>
      <w:r w:rsidRPr="003D2513">
        <w:t xml:space="preserve">Wu, Chao, Fu Ren, </w:t>
      </w:r>
      <w:proofErr w:type="spellStart"/>
      <w:r w:rsidRPr="003D2513">
        <w:t>Xinyue</w:t>
      </w:r>
      <w:proofErr w:type="spellEnd"/>
      <w:r w:rsidRPr="003D2513">
        <w:t xml:space="preserve"> Ye, </w:t>
      </w:r>
      <w:proofErr w:type="spellStart"/>
      <w:r w:rsidRPr="003D2513">
        <w:t>Xiaojin</w:t>
      </w:r>
      <w:proofErr w:type="spellEnd"/>
      <w:r w:rsidRPr="003D2513">
        <w:t xml:space="preserve"> Liang, and </w:t>
      </w:r>
      <w:proofErr w:type="spellStart"/>
      <w:r w:rsidRPr="003D2513">
        <w:t>Qingyun</w:t>
      </w:r>
      <w:proofErr w:type="spellEnd"/>
      <w:r w:rsidRPr="003D2513">
        <w:t xml:space="preserve"> Du. 2019. </w:t>
      </w:r>
      <w:r w:rsidR="008B20CE">
        <w:t>“</w:t>
      </w:r>
      <w:r w:rsidRPr="003D2513">
        <w:t xml:space="preserve">Spatiotemporal </w:t>
      </w:r>
      <w:r w:rsidR="0006640F" w:rsidRPr="003D2513">
        <w:t xml:space="preserve">Analysis </w:t>
      </w:r>
      <w:r w:rsidRPr="003D2513">
        <w:t xml:space="preserve">of </w:t>
      </w:r>
      <w:r w:rsidR="0006640F" w:rsidRPr="003D2513">
        <w:t xml:space="preserve">Multiscale Income Mobility </w:t>
      </w:r>
      <w:r w:rsidRPr="003D2513">
        <w:t>in China.</w:t>
      </w:r>
      <w:r w:rsidR="008B20CE">
        <w:t>”</w:t>
      </w:r>
      <w:r w:rsidRPr="003D2513">
        <w:t> </w:t>
      </w:r>
      <w:r w:rsidRPr="003D2513">
        <w:rPr>
          <w:i/>
          <w:iCs/>
        </w:rPr>
        <w:t>Applied Geography</w:t>
      </w:r>
      <w:r w:rsidRPr="003D2513">
        <w:t> 111: 102060.</w:t>
      </w:r>
    </w:p>
    <w:p w14:paraId="61A8DCE9" w14:textId="781FD1E8" w:rsidR="003D2513" w:rsidRPr="003D2513" w:rsidRDefault="003D2513" w:rsidP="003D2513">
      <w:pPr>
        <w:pStyle w:val="References"/>
      </w:pPr>
      <w:r w:rsidRPr="003D2513">
        <w:t xml:space="preserve">Xiao, </w:t>
      </w:r>
      <w:proofErr w:type="spellStart"/>
      <w:r w:rsidRPr="003D2513">
        <w:t>Kezhou</w:t>
      </w:r>
      <w:proofErr w:type="spellEnd"/>
      <w:r w:rsidRPr="003D2513">
        <w:t xml:space="preserve">, and </w:t>
      </w:r>
      <w:proofErr w:type="spellStart"/>
      <w:r w:rsidRPr="003D2513">
        <w:t>Brantly</w:t>
      </w:r>
      <w:proofErr w:type="spellEnd"/>
      <w:r w:rsidRPr="003D2513">
        <w:t xml:space="preserve"> Womack. 2014. </w:t>
      </w:r>
      <w:r w:rsidR="008B20CE">
        <w:t>“</w:t>
      </w:r>
      <w:r w:rsidRPr="003D2513">
        <w:t xml:space="preserve">Distortion and </w:t>
      </w:r>
      <w:r w:rsidR="0006640F" w:rsidRPr="003D2513">
        <w:t xml:space="preserve">Credibility </w:t>
      </w:r>
      <w:r w:rsidRPr="003D2513">
        <w:t>within China's inte</w:t>
      </w:r>
      <w:r w:rsidR="0006640F" w:rsidRPr="003D2513">
        <w:t>rnal Information System</w:t>
      </w:r>
      <w:r w:rsidRPr="003D2513">
        <w:t>.</w:t>
      </w:r>
      <w:r w:rsidR="008B20CE">
        <w:t>”</w:t>
      </w:r>
      <w:r w:rsidRPr="003D2513">
        <w:t xml:space="preserve"> </w:t>
      </w:r>
      <w:r w:rsidRPr="003D2513">
        <w:rPr>
          <w:i/>
        </w:rPr>
        <w:t>Journal of Contemporary China</w:t>
      </w:r>
      <w:r w:rsidRPr="003D2513">
        <w:t xml:space="preserve"> 23 (88): 680</w:t>
      </w:r>
      <w:r w:rsidR="008B20CE">
        <w:t>–</w:t>
      </w:r>
      <w:r w:rsidRPr="003D2513">
        <w:t>697.</w:t>
      </w:r>
    </w:p>
    <w:p w14:paraId="262FBE33" w14:textId="3F89F015" w:rsidR="003D2513" w:rsidRPr="003D2513" w:rsidRDefault="003D2513" w:rsidP="003D2513">
      <w:pPr>
        <w:pStyle w:val="References"/>
      </w:pPr>
      <w:r w:rsidRPr="003D2513">
        <w:t xml:space="preserve">Xue, Bing, </w:t>
      </w:r>
      <w:proofErr w:type="spellStart"/>
      <w:r w:rsidRPr="003D2513">
        <w:t>Liangping</w:t>
      </w:r>
      <w:proofErr w:type="spellEnd"/>
      <w:r w:rsidRPr="003D2513">
        <w:t xml:space="preserve"> Hong, and </w:t>
      </w:r>
      <w:proofErr w:type="spellStart"/>
      <w:r w:rsidRPr="003D2513">
        <w:t>Kexin</w:t>
      </w:r>
      <w:proofErr w:type="spellEnd"/>
      <w:r w:rsidRPr="003D2513">
        <w:t xml:space="preserve"> Xu. 2020. </w:t>
      </w:r>
      <w:r w:rsidR="008B20CE">
        <w:t>“</w:t>
      </w:r>
      <w:r w:rsidRPr="003D2513">
        <w:t xml:space="preserve">Research on the Sustainable Development of Villages in China’s Minority Regions Promoted by Cultural Factors—A Case Study of </w:t>
      </w:r>
      <w:proofErr w:type="spellStart"/>
      <w:r w:rsidRPr="003D2513">
        <w:t>Changyang</w:t>
      </w:r>
      <w:proofErr w:type="spellEnd"/>
      <w:r w:rsidRPr="003D2513">
        <w:t xml:space="preserve"> Tujia Autonomous County in China.</w:t>
      </w:r>
      <w:r w:rsidR="008B20CE">
        <w:t>”</w:t>
      </w:r>
      <w:r w:rsidRPr="003D2513">
        <w:t> </w:t>
      </w:r>
      <w:r w:rsidRPr="003D2513">
        <w:rPr>
          <w:i/>
          <w:iCs/>
        </w:rPr>
        <w:t>American Journal of Industrial and Business Management</w:t>
      </w:r>
      <w:r w:rsidRPr="003D2513">
        <w:t> 10 (5): 944.</w:t>
      </w:r>
    </w:p>
    <w:p w14:paraId="10A05F0E" w14:textId="31100C69" w:rsidR="003D2513" w:rsidRPr="003D2513" w:rsidRDefault="003D2513" w:rsidP="003D2513">
      <w:pPr>
        <w:pStyle w:val="References"/>
      </w:pPr>
      <w:r w:rsidRPr="003D2513">
        <w:t xml:space="preserve">Yang, Dennis Tao. 2002. </w:t>
      </w:r>
      <w:r w:rsidR="008B20CE">
        <w:t>“</w:t>
      </w:r>
      <w:r w:rsidRPr="003D2513">
        <w:t xml:space="preserve">What has </w:t>
      </w:r>
      <w:r w:rsidR="0006640F" w:rsidRPr="003D2513">
        <w:t xml:space="preserve">Caused Regional Inequality </w:t>
      </w:r>
      <w:r w:rsidRPr="003D2513">
        <w:t>in China?</w:t>
      </w:r>
      <w:r w:rsidR="008B20CE">
        <w:t>”</w:t>
      </w:r>
      <w:r w:rsidRPr="003D2513">
        <w:t> </w:t>
      </w:r>
      <w:r w:rsidRPr="003D2513">
        <w:rPr>
          <w:i/>
          <w:iCs/>
        </w:rPr>
        <w:t>China Economic Review</w:t>
      </w:r>
      <w:r w:rsidRPr="003D2513">
        <w:t> 13 (4): 331</w:t>
      </w:r>
      <w:r w:rsidR="008B20CE">
        <w:t>–</w:t>
      </w:r>
      <w:r w:rsidRPr="003D2513">
        <w:t>334.</w:t>
      </w:r>
    </w:p>
    <w:p w14:paraId="736B5C39" w14:textId="2B8604DC" w:rsidR="003D2513" w:rsidRPr="003D2513" w:rsidRDefault="003D2513" w:rsidP="003D2513">
      <w:pPr>
        <w:pStyle w:val="References"/>
      </w:pPr>
      <w:r w:rsidRPr="003D2513">
        <w:lastRenderedPageBreak/>
        <w:t xml:space="preserve">Yu, </w:t>
      </w:r>
      <w:proofErr w:type="spellStart"/>
      <w:r w:rsidRPr="003D2513">
        <w:t>Kaizhi</w:t>
      </w:r>
      <w:proofErr w:type="spellEnd"/>
      <w:r w:rsidRPr="003D2513">
        <w:t xml:space="preserve">, Yun Zhang, Hong Zou, and </w:t>
      </w:r>
      <w:proofErr w:type="spellStart"/>
      <w:r w:rsidRPr="003D2513">
        <w:t>Chenchen</w:t>
      </w:r>
      <w:proofErr w:type="spellEnd"/>
      <w:r w:rsidRPr="003D2513">
        <w:t xml:space="preserve"> Wang. 2019. </w:t>
      </w:r>
      <w:r w:rsidR="008B20CE">
        <w:t>“</w:t>
      </w:r>
      <w:r w:rsidRPr="003D2513">
        <w:t xml:space="preserve">Absolute </w:t>
      </w:r>
      <w:r w:rsidR="0006640F" w:rsidRPr="003D2513">
        <w:t xml:space="preserve">Income, Income Inequality </w:t>
      </w:r>
      <w:r w:rsidRPr="003D2513">
        <w:t xml:space="preserve">and the </w:t>
      </w:r>
      <w:r w:rsidR="0006640F" w:rsidRPr="003D2513">
        <w:t xml:space="preserve">Subjective Well-Being </w:t>
      </w:r>
      <w:r w:rsidRPr="003D2513">
        <w:t xml:space="preserve">of </w:t>
      </w:r>
      <w:r w:rsidR="0006640F" w:rsidRPr="003D2513">
        <w:t xml:space="preserve">Migrant Workers </w:t>
      </w:r>
      <w:r w:rsidRPr="003D2513">
        <w:t xml:space="preserve">in China: Toward an </w:t>
      </w:r>
      <w:r w:rsidR="0006640F" w:rsidRPr="003D2513">
        <w:t xml:space="preserve">Understanding </w:t>
      </w:r>
      <w:r w:rsidRPr="003D2513">
        <w:t xml:space="preserve">of the </w:t>
      </w:r>
      <w:r w:rsidR="0006640F" w:rsidRPr="003D2513">
        <w:t xml:space="preserve">Relationship </w:t>
      </w:r>
      <w:r w:rsidRPr="003D2513">
        <w:t xml:space="preserve">and its </w:t>
      </w:r>
      <w:r w:rsidR="0006640F" w:rsidRPr="003D2513">
        <w:t>Psychological Mechanisms</w:t>
      </w:r>
      <w:r w:rsidRPr="003D2513">
        <w:t>.</w:t>
      </w:r>
      <w:r w:rsidR="008B20CE">
        <w:t>”</w:t>
      </w:r>
      <w:r w:rsidRPr="003D2513">
        <w:t> </w:t>
      </w:r>
      <w:r w:rsidRPr="003D2513">
        <w:rPr>
          <w:i/>
          <w:iCs/>
        </w:rPr>
        <w:t xml:space="preserve">International </w:t>
      </w:r>
      <w:r w:rsidR="0006640F" w:rsidRPr="003D2513">
        <w:rPr>
          <w:i/>
          <w:iCs/>
        </w:rPr>
        <w:t xml:space="preserve">Journal </w:t>
      </w:r>
      <w:r w:rsidRPr="003D2513">
        <w:rPr>
          <w:i/>
          <w:iCs/>
        </w:rPr>
        <w:t xml:space="preserve">of </w:t>
      </w:r>
      <w:r w:rsidR="0006640F" w:rsidRPr="003D2513">
        <w:rPr>
          <w:i/>
          <w:iCs/>
        </w:rPr>
        <w:t xml:space="preserve">Environmental Research </w:t>
      </w:r>
      <w:r w:rsidRPr="003D2513">
        <w:rPr>
          <w:i/>
          <w:iCs/>
        </w:rPr>
        <w:t xml:space="preserve">and </w:t>
      </w:r>
      <w:r w:rsidR="0006640F" w:rsidRPr="003D2513">
        <w:rPr>
          <w:i/>
          <w:iCs/>
        </w:rPr>
        <w:t>Public Health</w:t>
      </w:r>
      <w:r w:rsidR="0006640F" w:rsidRPr="003D2513">
        <w:t> </w:t>
      </w:r>
      <w:r w:rsidRPr="003D2513">
        <w:t>16 (14): 2597.</w:t>
      </w:r>
    </w:p>
    <w:p w14:paraId="78BDE320" w14:textId="6B4DA67A" w:rsidR="003D2513" w:rsidRPr="003D2513" w:rsidRDefault="003D2513" w:rsidP="003D2513">
      <w:pPr>
        <w:pStyle w:val="References"/>
      </w:pPr>
      <w:r w:rsidRPr="003D2513">
        <w:t xml:space="preserve">Zhang, </w:t>
      </w:r>
      <w:proofErr w:type="spellStart"/>
      <w:r w:rsidRPr="003D2513">
        <w:t>Qinghua</w:t>
      </w:r>
      <w:proofErr w:type="spellEnd"/>
      <w:r w:rsidRPr="003D2513">
        <w:t xml:space="preserve">, and Heng-fu Zou. 2012. </w:t>
      </w:r>
      <w:r w:rsidR="008B20CE">
        <w:t>“</w:t>
      </w:r>
      <w:r w:rsidRPr="003D2513">
        <w:t xml:space="preserve">Regional </w:t>
      </w:r>
      <w:r w:rsidR="0006640F" w:rsidRPr="003D2513">
        <w:t xml:space="preserve">Inequality </w:t>
      </w:r>
      <w:r w:rsidRPr="003D2513">
        <w:t xml:space="preserve">in </w:t>
      </w:r>
      <w:r w:rsidR="0006640F" w:rsidRPr="003D2513">
        <w:t xml:space="preserve">Contemporary </w:t>
      </w:r>
      <w:r w:rsidRPr="003D2513">
        <w:t>China.</w:t>
      </w:r>
      <w:r w:rsidR="008B20CE">
        <w:t>”</w:t>
      </w:r>
      <w:r w:rsidRPr="003D2513">
        <w:t> </w:t>
      </w:r>
      <w:r w:rsidRPr="003D2513">
        <w:rPr>
          <w:i/>
          <w:iCs/>
        </w:rPr>
        <w:t>Annals of Economics and Finance</w:t>
      </w:r>
      <w:r w:rsidRPr="003D2513">
        <w:t> 13 (1): 113</w:t>
      </w:r>
      <w:r w:rsidR="008B20CE">
        <w:t>–</w:t>
      </w:r>
      <w:r w:rsidRPr="003D2513">
        <w:t>137.</w:t>
      </w:r>
    </w:p>
    <w:p w14:paraId="27BF3C89" w14:textId="7F422DA5" w:rsidR="003D2513" w:rsidRPr="003D2513" w:rsidRDefault="003D2513" w:rsidP="003D2513">
      <w:pPr>
        <w:pStyle w:val="References"/>
      </w:pPr>
      <w:r w:rsidRPr="003D2513">
        <w:t xml:space="preserve">Zhang, </w:t>
      </w:r>
      <w:proofErr w:type="spellStart"/>
      <w:r w:rsidRPr="003D2513">
        <w:t>Zongyi</w:t>
      </w:r>
      <w:proofErr w:type="spellEnd"/>
      <w:r w:rsidRPr="003D2513">
        <w:t xml:space="preserve">, </w:t>
      </w:r>
      <w:proofErr w:type="spellStart"/>
      <w:r w:rsidRPr="003D2513">
        <w:t>Aying</w:t>
      </w:r>
      <w:proofErr w:type="spellEnd"/>
      <w:r w:rsidRPr="003D2513">
        <w:t xml:space="preserve"> Liu, and </w:t>
      </w:r>
      <w:proofErr w:type="spellStart"/>
      <w:r w:rsidRPr="003D2513">
        <w:t>Shujie</w:t>
      </w:r>
      <w:proofErr w:type="spellEnd"/>
      <w:r w:rsidRPr="003D2513">
        <w:t xml:space="preserve"> Yao. 2001. </w:t>
      </w:r>
      <w:r w:rsidR="008B20CE">
        <w:t>“</w:t>
      </w:r>
      <w:r w:rsidRPr="003D2513">
        <w:t xml:space="preserve">Convergence of China's </w:t>
      </w:r>
      <w:r w:rsidR="0006640F" w:rsidRPr="003D2513">
        <w:t>Regional Incomes</w:t>
      </w:r>
      <w:r w:rsidRPr="003D2513">
        <w:t>: 1952–1997.</w:t>
      </w:r>
      <w:r w:rsidR="008B20CE">
        <w:t>”</w:t>
      </w:r>
      <w:r w:rsidRPr="003D2513">
        <w:t> </w:t>
      </w:r>
      <w:r w:rsidRPr="003D2513">
        <w:rPr>
          <w:i/>
          <w:iCs/>
        </w:rPr>
        <w:t>China Economic Review</w:t>
      </w:r>
      <w:r w:rsidRPr="003D2513">
        <w:t> 12 (2</w:t>
      </w:r>
      <w:r w:rsidR="008B20CE">
        <w:t>–</w:t>
      </w:r>
      <w:r w:rsidRPr="003D2513">
        <w:t>3): 243</w:t>
      </w:r>
      <w:r w:rsidR="008B20CE">
        <w:t>–</w:t>
      </w:r>
      <w:r w:rsidRPr="003D2513">
        <w:t>258.</w:t>
      </w:r>
    </w:p>
    <w:p w14:paraId="6E821BA0" w14:textId="77777777" w:rsidR="003D2513" w:rsidRPr="003D2513" w:rsidRDefault="003D2513" w:rsidP="003D2513">
      <w:pPr>
        <w:pStyle w:val="References"/>
      </w:pPr>
    </w:p>
    <w:p w14:paraId="55AF80DD" w14:textId="48EF7D85" w:rsidR="005C5676" w:rsidRDefault="005C5676" w:rsidP="004C6745">
      <w:pPr>
        <w:pStyle w:val="References"/>
        <w:rPr>
          <w:lang w:val="en-US"/>
        </w:rPr>
      </w:pPr>
    </w:p>
    <w:p w14:paraId="18ECAFCE" w14:textId="4B213D83" w:rsidR="00EE60A6" w:rsidRDefault="00EE60A6" w:rsidP="009E4CC1">
      <w:pPr>
        <w:pStyle w:val="References"/>
        <w:ind w:left="0" w:firstLine="0"/>
        <w:rPr>
          <w:noProof/>
          <w:lang w:val="en-US"/>
        </w:rPr>
      </w:pPr>
    </w:p>
    <w:p w14:paraId="5541B5F6" w14:textId="54EE835F" w:rsidR="00EE60A6" w:rsidRDefault="00EE60A6" w:rsidP="009E4CC1">
      <w:pPr>
        <w:pStyle w:val="References"/>
        <w:ind w:left="0" w:firstLine="0"/>
        <w:rPr>
          <w:noProof/>
          <w:lang w:val="en-US"/>
        </w:rPr>
      </w:pPr>
    </w:p>
    <w:p w14:paraId="5D32A7A8" w14:textId="7B56B131" w:rsidR="00EE60A6" w:rsidRDefault="00EE60A6" w:rsidP="009E4CC1">
      <w:pPr>
        <w:pStyle w:val="References"/>
        <w:ind w:left="0" w:firstLine="0"/>
        <w:rPr>
          <w:noProof/>
          <w:lang w:val="en-US"/>
        </w:rPr>
      </w:pPr>
    </w:p>
    <w:p w14:paraId="47D8AAD9" w14:textId="5E1F1F05" w:rsidR="00EE60A6" w:rsidRPr="004C6745" w:rsidRDefault="00EE60A6" w:rsidP="009E4CC1">
      <w:pPr>
        <w:pStyle w:val="References"/>
        <w:ind w:left="0" w:firstLine="0"/>
        <w:rPr>
          <w:noProof/>
          <w:lang w:val="en-US"/>
        </w:rPr>
      </w:pPr>
      <w:r w:rsidRPr="00552FD3">
        <w:rPr>
          <w:rFonts w:ascii="Arial" w:hAnsi="Arial" w:cs="Arial"/>
          <w:noProof/>
          <w:sz w:val="24"/>
          <w:szCs w:val="24"/>
        </w:rPr>
        <w:drawing>
          <wp:inline distT="0" distB="0" distL="0" distR="0" wp14:anchorId="6AF5FB00" wp14:editId="18B90A9E">
            <wp:extent cx="2400000" cy="1980952"/>
            <wp:effectExtent l="0" t="0" r="635" b="635"/>
            <wp:docPr id="1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a:stretch>
                      <a:fillRect/>
                    </a:stretch>
                  </pic:blipFill>
                  <pic:spPr>
                    <a:xfrm>
                      <a:off x="0" y="0"/>
                      <a:ext cx="2400000" cy="1980952"/>
                    </a:xfrm>
                    <a:prstGeom prst="rect">
                      <a:avLst/>
                    </a:prstGeom>
                  </pic:spPr>
                </pic:pic>
              </a:graphicData>
            </a:graphic>
          </wp:inline>
        </w:drawing>
      </w:r>
    </w:p>
    <w:sectPr w:rsidR="00EE60A6" w:rsidRPr="004C6745" w:rsidSect="004C6745">
      <w:footerReference w:type="default" r:id="rId32"/>
      <w:pgSz w:w="8640" w:h="1296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ECE6" w14:textId="77777777" w:rsidR="00E27DEC" w:rsidRDefault="00E27DEC" w:rsidP="004C6745">
      <w:pPr>
        <w:spacing w:line="240" w:lineRule="auto"/>
      </w:pPr>
      <w:r>
        <w:separator/>
      </w:r>
    </w:p>
  </w:endnote>
  <w:endnote w:type="continuationSeparator" w:id="0">
    <w:p w14:paraId="454548C8" w14:textId="77777777" w:rsidR="00E27DEC" w:rsidRDefault="00E27DEC" w:rsidP="004C6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OldSty">
    <w:altName w:val="Goudy Old Style"/>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Omega">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06020448"/>
      <w:docPartObj>
        <w:docPartGallery w:val="Page Numbers (Bottom of Page)"/>
        <w:docPartUnique/>
      </w:docPartObj>
    </w:sdtPr>
    <w:sdtEndPr>
      <w:rPr>
        <w:noProof/>
      </w:rPr>
    </w:sdtEndPr>
    <w:sdtContent>
      <w:p w14:paraId="7CCBAB73" w14:textId="0DEFB5CD" w:rsidR="003A4860" w:rsidRPr="004C6745" w:rsidRDefault="003A4860" w:rsidP="004C6745">
        <w:pPr>
          <w:pStyle w:val="Footer"/>
          <w:jc w:val="center"/>
          <w:rPr>
            <w:sz w:val="16"/>
            <w:szCs w:val="16"/>
          </w:rPr>
        </w:pPr>
        <w:r w:rsidRPr="004C6745">
          <w:rPr>
            <w:sz w:val="16"/>
            <w:szCs w:val="16"/>
          </w:rPr>
          <w:fldChar w:fldCharType="begin"/>
        </w:r>
        <w:r w:rsidRPr="004C6745">
          <w:rPr>
            <w:sz w:val="16"/>
            <w:szCs w:val="16"/>
          </w:rPr>
          <w:instrText xml:space="preserve"> PAGE   \* MERGEFORMAT </w:instrText>
        </w:r>
        <w:r w:rsidRPr="004C6745">
          <w:rPr>
            <w:sz w:val="16"/>
            <w:szCs w:val="16"/>
          </w:rPr>
          <w:fldChar w:fldCharType="separate"/>
        </w:r>
        <w:r w:rsidRPr="004C6745">
          <w:rPr>
            <w:noProof/>
            <w:sz w:val="16"/>
            <w:szCs w:val="16"/>
          </w:rPr>
          <w:t>2</w:t>
        </w:r>
        <w:r w:rsidRPr="004C6745">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BDFC" w14:textId="77777777" w:rsidR="00E27DEC" w:rsidRDefault="00E27DEC" w:rsidP="004C6745">
      <w:pPr>
        <w:spacing w:line="240" w:lineRule="auto"/>
      </w:pPr>
      <w:r>
        <w:separator/>
      </w:r>
    </w:p>
  </w:footnote>
  <w:footnote w:type="continuationSeparator" w:id="0">
    <w:p w14:paraId="081F6B83" w14:textId="77777777" w:rsidR="00E27DEC" w:rsidRDefault="00E27DEC" w:rsidP="004C6745">
      <w:pPr>
        <w:spacing w:line="240" w:lineRule="auto"/>
      </w:pPr>
      <w:r>
        <w:continuationSeparator/>
      </w:r>
    </w:p>
  </w:footnote>
  <w:footnote w:id="1">
    <w:p w14:paraId="2E90A048" w14:textId="77777777" w:rsidR="003A4860" w:rsidRDefault="003A4860" w:rsidP="004C6745">
      <w:pPr>
        <w:pStyle w:val="FootnoteText"/>
      </w:pPr>
      <w:r>
        <w:rPr>
          <w:rStyle w:val="FootnoteReference"/>
          <w:rFonts w:eastAsiaTheme="minorHAnsi"/>
        </w:rPr>
        <w:footnoteRef/>
      </w:r>
      <w:r>
        <w:t xml:space="preserve"> </w:t>
      </w:r>
      <w:r w:rsidRPr="00FD7497">
        <w:t>https://www.un.org/development/desa/dspd/2030agenda-sdgs.html</w:t>
      </w:r>
      <w:r>
        <w:t xml:space="preserve"> </w:t>
      </w:r>
    </w:p>
  </w:footnote>
  <w:footnote w:id="2">
    <w:p w14:paraId="7D61BDD9" w14:textId="0B5A6C6D" w:rsidR="003A4860" w:rsidRPr="004C6745" w:rsidRDefault="003A4860" w:rsidP="004C6745">
      <w:pPr>
        <w:pStyle w:val="FootnoteText"/>
      </w:pPr>
      <w:r w:rsidRPr="004C6745">
        <w:rPr>
          <w:rStyle w:val="FootnoteReference"/>
          <w:rFonts w:eastAsiaTheme="minorHAnsi"/>
        </w:rPr>
        <w:footnoteRef/>
      </w:r>
      <w:r w:rsidRPr="004C6745">
        <w:t xml:space="preserve"> The types of </w:t>
      </w:r>
      <w:r>
        <w:t>behavior</w:t>
      </w:r>
      <w:r w:rsidRPr="004C6745">
        <w:t xml:space="preserve"> demonstrated in the </w:t>
      </w:r>
      <w:r>
        <w:t>article</w:t>
      </w:r>
      <w:r w:rsidRPr="004C6745">
        <w:t xml:space="preserve"> is a simple illustration of convergence and divergence with/without switching to make easy interpretations. This could be interpreted in many different ways.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920"/>
    <w:multiLevelType w:val="hybridMultilevel"/>
    <w:tmpl w:val="5CD4B394"/>
    <w:lvl w:ilvl="0" w:tplc="6B14809C">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D5914"/>
    <w:multiLevelType w:val="hybridMultilevel"/>
    <w:tmpl w:val="BA70E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508EF"/>
    <w:multiLevelType w:val="hybridMultilevel"/>
    <w:tmpl w:val="B2888B96"/>
    <w:lvl w:ilvl="0" w:tplc="08090001">
      <w:start w:val="1"/>
      <w:numFmt w:val="bullet"/>
      <w:lvlText w:val=""/>
      <w:lvlJc w:val="left"/>
      <w:pPr>
        <w:ind w:left="5315" w:hanging="360"/>
      </w:pPr>
      <w:rPr>
        <w:rFonts w:ascii="Symbol" w:hAnsi="Symbol" w:hint="default"/>
      </w:rPr>
    </w:lvl>
    <w:lvl w:ilvl="1" w:tplc="08090003" w:tentative="1">
      <w:start w:val="1"/>
      <w:numFmt w:val="bullet"/>
      <w:lvlText w:val="o"/>
      <w:lvlJc w:val="left"/>
      <w:pPr>
        <w:ind w:left="6035" w:hanging="360"/>
      </w:pPr>
      <w:rPr>
        <w:rFonts w:ascii="Courier New" w:hAnsi="Courier New" w:cs="Courier New" w:hint="default"/>
      </w:rPr>
    </w:lvl>
    <w:lvl w:ilvl="2" w:tplc="08090005" w:tentative="1">
      <w:start w:val="1"/>
      <w:numFmt w:val="bullet"/>
      <w:lvlText w:val=""/>
      <w:lvlJc w:val="left"/>
      <w:pPr>
        <w:ind w:left="6755" w:hanging="360"/>
      </w:pPr>
      <w:rPr>
        <w:rFonts w:ascii="Wingdings" w:hAnsi="Wingdings" w:hint="default"/>
      </w:rPr>
    </w:lvl>
    <w:lvl w:ilvl="3" w:tplc="08090001" w:tentative="1">
      <w:start w:val="1"/>
      <w:numFmt w:val="bullet"/>
      <w:lvlText w:val=""/>
      <w:lvlJc w:val="left"/>
      <w:pPr>
        <w:ind w:left="7475" w:hanging="360"/>
      </w:pPr>
      <w:rPr>
        <w:rFonts w:ascii="Symbol" w:hAnsi="Symbol" w:hint="default"/>
      </w:rPr>
    </w:lvl>
    <w:lvl w:ilvl="4" w:tplc="08090003" w:tentative="1">
      <w:start w:val="1"/>
      <w:numFmt w:val="bullet"/>
      <w:lvlText w:val="o"/>
      <w:lvlJc w:val="left"/>
      <w:pPr>
        <w:ind w:left="8195" w:hanging="360"/>
      </w:pPr>
      <w:rPr>
        <w:rFonts w:ascii="Courier New" w:hAnsi="Courier New" w:cs="Courier New" w:hint="default"/>
      </w:rPr>
    </w:lvl>
    <w:lvl w:ilvl="5" w:tplc="08090005" w:tentative="1">
      <w:start w:val="1"/>
      <w:numFmt w:val="bullet"/>
      <w:lvlText w:val=""/>
      <w:lvlJc w:val="left"/>
      <w:pPr>
        <w:ind w:left="8915" w:hanging="360"/>
      </w:pPr>
      <w:rPr>
        <w:rFonts w:ascii="Wingdings" w:hAnsi="Wingdings" w:hint="default"/>
      </w:rPr>
    </w:lvl>
    <w:lvl w:ilvl="6" w:tplc="08090001" w:tentative="1">
      <w:start w:val="1"/>
      <w:numFmt w:val="bullet"/>
      <w:lvlText w:val=""/>
      <w:lvlJc w:val="left"/>
      <w:pPr>
        <w:ind w:left="9635" w:hanging="360"/>
      </w:pPr>
      <w:rPr>
        <w:rFonts w:ascii="Symbol" w:hAnsi="Symbol" w:hint="default"/>
      </w:rPr>
    </w:lvl>
    <w:lvl w:ilvl="7" w:tplc="08090003" w:tentative="1">
      <w:start w:val="1"/>
      <w:numFmt w:val="bullet"/>
      <w:lvlText w:val="o"/>
      <w:lvlJc w:val="left"/>
      <w:pPr>
        <w:ind w:left="10355" w:hanging="360"/>
      </w:pPr>
      <w:rPr>
        <w:rFonts w:ascii="Courier New" w:hAnsi="Courier New" w:cs="Courier New" w:hint="default"/>
      </w:rPr>
    </w:lvl>
    <w:lvl w:ilvl="8" w:tplc="08090005" w:tentative="1">
      <w:start w:val="1"/>
      <w:numFmt w:val="bullet"/>
      <w:lvlText w:val=""/>
      <w:lvlJc w:val="left"/>
      <w:pPr>
        <w:ind w:left="11075" w:hanging="360"/>
      </w:pPr>
      <w:rPr>
        <w:rFonts w:ascii="Wingdings" w:hAnsi="Wingdings" w:hint="default"/>
      </w:rPr>
    </w:lvl>
  </w:abstractNum>
  <w:abstractNum w:abstractNumId="3" w15:restartNumberingAfterBreak="0">
    <w:nsid w:val="312D4915"/>
    <w:multiLevelType w:val="hybridMultilevel"/>
    <w:tmpl w:val="B318153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C06F0E"/>
    <w:multiLevelType w:val="hybridMultilevel"/>
    <w:tmpl w:val="BA70E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5B50E8"/>
    <w:multiLevelType w:val="multilevel"/>
    <w:tmpl w:val="1E2832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3752CC3"/>
    <w:multiLevelType w:val="hybridMultilevel"/>
    <w:tmpl w:val="12C213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6347600">
    <w:abstractNumId w:val="1"/>
  </w:num>
  <w:num w:numId="2" w16cid:durableId="1728995114">
    <w:abstractNumId w:val="3"/>
  </w:num>
  <w:num w:numId="3" w16cid:durableId="419565765">
    <w:abstractNumId w:val="4"/>
  </w:num>
  <w:num w:numId="4" w16cid:durableId="823163550">
    <w:abstractNumId w:val="0"/>
  </w:num>
  <w:num w:numId="5" w16cid:durableId="1940483231">
    <w:abstractNumId w:val="6"/>
  </w:num>
  <w:num w:numId="6" w16cid:durableId="2111974136">
    <w:abstractNumId w:val="5"/>
  </w:num>
  <w:num w:numId="7" w16cid:durableId="435831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3MTKxMLE0NTe2sDRQ0lEKTi0uzszPAykwrQUAtNGN8SwAAAA="/>
  </w:docVars>
  <w:rsids>
    <w:rsidRoot w:val="004C6745"/>
    <w:rsid w:val="00031D3B"/>
    <w:rsid w:val="00047508"/>
    <w:rsid w:val="000502B0"/>
    <w:rsid w:val="00052D92"/>
    <w:rsid w:val="0006640F"/>
    <w:rsid w:val="00080559"/>
    <w:rsid w:val="00084EF3"/>
    <w:rsid w:val="00095741"/>
    <w:rsid w:val="000A312D"/>
    <w:rsid w:val="000B47C3"/>
    <w:rsid w:val="000E2E7A"/>
    <w:rsid w:val="000F3EF5"/>
    <w:rsid w:val="000F6D37"/>
    <w:rsid w:val="0010452E"/>
    <w:rsid w:val="0012046E"/>
    <w:rsid w:val="001438A5"/>
    <w:rsid w:val="001464C4"/>
    <w:rsid w:val="001534BB"/>
    <w:rsid w:val="00154904"/>
    <w:rsid w:val="00157DD5"/>
    <w:rsid w:val="001614F3"/>
    <w:rsid w:val="0016319A"/>
    <w:rsid w:val="00180AF9"/>
    <w:rsid w:val="001817F5"/>
    <w:rsid w:val="001905A3"/>
    <w:rsid w:val="001927DF"/>
    <w:rsid w:val="00196CDD"/>
    <w:rsid w:val="001A6148"/>
    <w:rsid w:val="001A6B56"/>
    <w:rsid w:val="001C2B41"/>
    <w:rsid w:val="001D06B0"/>
    <w:rsid w:val="001E55F2"/>
    <w:rsid w:val="001F78C8"/>
    <w:rsid w:val="00220919"/>
    <w:rsid w:val="002359AE"/>
    <w:rsid w:val="00236D4E"/>
    <w:rsid w:val="00250240"/>
    <w:rsid w:val="00250449"/>
    <w:rsid w:val="00251191"/>
    <w:rsid w:val="002730D8"/>
    <w:rsid w:val="00294063"/>
    <w:rsid w:val="00297D0E"/>
    <w:rsid w:val="002A1898"/>
    <w:rsid w:val="002A453D"/>
    <w:rsid w:val="002A5CF8"/>
    <w:rsid w:val="002B4943"/>
    <w:rsid w:val="002E6F8F"/>
    <w:rsid w:val="002E7375"/>
    <w:rsid w:val="00315786"/>
    <w:rsid w:val="003269DB"/>
    <w:rsid w:val="003442F9"/>
    <w:rsid w:val="00353EDA"/>
    <w:rsid w:val="00366DB7"/>
    <w:rsid w:val="00372AEB"/>
    <w:rsid w:val="00374EC1"/>
    <w:rsid w:val="00386EE8"/>
    <w:rsid w:val="003A3FF5"/>
    <w:rsid w:val="003A4860"/>
    <w:rsid w:val="003B04F5"/>
    <w:rsid w:val="003C6BAC"/>
    <w:rsid w:val="003D2513"/>
    <w:rsid w:val="003F4ACA"/>
    <w:rsid w:val="004046E0"/>
    <w:rsid w:val="00414E07"/>
    <w:rsid w:val="00416474"/>
    <w:rsid w:val="004254A2"/>
    <w:rsid w:val="00425E36"/>
    <w:rsid w:val="004263C0"/>
    <w:rsid w:val="00426949"/>
    <w:rsid w:val="00435C6F"/>
    <w:rsid w:val="00443A47"/>
    <w:rsid w:val="004507A1"/>
    <w:rsid w:val="00452376"/>
    <w:rsid w:val="004633D5"/>
    <w:rsid w:val="004753F9"/>
    <w:rsid w:val="00475674"/>
    <w:rsid w:val="004B37B3"/>
    <w:rsid w:val="004C6745"/>
    <w:rsid w:val="004D0081"/>
    <w:rsid w:val="004D04CB"/>
    <w:rsid w:val="004D469E"/>
    <w:rsid w:val="004D6F58"/>
    <w:rsid w:val="004F65D1"/>
    <w:rsid w:val="004F66AF"/>
    <w:rsid w:val="00500CF1"/>
    <w:rsid w:val="005016FA"/>
    <w:rsid w:val="00533EBA"/>
    <w:rsid w:val="00537096"/>
    <w:rsid w:val="005410E5"/>
    <w:rsid w:val="00550021"/>
    <w:rsid w:val="00570325"/>
    <w:rsid w:val="00594395"/>
    <w:rsid w:val="005962EA"/>
    <w:rsid w:val="005A284A"/>
    <w:rsid w:val="005A49AB"/>
    <w:rsid w:val="005A7120"/>
    <w:rsid w:val="005B69EC"/>
    <w:rsid w:val="005C5676"/>
    <w:rsid w:val="005D0423"/>
    <w:rsid w:val="005E1066"/>
    <w:rsid w:val="005F017D"/>
    <w:rsid w:val="005F0482"/>
    <w:rsid w:val="005F0C83"/>
    <w:rsid w:val="005F27CA"/>
    <w:rsid w:val="005F4CBF"/>
    <w:rsid w:val="006148F3"/>
    <w:rsid w:val="00622BC1"/>
    <w:rsid w:val="006238C0"/>
    <w:rsid w:val="00635470"/>
    <w:rsid w:val="0066202A"/>
    <w:rsid w:val="00674B26"/>
    <w:rsid w:val="006765FF"/>
    <w:rsid w:val="00677D4D"/>
    <w:rsid w:val="00685805"/>
    <w:rsid w:val="00686CCE"/>
    <w:rsid w:val="006B4D54"/>
    <w:rsid w:val="006C14BB"/>
    <w:rsid w:val="006C1C45"/>
    <w:rsid w:val="006D0FA9"/>
    <w:rsid w:val="006E681F"/>
    <w:rsid w:val="00701303"/>
    <w:rsid w:val="0070465B"/>
    <w:rsid w:val="00710928"/>
    <w:rsid w:val="0071409A"/>
    <w:rsid w:val="007330FC"/>
    <w:rsid w:val="00740A6B"/>
    <w:rsid w:val="007524A8"/>
    <w:rsid w:val="00766A2E"/>
    <w:rsid w:val="00773E40"/>
    <w:rsid w:val="00776231"/>
    <w:rsid w:val="00783A4E"/>
    <w:rsid w:val="0079152F"/>
    <w:rsid w:val="00796A3A"/>
    <w:rsid w:val="007B4642"/>
    <w:rsid w:val="007C0EA4"/>
    <w:rsid w:val="007C7BD4"/>
    <w:rsid w:val="007F600E"/>
    <w:rsid w:val="00806DEA"/>
    <w:rsid w:val="00827AB2"/>
    <w:rsid w:val="00831DC8"/>
    <w:rsid w:val="0083514D"/>
    <w:rsid w:val="008351C2"/>
    <w:rsid w:val="008369BB"/>
    <w:rsid w:val="0084283B"/>
    <w:rsid w:val="00847139"/>
    <w:rsid w:val="00854B9F"/>
    <w:rsid w:val="008708F5"/>
    <w:rsid w:val="0087255A"/>
    <w:rsid w:val="008729C6"/>
    <w:rsid w:val="0087537F"/>
    <w:rsid w:val="0088220C"/>
    <w:rsid w:val="0088380E"/>
    <w:rsid w:val="00890694"/>
    <w:rsid w:val="008A0088"/>
    <w:rsid w:val="008B080D"/>
    <w:rsid w:val="008B20CE"/>
    <w:rsid w:val="008B6A30"/>
    <w:rsid w:val="008B7C12"/>
    <w:rsid w:val="008C41F1"/>
    <w:rsid w:val="008D55EF"/>
    <w:rsid w:val="008E61F3"/>
    <w:rsid w:val="00911FB1"/>
    <w:rsid w:val="00921050"/>
    <w:rsid w:val="0092238B"/>
    <w:rsid w:val="00924B55"/>
    <w:rsid w:val="009251CF"/>
    <w:rsid w:val="00933EDC"/>
    <w:rsid w:val="00955F6D"/>
    <w:rsid w:val="00974F1D"/>
    <w:rsid w:val="009755C2"/>
    <w:rsid w:val="00976083"/>
    <w:rsid w:val="00981641"/>
    <w:rsid w:val="0098322B"/>
    <w:rsid w:val="00990606"/>
    <w:rsid w:val="009939D0"/>
    <w:rsid w:val="009A7839"/>
    <w:rsid w:val="009B6250"/>
    <w:rsid w:val="009C17F0"/>
    <w:rsid w:val="009C4C75"/>
    <w:rsid w:val="009E4CC1"/>
    <w:rsid w:val="009E4E7E"/>
    <w:rsid w:val="00A00F8C"/>
    <w:rsid w:val="00A01198"/>
    <w:rsid w:val="00A072C8"/>
    <w:rsid w:val="00A144D9"/>
    <w:rsid w:val="00A17D6B"/>
    <w:rsid w:val="00A21BA6"/>
    <w:rsid w:val="00A22563"/>
    <w:rsid w:val="00A41E66"/>
    <w:rsid w:val="00A65B7C"/>
    <w:rsid w:val="00A77A2B"/>
    <w:rsid w:val="00A9336B"/>
    <w:rsid w:val="00AA1636"/>
    <w:rsid w:val="00AA17FD"/>
    <w:rsid w:val="00AB0028"/>
    <w:rsid w:val="00AC3BBD"/>
    <w:rsid w:val="00AD0CFE"/>
    <w:rsid w:val="00AF1722"/>
    <w:rsid w:val="00AF49CB"/>
    <w:rsid w:val="00B02309"/>
    <w:rsid w:val="00B04F2E"/>
    <w:rsid w:val="00B12775"/>
    <w:rsid w:val="00B12AB1"/>
    <w:rsid w:val="00B13FC1"/>
    <w:rsid w:val="00B275F1"/>
    <w:rsid w:val="00B5454D"/>
    <w:rsid w:val="00B576BE"/>
    <w:rsid w:val="00B64377"/>
    <w:rsid w:val="00B74870"/>
    <w:rsid w:val="00B95D59"/>
    <w:rsid w:val="00BA2DE7"/>
    <w:rsid w:val="00BA6104"/>
    <w:rsid w:val="00BA6EA0"/>
    <w:rsid w:val="00BC2C69"/>
    <w:rsid w:val="00BD0FAF"/>
    <w:rsid w:val="00C024E3"/>
    <w:rsid w:val="00C25B1D"/>
    <w:rsid w:val="00C2632E"/>
    <w:rsid w:val="00C36BDA"/>
    <w:rsid w:val="00C37A78"/>
    <w:rsid w:val="00C54471"/>
    <w:rsid w:val="00C706B9"/>
    <w:rsid w:val="00CA0910"/>
    <w:rsid w:val="00CA5A87"/>
    <w:rsid w:val="00CC7725"/>
    <w:rsid w:val="00CC7FD7"/>
    <w:rsid w:val="00CE0264"/>
    <w:rsid w:val="00CE275C"/>
    <w:rsid w:val="00D038A5"/>
    <w:rsid w:val="00D07C00"/>
    <w:rsid w:val="00D133A3"/>
    <w:rsid w:val="00D30DC3"/>
    <w:rsid w:val="00D3572F"/>
    <w:rsid w:val="00D40C0D"/>
    <w:rsid w:val="00D61619"/>
    <w:rsid w:val="00D83E84"/>
    <w:rsid w:val="00DA521E"/>
    <w:rsid w:val="00DA7421"/>
    <w:rsid w:val="00DC168D"/>
    <w:rsid w:val="00E0272E"/>
    <w:rsid w:val="00E027B0"/>
    <w:rsid w:val="00E049C8"/>
    <w:rsid w:val="00E12748"/>
    <w:rsid w:val="00E12C29"/>
    <w:rsid w:val="00E13FBA"/>
    <w:rsid w:val="00E14763"/>
    <w:rsid w:val="00E16367"/>
    <w:rsid w:val="00E20858"/>
    <w:rsid w:val="00E26828"/>
    <w:rsid w:val="00E27DEC"/>
    <w:rsid w:val="00E30D46"/>
    <w:rsid w:val="00E36952"/>
    <w:rsid w:val="00E375A5"/>
    <w:rsid w:val="00E44631"/>
    <w:rsid w:val="00E45624"/>
    <w:rsid w:val="00E57A5E"/>
    <w:rsid w:val="00E71366"/>
    <w:rsid w:val="00E74790"/>
    <w:rsid w:val="00E8278E"/>
    <w:rsid w:val="00E82D65"/>
    <w:rsid w:val="00EC6E32"/>
    <w:rsid w:val="00ED0BE5"/>
    <w:rsid w:val="00ED3678"/>
    <w:rsid w:val="00ED6CF1"/>
    <w:rsid w:val="00EE60A6"/>
    <w:rsid w:val="00EF7F6E"/>
    <w:rsid w:val="00F13548"/>
    <w:rsid w:val="00F16F33"/>
    <w:rsid w:val="00F23C3E"/>
    <w:rsid w:val="00F4065B"/>
    <w:rsid w:val="00F45243"/>
    <w:rsid w:val="00F4546B"/>
    <w:rsid w:val="00F5561C"/>
    <w:rsid w:val="00F656CF"/>
    <w:rsid w:val="00F66436"/>
    <w:rsid w:val="00F703CE"/>
    <w:rsid w:val="00F733CF"/>
    <w:rsid w:val="00F833B7"/>
    <w:rsid w:val="00F96C94"/>
    <w:rsid w:val="00FC0D8D"/>
    <w:rsid w:val="00FD23B7"/>
    <w:rsid w:val="00FD2958"/>
    <w:rsid w:val="00FE743A"/>
    <w:rsid w:val="00FE7E7A"/>
    <w:rsid w:val="00FF2377"/>
    <w:rsid w:val="00FF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2CD8"/>
  <w15:chartTrackingRefBased/>
  <w15:docId w15:val="{DBFF258A-2DE7-DD42-BE19-D99475B1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udyOldSty" w:eastAsiaTheme="minorHAnsi" w:hAnsi="GoudyOldSty" w:cs="Times New Roman"/>
        <w:szCs w:val="24"/>
        <w:lang w:val="en-US" w:eastAsia="en-US"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745"/>
    <w:pPr>
      <w:contextualSpacing/>
      <w:jc w:val="left"/>
    </w:pPr>
    <w:rPr>
      <w:rFonts w:cstheme="minorBidi"/>
      <w:szCs w:val="22"/>
      <w:lang w:val="en-GB"/>
    </w:rPr>
  </w:style>
  <w:style w:type="paragraph" w:styleId="Heading2">
    <w:name w:val="heading 2"/>
    <w:basedOn w:val="Normal"/>
    <w:next w:val="Normal"/>
    <w:link w:val="Heading2Char"/>
    <w:uiPriority w:val="9"/>
    <w:unhideWhenUsed/>
    <w:qFormat/>
    <w:rsid w:val="004C67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674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Text">
    <w:name w:val="Abstract Text"/>
    <w:autoRedefine/>
    <w:qFormat/>
    <w:rsid w:val="009C4C75"/>
    <w:pPr>
      <w:suppressAutoHyphens/>
      <w:autoSpaceDN w:val="0"/>
      <w:spacing w:after="240"/>
      <w:ind w:left="432" w:right="432"/>
      <w:contextualSpacing/>
      <w:textAlignment w:val="baseline"/>
    </w:pPr>
    <w:rPr>
      <w:rFonts w:eastAsia="Calibri"/>
      <w:sz w:val="18"/>
    </w:rPr>
  </w:style>
  <w:style w:type="paragraph" w:customStyle="1" w:styleId="ArticleTextP1">
    <w:name w:val="Article Text P1"/>
    <w:next w:val="Normal"/>
    <w:qFormat/>
    <w:rsid w:val="00372AEB"/>
    <w:pPr>
      <w:suppressAutoHyphens/>
      <w:autoSpaceDN w:val="0"/>
      <w:textAlignment w:val="baseline"/>
    </w:pPr>
    <w:rPr>
      <w:rFonts w:eastAsia="Calibri"/>
    </w:rPr>
  </w:style>
  <w:style w:type="paragraph" w:customStyle="1" w:styleId="ArticleTextP2">
    <w:name w:val="Article Text P2"/>
    <w:basedOn w:val="ArticleTextP1"/>
    <w:qFormat/>
    <w:rsid w:val="00550021"/>
    <w:pPr>
      <w:ind w:firstLine="432"/>
    </w:pPr>
  </w:style>
  <w:style w:type="paragraph" w:customStyle="1" w:styleId="MainTitle">
    <w:name w:val="Main Title"/>
    <w:next w:val="Normal"/>
    <w:qFormat/>
    <w:rsid w:val="00372AEB"/>
    <w:pPr>
      <w:autoSpaceDN w:val="0"/>
      <w:spacing w:before="120" w:after="120"/>
      <w:jc w:val="center"/>
      <w:textAlignment w:val="baseline"/>
    </w:pPr>
    <w:rPr>
      <w:rFonts w:ascii="CG Omega" w:eastAsia="Calibri" w:hAnsi="CG Omega"/>
      <w:b/>
      <w:i/>
      <w:sz w:val="24"/>
    </w:rPr>
  </w:style>
  <w:style w:type="paragraph" w:customStyle="1" w:styleId="AuthorsName">
    <w:name w:val="Author's Name"/>
    <w:basedOn w:val="MainTitle"/>
    <w:qFormat/>
    <w:rsid w:val="00372AEB"/>
    <w:pPr>
      <w:contextualSpacing/>
      <w:jc w:val="right"/>
    </w:pPr>
    <w:rPr>
      <w:sz w:val="22"/>
    </w:rPr>
  </w:style>
  <w:style w:type="paragraph" w:styleId="FootnoteText">
    <w:name w:val="footnote text"/>
    <w:basedOn w:val="Normal"/>
    <w:link w:val="FootnoteTextChar"/>
    <w:uiPriority w:val="99"/>
    <w:unhideWhenUsed/>
    <w:qFormat/>
    <w:rsid w:val="008369BB"/>
    <w:pPr>
      <w:spacing w:line="180" w:lineRule="exact"/>
      <w:ind w:firstLine="432"/>
      <w:jc w:val="both"/>
    </w:pPr>
    <w:rPr>
      <w:sz w:val="16"/>
      <w:szCs w:val="20"/>
    </w:rPr>
  </w:style>
  <w:style w:type="character" w:customStyle="1" w:styleId="FootnoteTextChar">
    <w:name w:val="Footnote Text Char"/>
    <w:basedOn w:val="DefaultParagraphFont"/>
    <w:link w:val="FootnoteText"/>
    <w:uiPriority w:val="99"/>
    <w:rsid w:val="008369BB"/>
    <w:rPr>
      <w:rFonts w:eastAsia="Times New Roman"/>
      <w:sz w:val="16"/>
      <w:szCs w:val="20"/>
    </w:rPr>
  </w:style>
  <w:style w:type="paragraph" w:customStyle="1" w:styleId="AuthorsParagraph">
    <w:name w:val="Author's Paragraph"/>
    <w:basedOn w:val="FootnoteText"/>
    <w:autoRedefine/>
    <w:qFormat/>
    <w:rsid w:val="00372AEB"/>
    <w:pPr>
      <w:spacing w:after="200" w:line="276" w:lineRule="auto"/>
    </w:pPr>
    <w:rPr>
      <w:i/>
    </w:rPr>
  </w:style>
  <w:style w:type="paragraph" w:customStyle="1" w:styleId="BlockQuote">
    <w:name w:val="Block Quote"/>
    <w:basedOn w:val="ArticleTextP1"/>
    <w:next w:val="ArticleTextP1"/>
    <w:qFormat/>
    <w:rsid w:val="004D0081"/>
    <w:pPr>
      <w:spacing w:before="120" w:after="120"/>
      <w:ind w:left="720" w:right="720"/>
      <w:contextualSpacing/>
    </w:pPr>
    <w:rPr>
      <w:szCs w:val="22"/>
    </w:rPr>
  </w:style>
  <w:style w:type="paragraph" w:customStyle="1" w:styleId="FigureSourceCaption">
    <w:name w:val="Figure Source Caption"/>
    <w:qFormat/>
    <w:rsid w:val="00550021"/>
    <w:pPr>
      <w:autoSpaceDN w:val="0"/>
      <w:spacing w:before="120" w:after="120" w:line="180" w:lineRule="exact"/>
      <w:textAlignment w:val="baseline"/>
    </w:pPr>
    <w:rPr>
      <w:rFonts w:eastAsia="Calibri"/>
      <w:i/>
      <w:color w:val="000000"/>
      <w:sz w:val="16"/>
      <w:szCs w:val="16"/>
    </w:rPr>
  </w:style>
  <w:style w:type="paragraph" w:customStyle="1" w:styleId="FigureTableTitle">
    <w:name w:val="Figure/Table Title"/>
    <w:qFormat/>
    <w:rsid w:val="00550021"/>
    <w:pPr>
      <w:autoSpaceDN w:val="0"/>
      <w:spacing w:before="120" w:after="120"/>
      <w:textAlignment w:val="baseline"/>
    </w:pPr>
    <w:rPr>
      <w:rFonts w:eastAsia="Calibri"/>
      <w:b/>
      <w:noProof/>
    </w:rPr>
  </w:style>
  <w:style w:type="paragraph" w:customStyle="1" w:styleId="References">
    <w:name w:val="References"/>
    <w:basedOn w:val="Normal"/>
    <w:qFormat/>
    <w:rsid w:val="00550021"/>
    <w:pPr>
      <w:spacing w:before="120" w:line="180" w:lineRule="exact"/>
      <w:ind w:left="432" w:hanging="432"/>
    </w:pPr>
    <w:rPr>
      <w:sz w:val="16"/>
      <w:lang w:eastAsia="en-GB"/>
    </w:rPr>
  </w:style>
  <w:style w:type="paragraph" w:customStyle="1" w:styleId="SectionTitle1">
    <w:name w:val="Section Title 1"/>
    <w:basedOn w:val="MainTitle"/>
    <w:next w:val="ArticleTextP1"/>
    <w:qFormat/>
    <w:rsid w:val="00372AEB"/>
    <w:pPr>
      <w:spacing w:before="240" w:after="240"/>
    </w:pPr>
    <w:rPr>
      <w:bCs/>
      <w:sz w:val="20"/>
      <w:szCs w:val="20"/>
    </w:rPr>
  </w:style>
  <w:style w:type="paragraph" w:customStyle="1" w:styleId="SubsectionTitle">
    <w:name w:val="Subsection Title"/>
    <w:basedOn w:val="SectionTitle1"/>
    <w:next w:val="ArticleTextP2"/>
    <w:qFormat/>
    <w:rsid w:val="008369BB"/>
    <w:pPr>
      <w:spacing w:before="120" w:after="120"/>
      <w:outlineLvl w:val="1"/>
    </w:pPr>
    <w:rPr>
      <w:b w:val="0"/>
    </w:rPr>
  </w:style>
  <w:style w:type="paragraph" w:customStyle="1" w:styleId="SubSubSectionTitle">
    <w:name w:val="SubSubSection Title"/>
    <w:basedOn w:val="ArticleTextP1"/>
    <w:next w:val="ArticleTextP2"/>
    <w:qFormat/>
    <w:rsid w:val="004C6745"/>
    <w:pPr>
      <w:spacing w:before="120" w:after="120"/>
      <w:jc w:val="left"/>
      <w:outlineLvl w:val="2"/>
    </w:pPr>
    <w:rPr>
      <w:i/>
    </w:rPr>
  </w:style>
  <w:style w:type="character" w:styleId="FootnoteReference">
    <w:name w:val="footnote reference"/>
    <w:basedOn w:val="FootnoteTextChar"/>
    <w:uiPriority w:val="99"/>
    <w:unhideWhenUsed/>
    <w:qFormat/>
    <w:rsid w:val="00831DC8"/>
    <w:rPr>
      <w:rFonts w:ascii="GoudyOldSty" w:eastAsia="Times New Roman" w:hAnsi="GoudyOldSty" w:cstheme="minorBidi"/>
      <w:sz w:val="16"/>
      <w:szCs w:val="20"/>
      <w:vertAlign w:val="superscript"/>
      <w:lang w:val="en-CA"/>
    </w:rPr>
  </w:style>
  <w:style w:type="character" w:customStyle="1" w:styleId="Heading2Char">
    <w:name w:val="Heading 2 Char"/>
    <w:basedOn w:val="DefaultParagraphFont"/>
    <w:link w:val="Heading2"/>
    <w:uiPriority w:val="9"/>
    <w:rsid w:val="004C6745"/>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4C6745"/>
    <w:rPr>
      <w:rFonts w:asciiTheme="majorHAnsi" w:eastAsiaTheme="majorEastAsia" w:hAnsiTheme="majorHAnsi" w:cstheme="majorBidi"/>
      <w:color w:val="1F3763" w:themeColor="accent1" w:themeShade="7F"/>
      <w:sz w:val="24"/>
      <w:lang w:val="en-GB"/>
    </w:rPr>
  </w:style>
  <w:style w:type="paragraph" w:styleId="Caption">
    <w:name w:val="caption"/>
    <w:basedOn w:val="Normal"/>
    <w:next w:val="Normal"/>
    <w:uiPriority w:val="35"/>
    <w:unhideWhenUsed/>
    <w:qFormat/>
    <w:rsid w:val="004C6745"/>
    <w:pPr>
      <w:spacing w:after="200" w:line="240" w:lineRule="auto"/>
    </w:pPr>
    <w:rPr>
      <w:rFonts w:ascii="Arial" w:hAnsi="Arial"/>
      <w:i/>
      <w:iCs/>
      <w:szCs w:val="18"/>
    </w:rPr>
  </w:style>
  <w:style w:type="paragraph" w:styleId="Header">
    <w:name w:val="header"/>
    <w:basedOn w:val="Normal"/>
    <w:link w:val="HeaderChar"/>
    <w:uiPriority w:val="99"/>
    <w:unhideWhenUsed/>
    <w:rsid w:val="004C6745"/>
    <w:pPr>
      <w:tabs>
        <w:tab w:val="center" w:pos="4513"/>
        <w:tab w:val="right" w:pos="9026"/>
      </w:tabs>
      <w:spacing w:line="240" w:lineRule="auto"/>
    </w:pPr>
  </w:style>
  <w:style w:type="character" w:customStyle="1" w:styleId="HeaderChar">
    <w:name w:val="Header Char"/>
    <w:basedOn w:val="DefaultParagraphFont"/>
    <w:link w:val="Header"/>
    <w:uiPriority w:val="99"/>
    <w:rsid w:val="004C6745"/>
    <w:rPr>
      <w:rFonts w:asciiTheme="minorHAnsi" w:hAnsiTheme="minorHAnsi" w:cstheme="minorBidi"/>
      <w:sz w:val="22"/>
      <w:szCs w:val="22"/>
      <w:lang w:val="en-GB"/>
    </w:rPr>
  </w:style>
  <w:style w:type="paragraph" w:styleId="Footer">
    <w:name w:val="footer"/>
    <w:basedOn w:val="Normal"/>
    <w:link w:val="FooterChar"/>
    <w:uiPriority w:val="99"/>
    <w:unhideWhenUsed/>
    <w:rsid w:val="004C6745"/>
    <w:pPr>
      <w:tabs>
        <w:tab w:val="center" w:pos="4513"/>
        <w:tab w:val="right" w:pos="9026"/>
      </w:tabs>
      <w:spacing w:line="240" w:lineRule="auto"/>
    </w:pPr>
  </w:style>
  <w:style w:type="character" w:customStyle="1" w:styleId="FooterChar">
    <w:name w:val="Footer Char"/>
    <w:basedOn w:val="DefaultParagraphFont"/>
    <w:link w:val="Footer"/>
    <w:uiPriority w:val="99"/>
    <w:rsid w:val="004C6745"/>
    <w:rPr>
      <w:rFonts w:asciiTheme="minorHAnsi" w:hAnsiTheme="minorHAnsi" w:cstheme="minorBidi"/>
      <w:sz w:val="22"/>
      <w:szCs w:val="22"/>
      <w:lang w:val="en-GB"/>
    </w:rPr>
  </w:style>
  <w:style w:type="table" w:styleId="TableGrid">
    <w:name w:val="Table Grid"/>
    <w:basedOn w:val="TableNormal"/>
    <w:uiPriority w:val="39"/>
    <w:rsid w:val="004C6745"/>
    <w:pPr>
      <w:spacing w:line="240" w:lineRule="auto"/>
      <w:jc w:val="left"/>
    </w:pPr>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745"/>
    <w:pPr>
      <w:ind w:left="720"/>
    </w:pPr>
  </w:style>
  <w:style w:type="character" w:styleId="Hyperlink">
    <w:name w:val="Hyperlink"/>
    <w:basedOn w:val="DefaultParagraphFont"/>
    <w:uiPriority w:val="99"/>
    <w:unhideWhenUsed/>
    <w:rsid w:val="004C6745"/>
    <w:rPr>
      <w:color w:val="0563C1" w:themeColor="hyperlink"/>
      <w:u w:val="single"/>
    </w:rPr>
  </w:style>
  <w:style w:type="character" w:styleId="UnresolvedMention">
    <w:name w:val="Unresolved Mention"/>
    <w:basedOn w:val="DefaultParagraphFont"/>
    <w:uiPriority w:val="99"/>
    <w:semiHidden/>
    <w:unhideWhenUsed/>
    <w:rsid w:val="004C6745"/>
    <w:rPr>
      <w:color w:val="605E5C"/>
      <w:shd w:val="clear" w:color="auto" w:fill="E1DFDD"/>
    </w:rPr>
  </w:style>
  <w:style w:type="paragraph" w:styleId="NormalWeb">
    <w:name w:val="Normal (Web)"/>
    <w:basedOn w:val="Normal"/>
    <w:uiPriority w:val="99"/>
    <w:unhideWhenUsed/>
    <w:rsid w:val="004C6745"/>
    <w:pPr>
      <w:spacing w:before="100" w:beforeAutospacing="1" w:after="142" w:line="276"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4C6745"/>
  </w:style>
  <w:style w:type="character" w:styleId="CommentReference">
    <w:name w:val="annotation reference"/>
    <w:basedOn w:val="DefaultParagraphFont"/>
    <w:uiPriority w:val="99"/>
    <w:semiHidden/>
    <w:unhideWhenUsed/>
    <w:rsid w:val="004C6745"/>
    <w:rPr>
      <w:sz w:val="16"/>
      <w:szCs w:val="16"/>
    </w:rPr>
  </w:style>
  <w:style w:type="paragraph" w:styleId="CommentText">
    <w:name w:val="annotation text"/>
    <w:basedOn w:val="Normal"/>
    <w:link w:val="CommentTextChar"/>
    <w:uiPriority w:val="99"/>
    <w:semiHidden/>
    <w:unhideWhenUsed/>
    <w:rsid w:val="004C6745"/>
    <w:pPr>
      <w:spacing w:line="240" w:lineRule="auto"/>
    </w:pPr>
    <w:rPr>
      <w:szCs w:val="20"/>
    </w:rPr>
  </w:style>
  <w:style w:type="character" w:customStyle="1" w:styleId="CommentTextChar">
    <w:name w:val="Comment Text Char"/>
    <w:basedOn w:val="DefaultParagraphFont"/>
    <w:link w:val="CommentText"/>
    <w:uiPriority w:val="99"/>
    <w:semiHidden/>
    <w:rsid w:val="004C6745"/>
    <w:rPr>
      <w:rFonts w:cstheme="minorBidi"/>
      <w:szCs w:val="20"/>
      <w:lang w:val="en-GB"/>
    </w:rPr>
  </w:style>
  <w:style w:type="paragraph" w:styleId="CommentSubject">
    <w:name w:val="annotation subject"/>
    <w:basedOn w:val="CommentText"/>
    <w:next w:val="CommentText"/>
    <w:link w:val="CommentSubjectChar"/>
    <w:uiPriority w:val="99"/>
    <w:semiHidden/>
    <w:unhideWhenUsed/>
    <w:rsid w:val="004C6745"/>
    <w:rPr>
      <w:b/>
      <w:bCs/>
    </w:rPr>
  </w:style>
  <w:style w:type="character" w:customStyle="1" w:styleId="CommentSubjectChar">
    <w:name w:val="Comment Subject Char"/>
    <w:basedOn w:val="CommentTextChar"/>
    <w:link w:val="CommentSubject"/>
    <w:uiPriority w:val="99"/>
    <w:semiHidden/>
    <w:rsid w:val="004C6745"/>
    <w:rPr>
      <w:rFonts w:cstheme="minorBidi"/>
      <w:b/>
      <w:bCs/>
      <w:szCs w:val="20"/>
      <w:lang w:val="en-GB"/>
    </w:rPr>
  </w:style>
  <w:style w:type="character" w:styleId="FollowedHyperlink">
    <w:name w:val="FollowedHyperlink"/>
    <w:basedOn w:val="DefaultParagraphFont"/>
    <w:uiPriority w:val="99"/>
    <w:semiHidden/>
    <w:unhideWhenUsed/>
    <w:rsid w:val="00911FB1"/>
    <w:rPr>
      <w:color w:val="954F72" w:themeColor="followedHyperlink"/>
      <w:u w:val="single"/>
    </w:rPr>
  </w:style>
  <w:style w:type="paragraph" w:styleId="Revision">
    <w:name w:val="Revision"/>
    <w:hidden/>
    <w:uiPriority w:val="99"/>
    <w:semiHidden/>
    <w:rsid w:val="009C4C75"/>
    <w:pPr>
      <w:spacing w:line="240" w:lineRule="auto"/>
      <w:jc w:val="left"/>
    </w:pPr>
    <w:rPr>
      <w:rFonts w:cstheme="minorBidi"/>
      <w:szCs w:val="22"/>
      <w:lang w:val="en-GB"/>
    </w:rPr>
  </w:style>
  <w:style w:type="paragraph" w:styleId="BalloonText">
    <w:name w:val="Balloon Text"/>
    <w:basedOn w:val="Normal"/>
    <w:link w:val="BalloonTextChar"/>
    <w:uiPriority w:val="99"/>
    <w:semiHidden/>
    <w:unhideWhenUsed/>
    <w:rsid w:val="004523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376"/>
    <w:rPr>
      <w:rFonts w:ascii="Segoe UI" w:hAnsi="Segoe UI" w:cs="Segoe UI"/>
      <w:sz w:val="18"/>
      <w:szCs w:val="18"/>
      <w:lang w:val="en-GB"/>
    </w:rPr>
  </w:style>
  <w:style w:type="character" w:styleId="PlaceholderText">
    <w:name w:val="Placeholder Text"/>
    <w:basedOn w:val="DefaultParagraphFont"/>
    <w:uiPriority w:val="99"/>
    <w:semiHidden/>
    <w:rsid w:val="00FE7E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9371">
      <w:bodyDiv w:val="1"/>
      <w:marLeft w:val="0"/>
      <w:marRight w:val="0"/>
      <w:marTop w:val="0"/>
      <w:marBottom w:val="0"/>
      <w:divBdr>
        <w:top w:val="none" w:sz="0" w:space="0" w:color="auto"/>
        <w:left w:val="none" w:sz="0" w:space="0" w:color="auto"/>
        <w:bottom w:val="none" w:sz="0" w:space="0" w:color="auto"/>
        <w:right w:val="none" w:sz="0" w:space="0" w:color="auto"/>
      </w:divBdr>
    </w:div>
    <w:div w:id="1009285027">
      <w:bodyDiv w:val="1"/>
      <w:marLeft w:val="0"/>
      <w:marRight w:val="0"/>
      <w:marTop w:val="0"/>
      <w:marBottom w:val="0"/>
      <w:divBdr>
        <w:top w:val="none" w:sz="0" w:space="0" w:color="auto"/>
        <w:left w:val="none" w:sz="0" w:space="0" w:color="auto"/>
        <w:bottom w:val="none" w:sz="0" w:space="0" w:color="auto"/>
        <w:right w:val="none" w:sz="0" w:space="0" w:color="auto"/>
      </w:divBdr>
    </w:div>
    <w:div w:id="139978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qz.com/887709/chinas-liaoning-province-admitted-that-it-inflated-gdp-figures-from-2011-to-2014" TargetMode="External"/><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economist.com/china/2019/06/08/once-again-chinas-richest-region-is-pulling-ahead-of-the-other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core.ac.uk/download/pdf/213930937.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trace.tennessee.edu/cgi/viewcontent.cgi?article=3442&amp;context=utk_gradthes"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www.un.org/development/desa/dspd/2030agenda-sdg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think-asia.org/bitstream/handle/11540/4160/2004.03.rp055.fiscal.reform.pdf?sequence=1" TargetMode="External"/><Relationship Id="rId30" Type="http://schemas.openxmlformats.org/officeDocument/2006/relationships/hyperlink" Target="http://english.gov.cn/premier/news/2016/12/27/content_281475526349906.htm"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303BD62EC8CE46B10466F071A47AFF" ma:contentTypeVersion="13" ma:contentTypeDescription="Create a new document." ma:contentTypeScope="" ma:versionID="d88801f9d260c13ae67261833cb8b463">
  <xsd:schema xmlns:xsd="http://www.w3.org/2001/XMLSchema" xmlns:xs="http://www.w3.org/2001/XMLSchema" xmlns:p="http://schemas.microsoft.com/office/2006/metadata/properties" xmlns:ns3="db3dd964-0e64-461a-bad8-7c69d1663030" xmlns:ns4="0886afde-71ee-4eeb-96d2-7954f5e1dbd9" targetNamespace="http://schemas.microsoft.com/office/2006/metadata/properties" ma:root="true" ma:fieldsID="3df3b6d39848f68b6ace0b23beede1e6" ns3:_="" ns4:_="">
    <xsd:import namespace="db3dd964-0e64-461a-bad8-7c69d1663030"/>
    <xsd:import namespace="0886afde-71ee-4eeb-96d2-7954f5e1db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dd964-0e64-461a-bad8-7c69d1663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6afde-71ee-4eeb-96d2-7954f5e1db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93347-D980-4D85-8D6C-7EF2BA7FB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9987F0-C0DA-421C-8DD3-78349381A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dd964-0e64-461a-bad8-7c69d1663030"/>
    <ds:schemaRef ds:uri="0886afde-71ee-4eeb-96d2-7954f5e1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8CAD3-E5E1-42D2-9A16-6D7034F2C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10969</Words>
  <Characters>62527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Journal of Economic Issues</Company>
  <LinksUpToDate>false</LinksUpToDate>
  <CharactersWithSpaces>73350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Evans</dc:creator>
  <cp:keywords/>
  <dc:description/>
  <cp:lastModifiedBy>Archana Kumari</cp:lastModifiedBy>
  <cp:revision>2</cp:revision>
  <dcterms:created xsi:type="dcterms:W3CDTF">2023-05-12T13:03:00Z</dcterms:created>
  <dcterms:modified xsi:type="dcterms:W3CDTF">2023-05-12T13:03:00Z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0x0101000B303BD62EC8CE46B10466F071A47AFF</vt:lpwstr>
  </property>
  <property fmtid="{D5CDD505-2E9C-101B-9397-08002B2CF9AE}" pid="3" name="GrammarlyDocumentId">
    <vt:lpwstr>df7078cfca6a8499f90e0c0e197bec24c2b6a4750cba46dae745eb931b6780fb</vt:lpwstr>
  </property>
</Properties>
</file>