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AEB" w:rsidRDefault="00886AEB">
      <w:pPr>
        <w:widowControl w:val="0"/>
        <w:tabs>
          <w:tab w:val="center" w:pos="4513"/>
        </w:tabs>
        <w:suppressAutoHyphens/>
        <w:spacing w:line="480" w:lineRule="auto"/>
        <w:jc w:val="center"/>
        <w:rPr>
          <w:b/>
          <w:bCs/>
          <w:spacing w:val="-4"/>
          <w:sz w:val="28"/>
          <w:szCs w:val="28"/>
        </w:rPr>
      </w:pPr>
      <w:r>
        <w:rPr>
          <w:b/>
          <w:bCs/>
          <w:spacing w:val="-4"/>
          <w:sz w:val="28"/>
          <w:szCs w:val="28"/>
        </w:rPr>
        <w:t xml:space="preserve">         </w:t>
      </w:r>
    </w:p>
    <w:p w:rsidR="00886AEB" w:rsidRDefault="00886AEB">
      <w:pPr>
        <w:widowControl w:val="0"/>
        <w:tabs>
          <w:tab w:val="center" w:pos="4513"/>
        </w:tabs>
        <w:suppressAutoHyphens/>
        <w:spacing w:line="480" w:lineRule="auto"/>
        <w:jc w:val="center"/>
        <w:rPr>
          <w:b/>
          <w:spacing w:val="-3"/>
          <w:sz w:val="28"/>
          <w:szCs w:val="28"/>
        </w:rPr>
      </w:pPr>
      <w:r>
        <w:rPr>
          <w:b/>
          <w:bCs/>
          <w:spacing w:val="-4"/>
          <w:sz w:val="28"/>
          <w:szCs w:val="28"/>
        </w:rPr>
        <w:t>Congestion in the Chinese automobile and textile industries revisited</w:t>
      </w:r>
    </w:p>
    <w:p w:rsidR="00886AEB" w:rsidRDefault="00886AEB">
      <w:pPr>
        <w:widowControl w:val="0"/>
        <w:tabs>
          <w:tab w:val="center" w:pos="4513"/>
        </w:tabs>
        <w:suppressAutoHyphens/>
        <w:spacing w:line="480" w:lineRule="auto"/>
        <w:jc w:val="center"/>
        <w:rPr>
          <w:b/>
          <w:spacing w:val="-3"/>
          <w:sz w:val="28"/>
          <w:szCs w:val="28"/>
        </w:rPr>
      </w:pPr>
    </w:p>
    <w:p w:rsidR="00886AEB" w:rsidRDefault="00886AEB">
      <w:pPr>
        <w:widowControl w:val="0"/>
        <w:tabs>
          <w:tab w:val="center" w:pos="4513"/>
        </w:tabs>
        <w:suppressAutoHyphens/>
        <w:spacing w:line="480" w:lineRule="auto"/>
        <w:jc w:val="center"/>
        <w:rPr>
          <w:b/>
          <w:spacing w:val="-3"/>
          <w:sz w:val="28"/>
          <w:szCs w:val="28"/>
          <w:vertAlign w:val="superscript"/>
        </w:rPr>
      </w:pPr>
      <w:r>
        <w:rPr>
          <w:b/>
          <w:spacing w:val="-3"/>
          <w:sz w:val="28"/>
          <w:szCs w:val="28"/>
        </w:rPr>
        <w:t>A.T. Flegg</w:t>
      </w:r>
      <w:r>
        <w:rPr>
          <w:b/>
          <w:spacing w:val="-3"/>
          <w:sz w:val="28"/>
          <w:szCs w:val="28"/>
          <w:vertAlign w:val="superscript"/>
        </w:rPr>
        <w:t>a</w:t>
      </w:r>
      <w:r>
        <w:rPr>
          <w:b/>
          <w:spacing w:val="-3"/>
          <w:sz w:val="28"/>
          <w:szCs w:val="28"/>
        </w:rPr>
        <w:t xml:space="preserve"> and D.O. Allen</w:t>
      </w:r>
      <w:r>
        <w:rPr>
          <w:b/>
          <w:spacing w:val="-3"/>
          <w:sz w:val="28"/>
          <w:szCs w:val="28"/>
          <w:vertAlign w:val="superscript"/>
        </w:rPr>
        <w:t>b</w:t>
      </w:r>
    </w:p>
    <w:p w:rsidR="00886AEB" w:rsidRDefault="00886AEB">
      <w:pPr>
        <w:widowControl w:val="0"/>
        <w:tabs>
          <w:tab w:val="left" w:pos="360"/>
          <w:tab w:val="center" w:pos="4513"/>
        </w:tabs>
        <w:suppressAutoHyphens/>
        <w:spacing w:line="480" w:lineRule="auto"/>
        <w:ind w:left="360" w:hanging="360"/>
        <w:rPr>
          <w:vertAlign w:val="superscript"/>
        </w:rPr>
      </w:pPr>
    </w:p>
    <w:p w:rsidR="00886AEB" w:rsidRDefault="00886AEB">
      <w:pPr>
        <w:widowControl w:val="0"/>
        <w:tabs>
          <w:tab w:val="left" w:pos="360"/>
          <w:tab w:val="center" w:pos="4513"/>
        </w:tabs>
        <w:suppressAutoHyphens/>
        <w:spacing w:line="480" w:lineRule="auto"/>
        <w:ind w:left="360" w:hanging="360"/>
      </w:pPr>
      <w:r>
        <w:rPr>
          <w:b/>
          <w:vertAlign w:val="superscript"/>
        </w:rPr>
        <w:t>a</w:t>
      </w:r>
      <w:r>
        <w:tab/>
        <w:t xml:space="preserve">Principal Lecturer in Economics, Department </w:t>
      </w:r>
      <w:r>
        <w:rPr>
          <w:spacing w:val="-3"/>
          <w:szCs w:val="28"/>
        </w:rPr>
        <w:t xml:space="preserve">of Economics, Bristol Business School, University of the West of </w:t>
      </w:r>
      <w:smartTag w:uri="urn:schemas-microsoft-com:office:smarttags" w:element="country-region">
        <w:smartTag w:uri="urn:schemas-microsoft-com:office:smarttags" w:element="place">
          <w:r>
            <w:rPr>
              <w:spacing w:val="-3"/>
              <w:szCs w:val="28"/>
            </w:rPr>
            <w:t>England</w:t>
          </w:r>
        </w:smartTag>
      </w:smartTag>
      <w:r>
        <w:rPr>
          <w:spacing w:val="-3"/>
          <w:szCs w:val="28"/>
        </w:rPr>
        <w:t xml:space="preserve">, </w:t>
      </w:r>
      <w:smartTag w:uri="urn:schemas-microsoft-com:office:smarttags" w:element="place">
        <w:r>
          <w:rPr>
            <w:spacing w:val="-3"/>
            <w:szCs w:val="28"/>
          </w:rPr>
          <w:t xml:space="preserve">Coldharbour Lane, </w:t>
        </w:r>
        <w:smartTag w:uri="urn:schemas-microsoft-com:office:smarttags" w:element="City">
          <w:r>
            <w:rPr>
              <w:spacing w:val="-3"/>
              <w:szCs w:val="28"/>
            </w:rPr>
            <w:t>Bristol</w:t>
          </w:r>
        </w:smartTag>
        <w:r>
          <w:rPr>
            <w:spacing w:val="-3"/>
            <w:szCs w:val="28"/>
          </w:rPr>
          <w:t xml:space="preserve"> </w:t>
        </w:r>
        <w:smartTag w:uri="urn:schemas-microsoft-com:office:smarttags" w:element="PostalCode">
          <w:r>
            <w:rPr>
              <w:spacing w:val="-3"/>
              <w:szCs w:val="28"/>
            </w:rPr>
            <w:t>BS16 1QY</w:t>
          </w:r>
        </w:smartTag>
        <w:r>
          <w:rPr>
            <w:spacing w:val="-3"/>
            <w:szCs w:val="28"/>
          </w:rPr>
          <w:t xml:space="preserve">, </w:t>
        </w:r>
        <w:smartTag w:uri="urn:schemas-microsoft-com:office:smarttags" w:element="country-region">
          <w:r>
            <w:rPr>
              <w:spacing w:val="-3"/>
              <w:szCs w:val="28"/>
            </w:rPr>
            <w:t>England</w:t>
          </w:r>
        </w:smartTag>
      </w:smartTag>
      <w:r>
        <w:rPr>
          <w:spacing w:val="-3"/>
          <w:szCs w:val="28"/>
        </w:rPr>
        <w:t xml:space="preserve">.  Corresponding author.  Fax +44 (0) 117 3282289.  </w:t>
      </w:r>
      <w:hyperlink r:id="rId7" w:history="1">
        <w:r>
          <w:rPr>
            <w:rStyle w:val="Hyperlink"/>
          </w:rPr>
          <w:t>Tony.Flegg@uwe.ac.uk</w:t>
        </w:r>
      </w:hyperlink>
      <w:r>
        <w:t>.</w:t>
      </w:r>
    </w:p>
    <w:p w:rsidR="00886AEB" w:rsidRDefault="00886AEB">
      <w:pPr>
        <w:widowControl w:val="0"/>
        <w:tabs>
          <w:tab w:val="left" w:pos="360"/>
          <w:tab w:val="center" w:pos="4513"/>
        </w:tabs>
        <w:suppressAutoHyphens/>
        <w:spacing w:line="480" w:lineRule="auto"/>
        <w:ind w:left="357" w:hanging="357"/>
        <w:rPr>
          <w:b/>
          <w:bCs/>
          <w:spacing w:val="-4"/>
          <w:sz w:val="28"/>
          <w:szCs w:val="28"/>
        </w:rPr>
      </w:pPr>
      <w:r>
        <w:rPr>
          <w:b/>
          <w:vertAlign w:val="superscript"/>
        </w:rPr>
        <w:t>b</w:t>
      </w:r>
      <w:r>
        <w:tab/>
        <w:t>Senior Lecturer in Economics, Department</w:t>
      </w:r>
      <w:r>
        <w:rPr>
          <w:spacing w:val="-3"/>
          <w:szCs w:val="28"/>
        </w:rPr>
        <w:t xml:space="preserve"> of Economics, Bristol Business School, University of the West of England, Coldharbour Lane, Bristol BS16 1QY, England. </w:t>
      </w:r>
      <w:hyperlink r:id="rId8" w:history="1">
        <w:r>
          <w:rPr>
            <w:rStyle w:val="Hyperlink"/>
          </w:rPr>
          <w:t>David.Allen@uwe.ac.uk</w:t>
        </w:r>
      </w:hyperlink>
      <w:r>
        <w:t>.</w:t>
      </w:r>
    </w:p>
    <w:p w:rsidR="00886AEB" w:rsidRDefault="00886AEB">
      <w:pPr>
        <w:widowControl w:val="0"/>
        <w:tabs>
          <w:tab w:val="left" w:pos="360"/>
          <w:tab w:val="center" w:pos="4513"/>
        </w:tabs>
        <w:suppressAutoHyphens/>
        <w:spacing w:line="480" w:lineRule="auto"/>
        <w:rPr>
          <w:b/>
          <w:bCs/>
          <w:spacing w:val="-4"/>
          <w:sz w:val="28"/>
          <w:szCs w:val="28"/>
        </w:rPr>
      </w:pPr>
    </w:p>
    <w:p w:rsidR="00886AEB" w:rsidRDefault="00886AEB">
      <w:pPr>
        <w:widowControl w:val="0"/>
        <w:tabs>
          <w:tab w:val="left" w:pos="360"/>
          <w:tab w:val="center" w:pos="4513"/>
        </w:tabs>
        <w:suppressAutoHyphens/>
        <w:spacing w:line="480" w:lineRule="auto"/>
        <w:rPr>
          <w:b/>
          <w:bCs/>
          <w:spacing w:val="-4"/>
        </w:rPr>
      </w:pPr>
      <w:r>
        <w:rPr>
          <w:b/>
          <w:bCs/>
          <w:spacing w:val="-4"/>
        </w:rPr>
        <w:t>Initial submission February 2007; resubmitted March 2008</w:t>
      </w:r>
    </w:p>
    <w:p w:rsidR="00886AEB" w:rsidRDefault="00886AEB">
      <w:pPr>
        <w:widowControl w:val="0"/>
        <w:tabs>
          <w:tab w:val="left" w:pos="360"/>
          <w:tab w:val="center" w:pos="4513"/>
        </w:tabs>
        <w:suppressAutoHyphens/>
        <w:spacing w:line="480" w:lineRule="auto"/>
        <w:jc w:val="center"/>
      </w:pPr>
      <w:r>
        <w:rPr>
          <w:b/>
          <w:bCs/>
          <w:spacing w:val="-4"/>
          <w:sz w:val="28"/>
          <w:szCs w:val="28"/>
        </w:rPr>
        <w:br w:type="page"/>
      </w:r>
      <w:r>
        <w:rPr>
          <w:b/>
          <w:bCs/>
          <w:spacing w:val="-4"/>
          <w:sz w:val="28"/>
          <w:szCs w:val="28"/>
        </w:rPr>
        <w:lastRenderedPageBreak/>
        <w:t>Congestion in the Chinese automobile and textile industries revisited</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rPr>
          <w:spacing w:val="-3"/>
          <w:szCs w:val="28"/>
        </w:rPr>
      </w:pP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jc w:val="left"/>
        <w:rPr>
          <w:b/>
          <w:spacing w:val="-3"/>
          <w:sz w:val="22"/>
          <w:szCs w:val="22"/>
        </w:rPr>
      </w:pPr>
      <w:r>
        <w:rPr>
          <w:b/>
          <w:spacing w:val="-3"/>
          <w:sz w:val="22"/>
          <w:szCs w:val="22"/>
        </w:rPr>
        <w:t>Abstract</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rPr>
          <w:b/>
          <w:sz w:val="22"/>
          <w:szCs w:val="22"/>
        </w:rPr>
      </w:pPr>
      <w:r>
        <w:rPr>
          <w:sz w:val="22"/>
          <w:szCs w:val="22"/>
        </w:rPr>
        <w:tab/>
        <w:t>This paper re-examines a problem of congested inputs</w:t>
      </w:r>
      <w:r>
        <w:rPr>
          <w:spacing w:val="-3"/>
          <w:sz w:val="22"/>
          <w:szCs w:val="22"/>
        </w:rPr>
        <w:t xml:space="preserve"> in the </w:t>
      </w:r>
      <w:r>
        <w:rPr>
          <w:bCs/>
          <w:spacing w:val="-4"/>
          <w:sz w:val="22"/>
          <w:szCs w:val="22"/>
        </w:rPr>
        <w:t xml:space="preserve">Chinese automobile and textile industries, which was identified by </w:t>
      </w:r>
      <w:r>
        <w:rPr>
          <w:spacing w:val="-2"/>
          <w:sz w:val="22"/>
          <w:szCs w:val="22"/>
        </w:rPr>
        <w:t xml:space="preserve">Cooper </w:t>
      </w:r>
      <w:r>
        <w:rPr>
          <w:iCs/>
          <w:spacing w:val="-2"/>
          <w:sz w:val="22"/>
          <w:szCs w:val="22"/>
        </w:rPr>
        <w:t>et al</w:t>
      </w:r>
      <w:r>
        <w:rPr>
          <w:spacing w:val="-2"/>
          <w:sz w:val="22"/>
          <w:szCs w:val="22"/>
        </w:rPr>
        <w:t>. [5]</w:t>
      </w:r>
      <w:r>
        <w:rPr>
          <w:bCs/>
          <w:spacing w:val="-4"/>
          <w:sz w:val="22"/>
          <w:szCs w:val="22"/>
        </w:rPr>
        <w:t>.  Since these authors</w:t>
      </w:r>
      <w:r>
        <w:rPr>
          <w:spacing w:val="-2"/>
          <w:sz w:val="22"/>
          <w:szCs w:val="22"/>
        </w:rPr>
        <w:t xml:space="preserve"> employed a single approach in measuring congestion, it is worth exploring whether alternative procedures would yield very different outcomes.  Indeed, the measurement of congestion is an area where there has been much theoretical debate but relatively little empirical work.  After examining the theoretical properties of the two main </w:t>
      </w:r>
      <w:r>
        <w:rPr>
          <w:bCs/>
          <w:spacing w:val="-4"/>
          <w:sz w:val="22"/>
          <w:szCs w:val="22"/>
        </w:rPr>
        <w:t xml:space="preserve">approaches currently available, those of </w:t>
      </w:r>
      <w:r>
        <w:rPr>
          <w:sz w:val="22"/>
          <w:szCs w:val="22"/>
        </w:rPr>
        <w:t>Färe et al. [18]</w:t>
      </w:r>
      <w:r>
        <w:rPr>
          <w:spacing w:val="-2"/>
          <w:sz w:val="22"/>
          <w:szCs w:val="22"/>
        </w:rPr>
        <w:t xml:space="preserve"> and Cooper </w:t>
      </w:r>
      <w:r>
        <w:rPr>
          <w:iCs/>
          <w:spacing w:val="-2"/>
          <w:sz w:val="22"/>
          <w:szCs w:val="22"/>
        </w:rPr>
        <w:t>et al</w:t>
      </w:r>
      <w:r>
        <w:rPr>
          <w:spacing w:val="-2"/>
          <w:sz w:val="22"/>
          <w:szCs w:val="22"/>
        </w:rPr>
        <w:t>.</w:t>
      </w:r>
      <w:r>
        <w:t>,</w:t>
      </w:r>
      <w:r>
        <w:rPr>
          <w:bCs/>
          <w:spacing w:val="-4"/>
          <w:sz w:val="22"/>
          <w:szCs w:val="22"/>
        </w:rPr>
        <w:t xml:space="preserve"> we </w:t>
      </w:r>
      <w:r>
        <w:rPr>
          <w:sz w:val="22"/>
          <w:szCs w:val="22"/>
        </w:rPr>
        <w:t xml:space="preserve">use the data set assembled by Cooper et al. for </w:t>
      </w:r>
      <w:r>
        <w:rPr>
          <w:spacing w:val="-3"/>
          <w:sz w:val="22"/>
          <w:szCs w:val="22"/>
        </w:rPr>
        <w:t xml:space="preserve">the </w:t>
      </w:r>
      <w:r>
        <w:rPr>
          <w:sz w:val="22"/>
          <w:szCs w:val="22"/>
        </w:rPr>
        <w:t>period 1981</w:t>
      </w:r>
      <w:r>
        <w:rPr>
          <w:sz w:val="22"/>
          <w:szCs w:val="22"/>
        </w:rPr>
        <w:sym w:font="Symbol" w:char="F02D"/>
      </w:r>
      <w:r>
        <w:rPr>
          <w:sz w:val="22"/>
          <w:szCs w:val="22"/>
        </w:rPr>
        <w:t xml:space="preserve">1997 to compare and contrast the measurements of congestion generated by these alternative approaches.  We find that the results are strikingly different, especially in terms of the amount of congestion identified.  Finally, we discuss the new approach to measuring congestion proposed by </w:t>
      </w:r>
      <w:r>
        <w:rPr>
          <w:bCs/>
          <w:spacing w:val="-4"/>
          <w:sz w:val="22"/>
          <w:szCs w:val="22"/>
        </w:rPr>
        <w:t>Tone and Sahoo [2</w:t>
      </w:r>
      <w:r w:rsidR="001B36C5">
        <w:rPr>
          <w:bCs/>
          <w:spacing w:val="-4"/>
          <w:sz w:val="22"/>
          <w:szCs w:val="22"/>
        </w:rPr>
        <w:t>9</w:t>
      </w:r>
      <w:r>
        <w:rPr>
          <w:bCs/>
          <w:spacing w:val="-4"/>
          <w:sz w:val="22"/>
          <w:szCs w:val="22"/>
        </w:rPr>
        <w:t>].</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rPr>
          <w:b/>
          <w:sz w:val="22"/>
          <w:szCs w:val="22"/>
        </w:rPr>
      </w:pPr>
      <w:r>
        <w:rPr>
          <w:i/>
          <w:sz w:val="22"/>
          <w:szCs w:val="22"/>
        </w:rPr>
        <w:t>Keywords:</w:t>
      </w:r>
      <w:r>
        <w:rPr>
          <w:sz w:val="22"/>
          <w:szCs w:val="22"/>
        </w:rPr>
        <w:t xml:space="preserve">  </w:t>
      </w:r>
      <w:r>
        <w:rPr>
          <w:spacing w:val="-3"/>
          <w:sz w:val="22"/>
          <w:szCs w:val="22"/>
        </w:rPr>
        <w:t>Data envelopment analysis; Congestion; Inefficiency</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rPr>
          <w:b/>
          <w:spacing w:val="-3"/>
        </w:rPr>
      </w:pPr>
      <w:r>
        <w:rPr>
          <w:b/>
          <w:spacing w:val="-3"/>
        </w:rPr>
        <w:t>1. Introduction</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rPr>
          <w:spacing w:val="-3"/>
          <w:szCs w:val="28"/>
        </w:rPr>
      </w:pPr>
      <w:r>
        <w:rPr>
          <w:spacing w:val="-3"/>
          <w:szCs w:val="28"/>
        </w:rPr>
        <w:tab/>
        <w:t>In an interesting paper published in this journal, Cooper et al. [5] examine the problem of inefficiency in the</w:t>
      </w:r>
      <w:r>
        <w:rPr>
          <w:spacing w:val="-3"/>
        </w:rPr>
        <w:t xml:space="preserve"> </w:t>
      </w:r>
      <w:r>
        <w:rPr>
          <w:bCs/>
          <w:spacing w:val="-4"/>
        </w:rPr>
        <w:t>Chinese automobile and textile industries.  Using annual data for the period 1981</w:t>
      </w:r>
      <w:r>
        <w:rPr>
          <w:bCs/>
          <w:spacing w:val="-4"/>
        </w:rPr>
        <w:sym w:font="Symbol" w:char="F02D"/>
      </w:r>
      <w:r>
        <w:rPr>
          <w:bCs/>
          <w:spacing w:val="-4"/>
        </w:rPr>
        <w:t xml:space="preserve">1997, they find evidence of </w:t>
      </w:r>
      <w:r>
        <w:rPr>
          <w:i/>
          <w:spacing w:val="-3"/>
          <w:szCs w:val="28"/>
        </w:rPr>
        <w:t>congestion</w:t>
      </w:r>
      <w:r>
        <w:rPr>
          <w:spacing w:val="-3"/>
          <w:szCs w:val="28"/>
        </w:rPr>
        <w:t xml:space="preserve"> in both industries.  Congestion refers to a situation where the use of a particular input has increased by so much that output has actually fallen.  In this sense, it can be viewed as an extreme form of technical inefficiency.  Cooper et al. focus on the problems caused by the employment of excessive amounts of labour in these two industries and they discuss ways in which congestion could be managed without engaging in massive layoffs of workers.  Here they demonstrate how output could be enhanced by improving managerial efficiency, while maintaining the size of the labour force.</w:t>
      </w:r>
      <w:r>
        <w:rPr>
          <w:rStyle w:val="FootnoteReference"/>
          <w:spacing w:val="-3"/>
          <w:szCs w:val="28"/>
        </w:rPr>
        <w:footnoteReference w:id="1"/>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r>
        <w:rPr>
          <w:spacing w:val="-3"/>
          <w:szCs w:val="28"/>
        </w:rPr>
        <w:tab/>
        <w:t xml:space="preserve">Our aim in this paper is rather different.  Instead of focusing on policy issues, we examine </w:t>
      </w:r>
      <w:r>
        <w:rPr>
          <w:spacing w:val="-3"/>
          <w:szCs w:val="28"/>
        </w:rPr>
        <w:lastRenderedPageBreak/>
        <w:t>the magnitude of the problem of congestion in these two industries and whether it makes much difference how we measure congestion.  Although the theoretical issues surrounding the measurement of congestion have been discussed in several recent papers, no consensus has emerged on the most appropriate way to identify and measure congestion.</w:t>
      </w:r>
      <w:r>
        <w:rPr>
          <w:rStyle w:val="FootnoteReference"/>
          <w:spacing w:val="-3"/>
          <w:szCs w:val="28"/>
        </w:rPr>
        <w:footnoteReference w:id="2"/>
      </w:r>
      <w:r>
        <w:rPr>
          <w:spacing w:val="-3"/>
          <w:szCs w:val="28"/>
        </w:rPr>
        <w:t xml:space="preserve">  Indeed, the two main schools of thought </w:t>
      </w:r>
      <w:r>
        <w:rPr>
          <w:spacing w:val="-3"/>
          <w:szCs w:val="28"/>
        </w:rPr>
        <w:sym w:font="Symbol" w:char="F02D"/>
      </w:r>
      <w:r>
        <w:rPr>
          <w:spacing w:val="-3"/>
          <w:szCs w:val="28"/>
        </w:rPr>
        <w:t xml:space="preserve"> those associated with </w:t>
      </w:r>
      <w:r>
        <w:t xml:space="preserve">Färe and Grosskopf, on the one hand, and with Cooper et al., on the other </w:t>
      </w:r>
      <w:r>
        <w:sym w:font="Symbol" w:char="F02D"/>
      </w:r>
      <w:r>
        <w:t xml:space="preserve"> appear to be as divided as ever.</w:t>
      </w:r>
      <w:r>
        <w:rPr>
          <w:rStyle w:val="FootnoteReference"/>
        </w:rPr>
        <w:footnoteReference w:id="3"/>
      </w:r>
      <w:r>
        <w:t xml:space="preserve">  What is more, the theoretical discussions have focused, to a large extent, on a relatively narrow issue: whether congestion does or does not exist in a particular case, as opposed to </w:t>
      </w:r>
      <w:r>
        <w:rPr>
          <w:i/>
        </w:rPr>
        <w:t>how much</w:t>
      </w:r>
      <w:r>
        <w:t xml:space="preserve"> congestion there is likely to be.  Unfortunately, apart from the earlier study by Cooper</w:t>
      </w:r>
      <w:r>
        <w:rPr>
          <w:spacing w:val="-3"/>
          <w:szCs w:val="28"/>
        </w:rPr>
        <w:t xml:space="preserve"> et al. [11] and the work on British universities by Flegg and Allen [23, 24, 2</w:t>
      </w:r>
      <w:r w:rsidR="001B36C5">
        <w:rPr>
          <w:spacing w:val="-3"/>
          <w:szCs w:val="28"/>
        </w:rPr>
        <w:t>6</w:t>
      </w:r>
      <w:r>
        <w:rPr>
          <w:spacing w:val="-3"/>
          <w:szCs w:val="28"/>
        </w:rPr>
        <w:t>],</w:t>
      </w:r>
      <w:r>
        <w:t xml:space="preserve"> there is very little published evidence available to offer guidance as to whether the competing approaches are apt to yield very different results in reality.  Our aim is to augment this limited stock of empirical evidence.</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r>
        <w:tab/>
        <w:t xml:space="preserve">The rest of the paper is structured as follows.  We begin by explaining Färe and Grosskopf’s radial approach to the measurement of congestion and thereafter the slacks-based procedure of Cooper et al.  This is followed by a comparison of the theoretical properties of the two approaches.  We then use the data set assembled by Cooper et al. for </w:t>
      </w:r>
      <w:r>
        <w:rPr>
          <w:spacing w:val="-3"/>
          <w:szCs w:val="28"/>
        </w:rPr>
        <w:t>the</w:t>
      </w:r>
      <w:r>
        <w:rPr>
          <w:spacing w:val="-3"/>
        </w:rPr>
        <w:t xml:space="preserve"> </w:t>
      </w:r>
      <w:r>
        <w:rPr>
          <w:bCs/>
          <w:spacing w:val="-4"/>
        </w:rPr>
        <w:t>Chinese automobile and textile industries</w:t>
      </w:r>
      <w:r>
        <w:t xml:space="preserve"> to compare and contrast the measurements of congestion generated by the two approaches.  We also consider some results from a new approach proposed by Tone and Sahoo [2</w:t>
      </w:r>
      <w:r w:rsidR="001B36C5">
        <w:t>9</w:t>
      </w:r>
      <w:r>
        <w:t>].  Finally, we present our conclusions.</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rPr>
          <w:b/>
        </w:rPr>
      </w:pPr>
      <w:r>
        <w:rPr>
          <w:b/>
        </w:rPr>
        <w:t>2. Färe and Grosskopf’s approach</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r>
        <w:rPr>
          <w:spacing w:val="-3"/>
          <w:szCs w:val="28"/>
        </w:rPr>
        <w:tab/>
        <w:t xml:space="preserve">This axiomatic approach to the measurement of congestion had its origins in a paper by </w:t>
      </w:r>
      <w:r>
        <w:t xml:space="preserve">Färe and Svensson in 1980 [22].  It </w:t>
      </w:r>
      <w:r>
        <w:rPr>
          <w:spacing w:val="-3"/>
          <w:szCs w:val="28"/>
        </w:rPr>
        <w:t>was given operational form in 1983 in an article by</w:t>
      </w:r>
      <w:r>
        <w:t xml:space="preserve"> Färe and </w:t>
      </w:r>
      <w:r>
        <w:lastRenderedPageBreak/>
        <w:t xml:space="preserve">Grosskopf [14] and then elaborated in </w:t>
      </w:r>
      <w:r>
        <w:rPr>
          <w:spacing w:val="-3"/>
          <w:szCs w:val="28"/>
        </w:rPr>
        <w:t xml:space="preserve">a monograph by </w:t>
      </w:r>
      <w:r>
        <w:t xml:space="preserve">Färe et al. in 1985 [18].  This </w:t>
      </w:r>
      <w:r>
        <w:rPr>
          <w:spacing w:val="-3"/>
          <w:szCs w:val="28"/>
        </w:rPr>
        <w:t xml:space="preserve">classic approach </w:t>
      </w:r>
      <w:r>
        <w:t>gave rise to numerous applications.  For ease of exposition, this procedure is referred to hereafter as</w:t>
      </w:r>
      <w:r>
        <w:rPr>
          <w:spacing w:val="-3"/>
          <w:szCs w:val="28"/>
        </w:rPr>
        <w:t xml:space="preserve"> </w:t>
      </w:r>
      <w:r>
        <w:t>Färe’s approach.  A big advantage of Färe’s approach is that it is possible to decompose his measure of overall technical efficiency (TE) in a straightforward way into pure technical efficiency (PTE), scale efficiency (SE) and congestion efficiency (CE), using the identity:</w:t>
      </w:r>
    </w:p>
    <w:p w:rsidR="00886AEB" w:rsidRDefault="00886AEB">
      <w:pPr>
        <w:widowControl w:val="0"/>
        <w:tabs>
          <w:tab w:val="left" w:pos="360"/>
          <w:tab w:val="left" w:pos="720"/>
          <w:tab w:val="right" w:pos="9000"/>
        </w:tabs>
        <w:spacing w:line="480" w:lineRule="auto"/>
      </w:pPr>
      <w:r>
        <w:tab/>
        <w:t>TE ≡ PTE × SE × CE,</w:t>
      </w:r>
      <w:r>
        <w:tab/>
        <w:t>(1)</w:t>
      </w:r>
    </w:p>
    <w:p w:rsidR="00886AEB" w:rsidRDefault="00886AEB">
      <w:pPr>
        <w:widowControl w:val="0"/>
        <w:tabs>
          <w:tab w:val="left" w:pos="360"/>
          <w:tab w:val="left" w:pos="720"/>
        </w:tabs>
        <w:spacing w:line="480" w:lineRule="auto"/>
      </w:pPr>
      <w:r>
        <w:t>where TE = 1 and TE &lt; 1 represent technical efficiency and inefficiency, respectively (cf. [18, p. 170]).</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jc w:val="center"/>
        <w:rPr>
          <w:b/>
        </w:rPr>
      </w:pPr>
      <w:r>
        <w:rPr>
          <w:b/>
        </w:rPr>
        <w:t>Figure 1 near here</w:t>
      </w:r>
    </w:p>
    <w:p w:rsidR="00886AEB" w:rsidRDefault="00886AEB">
      <w:pPr>
        <w:widowControl w:val="0"/>
        <w:tabs>
          <w:tab w:val="left" w:pos="360"/>
        </w:tabs>
        <w:spacing w:line="480" w:lineRule="auto"/>
      </w:pPr>
      <w:r>
        <w:tab/>
        <w:t>To illustrate the use of Färe’s approach, consider Figure 1.  This shows six decision-making units (DMUs), labelled A to F, each using a different combination of two inputs, x</w:t>
      </w:r>
      <w:r>
        <w:rPr>
          <w:vertAlign w:val="subscript"/>
        </w:rPr>
        <w:t>1</w:t>
      </w:r>
      <w:r>
        <w:t xml:space="preserve"> and x</w:t>
      </w:r>
      <w:r>
        <w:rPr>
          <w:vertAlign w:val="subscript"/>
        </w:rPr>
        <w:t>2</w:t>
      </w:r>
      <w:r>
        <w:t xml:space="preserve">, to produce an output of y = 1.  This example assumes </w:t>
      </w:r>
      <w:r>
        <w:rPr>
          <w:i/>
          <w:iCs/>
        </w:rPr>
        <w:t>constant</w:t>
      </w:r>
      <w:r>
        <w:rPr>
          <w:i/>
        </w:rPr>
        <w:t xml:space="preserve"> </w:t>
      </w:r>
      <w:r>
        <w:rPr>
          <w:i/>
          <w:iCs/>
        </w:rPr>
        <w:t>returns to scale</w:t>
      </w:r>
      <w:r>
        <w:t xml:space="preserve">, so that SE = 1, and makes use of an </w:t>
      </w:r>
      <w:r>
        <w:rPr>
          <w:i/>
          <w:iCs/>
        </w:rPr>
        <w:t>input</w:t>
      </w:r>
      <w:r>
        <w:t>-</w:t>
      </w:r>
      <w:r>
        <w:rPr>
          <w:i/>
          <w:iCs/>
        </w:rPr>
        <w:t xml:space="preserve">oriented </w:t>
      </w:r>
      <w:r>
        <w:rPr>
          <w:iCs/>
        </w:rPr>
        <w:t>approach</w:t>
      </w:r>
      <w:r>
        <w:rPr>
          <w:spacing w:val="-2"/>
        </w:rPr>
        <w:t xml:space="preserve">.  </w:t>
      </w:r>
      <w:r>
        <w:t xml:space="preserve">DMUs C and D are clearly technically efficient, whereas E is </w:t>
      </w:r>
      <w:r>
        <w:rPr>
          <w:spacing w:val="-2"/>
        </w:rPr>
        <w:t>inefficient.  In terms of identity (1) above, TE = PTE = 0.5 for E</w:t>
      </w:r>
      <w:r>
        <w:t xml:space="preserve">.  The status of the remaining DMUs is less straightforward to determine, as it depends on one’s assumptions regarding the underlying technology.  In particular, we need to distinguish between </w:t>
      </w:r>
      <w:r>
        <w:rPr>
          <w:i/>
        </w:rPr>
        <w:t>strong</w:t>
      </w:r>
      <w:r>
        <w:t xml:space="preserve"> and </w:t>
      </w:r>
      <w:r>
        <w:rPr>
          <w:i/>
        </w:rPr>
        <w:t>weak</w:t>
      </w:r>
      <w:r>
        <w:t xml:space="preserve"> disposability.</w:t>
      </w:r>
    </w:p>
    <w:p w:rsidR="00886AEB" w:rsidRDefault="00886AEB">
      <w:pPr>
        <w:widowControl w:val="0"/>
        <w:tabs>
          <w:tab w:val="left" w:pos="360"/>
        </w:tabs>
        <w:spacing w:line="480" w:lineRule="auto"/>
      </w:pPr>
      <w:r>
        <w:tab/>
        <w:t xml:space="preserve">Strong (or </w:t>
      </w:r>
      <w:r>
        <w:rPr>
          <w:i/>
        </w:rPr>
        <w:t>free</w:t>
      </w:r>
      <w:r>
        <w:t>) disposability occurs when the slack in a particular input can be disposed of at no opportunity cost.  In Figure 1, the boundary S</w:t>
      </w:r>
      <w:r>
        <w:rPr>
          <w:vertAlign w:val="subscript"/>
        </w:rPr>
        <w:t>1</w:t>
      </w:r>
      <w:r>
        <w:t>CDS</w:t>
      </w:r>
      <w:r>
        <w:rPr>
          <w:vertAlign w:val="subscript"/>
        </w:rPr>
        <w:t>2</w:t>
      </w:r>
      <w:r>
        <w:t xml:space="preserve"> defines the strongly disposable isoquant for y = 1, so that all quantities of x</w:t>
      </w:r>
      <w:r>
        <w:rPr>
          <w:vertAlign w:val="subscript"/>
        </w:rPr>
        <w:t>1</w:t>
      </w:r>
      <w:r>
        <w:t xml:space="preserve"> and x</w:t>
      </w:r>
      <w:r>
        <w:rPr>
          <w:vertAlign w:val="subscript"/>
        </w:rPr>
        <w:t>2</w:t>
      </w:r>
      <w:r>
        <w:t xml:space="preserve"> in excess of 2 are assumed to be freely disposable.  For instance, a rise in either x</w:t>
      </w:r>
      <w:r>
        <w:rPr>
          <w:vertAlign w:val="subscript"/>
        </w:rPr>
        <w:t>1</w:t>
      </w:r>
      <w:r>
        <w:t xml:space="preserve"> or x</w:t>
      </w:r>
      <w:r>
        <w:rPr>
          <w:vertAlign w:val="subscript"/>
        </w:rPr>
        <w:t>2</w:t>
      </w:r>
      <w:r>
        <w:t xml:space="preserve"> from, say, </w:t>
      </w:r>
      <w:smartTag w:uri="urn:schemas-microsoft-com:office:smarttags" w:element="time">
        <w:smartTagPr>
          <w:attr w:name="Hour" w:val="2"/>
          <w:attr w:name="Minute" w:val="58"/>
        </w:smartTagPr>
        <w:r>
          <w:t>2 to 3</w:t>
        </w:r>
      </w:smartTag>
      <w:r>
        <w:t xml:space="preserve"> would not reduce output.  Thus neither x</w:t>
      </w:r>
      <w:r>
        <w:rPr>
          <w:vertAlign w:val="subscript"/>
        </w:rPr>
        <w:t>1</w:t>
      </w:r>
      <w:r>
        <w:t xml:space="preserve"> nor x</w:t>
      </w:r>
      <w:r>
        <w:rPr>
          <w:vertAlign w:val="subscript"/>
        </w:rPr>
        <w:t>2</w:t>
      </w:r>
      <w:r>
        <w:t xml:space="preserve"> would exhibit congestion.  By contrast, under weak disposability, an equiproportionate increase in </w:t>
      </w:r>
      <w:r>
        <w:rPr>
          <w:i/>
        </w:rPr>
        <w:t>both</w:t>
      </w:r>
      <w:r>
        <w:t xml:space="preserve"> inputs is assumed not to reduce output.  The boundary W</w:t>
      </w:r>
      <w:r>
        <w:rPr>
          <w:vertAlign w:val="subscript"/>
        </w:rPr>
        <w:t>1</w:t>
      </w:r>
      <w:r>
        <w:t>ACDFW</w:t>
      </w:r>
      <w:r>
        <w:rPr>
          <w:vertAlign w:val="subscript"/>
        </w:rPr>
        <w:t>2</w:t>
      </w:r>
      <w:r>
        <w:t xml:space="preserve"> defines the weakly disposable isoquant for y = 1.</w:t>
      </w:r>
    </w:p>
    <w:p w:rsidR="00886AEB" w:rsidRDefault="00886AEB">
      <w:pPr>
        <w:widowControl w:val="0"/>
        <w:tabs>
          <w:tab w:val="left" w:pos="360"/>
        </w:tabs>
        <w:spacing w:line="480" w:lineRule="auto"/>
      </w:pPr>
      <w:r>
        <w:tab/>
        <w:t xml:space="preserve">Weak disposability allows for the occurrence of upward-sloping isoquant segments such </w:t>
      </w:r>
      <w:r>
        <w:lastRenderedPageBreak/>
        <w:t>as CA and DF in Figure 1.  Such segments require the marginal product of one of the inputs to be negative, thus enabling congestion to occur.</w:t>
      </w:r>
      <w:r>
        <w:rPr>
          <w:rStyle w:val="FootnoteReference"/>
        </w:rPr>
        <w:footnoteReference w:id="4"/>
      </w:r>
      <w:r>
        <w:t xml:space="preserve">  In the case of DF, it is reasonable to suppose that x</w:t>
      </w:r>
      <w:r>
        <w:rPr>
          <w:vertAlign w:val="subscript"/>
        </w:rPr>
        <w:t>1</w:t>
      </w:r>
      <w:r>
        <w:t xml:space="preserve"> is the input with a negative marginal product.  Hence output would remain constant at y = 1 along DF because a simultaneous rise in the quantities of both inputs would cause exactly offsetting changes in output (a rise due to x</w:t>
      </w:r>
      <w:r>
        <w:rPr>
          <w:vertAlign w:val="subscript"/>
        </w:rPr>
        <w:t>2</w:t>
      </w:r>
      <w:r>
        <w:t xml:space="preserve"> and a fall due to x</w:t>
      </w:r>
      <w:r>
        <w:rPr>
          <w:vertAlign w:val="subscript"/>
        </w:rPr>
        <w:t>1</w:t>
      </w:r>
      <w:r>
        <w:t>).  It should be noted that the axiom of weak disposability precludes the possibility of both inputs having negative marginal products.</w:t>
      </w:r>
      <w:r>
        <w:rPr>
          <w:rStyle w:val="FootnoteReference"/>
        </w:rPr>
        <w:footnoteReference w:id="5"/>
      </w:r>
    </w:p>
    <w:p w:rsidR="00886AEB" w:rsidRDefault="00886AEB">
      <w:pPr>
        <w:widowControl w:val="0"/>
        <w:tabs>
          <w:tab w:val="left" w:pos="360"/>
        </w:tabs>
        <w:spacing w:line="480" w:lineRule="auto"/>
      </w:pPr>
      <w:r>
        <w:tab/>
        <w:t xml:space="preserve">We can now proceed to classify the remaining DMUs in terms of identity (1) above.  With respect to A, Färe’s analysis might proceed as follows.  Because A is on the weakly disposable isoquant for y = 1, it would be free from </w:t>
      </w:r>
      <w:r>
        <w:rPr>
          <w:i/>
          <w:iCs/>
        </w:rPr>
        <w:t>pure</w:t>
      </w:r>
      <w:r>
        <w:t xml:space="preserve"> technical inefficiency (PTE = 1), yet this DMU would be held to be suffering from </w:t>
      </w:r>
      <w:r>
        <w:rPr>
          <w:iCs/>
        </w:rPr>
        <w:t>congestion</w:t>
      </w:r>
      <w:r>
        <w:t xml:space="preserve">.  Its CE score, as measured by the ratio OA´/OA, would equal </w:t>
      </w:r>
      <w:r>
        <w:rPr>
          <w:spacing w:val="-2"/>
        </w:rPr>
        <w:t>⅔</w:t>
      </w:r>
      <w:r>
        <w:t xml:space="preserve">.  Its TE score would also equal </w:t>
      </w:r>
      <w:r>
        <w:rPr>
          <w:spacing w:val="-2"/>
        </w:rPr>
        <w:t>⅔</w:t>
      </w:r>
      <w:r>
        <w:t xml:space="preserve">, the product of PTE = 1 and CE = </w:t>
      </w:r>
      <w:r>
        <w:rPr>
          <w:spacing w:val="-2"/>
        </w:rPr>
        <w:t>⅔</w:t>
      </w:r>
      <w:r>
        <w:t xml:space="preserve">.  Congestion would arise owing to the difference between the upward-sloping isoquant segment CA, which is assumed to exhibit </w:t>
      </w:r>
      <w:r>
        <w:rPr>
          <w:iCs/>
        </w:rPr>
        <w:t>weak</w:t>
      </w:r>
      <w:r>
        <w:t xml:space="preserve"> disposability, and the hypothetical vertical dashed line emanating from C, which is characterized by </w:t>
      </w:r>
      <w:r>
        <w:rPr>
          <w:iCs/>
        </w:rPr>
        <w:t>strong</w:t>
      </w:r>
      <w:r>
        <w:t xml:space="preserve"> disposability.  If A were able to move to point A´, and thereby get rid of its congestion, it could attain TE = 1.  Likewise, F would need to move to point F´ in order to eradicate its congestion.  Its TE score would also equal </w:t>
      </w:r>
      <w:r>
        <w:rPr>
          <w:spacing w:val="-2"/>
        </w:rPr>
        <w:t>⅔</w:t>
      </w:r>
      <w:r>
        <w:t xml:space="preserve">, the product of PTE = 1 and CE = </w:t>
      </w:r>
      <w:r>
        <w:rPr>
          <w:spacing w:val="-2"/>
        </w:rPr>
        <w:t>⅔</w:t>
      </w:r>
      <w:r>
        <w:t xml:space="preserve">.  In contrast, B would exhibit both pure technical inefficiency and congestion: PTE = OB´´/OB </w:t>
      </w:r>
      <w:r>
        <w:rPr>
          <w:spacing w:val="-2"/>
        </w:rPr>
        <w:t>≈</w:t>
      </w:r>
      <w:r>
        <w:t xml:space="preserve"> 0.56 and CE = OB´/OB´´ </w:t>
      </w:r>
      <w:r>
        <w:rPr>
          <w:spacing w:val="-2"/>
        </w:rPr>
        <w:t xml:space="preserve">≈ </w:t>
      </w:r>
      <w:r>
        <w:t xml:space="preserve">0.89, so that TE = 0.5 </w:t>
      </w:r>
      <w:r>
        <w:rPr>
          <w:spacing w:val="-2"/>
        </w:rPr>
        <w:t>≈</w:t>
      </w:r>
      <w:r>
        <w:t xml:space="preserve"> 0.56 × 0.89.</w:t>
      </w:r>
      <w:r>
        <w:rPr>
          <w:rStyle w:val="FootnoteReference"/>
        </w:rPr>
        <w:footnoteReference w:id="6"/>
      </w:r>
    </w:p>
    <w:p w:rsidR="00886AEB" w:rsidRDefault="00886AEB">
      <w:pPr>
        <w:widowControl w:val="0"/>
        <w:tabs>
          <w:tab w:val="left" w:pos="360"/>
        </w:tabs>
        <w:spacing w:line="480" w:lineRule="auto"/>
      </w:pPr>
      <w:r>
        <w:tab/>
        <w:t xml:space="preserve">It is worth noting that negative marginal productivity is necessary but not sufficient for congestion to occur under Färe’s approach.  To demonstrate this point, suppose that we removed F from the data set.  The weakly disposable isoquant for y = 1 would then pass </w:t>
      </w:r>
      <w:r>
        <w:lastRenderedPageBreak/>
        <w:t>through E, yet this DMU would not exhibit congestion.  Thus an upward-sloping isoquant (which requires the marginal product for one of the inputs to be negative) does not entail congestion under Färe’s approach.  In fact, for congestion to be identified, the relevant ray would need to cross the horizontal dashed line emanating from D.  This condition is satisfied in the case of F but it is not satisfied with respect to E.</w:t>
      </w:r>
    </w:p>
    <w:p w:rsidR="00886AEB" w:rsidRDefault="00886AEB">
      <w:pPr>
        <w:widowControl w:val="0"/>
        <w:tabs>
          <w:tab w:val="left" w:pos="360"/>
        </w:tabs>
        <w:spacing w:line="480" w:lineRule="auto"/>
      </w:pPr>
      <w:r>
        <w:tab/>
        <w:t>It is also worth mentioning that the presence of slack is necessary but not sufficient for congestion to occur under Färe’s approach.</w:t>
      </w:r>
      <w:r>
        <w:rPr>
          <w:rStyle w:val="FootnoteReference"/>
        </w:rPr>
        <w:footnoteReference w:id="7"/>
      </w:r>
      <w:r>
        <w:t xml:space="preserve">  This point is illustrated by the fact that the congested DMU F has slack of DF´, whereas an uncongested DMU, such as E, has no slack.  In addition, any DMU situated at a point such as g or h in Figure 1 would not be regarded as being congested, despite the presence of a substantial amount of slack in the relevant input.</w:t>
      </w:r>
    </w:p>
    <w:p w:rsidR="00886AEB" w:rsidRDefault="00886AEB">
      <w:pPr>
        <w:widowControl w:val="0"/>
        <w:tabs>
          <w:tab w:val="left" w:pos="360"/>
        </w:tabs>
        <w:spacing w:line="480" w:lineRule="auto"/>
      </w:pPr>
    </w:p>
    <w:p w:rsidR="00886AEB" w:rsidRDefault="00886AEB">
      <w:pPr>
        <w:widowControl w:val="0"/>
        <w:tabs>
          <w:tab w:val="left" w:pos="360"/>
        </w:tabs>
        <w:spacing w:line="480" w:lineRule="auto"/>
        <w:rPr>
          <w:b/>
        </w:rPr>
      </w:pPr>
      <w:r>
        <w:rPr>
          <w:b/>
        </w:rPr>
        <w:t>3. Cooper’s approach</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r>
        <w:rPr>
          <w:spacing w:val="-3"/>
          <w:szCs w:val="28"/>
        </w:rPr>
        <w:tab/>
        <w:t>This alternative approach to the measurement of congestion was first proposed</w:t>
      </w:r>
      <w:r>
        <w:t xml:space="preserve"> in 1996 </w:t>
      </w:r>
      <w:r>
        <w:rPr>
          <w:spacing w:val="-3"/>
          <w:szCs w:val="28"/>
        </w:rPr>
        <w:t>by Cooper et al.</w:t>
      </w:r>
      <w:r>
        <w:t xml:space="preserve"> [13].  It was subsequently refined by Brockett </w:t>
      </w:r>
      <w:r>
        <w:rPr>
          <w:spacing w:val="-3"/>
          <w:szCs w:val="28"/>
        </w:rPr>
        <w:t>et al.</w:t>
      </w:r>
      <w:r>
        <w:t xml:space="preserve"> [2] and by </w:t>
      </w:r>
      <w:r>
        <w:rPr>
          <w:spacing w:val="-3"/>
          <w:szCs w:val="28"/>
        </w:rPr>
        <w:t>Cooper et al.</w:t>
      </w:r>
      <w:r>
        <w:t xml:space="preserve"> [11].  For simplicity, this procedure is referred to hereafter as</w:t>
      </w:r>
      <w:r>
        <w:rPr>
          <w:spacing w:val="-3"/>
          <w:szCs w:val="28"/>
        </w:rPr>
        <w:t xml:space="preserve"> Cooper</w:t>
      </w:r>
      <w:r>
        <w:t>’s approach.  The analysis, as described here, proceeds in two stages.</w:t>
      </w:r>
      <w:r>
        <w:rPr>
          <w:rStyle w:val="FootnoteReference"/>
        </w:rPr>
        <w:footnoteReference w:id="8"/>
      </w:r>
      <w:r>
        <w:t xml:space="preserve">  In the first stage, the </w:t>
      </w:r>
      <w:r>
        <w:rPr>
          <w:i/>
        </w:rPr>
        <w:t>output-oriented</w:t>
      </w:r>
      <w:r>
        <w:t xml:space="preserve"> variant of the well-known </w:t>
      </w:r>
      <w:smartTag w:uri="urn:schemas-microsoft-com:office:smarttags" w:element="stockticker">
        <w:r>
          <w:t>BCC</w:t>
        </w:r>
      </w:smartTag>
      <w:r>
        <w:t xml:space="preserve"> model is employed to obtain an efficiency score, </w:t>
      </w:r>
      <w:r>
        <w:sym w:font="Symbol" w:char="F066"/>
      </w:r>
      <w:r>
        <w:t xml:space="preserve">*, for each DMU, along with the associated </w:t>
      </w:r>
      <w:smartTag w:uri="urn:schemas-microsoft-com:office:smarttags" w:element="stockticker">
        <w:r>
          <w:t>BCC</w:t>
        </w:r>
      </w:smartTag>
      <w:r>
        <w:t xml:space="preserve"> input slacks.</w:t>
      </w:r>
      <w:r>
        <w:rPr>
          <w:rStyle w:val="FootnoteReference"/>
          <w:spacing w:val="-2"/>
        </w:rPr>
        <w:footnoteReference w:id="9"/>
      </w:r>
      <w:r>
        <w:t xml:space="preserve">  In the second stage, the amount (if any) of slack in each input that is associated with technical inefficiency (as opposed to congestion) is identified.  This then makes it possible to measure the amount of congestion as a residual.  The relevant models are specified formally in [5], so the details need not detain us here.  Instead, we present a graphical illustration to highlight the salient points.</w:t>
      </w:r>
    </w:p>
    <w:p w:rsidR="00886AEB" w:rsidRDefault="00886AEB">
      <w:pPr>
        <w:widowControl w:val="0"/>
        <w:tabs>
          <w:tab w:val="left" w:pos="360"/>
        </w:tabs>
        <w:spacing w:line="480" w:lineRule="auto"/>
      </w:pPr>
      <w:r>
        <w:tab/>
        <w:t xml:space="preserve">Before considering this illustration, however, we need to define Cooper’s measure of </w:t>
      </w:r>
      <w:r>
        <w:lastRenderedPageBreak/>
        <w:t>congestion, which is denoted here by C</w:t>
      </w:r>
      <w:r>
        <w:rPr>
          <w:vertAlign w:val="subscript"/>
        </w:rPr>
        <w:t>C</w:t>
      </w:r>
      <w:r>
        <w:t>.  The first step is to specify a formula for calculating the amount of congestion:</w:t>
      </w:r>
    </w:p>
    <w:p w:rsidR="00886AEB" w:rsidRDefault="00886AEB">
      <w:pPr>
        <w:widowControl w:val="0"/>
        <w:tabs>
          <w:tab w:val="left" w:pos="360"/>
          <w:tab w:val="right" w:pos="9000"/>
        </w:tabs>
        <w:spacing w:line="480" w:lineRule="auto"/>
      </w:pPr>
      <w:r>
        <w:tab/>
        <w:t>c</w:t>
      </w:r>
      <w:r>
        <w:rPr>
          <w:vertAlign w:val="subscript"/>
        </w:rPr>
        <w:t>i</w:t>
      </w:r>
      <w:r>
        <w:t xml:space="preserve"> = s</w:t>
      </w:r>
      <w:r>
        <w:rPr>
          <w:vertAlign w:val="subscript"/>
        </w:rPr>
        <w:t>i</w:t>
      </w:r>
      <w:r>
        <w:rPr>
          <w:vertAlign w:val="superscript"/>
        </w:rPr>
        <w:t>*</w:t>
      </w:r>
      <w:r>
        <w:t xml:space="preserve"> </w:t>
      </w:r>
      <w:r>
        <w:sym w:font="Symbol" w:char="F02D"/>
      </w:r>
      <w:r>
        <w:t xml:space="preserve"> </w:t>
      </w:r>
      <w:r>
        <w:sym w:font="Symbol" w:char="F064"/>
      </w:r>
      <w:r>
        <w:rPr>
          <w:vertAlign w:val="subscript"/>
        </w:rPr>
        <w:t>i</w:t>
      </w:r>
      <w:r>
        <w:rPr>
          <w:vertAlign w:val="superscript"/>
        </w:rPr>
        <w:t>*</w:t>
      </w:r>
      <w:r>
        <w:t>,</w:t>
      </w:r>
      <w:r>
        <w:tab/>
        <w:t>(2)</w:t>
      </w:r>
    </w:p>
    <w:p w:rsidR="00886AEB" w:rsidRDefault="00886AEB">
      <w:pPr>
        <w:widowControl w:val="0"/>
        <w:tabs>
          <w:tab w:val="left" w:pos="360"/>
          <w:tab w:val="right" w:pos="9000"/>
        </w:tabs>
        <w:spacing w:line="480" w:lineRule="auto"/>
      </w:pPr>
      <w:r>
        <w:t>where c</w:t>
      </w:r>
      <w:r>
        <w:rPr>
          <w:vertAlign w:val="subscript"/>
        </w:rPr>
        <w:t>i</w:t>
      </w:r>
      <w:r>
        <w:t xml:space="preserve"> is the amount of congestion associated with input i; s</w:t>
      </w:r>
      <w:r>
        <w:rPr>
          <w:vertAlign w:val="subscript"/>
        </w:rPr>
        <w:t>i</w:t>
      </w:r>
      <w:r>
        <w:rPr>
          <w:vertAlign w:val="superscript"/>
        </w:rPr>
        <w:t>*</w:t>
      </w:r>
      <w:r>
        <w:t xml:space="preserve"> is the total amount of slack in input i; and </w:t>
      </w:r>
      <w:r>
        <w:sym w:font="Symbol" w:char="F064"/>
      </w:r>
      <w:r>
        <w:rPr>
          <w:vertAlign w:val="subscript"/>
        </w:rPr>
        <w:t>i</w:t>
      </w:r>
      <w:r>
        <w:rPr>
          <w:vertAlign w:val="superscript"/>
        </w:rPr>
        <w:t>*</w:t>
      </w:r>
      <w:r>
        <w:t xml:space="preserve"> is the amount of slack attributable to technical inefficiency.  The asterisks denote optimal values generated by the DEA software.  The measured amount of congestion is thus a residual derived from the DEA results.  We can then rewrite equation (2) as follows:</w:t>
      </w:r>
    </w:p>
    <w:p w:rsidR="00886AEB" w:rsidRDefault="00886AEB">
      <w:pPr>
        <w:widowControl w:val="0"/>
        <w:tabs>
          <w:tab w:val="left" w:pos="360"/>
          <w:tab w:val="right" w:pos="9000"/>
        </w:tabs>
        <w:spacing w:line="480" w:lineRule="auto"/>
      </w:pPr>
      <w:r>
        <w:tab/>
        <w:t>c</w:t>
      </w:r>
      <w:r>
        <w:rPr>
          <w:vertAlign w:val="subscript"/>
        </w:rPr>
        <w:t>i</w:t>
      </w:r>
      <w:r>
        <w:t>/x</w:t>
      </w:r>
      <w:r>
        <w:rPr>
          <w:vertAlign w:val="subscript"/>
        </w:rPr>
        <w:t>i</w:t>
      </w:r>
      <w:r>
        <w:t xml:space="preserve"> = s</w:t>
      </w:r>
      <w:r>
        <w:rPr>
          <w:vertAlign w:val="subscript"/>
        </w:rPr>
        <w:t>i</w:t>
      </w:r>
      <w:r>
        <w:rPr>
          <w:vertAlign w:val="superscript"/>
        </w:rPr>
        <w:t>*</w:t>
      </w:r>
      <w:r>
        <w:t>/x</w:t>
      </w:r>
      <w:r>
        <w:rPr>
          <w:vertAlign w:val="subscript"/>
        </w:rPr>
        <w:t>i</w:t>
      </w:r>
      <w:r>
        <w:t xml:space="preserve"> </w:t>
      </w:r>
      <w:r>
        <w:sym w:font="Symbol" w:char="F02D"/>
      </w:r>
      <w:r>
        <w:t xml:space="preserve"> </w:t>
      </w:r>
      <w:r>
        <w:sym w:font="Symbol" w:char="F064"/>
      </w:r>
      <w:r>
        <w:rPr>
          <w:vertAlign w:val="subscript"/>
        </w:rPr>
        <w:t>i</w:t>
      </w:r>
      <w:r>
        <w:rPr>
          <w:vertAlign w:val="superscript"/>
        </w:rPr>
        <w:t>*</w:t>
      </w:r>
      <w:r>
        <w:t>/x</w:t>
      </w:r>
      <w:r>
        <w:rPr>
          <w:vertAlign w:val="subscript"/>
        </w:rPr>
        <w:t>i</w:t>
      </w:r>
      <w:r>
        <w:t>,</w:t>
      </w:r>
      <w:r>
        <w:tab/>
        <w:t>(3)</w:t>
      </w:r>
    </w:p>
    <w:p w:rsidR="00886AEB" w:rsidRDefault="00886AEB">
      <w:pPr>
        <w:widowControl w:val="0"/>
        <w:spacing w:line="480" w:lineRule="auto"/>
      </w:pPr>
      <w:r>
        <w:t>where c</w:t>
      </w:r>
      <w:r>
        <w:rPr>
          <w:vertAlign w:val="subscript"/>
        </w:rPr>
        <w:t>i</w:t>
      </w:r>
      <w:r>
        <w:t>/x</w:t>
      </w:r>
      <w:r>
        <w:rPr>
          <w:vertAlign w:val="subscript"/>
        </w:rPr>
        <w:t>i</w:t>
      </w:r>
      <w:r>
        <w:t xml:space="preserve"> is the proportion of congestion in input i; s</w:t>
      </w:r>
      <w:r>
        <w:rPr>
          <w:vertAlign w:val="subscript"/>
        </w:rPr>
        <w:t>i</w:t>
      </w:r>
      <w:r>
        <w:rPr>
          <w:vertAlign w:val="superscript"/>
        </w:rPr>
        <w:t>*</w:t>
      </w:r>
      <w:r>
        <w:t>/x</w:t>
      </w:r>
      <w:r>
        <w:rPr>
          <w:vertAlign w:val="subscript"/>
        </w:rPr>
        <w:t>i</w:t>
      </w:r>
      <w:r>
        <w:t xml:space="preserve"> is the proportion of slack in input i; and </w:t>
      </w:r>
      <w:r>
        <w:sym w:font="Symbol" w:char="F064"/>
      </w:r>
      <w:r>
        <w:rPr>
          <w:vertAlign w:val="subscript"/>
        </w:rPr>
        <w:t>i</w:t>
      </w:r>
      <w:r>
        <w:rPr>
          <w:vertAlign w:val="superscript"/>
        </w:rPr>
        <w:t>*</w:t>
      </w:r>
      <w:r>
        <w:t>/x</w:t>
      </w:r>
      <w:r>
        <w:rPr>
          <w:vertAlign w:val="subscript"/>
        </w:rPr>
        <w:t>i</w:t>
      </w:r>
      <w:r>
        <w:t xml:space="preserve"> is the proportion of technical inefficiency in input i.  The final step is to take arithmetic means over all inputs to get:</w:t>
      </w:r>
    </w:p>
    <w:p w:rsidR="00886AEB" w:rsidRDefault="00886AEB">
      <w:pPr>
        <w:widowControl w:val="0"/>
        <w:tabs>
          <w:tab w:val="left" w:pos="360"/>
          <w:tab w:val="left" w:pos="720"/>
          <w:tab w:val="right" w:pos="9000"/>
        </w:tabs>
        <w:spacing w:line="480" w:lineRule="auto"/>
      </w:pPr>
      <w:r>
        <w:tab/>
        <w:t>C</w:t>
      </w:r>
      <w:r>
        <w:rPr>
          <w:vertAlign w:val="subscript"/>
        </w:rPr>
        <w:t>C</w:t>
      </w:r>
      <w:r>
        <w:t xml:space="preserve"> = </w:t>
      </w:r>
      <w:r>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7.25pt" fillcolor="window">
            <v:imagedata r:id="rId9" o:title=""/>
          </v:shape>
        </w:pict>
      </w:r>
      <w:r>
        <w:t xml:space="preserve"> </w:t>
      </w:r>
      <w:r>
        <w:sym w:font="Symbol" w:char="F02D"/>
      </w:r>
      <w:r>
        <w:t xml:space="preserve"> </w:t>
      </w:r>
      <w:r>
        <w:rPr>
          <w:position w:val="-6"/>
        </w:rPr>
        <w:object w:dxaOrig="380" w:dyaOrig="340">
          <v:shape id="_x0000_i1026" type="#_x0000_t75" style="width:18.75pt;height:17.25pt" o:ole="" fillcolor="window">
            <v:imagedata r:id="rId10" o:title=""/>
          </v:shape>
          <o:OLEObject Type="Embed" ProgID="Equation.3" ShapeID="_x0000_i1026" DrawAspect="Content" ObjectID="_1347194512" r:id="rId11"/>
        </w:object>
      </w:r>
      <w:r>
        <w:t>.</w:t>
      </w:r>
      <w:r>
        <w:tab/>
        <w:t>(4)</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rPr>
          <w:spacing w:val="-2"/>
        </w:rPr>
      </w:pPr>
      <w:r>
        <w:t>Hence C</w:t>
      </w:r>
      <w:r>
        <w:rPr>
          <w:vertAlign w:val="subscript"/>
        </w:rPr>
        <w:t>C</w:t>
      </w:r>
      <w:r>
        <w:t xml:space="preserve"> measures the average proportion of congestion in the inputs used by a particular DMU.  It has the property </w:t>
      </w:r>
      <w:r>
        <w:rPr>
          <w:spacing w:val="-2"/>
        </w:rPr>
        <w:t xml:space="preserve">0 </w:t>
      </w:r>
      <w:r>
        <w:rPr>
          <w:spacing w:val="-2"/>
        </w:rPr>
        <w:sym w:font="Symbol" w:char="F0A3"/>
      </w:r>
      <w:r>
        <w:rPr>
          <w:spacing w:val="-2"/>
        </w:rPr>
        <w:t xml:space="preserve"> </w:t>
      </w:r>
      <w:r>
        <w:t>C</w:t>
      </w:r>
      <w:r>
        <w:rPr>
          <w:vertAlign w:val="subscript"/>
        </w:rPr>
        <w:t>C</w:t>
      </w:r>
      <w:r>
        <w:rPr>
          <w:spacing w:val="-2"/>
        </w:rPr>
        <w:t xml:space="preserve"> </w:t>
      </w:r>
      <w:r>
        <w:rPr>
          <w:spacing w:val="-2"/>
        </w:rPr>
        <w:sym w:font="Symbol" w:char="F0A3"/>
      </w:r>
      <w:r>
        <w:rPr>
          <w:spacing w:val="-2"/>
        </w:rPr>
        <w:t xml:space="preserve"> 1.  Cf. [11, p. 11].</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jc w:val="center"/>
        <w:rPr>
          <w:b/>
        </w:rPr>
      </w:pPr>
      <w:r>
        <w:rPr>
          <w:b/>
        </w:rPr>
        <w:t>Figure 2 near here</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r>
        <w:rPr>
          <w:spacing w:val="-2"/>
        </w:rPr>
        <w:tab/>
        <w:t>Now consider Figure 2, which portrays the situation facing nine DMUs.</w:t>
      </w:r>
      <w:r>
        <w:t xml:space="preserve">  The </w:t>
      </w:r>
      <w:smartTag w:uri="urn:schemas-microsoft-com:office:smarttags" w:element="stockticker">
        <w:r>
          <w:t>BCC</w:t>
        </w:r>
      </w:smartTag>
      <w:r>
        <w:t xml:space="preserve"> model, in the context of a simplified production function y = f</w:t>
      </w:r>
      <w:r>
        <w:rPr>
          <w:vertAlign w:val="subscript"/>
        </w:rPr>
        <w:t xml:space="preserve"> </w:t>
      </w:r>
      <w:r>
        <w:t xml:space="preserve">(x), is depicted by the convex VRS (variable returns to scale) frontier ABCDEF and its horizontal extension from F.  The diagram also shows, for comparison, the linear </w:t>
      </w:r>
      <w:smartTag w:uri="urn:schemas-microsoft-com:office:smarttags" w:element="stockticker">
        <w:r>
          <w:t>CRS</w:t>
        </w:r>
      </w:smartTag>
      <w:r>
        <w:t xml:space="preserve"> (constant returns to scale) frontier obtained from the CCR model, which is produced if we drop the convexity constraint.</w:t>
      </w:r>
      <w:r>
        <w:rPr>
          <w:rStyle w:val="FootnoteReference"/>
        </w:rPr>
        <w:footnoteReference w:id="10"/>
      </w:r>
      <w:r>
        <w:t xml:space="preserve">  The issue of congestion arises from the inclusion of G in the diagram.</w:t>
      </w:r>
    </w:p>
    <w:p w:rsidR="00886AEB" w:rsidRDefault="00886AEB" w:rsidP="00971A6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r>
        <w:tab/>
        <w:t xml:space="preserve">Proceeding clockwise around the diagram, we note that DMUs A to E would have </w:t>
      </w:r>
      <w:r>
        <w:sym w:font="Symbol" w:char="F066"/>
      </w:r>
      <w:r>
        <w:t xml:space="preserve">* = 1 and s* = 0.  Hence these DMUs would be </w:t>
      </w:r>
      <w:smartTag w:uri="urn:schemas-microsoft-com:office:smarttags" w:element="stockticker">
        <w:r>
          <w:t>BCC</w:t>
        </w:r>
      </w:smartTag>
      <w:r>
        <w:t xml:space="preserve"> efficient and thus uncongested.  F would have </w:t>
      </w:r>
      <w:r>
        <w:sym w:font="Symbol" w:char="F066"/>
      </w:r>
      <w:r>
        <w:t xml:space="preserve">* = 1 but s* = 1.  It would be classified as being </w:t>
      </w:r>
      <w:smartTag w:uri="urn:schemas-microsoft-com:office:smarttags" w:element="stockticker">
        <w:r>
          <w:t>BCC</w:t>
        </w:r>
      </w:smartTag>
      <w:r>
        <w:t xml:space="preserve"> inefficient, yet uncongested.  This is </w:t>
      </w:r>
      <w:r>
        <w:lastRenderedPageBreak/>
        <w:t xml:space="preserve">because the elimination of its slack of one unit would not alter output.  In terms of formula (2) above, we would have c = 1 </w:t>
      </w:r>
      <w:r>
        <w:sym w:font="Symbol" w:char="F02D"/>
      </w:r>
      <w:r>
        <w:t xml:space="preserve"> 1 = 0.  By contrast, with </w:t>
      </w:r>
      <w:r>
        <w:sym w:font="Symbol" w:char="F066"/>
      </w:r>
      <w:r>
        <w:t xml:space="preserve">* = 1.25 and s* = 2, G would be classified as being congested.  This is because of the potential increase in output from y = 4 to y = 5.  However, only half of its total slack of s* = 2 would represent congestion; the remainder would be classified as technical inefficiency.  Using formula (2) above, we would have c = 2 </w:t>
      </w:r>
      <w:r>
        <w:sym w:font="Symbol" w:char="F02D"/>
      </w:r>
      <w:r>
        <w:t xml:space="preserve"> 1 = 1, i.e. one unit of congestion, while the proportional formula (3) above would yield c/x = 2/8 </w:t>
      </w:r>
      <w:r>
        <w:sym w:font="Symbol" w:char="F02D"/>
      </w:r>
      <w:r>
        <w:t xml:space="preserve"> 1/8 = 0.125.</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r>
        <w:tab/>
        <w:t xml:space="preserve">Because H and I are located beneath the frontier, there is clearly scope for a rise in output (in fact, </w:t>
      </w:r>
      <w:r>
        <w:sym w:font="Symbol" w:char="F066"/>
      </w:r>
      <w:r>
        <w:t>* = 1.25 in both cases), yet neither DMU would be deemed to be congested under Cooper’s approach.  This is because output cannot be augmented by the elimination of slack: I has s* = 0 and thus cannot be congested, whereas H has c = 1 – 1 = 0.</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r>
        <w:tab/>
        <w:t xml:space="preserve">The aim of the second stage of Cooper’s analysis is to ensure that congestion is not confused with technical inefficiency.  The crucial point here is that slack only represents congestion if there is a potential rise in output.  However, this second stage is redundant if all DMUs with scores of </w:t>
      </w:r>
      <w:r>
        <w:sym w:font="Symbol" w:char="F066"/>
      </w:r>
      <w:r>
        <w:t xml:space="preserve">* = 1 are located at extreme points on the </w:t>
      </w:r>
      <w:smartTag w:uri="urn:schemas-microsoft-com:office:smarttags" w:element="stockticker">
        <w:r>
          <w:t>BCC</w:t>
        </w:r>
      </w:smartTag>
      <w:r>
        <w:t xml:space="preserve"> frontier.  This means that the data set cannot contain either (i) weakly efficient DMUs or (ii) efficient DMUs that can be expressed as weighted averages of other efficient DMUs.  In Figure 2, these cases are exemplified by DMUs F and C.  In reality, these conditions are not too difficult to satisfy, which means that computing Cooper’s measure of congestion is much more straightforward.  This issue is taken up later in the paper.</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p>
    <w:p w:rsidR="00886AEB" w:rsidRDefault="00886AEB">
      <w:pPr>
        <w:spacing w:line="480" w:lineRule="auto"/>
        <w:jc w:val="left"/>
        <w:rPr>
          <w:b/>
          <w:bCs/>
        </w:rPr>
      </w:pPr>
      <w:r>
        <w:rPr>
          <w:b/>
        </w:rPr>
        <w:t>4. A comparison of approaches</w:t>
      </w:r>
    </w:p>
    <w:p w:rsidR="00886AEB" w:rsidRDefault="00886AE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jc w:val="center"/>
        <w:rPr>
          <w:b/>
          <w:spacing w:val="-3"/>
          <w:szCs w:val="28"/>
        </w:rPr>
      </w:pPr>
      <w:r>
        <w:rPr>
          <w:b/>
          <w:spacing w:val="-3"/>
          <w:szCs w:val="28"/>
        </w:rPr>
        <w:t>Figure 3 near here</w:t>
      </w:r>
    </w:p>
    <w:p w:rsidR="00886AEB" w:rsidRDefault="00886AEB">
      <w:pPr>
        <w:widowControl w:val="0"/>
        <w:tabs>
          <w:tab w:val="left" w:pos="360"/>
        </w:tabs>
        <w:spacing w:line="480" w:lineRule="auto"/>
        <w:ind w:firstLine="357"/>
        <w:rPr>
          <w:vertAlign w:val="superscript"/>
        </w:rPr>
      </w:pPr>
      <w:r>
        <w:t>To clarify the differences between the approaches of Cooper and Färe, let us now consider Figure 3.  This shows six hypothetical DMUs, each using two inputs, x</w:t>
      </w:r>
      <w:r>
        <w:rPr>
          <w:vertAlign w:val="subscript"/>
        </w:rPr>
        <w:t>1</w:t>
      </w:r>
      <w:r>
        <w:t xml:space="preserve"> and x</w:t>
      </w:r>
      <w:r>
        <w:rPr>
          <w:vertAlign w:val="subscript"/>
        </w:rPr>
        <w:t>2</w:t>
      </w:r>
      <w:r>
        <w:t xml:space="preserve">, to produce a single output, y.  </w:t>
      </w:r>
      <w:r>
        <w:rPr>
          <w:i/>
          <w:iCs/>
        </w:rPr>
        <w:t>VRS</w:t>
      </w:r>
      <w:r>
        <w:rPr>
          <w:iCs/>
        </w:rPr>
        <w:t xml:space="preserve"> </w:t>
      </w:r>
      <w:r>
        <w:rPr>
          <w:i/>
          <w:iCs/>
        </w:rPr>
        <w:t>is</w:t>
      </w:r>
      <w:r>
        <w:rPr>
          <w:i/>
        </w:rPr>
        <w:t xml:space="preserve"> assumed</w:t>
      </w:r>
      <w:r>
        <w:t xml:space="preserve">.  The figure takes the form of a pyramid with its </w:t>
      </w:r>
      <w:r>
        <w:lastRenderedPageBreak/>
        <w:t xml:space="preserve">pinnacle at M.  Whereas M produces y = 5, the other five DMUs produce y = 1.  M is clearly an efficient DMU but so too are A and B, regardless of whether we assume </w:t>
      </w:r>
      <w:smartTag w:uri="urn:schemas-microsoft-com:office:smarttags" w:element="stockticker">
        <w:r>
          <w:t>CRS</w:t>
        </w:r>
      </w:smartTag>
      <w:r>
        <w:t xml:space="preserve"> or VRS.</w:t>
      </w:r>
      <w:r>
        <w:rPr>
          <w:rStyle w:val="FootnoteReference"/>
        </w:rPr>
        <w:footnoteReference w:id="11"/>
      </w:r>
    </w:p>
    <w:p w:rsidR="00886AEB" w:rsidRDefault="00886AEB">
      <w:pPr>
        <w:tabs>
          <w:tab w:val="left" w:pos="360"/>
        </w:tabs>
        <w:spacing w:line="480" w:lineRule="auto"/>
      </w:pPr>
      <w:r>
        <w:tab/>
        <w:t>Under Cooper’s approach, DMUs C and D would be found to be congested.  Both are located on upward-sloping isoquant segments; this occurs because MP</w:t>
      </w:r>
      <w:r>
        <w:rPr>
          <w:vertAlign w:val="subscript"/>
        </w:rPr>
        <w:t>1</w:t>
      </w:r>
      <w:r>
        <w:t xml:space="preserve"> &gt; 0 and MP</w:t>
      </w:r>
      <w:r>
        <w:rPr>
          <w:vertAlign w:val="subscript"/>
        </w:rPr>
        <w:t>2</w:t>
      </w:r>
      <w:r>
        <w:t xml:space="preserve"> &lt; 0 along segment BC, whereas MP</w:t>
      </w:r>
      <w:r>
        <w:rPr>
          <w:vertAlign w:val="subscript"/>
        </w:rPr>
        <w:t>1</w:t>
      </w:r>
      <w:r>
        <w:t xml:space="preserve"> &lt; 0 and MP</w:t>
      </w:r>
      <w:r>
        <w:rPr>
          <w:vertAlign w:val="subscript"/>
        </w:rPr>
        <w:t>2</w:t>
      </w:r>
      <w:r>
        <w:t xml:space="preserve"> &gt; 0 along segment AD.  Both DMUs have C</w:t>
      </w:r>
      <w:r>
        <w:rPr>
          <w:vertAlign w:val="subscript"/>
        </w:rPr>
        <w:t>C</w:t>
      </w:r>
      <w:r>
        <w:t> = 0.2, calculated as ½{(0/6) + (4/10)} for C and ½{(4/10) + (0/6)} for D.  The evaluation is relative to M in both cases.</w:t>
      </w:r>
    </w:p>
    <w:p w:rsidR="00886AEB" w:rsidRDefault="00886AEB">
      <w:pPr>
        <w:tabs>
          <w:tab w:val="left" w:pos="360"/>
        </w:tabs>
        <w:spacing w:line="480" w:lineRule="auto"/>
      </w:pPr>
      <w:r>
        <w:tab/>
        <w:t>DMU E is situated on a downward-sloping isoquant segment; this rather unusual case arises because MP</w:t>
      </w:r>
      <w:r>
        <w:rPr>
          <w:vertAlign w:val="subscript"/>
        </w:rPr>
        <w:t>1</w:t>
      </w:r>
      <w:r>
        <w:t xml:space="preserve"> &lt; 0 </w:t>
      </w:r>
      <w:r>
        <w:rPr>
          <w:i/>
        </w:rPr>
        <w:t>and</w:t>
      </w:r>
      <w:r>
        <w:t xml:space="preserve"> MP</w:t>
      </w:r>
      <w:r>
        <w:rPr>
          <w:vertAlign w:val="subscript"/>
        </w:rPr>
        <w:t>2</w:t>
      </w:r>
      <w:r>
        <w:t xml:space="preserve"> &lt; 0.  Here C</w:t>
      </w:r>
      <w:r>
        <w:rPr>
          <w:vertAlign w:val="subscript"/>
        </w:rPr>
        <w:t>C</w:t>
      </w:r>
      <w:r>
        <w:t> = ½{(2/8) + (2/8)} = 0.25.  Once again, the evaluation is relative to M.  Congestion is deemed to be present because it is possible to augment output by reducing the quantities used of the two inputs.</w:t>
      </w:r>
    </w:p>
    <w:p w:rsidR="00886AEB" w:rsidRDefault="00886AEB">
      <w:pPr>
        <w:tabs>
          <w:tab w:val="left" w:pos="360"/>
        </w:tabs>
        <w:spacing w:line="480" w:lineRule="auto"/>
      </w:pPr>
      <w:r>
        <w:tab/>
        <w:t>By contrast, under Färe’s approach, none of these three DMUs would be found to be congested.  Instead, their relatively poor performance would be attributed to purely technical inefficiency, along with scale inefficiency.  This outcome can be explained by the fact that the projections onto the VRS efficiency frontier occur along segment BA, at points C´, E´ and D´.  In the identity TE ≡ PTE × SE × CE, PTE = 0.4375 and CE = 1 for all three DMUs.</w:t>
      </w:r>
      <w:r>
        <w:rPr>
          <w:rStyle w:val="FootnoteReference"/>
        </w:rPr>
        <w:footnoteReference w:id="12"/>
      </w:r>
    </w:p>
    <w:p w:rsidR="00886AEB" w:rsidRDefault="00886AEB">
      <w:pPr>
        <w:widowControl w:val="0"/>
        <w:tabs>
          <w:tab w:val="left" w:pos="360"/>
        </w:tabs>
        <w:spacing w:line="480" w:lineRule="auto"/>
      </w:pPr>
      <w:r>
        <w:tab/>
        <w:t xml:space="preserve">DMU E is, as noted above, a rather unusual case.  Indeed, Färe and Grosskopf [16, p. 32] point out that a downward-sloping segment on the unit isoquant </w:t>
      </w:r>
      <w:r>
        <w:sym w:font="Symbol" w:char="F02D"/>
      </w:r>
      <w:r>
        <w:t xml:space="preserve"> such as CD </w:t>
      </w:r>
      <w:r>
        <w:sym w:font="Symbol" w:char="F02D"/>
      </w:r>
      <w:r>
        <w:t xml:space="preserve"> would contravene their axiom of </w:t>
      </w:r>
      <w:r>
        <w:rPr>
          <w:i/>
        </w:rPr>
        <w:t>weak disposability</w:t>
      </w:r>
      <w:r>
        <w:t xml:space="preserve">.  In their methodological framework, isoquants may not join up in this ‘circular’ fashion.  Weak disposability means that an equiproportionate rise in both inputs cannot reduce output.  This precludes the possibility that both inputs might have negative marginal products, which is a necessary condition for a </w:t>
      </w:r>
      <w:r>
        <w:lastRenderedPageBreak/>
        <w:t>downward-sloping segment such as CD to exist.</w:t>
      </w:r>
    </w:p>
    <w:p w:rsidR="00886AEB" w:rsidRDefault="00886AEB">
      <w:pPr>
        <w:tabs>
          <w:tab w:val="left" w:pos="360"/>
        </w:tabs>
        <w:spacing w:line="480" w:lineRule="auto"/>
      </w:pPr>
      <w:r>
        <w:tab/>
        <w:t xml:space="preserve">Now suppose that we do </w:t>
      </w:r>
      <w:r>
        <w:rPr>
          <w:i/>
        </w:rPr>
        <w:t>not</w:t>
      </w:r>
      <w:r>
        <w:t xml:space="preserve"> impose weak disposability.  Is it then possible to offer a rationale for the existence of congestion for a DMU such as E?  Cooper et al. [8, 9] do not examine this issue, although they criticize Färe’s approach on the basis of its alleged adherence to the law of variable proportions.  This ‘law’ can, in fact, be used to provide a rationale for congestion.  First note that the region CDM is defined in terms of the equation y = 17 </w:t>
      </w:r>
      <w:r>
        <w:sym w:font="Symbol" w:char="F02D"/>
      </w:r>
      <w:r>
        <w:t xml:space="preserve"> x</w:t>
      </w:r>
      <w:r>
        <w:rPr>
          <w:vertAlign w:val="subscript"/>
        </w:rPr>
        <w:t>1</w:t>
      </w:r>
      <w:r>
        <w:t xml:space="preserve"> </w:t>
      </w:r>
      <w:r>
        <w:sym w:font="Symbol" w:char="F02D"/>
      </w:r>
      <w:r>
        <w:t xml:space="preserve"> x</w:t>
      </w:r>
      <w:r>
        <w:rPr>
          <w:vertAlign w:val="subscript"/>
        </w:rPr>
        <w:t>2</w:t>
      </w:r>
      <w:r>
        <w:t xml:space="preserve">, which entails that </w:t>
      </w:r>
      <w:r>
        <w:rPr>
          <w:i/>
          <w:iCs/>
        </w:rPr>
        <w:t>both</w:t>
      </w:r>
      <w:r>
        <w:t xml:space="preserve"> marginal products must be negative.  For this to make economic sense in terms of the law of variable proportions, there would need to be some latent factor that was being held constant.  Alternatively, one might argue that diseconomies of scale had become so severe that equiproportionate increases in both inputs were causing output to fall.  Cherchye et al. [4, p. 77] note that this second possibility would violate Färe’s axiom of weak disposability.</w:t>
      </w:r>
    </w:p>
    <w:p w:rsidR="00886AEB" w:rsidRDefault="00886AEB">
      <w:pPr>
        <w:tabs>
          <w:tab w:val="left" w:pos="360"/>
        </w:tabs>
        <w:spacing w:line="480" w:lineRule="auto"/>
      </w:pPr>
      <w:r>
        <w:tab/>
        <w:t xml:space="preserve">It is worth exploring the circumstances in which a DMU </w:t>
      </w:r>
      <w:r>
        <w:rPr>
          <w:i/>
        </w:rPr>
        <w:t>would</w:t>
      </w:r>
      <w:r>
        <w:t xml:space="preserve"> exhibit congestion under Färe’s approach.  For instance, for C to be congested, it would need to be repositioned at a point such as C*, so that the ray OC* intersected the vertical line emanating from point B.  Likewise, D would need to be repositioned at a point such as D*, so that the ray OD* intersected the horizontal line emanating from point A.</w:t>
      </w:r>
      <w:r>
        <w:rPr>
          <w:rStyle w:val="FootnoteReference"/>
        </w:rPr>
        <w:footnoteReference w:id="13"/>
      </w:r>
      <w:r>
        <w:t xml:space="preserve">  This exercise demonstrates that an upward-sloping isoquant (negative marginal product for </w:t>
      </w:r>
      <w:r>
        <w:rPr>
          <w:i/>
        </w:rPr>
        <w:t>one</w:t>
      </w:r>
      <w:r>
        <w:t xml:space="preserve"> of the inputs) is necessary but not sufficient for congestion to occur under Färe’s approach.  In fact, for congestion to be identified, the isoquant would need to be relatively steep or flat over the relevant range.</w:t>
      </w:r>
    </w:p>
    <w:p w:rsidR="00886AEB" w:rsidRDefault="00886AEB">
      <w:pPr>
        <w:tabs>
          <w:tab w:val="left" w:pos="360"/>
        </w:tabs>
        <w:spacing w:line="480" w:lineRule="auto"/>
        <w:rPr>
          <w:b/>
        </w:rPr>
      </w:pPr>
      <w:r>
        <w:tab/>
        <w:t xml:space="preserve">What would this mean in economic terms?  Since the gradient of an isoquant equals </w:t>
      </w:r>
      <w:r>
        <w:sym w:font="Symbol" w:char="F02D"/>
      </w:r>
      <w:r>
        <w:t>MP</w:t>
      </w:r>
      <w:r>
        <w:rPr>
          <w:vertAlign w:val="subscript"/>
        </w:rPr>
        <w:t>1</w:t>
      </w:r>
      <w:r>
        <w:t>/MP</w:t>
      </w:r>
      <w:r>
        <w:rPr>
          <w:vertAlign w:val="subscript"/>
        </w:rPr>
        <w:t>2</w:t>
      </w:r>
      <w:r>
        <w:t>, any relatively flat isoquant segment (such as one joining points A and D* in Figure 3) would require a relatively small (negative) value for MP</w:t>
      </w:r>
      <w:r>
        <w:rPr>
          <w:vertAlign w:val="subscript"/>
        </w:rPr>
        <w:t>1</w:t>
      </w:r>
      <w:r>
        <w:t xml:space="preserve"> but a relatively large (positive) value for MP</w:t>
      </w:r>
      <w:r>
        <w:rPr>
          <w:vertAlign w:val="subscript"/>
        </w:rPr>
        <w:t>2</w:t>
      </w:r>
      <w:r>
        <w:t xml:space="preserve">.  Similarly, any relatively steep isoquant segment (such as one joining points B and C* in Figure 3) would require a relatively small (negative) value for </w:t>
      </w:r>
      <w:r>
        <w:lastRenderedPageBreak/>
        <w:t>MP</w:t>
      </w:r>
      <w:r>
        <w:rPr>
          <w:vertAlign w:val="subscript"/>
        </w:rPr>
        <w:t>2</w:t>
      </w:r>
      <w:r>
        <w:t xml:space="preserve"> but a relatively large (positive) value for MP</w:t>
      </w:r>
      <w:r>
        <w:rPr>
          <w:vertAlign w:val="subscript"/>
        </w:rPr>
        <w:t>1</w:t>
      </w:r>
      <w:r>
        <w:t>.  This analysis suggests that Färe’s approach would tend to identify congestion where the input in question had a marginal product that was only marginally negative (relative to the marginal product of the other input) but fail to identify congestion where the marginal product was highly negative.</w:t>
      </w:r>
    </w:p>
    <w:p w:rsidR="00886AEB" w:rsidRDefault="00886AEB">
      <w:pPr>
        <w:tabs>
          <w:tab w:val="left" w:pos="360"/>
        </w:tabs>
        <w:spacing w:line="480" w:lineRule="auto"/>
      </w:pPr>
    </w:p>
    <w:p w:rsidR="00886AEB" w:rsidRDefault="00886AEB">
      <w:pPr>
        <w:tabs>
          <w:tab w:val="left" w:pos="360"/>
        </w:tabs>
        <w:spacing w:line="480" w:lineRule="auto"/>
        <w:rPr>
          <w:b/>
        </w:rPr>
      </w:pPr>
      <w:r>
        <w:rPr>
          <w:b/>
        </w:rPr>
        <w:t>5. Merits and demerits of the two approaches</w:t>
      </w:r>
    </w:p>
    <w:p w:rsidR="00886AEB" w:rsidRDefault="00886AEB">
      <w:pPr>
        <w:tabs>
          <w:tab w:val="left" w:pos="360"/>
        </w:tabs>
        <w:spacing w:line="480" w:lineRule="auto"/>
      </w:pPr>
      <w:r>
        <w:tab/>
        <w:t>From the discussion in the previous section, it is clear that one should not expect the competing approaches of Cooper and Färe to yield the same outcomes in terms of congestion.  It may be useful, therefore, to attempt to summarize the pros and cons of each approach.</w:t>
      </w:r>
    </w:p>
    <w:p w:rsidR="00886AEB" w:rsidRDefault="00886AEB">
      <w:pPr>
        <w:spacing w:line="480" w:lineRule="auto"/>
        <w:ind w:firstLine="360"/>
      </w:pPr>
      <w:r>
        <w:t xml:space="preserve">For us, the most appealing aspect of Färe’s approach is that it is possible to decompose overall technical efficiency in a straightforward way into pure technical efficiency, scale efficiency and congestion efficiency, using the identity (1).  Moreover, these measures can readily be incorporated into a </w:t>
      </w:r>
      <w:r>
        <w:rPr>
          <w:i/>
          <w:iCs/>
        </w:rPr>
        <w:t>Malmquist analysis</w:t>
      </w:r>
      <w:r>
        <w:t xml:space="preserve"> to examine trends in efficiency over time (see Färe </w:t>
      </w:r>
      <w:r>
        <w:rPr>
          <w:iCs/>
        </w:rPr>
        <w:t>et al. [19, 21</w:t>
      </w:r>
      <w:r>
        <w:t xml:space="preserve">]; </w:t>
      </w:r>
      <w:r>
        <w:rPr>
          <w:spacing w:val="-3"/>
        </w:rPr>
        <w:t xml:space="preserve">Flegg </w:t>
      </w:r>
      <w:r>
        <w:rPr>
          <w:iCs/>
          <w:spacing w:val="-3"/>
        </w:rPr>
        <w:t>et al. [2</w:t>
      </w:r>
      <w:r w:rsidR="001B36C5">
        <w:rPr>
          <w:iCs/>
          <w:spacing w:val="-3"/>
        </w:rPr>
        <w:t>7</w:t>
      </w:r>
      <w:r>
        <w:rPr>
          <w:iCs/>
          <w:spacing w:val="-3"/>
        </w:rPr>
        <w:t>]</w:t>
      </w:r>
      <w:r>
        <w:rPr>
          <w:spacing w:val="-3"/>
        </w:rPr>
        <w:t>)</w:t>
      </w:r>
      <w:r>
        <w:t xml:space="preserve">.  </w:t>
      </w:r>
      <w:r>
        <w:rPr>
          <w:spacing w:val="-2"/>
        </w:rPr>
        <w:t xml:space="preserve">In terms of software, one can use </w:t>
      </w:r>
      <w:r>
        <w:rPr>
          <w:i/>
          <w:iCs/>
          <w:spacing w:val="-2"/>
        </w:rPr>
        <w:t>OnFront</w:t>
      </w:r>
      <w:r>
        <w:rPr>
          <w:spacing w:val="-2"/>
        </w:rPr>
        <w:t xml:space="preserve"> (</w:t>
      </w:r>
      <w:hyperlink r:id="rId12" w:history="1">
        <w:r>
          <w:rPr>
            <w:rStyle w:val="Hyperlink"/>
            <w:spacing w:val="-2"/>
          </w:rPr>
          <w:t>www.emq.com</w:t>
        </w:r>
      </w:hyperlink>
      <w:r>
        <w:rPr>
          <w:spacing w:val="-2"/>
        </w:rPr>
        <w:t xml:space="preserve">) to carry out the necessary calculations.  This software also makes it possible to select </w:t>
      </w:r>
      <w:r>
        <w:rPr>
          <w:spacing w:val="-2"/>
        </w:rPr>
        <w:sym w:font="Symbol" w:char="F02D"/>
      </w:r>
      <w:r>
        <w:rPr>
          <w:spacing w:val="-2"/>
        </w:rPr>
        <w:t xml:space="preserve"> on </w:t>
      </w:r>
      <w:r>
        <w:rPr>
          <w:i/>
          <w:spacing w:val="-2"/>
        </w:rPr>
        <w:t>a priori</w:t>
      </w:r>
      <w:r>
        <w:rPr>
          <w:spacing w:val="-2"/>
        </w:rPr>
        <w:t xml:space="preserve"> grounds </w:t>
      </w:r>
      <w:r>
        <w:rPr>
          <w:spacing w:val="-2"/>
        </w:rPr>
        <w:sym w:font="Symbol" w:char="F02D"/>
      </w:r>
      <w:r>
        <w:rPr>
          <w:spacing w:val="-2"/>
        </w:rPr>
        <w:t xml:space="preserve"> which inputs are to be examined for possible congestion.  Another helpful feature of this software is that one can opt for either </w:t>
      </w:r>
      <w:smartTag w:uri="urn:schemas-microsoft-com:office:smarttags" w:element="stockticker">
        <w:r>
          <w:rPr>
            <w:spacing w:val="-2"/>
          </w:rPr>
          <w:t>CRS</w:t>
        </w:r>
      </w:smartTag>
      <w:r>
        <w:rPr>
          <w:spacing w:val="-2"/>
        </w:rPr>
        <w:t xml:space="preserve"> or VRS technology when measuring congestion.  </w:t>
      </w:r>
      <w:r>
        <w:t>On the other hand, one might argue that Färe’s approach does have some limitations.  In particular, the axiom of weak disposability means that only certain instances of negative marginal productivity can be classified as constituting congestion.</w:t>
      </w:r>
    </w:p>
    <w:p w:rsidR="00886AEB" w:rsidRDefault="00886AEB">
      <w:pPr>
        <w:tabs>
          <w:tab w:val="left" w:pos="360"/>
        </w:tabs>
        <w:spacing w:line="480" w:lineRule="auto"/>
      </w:pPr>
      <w:r>
        <w:tab/>
        <w:t>However, in defending Färe’s approach, Cherchye et al. [4,</w:t>
      </w:r>
      <w:r>
        <w:rPr>
          <w:spacing w:val="-2"/>
        </w:rPr>
        <w:t xml:space="preserve"> pp. 77</w:t>
      </w:r>
      <w:r>
        <w:rPr>
          <w:spacing w:val="-2"/>
        </w:rPr>
        <w:sym w:font="Symbol" w:char="F02D"/>
      </w:r>
      <w:r>
        <w:rPr>
          <w:spacing w:val="-2"/>
        </w:rPr>
        <w:t>78]</w:t>
      </w:r>
      <w:r>
        <w:t xml:space="preserve"> point out that the original purpose of this procedure was not to measure the amount of congestion </w:t>
      </w:r>
      <w:r>
        <w:rPr>
          <w:i/>
          <w:iCs/>
        </w:rPr>
        <w:t>per se</w:t>
      </w:r>
      <w:r>
        <w:t xml:space="preserve"> but instead to measure the impact, if any, of congestion on the overall efficiency of a particular DMU.  This is a valid and important point, which can explain why Färe and his associates would insist that DMU E in Figure 3 does not exhibit congestion.  Even so, many researchers </w:t>
      </w:r>
      <w:r>
        <w:lastRenderedPageBreak/>
        <w:sym w:font="Symbol" w:char="F02D"/>
      </w:r>
      <w:r>
        <w:t xml:space="preserve"> including the present authors </w:t>
      </w:r>
      <w:r>
        <w:sym w:font="Symbol" w:char="F02D"/>
      </w:r>
      <w:r>
        <w:t xml:space="preserve"> have used Färe’s methodology to measure the amount of congestion, so it is important that it should perform this additional task correctly too.</w:t>
      </w:r>
    </w:p>
    <w:p w:rsidR="00886AEB" w:rsidRDefault="00886AEB">
      <w:pPr>
        <w:tabs>
          <w:tab w:val="left" w:pos="360"/>
        </w:tabs>
        <w:spacing w:line="480" w:lineRule="auto"/>
      </w:pPr>
      <w:r>
        <w:tab/>
        <w:t xml:space="preserve">From our perspective, the most attractive feature of Cooper’s approach is that his measure of congestion encompasses all cases of negative marginal productivity.  Congestion would be deemed to be present whenever one observed an inverse relationship between outputs and inputs.  </w:t>
      </w:r>
      <w:r>
        <w:rPr>
          <w:spacing w:val="-2"/>
        </w:rPr>
        <w:t xml:space="preserve">However, a demerit of </w:t>
      </w:r>
      <w:r>
        <w:t>Cooper’s non-radial methodology is that a straightforward decomposition of overall technical efficiency cannot be carried out.  In addition, it is not entirely clear what aspects of the data Cooper’s formula is trying to capture: is it negative marginal productivity or severe scale diseconomies or both?</w:t>
      </w:r>
    </w:p>
    <w:p w:rsidR="00886AEB" w:rsidRDefault="00886AEB">
      <w:pPr>
        <w:tabs>
          <w:tab w:val="left" w:pos="360"/>
        </w:tabs>
        <w:spacing w:line="480" w:lineRule="auto"/>
      </w:pPr>
      <w:r>
        <w:tab/>
        <w:t>Another point worth mentioning is that Cooper’s measure of congestion, C</w:t>
      </w:r>
      <w:r>
        <w:rPr>
          <w:vertAlign w:val="subscript"/>
        </w:rPr>
        <w:t>C</w:t>
      </w:r>
      <w:r>
        <w:t>, cannot be computed in a straightforward way by using standard software packages.  To compute C</w:t>
      </w:r>
      <w:r>
        <w:rPr>
          <w:vertAlign w:val="subscript"/>
        </w:rPr>
        <w:t>C</w:t>
      </w:r>
      <w:r>
        <w:t xml:space="preserve">, one needs to run a </w:t>
      </w:r>
      <w:smartTag w:uri="urn:schemas-microsoft-com:office:smarttags" w:element="stockticker">
        <w:r>
          <w:t>BCC</w:t>
        </w:r>
      </w:smartTag>
      <w:r>
        <w:t xml:space="preserve"> output-oriented model to obtain the input slacks that underlie this measure, and then carry out some further calculations to work out </w:t>
      </w:r>
      <w:r>
        <w:rPr>
          <w:position w:val="-6"/>
        </w:rPr>
        <w:object w:dxaOrig="360" w:dyaOrig="340">
          <v:shape id="_x0000_i1027" type="#_x0000_t75" style="width:18pt;height:17.25pt" o:ole="" fillcolor="window">
            <v:imagedata r:id="rId13" o:title=""/>
          </v:shape>
          <o:OLEObject Type="Embed" ProgID="Equation.3" ShapeID="_x0000_i1027" DrawAspect="Content" ObjectID="_1347194513" r:id="rId14"/>
        </w:object>
      </w:r>
      <w:r>
        <w:t xml:space="preserve"> in equation (4) for each DMU.  There is the further problem that </w:t>
      </w:r>
      <w:r w:rsidR="00A84AB8">
        <w:t>such calculations</w:t>
      </w:r>
      <w:r>
        <w:t xml:space="preserve"> do</w:t>
      </w:r>
      <w:r w:rsidR="00A84AB8">
        <w:t xml:space="preserve"> </w:t>
      </w:r>
      <w:r>
        <w:t>n</w:t>
      </w:r>
      <w:r w:rsidR="00A84AB8">
        <w:t>o</w:t>
      </w:r>
      <w:r>
        <w:t>t take into account the second stage of the procedure, although this may not be a serious consideration in most cases.  This issue is taken up later in the paper.</w:t>
      </w:r>
    </w:p>
    <w:p w:rsidR="00886AEB" w:rsidRDefault="00886AEB">
      <w:pPr>
        <w:tabs>
          <w:tab w:val="left" w:pos="360"/>
        </w:tabs>
        <w:spacing w:line="480" w:lineRule="auto"/>
      </w:pPr>
      <w:r>
        <w:tab/>
        <w:t>It may be noted, finally, that the choice of orientation might be a relevant issue when choosing a measure of congestion: with Färe’s approach, one is obliged to employ an input orientation, whereas Cooper’s approach is based on an output orientation.</w:t>
      </w:r>
    </w:p>
    <w:p w:rsidR="00886AEB" w:rsidRDefault="00886AEB">
      <w:pPr>
        <w:tabs>
          <w:tab w:val="left" w:pos="360"/>
        </w:tabs>
        <w:spacing w:line="480" w:lineRule="auto"/>
      </w:pP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r>
        <w:rPr>
          <w:b/>
        </w:rPr>
        <w:t>6. The data set</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r>
        <w:tab/>
        <w:t>Before presenting the DEA results, it is worth examining the salient features of the data set assembled by Cooper et al. [5] for</w:t>
      </w:r>
      <w:r>
        <w:rPr>
          <w:spacing w:val="-3"/>
          <w:szCs w:val="28"/>
        </w:rPr>
        <w:t xml:space="preserve"> the</w:t>
      </w:r>
      <w:r>
        <w:rPr>
          <w:spacing w:val="-3"/>
        </w:rPr>
        <w:t xml:space="preserve"> </w:t>
      </w:r>
      <w:r>
        <w:rPr>
          <w:bCs/>
          <w:spacing w:val="-4"/>
        </w:rPr>
        <w:t>Chinese automobile and textile industries in the period 1981</w:t>
      </w:r>
      <w:r>
        <w:rPr>
          <w:bCs/>
          <w:spacing w:val="-4"/>
        </w:rPr>
        <w:sym w:font="Symbol" w:char="F02D"/>
      </w:r>
      <w:r>
        <w:rPr>
          <w:bCs/>
          <w:spacing w:val="-4"/>
        </w:rPr>
        <w:t>1997</w:t>
      </w:r>
      <w:r>
        <w:t>.  The variables, which are graphed in Figures 4 and 5, are defined as follows:</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r>
        <w:t>Y is output measured in units of 1 million renminbi, in 1991 prices;</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r>
        <w:t>K is capital measured in units of 1 million renminbi, in 1991 prices;</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r>
        <w:lastRenderedPageBreak/>
        <w:t>L is labour measured in units of 1000 persons.</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jc w:val="center"/>
        <w:rPr>
          <w:b/>
        </w:rPr>
      </w:pPr>
      <w:r>
        <w:rPr>
          <w:b/>
        </w:rPr>
        <w:t>Figures 4 &amp; 5 near here</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r>
        <w:tab/>
        <w:t>What is most striking about Figures 4 and 5 is the extent to which output has grown in both industries, especially since 1990.  As noted in [5], that year marked the end of the Chinese government’s policy of focusing on maintaining employment in Chinese industries, and the introduction of a new market-oriented policy aimed at enhancing efficiency.  Figures 4 and 5 also reveal marked differences in the behaviour of the inputs.  For instance, whereas employment in automobiles rose fairly steadily throughout the period, employment in textiles first rose and then fell from 1991 onwards.  The behaviour of capital is also very different in the two industries: hardly changing in textiles, yet growing strongly in automobiles.  Indeed, it is noticeable how closely the variables Y and K track each other in automobiles.</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r>
        <w:rPr>
          <w:b/>
        </w:rPr>
        <w:t xml:space="preserve">7. Results from Cooper’s approach       </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r>
        <w:tab/>
        <w:t>In this section, we build upon the work reported in [5], by providing some additional results and analysis.  In particular, we examine the overall technical efficiency, as well as scale efficiency, of each industry and, to facilitate comparisons, we express congestion in relative terms.  Our findings are displayed in Tables 1 and 2.  The textile industry will be considered first.</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jc w:val="center"/>
        <w:rPr>
          <w:b/>
        </w:rPr>
      </w:pPr>
      <w:r>
        <w:rPr>
          <w:b/>
        </w:rPr>
        <w:t>Tables 1 &amp; 2 near here</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r>
        <w:tab/>
        <w:t xml:space="preserve">The CCR efficiency scores in Table 1, which measure overall technical efficiency (TE), show that the Chinese textile industry was highly technically inefficient in the 1980s.  For instance, in 1981, it was producing only 27.6% of its potential output.  However, the TE scores improved dramatically in the 1990s, with TE = 1 being achieved by 1996.   Table 1 also reveals that scale inefficiency was either wholly or partly responsible for the very low TE scores in the period up to 1985.  Thereafter, scale efficiency (SE) improved considerably and this was an important factor behind the impressive rise in overall technical efficiency that </w:t>
      </w:r>
      <w:r>
        <w:lastRenderedPageBreak/>
        <w:t>took place in the textile industry during the period as a whole.</w:t>
      </w:r>
      <w:r>
        <w:rPr>
          <w:rStyle w:val="FootnoteReference"/>
        </w:rPr>
        <w:footnoteReference w:id="14"/>
      </w:r>
      <w:r>
        <w:t xml:space="preserve">  In fact, this industry exhibited increasing returns to scale up to 1987, which suggests that it was operating at too small a scale to be efficient.  Thereafter, returns to scale were sometimes decreasing and sometimes increasing, culminating in constant returns in the last two years.</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r>
        <w:tab/>
        <w:t xml:space="preserve">In their abstract, Cooper et al. [5] describe the Chinese textile industry as being “heavily congested”.  However, Table 1 shows that labour congestion was confined to the period 1988 to 1992, with 1991 being an uncongested anomaly.  The fact that the employment graph in Figure </w:t>
      </w:r>
      <w:r w:rsidR="00D14964">
        <w:t>4</w:t>
      </w:r>
      <w:r>
        <w:t xml:space="preserve"> exhibits a pronounced “hump” during this period lends support to this finding.  Table 1 also points to a limited amount of capital congestion in 1982 and 1989, along with a much more serious problem in 1995.</w:t>
      </w:r>
      <w:r>
        <w:rPr>
          <w:rStyle w:val="FootnoteReference"/>
        </w:rPr>
        <w:footnoteReference w:id="15"/>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r>
        <w:tab/>
        <w:t>The results displayed in Table 2 for automobiles offer an interesting contrast with those for textiles.  Most striking is the fact that there are eleven instances of labour congestion in automobiles, as opposed to only four in textiles.  What is more, where both industries are congested in this way, the problem in relative terms is much more severe in automobiles.</w:t>
      </w:r>
      <w:r>
        <w:rPr>
          <w:rStyle w:val="FootnoteReference"/>
        </w:rPr>
        <w:footnoteReference w:id="16"/>
      </w:r>
      <w:r>
        <w:t xml:space="preserve">  A comparison of the employment graphs in Figures 4 and 5 suggests a possible explanation: whereas the labour force in automobiles rose fairly steadily during the period under review, that in textiles first rose and then fell.</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r>
        <w:tab/>
        <w:t>Another contrasting feature is the fact that scale efficiency in automobiles was relatively high throughout the period, whereas textiles experienced severe scale inefficiency in the early years.  In addition, apart from the period 1986 to 1988, the TE scores for automobiles are mostly fairly high and do not exhibit any obvious trend.  By contrast, overall technical efficiency in textiles rose substantially during the period under review.</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r>
        <w:lastRenderedPageBreak/>
        <w:tab/>
        <w:t>Also worth noting is the relatively high (and similar) capital congestion in the two industries in 1995.  In the case of automobiles, Cooper et al. [5, p. 235] suggest that this might have been due to overinvestment by the Chinese government and foreign investors.  However, apart from 1995, Table 2 indicates that capital congestion was not a problem in the automobile industry during the period under review.</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r>
        <w:tab/>
        <w:t xml:space="preserve">To complete this discussion of Cooper’s approach, a key methodological issue needs to be considered.  As noted earlier, this approach proceeds in two stages.  In the first stage, the </w:t>
      </w:r>
      <w:smartTag w:uri="urn:schemas-microsoft-com:office:smarttags" w:element="stockticker">
        <w:r>
          <w:t>BCC</w:t>
        </w:r>
      </w:smartTag>
      <w:r>
        <w:t xml:space="preserve"> input slacks are determined.  In the second stage, the amount (if any) of each slack that is deemed to represent technical inefficiency is calculated.  What remains of this slack is then assumed to represent congestion.</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r>
        <w:tab/>
        <w:t xml:space="preserve">However, if all DMUs on the </w:t>
      </w:r>
      <w:smartTag w:uri="urn:schemas-microsoft-com:office:smarttags" w:element="stockticker">
        <w:r>
          <w:t>BCC</w:t>
        </w:r>
      </w:smartTag>
      <w:r>
        <w:t xml:space="preserve"> frontier are located at extreme points, this second stage is redundant, so it is of interest to see whether this is the case here.</w:t>
      </w:r>
      <w:r>
        <w:rPr>
          <w:rStyle w:val="FootnoteReference"/>
        </w:rPr>
        <w:footnoteReference w:id="17"/>
      </w:r>
      <w:r>
        <w:t xml:space="preserve">  Even though no weakly efficient DMU (year) was identified, i.e. one with </w:t>
      </w:r>
      <w:r>
        <w:sym w:font="Symbol" w:char="F066"/>
      </w:r>
      <w:r>
        <w:t>* = 1 but non-zero input slack, three instances (out of 34 possible cases) were found where a particular year could be expressed as a weighted average of other years.  The years in question were 1983 and 1984 for textiles, and 1982 for automobiles.</w:t>
      </w:r>
      <w:r>
        <w:rPr>
          <w:rStyle w:val="FootnoteReference"/>
        </w:rPr>
        <w:footnoteReference w:id="18"/>
      </w:r>
      <w:r>
        <w:t xml:space="preserve">  As expected, deleting each of these years in turn from the data set did not alter the values of </w:t>
      </w:r>
      <w:r>
        <w:sym w:font="Symbol" w:char="F066"/>
      </w:r>
      <w:r>
        <w:t>* for the remaining years.  Hence these years are akin to DMU C in Figure 2.</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r>
        <w:tab/>
        <w:t xml:space="preserve">Whilst the second stage of Cooper’s model is not redundant in this instance, its use makes little practical difference to the results.  Only three of the labour congestion scores were changed as a result of omitting the second stage, and then only slightly, and the capital </w:t>
      </w:r>
      <w:r>
        <w:lastRenderedPageBreak/>
        <w:t>congestion scores were unaffected.</w:t>
      </w:r>
      <w:r>
        <w:rPr>
          <w:rStyle w:val="FootnoteReference"/>
        </w:rPr>
        <w:footnoteReference w:id="19"/>
      </w:r>
      <w:r>
        <w:t xml:space="preserve">  Therefore, in view of the extra computation required, we would question whether the benefits in terms of additional accuracy from using this refinement are worth pursuing in practical applications.</w:t>
      </w:r>
      <w:r>
        <w:rPr>
          <w:rStyle w:val="FootnoteReference"/>
        </w:rPr>
        <w:footnoteReference w:id="20"/>
      </w:r>
      <w:r>
        <w:t xml:space="preserve">  By contrast, the stage 1 results can easily be generated via a standard DEA software package.  We used </w:t>
      </w:r>
      <w:r>
        <w:rPr>
          <w:i/>
          <w:iCs/>
        </w:rPr>
        <w:t>DEA-Solver Pro</w:t>
      </w:r>
      <w:r>
        <w:t xml:space="preserve"> (www.saitech-inc.com) to generate the slacks and Excel to perform the calculations.  We then adjusted these stage 1 results to take account of any technical inefficiency components, by making use of the values of </w:t>
      </w:r>
      <w:r>
        <w:sym w:font="Symbol" w:char="F064"/>
      </w:r>
      <w:r>
        <w:rPr>
          <w:vertAlign w:val="subscript"/>
        </w:rPr>
        <w:t>i</w:t>
      </w:r>
      <w:r>
        <w:rPr>
          <w:vertAlign w:val="superscript"/>
        </w:rPr>
        <w:t xml:space="preserve">* </w:t>
      </w:r>
      <w:r>
        <w:t>reported by Cooper et al. [5, Tables 2 and 3].</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r>
        <w:rPr>
          <w:b/>
        </w:rPr>
        <w:t>8. Results from Färe’s approach</w:t>
      </w:r>
    </w:p>
    <w:p w:rsidR="00886AEB" w:rsidRDefault="00886AEB">
      <w:pPr>
        <w:widowControl w:val="0"/>
        <w:tabs>
          <w:tab w:val="left" w:pos="360"/>
        </w:tabs>
        <w:suppressAutoHyphens/>
        <w:spacing w:line="480" w:lineRule="auto"/>
      </w:pPr>
      <w:r>
        <w:rPr>
          <w:spacing w:val="-2"/>
        </w:rPr>
        <w:tab/>
        <w:t>Before examining the results from</w:t>
      </w:r>
      <w:r>
        <w:rPr>
          <w:spacing w:val="-2"/>
        </w:rPr>
        <w:fldChar w:fldCharType="begin"/>
      </w:r>
      <w:r>
        <w:rPr>
          <w:spacing w:val="-2"/>
        </w:rPr>
        <w:instrText>PRIVATE</w:instrText>
      </w:r>
      <w:r>
        <w:rPr>
          <w:spacing w:val="-2"/>
        </w:rPr>
      </w:r>
      <w:r>
        <w:rPr>
          <w:spacing w:val="-2"/>
        </w:rPr>
        <w:fldChar w:fldCharType="end"/>
      </w:r>
      <w:r>
        <w:rPr>
          <w:spacing w:val="-2"/>
        </w:rPr>
        <w:t xml:space="preserve"> thi</w:t>
      </w:r>
      <w:r>
        <w:t xml:space="preserve">s approach, we need to take some recent theoretical developments into account.  Two key issues need to be considered.  The first concerns the </w:t>
      </w:r>
      <w:r>
        <w:rPr>
          <w:i/>
        </w:rPr>
        <w:t>order</w:t>
      </w:r>
      <w:r>
        <w:t xml:space="preserve"> in which overall technical efficiency (TE) is decomposed into pure technical efficiency (PTE), scale efficiency (SE) and congestion efficiency (CE).  Here it is conventional in applied studies to postulate strong disposability when measuring scale effects, and only then to allow for the possibility of congestion.</w:t>
      </w:r>
      <w:r>
        <w:rPr>
          <w:rStyle w:val="FootnoteReference"/>
        </w:rPr>
        <w:footnoteReference w:id="21"/>
      </w:r>
      <w:r>
        <w:t xml:space="preserve">  This is also the approach underlying Cooper’s procedure.  However, Färe and Grosskopf [17] have highlighted </w:t>
      </w:r>
      <w:r>
        <w:rPr>
          <w:spacing w:val="-2"/>
        </w:rPr>
        <w:t xml:space="preserve">the difficulty of discriminating between scale inefficiency and congestion; they point out that the CE score will depend on the </w:t>
      </w:r>
      <w:r>
        <w:rPr>
          <w:i/>
          <w:spacing w:val="-2"/>
        </w:rPr>
        <w:t>order</w:t>
      </w:r>
      <w:r>
        <w:rPr>
          <w:spacing w:val="-2"/>
        </w:rPr>
        <w:t xml:space="preserve"> in which TE</w:t>
      </w:r>
      <w:r>
        <w:t xml:space="preserve"> is decomposed.  Here we should note that, in the identity TE ≡ PTE × SE × CE, PTE and the product SE × CE are unaffected by the order of the decomposition but the individual values of SE and CE normally </w:t>
      </w:r>
      <w:r>
        <w:rPr>
          <w:i/>
        </w:rPr>
        <w:t>are</w:t>
      </w:r>
      <w:r>
        <w:t xml:space="preserve"> affected.  Färe and Grosskopf’s solution is to specify </w:t>
      </w:r>
      <w:smartTag w:uri="urn:schemas-microsoft-com:office:smarttags" w:element="stockticker">
        <w:r>
          <w:t>CRS</w:t>
        </w:r>
      </w:smartTag>
      <w:r>
        <w:t xml:space="preserve"> rather than VRS technology in situations where congestion can be anticipated on </w:t>
      </w:r>
      <w:r>
        <w:rPr>
          <w:i/>
        </w:rPr>
        <w:t xml:space="preserve">a priori </w:t>
      </w:r>
      <w:r>
        <w:t>grounds.</w:t>
      </w:r>
    </w:p>
    <w:p w:rsidR="00886AEB" w:rsidRDefault="00886AEB">
      <w:pPr>
        <w:widowControl w:val="0"/>
        <w:tabs>
          <w:tab w:val="left" w:pos="360"/>
        </w:tabs>
        <w:suppressAutoHyphens/>
        <w:spacing w:line="480" w:lineRule="auto"/>
      </w:pPr>
      <w:r>
        <w:lastRenderedPageBreak/>
        <w:tab/>
        <w:t xml:space="preserve">The second issue concerns the </w:t>
      </w:r>
      <w:r>
        <w:rPr>
          <w:i/>
        </w:rPr>
        <w:t>orientation</w:t>
      </w:r>
      <w:r>
        <w:t xml:space="preserve"> of the model and the distinction between input and output congestion.  In the current version of </w:t>
      </w:r>
      <w:r>
        <w:rPr>
          <w:i/>
        </w:rPr>
        <w:t>OnFront</w:t>
      </w:r>
      <w:r>
        <w:t>, the software supporting Färe’s approach (www.emq.com), congestion of inputs is measured using an input-oriented</w:t>
      </w:r>
      <w:r>
        <w:rPr>
          <w:spacing w:val="-3"/>
          <w:szCs w:val="28"/>
        </w:rPr>
        <w:t xml:space="preserve"> </w:t>
      </w:r>
      <w:r>
        <w:t>approach, whereas congestion of outputs is captured via an</w:t>
      </w:r>
      <w:r>
        <w:rPr>
          <w:i/>
        </w:rPr>
        <w:t xml:space="preserve"> </w:t>
      </w:r>
      <w:r>
        <w:t>output-oriented approach.</w:t>
      </w:r>
      <w:r>
        <w:rPr>
          <w:rStyle w:val="FootnoteReference"/>
        </w:rPr>
        <w:footnoteReference w:id="22"/>
      </w:r>
      <w:r>
        <w:t xml:space="preserve">  With regard to outputs, congestion refers to a situation where one or more of the outputs is an undesirable by-product of joint production; for instance, air pollution associated with the generation of electricity [20].</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r>
        <w:tab/>
        <w:t>In accordance with the above arguments, we have employed an input-oriented</w:t>
      </w:r>
      <w:r>
        <w:rPr>
          <w:spacing w:val="-3"/>
          <w:szCs w:val="28"/>
        </w:rPr>
        <w:t xml:space="preserve"> </w:t>
      </w:r>
      <w:r>
        <w:t xml:space="preserve">variant of Färe’s approach, with </w:t>
      </w:r>
      <w:smartTag w:uri="urn:schemas-microsoft-com:office:smarttags" w:element="stockticker">
        <w:r>
          <w:t>CRS</w:t>
        </w:r>
      </w:smartTag>
      <w:r>
        <w:t xml:space="preserve"> as the underlying technology,</w:t>
      </w:r>
      <w:r>
        <w:rPr>
          <w:spacing w:val="-3"/>
          <w:szCs w:val="28"/>
        </w:rPr>
        <w:t xml:space="preserve"> to compute the CE scores.  This approach is consistent with the earlier discussion surrounding Figure 1.  However, for comparison, we have also computed these scores using the older procedure based on VRS.  Our findings are reported </w:t>
      </w:r>
      <w:r>
        <w:t>in Tables 3 and 4.  The textile industry will again be considered first.</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jc w:val="center"/>
        <w:rPr>
          <w:b/>
        </w:rPr>
      </w:pPr>
      <w:r>
        <w:rPr>
          <w:b/>
        </w:rPr>
        <w:t>Tables 3 &amp; 4 near here</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r>
        <w:tab/>
        <w:t>Whilst the use of an input orientation does not affect the TE scores, it does generate a new set of VRS-based SE scores for the textile industry, which are shown in Table 3.  With one exception, these scores are either the same as or noticeably lower than those in Table 1 and thus indicate more scale inefficiency in many cases than was suggested by Cooper’s method.</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r>
        <w:tab/>
        <w:t xml:space="preserve">Switching from VRS to </w:t>
      </w:r>
      <w:smartTag w:uri="urn:schemas-microsoft-com:office:smarttags" w:element="stockticker">
        <w:r>
          <w:t>CRS</w:t>
        </w:r>
      </w:smartTag>
      <w:r>
        <w:t xml:space="preserve"> has the effect of raising the SE scores in several years.  However, the most striking impact of the change in technology is on the CE scores: if we posit VRS, congestion appears only twice, whereas it is evident in all but five years under </w:t>
      </w:r>
      <w:smartTag w:uri="urn:schemas-microsoft-com:office:smarttags" w:element="stockticker">
        <w:r>
          <w:t>CRS</w:t>
        </w:r>
      </w:smartTag>
      <w:r>
        <w:t xml:space="preserve">!  To shed some light on this interesting finding, we carried out some further analysis to determine which input was responsible for the congestion in each congested year.  This involved running the model thrice, each time under a different pair of assumptions about the disposability of the two inputs: (strong, strong), followed by (strong, weak) and then (weak, </w:t>
      </w:r>
      <w:r>
        <w:lastRenderedPageBreak/>
        <w:t>strong).  Whereas strong disposability precludes congestion, weak disposability makes it possible to identify congestion if it exists.</w:t>
      </w:r>
      <w:r>
        <w:rPr>
          <w:rStyle w:val="FootnoteReference"/>
        </w:rPr>
        <w:footnoteReference w:id="23"/>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r>
        <w:tab/>
        <w:t xml:space="preserve">In Table 3, the input responsible for congestion is indicated by the L or K appended to the CE score.  Here it is interesting to see that the </w:t>
      </w:r>
      <w:smartTag w:uri="urn:schemas-microsoft-com:office:smarttags" w:element="stockticker">
        <w:r>
          <w:t>CRS</w:t>
        </w:r>
      </w:smartTag>
      <w:r>
        <w:t>-based results show a continuous period of labour congestion between 1985 and 1992.  This is in contrast with the much shorter and non-continuous congested period from 1988 to 1992 that was indicated by Cooper’s approach.  Looking again at Figure 4, a period of labour congestion from 1985 to 1992 seems perfectly plausible.  On the basis of these findings, it would be fair to describe the Chinese textile industry as being congested for a substantial part of the period under review but whether it would be accurate to describe it as being “heavily congested” is a moot point.</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r>
        <w:tab/>
        <w:t xml:space="preserve">The </w:t>
      </w:r>
      <w:smartTag w:uri="urn:schemas-microsoft-com:office:smarttags" w:element="stockticker">
        <w:r>
          <w:t>CRS</w:t>
        </w:r>
      </w:smartTag>
      <w:r>
        <w:t xml:space="preserve">-based results in Table 3 also reveal the presence of chronic capital congestion in 1981 and 1982.  These early years are also interesting in the sense that they give very different outcomes for the relative amounts of congestion and scale inefficiency, depending on whether one assumes </w:t>
      </w:r>
      <w:smartTag w:uri="urn:schemas-microsoft-com:office:smarttags" w:element="stockticker">
        <w:r>
          <w:t>CRS</w:t>
        </w:r>
      </w:smartTag>
      <w:r>
        <w:t xml:space="preserve"> or VRS.  However, in the case of 1995, the CE scores are very similar; they are also consistent with the result shown in Table 1 for Cooper’s approach.</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r>
        <w:tab/>
        <w:t xml:space="preserve">The results for pure technical efficiency are also worth noting.  There are seven cases of PTE &lt; 1.  Moreover, for six of these years, the </w:t>
      </w:r>
      <w:smartTag w:uri="urn:schemas-microsoft-com:office:smarttags" w:element="stockticker">
        <w:r>
          <w:t>CRS</w:t>
        </w:r>
      </w:smartTag>
      <w:r>
        <w:t>-based results show CE &lt; 1 as well.  The exceptional year, 1993, is akin to DMU E in Figure 1, i.e. located in the interior of the weakly disposable isoquant, yet uncongested.  Table 3 indicates that, by eliminating pure technical inefficiency, the same output could have been produced with only 83.6% of the capital and labour actually used in 1993.  The other six years, which have PTE &lt; 1 and CE &lt; 1, are akin to DMU B in Figure 1.  Here the results show that, by eliminating both congestion and pure technical inefficiency, the same output could have been produced with considerably less capital and labour.  Pure technical inefficiency is especially severe in 1988 and 1989.</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r>
        <w:lastRenderedPageBreak/>
        <w:tab/>
        <w:t>Table 4 displays the findings for the automobile industry.  What is most striking about these results is how little labour congestion they indicate as compared with the findings recorded in Table 2 for Cooper’s approach.  In particular, whereas Cooper’s approach suggests that Chinese automobile industry was heavily congested in terms of labour in the period 1984</w:t>
      </w:r>
      <w:r>
        <w:sym w:font="Symbol" w:char="F02D"/>
      </w:r>
      <w:r>
        <w:t xml:space="preserve">1993, Färe’s </w:t>
      </w:r>
      <w:smartTag w:uri="urn:schemas-microsoft-com:office:smarttags" w:element="stockticker">
        <w:r>
          <w:t>CRS</w:t>
        </w:r>
      </w:smartTag>
      <w:r>
        <w:t>-based approach indicates no labour congestion whatsoever</w:t>
      </w:r>
      <w:r w:rsidR="00356219">
        <w:t>.</w:t>
      </w:r>
      <w:r>
        <w:t xml:space="preserve">  Furthermore, even in those years where the VRS-based estimates signify the presence of labour congestion, the amounts involved are, in most cases, insubstantial.</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r>
        <w:tab/>
        <w:t xml:space="preserve">Once again, the first two years generate some unusual results.  If we posit VRS, then it is immaterial whether we follow Cooper or Färe: both approaches ascribe the overall technical inefficiency in 1981 and 1982 entirely to the existence of increasing returns to scale.  By contrast, if </w:t>
      </w:r>
      <w:smartTag w:uri="urn:schemas-microsoft-com:office:smarttags" w:element="stockticker">
        <w:r>
          <w:t>CRS</w:t>
        </w:r>
      </w:smartTag>
      <w:r>
        <w:t xml:space="preserve"> is assumed, then labour congestion is identified as the underlying problem</w:t>
      </w:r>
      <w:r w:rsidR="00356219">
        <w:t>.</w:t>
      </w:r>
      <w:r>
        <w:t xml:space="preserve">  With the exception of those two years, however, Table 4 reveals that switching from VRS to </w:t>
      </w:r>
      <w:smartTag w:uri="urn:schemas-microsoft-com:office:smarttags" w:element="stockticker">
        <w:r>
          <w:t>CRS</w:t>
        </w:r>
      </w:smartTag>
      <w:r>
        <w:t xml:space="preserve"> has relatively little impact on the SE scores.  These scores are generally high, which suggests that scale inefficiency was not a serious problem in the automobile industry.  The same inference can also be drawn from Cooper’s approach.</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r>
        <w:tab/>
        <w:t>As regards the relatively low TE scores in 1986, 1987 and 1988, Table 4 shows that this inefficiency can largely be attributed to the incidence of pure technical inefficiency in those years.  By contrast, Cooper’s approach points to a substantial amount of labour congestion.  It may be noted, finally, that capital congestion does not appear to have been a significant problem in the automobile industry, except perhaps in 1995.</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r>
        <w:rPr>
          <w:b/>
        </w:rPr>
        <w:t>9. Graphical comparison of results</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r>
        <w:tab/>
        <w:t>The estimates of congestion generated by the two approaches are graphed in Figures 6 and 7.  To facilitate comparisons, the congestion efficiency scores recorded in Tables 3 and 4 were re-expressed as inefficiency scores by subtracting them from one.</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jc w:val="center"/>
        <w:rPr>
          <w:b/>
        </w:rPr>
      </w:pPr>
      <w:r>
        <w:rPr>
          <w:b/>
        </w:rPr>
        <w:t>Figures 6 &amp; 7 near here</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r>
        <w:lastRenderedPageBreak/>
        <w:tab/>
        <w:t xml:space="preserve">Figure 6 illustrates the fact that the different measures yield markedly different outcomes with respect to the amount of labour congestion in the textile industry.  Färe’s </w:t>
      </w:r>
      <w:smartTag w:uri="urn:schemas-microsoft-com:office:smarttags" w:element="stockticker">
        <w:r>
          <w:t>CRS</w:t>
        </w:r>
      </w:smartTag>
      <w:r>
        <w:t>-based measure, C</w:t>
      </w:r>
      <w:r>
        <w:rPr>
          <w:vertAlign w:val="subscript"/>
        </w:rPr>
        <w:t>F,</w:t>
      </w:r>
      <w:smartTag w:uri="urn:schemas-microsoft-com:office:smarttags" w:element="stockticker">
        <w:r>
          <w:rPr>
            <w:vertAlign w:val="subscript"/>
          </w:rPr>
          <w:t>CRS</w:t>
        </w:r>
      </w:smartTag>
      <w:r>
        <w:t>, points to a fairly long and continuous period of labour congestion from 1985 to 1992, yet Cooper’s measure, C</w:t>
      </w:r>
      <w:r>
        <w:rPr>
          <w:vertAlign w:val="subscript"/>
        </w:rPr>
        <w:t>C</w:t>
      </w:r>
      <w:r>
        <w:t>, identifies congestion in only four of these years and Färe’s VRS-based measure, C</w:t>
      </w:r>
      <w:r>
        <w:rPr>
          <w:vertAlign w:val="subscript"/>
        </w:rPr>
        <w:t>F,VRS</w:t>
      </w:r>
      <w:r>
        <w:t>, finds no congestion at all!</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r>
        <w:tab/>
        <w:t>Even more striking differences are apparent in the automobile industry: based on the values of C</w:t>
      </w:r>
      <w:r>
        <w:rPr>
          <w:vertAlign w:val="subscript"/>
        </w:rPr>
        <w:t>C</w:t>
      </w:r>
      <w:r>
        <w:t>, a lengthy period of severe labour congestion is evident, yet this finding is not corroborated by the other two measures.  C</w:t>
      </w:r>
      <w:r>
        <w:rPr>
          <w:vertAlign w:val="subscript"/>
        </w:rPr>
        <w:t>F,VRS</w:t>
      </w:r>
      <w:r>
        <w:t xml:space="preserve"> suggests that labour congestion was much less severe in terms of both magnitude and duration, while C</w:t>
      </w:r>
      <w:r>
        <w:rPr>
          <w:vertAlign w:val="subscript"/>
        </w:rPr>
        <w:t>F,</w:t>
      </w:r>
      <w:smartTag w:uri="urn:schemas-microsoft-com:office:smarttags" w:element="stockticker">
        <w:r>
          <w:rPr>
            <w:vertAlign w:val="subscript"/>
          </w:rPr>
          <w:t>CRS</w:t>
        </w:r>
      </w:smartTag>
      <w:r>
        <w:t xml:space="preserve"> indicates no labour congestion apart from that in the first two years.</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r>
        <w:tab/>
        <w:t>The results for the automobile industry are interesting in the sense that its labour force rose fairly steadily during the period under review and Cooper’s measure suggests that this growth in employment resulted in severe congestion.  A very different picture emerges, however, if we use either of Färe’s measures.</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p>
    <w:p w:rsidR="00886AEB" w:rsidRDefault="00886AEB">
      <w:pPr>
        <w:widowControl w:val="0"/>
        <w:spacing w:line="480" w:lineRule="auto"/>
        <w:rPr>
          <w:b/>
          <w:spacing w:val="-2"/>
        </w:rPr>
      </w:pPr>
      <w:r>
        <w:rPr>
          <w:b/>
          <w:bCs/>
          <w:spacing w:val="-2"/>
        </w:rPr>
        <w:t>10. Congestion and diseconomies of scale</w:t>
      </w:r>
    </w:p>
    <w:p w:rsidR="00886AEB" w:rsidRDefault="00886AEB">
      <w:pPr>
        <w:widowControl w:val="0"/>
        <w:tabs>
          <w:tab w:val="left" w:pos="360"/>
        </w:tabs>
        <w:spacing w:line="480" w:lineRule="auto"/>
        <w:ind w:firstLine="360"/>
      </w:pPr>
      <w:r>
        <w:rPr>
          <w:spacing w:val="-2"/>
        </w:rPr>
        <w:t>Tone and Sahoo [2</w:t>
      </w:r>
      <w:r w:rsidR="00331773">
        <w:rPr>
          <w:spacing w:val="-2"/>
        </w:rPr>
        <w:t>9</w:t>
      </w:r>
      <w:r>
        <w:rPr>
          <w:spacing w:val="-2"/>
        </w:rPr>
        <w:t xml:space="preserve">] have proposed a new unified approach to measuring congestion and scale economies, which can shed some new light on the problem of congestion in the two industries.  For simplicity, this procedure is referred to hereafter as Tone’s approach.  This approach is similar to that of </w:t>
      </w:r>
      <w:r>
        <w:t xml:space="preserve">Cooper inasmuch as a </w:t>
      </w:r>
      <w:smartTag w:uri="urn:schemas-microsoft-com:office:smarttags" w:element="stockticker">
        <w:r>
          <w:t>BCC</w:t>
        </w:r>
      </w:smartTag>
      <w:r>
        <w:t xml:space="preserve"> output-oriented model is used initially, yet Tone measures congestion very differently.  In particular, he uses a slacks-based measure in projecting congested DMUs onto the </w:t>
      </w:r>
      <w:smartTag w:uri="urn:schemas-microsoft-com:office:smarttags" w:element="stockticker">
        <w:r>
          <w:t>BCC</w:t>
        </w:r>
      </w:smartTag>
      <w:r>
        <w:t xml:space="preserve"> frontier.  However, an important similarity with Cooper’s approach is the fact that negative marginal productivity always signals congestion.  </w:t>
      </w:r>
      <w:r>
        <w:rPr>
          <w:spacing w:val="-2"/>
        </w:rPr>
        <w:t xml:space="preserve">The analysis can easily be carried out using the </w:t>
      </w:r>
      <w:r>
        <w:rPr>
          <w:i/>
          <w:iCs/>
        </w:rPr>
        <w:t>DEA-Solver Pro</w:t>
      </w:r>
      <w:r>
        <w:rPr>
          <w:iCs/>
        </w:rPr>
        <w:t xml:space="preserve"> software, which </w:t>
      </w:r>
      <w:r>
        <w:t xml:space="preserve">generates a congestion score, ψ ≥ 1, for each DMU, along with a </w:t>
      </w:r>
      <w:r>
        <w:rPr>
          <w:i/>
          <w:iCs/>
        </w:rPr>
        <w:t>scale diseconomies</w:t>
      </w:r>
      <w:r>
        <w:rPr>
          <w:iCs/>
        </w:rPr>
        <w:t xml:space="preserve"> parameter</w:t>
      </w:r>
      <w:r>
        <w:t>, ρ &lt; 0, for each congested DMU.</w:t>
      </w:r>
    </w:p>
    <w:p w:rsidR="00886AEB" w:rsidRDefault="00886AEB">
      <w:pPr>
        <w:spacing w:line="480" w:lineRule="auto"/>
      </w:pPr>
      <w:r>
        <w:lastRenderedPageBreak/>
        <w:t xml:space="preserve">To explain Tone’s approach, let us now return to the example in Figure 3.  Like Cooper, Tone would find A, B and M to be </w:t>
      </w:r>
      <w:smartTag w:uri="urn:schemas-microsoft-com:office:smarttags" w:element="stockticker">
        <w:r>
          <w:t>BCC</w:t>
        </w:r>
      </w:smartTag>
      <w:r>
        <w:t xml:space="preserve"> efficient and hence not congested.  The remaining DMUs would have a congestion score of ψ = 5, reflecting the fact that M is producing five times as much output as any of them.  The value of ρ for each congested DMU is also worth noting.  For example, in the case of C, this is calculated as:</w:t>
      </w:r>
    </w:p>
    <w:p w:rsidR="00886AEB" w:rsidRDefault="00886AEB">
      <w:pPr>
        <w:tabs>
          <w:tab w:val="left" w:pos="720"/>
          <w:tab w:val="right" w:pos="9000"/>
        </w:tabs>
        <w:spacing w:line="480" w:lineRule="auto"/>
      </w:pPr>
      <w:r>
        <w:tab/>
        <w:t xml:space="preserve">ρ = </w:t>
      </w:r>
      <w:r w:rsidR="006E121F" w:rsidRPr="006E121F">
        <w:rPr>
          <w:position w:val="-30"/>
        </w:rPr>
        <w:object w:dxaOrig="1560" w:dyaOrig="680">
          <v:shape id="_x0000_i1028" type="#_x0000_t75" style="width:78pt;height:33.75pt" o:ole="" fillcolor="window">
            <v:imagedata r:id="rId15" o:title=""/>
          </v:shape>
          <o:OLEObject Type="Embed" ProgID="Equation.3" ShapeID="_x0000_i1028" DrawAspect="Content" ObjectID="_1347194514" r:id="rId16"/>
        </w:object>
      </w:r>
      <w:r>
        <w:t xml:space="preserve"> = </w:t>
      </w:r>
      <w:r>
        <w:rPr>
          <w:position w:val="-24"/>
        </w:rPr>
        <w:object w:dxaOrig="859" w:dyaOrig="620">
          <v:shape id="_x0000_i1029" type="#_x0000_t75" style="width:42.75pt;height:30.75pt" o:ole="" fillcolor="window">
            <v:imagedata r:id="rId17" o:title=""/>
          </v:shape>
          <o:OLEObject Type="Embed" ProgID="Equation.3" ShapeID="_x0000_i1029" DrawAspect="Content" ObjectID="_1347194515" r:id="rId18"/>
        </w:object>
      </w:r>
      <w:r>
        <w:t xml:space="preserve"> = </w:t>
      </w:r>
      <w:r>
        <w:sym w:font="Symbol" w:char="F02D"/>
      </w:r>
      <w:r>
        <w:t>10</w:t>
      </w:r>
      <w:r>
        <w:tab/>
        <w:t>(5)</w:t>
      </w:r>
    </w:p>
    <w:p w:rsidR="00886AEB" w:rsidRDefault="00886AEB">
      <w:pPr>
        <w:spacing w:line="480" w:lineRule="auto"/>
      </w:pPr>
      <w:r>
        <w:t xml:space="preserve">Using the same method, we also get ρ = </w:t>
      </w:r>
      <w:r>
        <w:sym w:font="Symbol" w:char="F02D"/>
      </w:r>
      <w:r>
        <w:t xml:space="preserve">10 for D.  In the case of E, inputs fall by 25% on average, so that ρ = </w:t>
      </w:r>
      <w:r>
        <w:sym w:font="Symbol" w:char="F02D"/>
      </w:r>
      <w:r>
        <w:t>16.  These results suggest that congestion is equally serious for C and D but more serious for E.  This finding is consistent with the outcome from Cooper’s approach, where C</w:t>
      </w:r>
      <w:r>
        <w:rPr>
          <w:vertAlign w:val="subscript"/>
        </w:rPr>
        <w:t>C</w:t>
      </w:r>
      <w:r>
        <w:t xml:space="preserve"> = 0.25 for E but 0.2 for C and D.  In Tone’s terminology, we would describe E as being </w:t>
      </w:r>
      <w:r>
        <w:rPr>
          <w:i/>
          <w:iCs/>
        </w:rPr>
        <w:t>strongly</w:t>
      </w:r>
      <w:r>
        <w:t xml:space="preserve"> congested (because both inputs are congested) but C and D as being </w:t>
      </w:r>
      <w:r>
        <w:rPr>
          <w:i/>
          <w:iCs/>
        </w:rPr>
        <w:t>weakly</w:t>
      </w:r>
      <w:r>
        <w:t xml:space="preserve"> congested (because only one input is congested).</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jc w:val="center"/>
      </w:pPr>
      <w:r>
        <w:rPr>
          <w:b/>
        </w:rPr>
        <w:t>Table 5 near here</w:t>
      </w:r>
    </w:p>
    <w:p w:rsidR="00886AEB" w:rsidRDefault="00886AEB">
      <w:pPr>
        <w:widowControl w:val="0"/>
        <w:tabs>
          <w:tab w:val="left" w:pos="360"/>
        </w:tabs>
        <w:spacing w:line="480" w:lineRule="auto"/>
        <w:ind w:firstLine="360"/>
        <w:rPr>
          <w:spacing w:val="-2"/>
        </w:rPr>
      </w:pPr>
      <w:r>
        <w:t xml:space="preserve">We can now consider the results for the two industries, which are presented in Table 5.  In terms of identifying whether or not congestion exists, it makes little difference whether one uses </w:t>
      </w:r>
      <w:r>
        <w:rPr>
          <w:spacing w:val="-2"/>
        </w:rPr>
        <w:t xml:space="preserve">Tone’s approach or that of Cooper.  The only exceptions are textiles in 1993 and automobiles in 1996.  These years have congestion scores of 1.002 and 1.001, respectively, whereas </w:t>
      </w:r>
      <w:r>
        <w:t xml:space="preserve">ψ = 1 </w:t>
      </w:r>
      <w:r>
        <w:rPr>
          <w:spacing w:val="-2"/>
        </w:rPr>
        <w:t>would be needed for full consistency between the two approaches.  The discrepancies can be explained by the minute amounts of technical inefficiency identified in the second stage of Cooper’s approach, which are ignored in Tone’s procedure.</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r>
        <w:rPr>
          <w:spacing w:val="-2"/>
        </w:rPr>
        <w:t xml:space="preserve"> </w:t>
      </w:r>
      <w:r>
        <w:rPr>
          <w:spacing w:val="-2"/>
        </w:rPr>
        <w:tab/>
        <w:t xml:space="preserve">Where congestion does occur, Tone’s approach complements that of Cooper by affording some useful additional information.  </w:t>
      </w:r>
      <w:r>
        <w:t xml:space="preserve">Consider the findings for textiles.  The congestion scores for this industry suggest that its output in certain years would have been far higher if congestion had not been present; for instance, by 29.1% in 1988, 134.6% in 1989 and 31.5% in 1990.  The exceptionally large congestion score in 1989 reflects the fact that both factors </w:t>
      </w:r>
      <w:r>
        <w:lastRenderedPageBreak/>
        <w:t xml:space="preserve">were congesting in that year.  By contrast, labour was the sole congesting factor in 1988, 1990 and 1992, while capital was the only source of congestion in 1982 and 1995.  </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r>
        <w:tab/>
        <w:t>The values of ρ are also worth examining.  These measure the responsiveness of output to a greater use of congested inputs.  For instance, for 1989, ρ is calculated as follows:</w:t>
      </w:r>
    </w:p>
    <w:p w:rsidR="00886AEB" w:rsidRDefault="00886AEB">
      <w:pPr>
        <w:widowControl w:val="0"/>
        <w:tabs>
          <w:tab w:val="left" w:pos="720"/>
          <w:tab w:val="right" w:pos="9000"/>
        </w:tabs>
        <w:spacing w:line="480" w:lineRule="auto"/>
      </w:pPr>
      <w:r>
        <w:tab/>
        <w:t xml:space="preserve">ρ = </w:t>
      </w:r>
      <w:r>
        <w:rPr>
          <w:position w:val="-28"/>
        </w:rPr>
        <w:object w:dxaOrig="2659" w:dyaOrig="660">
          <v:shape id="_x0000_i1030" type="#_x0000_t75" style="width:132.75pt;height:33pt" o:ole="" fillcolor="window">
            <v:imagedata r:id="rId19" o:title=""/>
          </v:shape>
          <o:OLEObject Type="Embed" ProgID="Equation.3" ShapeID="_x0000_i1030" DrawAspect="Content" ObjectID="_1347194516" r:id="rId20"/>
        </w:object>
      </w:r>
      <w:r>
        <w:t xml:space="preserve"> = </w:t>
      </w:r>
      <w:r>
        <w:rPr>
          <w:position w:val="-30"/>
        </w:rPr>
        <w:object w:dxaOrig="2580" w:dyaOrig="680">
          <v:shape id="_x0000_i1031" type="#_x0000_t75" style="width:129pt;height:33.75pt" o:ole="" fillcolor="window">
            <v:imagedata r:id="rId21" o:title=""/>
          </v:shape>
          <o:OLEObject Type="Embed" ProgID="Equation.3" ShapeID="_x0000_i1031" DrawAspect="Content" ObjectID="_1347194517" r:id="rId22"/>
        </w:object>
      </w:r>
      <w:r>
        <w:t xml:space="preserve"> = </w:t>
      </w:r>
      <w:r>
        <w:sym w:font="Symbol" w:char="F02D"/>
      </w:r>
      <w:r>
        <w:t>33.18</w:t>
      </w:r>
      <w:r>
        <w:tab/>
        <w:t>(6)</w:t>
      </w:r>
    </w:p>
    <w:p w:rsidR="00886AEB" w:rsidRDefault="00886AEB">
      <w:pPr>
        <w:widowControl w:val="0"/>
        <w:tabs>
          <w:tab w:val="left" w:pos="720"/>
          <w:tab w:val="right" w:pos="9000"/>
        </w:tabs>
        <w:spacing w:line="480" w:lineRule="auto"/>
      </w:pPr>
      <w:r>
        <w:t>This strikingly large</w:t>
      </w:r>
      <w:r w:rsidR="00467792">
        <w:t xml:space="preserve"> </w:t>
      </w:r>
      <w:r>
        <w:t>scale diseconomy suggests that an excessive use of both capital and labour in 1989 caused a very large loss of output.  This evaluation is relative to 1994.</w:t>
      </w:r>
    </w:p>
    <w:p w:rsidR="00886AEB" w:rsidRDefault="00886AEB">
      <w:pPr>
        <w:widowControl w:val="0"/>
        <w:tabs>
          <w:tab w:val="left" w:pos="360"/>
          <w:tab w:val="left" w:pos="720"/>
          <w:tab w:val="right" w:pos="9000"/>
        </w:tabs>
        <w:spacing w:line="480" w:lineRule="auto"/>
      </w:pPr>
      <w:r>
        <w:tab/>
        <w:t xml:space="preserve">Where only one input is congested, ρ is simply the ratio of the percentage change in Y to the percentage change in the input in question.  Here it is worth noting that ρ = </w:t>
      </w:r>
      <w:r>
        <w:sym w:font="Symbol" w:char="F02D"/>
      </w:r>
      <w:r>
        <w:t xml:space="preserve">14.55 in 1982 but only </w:t>
      </w:r>
      <w:r>
        <w:sym w:font="Symbol" w:char="F02D"/>
      </w:r>
      <w:r>
        <w:t>0.50 in 1995.  These values suggest that the overuse of capital in the textile industry had a much bigger impact in 1982 than in 1995, yet Cooper’s slacks-based measure (see Table 1) indicates substantially more capital congestion in 1995</w:t>
      </w:r>
      <w:r w:rsidR="00E92239">
        <w:t>.</w:t>
      </w:r>
    </w:p>
    <w:p w:rsidR="00886AEB" w:rsidRDefault="00886AEB">
      <w:pPr>
        <w:widowControl w:val="0"/>
        <w:tabs>
          <w:tab w:val="left" w:pos="360"/>
          <w:tab w:val="left" w:pos="720"/>
          <w:tab w:val="right" w:pos="9000"/>
        </w:tabs>
        <w:spacing w:line="480" w:lineRule="auto"/>
      </w:pPr>
      <w:r>
        <w:tab/>
        <w:t xml:space="preserve">Table 5 suggests that congestion was more protracted for automobiles than for textiles.  This confirms the outcome from Cooper’s approach.  Nonetheless, the congestion scores for automobiles in 1988, 1989 and 1990 are noticeably lower than the corresponding scores for textiles.  This reflects the fact that the </w:t>
      </w:r>
      <w:smartTag w:uri="urn:schemas-microsoft-com:office:smarttags" w:element="stockticker">
        <w:r>
          <w:t>BCC</w:t>
        </w:r>
      </w:smartTag>
      <w:r>
        <w:t xml:space="preserve"> efficiency scores are typically much lower for textiles than for automobiles (see Tables 1 and 2).  These </w:t>
      </w:r>
      <w:smartTag w:uri="urn:schemas-microsoft-com:office:smarttags" w:element="stockticker">
        <w:r>
          <w:t>BCC</w:t>
        </w:r>
      </w:smartTag>
      <w:r>
        <w:t xml:space="preserve"> scores put an upper limit on the possible size of the congestion scores under Tone’s approach.</w:t>
      </w:r>
      <w:r>
        <w:rPr>
          <w:rStyle w:val="FootnoteReference"/>
        </w:rPr>
        <w:footnoteReference w:id="24"/>
      </w:r>
      <w:r>
        <w:t xml:space="preserve">  This factor can also explain why most of the values of ρ are relatively small for the automobile industry.</w:t>
      </w:r>
    </w:p>
    <w:p w:rsidR="00886AEB" w:rsidRDefault="00886AEB">
      <w:pPr>
        <w:widowControl w:val="0"/>
        <w:tabs>
          <w:tab w:val="left" w:pos="360"/>
          <w:tab w:val="left" w:pos="720"/>
          <w:tab w:val="right" w:pos="9000"/>
        </w:tabs>
        <w:spacing w:line="480" w:lineRule="auto"/>
      </w:pP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rPr>
          <w:b/>
        </w:rPr>
      </w:pPr>
      <w:r>
        <w:rPr>
          <w:b/>
        </w:rPr>
        <w:t>11. Conclusion</w:t>
      </w:r>
    </w:p>
    <w:p w:rsidR="00886AEB" w:rsidRDefault="00886AEB">
      <w:pPr>
        <w:widowControl w:val="0"/>
        <w:tabs>
          <w:tab w:val="left" w:pos="360"/>
        </w:tabs>
        <w:spacing w:line="480" w:lineRule="auto"/>
        <w:ind w:firstLine="360"/>
      </w:pPr>
      <w:r>
        <w:rPr>
          <w:spacing w:val="-3"/>
          <w:szCs w:val="28"/>
        </w:rPr>
        <w:t>The focus of this paper has been on congestion in the</w:t>
      </w:r>
      <w:r>
        <w:rPr>
          <w:spacing w:val="-3"/>
        </w:rPr>
        <w:t xml:space="preserve"> </w:t>
      </w:r>
      <w:r>
        <w:rPr>
          <w:bCs/>
          <w:spacing w:val="-4"/>
        </w:rPr>
        <w:t>Chinese automobile and textile industries, which was identified</w:t>
      </w:r>
      <w:r>
        <w:rPr>
          <w:spacing w:val="-3"/>
          <w:szCs w:val="28"/>
        </w:rPr>
        <w:t xml:space="preserve"> as a problem</w:t>
      </w:r>
      <w:r>
        <w:rPr>
          <w:bCs/>
          <w:spacing w:val="-4"/>
        </w:rPr>
        <w:t xml:space="preserve"> </w:t>
      </w:r>
      <w:r>
        <w:rPr>
          <w:spacing w:val="-3"/>
          <w:szCs w:val="28"/>
        </w:rPr>
        <w:t xml:space="preserve">by Cooper et al. [5].  We have used their annual data </w:t>
      </w:r>
      <w:r>
        <w:rPr>
          <w:bCs/>
          <w:spacing w:val="-4"/>
        </w:rPr>
        <w:t>for the period 1981</w:t>
      </w:r>
      <w:r>
        <w:rPr>
          <w:bCs/>
          <w:spacing w:val="-4"/>
        </w:rPr>
        <w:sym w:font="Symbol" w:char="F02D"/>
      </w:r>
      <w:r>
        <w:rPr>
          <w:bCs/>
          <w:spacing w:val="-4"/>
        </w:rPr>
        <w:t xml:space="preserve">1997 to reassess the magnitude of this problem.  As well as pursuing the </w:t>
      </w:r>
      <w:r>
        <w:rPr>
          <w:bCs/>
          <w:spacing w:val="-4"/>
        </w:rPr>
        <w:lastRenderedPageBreak/>
        <w:t xml:space="preserve">approach advocated </w:t>
      </w:r>
      <w:r>
        <w:rPr>
          <w:spacing w:val="-3"/>
          <w:szCs w:val="28"/>
        </w:rPr>
        <w:t>by Cooper et al.</w:t>
      </w:r>
      <w:r>
        <w:rPr>
          <w:bCs/>
          <w:spacing w:val="-4"/>
        </w:rPr>
        <w:t>, we have also employed two alternative procedures for measuring congestion: t</w:t>
      </w:r>
      <w:r>
        <w:t>he conventional approach of Färe and Grosskopf, and a new method proposed recently by Tone and Sahoo.  In addition, two alternative versions of Färe and Grosskopf’s approach were examined: one based on variable returns to scale (VRS) and the other on constant returns to scale (</w:t>
      </w:r>
      <w:smartTag w:uri="urn:schemas-microsoft-com:office:smarttags" w:element="stockticker">
        <w:r>
          <w:t>CRS</w:t>
        </w:r>
      </w:smartTag>
      <w:r>
        <w:t xml:space="preserve">).  For ease of exposition, these alternative procedures are referred to here as the approaches of Cooper, Färe and Tone.    </w:t>
      </w:r>
    </w:p>
    <w:p w:rsidR="00886AEB" w:rsidRDefault="00886AEB">
      <w:pPr>
        <w:widowControl w:val="0"/>
        <w:tabs>
          <w:tab w:val="left" w:pos="360"/>
        </w:tabs>
        <w:spacing w:line="480" w:lineRule="auto"/>
        <w:ind w:firstLine="360"/>
      </w:pPr>
      <w:r>
        <w:t>The Chinese textile industry is interesting in the sense that its labour force rose rapidly during the 1980s, before reaching a peak in 1991 and then declining.  This shedding of labour was associated with the economic reforms introduced in 1990.  Indeed, by 1997, employment had fallen back to the level prevailing in 1986.  Cooper’s procedure suggested that the rapid growth in employment in the 1980s led to appreciable labour congestion in the period 1988</w:t>
      </w:r>
      <w:r>
        <w:sym w:font="Symbol" w:char="F02D"/>
      </w:r>
      <w:r>
        <w:t xml:space="preserve">1990, as well as in 1992.  This impression was reinforced by the results from Färe’s </w:t>
      </w:r>
      <w:smartTag w:uri="urn:schemas-microsoft-com:office:smarttags" w:element="stockticker">
        <w:r>
          <w:t>CRS</w:t>
        </w:r>
      </w:smartTag>
      <w:r>
        <w:t>-based measure, C</w:t>
      </w:r>
      <w:r>
        <w:rPr>
          <w:vertAlign w:val="subscript"/>
        </w:rPr>
        <w:t>F,</w:t>
      </w:r>
      <w:smartTag w:uri="urn:schemas-microsoft-com:office:smarttags" w:element="stockticker">
        <w:r>
          <w:rPr>
            <w:vertAlign w:val="subscript"/>
          </w:rPr>
          <w:t>CRS</w:t>
        </w:r>
      </w:smartTag>
      <w:r>
        <w:t>, which pointed to the presence of considerable labour congestion lasting from 1985 to 1992.  A very different picture emerged, however, when we used Färe’s VRS-based measure, C</w:t>
      </w:r>
      <w:r>
        <w:rPr>
          <w:vertAlign w:val="subscript"/>
        </w:rPr>
        <w:t>F,VRS</w:t>
      </w:r>
      <w:r>
        <w:t>: this indicated no labour congestion at all!</w:t>
      </w:r>
    </w:p>
    <w:p w:rsidR="00886AEB" w:rsidRDefault="00886AE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480" w:lineRule="auto"/>
      </w:pPr>
      <w:r>
        <w:tab/>
        <w:t>In contrast to what happened in textiles, employment in the automobile industry grew fairly steadily throughout the period under review.  Cooper’s approach indicated that this steady expansion was accompanied by a lengthy period of severe labour congestion, yet this finding was not corroborated by the other two measures.  C</w:t>
      </w:r>
      <w:r>
        <w:rPr>
          <w:vertAlign w:val="subscript"/>
        </w:rPr>
        <w:t>F,VRS</w:t>
      </w:r>
      <w:r>
        <w:t xml:space="preserve"> suggested that labour congestion was much less severe in terms of both magnitude and duration, while C</w:t>
      </w:r>
      <w:r>
        <w:rPr>
          <w:vertAlign w:val="subscript"/>
        </w:rPr>
        <w:t>F,</w:t>
      </w:r>
      <w:smartTag w:uri="urn:schemas-microsoft-com:office:smarttags" w:element="stockticker">
        <w:r>
          <w:rPr>
            <w:vertAlign w:val="subscript"/>
          </w:rPr>
          <w:t>CRS</w:t>
        </w:r>
      </w:smartTag>
      <w:r>
        <w:t xml:space="preserve"> indicated no labour congestion apart from that in the first two years.</w:t>
      </w:r>
    </w:p>
    <w:p w:rsidR="00886AEB" w:rsidRDefault="00886AEB">
      <w:pPr>
        <w:widowControl w:val="0"/>
        <w:tabs>
          <w:tab w:val="left" w:pos="360"/>
        </w:tabs>
        <w:spacing w:line="480" w:lineRule="auto"/>
      </w:pPr>
      <w:r>
        <w:tab/>
        <w:t xml:space="preserve">This marked difference in the findings from the alternative methods is rather disturbing.  However, if we follow Färe and Grosskopf’s suggestion [17] that one should specify </w:t>
      </w:r>
      <w:smartTag w:uri="urn:schemas-microsoft-com:office:smarttags" w:element="stockticker">
        <w:r>
          <w:t>CRS</w:t>
        </w:r>
      </w:smartTag>
      <w:r>
        <w:t xml:space="preserve"> technology in situations where congestion is anticipated on </w:t>
      </w:r>
      <w:r>
        <w:rPr>
          <w:i/>
        </w:rPr>
        <w:t>a priori</w:t>
      </w:r>
      <w:r>
        <w:t xml:space="preserve"> grounds, then this does limit the range of possible outcomes.  In the case of textiles, we then have a choice between (i) the fairly short and interrupted period of labour congestion indicated by Cooper’s method </w:t>
      </w:r>
      <w:r>
        <w:lastRenderedPageBreak/>
        <w:t>and (ii) the rather longer and continuous period suggested by Färe’s procedure.  For automobiles, the choice is starker: labour congestion confined to the first two years (Färe) or an extensive period of severe labour congestion (Cooper).</w:t>
      </w:r>
    </w:p>
    <w:p w:rsidR="00886AEB" w:rsidRDefault="00886AEB">
      <w:pPr>
        <w:widowControl w:val="0"/>
        <w:tabs>
          <w:tab w:val="left" w:pos="360"/>
        </w:tabs>
        <w:spacing w:line="480" w:lineRule="auto"/>
      </w:pPr>
      <w:r>
        <w:tab/>
        <w:t>One way of resolving the dilemma of which set of estimates to accept would be to choose the method of estimation on the basis of its theoretical properties.  Unfortunately, this is complicated by the fact that the competing methods have particular merits and demerits.  Here it is worth noting the observation by Cherchye et al. [4,</w:t>
      </w:r>
      <w:r>
        <w:rPr>
          <w:spacing w:val="-2"/>
        </w:rPr>
        <w:t xml:space="preserve"> pp. 77</w:t>
      </w:r>
      <w:r>
        <w:rPr>
          <w:spacing w:val="-2"/>
        </w:rPr>
        <w:sym w:font="Symbol" w:char="F02D"/>
      </w:r>
      <w:r>
        <w:rPr>
          <w:spacing w:val="-2"/>
        </w:rPr>
        <w:t xml:space="preserve">78] </w:t>
      </w:r>
      <w:r>
        <w:t xml:space="preserve">that the original purpose of Färe’s procedure was not to measure the amount of congestion </w:t>
      </w:r>
      <w:r>
        <w:rPr>
          <w:i/>
          <w:iCs/>
        </w:rPr>
        <w:t>per se</w:t>
      </w:r>
      <w:r>
        <w:t xml:space="preserve"> but instead to measure the impact, if any, of congestion on the overall efficiency of a particular DMU.  By contrast, Cooper’s method was specifically designed to measure congestion.  Hence the underlying aim of one’s study should help to determine which method to choose.  It is also worth noting that negative marginal productivity is necessary but not sufficient for congestion to occur under Färe’s approach.  By contrast, negative marginal productivity invariably signals congestion under Cooper’s method.  This difference could provide another reason for opting for one procedure rather than the other.  Two final considerations might be (i) whether an input or output orientation is thought to be most appropriate and (ii) whether one wishes to posit </w:t>
      </w:r>
      <w:smartTag w:uri="urn:schemas-microsoft-com:office:smarttags" w:element="stockticker">
        <w:r>
          <w:t>CRS</w:t>
        </w:r>
      </w:smartTag>
      <w:r>
        <w:t xml:space="preserve"> or VRS as the underlying technology when measuring congestion.</w:t>
      </w:r>
    </w:p>
    <w:p w:rsidR="00886AEB" w:rsidRDefault="00886AEB">
      <w:pPr>
        <w:widowControl w:val="0"/>
        <w:tabs>
          <w:tab w:val="left" w:pos="360"/>
        </w:tabs>
        <w:spacing w:line="480" w:lineRule="auto"/>
      </w:pPr>
      <w:r>
        <w:tab/>
        <w:t>With minor exceptions, the approaches of Tone and Cooper generated the same sets of congested years.  This outcome was anticipated because both procedures use an output-oriented VRS model as their point of departure.  Tone’s approach also gave estimates of the potential rise in output from eliminating congestion.  The scope for raising output in this way was particularly noticeable in textiles, with potential rises of 29.1% in 1988, 134.6% in 1989 and 31.5% in 1990.  The exceptionally large congestion score of 2.346 in 1989 can partly be explained by the fact that both factors were congested in that year.  There were only two other cases of capital congestion in textiles and only one in automobiles.  With this single exception, labour was the sole congesting factor in automobiles.</w:t>
      </w:r>
    </w:p>
    <w:p w:rsidR="00886AEB" w:rsidRDefault="00886AEB">
      <w:pPr>
        <w:widowControl w:val="0"/>
        <w:tabs>
          <w:tab w:val="left" w:pos="360"/>
        </w:tabs>
        <w:spacing w:line="480" w:lineRule="auto"/>
      </w:pPr>
      <w:r>
        <w:lastRenderedPageBreak/>
        <w:tab/>
        <w:t>The results revealed that the textile industry suffered from chronic scale inefficiency up to 1987, yet its performance was much better thereafter.  By contrast, scale efficiency in automobiles was generally high throughout the period under review.  Indeed, textiles was the industry that made the most progress in terms of reducing all types of technical inefficiency.</w:t>
      </w:r>
    </w:p>
    <w:p w:rsidR="00886AEB" w:rsidRDefault="00886AEB">
      <w:pPr>
        <w:widowControl w:val="0"/>
        <w:tabs>
          <w:tab w:val="left" w:pos="360"/>
        </w:tabs>
        <w:spacing w:line="480" w:lineRule="auto"/>
      </w:pPr>
      <w:r>
        <w:tab/>
        <w:t xml:space="preserve">It is worth attempting to reconcile the results obtained here with the earlier findings of </w:t>
      </w:r>
      <w:r>
        <w:rPr>
          <w:spacing w:val="-2"/>
        </w:rPr>
        <w:t>Cooper et al. [11], who examined data for three Chinese industries (textiles, chemicals and metallurgy) over the period 1966</w:t>
      </w:r>
      <w:r>
        <w:rPr>
          <w:spacing w:val="-2"/>
        </w:rPr>
        <w:sym w:font="Symbol" w:char="F02D"/>
      </w:r>
      <w:r>
        <w:rPr>
          <w:spacing w:val="-2"/>
        </w:rPr>
        <w:t xml:space="preserve">1988.  In most cases, Cooper et al. obtained noticeably larger amounts of congestion when their own method was employed, as opposed to that of </w:t>
      </w:r>
      <w:r>
        <w:t>Färe and Grosskopf [11, Tables 2</w:t>
      </w:r>
      <w:r>
        <w:sym w:font="Symbol" w:char="F02D"/>
      </w:r>
      <w:r>
        <w:t>4]</w:t>
      </w:r>
      <w:r>
        <w:rPr>
          <w:spacing w:val="-2"/>
        </w:rPr>
        <w:t>.</w:t>
      </w:r>
      <w:r>
        <w:rPr>
          <w:rStyle w:val="FootnoteReference"/>
          <w:spacing w:val="-2"/>
        </w:rPr>
        <w:footnoteReference w:id="25"/>
      </w:r>
      <w:r>
        <w:rPr>
          <w:spacing w:val="-2"/>
        </w:rPr>
        <w:t xml:space="preserve"> </w:t>
      </w:r>
      <w:r>
        <w:t xml:space="preserve"> However, it should be borne in mind that, when computing Färe’s measures, Cooper </w:t>
      </w:r>
      <w:r>
        <w:rPr>
          <w:i/>
        </w:rPr>
        <w:t>et al.</w:t>
      </w:r>
      <w:r>
        <w:t xml:space="preserve"> assumed VRS rather than </w:t>
      </w:r>
      <w:smartTag w:uri="urn:schemas-microsoft-com:office:smarttags" w:element="stockticker">
        <w:r>
          <w:t>CRS</w:t>
        </w:r>
      </w:smartTag>
      <w:r>
        <w:t>.</w:t>
      </w:r>
      <w:r w:rsidR="006D77F9">
        <w:rPr>
          <w:rStyle w:val="FootnoteReference"/>
        </w:rPr>
        <w:footnoteReference w:id="26"/>
      </w:r>
    </w:p>
    <w:p w:rsidR="00886AEB" w:rsidRDefault="00886AEB">
      <w:pPr>
        <w:widowControl w:val="0"/>
        <w:tabs>
          <w:tab w:val="left" w:pos="360"/>
        </w:tabs>
        <w:spacing w:line="480" w:lineRule="auto"/>
        <w:rPr>
          <w:spacing w:val="-2"/>
        </w:rPr>
      </w:pPr>
      <w:r>
        <w:tab/>
        <w:t>If we focus on labour congestion and assume VRS, then it is certainly true that, in both industries and in all years, C</w:t>
      </w:r>
      <w:r>
        <w:rPr>
          <w:vertAlign w:val="subscript"/>
        </w:rPr>
        <w:t>C</w:t>
      </w:r>
      <w:r>
        <w:t xml:space="preserve"> ≥ C</w:t>
      </w:r>
      <w:r>
        <w:rPr>
          <w:vertAlign w:val="subscript"/>
        </w:rPr>
        <w:t>F,VRS</w:t>
      </w:r>
      <w:r>
        <w:t>, where C</w:t>
      </w:r>
      <w:r>
        <w:rPr>
          <w:vertAlign w:val="subscript"/>
        </w:rPr>
        <w:t>C</w:t>
      </w:r>
      <w:r>
        <w:t xml:space="preserve"> denotes Cooper’s measure of congestion.  This can be verified from Figures </w:t>
      </w:r>
      <w:r w:rsidR="00E92239">
        <w:t>6</w:t>
      </w:r>
      <w:r>
        <w:t xml:space="preserve"> and </w:t>
      </w:r>
      <w:r w:rsidR="00E92239">
        <w:t>7</w:t>
      </w:r>
      <w:r>
        <w:t xml:space="preserve">, bearing in mind that Färe’s VRS-based measure registered no labour congestion in textiles in any year.  Hence these results are consistent with those of </w:t>
      </w:r>
      <w:r>
        <w:rPr>
          <w:spacing w:val="-2"/>
        </w:rPr>
        <w:t xml:space="preserve">Cooper et al.  What is more, if we ignore the first two years, then </w:t>
      </w:r>
      <w:r>
        <w:t>C</w:t>
      </w:r>
      <w:r>
        <w:rPr>
          <w:vertAlign w:val="subscript"/>
        </w:rPr>
        <w:t>C</w:t>
      </w:r>
      <w:r>
        <w:t xml:space="preserve"> ≥ C</w:t>
      </w:r>
      <w:r>
        <w:rPr>
          <w:vertAlign w:val="subscript"/>
        </w:rPr>
        <w:t>F,</w:t>
      </w:r>
      <w:smartTag w:uri="urn:schemas-microsoft-com:office:smarttags" w:element="stockticker">
        <w:r>
          <w:rPr>
            <w:vertAlign w:val="subscript"/>
          </w:rPr>
          <w:t>CRS</w:t>
        </w:r>
      </w:smartTag>
      <w:r>
        <w:t xml:space="preserve"> is demonstrably true in </w:t>
      </w:r>
      <w:r>
        <w:rPr>
          <w:spacing w:val="-2"/>
        </w:rPr>
        <w:t xml:space="preserve">the automobile industry.  However, the ranking in textiles is more ambiguous: </w:t>
      </w:r>
      <w:r>
        <w:t>C</w:t>
      </w:r>
      <w:r>
        <w:rPr>
          <w:vertAlign w:val="subscript"/>
        </w:rPr>
        <w:t>C</w:t>
      </w:r>
      <w:r>
        <w:t xml:space="preserve"> &gt; C</w:t>
      </w:r>
      <w:r>
        <w:rPr>
          <w:vertAlign w:val="subscript"/>
        </w:rPr>
        <w:t>F,</w:t>
      </w:r>
      <w:smartTag w:uri="urn:schemas-microsoft-com:office:smarttags" w:element="stockticker">
        <w:r>
          <w:rPr>
            <w:vertAlign w:val="subscript"/>
          </w:rPr>
          <w:t>CRS</w:t>
        </w:r>
      </w:smartTag>
      <w:r>
        <w:t xml:space="preserve"> in 1988 and 1989 but not in any other year.  Also, in most of these other years, C</w:t>
      </w:r>
      <w:r>
        <w:rPr>
          <w:vertAlign w:val="subscript"/>
        </w:rPr>
        <w:t>F,</w:t>
      </w:r>
      <w:smartTag w:uri="urn:schemas-microsoft-com:office:smarttags" w:element="stockticker">
        <w:r>
          <w:rPr>
            <w:vertAlign w:val="subscript"/>
          </w:rPr>
          <w:t>CRS</w:t>
        </w:r>
      </w:smartTag>
      <w:r>
        <w:t xml:space="preserve"> exceeds C</w:t>
      </w:r>
      <w:r>
        <w:rPr>
          <w:vertAlign w:val="subscript"/>
        </w:rPr>
        <w:t>C</w:t>
      </w:r>
      <w:r>
        <w:t xml:space="preserve"> by a wide margin.</w:t>
      </w:r>
    </w:p>
    <w:p w:rsidR="00886AEB" w:rsidRDefault="00886AEB">
      <w:pPr>
        <w:widowControl w:val="0"/>
        <w:tabs>
          <w:tab w:val="left" w:pos="360"/>
        </w:tabs>
        <w:spacing w:line="480" w:lineRule="auto"/>
        <w:rPr>
          <w:spacing w:val="-2"/>
        </w:rPr>
      </w:pPr>
      <w:r>
        <w:rPr>
          <w:spacing w:val="-2"/>
        </w:rPr>
        <w:tab/>
        <w:t>An important methodological finding of this paper is that is that it appears unnecessary, from a practical point of view, to use the second stage of Cooper’s method.  The minimal improvements in accuracy from using this refinement do not, in our opinion, justify the extra computational work involved.</w:t>
      </w:r>
      <w:r>
        <w:rPr>
          <w:rStyle w:val="FootnoteReference"/>
          <w:spacing w:val="-2"/>
        </w:rPr>
        <w:footnoteReference w:id="27"/>
      </w:r>
      <w:r>
        <w:rPr>
          <w:spacing w:val="-2"/>
        </w:rPr>
        <w:t xml:space="preserve">  Indeed, basing the calculations solely on the first stage would considerably enhance the attractiveness of Cooper’s method to practitioners.</w:t>
      </w:r>
    </w:p>
    <w:p w:rsidR="00886AEB" w:rsidRDefault="00886AEB">
      <w:pPr>
        <w:widowControl w:val="0"/>
        <w:tabs>
          <w:tab w:val="left" w:pos="360"/>
        </w:tabs>
        <w:spacing w:line="480" w:lineRule="auto"/>
        <w:rPr>
          <w:spacing w:val="-2"/>
        </w:rPr>
      </w:pPr>
      <w:r>
        <w:rPr>
          <w:spacing w:val="-2"/>
        </w:rPr>
        <w:lastRenderedPageBreak/>
        <w:tab/>
        <w:t>In view of the marked differences in the results generated by the alternative approaches examined in this paper, we believe that it would be wise for analysts not to rely on the outcomes from a single method of measuring congestion.  We would also urge that careful attention be paid to the theoretical properties of the measures used.</w:t>
      </w:r>
    </w:p>
    <w:p w:rsidR="00886AEB" w:rsidRDefault="00886AEB">
      <w:pPr>
        <w:widowControl w:val="0"/>
        <w:tabs>
          <w:tab w:val="left" w:pos="360"/>
        </w:tabs>
        <w:spacing w:line="480" w:lineRule="auto"/>
        <w:rPr>
          <w:spacing w:val="-2"/>
        </w:rPr>
      </w:pPr>
    </w:p>
    <w:p w:rsidR="00886AEB" w:rsidRDefault="00886AEB">
      <w:pPr>
        <w:widowControl w:val="0"/>
        <w:tabs>
          <w:tab w:val="left" w:pos="360"/>
        </w:tabs>
        <w:spacing w:line="480" w:lineRule="auto"/>
        <w:rPr>
          <w:b/>
          <w:spacing w:val="-2"/>
        </w:rPr>
      </w:pPr>
      <w:r>
        <w:rPr>
          <w:b/>
          <w:spacing w:val="-2"/>
        </w:rPr>
        <w:t>Acknowledgements</w:t>
      </w:r>
    </w:p>
    <w:p w:rsidR="00886AEB" w:rsidRDefault="00886AEB">
      <w:pPr>
        <w:widowControl w:val="0"/>
        <w:tabs>
          <w:tab w:val="left" w:pos="360"/>
        </w:tabs>
        <w:spacing w:line="480" w:lineRule="auto"/>
      </w:pPr>
      <w:r>
        <w:t>We would like to thank the three</w:t>
      </w:r>
      <w:r w:rsidR="00E309CB">
        <w:t xml:space="preserve"> anonymous</w:t>
      </w:r>
      <w:r>
        <w:t xml:space="preserve"> referees, the Editor</w:t>
      </w:r>
      <w:r w:rsidR="00E309CB">
        <w:t>-in-Chief, Dr. Barnett R. Parker</w:t>
      </w:r>
      <w:r>
        <w:t>, and our colleagues, John Sloman and Chris Webber, for their helpful suggestions.</w:t>
      </w:r>
    </w:p>
    <w:p w:rsidR="00886AEB" w:rsidRDefault="00886AEB" w:rsidP="00C02388">
      <w:pPr>
        <w:widowControl w:val="0"/>
        <w:tabs>
          <w:tab w:val="left" w:pos="360"/>
        </w:tabs>
        <w:spacing w:after="120" w:line="360" w:lineRule="auto"/>
        <w:rPr>
          <w:b/>
          <w:spacing w:val="-2"/>
        </w:rPr>
      </w:pPr>
      <w:r>
        <w:br w:type="page"/>
      </w:r>
      <w:r>
        <w:rPr>
          <w:b/>
          <w:spacing w:val="-2"/>
        </w:rPr>
        <w:lastRenderedPageBreak/>
        <w:t>References</w:t>
      </w:r>
    </w:p>
    <w:p w:rsidR="00886AEB" w:rsidRPr="006D6218" w:rsidRDefault="00886AEB" w:rsidP="00C02388">
      <w:pPr>
        <w:widowControl w:val="0"/>
        <w:tabs>
          <w:tab w:val="left" w:pos="-144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120" w:line="360" w:lineRule="auto"/>
        <w:ind w:left="544" w:hanging="544"/>
        <w:rPr>
          <w:spacing w:val="-2"/>
        </w:rPr>
      </w:pPr>
      <w:r w:rsidRPr="006D6218">
        <w:rPr>
          <w:spacing w:val="-2"/>
        </w:rPr>
        <w:t xml:space="preserve">  </w:t>
      </w:r>
      <w:smartTag w:uri="urn:schemas-microsoft-com:office:smarttags" w:element="Street">
        <w:smartTag w:uri="urn:schemas-microsoft-com:office:smarttags" w:element="address">
          <w:r w:rsidR="00926F3D" w:rsidRPr="006D6218">
            <w:rPr>
              <w:spacing w:val="-2"/>
            </w:rPr>
            <w:t>[</w:t>
          </w:r>
          <w:r w:rsidRPr="006D6218">
            <w:rPr>
              <w:spacing w:val="-2"/>
            </w:rPr>
            <w:t>1</w:t>
          </w:r>
          <w:r w:rsidR="00926F3D" w:rsidRPr="006D6218">
            <w:rPr>
              <w:spacing w:val="-2"/>
            </w:rPr>
            <w:t>]</w:t>
          </w:r>
          <w:r w:rsidRPr="006D6218">
            <w:rPr>
              <w:spacing w:val="-2"/>
            </w:rPr>
            <w:tab/>
          </w:r>
          <w:r w:rsidRPr="006D6218">
            <w:rPr>
              <w:spacing w:val="-2"/>
            </w:rPr>
            <w:tab/>
            <w:t>Brockett</w:t>
          </w:r>
          <w:r w:rsidR="006D6218" w:rsidRPr="006D6218">
            <w:rPr>
              <w:spacing w:val="-2"/>
            </w:rPr>
            <w:t xml:space="preserve"> PL</w:t>
          </w:r>
        </w:smartTag>
      </w:smartTag>
      <w:r w:rsidRPr="006D6218">
        <w:rPr>
          <w:spacing w:val="-2"/>
        </w:rPr>
        <w:t>, Cooper</w:t>
      </w:r>
      <w:r w:rsidR="006D6218" w:rsidRPr="006D6218">
        <w:rPr>
          <w:spacing w:val="-2"/>
        </w:rPr>
        <w:t xml:space="preserve"> WW</w:t>
      </w:r>
      <w:r w:rsidRPr="006D6218">
        <w:rPr>
          <w:spacing w:val="-2"/>
        </w:rPr>
        <w:t xml:space="preserve">, Deng </w:t>
      </w:r>
      <w:r w:rsidR="006D6218" w:rsidRPr="006D6218">
        <w:rPr>
          <w:spacing w:val="-2"/>
        </w:rPr>
        <w:t xml:space="preserve">H, </w:t>
      </w:r>
      <w:r w:rsidRPr="006D6218">
        <w:rPr>
          <w:spacing w:val="-2"/>
        </w:rPr>
        <w:t>Golden</w:t>
      </w:r>
      <w:r w:rsidR="006D6218" w:rsidRPr="006D6218">
        <w:rPr>
          <w:spacing w:val="-2"/>
        </w:rPr>
        <w:t xml:space="preserve"> L</w:t>
      </w:r>
      <w:r w:rsidRPr="006D6218">
        <w:rPr>
          <w:spacing w:val="-2"/>
        </w:rPr>
        <w:t>, Ruefli</w:t>
      </w:r>
      <w:r w:rsidR="006D6218" w:rsidRPr="006D6218">
        <w:rPr>
          <w:spacing w:val="-2"/>
        </w:rPr>
        <w:t xml:space="preserve"> TW</w:t>
      </w:r>
      <w:r w:rsidRPr="006D6218">
        <w:rPr>
          <w:spacing w:val="-2"/>
        </w:rPr>
        <w:t xml:space="preserve">. Using DEA to identify and manage congestion. Journal of Productivity Analysis </w:t>
      </w:r>
      <w:r w:rsidR="004D50A1">
        <w:rPr>
          <w:spacing w:val="-2"/>
        </w:rPr>
        <w:t xml:space="preserve">2004; </w:t>
      </w:r>
      <w:r w:rsidRPr="006D6218">
        <w:rPr>
          <w:spacing w:val="-2"/>
        </w:rPr>
        <w:t>22</w:t>
      </w:r>
      <w:r w:rsidR="004D50A1">
        <w:rPr>
          <w:spacing w:val="-2"/>
        </w:rPr>
        <w:t>:</w:t>
      </w:r>
      <w:r w:rsidRPr="006D6218">
        <w:rPr>
          <w:spacing w:val="-2"/>
        </w:rPr>
        <w:t xml:space="preserve"> 207–226.</w:t>
      </w:r>
    </w:p>
    <w:p w:rsidR="00886AEB" w:rsidRPr="006D6218" w:rsidRDefault="00886AEB" w:rsidP="00C02388">
      <w:pPr>
        <w:widowControl w:val="0"/>
        <w:tabs>
          <w:tab w:val="left" w:pos="-144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120" w:line="360" w:lineRule="auto"/>
        <w:ind w:left="547" w:hanging="547"/>
        <w:rPr>
          <w:spacing w:val="-2"/>
        </w:rPr>
      </w:pPr>
      <w:r w:rsidRPr="006D6218">
        <w:rPr>
          <w:spacing w:val="-2"/>
        </w:rPr>
        <w:t xml:space="preserve">  </w:t>
      </w:r>
      <w:r w:rsidR="00926F3D" w:rsidRPr="006D6218">
        <w:rPr>
          <w:spacing w:val="-2"/>
        </w:rPr>
        <w:t>[</w:t>
      </w:r>
      <w:r w:rsidRPr="006D6218">
        <w:rPr>
          <w:spacing w:val="-2"/>
        </w:rPr>
        <w:t>2</w:t>
      </w:r>
      <w:r w:rsidR="00926F3D" w:rsidRPr="006D6218">
        <w:rPr>
          <w:spacing w:val="-2"/>
        </w:rPr>
        <w:t>]</w:t>
      </w:r>
      <w:r w:rsidRPr="006D6218">
        <w:rPr>
          <w:spacing w:val="-2"/>
        </w:rPr>
        <w:tab/>
        <w:t>Brockett</w:t>
      </w:r>
      <w:r w:rsidR="004D50A1">
        <w:rPr>
          <w:spacing w:val="-2"/>
        </w:rPr>
        <w:t xml:space="preserve"> PL,</w:t>
      </w:r>
      <w:r w:rsidRPr="006D6218">
        <w:rPr>
          <w:spacing w:val="-2"/>
        </w:rPr>
        <w:t xml:space="preserve"> Cooper</w:t>
      </w:r>
      <w:r w:rsidR="004D50A1">
        <w:rPr>
          <w:spacing w:val="-2"/>
        </w:rPr>
        <w:t xml:space="preserve"> WW,</w:t>
      </w:r>
      <w:r w:rsidRPr="006D6218">
        <w:rPr>
          <w:spacing w:val="-2"/>
        </w:rPr>
        <w:t xml:space="preserve"> Shin</w:t>
      </w:r>
      <w:r w:rsidR="004D50A1">
        <w:rPr>
          <w:spacing w:val="-2"/>
        </w:rPr>
        <w:t xml:space="preserve"> HC, </w:t>
      </w:r>
      <w:r w:rsidRPr="006D6218">
        <w:rPr>
          <w:spacing w:val="-2"/>
        </w:rPr>
        <w:t>Wang</w:t>
      </w:r>
      <w:r w:rsidR="004D50A1">
        <w:rPr>
          <w:spacing w:val="-2"/>
        </w:rPr>
        <w:t xml:space="preserve"> Y</w:t>
      </w:r>
      <w:r w:rsidRPr="006D6218">
        <w:rPr>
          <w:spacing w:val="-2"/>
        </w:rPr>
        <w:t xml:space="preserve">. Inefficiency and congestion in Chinese production before and after the 1978 economic reforms. Socio-Economic Planning Sciences </w:t>
      </w:r>
      <w:r w:rsidR="007E1A4E">
        <w:rPr>
          <w:spacing w:val="-2"/>
        </w:rPr>
        <w:t xml:space="preserve">1998; </w:t>
      </w:r>
      <w:r w:rsidRPr="006D6218">
        <w:rPr>
          <w:spacing w:val="-2"/>
        </w:rPr>
        <w:t>32</w:t>
      </w:r>
      <w:r w:rsidR="007E1A4E">
        <w:rPr>
          <w:spacing w:val="-2"/>
        </w:rPr>
        <w:t>:</w:t>
      </w:r>
      <w:r w:rsidRPr="006D6218">
        <w:rPr>
          <w:spacing w:val="-2"/>
        </w:rPr>
        <w:t xml:space="preserve"> 1–20.</w:t>
      </w:r>
    </w:p>
    <w:p w:rsidR="00886AEB" w:rsidRPr="006D6218" w:rsidRDefault="00886AEB" w:rsidP="00C02388">
      <w:pPr>
        <w:widowControl w:val="0"/>
        <w:tabs>
          <w:tab w:val="left" w:pos="-144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120" w:line="360" w:lineRule="auto"/>
        <w:ind w:left="547" w:hanging="547"/>
        <w:rPr>
          <w:spacing w:val="-2"/>
        </w:rPr>
      </w:pPr>
      <w:r w:rsidRPr="006D6218">
        <w:rPr>
          <w:spacing w:val="-2"/>
        </w:rPr>
        <w:t xml:space="preserve">  </w:t>
      </w:r>
      <w:r w:rsidR="00926F3D" w:rsidRPr="006D6218">
        <w:rPr>
          <w:spacing w:val="-2"/>
        </w:rPr>
        <w:t>[</w:t>
      </w:r>
      <w:r w:rsidRPr="006D6218">
        <w:rPr>
          <w:spacing w:val="-2"/>
        </w:rPr>
        <w:t>3</w:t>
      </w:r>
      <w:r w:rsidR="00926F3D" w:rsidRPr="006D6218">
        <w:rPr>
          <w:spacing w:val="-2"/>
        </w:rPr>
        <w:t>]</w:t>
      </w:r>
      <w:r w:rsidRPr="006D6218">
        <w:rPr>
          <w:spacing w:val="-2"/>
        </w:rPr>
        <w:tab/>
        <w:t>Byrnes</w:t>
      </w:r>
      <w:r w:rsidR="004D50A1">
        <w:rPr>
          <w:spacing w:val="-2"/>
        </w:rPr>
        <w:t xml:space="preserve"> P</w:t>
      </w:r>
      <w:r w:rsidRPr="006D6218">
        <w:rPr>
          <w:spacing w:val="-2"/>
        </w:rPr>
        <w:t>, Färe</w:t>
      </w:r>
      <w:r w:rsidR="004D50A1">
        <w:rPr>
          <w:spacing w:val="-2"/>
        </w:rPr>
        <w:t xml:space="preserve"> R, </w:t>
      </w:r>
      <w:r w:rsidRPr="006D6218">
        <w:rPr>
          <w:spacing w:val="-2"/>
        </w:rPr>
        <w:t>Grosskopf</w:t>
      </w:r>
      <w:r w:rsidR="004D50A1">
        <w:rPr>
          <w:spacing w:val="-2"/>
        </w:rPr>
        <w:t xml:space="preserve"> S</w:t>
      </w:r>
      <w:r w:rsidRPr="006D6218">
        <w:rPr>
          <w:spacing w:val="-2"/>
        </w:rPr>
        <w:t xml:space="preserve">. Measuring productive efficiency: an application to </w:t>
      </w:r>
      <w:smartTag w:uri="urn:schemas-microsoft-com:office:smarttags" w:element="State">
        <w:smartTag w:uri="urn:schemas-microsoft-com:office:smarttags" w:element="place">
          <w:r w:rsidRPr="006D6218">
            <w:rPr>
              <w:spacing w:val="-2"/>
            </w:rPr>
            <w:t>Illinois</w:t>
          </w:r>
        </w:smartTag>
      </w:smartTag>
      <w:r w:rsidRPr="006D6218">
        <w:rPr>
          <w:spacing w:val="-2"/>
        </w:rPr>
        <w:t xml:space="preserve"> strip mines. Management Science </w:t>
      </w:r>
      <w:r w:rsidR="004D50A1">
        <w:rPr>
          <w:spacing w:val="-2"/>
        </w:rPr>
        <w:t xml:space="preserve">1984; </w:t>
      </w:r>
      <w:r w:rsidRPr="006D6218">
        <w:rPr>
          <w:spacing w:val="-2"/>
        </w:rPr>
        <w:t>30</w:t>
      </w:r>
      <w:r w:rsidR="004D50A1">
        <w:rPr>
          <w:spacing w:val="-2"/>
        </w:rPr>
        <w:t>:</w:t>
      </w:r>
      <w:r w:rsidRPr="006D6218">
        <w:rPr>
          <w:spacing w:val="-2"/>
        </w:rPr>
        <w:t xml:space="preserve"> 671–681.</w:t>
      </w:r>
    </w:p>
    <w:p w:rsidR="00886AEB" w:rsidRPr="006D6218" w:rsidRDefault="00886AEB" w:rsidP="00C02388">
      <w:pPr>
        <w:widowControl w:val="0"/>
        <w:tabs>
          <w:tab w:val="left" w:pos="-1440"/>
          <w:tab w:val="left" w:pos="-720"/>
          <w:tab w:val="left" w:pos="18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120" w:line="360" w:lineRule="auto"/>
        <w:ind w:left="547" w:hanging="547"/>
        <w:rPr>
          <w:spacing w:val="-2"/>
        </w:rPr>
      </w:pPr>
      <w:r w:rsidRPr="006D6218">
        <w:rPr>
          <w:spacing w:val="-2"/>
        </w:rPr>
        <w:t xml:space="preserve">  </w:t>
      </w:r>
      <w:r w:rsidR="00926F3D" w:rsidRPr="006D6218">
        <w:rPr>
          <w:spacing w:val="-2"/>
        </w:rPr>
        <w:t>[</w:t>
      </w:r>
      <w:r w:rsidRPr="006D6218">
        <w:rPr>
          <w:spacing w:val="-2"/>
        </w:rPr>
        <w:t>4</w:t>
      </w:r>
      <w:r w:rsidR="00926F3D" w:rsidRPr="006D6218">
        <w:rPr>
          <w:spacing w:val="-2"/>
        </w:rPr>
        <w:t>]</w:t>
      </w:r>
      <w:r w:rsidRPr="006D6218">
        <w:rPr>
          <w:spacing w:val="-2"/>
        </w:rPr>
        <w:tab/>
        <w:t>Cherchye</w:t>
      </w:r>
      <w:r w:rsidR="004D50A1">
        <w:rPr>
          <w:spacing w:val="-2"/>
        </w:rPr>
        <w:t xml:space="preserve"> L</w:t>
      </w:r>
      <w:r w:rsidRPr="006D6218">
        <w:rPr>
          <w:spacing w:val="-2"/>
        </w:rPr>
        <w:t>, Kuosmanen</w:t>
      </w:r>
      <w:r w:rsidR="004D50A1">
        <w:rPr>
          <w:spacing w:val="-2"/>
        </w:rPr>
        <w:t xml:space="preserve"> T</w:t>
      </w:r>
      <w:r w:rsidRPr="006D6218">
        <w:rPr>
          <w:spacing w:val="-2"/>
        </w:rPr>
        <w:t>, Post</w:t>
      </w:r>
      <w:r w:rsidR="004D50A1">
        <w:rPr>
          <w:spacing w:val="-2"/>
        </w:rPr>
        <w:t xml:space="preserve"> T</w:t>
      </w:r>
      <w:r w:rsidRPr="006D6218">
        <w:rPr>
          <w:spacing w:val="-2"/>
        </w:rPr>
        <w:t>. Alternative treatments of congestion in DEA: a rejoinder to Cooper, Gu, and Li. European Journal of Operational Research</w:t>
      </w:r>
      <w:r w:rsidR="004D50A1">
        <w:rPr>
          <w:spacing w:val="-2"/>
        </w:rPr>
        <w:t xml:space="preserve"> 2001;</w:t>
      </w:r>
      <w:r w:rsidRPr="006D6218">
        <w:rPr>
          <w:spacing w:val="-2"/>
        </w:rPr>
        <w:t xml:space="preserve"> 132</w:t>
      </w:r>
      <w:r w:rsidR="004D50A1">
        <w:rPr>
          <w:spacing w:val="-2"/>
        </w:rPr>
        <w:t>:</w:t>
      </w:r>
      <w:r w:rsidRPr="006D6218">
        <w:rPr>
          <w:spacing w:val="-2"/>
        </w:rPr>
        <w:t xml:space="preserve"> 75–80.</w:t>
      </w:r>
    </w:p>
    <w:p w:rsidR="00886AEB" w:rsidRPr="006D6218" w:rsidRDefault="00886AEB" w:rsidP="00C02388">
      <w:pPr>
        <w:widowControl w:val="0"/>
        <w:tabs>
          <w:tab w:val="left" w:pos="-1440"/>
          <w:tab w:val="left" w:pos="-720"/>
          <w:tab w:val="left" w:pos="18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120" w:line="360" w:lineRule="auto"/>
        <w:ind w:left="547" w:hanging="547"/>
        <w:rPr>
          <w:spacing w:val="-2"/>
        </w:rPr>
      </w:pPr>
      <w:r w:rsidRPr="006D6218">
        <w:rPr>
          <w:spacing w:val="-2"/>
        </w:rPr>
        <w:t xml:space="preserve">  </w:t>
      </w:r>
      <w:r w:rsidR="00926F3D" w:rsidRPr="006D6218">
        <w:rPr>
          <w:spacing w:val="-2"/>
        </w:rPr>
        <w:t>[</w:t>
      </w:r>
      <w:r w:rsidRPr="006D6218">
        <w:rPr>
          <w:spacing w:val="-2"/>
        </w:rPr>
        <w:t>5</w:t>
      </w:r>
      <w:r w:rsidR="00926F3D" w:rsidRPr="006D6218">
        <w:rPr>
          <w:spacing w:val="-2"/>
        </w:rPr>
        <w:t>]</w:t>
      </w:r>
      <w:r w:rsidRPr="006D6218">
        <w:rPr>
          <w:spacing w:val="-2"/>
        </w:rPr>
        <w:tab/>
        <w:t>Cooper</w:t>
      </w:r>
      <w:r w:rsidR="00D46939">
        <w:rPr>
          <w:spacing w:val="-2"/>
        </w:rPr>
        <w:t xml:space="preserve"> WW</w:t>
      </w:r>
      <w:r w:rsidRPr="006D6218">
        <w:rPr>
          <w:spacing w:val="-2"/>
        </w:rPr>
        <w:t>, Deng</w:t>
      </w:r>
      <w:r w:rsidR="00D46939">
        <w:rPr>
          <w:spacing w:val="-2"/>
        </w:rPr>
        <w:t xml:space="preserve"> H</w:t>
      </w:r>
      <w:r w:rsidRPr="006D6218">
        <w:rPr>
          <w:spacing w:val="-2"/>
        </w:rPr>
        <w:t>, Gu</w:t>
      </w:r>
      <w:r w:rsidR="00D46939">
        <w:rPr>
          <w:spacing w:val="-2"/>
        </w:rPr>
        <w:t xml:space="preserve"> B</w:t>
      </w:r>
      <w:r w:rsidRPr="006D6218">
        <w:rPr>
          <w:spacing w:val="-2"/>
        </w:rPr>
        <w:t>, Li</w:t>
      </w:r>
      <w:r w:rsidR="00D46939">
        <w:rPr>
          <w:spacing w:val="-2"/>
        </w:rPr>
        <w:t xml:space="preserve"> S</w:t>
      </w:r>
      <w:r w:rsidRPr="006D6218">
        <w:rPr>
          <w:spacing w:val="-2"/>
        </w:rPr>
        <w:t xml:space="preserve">, </w:t>
      </w:r>
      <w:r w:rsidR="00D46939">
        <w:rPr>
          <w:spacing w:val="-2"/>
        </w:rPr>
        <w:t>T</w:t>
      </w:r>
      <w:r w:rsidRPr="006D6218">
        <w:rPr>
          <w:spacing w:val="-2"/>
        </w:rPr>
        <w:t>hrall</w:t>
      </w:r>
      <w:r w:rsidR="00D46939">
        <w:rPr>
          <w:spacing w:val="-2"/>
        </w:rPr>
        <w:t xml:space="preserve"> RM</w:t>
      </w:r>
      <w:r w:rsidRPr="006D6218">
        <w:rPr>
          <w:spacing w:val="-2"/>
        </w:rPr>
        <w:t>. Using DEA to improve the management of congestion in Chinese industries (1981</w:t>
      </w:r>
      <w:r w:rsidRPr="006D6218">
        <w:rPr>
          <w:spacing w:val="-2"/>
        </w:rPr>
        <w:sym w:font="Symbol" w:char="F02D"/>
      </w:r>
      <w:r w:rsidRPr="006D6218">
        <w:rPr>
          <w:spacing w:val="-2"/>
        </w:rPr>
        <w:t>1997). Socio-Economic Planning Sciences</w:t>
      </w:r>
      <w:r w:rsidR="00D46939">
        <w:rPr>
          <w:spacing w:val="-2"/>
        </w:rPr>
        <w:t xml:space="preserve"> 2001;</w:t>
      </w:r>
      <w:r w:rsidRPr="006D6218">
        <w:rPr>
          <w:spacing w:val="-2"/>
        </w:rPr>
        <w:t xml:space="preserve"> 35</w:t>
      </w:r>
      <w:r w:rsidR="00D46939">
        <w:rPr>
          <w:spacing w:val="-2"/>
        </w:rPr>
        <w:t>:</w:t>
      </w:r>
      <w:r w:rsidRPr="006D6218">
        <w:rPr>
          <w:spacing w:val="-2"/>
        </w:rPr>
        <w:t xml:space="preserve"> 227–242.</w:t>
      </w:r>
    </w:p>
    <w:p w:rsidR="00886AEB" w:rsidRPr="006D6218" w:rsidRDefault="00886AEB" w:rsidP="00C02388">
      <w:pPr>
        <w:widowControl w:val="0"/>
        <w:tabs>
          <w:tab w:val="left" w:pos="-144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120" w:line="360" w:lineRule="auto"/>
        <w:ind w:left="547" w:hanging="547"/>
        <w:rPr>
          <w:spacing w:val="-2"/>
        </w:rPr>
      </w:pPr>
      <w:r w:rsidRPr="006D6218">
        <w:rPr>
          <w:spacing w:val="-2"/>
        </w:rPr>
        <w:t xml:space="preserve">  </w:t>
      </w:r>
      <w:r w:rsidR="00926F3D" w:rsidRPr="006D6218">
        <w:rPr>
          <w:spacing w:val="-2"/>
        </w:rPr>
        <w:t>[</w:t>
      </w:r>
      <w:r w:rsidRPr="006D6218">
        <w:rPr>
          <w:spacing w:val="-2"/>
        </w:rPr>
        <w:t>6</w:t>
      </w:r>
      <w:r w:rsidR="00926F3D" w:rsidRPr="006D6218">
        <w:rPr>
          <w:spacing w:val="-2"/>
        </w:rPr>
        <w:t>]</w:t>
      </w:r>
      <w:r w:rsidRPr="006D6218">
        <w:rPr>
          <w:spacing w:val="-2"/>
        </w:rPr>
        <w:tab/>
        <w:t>Cooper</w:t>
      </w:r>
      <w:r w:rsidR="00D46939">
        <w:rPr>
          <w:spacing w:val="-2"/>
        </w:rPr>
        <w:t xml:space="preserve"> WW</w:t>
      </w:r>
      <w:r w:rsidRPr="006D6218">
        <w:rPr>
          <w:spacing w:val="-2"/>
        </w:rPr>
        <w:t>, Deng</w:t>
      </w:r>
      <w:r w:rsidR="00D46939">
        <w:rPr>
          <w:spacing w:val="-2"/>
        </w:rPr>
        <w:t xml:space="preserve"> H</w:t>
      </w:r>
      <w:r w:rsidRPr="006D6218">
        <w:rPr>
          <w:spacing w:val="-2"/>
        </w:rPr>
        <w:t>, Huang</w:t>
      </w:r>
      <w:r w:rsidR="00D46939">
        <w:rPr>
          <w:spacing w:val="-2"/>
        </w:rPr>
        <w:t xml:space="preserve"> ZM</w:t>
      </w:r>
      <w:r w:rsidRPr="006D6218">
        <w:rPr>
          <w:spacing w:val="-2"/>
        </w:rPr>
        <w:t>, Li</w:t>
      </w:r>
      <w:r w:rsidR="00D46939">
        <w:rPr>
          <w:spacing w:val="-2"/>
        </w:rPr>
        <w:t xml:space="preserve"> SX</w:t>
      </w:r>
      <w:r w:rsidRPr="006D6218">
        <w:rPr>
          <w:spacing w:val="-2"/>
        </w:rPr>
        <w:t xml:space="preserve">. </w:t>
      </w:r>
      <w:r w:rsidRPr="006D6218">
        <w:t>A one-model approach to congestion in data envelopment analysis</w:t>
      </w:r>
      <w:r w:rsidRPr="006D6218">
        <w:rPr>
          <w:spacing w:val="-2"/>
        </w:rPr>
        <w:t xml:space="preserve">. Socio-Economic Planning Sciences </w:t>
      </w:r>
      <w:r w:rsidR="00D46939">
        <w:rPr>
          <w:spacing w:val="-2"/>
        </w:rPr>
        <w:t xml:space="preserve">2002; </w:t>
      </w:r>
      <w:r w:rsidRPr="006D6218">
        <w:rPr>
          <w:spacing w:val="-2"/>
        </w:rPr>
        <w:t>36</w:t>
      </w:r>
      <w:r w:rsidR="00D46939">
        <w:rPr>
          <w:spacing w:val="-2"/>
        </w:rPr>
        <w:t>:</w:t>
      </w:r>
      <w:r w:rsidRPr="006D6218">
        <w:rPr>
          <w:spacing w:val="-2"/>
        </w:rPr>
        <w:t xml:space="preserve"> 231–238.</w:t>
      </w:r>
    </w:p>
    <w:p w:rsidR="00886AEB" w:rsidRPr="006D6218" w:rsidRDefault="00886AEB" w:rsidP="00C02388">
      <w:pPr>
        <w:widowControl w:val="0"/>
        <w:tabs>
          <w:tab w:val="left" w:pos="-1440"/>
          <w:tab w:val="left" w:pos="-720"/>
          <w:tab w:val="left" w:pos="18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120" w:line="360" w:lineRule="auto"/>
        <w:ind w:left="547" w:hanging="547"/>
        <w:rPr>
          <w:spacing w:val="-2"/>
        </w:rPr>
      </w:pPr>
      <w:r w:rsidRPr="006D6218">
        <w:rPr>
          <w:spacing w:val="-2"/>
        </w:rPr>
        <w:t xml:space="preserve">  </w:t>
      </w:r>
      <w:r w:rsidR="00926F3D" w:rsidRPr="006D6218">
        <w:rPr>
          <w:spacing w:val="-2"/>
        </w:rPr>
        <w:t>[</w:t>
      </w:r>
      <w:r w:rsidRPr="006D6218">
        <w:rPr>
          <w:spacing w:val="-2"/>
        </w:rPr>
        <w:t>7</w:t>
      </w:r>
      <w:r w:rsidR="00926F3D" w:rsidRPr="006D6218">
        <w:rPr>
          <w:spacing w:val="-2"/>
        </w:rPr>
        <w:t>]</w:t>
      </w:r>
      <w:r w:rsidRPr="006D6218">
        <w:rPr>
          <w:spacing w:val="-2"/>
        </w:rPr>
        <w:tab/>
        <w:t>Cooper</w:t>
      </w:r>
      <w:r w:rsidR="00D46939">
        <w:rPr>
          <w:spacing w:val="-2"/>
        </w:rPr>
        <w:t xml:space="preserve"> WW</w:t>
      </w:r>
      <w:r w:rsidRPr="006D6218">
        <w:rPr>
          <w:spacing w:val="-2"/>
        </w:rPr>
        <w:t>, Deng</w:t>
      </w:r>
      <w:r w:rsidR="00D46939">
        <w:rPr>
          <w:spacing w:val="-2"/>
        </w:rPr>
        <w:t xml:space="preserve"> H</w:t>
      </w:r>
      <w:r w:rsidRPr="006D6218">
        <w:rPr>
          <w:spacing w:val="-2"/>
        </w:rPr>
        <w:t>, Seiford</w:t>
      </w:r>
      <w:r w:rsidR="00D46939">
        <w:rPr>
          <w:spacing w:val="-2"/>
        </w:rPr>
        <w:t xml:space="preserve"> LM</w:t>
      </w:r>
      <w:r w:rsidRPr="006D6218">
        <w:rPr>
          <w:spacing w:val="-2"/>
        </w:rPr>
        <w:t>, Zhu</w:t>
      </w:r>
      <w:r w:rsidR="00D46939">
        <w:rPr>
          <w:spacing w:val="-2"/>
        </w:rPr>
        <w:t xml:space="preserve"> J</w:t>
      </w:r>
      <w:r w:rsidRPr="006D6218">
        <w:rPr>
          <w:spacing w:val="-2"/>
        </w:rPr>
        <w:t>. C</w:t>
      </w:r>
      <w:r w:rsidRPr="006D6218">
        <w:t>ongestion: its identification and management with DEA. In</w:t>
      </w:r>
      <w:r w:rsidR="00D46939">
        <w:t>:</w:t>
      </w:r>
      <w:r w:rsidRPr="006D6218">
        <w:t xml:space="preserve"> </w:t>
      </w:r>
      <w:r w:rsidR="00D46939" w:rsidRPr="006D6218">
        <w:rPr>
          <w:spacing w:val="-2"/>
        </w:rPr>
        <w:t>Cooper</w:t>
      </w:r>
      <w:r w:rsidR="00D46939">
        <w:rPr>
          <w:spacing w:val="-2"/>
        </w:rPr>
        <w:t xml:space="preserve"> WW</w:t>
      </w:r>
      <w:r w:rsidR="00D46939" w:rsidRPr="006D6218">
        <w:rPr>
          <w:spacing w:val="-2"/>
        </w:rPr>
        <w:t>, Seiford</w:t>
      </w:r>
      <w:r w:rsidR="00D46939">
        <w:rPr>
          <w:spacing w:val="-2"/>
        </w:rPr>
        <w:t xml:space="preserve"> LM</w:t>
      </w:r>
      <w:r w:rsidR="00D46939" w:rsidRPr="006D6218">
        <w:rPr>
          <w:spacing w:val="-2"/>
        </w:rPr>
        <w:t>, Zhu</w:t>
      </w:r>
      <w:r w:rsidR="00D46939">
        <w:rPr>
          <w:spacing w:val="-2"/>
        </w:rPr>
        <w:t xml:space="preserve"> J,</w:t>
      </w:r>
      <w:r w:rsidR="00D46939" w:rsidRPr="006D6218">
        <w:t xml:space="preserve"> </w:t>
      </w:r>
      <w:r w:rsidR="00D46939">
        <w:t>e</w:t>
      </w:r>
      <w:r w:rsidR="00D46939" w:rsidRPr="006D6218">
        <w:rPr>
          <w:spacing w:val="-2"/>
        </w:rPr>
        <w:t>dit</w:t>
      </w:r>
      <w:r w:rsidR="00D46939">
        <w:rPr>
          <w:spacing w:val="-2"/>
        </w:rPr>
        <w:t>ors.</w:t>
      </w:r>
      <w:r w:rsidR="00D46939" w:rsidRPr="006D6218">
        <w:rPr>
          <w:spacing w:val="-2"/>
        </w:rPr>
        <w:t xml:space="preserve"> </w:t>
      </w:r>
      <w:r w:rsidRPr="006D6218">
        <w:t xml:space="preserve">Handbook of </w:t>
      </w:r>
      <w:r w:rsidR="00D46939">
        <w:t>d</w:t>
      </w:r>
      <w:r w:rsidRPr="006D6218">
        <w:t xml:space="preserve">ata </w:t>
      </w:r>
      <w:r w:rsidR="00D46939">
        <w:t>e</w:t>
      </w:r>
      <w:r w:rsidRPr="006D6218">
        <w:t xml:space="preserve">nvelopment </w:t>
      </w:r>
      <w:r w:rsidR="00D46939">
        <w:t>a</w:t>
      </w:r>
      <w:r w:rsidRPr="006D6218">
        <w:t>nalysis</w:t>
      </w:r>
      <w:r w:rsidRPr="006D6218">
        <w:rPr>
          <w:spacing w:val="-2"/>
        </w:rPr>
        <w:t xml:space="preserve">. </w:t>
      </w:r>
      <w:smartTag w:uri="urn:schemas-microsoft-com:office:smarttags" w:element="City">
        <w:smartTag w:uri="urn:schemas-microsoft-com:office:smarttags" w:element="place">
          <w:r w:rsidR="000E2B41" w:rsidRPr="006D6218">
            <w:rPr>
              <w:spacing w:val="-2"/>
            </w:rPr>
            <w:t>Boston</w:t>
          </w:r>
        </w:smartTag>
      </w:smartTag>
      <w:r w:rsidR="000E2B41">
        <w:rPr>
          <w:spacing w:val="-2"/>
        </w:rPr>
        <w:t>:</w:t>
      </w:r>
      <w:r w:rsidR="000E2B41" w:rsidRPr="006D6218">
        <w:rPr>
          <w:spacing w:val="-2"/>
        </w:rPr>
        <w:t xml:space="preserve"> </w:t>
      </w:r>
      <w:r w:rsidRPr="006D6218">
        <w:rPr>
          <w:spacing w:val="-2"/>
        </w:rPr>
        <w:t>Kluwer</w:t>
      </w:r>
      <w:r w:rsidR="00D46939">
        <w:rPr>
          <w:spacing w:val="-2"/>
        </w:rPr>
        <w:t>;</w:t>
      </w:r>
      <w:r w:rsidRPr="006D6218">
        <w:rPr>
          <w:spacing w:val="-2"/>
        </w:rPr>
        <w:t xml:space="preserve"> 2004</w:t>
      </w:r>
      <w:r w:rsidR="000E2B41">
        <w:rPr>
          <w:spacing w:val="-2"/>
        </w:rPr>
        <w:t xml:space="preserve">: </w:t>
      </w:r>
      <w:r w:rsidR="000E2B41" w:rsidRPr="006D6218">
        <w:t>177</w:t>
      </w:r>
      <w:r w:rsidR="000E2B41" w:rsidRPr="006D6218">
        <w:sym w:font="Symbol" w:char="F02D"/>
      </w:r>
      <w:r w:rsidR="000E2B41" w:rsidRPr="006D6218">
        <w:t>201</w:t>
      </w:r>
      <w:r w:rsidRPr="006D6218">
        <w:rPr>
          <w:spacing w:val="-2"/>
        </w:rPr>
        <w:t>.</w:t>
      </w:r>
    </w:p>
    <w:p w:rsidR="00886AEB" w:rsidRPr="006D6218" w:rsidRDefault="00886AEB" w:rsidP="00C02388">
      <w:pPr>
        <w:widowControl w:val="0"/>
        <w:tabs>
          <w:tab w:val="left" w:pos="-144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120" w:line="360" w:lineRule="auto"/>
        <w:ind w:left="547" w:hanging="547"/>
        <w:rPr>
          <w:spacing w:val="-2"/>
        </w:rPr>
      </w:pPr>
      <w:r w:rsidRPr="006D6218">
        <w:rPr>
          <w:spacing w:val="-2"/>
        </w:rPr>
        <w:t xml:space="preserve">  </w:t>
      </w:r>
      <w:r w:rsidR="00926F3D" w:rsidRPr="006D6218">
        <w:rPr>
          <w:spacing w:val="-2"/>
        </w:rPr>
        <w:t>[</w:t>
      </w:r>
      <w:r w:rsidRPr="006D6218">
        <w:rPr>
          <w:spacing w:val="-2"/>
        </w:rPr>
        <w:t>8</w:t>
      </w:r>
      <w:r w:rsidR="00926F3D" w:rsidRPr="006D6218">
        <w:rPr>
          <w:spacing w:val="-2"/>
        </w:rPr>
        <w:t>]</w:t>
      </w:r>
      <w:r w:rsidRPr="006D6218">
        <w:rPr>
          <w:spacing w:val="-2"/>
        </w:rPr>
        <w:tab/>
        <w:t>Cooper</w:t>
      </w:r>
      <w:r w:rsidR="000E2B41">
        <w:rPr>
          <w:spacing w:val="-2"/>
        </w:rPr>
        <w:t xml:space="preserve"> WW</w:t>
      </w:r>
      <w:r w:rsidRPr="006D6218">
        <w:rPr>
          <w:spacing w:val="-2"/>
        </w:rPr>
        <w:t>, Gu</w:t>
      </w:r>
      <w:r w:rsidR="000E2B41">
        <w:rPr>
          <w:spacing w:val="-2"/>
        </w:rPr>
        <w:t xml:space="preserve"> B</w:t>
      </w:r>
      <w:r w:rsidRPr="006D6218">
        <w:rPr>
          <w:spacing w:val="-2"/>
        </w:rPr>
        <w:t>, Li</w:t>
      </w:r>
      <w:r w:rsidR="000E2B41">
        <w:rPr>
          <w:spacing w:val="-2"/>
        </w:rPr>
        <w:t xml:space="preserve"> S</w:t>
      </w:r>
      <w:r w:rsidRPr="006D6218">
        <w:rPr>
          <w:spacing w:val="-2"/>
        </w:rPr>
        <w:t>. Comparisons and evaluations of alternative approaches to the treatment of congestion in DEA. European Journal of Operational Research</w:t>
      </w:r>
      <w:r w:rsidR="000E2B41">
        <w:rPr>
          <w:spacing w:val="-2"/>
        </w:rPr>
        <w:t xml:space="preserve"> 2001;</w:t>
      </w:r>
      <w:r w:rsidRPr="006D6218">
        <w:rPr>
          <w:spacing w:val="-2"/>
        </w:rPr>
        <w:t xml:space="preserve"> 132</w:t>
      </w:r>
      <w:r w:rsidR="000E2B41">
        <w:rPr>
          <w:spacing w:val="-2"/>
        </w:rPr>
        <w:t>:</w:t>
      </w:r>
      <w:r w:rsidRPr="006D6218">
        <w:rPr>
          <w:spacing w:val="-2"/>
        </w:rPr>
        <w:t xml:space="preserve"> 62–74.</w:t>
      </w:r>
    </w:p>
    <w:p w:rsidR="00886AEB" w:rsidRPr="006D6218" w:rsidRDefault="00886AEB" w:rsidP="00C02388">
      <w:pPr>
        <w:widowControl w:val="0"/>
        <w:tabs>
          <w:tab w:val="left" w:pos="-1440"/>
          <w:tab w:val="left" w:pos="-720"/>
          <w:tab w:val="left" w:pos="18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120" w:line="360" w:lineRule="auto"/>
        <w:ind w:left="547" w:hanging="547"/>
        <w:rPr>
          <w:spacing w:val="-2"/>
        </w:rPr>
      </w:pPr>
      <w:r w:rsidRPr="006D6218">
        <w:rPr>
          <w:spacing w:val="-2"/>
        </w:rPr>
        <w:t xml:space="preserve">  </w:t>
      </w:r>
      <w:r w:rsidR="00926F3D" w:rsidRPr="006D6218">
        <w:rPr>
          <w:spacing w:val="-2"/>
        </w:rPr>
        <w:t>[</w:t>
      </w:r>
      <w:r w:rsidRPr="006D6218">
        <w:rPr>
          <w:spacing w:val="-2"/>
        </w:rPr>
        <w:t>9</w:t>
      </w:r>
      <w:r w:rsidR="00926F3D" w:rsidRPr="006D6218">
        <w:rPr>
          <w:spacing w:val="-2"/>
        </w:rPr>
        <w:t>]</w:t>
      </w:r>
      <w:r w:rsidRPr="006D6218">
        <w:rPr>
          <w:spacing w:val="-2"/>
        </w:rPr>
        <w:tab/>
        <w:t>Cooper</w:t>
      </w:r>
      <w:r w:rsidR="000E2B41">
        <w:rPr>
          <w:spacing w:val="-2"/>
        </w:rPr>
        <w:t xml:space="preserve"> WW</w:t>
      </w:r>
      <w:r w:rsidRPr="006D6218">
        <w:rPr>
          <w:spacing w:val="-2"/>
        </w:rPr>
        <w:t>, Gu</w:t>
      </w:r>
      <w:r w:rsidR="000E2B41">
        <w:rPr>
          <w:spacing w:val="-2"/>
        </w:rPr>
        <w:t xml:space="preserve"> B</w:t>
      </w:r>
      <w:r w:rsidRPr="006D6218">
        <w:rPr>
          <w:spacing w:val="-2"/>
        </w:rPr>
        <w:t>, Li</w:t>
      </w:r>
      <w:r w:rsidR="000E2B41">
        <w:rPr>
          <w:spacing w:val="-2"/>
        </w:rPr>
        <w:t xml:space="preserve"> S</w:t>
      </w:r>
      <w:r w:rsidRPr="006D6218">
        <w:rPr>
          <w:spacing w:val="-2"/>
        </w:rPr>
        <w:t xml:space="preserve">. Note: alternative treatments of congestion in DEA – a response to the Cherchye, Kuosmanen and Post critique, European Journal of Operational Research </w:t>
      </w:r>
      <w:r w:rsidR="000E2B41">
        <w:rPr>
          <w:spacing w:val="-2"/>
        </w:rPr>
        <w:t xml:space="preserve">2001; </w:t>
      </w:r>
      <w:r w:rsidRPr="006D6218">
        <w:rPr>
          <w:spacing w:val="-2"/>
        </w:rPr>
        <w:t>132</w:t>
      </w:r>
      <w:r w:rsidR="000E2B41">
        <w:rPr>
          <w:spacing w:val="-2"/>
        </w:rPr>
        <w:t>:</w:t>
      </w:r>
      <w:r w:rsidRPr="006D6218">
        <w:rPr>
          <w:spacing w:val="-2"/>
        </w:rPr>
        <w:t xml:space="preserve"> 81–87.</w:t>
      </w:r>
    </w:p>
    <w:p w:rsidR="00886AEB" w:rsidRPr="006D6218" w:rsidRDefault="00926F3D" w:rsidP="00C02388">
      <w:pPr>
        <w:widowControl w:val="0"/>
        <w:tabs>
          <w:tab w:val="left" w:pos="-144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120" w:line="360" w:lineRule="auto"/>
        <w:ind w:left="547" w:hanging="547"/>
        <w:rPr>
          <w:spacing w:val="-2"/>
        </w:rPr>
      </w:pPr>
      <w:r w:rsidRPr="006D6218">
        <w:rPr>
          <w:spacing w:val="-2"/>
        </w:rPr>
        <w:t>[</w:t>
      </w:r>
      <w:r w:rsidR="00886AEB" w:rsidRPr="006D6218">
        <w:rPr>
          <w:spacing w:val="-2"/>
        </w:rPr>
        <w:t>10</w:t>
      </w:r>
      <w:r w:rsidRPr="006D6218">
        <w:rPr>
          <w:spacing w:val="-2"/>
        </w:rPr>
        <w:t>]</w:t>
      </w:r>
      <w:r w:rsidR="00886AEB" w:rsidRPr="006D6218">
        <w:rPr>
          <w:spacing w:val="-2"/>
        </w:rPr>
        <w:tab/>
        <w:t>Cooper</w:t>
      </w:r>
      <w:r w:rsidR="007E1A4E">
        <w:rPr>
          <w:spacing w:val="-2"/>
        </w:rPr>
        <w:t xml:space="preserve"> WW</w:t>
      </w:r>
      <w:r w:rsidR="00886AEB" w:rsidRPr="006D6218">
        <w:rPr>
          <w:spacing w:val="-2"/>
        </w:rPr>
        <w:t>, Seiford</w:t>
      </w:r>
      <w:r w:rsidR="007E1A4E">
        <w:rPr>
          <w:spacing w:val="-2"/>
        </w:rPr>
        <w:t xml:space="preserve"> LM</w:t>
      </w:r>
      <w:r w:rsidR="00886AEB" w:rsidRPr="006D6218">
        <w:rPr>
          <w:spacing w:val="-2"/>
        </w:rPr>
        <w:t>, Tone</w:t>
      </w:r>
      <w:r w:rsidR="007E1A4E">
        <w:rPr>
          <w:spacing w:val="-2"/>
        </w:rPr>
        <w:t xml:space="preserve"> K</w:t>
      </w:r>
      <w:r w:rsidR="00886AEB" w:rsidRPr="006D6218">
        <w:rPr>
          <w:spacing w:val="-2"/>
        </w:rPr>
        <w:t xml:space="preserve">. Data </w:t>
      </w:r>
      <w:r w:rsidR="007E1A4E">
        <w:rPr>
          <w:spacing w:val="-2"/>
        </w:rPr>
        <w:t>e</w:t>
      </w:r>
      <w:r w:rsidR="00886AEB" w:rsidRPr="006D6218">
        <w:rPr>
          <w:spacing w:val="-2"/>
        </w:rPr>
        <w:t xml:space="preserve">nvelopment </w:t>
      </w:r>
      <w:r w:rsidR="007E1A4E">
        <w:rPr>
          <w:spacing w:val="-2"/>
        </w:rPr>
        <w:t>a</w:t>
      </w:r>
      <w:r w:rsidR="00886AEB" w:rsidRPr="006D6218">
        <w:rPr>
          <w:spacing w:val="-2"/>
        </w:rPr>
        <w:t>nalysis, 2</w:t>
      </w:r>
      <w:r w:rsidR="00886AEB" w:rsidRPr="006D6218">
        <w:rPr>
          <w:spacing w:val="-2"/>
          <w:vertAlign w:val="superscript"/>
        </w:rPr>
        <w:t>nd</w:t>
      </w:r>
      <w:r w:rsidR="00886AEB" w:rsidRPr="006D6218">
        <w:rPr>
          <w:spacing w:val="-2"/>
        </w:rPr>
        <w:t xml:space="preserve"> edition. </w:t>
      </w:r>
      <w:smartTag w:uri="urn:schemas-microsoft-com:office:smarttags" w:element="State">
        <w:smartTag w:uri="urn:schemas-microsoft-com:office:smarttags" w:element="place">
          <w:r w:rsidR="007E1A4E" w:rsidRPr="006D6218">
            <w:rPr>
              <w:spacing w:val="-2"/>
            </w:rPr>
            <w:t>New York</w:t>
          </w:r>
        </w:smartTag>
      </w:smartTag>
      <w:r w:rsidR="007E1A4E">
        <w:rPr>
          <w:spacing w:val="-2"/>
        </w:rPr>
        <w:t>:</w:t>
      </w:r>
      <w:r w:rsidR="007E1A4E" w:rsidRPr="006D6218">
        <w:rPr>
          <w:spacing w:val="-2"/>
        </w:rPr>
        <w:t xml:space="preserve"> </w:t>
      </w:r>
      <w:r w:rsidR="00886AEB" w:rsidRPr="006D6218">
        <w:rPr>
          <w:spacing w:val="-2"/>
        </w:rPr>
        <w:t>Springer</w:t>
      </w:r>
      <w:r w:rsidR="007E1A4E">
        <w:rPr>
          <w:spacing w:val="-2"/>
        </w:rPr>
        <w:t>;</w:t>
      </w:r>
      <w:r w:rsidR="00886AEB" w:rsidRPr="006D6218">
        <w:rPr>
          <w:spacing w:val="-2"/>
        </w:rPr>
        <w:t xml:space="preserve"> 2007.</w:t>
      </w:r>
    </w:p>
    <w:p w:rsidR="00886AEB" w:rsidRPr="006D6218" w:rsidRDefault="00926F3D" w:rsidP="00C02388">
      <w:pPr>
        <w:widowControl w:val="0"/>
        <w:tabs>
          <w:tab w:val="left" w:pos="-1440"/>
          <w:tab w:val="left" w:pos="-720"/>
          <w:tab w:val="left" w:pos="18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120" w:line="360" w:lineRule="auto"/>
        <w:ind w:left="547" w:hanging="547"/>
        <w:rPr>
          <w:spacing w:val="-2"/>
        </w:rPr>
      </w:pPr>
      <w:r w:rsidRPr="006D6218">
        <w:rPr>
          <w:spacing w:val="-2"/>
        </w:rPr>
        <w:t>[</w:t>
      </w:r>
      <w:r w:rsidR="00886AEB" w:rsidRPr="006D6218">
        <w:rPr>
          <w:spacing w:val="-2"/>
        </w:rPr>
        <w:t>11</w:t>
      </w:r>
      <w:r w:rsidRPr="006D6218">
        <w:rPr>
          <w:spacing w:val="-2"/>
        </w:rPr>
        <w:t>]</w:t>
      </w:r>
      <w:r w:rsidR="00886AEB" w:rsidRPr="006D6218">
        <w:rPr>
          <w:spacing w:val="-2"/>
        </w:rPr>
        <w:tab/>
      </w:r>
      <w:r w:rsidR="007E1A4E">
        <w:rPr>
          <w:spacing w:val="-2"/>
        </w:rPr>
        <w:t>Cooper WW,</w:t>
      </w:r>
      <w:r w:rsidR="00886AEB" w:rsidRPr="006D6218">
        <w:rPr>
          <w:spacing w:val="-2"/>
        </w:rPr>
        <w:t xml:space="preserve"> Seiford</w:t>
      </w:r>
      <w:r w:rsidR="007E1A4E">
        <w:rPr>
          <w:spacing w:val="-2"/>
        </w:rPr>
        <w:t xml:space="preserve"> LM</w:t>
      </w:r>
      <w:r w:rsidR="00886AEB" w:rsidRPr="006D6218">
        <w:rPr>
          <w:spacing w:val="-2"/>
        </w:rPr>
        <w:t>, Zhu</w:t>
      </w:r>
      <w:r w:rsidR="007E1A4E">
        <w:rPr>
          <w:spacing w:val="-2"/>
        </w:rPr>
        <w:t xml:space="preserve"> J</w:t>
      </w:r>
      <w:r w:rsidR="00886AEB" w:rsidRPr="006D6218">
        <w:rPr>
          <w:spacing w:val="-2"/>
        </w:rPr>
        <w:t xml:space="preserve">. A unified additive model approach for evaluating inefficiency and congestion with associated measures in DEA. Socio-Economic Planning Sciences </w:t>
      </w:r>
      <w:r w:rsidR="007E1A4E">
        <w:rPr>
          <w:spacing w:val="-2"/>
        </w:rPr>
        <w:t xml:space="preserve">2000; </w:t>
      </w:r>
      <w:r w:rsidR="00886AEB" w:rsidRPr="006D6218">
        <w:rPr>
          <w:spacing w:val="-2"/>
        </w:rPr>
        <w:t>34</w:t>
      </w:r>
      <w:r w:rsidR="007E1A4E">
        <w:rPr>
          <w:spacing w:val="-2"/>
        </w:rPr>
        <w:t>:</w:t>
      </w:r>
      <w:r w:rsidR="00886AEB" w:rsidRPr="006D6218">
        <w:rPr>
          <w:spacing w:val="-2"/>
        </w:rPr>
        <w:t xml:space="preserve"> 1–25.</w:t>
      </w:r>
    </w:p>
    <w:p w:rsidR="00C02388" w:rsidRPr="006D6218" w:rsidRDefault="00C02388" w:rsidP="00C02388">
      <w:pPr>
        <w:widowControl w:val="0"/>
        <w:tabs>
          <w:tab w:val="left" w:pos="-1440"/>
          <w:tab w:val="left" w:pos="-720"/>
          <w:tab w:val="left" w:pos="18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120" w:line="360" w:lineRule="auto"/>
        <w:ind w:left="547" w:hanging="547"/>
        <w:rPr>
          <w:spacing w:val="-2"/>
        </w:rPr>
      </w:pPr>
    </w:p>
    <w:p w:rsidR="00886AEB" w:rsidRPr="006D6218" w:rsidRDefault="00926F3D" w:rsidP="00C02388">
      <w:pPr>
        <w:widowControl w:val="0"/>
        <w:tabs>
          <w:tab w:val="left" w:pos="-1440"/>
          <w:tab w:val="left" w:pos="-720"/>
          <w:tab w:val="left" w:pos="18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120" w:line="360" w:lineRule="auto"/>
        <w:ind w:left="547" w:hanging="547"/>
        <w:rPr>
          <w:spacing w:val="-2"/>
        </w:rPr>
      </w:pPr>
      <w:r w:rsidRPr="006D6218">
        <w:rPr>
          <w:spacing w:val="-2"/>
        </w:rPr>
        <w:lastRenderedPageBreak/>
        <w:t>[</w:t>
      </w:r>
      <w:r w:rsidR="00886AEB" w:rsidRPr="006D6218">
        <w:rPr>
          <w:spacing w:val="-2"/>
        </w:rPr>
        <w:t>12</w:t>
      </w:r>
      <w:r w:rsidRPr="006D6218">
        <w:rPr>
          <w:spacing w:val="-2"/>
        </w:rPr>
        <w:t>]</w:t>
      </w:r>
      <w:r w:rsidR="00886AEB" w:rsidRPr="006D6218">
        <w:rPr>
          <w:spacing w:val="-2"/>
        </w:rPr>
        <w:tab/>
        <w:t>Cooper</w:t>
      </w:r>
      <w:r w:rsidR="007E1A4E">
        <w:rPr>
          <w:spacing w:val="-2"/>
        </w:rPr>
        <w:t xml:space="preserve"> WW</w:t>
      </w:r>
      <w:r w:rsidR="00886AEB" w:rsidRPr="006D6218">
        <w:rPr>
          <w:spacing w:val="-2"/>
        </w:rPr>
        <w:t>, Seiford</w:t>
      </w:r>
      <w:r w:rsidR="007E1A4E">
        <w:rPr>
          <w:spacing w:val="-2"/>
        </w:rPr>
        <w:t xml:space="preserve"> LM</w:t>
      </w:r>
      <w:r w:rsidR="00886AEB" w:rsidRPr="006D6218">
        <w:rPr>
          <w:spacing w:val="-2"/>
        </w:rPr>
        <w:t>, Zhu</w:t>
      </w:r>
      <w:r w:rsidR="007E1A4E">
        <w:rPr>
          <w:spacing w:val="-2"/>
        </w:rPr>
        <w:t xml:space="preserve"> J</w:t>
      </w:r>
      <w:r w:rsidR="00886AEB" w:rsidRPr="006D6218">
        <w:rPr>
          <w:spacing w:val="-2"/>
        </w:rPr>
        <w:t>. Slacks and congestion: response to a comment by R. Färe and S. Grosskopf.</w:t>
      </w:r>
      <w:r w:rsidR="007E1A4E">
        <w:rPr>
          <w:spacing w:val="-2"/>
        </w:rPr>
        <w:t xml:space="preserve"> </w:t>
      </w:r>
      <w:r w:rsidR="00886AEB" w:rsidRPr="006D6218">
        <w:rPr>
          <w:spacing w:val="-2"/>
        </w:rPr>
        <w:t xml:space="preserve">Socio-Economic Planning Sciences </w:t>
      </w:r>
      <w:r w:rsidR="007E1A4E">
        <w:rPr>
          <w:spacing w:val="-2"/>
        </w:rPr>
        <w:t xml:space="preserve">2001; </w:t>
      </w:r>
      <w:r w:rsidR="00886AEB" w:rsidRPr="006D6218">
        <w:rPr>
          <w:spacing w:val="-2"/>
        </w:rPr>
        <w:t>35</w:t>
      </w:r>
      <w:r w:rsidR="007E1A4E">
        <w:rPr>
          <w:spacing w:val="-2"/>
        </w:rPr>
        <w:t>:</w:t>
      </w:r>
      <w:r w:rsidR="00886AEB" w:rsidRPr="006D6218">
        <w:rPr>
          <w:spacing w:val="-2"/>
        </w:rPr>
        <w:t xml:space="preserve"> 205–215.</w:t>
      </w:r>
    </w:p>
    <w:p w:rsidR="00886AEB" w:rsidRPr="006D6218" w:rsidRDefault="00926F3D" w:rsidP="00C02388">
      <w:pPr>
        <w:widowControl w:val="0"/>
        <w:tabs>
          <w:tab w:val="left" w:pos="-144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120" w:line="360" w:lineRule="auto"/>
        <w:ind w:left="547" w:hanging="547"/>
        <w:rPr>
          <w:spacing w:val="-2"/>
        </w:rPr>
      </w:pPr>
      <w:r w:rsidRPr="006D6218">
        <w:rPr>
          <w:spacing w:val="-2"/>
        </w:rPr>
        <w:t>[</w:t>
      </w:r>
      <w:r w:rsidR="00886AEB" w:rsidRPr="006D6218">
        <w:rPr>
          <w:spacing w:val="-2"/>
        </w:rPr>
        <w:t>13</w:t>
      </w:r>
      <w:r w:rsidRPr="006D6218">
        <w:rPr>
          <w:spacing w:val="-2"/>
        </w:rPr>
        <w:t>]</w:t>
      </w:r>
      <w:r w:rsidR="00886AEB" w:rsidRPr="006D6218">
        <w:rPr>
          <w:spacing w:val="-2"/>
        </w:rPr>
        <w:tab/>
        <w:t>Cooper</w:t>
      </w:r>
      <w:r w:rsidR="007E1A4E">
        <w:rPr>
          <w:spacing w:val="-2"/>
        </w:rPr>
        <w:t xml:space="preserve"> WW</w:t>
      </w:r>
      <w:r w:rsidR="00886AEB" w:rsidRPr="006D6218">
        <w:rPr>
          <w:spacing w:val="-2"/>
        </w:rPr>
        <w:t>, Thompson</w:t>
      </w:r>
      <w:r w:rsidR="007E1A4E">
        <w:rPr>
          <w:spacing w:val="-2"/>
        </w:rPr>
        <w:t xml:space="preserve"> RG</w:t>
      </w:r>
      <w:r w:rsidR="00886AEB" w:rsidRPr="006D6218">
        <w:rPr>
          <w:spacing w:val="-2"/>
        </w:rPr>
        <w:t>, Thrall</w:t>
      </w:r>
      <w:r w:rsidR="007E1A4E">
        <w:rPr>
          <w:spacing w:val="-2"/>
        </w:rPr>
        <w:t xml:space="preserve"> RM</w:t>
      </w:r>
      <w:r w:rsidR="00886AEB" w:rsidRPr="006D6218">
        <w:rPr>
          <w:spacing w:val="-2"/>
        </w:rPr>
        <w:t xml:space="preserve">. Introduction: extensions and new developments in DEA. Annals of Operations Research </w:t>
      </w:r>
      <w:r w:rsidR="007E1A4E">
        <w:rPr>
          <w:spacing w:val="-2"/>
        </w:rPr>
        <w:t xml:space="preserve">1996; </w:t>
      </w:r>
      <w:r w:rsidR="00886AEB" w:rsidRPr="006D6218">
        <w:rPr>
          <w:spacing w:val="-2"/>
        </w:rPr>
        <w:t>66</w:t>
      </w:r>
      <w:r w:rsidR="007E1A4E">
        <w:rPr>
          <w:spacing w:val="-2"/>
        </w:rPr>
        <w:t>;</w:t>
      </w:r>
      <w:r w:rsidR="00886AEB" w:rsidRPr="006D6218">
        <w:rPr>
          <w:spacing w:val="-2"/>
        </w:rPr>
        <w:t xml:space="preserve"> 3–45.</w:t>
      </w:r>
    </w:p>
    <w:p w:rsidR="00886AEB" w:rsidRPr="006D6218" w:rsidRDefault="00926F3D" w:rsidP="00C02388">
      <w:pPr>
        <w:widowControl w:val="0"/>
        <w:tabs>
          <w:tab w:val="left" w:pos="-144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120" w:line="360" w:lineRule="auto"/>
        <w:ind w:left="547" w:hanging="547"/>
        <w:rPr>
          <w:spacing w:val="-2"/>
        </w:rPr>
      </w:pPr>
      <w:r w:rsidRPr="006D6218">
        <w:rPr>
          <w:spacing w:val="-2"/>
        </w:rPr>
        <w:t>[</w:t>
      </w:r>
      <w:r w:rsidR="00886AEB" w:rsidRPr="006D6218">
        <w:rPr>
          <w:spacing w:val="-2"/>
        </w:rPr>
        <w:t>14</w:t>
      </w:r>
      <w:r w:rsidRPr="006D6218">
        <w:rPr>
          <w:spacing w:val="-2"/>
        </w:rPr>
        <w:t>]</w:t>
      </w:r>
      <w:r w:rsidR="00886AEB" w:rsidRPr="006D6218">
        <w:rPr>
          <w:spacing w:val="-2"/>
        </w:rPr>
        <w:tab/>
        <w:t>Färe</w:t>
      </w:r>
      <w:r w:rsidR="00FC2956">
        <w:rPr>
          <w:spacing w:val="-2"/>
        </w:rPr>
        <w:t xml:space="preserve"> R</w:t>
      </w:r>
      <w:r w:rsidR="00886AEB" w:rsidRPr="006D6218">
        <w:rPr>
          <w:spacing w:val="-2"/>
        </w:rPr>
        <w:t>, Grosskopf</w:t>
      </w:r>
      <w:r w:rsidR="00FC2956">
        <w:rPr>
          <w:spacing w:val="-2"/>
        </w:rPr>
        <w:t xml:space="preserve"> S</w:t>
      </w:r>
      <w:r w:rsidR="00886AEB" w:rsidRPr="006D6218">
        <w:rPr>
          <w:spacing w:val="-2"/>
        </w:rPr>
        <w:t xml:space="preserve">. Measuring congestion in production. Zeitschrift für Nationalökonomie </w:t>
      </w:r>
      <w:r w:rsidR="00FC2956">
        <w:rPr>
          <w:spacing w:val="-2"/>
        </w:rPr>
        <w:t xml:space="preserve">1983; </w:t>
      </w:r>
      <w:r w:rsidR="00886AEB" w:rsidRPr="006D6218">
        <w:rPr>
          <w:spacing w:val="-2"/>
        </w:rPr>
        <w:t>43</w:t>
      </w:r>
      <w:r w:rsidR="00FC2956">
        <w:rPr>
          <w:spacing w:val="-2"/>
        </w:rPr>
        <w:t>:</w:t>
      </w:r>
      <w:r w:rsidR="00886AEB" w:rsidRPr="006D6218">
        <w:rPr>
          <w:spacing w:val="-2"/>
        </w:rPr>
        <w:t xml:space="preserve"> 257–271.</w:t>
      </w:r>
    </w:p>
    <w:p w:rsidR="00886AEB" w:rsidRPr="006D6218" w:rsidRDefault="00926F3D" w:rsidP="00C02388">
      <w:pPr>
        <w:widowControl w:val="0"/>
        <w:tabs>
          <w:tab w:val="left" w:pos="-144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120" w:line="360" w:lineRule="auto"/>
        <w:ind w:left="547" w:hanging="547"/>
        <w:rPr>
          <w:spacing w:val="-2"/>
        </w:rPr>
      </w:pPr>
      <w:r w:rsidRPr="006D6218">
        <w:rPr>
          <w:spacing w:val="-2"/>
        </w:rPr>
        <w:t>[</w:t>
      </w:r>
      <w:r w:rsidR="00886AEB" w:rsidRPr="006D6218">
        <w:rPr>
          <w:spacing w:val="-2"/>
        </w:rPr>
        <w:t>15</w:t>
      </w:r>
      <w:r w:rsidRPr="006D6218">
        <w:rPr>
          <w:spacing w:val="-2"/>
        </w:rPr>
        <w:t>]</w:t>
      </w:r>
      <w:r w:rsidR="00886AEB" w:rsidRPr="006D6218">
        <w:rPr>
          <w:spacing w:val="-2"/>
        </w:rPr>
        <w:tab/>
        <w:t>Färe</w:t>
      </w:r>
      <w:r w:rsidR="00FC2956">
        <w:rPr>
          <w:spacing w:val="-2"/>
        </w:rPr>
        <w:t xml:space="preserve"> R</w:t>
      </w:r>
      <w:r w:rsidR="00886AEB" w:rsidRPr="006D6218">
        <w:rPr>
          <w:spacing w:val="-2"/>
        </w:rPr>
        <w:t>, Grosskopf</w:t>
      </w:r>
      <w:r w:rsidR="00FC2956">
        <w:rPr>
          <w:spacing w:val="-2"/>
        </w:rPr>
        <w:t xml:space="preserve"> S</w:t>
      </w:r>
      <w:r w:rsidR="00886AEB" w:rsidRPr="006D6218">
        <w:rPr>
          <w:spacing w:val="-2"/>
        </w:rPr>
        <w:t xml:space="preserve">. Congestion: a note. Socio-Economic Planning Sciences </w:t>
      </w:r>
      <w:r w:rsidR="00FC2956">
        <w:rPr>
          <w:spacing w:val="-2"/>
        </w:rPr>
        <w:t xml:space="preserve">1998; </w:t>
      </w:r>
      <w:r w:rsidR="00886AEB" w:rsidRPr="006D6218">
        <w:rPr>
          <w:spacing w:val="-2"/>
        </w:rPr>
        <w:t>32</w:t>
      </w:r>
      <w:r w:rsidR="00FC2956">
        <w:rPr>
          <w:spacing w:val="-2"/>
        </w:rPr>
        <w:t>:</w:t>
      </w:r>
      <w:r w:rsidR="00886AEB" w:rsidRPr="006D6218">
        <w:rPr>
          <w:spacing w:val="-2"/>
        </w:rPr>
        <w:t xml:space="preserve"> 21–23.</w:t>
      </w:r>
    </w:p>
    <w:p w:rsidR="00886AEB" w:rsidRPr="006D6218" w:rsidRDefault="00926F3D" w:rsidP="00C02388">
      <w:pPr>
        <w:widowControl w:val="0"/>
        <w:tabs>
          <w:tab w:val="left" w:pos="-144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120" w:line="360" w:lineRule="auto"/>
        <w:ind w:left="547" w:hanging="547"/>
        <w:rPr>
          <w:spacing w:val="-2"/>
        </w:rPr>
      </w:pPr>
      <w:r w:rsidRPr="006D6218">
        <w:rPr>
          <w:spacing w:val="-2"/>
        </w:rPr>
        <w:t>[</w:t>
      </w:r>
      <w:r w:rsidR="00886AEB" w:rsidRPr="006D6218">
        <w:rPr>
          <w:spacing w:val="-2"/>
        </w:rPr>
        <w:t>16</w:t>
      </w:r>
      <w:r w:rsidRPr="006D6218">
        <w:rPr>
          <w:spacing w:val="-2"/>
        </w:rPr>
        <w:t>]</w:t>
      </w:r>
      <w:r w:rsidR="00886AEB" w:rsidRPr="006D6218">
        <w:rPr>
          <w:spacing w:val="-2"/>
        </w:rPr>
        <w:tab/>
        <w:t>Färe</w:t>
      </w:r>
      <w:r w:rsidR="00FC2956">
        <w:rPr>
          <w:spacing w:val="-2"/>
        </w:rPr>
        <w:t xml:space="preserve"> R</w:t>
      </w:r>
      <w:r w:rsidR="00886AEB" w:rsidRPr="006D6218">
        <w:rPr>
          <w:spacing w:val="-2"/>
        </w:rPr>
        <w:t>, Grosskopf</w:t>
      </w:r>
      <w:r w:rsidR="00FC2956">
        <w:rPr>
          <w:spacing w:val="-2"/>
        </w:rPr>
        <w:t xml:space="preserve"> S</w:t>
      </w:r>
      <w:r w:rsidR="00886AEB" w:rsidRPr="006D6218">
        <w:rPr>
          <w:spacing w:val="-2"/>
        </w:rPr>
        <w:t>. Slacks and congestion: a comment. Socio-Economic Planning Sciences</w:t>
      </w:r>
      <w:r w:rsidR="00FC2956">
        <w:rPr>
          <w:spacing w:val="-2"/>
        </w:rPr>
        <w:t xml:space="preserve"> 2000;</w:t>
      </w:r>
      <w:r w:rsidR="00886AEB" w:rsidRPr="006D6218">
        <w:rPr>
          <w:spacing w:val="-2"/>
        </w:rPr>
        <w:t xml:space="preserve"> 34</w:t>
      </w:r>
      <w:r w:rsidR="00FC2956">
        <w:rPr>
          <w:spacing w:val="-2"/>
        </w:rPr>
        <w:t>:</w:t>
      </w:r>
      <w:r w:rsidR="00886AEB" w:rsidRPr="006D6218">
        <w:rPr>
          <w:spacing w:val="-2"/>
        </w:rPr>
        <w:t xml:space="preserve"> 27–33.</w:t>
      </w:r>
    </w:p>
    <w:p w:rsidR="00886AEB" w:rsidRPr="006D6218" w:rsidRDefault="00926F3D" w:rsidP="00C02388">
      <w:pPr>
        <w:widowControl w:val="0"/>
        <w:tabs>
          <w:tab w:val="left" w:pos="-1440"/>
          <w:tab w:val="left" w:pos="-720"/>
          <w:tab w:val="left" w:pos="18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120" w:line="360" w:lineRule="auto"/>
        <w:ind w:left="547" w:hanging="547"/>
        <w:rPr>
          <w:spacing w:val="-2"/>
        </w:rPr>
      </w:pPr>
      <w:r w:rsidRPr="006D6218">
        <w:rPr>
          <w:spacing w:val="-2"/>
        </w:rPr>
        <w:t>[</w:t>
      </w:r>
      <w:r w:rsidR="00886AEB" w:rsidRPr="006D6218">
        <w:rPr>
          <w:spacing w:val="-2"/>
        </w:rPr>
        <w:t>17</w:t>
      </w:r>
      <w:r w:rsidRPr="006D6218">
        <w:rPr>
          <w:spacing w:val="-2"/>
        </w:rPr>
        <w:t>]</w:t>
      </w:r>
      <w:r w:rsidR="00886AEB" w:rsidRPr="006D6218">
        <w:rPr>
          <w:spacing w:val="-2"/>
        </w:rPr>
        <w:tab/>
        <w:t>Färe</w:t>
      </w:r>
      <w:r w:rsidR="00FC2956">
        <w:rPr>
          <w:spacing w:val="-2"/>
        </w:rPr>
        <w:t xml:space="preserve"> R</w:t>
      </w:r>
      <w:r w:rsidR="00886AEB" w:rsidRPr="006D6218">
        <w:rPr>
          <w:spacing w:val="-2"/>
        </w:rPr>
        <w:t>, Grosskopf</w:t>
      </w:r>
      <w:r w:rsidR="00FC2956">
        <w:rPr>
          <w:spacing w:val="-2"/>
        </w:rPr>
        <w:t xml:space="preserve"> S</w:t>
      </w:r>
      <w:r w:rsidR="00886AEB" w:rsidRPr="006D6218">
        <w:rPr>
          <w:spacing w:val="-2"/>
        </w:rPr>
        <w:t xml:space="preserve">. Research note: decomposing technical efficiency with care. Management Science </w:t>
      </w:r>
      <w:r w:rsidR="00FC2956">
        <w:rPr>
          <w:spacing w:val="-2"/>
        </w:rPr>
        <w:t xml:space="preserve">2000; </w:t>
      </w:r>
      <w:r w:rsidR="00886AEB" w:rsidRPr="006D6218">
        <w:rPr>
          <w:spacing w:val="-2"/>
        </w:rPr>
        <w:t>46</w:t>
      </w:r>
      <w:r w:rsidR="00FC2956">
        <w:rPr>
          <w:spacing w:val="-2"/>
        </w:rPr>
        <w:t>:</w:t>
      </w:r>
      <w:r w:rsidR="00886AEB" w:rsidRPr="006D6218">
        <w:rPr>
          <w:spacing w:val="-2"/>
        </w:rPr>
        <w:t xml:space="preserve"> 167–168.</w:t>
      </w:r>
    </w:p>
    <w:p w:rsidR="00886AEB" w:rsidRPr="006D6218" w:rsidRDefault="00926F3D" w:rsidP="00C02388">
      <w:pPr>
        <w:widowControl w:val="0"/>
        <w:tabs>
          <w:tab w:val="left" w:pos="-1440"/>
          <w:tab w:val="left" w:pos="-720"/>
          <w:tab w:val="left" w:pos="18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120" w:line="360" w:lineRule="auto"/>
        <w:ind w:left="544" w:hanging="544"/>
        <w:rPr>
          <w:spacing w:val="-2"/>
        </w:rPr>
      </w:pPr>
      <w:r w:rsidRPr="006D6218">
        <w:rPr>
          <w:spacing w:val="-2"/>
        </w:rPr>
        <w:t>[</w:t>
      </w:r>
      <w:r w:rsidR="00886AEB" w:rsidRPr="006D6218">
        <w:rPr>
          <w:spacing w:val="-2"/>
        </w:rPr>
        <w:t>18</w:t>
      </w:r>
      <w:r w:rsidRPr="006D6218">
        <w:rPr>
          <w:spacing w:val="-2"/>
        </w:rPr>
        <w:t>]</w:t>
      </w:r>
      <w:r w:rsidR="00886AEB" w:rsidRPr="006D6218">
        <w:rPr>
          <w:spacing w:val="-2"/>
        </w:rPr>
        <w:tab/>
        <w:t>Färe</w:t>
      </w:r>
      <w:r w:rsidR="00C04164">
        <w:rPr>
          <w:spacing w:val="-2"/>
        </w:rPr>
        <w:t xml:space="preserve"> R</w:t>
      </w:r>
      <w:r w:rsidR="00886AEB" w:rsidRPr="006D6218">
        <w:rPr>
          <w:spacing w:val="-2"/>
        </w:rPr>
        <w:t>, Grosskopf</w:t>
      </w:r>
      <w:r w:rsidR="00C04164">
        <w:rPr>
          <w:spacing w:val="-2"/>
        </w:rPr>
        <w:t xml:space="preserve"> S</w:t>
      </w:r>
      <w:r w:rsidR="00886AEB" w:rsidRPr="006D6218">
        <w:rPr>
          <w:spacing w:val="-2"/>
        </w:rPr>
        <w:t>, Lovell</w:t>
      </w:r>
      <w:r w:rsidR="00C04164">
        <w:rPr>
          <w:spacing w:val="-2"/>
        </w:rPr>
        <w:t xml:space="preserve"> CAK</w:t>
      </w:r>
      <w:r w:rsidR="00886AEB" w:rsidRPr="006D6218">
        <w:rPr>
          <w:spacing w:val="-2"/>
        </w:rPr>
        <w:t xml:space="preserve">. The </w:t>
      </w:r>
      <w:r w:rsidR="00C04164">
        <w:rPr>
          <w:spacing w:val="-2"/>
        </w:rPr>
        <w:t>m</w:t>
      </w:r>
      <w:r w:rsidR="00886AEB" w:rsidRPr="006D6218">
        <w:rPr>
          <w:spacing w:val="-2"/>
        </w:rPr>
        <w:t xml:space="preserve">easurement of </w:t>
      </w:r>
      <w:r w:rsidR="00C04164">
        <w:rPr>
          <w:spacing w:val="-2"/>
        </w:rPr>
        <w:t>e</w:t>
      </w:r>
      <w:r w:rsidR="00886AEB" w:rsidRPr="006D6218">
        <w:rPr>
          <w:spacing w:val="-2"/>
        </w:rPr>
        <w:t xml:space="preserve">fficiency of </w:t>
      </w:r>
      <w:r w:rsidR="00C04164">
        <w:rPr>
          <w:spacing w:val="-2"/>
        </w:rPr>
        <w:t>p</w:t>
      </w:r>
      <w:r w:rsidR="00886AEB" w:rsidRPr="006D6218">
        <w:rPr>
          <w:spacing w:val="-2"/>
        </w:rPr>
        <w:t xml:space="preserve">roduction. </w:t>
      </w:r>
      <w:smartTag w:uri="urn:schemas-microsoft-com:office:smarttags" w:element="City">
        <w:smartTag w:uri="urn:schemas-microsoft-com:office:smarttags" w:element="place">
          <w:r w:rsidR="00C04164" w:rsidRPr="006D6218">
            <w:rPr>
              <w:spacing w:val="-2"/>
            </w:rPr>
            <w:t>Boston</w:t>
          </w:r>
        </w:smartTag>
      </w:smartTag>
      <w:r w:rsidR="00C04164">
        <w:rPr>
          <w:spacing w:val="-2"/>
        </w:rPr>
        <w:t>:</w:t>
      </w:r>
      <w:r w:rsidR="00C04164" w:rsidRPr="006D6218">
        <w:rPr>
          <w:spacing w:val="-2"/>
        </w:rPr>
        <w:t xml:space="preserve"> </w:t>
      </w:r>
      <w:r w:rsidR="00886AEB" w:rsidRPr="006D6218">
        <w:rPr>
          <w:spacing w:val="-2"/>
        </w:rPr>
        <w:t>Kluwer-Nijhoff</w:t>
      </w:r>
      <w:r w:rsidR="00C04164">
        <w:rPr>
          <w:spacing w:val="-2"/>
        </w:rPr>
        <w:t>;</w:t>
      </w:r>
      <w:r w:rsidR="00886AEB" w:rsidRPr="006D6218">
        <w:rPr>
          <w:spacing w:val="-2"/>
        </w:rPr>
        <w:t xml:space="preserve"> </w:t>
      </w:r>
      <w:r w:rsidR="00C04164">
        <w:rPr>
          <w:spacing w:val="-2"/>
        </w:rPr>
        <w:t>1985</w:t>
      </w:r>
      <w:r w:rsidR="00886AEB" w:rsidRPr="006D6218">
        <w:rPr>
          <w:spacing w:val="-2"/>
        </w:rPr>
        <w:t>.</w:t>
      </w:r>
    </w:p>
    <w:p w:rsidR="00886AEB" w:rsidRPr="006D6218" w:rsidRDefault="00926F3D" w:rsidP="00C02388">
      <w:pPr>
        <w:widowControl w:val="0"/>
        <w:tabs>
          <w:tab w:val="left" w:pos="-1440"/>
          <w:tab w:val="left" w:pos="-720"/>
          <w:tab w:val="left" w:pos="18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120" w:line="360" w:lineRule="auto"/>
        <w:ind w:left="544" w:hanging="544"/>
        <w:rPr>
          <w:spacing w:val="-2"/>
        </w:rPr>
      </w:pPr>
      <w:r w:rsidRPr="006D6218">
        <w:rPr>
          <w:spacing w:val="-2"/>
        </w:rPr>
        <w:t>[</w:t>
      </w:r>
      <w:r w:rsidR="00886AEB" w:rsidRPr="006D6218">
        <w:rPr>
          <w:spacing w:val="-2"/>
        </w:rPr>
        <w:t>19</w:t>
      </w:r>
      <w:r w:rsidRPr="006D6218">
        <w:rPr>
          <w:spacing w:val="-2"/>
        </w:rPr>
        <w:t>]</w:t>
      </w:r>
      <w:r w:rsidR="00886AEB" w:rsidRPr="006D6218">
        <w:rPr>
          <w:spacing w:val="-2"/>
        </w:rPr>
        <w:tab/>
        <w:t>Färe</w:t>
      </w:r>
      <w:r w:rsidR="00A541F8">
        <w:rPr>
          <w:spacing w:val="-2"/>
        </w:rPr>
        <w:t xml:space="preserve"> R</w:t>
      </w:r>
      <w:r w:rsidR="00886AEB" w:rsidRPr="006D6218">
        <w:rPr>
          <w:spacing w:val="-2"/>
        </w:rPr>
        <w:t>, Grosskopf</w:t>
      </w:r>
      <w:r w:rsidR="00A541F8">
        <w:rPr>
          <w:spacing w:val="-2"/>
        </w:rPr>
        <w:t xml:space="preserve"> S</w:t>
      </w:r>
      <w:r w:rsidR="00886AEB" w:rsidRPr="006D6218">
        <w:rPr>
          <w:spacing w:val="-2"/>
        </w:rPr>
        <w:t>, Lindgren</w:t>
      </w:r>
      <w:r w:rsidR="00A541F8">
        <w:rPr>
          <w:spacing w:val="-2"/>
        </w:rPr>
        <w:t xml:space="preserve"> B</w:t>
      </w:r>
      <w:r w:rsidR="00886AEB" w:rsidRPr="006D6218">
        <w:rPr>
          <w:spacing w:val="-2"/>
        </w:rPr>
        <w:t>, Roos</w:t>
      </w:r>
      <w:r w:rsidR="00A541F8">
        <w:rPr>
          <w:spacing w:val="-2"/>
        </w:rPr>
        <w:t xml:space="preserve"> P</w:t>
      </w:r>
      <w:r w:rsidR="00886AEB" w:rsidRPr="006D6218">
        <w:rPr>
          <w:spacing w:val="-2"/>
        </w:rPr>
        <w:t>. Productivity changes in Swedish pharmacies 1980–1989: a non-parametric Malmquist approach, Journal of Productivity Analysis</w:t>
      </w:r>
      <w:r w:rsidR="00A541F8">
        <w:rPr>
          <w:spacing w:val="-2"/>
        </w:rPr>
        <w:t xml:space="preserve"> 1992;</w:t>
      </w:r>
      <w:r w:rsidR="00886AEB" w:rsidRPr="006D6218">
        <w:rPr>
          <w:spacing w:val="-2"/>
        </w:rPr>
        <w:t xml:space="preserve"> 3</w:t>
      </w:r>
      <w:r w:rsidR="00A541F8">
        <w:rPr>
          <w:spacing w:val="-2"/>
        </w:rPr>
        <w:t>:</w:t>
      </w:r>
      <w:r w:rsidR="00886AEB" w:rsidRPr="006D6218">
        <w:rPr>
          <w:spacing w:val="-2"/>
        </w:rPr>
        <w:t xml:space="preserve"> 85–101.</w:t>
      </w:r>
    </w:p>
    <w:p w:rsidR="00886AEB" w:rsidRPr="006D6218" w:rsidRDefault="00926F3D" w:rsidP="00C02388">
      <w:pPr>
        <w:widowControl w:val="0"/>
        <w:tabs>
          <w:tab w:val="left" w:pos="-1440"/>
          <w:tab w:val="left" w:pos="-720"/>
          <w:tab w:val="left" w:pos="18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120" w:line="360" w:lineRule="auto"/>
        <w:ind w:left="544" w:hanging="544"/>
        <w:rPr>
          <w:spacing w:val="-2"/>
        </w:rPr>
      </w:pPr>
      <w:r w:rsidRPr="006D6218">
        <w:rPr>
          <w:spacing w:val="-2"/>
        </w:rPr>
        <w:t>[</w:t>
      </w:r>
      <w:r w:rsidR="00886AEB" w:rsidRPr="006D6218">
        <w:rPr>
          <w:spacing w:val="-2"/>
        </w:rPr>
        <w:t>20</w:t>
      </w:r>
      <w:r w:rsidRPr="006D6218">
        <w:rPr>
          <w:spacing w:val="-2"/>
        </w:rPr>
        <w:t>]</w:t>
      </w:r>
      <w:r w:rsidR="00886AEB" w:rsidRPr="006D6218">
        <w:rPr>
          <w:spacing w:val="-2"/>
        </w:rPr>
        <w:tab/>
        <w:t>Färe</w:t>
      </w:r>
      <w:r w:rsidR="00A541F8">
        <w:rPr>
          <w:spacing w:val="-2"/>
        </w:rPr>
        <w:t xml:space="preserve"> R</w:t>
      </w:r>
      <w:r w:rsidR="00886AEB" w:rsidRPr="006D6218">
        <w:rPr>
          <w:spacing w:val="-2"/>
        </w:rPr>
        <w:t>, Grosskopf</w:t>
      </w:r>
      <w:r w:rsidR="00A541F8">
        <w:rPr>
          <w:spacing w:val="-2"/>
        </w:rPr>
        <w:t xml:space="preserve"> S</w:t>
      </w:r>
      <w:r w:rsidR="00886AEB" w:rsidRPr="006D6218">
        <w:rPr>
          <w:spacing w:val="-2"/>
        </w:rPr>
        <w:t>, Lovell</w:t>
      </w:r>
      <w:r w:rsidR="00A541F8">
        <w:rPr>
          <w:spacing w:val="-2"/>
        </w:rPr>
        <w:t xml:space="preserve"> CAK</w:t>
      </w:r>
      <w:r w:rsidR="00886AEB" w:rsidRPr="006D6218">
        <w:rPr>
          <w:spacing w:val="-2"/>
        </w:rPr>
        <w:t>, Pasurka</w:t>
      </w:r>
      <w:r w:rsidR="00A541F8">
        <w:rPr>
          <w:spacing w:val="-2"/>
        </w:rPr>
        <w:t xml:space="preserve"> C</w:t>
      </w:r>
      <w:r w:rsidR="00886AEB" w:rsidRPr="006D6218">
        <w:rPr>
          <w:spacing w:val="-2"/>
        </w:rPr>
        <w:t>. Multilateral productivity comparisons when some outputs are undesirable: a non-parametric approach. Review of Economics and Statistics</w:t>
      </w:r>
      <w:r w:rsidR="00A541F8">
        <w:rPr>
          <w:spacing w:val="-2"/>
        </w:rPr>
        <w:t xml:space="preserve"> 1989;</w:t>
      </w:r>
      <w:r w:rsidR="00886AEB" w:rsidRPr="006D6218">
        <w:rPr>
          <w:spacing w:val="-2"/>
        </w:rPr>
        <w:t xml:space="preserve"> 71</w:t>
      </w:r>
      <w:r w:rsidR="00A541F8">
        <w:rPr>
          <w:spacing w:val="-2"/>
        </w:rPr>
        <w:t>:</w:t>
      </w:r>
      <w:r w:rsidR="00886AEB" w:rsidRPr="006D6218">
        <w:rPr>
          <w:spacing w:val="-2"/>
        </w:rPr>
        <w:t xml:space="preserve"> 90–98.</w:t>
      </w:r>
    </w:p>
    <w:p w:rsidR="00886AEB" w:rsidRPr="006D6218" w:rsidRDefault="00926F3D" w:rsidP="00C02388">
      <w:pPr>
        <w:tabs>
          <w:tab w:val="left" w:pos="-1440"/>
          <w:tab w:val="left" w:pos="-720"/>
          <w:tab w:val="left" w:pos="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120" w:line="360" w:lineRule="auto"/>
        <w:ind w:left="540" w:hanging="540"/>
        <w:rPr>
          <w:spacing w:val="-2"/>
        </w:rPr>
      </w:pPr>
      <w:r w:rsidRPr="006D6218">
        <w:rPr>
          <w:spacing w:val="-2"/>
        </w:rPr>
        <w:t>[</w:t>
      </w:r>
      <w:r w:rsidR="00886AEB" w:rsidRPr="006D6218">
        <w:rPr>
          <w:spacing w:val="-2"/>
        </w:rPr>
        <w:t>21</w:t>
      </w:r>
      <w:r w:rsidRPr="006D6218">
        <w:rPr>
          <w:spacing w:val="-2"/>
        </w:rPr>
        <w:t>]</w:t>
      </w:r>
      <w:r w:rsidR="00886AEB" w:rsidRPr="006D6218">
        <w:rPr>
          <w:spacing w:val="-2"/>
        </w:rPr>
        <w:tab/>
        <w:t>Färe</w:t>
      </w:r>
      <w:r w:rsidR="00A541F8">
        <w:rPr>
          <w:spacing w:val="-2"/>
        </w:rPr>
        <w:t xml:space="preserve"> R</w:t>
      </w:r>
      <w:r w:rsidR="00886AEB" w:rsidRPr="006D6218">
        <w:rPr>
          <w:spacing w:val="-2"/>
        </w:rPr>
        <w:t>, Grosskopf</w:t>
      </w:r>
      <w:r w:rsidR="00A541F8">
        <w:rPr>
          <w:spacing w:val="-2"/>
        </w:rPr>
        <w:t xml:space="preserve"> S</w:t>
      </w:r>
      <w:r w:rsidR="00886AEB" w:rsidRPr="006D6218">
        <w:rPr>
          <w:spacing w:val="-2"/>
        </w:rPr>
        <w:t>, Norris</w:t>
      </w:r>
      <w:r w:rsidR="00A541F8">
        <w:rPr>
          <w:spacing w:val="-2"/>
        </w:rPr>
        <w:t xml:space="preserve"> M</w:t>
      </w:r>
      <w:r w:rsidR="00886AEB" w:rsidRPr="006D6218">
        <w:rPr>
          <w:spacing w:val="-2"/>
        </w:rPr>
        <w:t>, Zhang</w:t>
      </w:r>
      <w:r w:rsidR="00A541F8">
        <w:rPr>
          <w:spacing w:val="-2"/>
        </w:rPr>
        <w:t xml:space="preserve"> Z</w:t>
      </w:r>
      <w:r w:rsidR="00886AEB" w:rsidRPr="006D6218">
        <w:rPr>
          <w:spacing w:val="-2"/>
        </w:rPr>
        <w:t xml:space="preserve">. Productivity growth, technical progress, and efficiency change in industrialized countries, American Economic Review </w:t>
      </w:r>
      <w:r w:rsidR="00A541F8">
        <w:rPr>
          <w:spacing w:val="-2"/>
        </w:rPr>
        <w:t xml:space="preserve">1994; </w:t>
      </w:r>
      <w:r w:rsidR="00886AEB" w:rsidRPr="006D6218">
        <w:rPr>
          <w:spacing w:val="-2"/>
        </w:rPr>
        <w:t>84</w:t>
      </w:r>
      <w:r w:rsidR="00A541F8">
        <w:rPr>
          <w:spacing w:val="-2"/>
        </w:rPr>
        <w:t>:</w:t>
      </w:r>
      <w:r w:rsidR="00886AEB" w:rsidRPr="006D6218">
        <w:rPr>
          <w:spacing w:val="-2"/>
        </w:rPr>
        <w:t xml:space="preserve"> 66–83.</w:t>
      </w:r>
    </w:p>
    <w:p w:rsidR="00886AEB" w:rsidRPr="006D6218" w:rsidRDefault="00926F3D" w:rsidP="00C02388">
      <w:pPr>
        <w:widowControl w:val="0"/>
        <w:tabs>
          <w:tab w:val="left" w:pos="-1440"/>
          <w:tab w:val="left" w:pos="-720"/>
          <w:tab w:val="left" w:pos="18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120" w:line="360" w:lineRule="auto"/>
        <w:ind w:left="547" w:hanging="547"/>
        <w:rPr>
          <w:spacing w:val="-2"/>
        </w:rPr>
      </w:pPr>
      <w:r w:rsidRPr="006D6218">
        <w:rPr>
          <w:spacing w:val="-2"/>
        </w:rPr>
        <w:t>[</w:t>
      </w:r>
      <w:r w:rsidR="00886AEB" w:rsidRPr="006D6218">
        <w:rPr>
          <w:spacing w:val="-2"/>
        </w:rPr>
        <w:t>22</w:t>
      </w:r>
      <w:r w:rsidRPr="006D6218">
        <w:rPr>
          <w:spacing w:val="-2"/>
        </w:rPr>
        <w:t>]</w:t>
      </w:r>
      <w:r w:rsidR="00886AEB" w:rsidRPr="006D6218">
        <w:rPr>
          <w:spacing w:val="-2"/>
        </w:rPr>
        <w:tab/>
        <w:t>Färe</w:t>
      </w:r>
      <w:r w:rsidR="00A541F8">
        <w:rPr>
          <w:spacing w:val="-2"/>
        </w:rPr>
        <w:t xml:space="preserve"> R</w:t>
      </w:r>
      <w:r w:rsidR="00886AEB" w:rsidRPr="006D6218">
        <w:rPr>
          <w:spacing w:val="-2"/>
        </w:rPr>
        <w:t>, Svensson</w:t>
      </w:r>
      <w:r w:rsidR="00A541F8">
        <w:rPr>
          <w:spacing w:val="-2"/>
        </w:rPr>
        <w:t xml:space="preserve"> L</w:t>
      </w:r>
      <w:r w:rsidR="00886AEB" w:rsidRPr="006D6218">
        <w:rPr>
          <w:spacing w:val="-2"/>
        </w:rPr>
        <w:t>. Congestion of production factors. Econometrica</w:t>
      </w:r>
      <w:r w:rsidR="00A541F8">
        <w:rPr>
          <w:spacing w:val="-2"/>
        </w:rPr>
        <w:t xml:space="preserve"> 1980;</w:t>
      </w:r>
      <w:r w:rsidR="00886AEB" w:rsidRPr="006D6218">
        <w:rPr>
          <w:spacing w:val="-2"/>
        </w:rPr>
        <w:t xml:space="preserve"> 48</w:t>
      </w:r>
      <w:r w:rsidR="00A541F8">
        <w:rPr>
          <w:spacing w:val="-2"/>
        </w:rPr>
        <w:t>:</w:t>
      </w:r>
      <w:r w:rsidR="00886AEB" w:rsidRPr="006D6218">
        <w:rPr>
          <w:spacing w:val="-2"/>
        </w:rPr>
        <w:t xml:space="preserve"> 1745–1753.</w:t>
      </w:r>
    </w:p>
    <w:p w:rsidR="00886AEB" w:rsidRPr="006D6218" w:rsidRDefault="00926F3D" w:rsidP="00C02388">
      <w:pPr>
        <w:widowControl w:val="0"/>
        <w:tabs>
          <w:tab w:val="left" w:pos="540"/>
          <w:tab w:val="center" w:pos="4513"/>
        </w:tabs>
        <w:suppressAutoHyphens/>
        <w:spacing w:after="120" w:line="360" w:lineRule="auto"/>
        <w:ind w:left="547" w:hanging="547"/>
      </w:pPr>
      <w:r w:rsidRPr="006D6218">
        <w:t>[</w:t>
      </w:r>
      <w:r w:rsidR="00886AEB" w:rsidRPr="006D6218">
        <w:t>23</w:t>
      </w:r>
      <w:r w:rsidRPr="006D6218">
        <w:t>]</w:t>
      </w:r>
      <w:r w:rsidR="00886AEB" w:rsidRPr="006D6218">
        <w:tab/>
        <w:t>Flegg</w:t>
      </w:r>
      <w:r w:rsidR="00A541F8">
        <w:t xml:space="preserve"> AT,</w:t>
      </w:r>
      <w:r w:rsidR="00886AEB" w:rsidRPr="006D6218">
        <w:t xml:space="preserve"> Allen</w:t>
      </w:r>
      <w:r w:rsidR="00A541F8">
        <w:t xml:space="preserve"> DO</w:t>
      </w:r>
      <w:r w:rsidR="00886AEB" w:rsidRPr="006D6218">
        <w:rPr>
          <w:spacing w:val="-2"/>
        </w:rPr>
        <w:t>.</w:t>
      </w:r>
      <w:r w:rsidR="00886AEB" w:rsidRPr="006D6218">
        <w:t xml:space="preserve"> </w:t>
      </w:r>
      <w:r w:rsidR="00886AEB" w:rsidRPr="006D6218">
        <w:rPr>
          <w:bCs/>
          <w:spacing w:val="-4"/>
        </w:rPr>
        <w:t>Does expansion cause congestion? The case of the older</w:t>
      </w:r>
      <w:r w:rsidR="00886AEB" w:rsidRPr="006D6218">
        <w:t xml:space="preserve"> British universities, </w:t>
      </w:r>
      <w:r w:rsidR="00886AEB" w:rsidRPr="006D6218">
        <w:rPr>
          <w:bCs/>
          <w:spacing w:val="-4"/>
        </w:rPr>
        <w:t>1994</w:t>
      </w:r>
      <w:r w:rsidR="00886AEB" w:rsidRPr="006D6218">
        <w:rPr>
          <w:bCs/>
          <w:spacing w:val="-4"/>
        </w:rPr>
        <w:sym w:font="Symbol" w:char="F02D"/>
      </w:r>
      <w:r w:rsidR="00886AEB" w:rsidRPr="006D6218">
        <w:rPr>
          <w:bCs/>
          <w:spacing w:val="-4"/>
        </w:rPr>
        <w:t xml:space="preserve">2004. </w:t>
      </w:r>
      <w:r w:rsidR="00886AEB" w:rsidRPr="006D6218">
        <w:rPr>
          <w:iCs/>
        </w:rPr>
        <w:t>Education Economics</w:t>
      </w:r>
      <w:r w:rsidR="00886AEB" w:rsidRPr="006D6218">
        <w:t xml:space="preserve"> </w:t>
      </w:r>
      <w:r w:rsidR="00A541F8">
        <w:t xml:space="preserve">2007; </w:t>
      </w:r>
      <w:r w:rsidR="00886AEB" w:rsidRPr="006D6218">
        <w:t>15</w:t>
      </w:r>
      <w:r w:rsidR="00A541F8">
        <w:t>:</w:t>
      </w:r>
      <w:r w:rsidR="00886AEB" w:rsidRPr="006D6218">
        <w:t xml:space="preserve"> 75</w:t>
      </w:r>
      <w:r w:rsidR="00886AEB" w:rsidRPr="006D6218">
        <w:sym w:font="Symbol" w:char="F02D"/>
      </w:r>
      <w:r w:rsidR="00886AEB" w:rsidRPr="006D6218">
        <w:t>102.</w:t>
      </w:r>
    </w:p>
    <w:p w:rsidR="00406B2B" w:rsidRPr="006D6218" w:rsidRDefault="00926F3D" w:rsidP="00C02388">
      <w:pPr>
        <w:widowControl w:val="0"/>
        <w:tabs>
          <w:tab w:val="left" w:pos="540"/>
          <w:tab w:val="center" w:pos="4513"/>
        </w:tabs>
        <w:suppressAutoHyphens/>
        <w:spacing w:after="120" w:line="360" w:lineRule="auto"/>
        <w:ind w:left="547" w:hanging="547"/>
      </w:pPr>
      <w:r w:rsidRPr="006D6218">
        <w:t>[</w:t>
      </w:r>
      <w:r w:rsidR="00886AEB" w:rsidRPr="006D6218">
        <w:t>24</w:t>
      </w:r>
      <w:r w:rsidRPr="006D6218">
        <w:t>]</w:t>
      </w:r>
      <w:r w:rsidR="00886AEB" w:rsidRPr="006D6218">
        <w:tab/>
      </w:r>
      <w:r w:rsidR="00A541F8" w:rsidRPr="006D6218">
        <w:t>Flegg</w:t>
      </w:r>
      <w:r w:rsidR="00A541F8">
        <w:t xml:space="preserve"> AT,</w:t>
      </w:r>
      <w:r w:rsidR="00A541F8" w:rsidRPr="006D6218">
        <w:t xml:space="preserve"> Allen</w:t>
      </w:r>
      <w:r w:rsidR="00A541F8">
        <w:t xml:space="preserve"> DO</w:t>
      </w:r>
      <w:r w:rsidR="00886AEB" w:rsidRPr="006D6218">
        <w:rPr>
          <w:spacing w:val="-2"/>
        </w:rPr>
        <w:t>.</w:t>
      </w:r>
      <w:r w:rsidR="00886AEB" w:rsidRPr="006D6218">
        <w:t xml:space="preserve"> Using Cooper’s approach to explore the </w:t>
      </w:r>
      <w:r w:rsidR="00886AEB" w:rsidRPr="006D6218">
        <w:rPr>
          <w:bCs/>
          <w:spacing w:val="-4"/>
        </w:rPr>
        <w:t>extent of congestion in the new B</w:t>
      </w:r>
      <w:r w:rsidR="00886AEB" w:rsidRPr="006D6218">
        <w:t>ritish universities</w:t>
      </w:r>
      <w:r w:rsidR="00886AEB" w:rsidRPr="006D6218">
        <w:rPr>
          <w:bCs/>
          <w:spacing w:val="-4"/>
        </w:rPr>
        <w:t xml:space="preserve">. </w:t>
      </w:r>
      <w:r w:rsidR="00886AEB" w:rsidRPr="006D6218">
        <w:rPr>
          <w:iCs/>
        </w:rPr>
        <w:t>Economic Issues</w:t>
      </w:r>
      <w:r w:rsidR="00886AEB" w:rsidRPr="006D6218">
        <w:t xml:space="preserve"> </w:t>
      </w:r>
      <w:r w:rsidR="00A541F8">
        <w:t xml:space="preserve">2007; </w:t>
      </w:r>
      <w:r w:rsidR="00886AEB" w:rsidRPr="006D6218">
        <w:t xml:space="preserve">12, part </w:t>
      </w:r>
      <w:smartTag w:uri="urn:schemas-microsoft-com:office:smarttags" w:element="time">
        <w:smartTagPr>
          <w:attr w:name="Hour" w:val="2"/>
          <w:attr w:name="Minute" w:val="47"/>
        </w:smartTagPr>
        <w:r w:rsidR="00886AEB" w:rsidRPr="006D6218">
          <w:t>2</w:t>
        </w:r>
        <w:r w:rsidR="00A541F8">
          <w:t>:</w:t>
        </w:r>
        <w:r w:rsidR="00886AEB" w:rsidRPr="006D6218">
          <w:t xml:space="preserve"> 47</w:t>
        </w:r>
      </w:smartTag>
      <w:r w:rsidR="00886AEB" w:rsidRPr="006D6218">
        <w:sym w:font="Symbol" w:char="F02D"/>
      </w:r>
      <w:r w:rsidR="00886AEB" w:rsidRPr="006D6218">
        <w:t>81.</w:t>
      </w:r>
    </w:p>
    <w:p w:rsidR="00406B2B" w:rsidRPr="006D6218" w:rsidRDefault="00406B2B" w:rsidP="00C02388">
      <w:pPr>
        <w:widowControl w:val="0"/>
        <w:tabs>
          <w:tab w:val="left" w:pos="540"/>
          <w:tab w:val="center" w:pos="4513"/>
        </w:tabs>
        <w:suppressAutoHyphens/>
        <w:spacing w:after="120" w:line="360" w:lineRule="auto"/>
        <w:ind w:left="547" w:hanging="547"/>
      </w:pPr>
      <w:r w:rsidRPr="006D6218">
        <w:br w:type="page"/>
      </w:r>
      <w:r w:rsidR="00926F3D" w:rsidRPr="006D6218">
        <w:lastRenderedPageBreak/>
        <w:t>[</w:t>
      </w:r>
      <w:r w:rsidRPr="006D6218">
        <w:t>25</w:t>
      </w:r>
      <w:r w:rsidR="00926F3D" w:rsidRPr="006D6218">
        <w:t>]</w:t>
      </w:r>
      <w:r w:rsidRPr="006D6218">
        <w:tab/>
        <w:t>Flegg</w:t>
      </w:r>
      <w:r w:rsidR="00A541F8">
        <w:t xml:space="preserve"> AT</w:t>
      </w:r>
      <w:r w:rsidRPr="006D6218">
        <w:t>, Allen</w:t>
      </w:r>
      <w:r w:rsidR="00A541F8">
        <w:t xml:space="preserve"> DO</w:t>
      </w:r>
      <w:r w:rsidRPr="006D6218">
        <w:rPr>
          <w:spacing w:val="-2"/>
        </w:rPr>
        <w:t>.</w:t>
      </w:r>
      <w:r w:rsidRPr="006D6218">
        <w:t xml:space="preserve"> Measurement and decomposition of technical efficiency: some empirical findings</w:t>
      </w:r>
      <w:r w:rsidRPr="006D6218">
        <w:rPr>
          <w:bCs/>
          <w:spacing w:val="-4"/>
        </w:rPr>
        <w:t xml:space="preserve"> from B</w:t>
      </w:r>
      <w:r w:rsidRPr="006D6218">
        <w:t>ritish universities</w:t>
      </w:r>
      <w:r w:rsidRPr="006D6218">
        <w:rPr>
          <w:bCs/>
          <w:spacing w:val="-4"/>
        </w:rPr>
        <w:t xml:space="preserve">. </w:t>
      </w:r>
      <w:r w:rsidRPr="006D6218">
        <w:rPr>
          <w:iCs/>
        </w:rPr>
        <w:t>Empirical Economics Letters</w:t>
      </w:r>
      <w:r w:rsidRPr="006D6218">
        <w:t xml:space="preserve"> </w:t>
      </w:r>
      <w:r w:rsidR="00A541F8">
        <w:t xml:space="preserve">2007; </w:t>
      </w:r>
      <w:r w:rsidRPr="006D6218">
        <w:t>6</w:t>
      </w:r>
      <w:r w:rsidR="00A541F8">
        <w:t>:</w:t>
      </w:r>
      <w:r w:rsidRPr="006D6218">
        <w:t xml:space="preserve"> 289</w:t>
      </w:r>
      <w:r w:rsidRPr="006D6218">
        <w:sym w:font="Symbol" w:char="F02D"/>
      </w:r>
      <w:r w:rsidRPr="006D6218">
        <w:t>300.</w:t>
      </w:r>
    </w:p>
    <w:p w:rsidR="00886AEB" w:rsidRPr="006D6218" w:rsidRDefault="00926F3D" w:rsidP="00C02388">
      <w:pPr>
        <w:widowControl w:val="0"/>
        <w:tabs>
          <w:tab w:val="left" w:pos="540"/>
          <w:tab w:val="center" w:pos="4513"/>
        </w:tabs>
        <w:suppressAutoHyphens/>
        <w:spacing w:after="120" w:line="360" w:lineRule="auto"/>
        <w:ind w:left="547" w:hanging="547"/>
      </w:pPr>
      <w:r w:rsidRPr="006D6218">
        <w:t>[</w:t>
      </w:r>
      <w:r w:rsidR="00886AEB" w:rsidRPr="006D6218">
        <w:t>2</w:t>
      </w:r>
      <w:r w:rsidR="00406B2B" w:rsidRPr="006D6218">
        <w:t>6</w:t>
      </w:r>
      <w:r w:rsidRPr="006D6218">
        <w:t>]</w:t>
      </w:r>
      <w:r w:rsidR="00886AEB" w:rsidRPr="006D6218">
        <w:tab/>
      </w:r>
      <w:r w:rsidR="00A541F8" w:rsidRPr="006D6218">
        <w:t>Flegg</w:t>
      </w:r>
      <w:r w:rsidR="00A541F8">
        <w:t xml:space="preserve"> AT,</w:t>
      </w:r>
      <w:r w:rsidR="00A541F8" w:rsidRPr="006D6218">
        <w:t xml:space="preserve"> Allen</w:t>
      </w:r>
      <w:r w:rsidR="00A541F8">
        <w:t xml:space="preserve"> DO</w:t>
      </w:r>
      <w:r w:rsidR="00886AEB" w:rsidRPr="006D6218">
        <w:rPr>
          <w:spacing w:val="-2"/>
        </w:rPr>
        <w:t>.</w:t>
      </w:r>
      <w:r w:rsidR="00886AEB" w:rsidRPr="006D6218">
        <w:t xml:space="preserve"> Congestion</w:t>
      </w:r>
      <w:r w:rsidR="00886AEB" w:rsidRPr="006D6218">
        <w:rPr>
          <w:bCs/>
          <w:spacing w:val="-4"/>
        </w:rPr>
        <w:t xml:space="preserve"> in the new B</w:t>
      </w:r>
      <w:r w:rsidR="00886AEB" w:rsidRPr="006D6218">
        <w:t>ritish universities: a further analysis</w:t>
      </w:r>
      <w:r w:rsidR="00886AEB" w:rsidRPr="006D6218">
        <w:rPr>
          <w:bCs/>
          <w:spacing w:val="-4"/>
        </w:rPr>
        <w:t xml:space="preserve">. </w:t>
      </w:r>
      <w:r w:rsidR="00886AEB" w:rsidRPr="006D6218">
        <w:rPr>
          <w:iCs/>
        </w:rPr>
        <w:t xml:space="preserve">Journal of the </w:t>
      </w:r>
      <w:r w:rsidR="00886AEB" w:rsidRPr="006D6218">
        <w:t>Operations Research Society of Japan (</w:t>
      </w:r>
      <w:r w:rsidR="00E4409E">
        <w:rPr>
          <w:spacing w:val="-2"/>
        </w:rPr>
        <w:t>under review</w:t>
      </w:r>
      <w:r w:rsidR="00886AEB" w:rsidRPr="006D6218">
        <w:t>).</w:t>
      </w:r>
    </w:p>
    <w:p w:rsidR="00886AEB" w:rsidRPr="006D6218" w:rsidRDefault="00926F3D" w:rsidP="00C02388">
      <w:pPr>
        <w:widowControl w:val="0"/>
        <w:tabs>
          <w:tab w:val="left" w:pos="-1440"/>
          <w:tab w:val="left" w:pos="-720"/>
          <w:tab w:val="left" w:pos="18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120" w:line="360" w:lineRule="auto"/>
        <w:ind w:left="547" w:hanging="547"/>
      </w:pPr>
      <w:r w:rsidRPr="006D6218">
        <w:rPr>
          <w:spacing w:val="-2"/>
        </w:rPr>
        <w:t>[</w:t>
      </w:r>
      <w:r w:rsidR="00886AEB" w:rsidRPr="006D6218">
        <w:rPr>
          <w:spacing w:val="-2"/>
        </w:rPr>
        <w:t>2</w:t>
      </w:r>
      <w:r w:rsidR="00406B2B" w:rsidRPr="006D6218">
        <w:rPr>
          <w:spacing w:val="-2"/>
        </w:rPr>
        <w:t>7</w:t>
      </w:r>
      <w:r w:rsidRPr="006D6218">
        <w:rPr>
          <w:spacing w:val="-2"/>
        </w:rPr>
        <w:t>]</w:t>
      </w:r>
      <w:r w:rsidR="00886AEB" w:rsidRPr="006D6218">
        <w:rPr>
          <w:spacing w:val="-2"/>
        </w:rPr>
        <w:tab/>
      </w:r>
      <w:r w:rsidR="00A541F8" w:rsidRPr="006D6218">
        <w:t>Flegg</w:t>
      </w:r>
      <w:r w:rsidR="00A541F8">
        <w:t xml:space="preserve"> AT,</w:t>
      </w:r>
      <w:r w:rsidR="00A541F8" w:rsidRPr="006D6218">
        <w:t xml:space="preserve"> Allen</w:t>
      </w:r>
      <w:r w:rsidR="00A541F8">
        <w:t xml:space="preserve"> DO</w:t>
      </w:r>
      <w:r w:rsidR="00886AEB" w:rsidRPr="006D6218">
        <w:t xml:space="preserve">, </w:t>
      </w:r>
      <w:r w:rsidR="00886AEB" w:rsidRPr="006D6218">
        <w:rPr>
          <w:spacing w:val="-2"/>
        </w:rPr>
        <w:t>Field</w:t>
      </w:r>
      <w:r w:rsidR="00A541F8">
        <w:rPr>
          <w:spacing w:val="-2"/>
        </w:rPr>
        <w:t xml:space="preserve"> K</w:t>
      </w:r>
      <w:r w:rsidR="00886AEB" w:rsidRPr="006D6218">
        <w:rPr>
          <w:spacing w:val="-2"/>
        </w:rPr>
        <w:t>, Thurlow</w:t>
      </w:r>
      <w:r w:rsidR="00A541F8">
        <w:rPr>
          <w:spacing w:val="-2"/>
        </w:rPr>
        <w:t xml:space="preserve"> TW</w:t>
      </w:r>
      <w:r w:rsidR="00886AEB" w:rsidRPr="006D6218">
        <w:rPr>
          <w:spacing w:val="-2"/>
        </w:rPr>
        <w:t xml:space="preserve">. </w:t>
      </w:r>
      <w:r w:rsidR="00886AEB" w:rsidRPr="006D6218">
        <w:t xml:space="preserve">Measuring the efficiency of British universities: a multi-period data envelopment analysis. </w:t>
      </w:r>
      <w:r w:rsidR="00886AEB" w:rsidRPr="006D6218">
        <w:rPr>
          <w:iCs/>
        </w:rPr>
        <w:t>Education Economics</w:t>
      </w:r>
      <w:r w:rsidR="00A541F8">
        <w:rPr>
          <w:iCs/>
        </w:rPr>
        <w:t xml:space="preserve"> 2004;</w:t>
      </w:r>
      <w:r w:rsidR="00886AEB" w:rsidRPr="006D6218">
        <w:rPr>
          <w:iCs/>
        </w:rPr>
        <w:t xml:space="preserve"> </w:t>
      </w:r>
      <w:r w:rsidR="00886AEB" w:rsidRPr="006D6218">
        <w:t>12</w:t>
      </w:r>
      <w:r w:rsidR="00A541F8">
        <w:t>:</w:t>
      </w:r>
      <w:r w:rsidR="00886AEB" w:rsidRPr="006D6218">
        <w:t xml:space="preserve"> 231</w:t>
      </w:r>
      <w:r w:rsidR="00886AEB" w:rsidRPr="006D6218">
        <w:sym w:font="Symbol" w:char="F02D"/>
      </w:r>
      <w:r w:rsidR="00886AEB" w:rsidRPr="006D6218">
        <w:t>249</w:t>
      </w:r>
      <w:r w:rsidR="00886AEB" w:rsidRPr="006D6218">
        <w:rPr>
          <w:spacing w:val="-2"/>
        </w:rPr>
        <w:t>.</w:t>
      </w:r>
    </w:p>
    <w:p w:rsidR="00886AEB" w:rsidRPr="006D6218" w:rsidRDefault="00926F3D" w:rsidP="00C02388">
      <w:pPr>
        <w:widowControl w:val="0"/>
        <w:tabs>
          <w:tab w:val="left" w:pos="-1440"/>
          <w:tab w:val="left" w:pos="-720"/>
          <w:tab w:val="left" w:pos="18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120" w:line="360" w:lineRule="auto"/>
        <w:ind w:left="547" w:hanging="547"/>
      </w:pPr>
      <w:r w:rsidRPr="006D6218">
        <w:t>[</w:t>
      </w:r>
      <w:r w:rsidR="00886AEB" w:rsidRPr="006D6218">
        <w:t>2</w:t>
      </w:r>
      <w:r w:rsidR="00406B2B" w:rsidRPr="006D6218">
        <w:t>8</w:t>
      </w:r>
      <w:r w:rsidRPr="006D6218">
        <w:t>]</w:t>
      </w:r>
      <w:r w:rsidR="00886AEB" w:rsidRPr="006D6218">
        <w:tab/>
        <w:t>Ray</w:t>
      </w:r>
      <w:r w:rsidR="00A732AB">
        <w:t xml:space="preserve"> SC</w:t>
      </w:r>
      <w:r w:rsidR="00886AEB" w:rsidRPr="006D6218">
        <w:t xml:space="preserve">. Data </w:t>
      </w:r>
      <w:r w:rsidR="00A732AB">
        <w:t>e</w:t>
      </w:r>
      <w:r w:rsidR="00886AEB" w:rsidRPr="006D6218">
        <w:t xml:space="preserve">nvelopment </w:t>
      </w:r>
      <w:r w:rsidR="00A732AB">
        <w:t>a</w:t>
      </w:r>
      <w:r w:rsidR="00886AEB" w:rsidRPr="006D6218">
        <w:t xml:space="preserve">nalysis: </w:t>
      </w:r>
      <w:r w:rsidR="00A732AB">
        <w:t>t</w:t>
      </w:r>
      <w:r w:rsidR="00886AEB" w:rsidRPr="006D6218">
        <w:t xml:space="preserve">heory and </w:t>
      </w:r>
      <w:r w:rsidR="00A732AB">
        <w:t>t</w:t>
      </w:r>
      <w:r w:rsidR="00886AEB" w:rsidRPr="006D6218">
        <w:t xml:space="preserve">echniques for </w:t>
      </w:r>
      <w:r w:rsidR="00A732AB">
        <w:t>e</w:t>
      </w:r>
      <w:r w:rsidR="00886AEB" w:rsidRPr="006D6218">
        <w:t xml:space="preserve">conomics and </w:t>
      </w:r>
      <w:r w:rsidR="00A732AB">
        <w:t>o</w:t>
      </w:r>
      <w:r w:rsidR="00886AEB" w:rsidRPr="006D6218">
        <w:t xml:space="preserve">perations </w:t>
      </w:r>
      <w:r w:rsidR="00A732AB">
        <w:t>r</w:t>
      </w:r>
      <w:r w:rsidR="00886AEB" w:rsidRPr="006D6218">
        <w:t xml:space="preserve">esearch. </w:t>
      </w:r>
      <w:smartTag w:uri="urn:schemas-microsoft-com:office:smarttags" w:element="City">
        <w:smartTag w:uri="urn:schemas-microsoft-com:office:smarttags" w:element="place">
          <w:r w:rsidR="00A732AB" w:rsidRPr="006D6218">
            <w:t>Cambridge</w:t>
          </w:r>
        </w:smartTag>
      </w:smartTag>
      <w:r w:rsidR="00A732AB">
        <w:t>:</w:t>
      </w:r>
      <w:r w:rsidR="00A732AB" w:rsidRPr="006D6218">
        <w:t xml:space="preserve"> </w:t>
      </w:r>
      <w:smartTag w:uri="urn:schemas-microsoft-com:office:smarttags" w:element="place">
        <w:smartTag w:uri="urn:schemas-microsoft-com:office:smarttags" w:element="PlaceName">
          <w:r w:rsidR="00886AEB" w:rsidRPr="006D6218">
            <w:t>Cambridge</w:t>
          </w:r>
        </w:smartTag>
        <w:r w:rsidR="00886AEB" w:rsidRPr="006D6218">
          <w:t xml:space="preserve"> </w:t>
        </w:r>
        <w:smartTag w:uri="urn:schemas-microsoft-com:office:smarttags" w:element="PlaceType">
          <w:r w:rsidR="00886AEB" w:rsidRPr="006D6218">
            <w:t>University</w:t>
          </w:r>
        </w:smartTag>
      </w:smartTag>
      <w:r w:rsidR="00886AEB" w:rsidRPr="006D6218">
        <w:t xml:space="preserve"> Press</w:t>
      </w:r>
      <w:r w:rsidR="00A732AB">
        <w:t>;</w:t>
      </w:r>
      <w:r w:rsidR="00886AEB" w:rsidRPr="006D6218">
        <w:t xml:space="preserve"> </w:t>
      </w:r>
      <w:r w:rsidR="00A732AB">
        <w:t>2004</w:t>
      </w:r>
      <w:r w:rsidR="00886AEB" w:rsidRPr="006D6218">
        <w:t>.</w:t>
      </w:r>
    </w:p>
    <w:p w:rsidR="00886AEB" w:rsidRPr="006D6218" w:rsidRDefault="00926F3D" w:rsidP="00C02388">
      <w:pPr>
        <w:widowControl w:val="0"/>
        <w:tabs>
          <w:tab w:val="left" w:pos="-1440"/>
          <w:tab w:val="left" w:pos="-720"/>
          <w:tab w:val="left" w:pos="18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120" w:line="360" w:lineRule="auto"/>
        <w:ind w:left="547" w:hanging="547"/>
        <w:rPr>
          <w:spacing w:val="-2"/>
        </w:rPr>
      </w:pPr>
      <w:r w:rsidRPr="006D6218">
        <w:rPr>
          <w:spacing w:val="-2"/>
        </w:rPr>
        <w:t>[</w:t>
      </w:r>
      <w:r w:rsidR="00886AEB" w:rsidRPr="006D6218">
        <w:rPr>
          <w:spacing w:val="-2"/>
        </w:rPr>
        <w:t>2</w:t>
      </w:r>
      <w:r w:rsidR="00406B2B" w:rsidRPr="006D6218">
        <w:rPr>
          <w:spacing w:val="-2"/>
        </w:rPr>
        <w:t>9</w:t>
      </w:r>
      <w:r w:rsidRPr="006D6218">
        <w:rPr>
          <w:spacing w:val="-2"/>
        </w:rPr>
        <w:t>]</w:t>
      </w:r>
      <w:r w:rsidR="00886AEB" w:rsidRPr="006D6218">
        <w:rPr>
          <w:spacing w:val="-2"/>
        </w:rPr>
        <w:tab/>
        <w:t>Tone</w:t>
      </w:r>
      <w:r w:rsidR="00A732AB">
        <w:rPr>
          <w:spacing w:val="-2"/>
        </w:rPr>
        <w:t xml:space="preserve"> K</w:t>
      </w:r>
      <w:r w:rsidR="00886AEB" w:rsidRPr="006D6218">
        <w:rPr>
          <w:spacing w:val="-2"/>
        </w:rPr>
        <w:t>, Sahoo</w:t>
      </w:r>
      <w:r w:rsidR="00A732AB">
        <w:rPr>
          <w:spacing w:val="-2"/>
        </w:rPr>
        <w:t xml:space="preserve"> BK</w:t>
      </w:r>
      <w:r w:rsidR="00886AEB" w:rsidRPr="006D6218">
        <w:rPr>
          <w:spacing w:val="-2"/>
        </w:rPr>
        <w:t>. Degree of scale economies and congestion: a unified DEA approach. European Journal of Operational Research</w:t>
      </w:r>
      <w:r w:rsidR="00A732AB">
        <w:rPr>
          <w:spacing w:val="-2"/>
        </w:rPr>
        <w:t xml:space="preserve"> 2004;</w:t>
      </w:r>
      <w:r w:rsidR="00886AEB" w:rsidRPr="006D6218">
        <w:rPr>
          <w:spacing w:val="-2"/>
        </w:rPr>
        <w:t xml:space="preserve"> 158</w:t>
      </w:r>
      <w:r w:rsidR="00A732AB">
        <w:rPr>
          <w:spacing w:val="-2"/>
        </w:rPr>
        <w:t>:</w:t>
      </w:r>
      <w:r w:rsidR="00886AEB" w:rsidRPr="006D6218">
        <w:rPr>
          <w:spacing w:val="-2"/>
        </w:rPr>
        <w:t xml:space="preserve"> 755–772.</w:t>
      </w:r>
    </w:p>
    <w:p w:rsidR="00886AEB" w:rsidRPr="006D6218" w:rsidRDefault="00926F3D" w:rsidP="00C02388">
      <w:pPr>
        <w:widowControl w:val="0"/>
        <w:tabs>
          <w:tab w:val="left" w:pos="-1440"/>
          <w:tab w:val="left" w:pos="-720"/>
          <w:tab w:val="left" w:pos="18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120" w:line="360" w:lineRule="auto"/>
        <w:ind w:left="547" w:hanging="547"/>
        <w:rPr>
          <w:spacing w:val="-2"/>
        </w:rPr>
      </w:pPr>
      <w:r w:rsidRPr="006D6218">
        <w:rPr>
          <w:spacing w:val="-2"/>
        </w:rPr>
        <w:t>[</w:t>
      </w:r>
      <w:r w:rsidR="00406B2B" w:rsidRPr="006D6218">
        <w:rPr>
          <w:spacing w:val="-2"/>
        </w:rPr>
        <w:t>30</w:t>
      </w:r>
      <w:r w:rsidRPr="006D6218">
        <w:rPr>
          <w:spacing w:val="-2"/>
        </w:rPr>
        <w:t>]</w:t>
      </w:r>
      <w:r w:rsidR="00886AEB" w:rsidRPr="006D6218">
        <w:rPr>
          <w:spacing w:val="-2"/>
        </w:rPr>
        <w:tab/>
        <w:t>Zhu</w:t>
      </w:r>
      <w:r w:rsidR="00A732AB">
        <w:rPr>
          <w:spacing w:val="-2"/>
        </w:rPr>
        <w:t xml:space="preserve"> J</w:t>
      </w:r>
      <w:r w:rsidR="00886AEB" w:rsidRPr="006D6218">
        <w:rPr>
          <w:spacing w:val="-2"/>
        </w:rPr>
        <w:t xml:space="preserve">. Quantitative </w:t>
      </w:r>
      <w:r w:rsidR="00A732AB">
        <w:rPr>
          <w:spacing w:val="-2"/>
        </w:rPr>
        <w:t>m</w:t>
      </w:r>
      <w:r w:rsidR="00886AEB" w:rsidRPr="006D6218">
        <w:rPr>
          <w:spacing w:val="-2"/>
        </w:rPr>
        <w:t xml:space="preserve">odels for </w:t>
      </w:r>
      <w:r w:rsidR="00A732AB">
        <w:rPr>
          <w:spacing w:val="-2"/>
        </w:rPr>
        <w:t>p</w:t>
      </w:r>
      <w:r w:rsidR="00886AEB" w:rsidRPr="006D6218">
        <w:rPr>
          <w:spacing w:val="-2"/>
        </w:rPr>
        <w:t xml:space="preserve">erformance </w:t>
      </w:r>
      <w:r w:rsidR="00A732AB">
        <w:rPr>
          <w:spacing w:val="-2"/>
        </w:rPr>
        <w:t>e</w:t>
      </w:r>
      <w:r w:rsidR="00886AEB" w:rsidRPr="006D6218">
        <w:rPr>
          <w:spacing w:val="-2"/>
        </w:rPr>
        <w:t xml:space="preserve">valuation and </w:t>
      </w:r>
      <w:r w:rsidR="00A732AB">
        <w:rPr>
          <w:spacing w:val="-2"/>
        </w:rPr>
        <w:t>b</w:t>
      </w:r>
      <w:r w:rsidR="00886AEB" w:rsidRPr="006D6218">
        <w:rPr>
          <w:spacing w:val="-2"/>
        </w:rPr>
        <w:t xml:space="preserve">enchmarking: </w:t>
      </w:r>
      <w:r w:rsidR="00A732AB">
        <w:rPr>
          <w:spacing w:val="-2"/>
        </w:rPr>
        <w:t>d</w:t>
      </w:r>
      <w:r w:rsidR="00886AEB" w:rsidRPr="006D6218">
        <w:rPr>
          <w:spacing w:val="-2"/>
        </w:rPr>
        <w:t xml:space="preserve">ata </w:t>
      </w:r>
      <w:r w:rsidR="00A732AB">
        <w:rPr>
          <w:spacing w:val="-2"/>
        </w:rPr>
        <w:t>e</w:t>
      </w:r>
      <w:r w:rsidR="00886AEB" w:rsidRPr="006D6218">
        <w:rPr>
          <w:spacing w:val="-2"/>
        </w:rPr>
        <w:t xml:space="preserve">nvelopment </w:t>
      </w:r>
      <w:r w:rsidR="00A732AB">
        <w:rPr>
          <w:spacing w:val="-2"/>
        </w:rPr>
        <w:t>a</w:t>
      </w:r>
      <w:r w:rsidR="00886AEB" w:rsidRPr="006D6218">
        <w:rPr>
          <w:spacing w:val="-2"/>
        </w:rPr>
        <w:t xml:space="preserve">nalysis with </w:t>
      </w:r>
      <w:r w:rsidR="00A732AB">
        <w:rPr>
          <w:spacing w:val="-2"/>
        </w:rPr>
        <w:t>s</w:t>
      </w:r>
      <w:r w:rsidR="00886AEB" w:rsidRPr="006D6218">
        <w:rPr>
          <w:spacing w:val="-2"/>
        </w:rPr>
        <w:t xml:space="preserve">preadsheets. </w:t>
      </w:r>
      <w:smartTag w:uri="urn:schemas-microsoft-com:office:smarttags" w:element="City">
        <w:smartTag w:uri="urn:schemas-microsoft-com:office:smarttags" w:element="place">
          <w:r w:rsidR="00886AEB" w:rsidRPr="006D6218">
            <w:rPr>
              <w:spacing w:val="-2"/>
            </w:rPr>
            <w:t>Boston</w:t>
          </w:r>
        </w:smartTag>
      </w:smartTag>
      <w:r w:rsidR="00A732AB">
        <w:rPr>
          <w:spacing w:val="-2"/>
        </w:rPr>
        <w:t>:</w:t>
      </w:r>
      <w:r w:rsidR="00886AEB" w:rsidRPr="006D6218">
        <w:rPr>
          <w:spacing w:val="-2"/>
        </w:rPr>
        <w:t xml:space="preserve"> </w:t>
      </w:r>
      <w:r w:rsidR="00A732AB" w:rsidRPr="006D6218">
        <w:rPr>
          <w:spacing w:val="-2"/>
        </w:rPr>
        <w:t>Kluwer</w:t>
      </w:r>
      <w:r w:rsidR="00A732AB">
        <w:rPr>
          <w:spacing w:val="-2"/>
        </w:rPr>
        <w:t>;</w:t>
      </w:r>
      <w:r w:rsidR="00A732AB" w:rsidRPr="006D6218">
        <w:rPr>
          <w:spacing w:val="-2"/>
        </w:rPr>
        <w:t xml:space="preserve"> </w:t>
      </w:r>
      <w:r w:rsidR="00886AEB" w:rsidRPr="006D6218">
        <w:rPr>
          <w:spacing w:val="-2"/>
        </w:rPr>
        <w:t>2002.</w:t>
      </w:r>
    </w:p>
    <w:p w:rsidR="00AA6ACF" w:rsidRPr="002F4527" w:rsidRDefault="00886AEB" w:rsidP="00AA6ACF">
      <w:pPr>
        <w:widowControl w:val="0"/>
        <w:tabs>
          <w:tab w:val="left" w:pos="-1440"/>
          <w:tab w:val="left" w:pos="-720"/>
          <w:tab w:val="left" w:pos="18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ind w:left="544" w:hanging="544"/>
        <w:rPr>
          <w:spacing w:val="-2"/>
        </w:rPr>
      </w:pPr>
      <w:r>
        <w:br w:type="page"/>
      </w:r>
    </w:p>
    <w:p w:rsidR="00AA6ACF" w:rsidRDefault="00AA6ACF" w:rsidP="00AA6ACF"/>
    <w:p w:rsidR="00AA6ACF" w:rsidRDefault="00AA6ACF" w:rsidP="00AA6ACF"/>
    <w:p w:rsidR="00AA6ACF" w:rsidRPr="001410DA" w:rsidRDefault="00AA6ACF" w:rsidP="00AA6ACF">
      <w:pPr>
        <w:jc w:val="center"/>
      </w:pPr>
      <w:r w:rsidRPr="001410DA">
        <w:t>Table 1.  Results from Cooper’s approach: textile industry</w:t>
      </w:r>
    </w:p>
    <w:p w:rsidR="00AA6ACF" w:rsidRDefault="00AA6ACF" w:rsidP="00AA6ACF">
      <w:pPr>
        <w:jc w:val="center"/>
      </w:pPr>
    </w:p>
    <w:tbl>
      <w:tblPr>
        <w:tblW w:w="764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15" w:type="dxa"/>
          <w:right w:w="115" w:type="dxa"/>
        </w:tblCellMar>
        <w:tblLook w:val="0000"/>
      </w:tblPr>
      <w:tblGrid>
        <w:gridCol w:w="841"/>
        <w:gridCol w:w="1409"/>
        <w:gridCol w:w="1069"/>
        <w:gridCol w:w="1030"/>
        <w:gridCol w:w="1097"/>
        <w:gridCol w:w="1097"/>
        <w:gridCol w:w="1097"/>
      </w:tblGrid>
      <w:tr w:rsidR="00AA6ACF">
        <w:trPr>
          <w:trHeight w:val="840"/>
          <w:jc w:val="center"/>
        </w:trPr>
        <w:tc>
          <w:tcPr>
            <w:tcW w:w="841" w:type="dxa"/>
            <w:noWrap/>
            <w:vAlign w:val="center"/>
          </w:tcPr>
          <w:p w:rsidR="00AA6ACF" w:rsidRDefault="00AA6ACF" w:rsidP="00AA6ACF">
            <w:pPr>
              <w:jc w:val="center"/>
              <w:rPr>
                <w:sz w:val="20"/>
                <w:szCs w:val="20"/>
              </w:rPr>
            </w:pPr>
          </w:p>
        </w:tc>
        <w:tc>
          <w:tcPr>
            <w:tcW w:w="1409" w:type="dxa"/>
            <w:noWrap/>
            <w:vAlign w:val="center"/>
          </w:tcPr>
          <w:p w:rsidR="00AA6ACF" w:rsidRDefault="00AA6ACF" w:rsidP="00AA6ACF">
            <w:pPr>
              <w:jc w:val="center"/>
              <w:rPr>
                <w:sz w:val="20"/>
                <w:szCs w:val="20"/>
              </w:rPr>
            </w:pPr>
            <w:r>
              <w:rPr>
                <w:sz w:val="20"/>
                <w:szCs w:val="20"/>
              </w:rPr>
              <w:t>CCR efficiency score</w:t>
            </w:r>
          </w:p>
        </w:tc>
        <w:tc>
          <w:tcPr>
            <w:tcW w:w="1069" w:type="dxa"/>
            <w:noWrap/>
            <w:vAlign w:val="center"/>
          </w:tcPr>
          <w:p w:rsidR="00AA6ACF" w:rsidRDefault="00AA6ACF" w:rsidP="00AA6ACF">
            <w:pPr>
              <w:jc w:val="center"/>
              <w:rPr>
                <w:sz w:val="20"/>
                <w:szCs w:val="20"/>
              </w:rPr>
            </w:pPr>
            <w:smartTag w:uri="urn:schemas-microsoft-com:office:smarttags" w:element="stockticker">
              <w:r>
                <w:rPr>
                  <w:sz w:val="20"/>
                  <w:szCs w:val="20"/>
                </w:rPr>
                <w:t>BCC</w:t>
              </w:r>
            </w:smartTag>
            <w:r>
              <w:rPr>
                <w:sz w:val="20"/>
                <w:szCs w:val="20"/>
              </w:rPr>
              <w:t xml:space="preserve"> efficiency score</w:t>
            </w:r>
          </w:p>
        </w:tc>
        <w:tc>
          <w:tcPr>
            <w:tcW w:w="1030" w:type="dxa"/>
            <w:vAlign w:val="center"/>
          </w:tcPr>
          <w:p w:rsidR="00AA6ACF" w:rsidRDefault="00AA6ACF" w:rsidP="009C1FD6">
            <w:pPr>
              <w:jc w:val="center"/>
              <w:rPr>
                <w:sz w:val="20"/>
                <w:szCs w:val="20"/>
              </w:rPr>
            </w:pPr>
            <w:r>
              <w:rPr>
                <w:sz w:val="20"/>
                <w:szCs w:val="20"/>
              </w:rPr>
              <w:t>Scale efficiency score</w:t>
            </w:r>
          </w:p>
        </w:tc>
        <w:tc>
          <w:tcPr>
            <w:tcW w:w="1097" w:type="dxa"/>
            <w:vAlign w:val="center"/>
          </w:tcPr>
          <w:p w:rsidR="00AA6ACF" w:rsidRDefault="00AA6ACF" w:rsidP="00AA6ACF">
            <w:pPr>
              <w:jc w:val="center"/>
              <w:rPr>
                <w:sz w:val="20"/>
                <w:szCs w:val="20"/>
              </w:rPr>
            </w:pPr>
            <w:r>
              <w:rPr>
                <w:sz w:val="20"/>
                <w:szCs w:val="20"/>
              </w:rPr>
              <w:t>Labour congestion</w:t>
            </w:r>
          </w:p>
        </w:tc>
        <w:tc>
          <w:tcPr>
            <w:tcW w:w="1097" w:type="dxa"/>
          </w:tcPr>
          <w:p w:rsidR="00AA6ACF" w:rsidRDefault="00AA6ACF" w:rsidP="00AA6ACF">
            <w:pPr>
              <w:spacing w:before="200"/>
              <w:jc w:val="center"/>
              <w:rPr>
                <w:sz w:val="20"/>
                <w:szCs w:val="20"/>
              </w:rPr>
            </w:pPr>
            <w:r>
              <w:rPr>
                <w:sz w:val="20"/>
                <w:szCs w:val="20"/>
              </w:rPr>
              <w:t>Capital congestion</w:t>
            </w:r>
          </w:p>
        </w:tc>
        <w:tc>
          <w:tcPr>
            <w:tcW w:w="1097" w:type="dxa"/>
            <w:noWrap/>
            <w:vAlign w:val="center"/>
          </w:tcPr>
          <w:p w:rsidR="00AA6ACF" w:rsidRDefault="00AA6ACF" w:rsidP="00AA6ACF">
            <w:pPr>
              <w:jc w:val="center"/>
              <w:rPr>
                <w:sz w:val="20"/>
                <w:szCs w:val="20"/>
              </w:rPr>
            </w:pPr>
            <w:r>
              <w:rPr>
                <w:sz w:val="20"/>
                <w:szCs w:val="20"/>
              </w:rPr>
              <w:t>Overall congestion</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1981</w:t>
            </w:r>
          </w:p>
        </w:tc>
        <w:tc>
          <w:tcPr>
            <w:tcW w:w="1409" w:type="dxa"/>
            <w:noWrap/>
            <w:vAlign w:val="center"/>
          </w:tcPr>
          <w:p w:rsidR="00AA6ACF" w:rsidRDefault="00AA6ACF" w:rsidP="00AA6ACF">
            <w:pPr>
              <w:jc w:val="center"/>
              <w:rPr>
                <w:sz w:val="20"/>
                <w:szCs w:val="20"/>
              </w:rPr>
            </w:pPr>
            <w:r>
              <w:rPr>
                <w:sz w:val="20"/>
                <w:szCs w:val="20"/>
              </w:rPr>
              <w:t>0.276</w:t>
            </w:r>
          </w:p>
        </w:tc>
        <w:tc>
          <w:tcPr>
            <w:tcW w:w="1069" w:type="dxa"/>
            <w:noWrap/>
            <w:vAlign w:val="center"/>
          </w:tcPr>
          <w:p w:rsidR="00AA6ACF" w:rsidRDefault="00AA6ACF" w:rsidP="00AA6ACF">
            <w:pPr>
              <w:jc w:val="center"/>
              <w:rPr>
                <w:sz w:val="20"/>
                <w:szCs w:val="20"/>
              </w:rPr>
            </w:pPr>
            <w:r>
              <w:rPr>
                <w:sz w:val="20"/>
                <w:szCs w:val="20"/>
              </w:rPr>
              <w:t>1</w:t>
            </w:r>
          </w:p>
        </w:tc>
        <w:tc>
          <w:tcPr>
            <w:tcW w:w="1030" w:type="dxa"/>
            <w:vAlign w:val="center"/>
          </w:tcPr>
          <w:p w:rsidR="00AA6ACF" w:rsidRDefault="00AA6ACF" w:rsidP="00AA6ACF">
            <w:pPr>
              <w:jc w:val="center"/>
              <w:rPr>
                <w:sz w:val="20"/>
                <w:szCs w:val="20"/>
              </w:rPr>
            </w:pPr>
            <w:r>
              <w:rPr>
                <w:sz w:val="20"/>
                <w:szCs w:val="20"/>
              </w:rPr>
              <w:t>0.276</w:t>
            </w:r>
          </w:p>
        </w:tc>
        <w:tc>
          <w:tcPr>
            <w:tcW w:w="1097" w:type="dxa"/>
            <w:noWrap/>
            <w:vAlign w:val="center"/>
          </w:tcPr>
          <w:p w:rsidR="00AA6ACF" w:rsidRDefault="00AA6ACF" w:rsidP="00AA6ACF">
            <w:pPr>
              <w:jc w:val="center"/>
              <w:rPr>
                <w:sz w:val="20"/>
                <w:szCs w:val="20"/>
              </w:rPr>
            </w:pPr>
            <w:r>
              <w:rPr>
                <w:sz w:val="20"/>
                <w:szCs w:val="20"/>
              </w:rPr>
              <w:t>0</w:t>
            </w:r>
          </w:p>
        </w:tc>
        <w:tc>
          <w:tcPr>
            <w:tcW w:w="1097" w:type="dxa"/>
            <w:vAlign w:val="center"/>
          </w:tcPr>
          <w:p w:rsidR="00AA6ACF" w:rsidRDefault="00AA6ACF" w:rsidP="00AA6ACF">
            <w:pPr>
              <w:jc w:val="center"/>
              <w:rPr>
                <w:sz w:val="20"/>
                <w:szCs w:val="20"/>
              </w:rPr>
            </w:pPr>
            <w:r>
              <w:rPr>
                <w:sz w:val="20"/>
                <w:szCs w:val="20"/>
              </w:rPr>
              <w:t>0</w:t>
            </w:r>
          </w:p>
        </w:tc>
        <w:tc>
          <w:tcPr>
            <w:tcW w:w="1097" w:type="dxa"/>
            <w:noWrap/>
            <w:vAlign w:val="center"/>
          </w:tcPr>
          <w:p w:rsidR="00AA6ACF" w:rsidRDefault="00AA6ACF" w:rsidP="00AA6ACF">
            <w:pPr>
              <w:jc w:val="center"/>
              <w:rPr>
                <w:sz w:val="20"/>
                <w:szCs w:val="20"/>
              </w:rPr>
            </w:pPr>
            <w:r>
              <w:rPr>
                <w:sz w:val="20"/>
                <w:szCs w:val="20"/>
              </w:rPr>
              <w:t>0</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1982</w:t>
            </w:r>
          </w:p>
        </w:tc>
        <w:tc>
          <w:tcPr>
            <w:tcW w:w="1409" w:type="dxa"/>
            <w:noWrap/>
            <w:vAlign w:val="center"/>
          </w:tcPr>
          <w:p w:rsidR="00AA6ACF" w:rsidRDefault="00AA6ACF" w:rsidP="00AA6ACF">
            <w:pPr>
              <w:jc w:val="center"/>
              <w:rPr>
                <w:sz w:val="20"/>
                <w:szCs w:val="20"/>
              </w:rPr>
            </w:pPr>
            <w:r>
              <w:rPr>
                <w:sz w:val="20"/>
                <w:szCs w:val="20"/>
              </w:rPr>
              <w:t>0.263</w:t>
            </w:r>
          </w:p>
        </w:tc>
        <w:tc>
          <w:tcPr>
            <w:tcW w:w="1069" w:type="dxa"/>
            <w:noWrap/>
            <w:vAlign w:val="center"/>
          </w:tcPr>
          <w:p w:rsidR="00AA6ACF" w:rsidRDefault="00AA6ACF" w:rsidP="00AA6ACF">
            <w:pPr>
              <w:jc w:val="center"/>
              <w:rPr>
                <w:sz w:val="20"/>
                <w:szCs w:val="20"/>
              </w:rPr>
            </w:pPr>
            <w:r>
              <w:rPr>
                <w:sz w:val="20"/>
                <w:szCs w:val="20"/>
              </w:rPr>
              <w:t>0.669</w:t>
            </w:r>
          </w:p>
        </w:tc>
        <w:tc>
          <w:tcPr>
            <w:tcW w:w="1030" w:type="dxa"/>
            <w:vAlign w:val="center"/>
          </w:tcPr>
          <w:p w:rsidR="00AA6ACF" w:rsidRDefault="00AA6ACF" w:rsidP="00AA6ACF">
            <w:pPr>
              <w:jc w:val="center"/>
              <w:rPr>
                <w:sz w:val="20"/>
                <w:szCs w:val="20"/>
              </w:rPr>
            </w:pPr>
            <w:r>
              <w:rPr>
                <w:sz w:val="20"/>
                <w:szCs w:val="20"/>
              </w:rPr>
              <w:t>0.393</w:t>
            </w:r>
          </w:p>
        </w:tc>
        <w:tc>
          <w:tcPr>
            <w:tcW w:w="1097" w:type="dxa"/>
            <w:noWrap/>
            <w:vAlign w:val="center"/>
          </w:tcPr>
          <w:p w:rsidR="00AA6ACF" w:rsidRDefault="00AA6ACF" w:rsidP="00AA6ACF">
            <w:pPr>
              <w:jc w:val="center"/>
              <w:rPr>
                <w:sz w:val="20"/>
                <w:szCs w:val="20"/>
              </w:rPr>
            </w:pPr>
            <w:r>
              <w:rPr>
                <w:sz w:val="20"/>
                <w:szCs w:val="20"/>
              </w:rPr>
              <w:t>0</w:t>
            </w:r>
          </w:p>
        </w:tc>
        <w:tc>
          <w:tcPr>
            <w:tcW w:w="1097" w:type="dxa"/>
            <w:vAlign w:val="center"/>
          </w:tcPr>
          <w:p w:rsidR="00AA6ACF" w:rsidRDefault="00AA6ACF" w:rsidP="00AA6ACF">
            <w:pPr>
              <w:jc w:val="center"/>
              <w:rPr>
                <w:sz w:val="20"/>
                <w:szCs w:val="20"/>
              </w:rPr>
            </w:pPr>
            <w:r>
              <w:rPr>
                <w:sz w:val="20"/>
                <w:szCs w:val="20"/>
              </w:rPr>
              <w:t>0.034</w:t>
            </w:r>
          </w:p>
        </w:tc>
        <w:tc>
          <w:tcPr>
            <w:tcW w:w="1097" w:type="dxa"/>
            <w:noWrap/>
            <w:vAlign w:val="center"/>
          </w:tcPr>
          <w:p w:rsidR="00AA6ACF" w:rsidRDefault="00AA6ACF" w:rsidP="00AA6ACF">
            <w:pPr>
              <w:jc w:val="center"/>
              <w:rPr>
                <w:sz w:val="20"/>
                <w:szCs w:val="20"/>
              </w:rPr>
            </w:pPr>
            <w:r>
              <w:rPr>
                <w:sz w:val="20"/>
                <w:szCs w:val="20"/>
              </w:rPr>
              <w:t>0.017</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1983</w:t>
            </w:r>
          </w:p>
        </w:tc>
        <w:tc>
          <w:tcPr>
            <w:tcW w:w="1409" w:type="dxa"/>
            <w:noWrap/>
            <w:vAlign w:val="center"/>
          </w:tcPr>
          <w:p w:rsidR="00AA6ACF" w:rsidRDefault="00AA6ACF" w:rsidP="00AA6ACF">
            <w:pPr>
              <w:jc w:val="center"/>
              <w:rPr>
                <w:sz w:val="20"/>
                <w:szCs w:val="20"/>
              </w:rPr>
            </w:pPr>
            <w:r>
              <w:rPr>
                <w:sz w:val="20"/>
                <w:szCs w:val="20"/>
              </w:rPr>
              <w:t>0.288</w:t>
            </w:r>
          </w:p>
        </w:tc>
        <w:tc>
          <w:tcPr>
            <w:tcW w:w="1069" w:type="dxa"/>
            <w:noWrap/>
            <w:vAlign w:val="center"/>
          </w:tcPr>
          <w:p w:rsidR="00AA6ACF" w:rsidRDefault="00AA6ACF" w:rsidP="00AA6ACF">
            <w:pPr>
              <w:jc w:val="center"/>
              <w:rPr>
                <w:sz w:val="20"/>
                <w:szCs w:val="20"/>
              </w:rPr>
            </w:pPr>
            <w:r>
              <w:rPr>
                <w:sz w:val="20"/>
                <w:szCs w:val="20"/>
              </w:rPr>
              <w:t>1</w:t>
            </w:r>
          </w:p>
        </w:tc>
        <w:tc>
          <w:tcPr>
            <w:tcW w:w="1030" w:type="dxa"/>
            <w:vAlign w:val="center"/>
          </w:tcPr>
          <w:p w:rsidR="00AA6ACF" w:rsidRDefault="00AA6ACF" w:rsidP="00AA6ACF">
            <w:pPr>
              <w:jc w:val="center"/>
              <w:rPr>
                <w:sz w:val="20"/>
                <w:szCs w:val="20"/>
              </w:rPr>
            </w:pPr>
            <w:r>
              <w:rPr>
                <w:sz w:val="20"/>
                <w:szCs w:val="20"/>
              </w:rPr>
              <w:t>0.288</w:t>
            </w:r>
          </w:p>
        </w:tc>
        <w:tc>
          <w:tcPr>
            <w:tcW w:w="1097" w:type="dxa"/>
            <w:noWrap/>
            <w:vAlign w:val="center"/>
          </w:tcPr>
          <w:p w:rsidR="00AA6ACF" w:rsidRDefault="00AA6ACF" w:rsidP="00AA6ACF">
            <w:pPr>
              <w:jc w:val="center"/>
              <w:rPr>
                <w:sz w:val="20"/>
                <w:szCs w:val="20"/>
              </w:rPr>
            </w:pPr>
            <w:r>
              <w:rPr>
                <w:sz w:val="20"/>
                <w:szCs w:val="20"/>
              </w:rPr>
              <w:t>0</w:t>
            </w:r>
          </w:p>
        </w:tc>
        <w:tc>
          <w:tcPr>
            <w:tcW w:w="1097" w:type="dxa"/>
            <w:vAlign w:val="center"/>
          </w:tcPr>
          <w:p w:rsidR="00AA6ACF" w:rsidRDefault="00AA6ACF" w:rsidP="00AA6ACF">
            <w:pPr>
              <w:jc w:val="center"/>
              <w:rPr>
                <w:sz w:val="20"/>
                <w:szCs w:val="20"/>
              </w:rPr>
            </w:pPr>
            <w:r>
              <w:rPr>
                <w:sz w:val="20"/>
                <w:szCs w:val="20"/>
              </w:rPr>
              <w:t>0</w:t>
            </w:r>
          </w:p>
        </w:tc>
        <w:tc>
          <w:tcPr>
            <w:tcW w:w="1097" w:type="dxa"/>
            <w:noWrap/>
            <w:vAlign w:val="center"/>
          </w:tcPr>
          <w:p w:rsidR="00AA6ACF" w:rsidRDefault="00AA6ACF" w:rsidP="00AA6ACF">
            <w:pPr>
              <w:jc w:val="center"/>
              <w:rPr>
                <w:sz w:val="20"/>
                <w:szCs w:val="20"/>
              </w:rPr>
            </w:pPr>
            <w:r>
              <w:rPr>
                <w:sz w:val="20"/>
                <w:szCs w:val="20"/>
              </w:rPr>
              <w:t>0</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1984</w:t>
            </w:r>
          </w:p>
        </w:tc>
        <w:tc>
          <w:tcPr>
            <w:tcW w:w="1409" w:type="dxa"/>
            <w:noWrap/>
            <w:vAlign w:val="center"/>
          </w:tcPr>
          <w:p w:rsidR="00AA6ACF" w:rsidRDefault="00AA6ACF" w:rsidP="00AA6ACF">
            <w:pPr>
              <w:jc w:val="center"/>
              <w:rPr>
                <w:sz w:val="20"/>
                <w:szCs w:val="20"/>
              </w:rPr>
            </w:pPr>
            <w:r>
              <w:rPr>
                <w:sz w:val="20"/>
                <w:szCs w:val="20"/>
              </w:rPr>
              <w:t>0.325</w:t>
            </w:r>
          </w:p>
        </w:tc>
        <w:tc>
          <w:tcPr>
            <w:tcW w:w="1069" w:type="dxa"/>
            <w:noWrap/>
            <w:vAlign w:val="center"/>
          </w:tcPr>
          <w:p w:rsidR="00AA6ACF" w:rsidRDefault="00AA6ACF" w:rsidP="00AA6ACF">
            <w:pPr>
              <w:jc w:val="center"/>
              <w:rPr>
                <w:sz w:val="20"/>
                <w:szCs w:val="20"/>
              </w:rPr>
            </w:pPr>
            <w:r>
              <w:rPr>
                <w:sz w:val="20"/>
                <w:szCs w:val="20"/>
              </w:rPr>
              <w:t>1</w:t>
            </w:r>
          </w:p>
        </w:tc>
        <w:tc>
          <w:tcPr>
            <w:tcW w:w="1030" w:type="dxa"/>
            <w:vAlign w:val="center"/>
          </w:tcPr>
          <w:p w:rsidR="00AA6ACF" w:rsidRDefault="00AA6ACF" w:rsidP="00AA6ACF">
            <w:pPr>
              <w:jc w:val="center"/>
              <w:rPr>
                <w:sz w:val="20"/>
                <w:szCs w:val="20"/>
              </w:rPr>
            </w:pPr>
            <w:r>
              <w:rPr>
                <w:sz w:val="20"/>
                <w:szCs w:val="20"/>
              </w:rPr>
              <w:t>0.325</w:t>
            </w:r>
          </w:p>
        </w:tc>
        <w:tc>
          <w:tcPr>
            <w:tcW w:w="1097" w:type="dxa"/>
            <w:noWrap/>
            <w:vAlign w:val="center"/>
          </w:tcPr>
          <w:p w:rsidR="00AA6ACF" w:rsidRDefault="00AA6ACF" w:rsidP="00AA6ACF">
            <w:pPr>
              <w:jc w:val="center"/>
              <w:rPr>
                <w:sz w:val="20"/>
                <w:szCs w:val="20"/>
              </w:rPr>
            </w:pPr>
            <w:r>
              <w:rPr>
                <w:sz w:val="20"/>
                <w:szCs w:val="20"/>
              </w:rPr>
              <w:t>0</w:t>
            </w:r>
          </w:p>
        </w:tc>
        <w:tc>
          <w:tcPr>
            <w:tcW w:w="1097" w:type="dxa"/>
            <w:vAlign w:val="center"/>
          </w:tcPr>
          <w:p w:rsidR="00AA6ACF" w:rsidRDefault="00AA6ACF" w:rsidP="00AA6ACF">
            <w:pPr>
              <w:jc w:val="center"/>
              <w:rPr>
                <w:sz w:val="20"/>
                <w:szCs w:val="20"/>
              </w:rPr>
            </w:pPr>
            <w:r>
              <w:rPr>
                <w:sz w:val="20"/>
                <w:szCs w:val="20"/>
              </w:rPr>
              <w:t>0</w:t>
            </w:r>
          </w:p>
        </w:tc>
        <w:tc>
          <w:tcPr>
            <w:tcW w:w="1097" w:type="dxa"/>
            <w:noWrap/>
            <w:vAlign w:val="center"/>
          </w:tcPr>
          <w:p w:rsidR="00AA6ACF" w:rsidRDefault="00AA6ACF" w:rsidP="00AA6ACF">
            <w:pPr>
              <w:jc w:val="center"/>
              <w:rPr>
                <w:sz w:val="20"/>
                <w:szCs w:val="20"/>
              </w:rPr>
            </w:pPr>
            <w:r>
              <w:rPr>
                <w:sz w:val="20"/>
                <w:szCs w:val="20"/>
              </w:rPr>
              <w:t>0</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1985</w:t>
            </w:r>
          </w:p>
        </w:tc>
        <w:tc>
          <w:tcPr>
            <w:tcW w:w="1409" w:type="dxa"/>
            <w:noWrap/>
            <w:vAlign w:val="center"/>
          </w:tcPr>
          <w:p w:rsidR="00AA6ACF" w:rsidRDefault="00AA6ACF" w:rsidP="00AA6ACF">
            <w:pPr>
              <w:jc w:val="center"/>
              <w:rPr>
                <w:sz w:val="20"/>
                <w:szCs w:val="20"/>
              </w:rPr>
            </w:pPr>
            <w:r>
              <w:rPr>
                <w:sz w:val="20"/>
                <w:szCs w:val="20"/>
              </w:rPr>
              <w:t>0.493</w:t>
            </w:r>
          </w:p>
        </w:tc>
        <w:tc>
          <w:tcPr>
            <w:tcW w:w="1069" w:type="dxa"/>
            <w:noWrap/>
            <w:vAlign w:val="center"/>
          </w:tcPr>
          <w:p w:rsidR="00AA6ACF" w:rsidRDefault="00AA6ACF" w:rsidP="00AA6ACF">
            <w:pPr>
              <w:jc w:val="center"/>
              <w:rPr>
                <w:sz w:val="20"/>
                <w:szCs w:val="20"/>
              </w:rPr>
            </w:pPr>
            <w:r>
              <w:rPr>
                <w:sz w:val="20"/>
                <w:szCs w:val="20"/>
              </w:rPr>
              <w:t>1</w:t>
            </w:r>
          </w:p>
        </w:tc>
        <w:tc>
          <w:tcPr>
            <w:tcW w:w="1030" w:type="dxa"/>
            <w:vAlign w:val="center"/>
          </w:tcPr>
          <w:p w:rsidR="00AA6ACF" w:rsidRDefault="00AA6ACF" w:rsidP="00AA6ACF">
            <w:pPr>
              <w:jc w:val="center"/>
              <w:rPr>
                <w:sz w:val="20"/>
                <w:szCs w:val="20"/>
              </w:rPr>
            </w:pPr>
            <w:r>
              <w:rPr>
                <w:sz w:val="20"/>
                <w:szCs w:val="20"/>
              </w:rPr>
              <w:t>0.493</w:t>
            </w:r>
          </w:p>
        </w:tc>
        <w:tc>
          <w:tcPr>
            <w:tcW w:w="1097" w:type="dxa"/>
            <w:noWrap/>
            <w:vAlign w:val="center"/>
          </w:tcPr>
          <w:p w:rsidR="00AA6ACF" w:rsidRDefault="00AA6ACF" w:rsidP="00AA6ACF">
            <w:pPr>
              <w:jc w:val="center"/>
              <w:rPr>
                <w:sz w:val="20"/>
                <w:szCs w:val="20"/>
              </w:rPr>
            </w:pPr>
            <w:r>
              <w:rPr>
                <w:sz w:val="20"/>
                <w:szCs w:val="20"/>
              </w:rPr>
              <w:t>0</w:t>
            </w:r>
          </w:p>
        </w:tc>
        <w:tc>
          <w:tcPr>
            <w:tcW w:w="1097" w:type="dxa"/>
            <w:vAlign w:val="center"/>
          </w:tcPr>
          <w:p w:rsidR="00AA6ACF" w:rsidRDefault="00AA6ACF" w:rsidP="00AA6ACF">
            <w:pPr>
              <w:jc w:val="center"/>
              <w:rPr>
                <w:sz w:val="20"/>
                <w:szCs w:val="20"/>
              </w:rPr>
            </w:pPr>
            <w:r>
              <w:rPr>
                <w:sz w:val="20"/>
                <w:szCs w:val="20"/>
              </w:rPr>
              <w:t>0</w:t>
            </w:r>
          </w:p>
        </w:tc>
        <w:tc>
          <w:tcPr>
            <w:tcW w:w="1097" w:type="dxa"/>
            <w:noWrap/>
            <w:vAlign w:val="center"/>
          </w:tcPr>
          <w:p w:rsidR="00AA6ACF" w:rsidRDefault="00AA6ACF" w:rsidP="00AA6ACF">
            <w:pPr>
              <w:jc w:val="center"/>
              <w:rPr>
                <w:sz w:val="20"/>
                <w:szCs w:val="20"/>
              </w:rPr>
            </w:pPr>
            <w:r>
              <w:rPr>
                <w:sz w:val="20"/>
                <w:szCs w:val="20"/>
              </w:rPr>
              <w:t>0</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1986</w:t>
            </w:r>
          </w:p>
        </w:tc>
        <w:tc>
          <w:tcPr>
            <w:tcW w:w="1409" w:type="dxa"/>
            <w:noWrap/>
            <w:vAlign w:val="center"/>
          </w:tcPr>
          <w:p w:rsidR="00AA6ACF" w:rsidRDefault="00AA6ACF" w:rsidP="00AA6ACF">
            <w:pPr>
              <w:jc w:val="center"/>
              <w:rPr>
                <w:sz w:val="20"/>
                <w:szCs w:val="20"/>
              </w:rPr>
            </w:pPr>
            <w:r>
              <w:rPr>
                <w:sz w:val="20"/>
                <w:szCs w:val="20"/>
              </w:rPr>
              <w:t>0.447</w:t>
            </w:r>
          </w:p>
        </w:tc>
        <w:tc>
          <w:tcPr>
            <w:tcW w:w="1069" w:type="dxa"/>
            <w:noWrap/>
            <w:vAlign w:val="center"/>
          </w:tcPr>
          <w:p w:rsidR="00AA6ACF" w:rsidRDefault="00AA6ACF" w:rsidP="00AA6ACF">
            <w:pPr>
              <w:jc w:val="center"/>
              <w:rPr>
                <w:sz w:val="20"/>
                <w:szCs w:val="20"/>
              </w:rPr>
            </w:pPr>
            <w:r>
              <w:rPr>
                <w:sz w:val="20"/>
                <w:szCs w:val="20"/>
              </w:rPr>
              <w:t>0.747</w:t>
            </w:r>
          </w:p>
        </w:tc>
        <w:tc>
          <w:tcPr>
            <w:tcW w:w="1030" w:type="dxa"/>
            <w:vAlign w:val="center"/>
          </w:tcPr>
          <w:p w:rsidR="00AA6ACF" w:rsidRDefault="00AA6ACF" w:rsidP="00AA6ACF">
            <w:pPr>
              <w:jc w:val="center"/>
              <w:rPr>
                <w:sz w:val="20"/>
                <w:szCs w:val="20"/>
              </w:rPr>
            </w:pPr>
            <w:r>
              <w:rPr>
                <w:sz w:val="20"/>
                <w:szCs w:val="20"/>
              </w:rPr>
              <w:t>0.598</w:t>
            </w:r>
          </w:p>
        </w:tc>
        <w:tc>
          <w:tcPr>
            <w:tcW w:w="1097" w:type="dxa"/>
            <w:noWrap/>
            <w:vAlign w:val="center"/>
          </w:tcPr>
          <w:p w:rsidR="00AA6ACF" w:rsidRDefault="00AA6ACF" w:rsidP="00AA6ACF">
            <w:pPr>
              <w:jc w:val="center"/>
              <w:rPr>
                <w:sz w:val="20"/>
                <w:szCs w:val="20"/>
              </w:rPr>
            </w:pPr>
            <w:r>
              <w:rPr>
                <w:sz w:val="20"/>
                <w:szCs w:val="20"/>
              </w:rPr>
              <w:t>0</w:t>
            </w:r>
          </w:p>
        </w:tc>
        <w:tc>
          <w:tcPr>
            <w:tcW w:w="1097" w:type="dxa"/>
            <w:vAlign w:val="center"/>
          </w:tcPr>
          <w:p w:rsidR="00AA6ACF" w:rsidRDefault="00AA6ACF" w:rsidP="00AA6ACF">
            <w:pPr>
              <w:jc w:val="center"/>
              <w:rPr>
                <w:sz w:val="20"/>
                <w:szCs w:val="20"/>
              </w:rPr>
            </w:pPr>
            <w:r>
              <w:rPr>
                <w:sz w:val="20"/>
                <w:szCs w:val="20"/>
              </w:rPr>
              <w:t>0</w:t>
            </w:r>
          </w:p>
        </w:tc>
        <w:tc>
          <w:tcPr>
            <w:tcW w:w="1097" w:type="dxa"/>
            <w:noWrap/>
            <w:vAlign w:val="center"/>
          </w:tcPr>
          <w:p w:rsidR="00AA6ACF" w:rsidRDefault="00AA6ACF" w:rsidP="00AA6ACF">
            <w:pPr>
              <w:jc w:val="center"/>
              <w:rPr>
                <w:sz w:val="20"/>
                <w:szCs w:val="20"/>
              </w:rPr>
            </w:pPr>
            <w:r>
              <w:rPr>
                <w:sz w:val="20"/>
                <w:szCs w:val="20"/>
              </w:rPr>
              <w:t>0</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1987</w:t>
            </w:r>
          </w:p>
        </w:tc>
        <w:tc>
          <w:tcPr>
            <w:tcW w:w="1409" w:type="dxa"/>
            <w:noWrap/>
            <w:vAlign w:val="center"/>
          </w:tcPr>
          <w:p w:rsidR="00AA6ACF" w:rsidRDefault="00AA6ACF" w:rsidP="00AA6ACF">
            <w:pPr>
              <w:jc w:val="center"/>
              <w:rPr>
                <w:sz w:val="20"/>
                <w:szCs w:val="20"/>
              </w:rPr>
            </w:pPr>
            <w:r>
              <w:rPr>
                <w:sz w:val="20"/>
                <w:szCs w:val="20"/>
              </w:rPr>
              <w:t>0.433</w:t>
            </w:r>
          </w:p>
        </w:tc>
        <w:tc>
          <w:tcPr>
            <w:tcW w:w="1069" w:type="dxa"/>
            <w:noWrap/>
            <w:vAlign w:val="center"/>
          </w:tcPr>
          <w:p w:rsidR="00AA6ACF" w:rsidRDefault="00AA6ACF" w:rsidP="00AA6ACF">
            <w:pPr>
              <w:jc w:val="center"/>
              <w:rPr>
                <w:sz w:val="20"/>
                <w:szCs w:val="20"/>
              </w:rPr>
            </w:pPr>
            <w:r>
              <w:rPr>
                <w:sz w:val="20"/>
                <w:szCs w:val="20"/>
              </w:rPr>
              <w:t>0.552</w:t>
            </w:r>
          </w:p>
        </w:tc>
        <w:tc>
          <w:tcPr>
            <w:tcW w:w="1030" w:type="dxa"/>
            <w:vAlign w:val="center"/>
          </w:tcPr>
          <w:p w:rsidR="00AA6ACF" w:rsidRDefault="00AA6ACF" w:rsidP="00AA6ACF">
            <w:pPr>
              <w:jc w:val="center"/>
              <w:rPr>
                <w:sz w:val="20"/>
                <w:szCs w:val="20"/>
              </w:rPr>
            </w:pPr>
            <w:r>
              <w:rPr>
                <w:sz w:val="20"/>
                <w:szCs w:val="20"/>
              </w:rPr>
              <w:t>0.785</w:t>
            </w:r>
          </w:p>
        </w:tc>
        <w:tc>
          <w:tcPr>
            <w:tcW w:w="1097" w:type="dxa"/>
            <w:noWrap/>
            <w:vAlign w:val="center"/>
          </w:tcPr>
          <w:p w:rsidR="00AA6ACF" w:rsidRDefault="00AA6ACF" w:rsidP="00AA6ACF">
            <w:pPr>
              <w:jc w:val="center"/>
              <w:rPr>
                <w:sz w:val="20"/>
                <w:szCs w:val="20"/>
              </w:rPr>
            </w:pPr>
            <w:r>
              <w:rPr>
                <w:sz w:val="20"/>
                <w:szCs w:val="20"/>
              </w:rPr>
              <w:t>0</w:t>
            </w:r>
          </w:p>
        </w:tc>
        <w:tc>
          <w:tcPr>
            <w:tcW w:w="1097" w:type="dxa"/>
            <w:vAlign w:val="center"/>
          </w:tcPr>
          <w:p w:rsidR="00AA6ACF" w:rsidRDefault="00AA6ACF" w:rsidP="00AA6ACF">
            <w:pPr>
              <w:jc w:val="center"/>
              <w:rPr>
                <w:sz w:val="20"/>
                <w:szCs w:val="20"/>
              </w:rPr>
            </w:pPr>
            <w:r>
              <w:rPr>
                <w:sz w:val="20"/>
                <w:szCs w:val="20"/>
              </w:rPr>
              <w:t>0</w:t>
            </w:r>
          </w:p>
        </w:tc>
        <w:tc>
          <w:tcPr>
            <w:tcW w:w="1097" w:type="dxa"/>
            <w:noWrap/>
            <w:vAlign w:val="center"/>
          </w:tcPr>
          <w:p w:rsidR="00AA6ACF" w:rsidRDefault="00AA6ACF" w:rsidP="00AA6ACF">
            <w:pPr>
              <w:jc w:val="center"/>
              <w:rPr>
                <w:sz w:val="20"/>
                <w:szCs w:val="20"/>
              </w:rPr>
            </w:pPr>
            <w:r>
              <w:rPr>
                <w:sz w:val="20"/>
                <w:szCs w:val="20"/>
              </w:rPr>
              <w:t>0</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1988</w:t>
            </w:r>
          </w:p>
        </w:tc>
        <w:tc>
          <w:tcPr>
            <w:tcW w:w="1409" w:type="dxa"/>
            <w:noWrap/>
            <w:vAlign w:val="center"/>
          </w:tcPr>
          <w:p w:rsidR="00AA6ACF" w:rsidRDefault="00AA6ACF" w:rsidP="00AA6ACF">
            <w:pPr>
              <w:jc w:val="center"/>
              <w:rPr>
                <w:sz w:val="20"/>
                <w:szCs w:val="20"/>
              </w:rPr>
            </w:pPr>
            <w:r>
              <w:rPr>
                <w:sz w:val="20"/>
                <w:szCs w:val="20"/>
              </w:rPr>
              <w:t>0.356</w:t>
            </w:r>
          </w:p>
        </w:tc>
        <w:tc>
          <w:tcPr>
            <w:tcW w:w="1069" w:type="dxa"/>
            <w:noWrap/>
            <w:vAlign w:val="center"/>
          </w:tcPr>
          <w:p w:rsidR="00AA6ACF" w:rsidRDefault="00AA6ACF" w:rsidP="00AA6ACF">
            <w:pPr>
              <w:jc w:val="center"/>
              <w:rPr>
                <w:sz w:val="20"/>
                <w:szCs w:val="20"/>
              </w:rPr>
            </w:pPr>
            <w:r>
              <w:rPr>
                <w:sz w:val="20"/>
                <w:szCs w:val="20"/>
              </w:rPr>
              <w:t>0.361</w:t>
            </w:r>
          </w:p>
        </w:tc>
        <w:tc>
          <w:tcPr>
            <w:tcW w:w="1030" w:type="dxa"/>
            <w:vAlign w:val="center"/>
          </w:tcPr>
          <w:p w:rsidR="00AA6ACF" w:rsidRDefault="00AA6ACF" w:rsidP="00AA6ACF">
            <w:pPr>
              <w:jc w:val="center"/>
              <w:rPr>
                <w:sz w:val="20"/>
                <w:szCs w:val="20"/>
              </w:rPr>
            </w:pPr>
            <w:r>
              <w:rPr>
                <w:sz w:val="20"/>
                <w:szCs w:val="20"/>
              </w:rPr>
              <w:t>0.985</w:t>
            </w:r>
          </w:p>
        </w:tc>
        <w:tc>
          <w:tcPr>
            <w:tcW w:w="1097" w:type="dxa"/>
            <w:noWrap/>
            <w:vAlign w:val="center"/>
          </w:tcPr>
          <w:p w:rsidR="00AA6ACF" w:rsidRDefault="00AA6ACF" w:rsidP="00AA6ACF">
            <w:pPr>
              <w:jc w:val="center"/>
              <w:rPr>
                <w:sz w:val="20"/>
                <w:szCs w:val="20"/>
              </w:rPr>
            </w:pPr>
            <w:r>
              <w:rPr>
                <w:sz w:val="20"/>
                <w:szCs w:val="20"/>
              </w:rPr>
              <w:t>0.091</w:t>
            </w:r>
          </w:p>
        </w:tc>
        <w:tc>
          <w:tcPr>
            <w:tcW w:w="1097" w:type="dxa"/>
            <w:vAlign w:val="center"/>
          </w:tcPr>
          <w:p w:rsidR="00AA6ACF" w:rsidRDefault="00AA6ACF" w:rsidP="00AA6ACF">
            <w:pPr>
              <w:jc w:val="center"/>
              <w:rPr>
                <w:sz w:val="20"/>
                <w:szCs w:val="20"/>
              </w:rPr>
            </w:pPr>
            <w:r>
              <w:rPr>
                <w:sz w:val="20"/>
                <w:szCs w:val="20"/>
              </w:rPr>
              <w:t>0</w:t>
            </w:r>
          </w:p>
        </w:tc>
        <w:tc>
          <w:tcPr>
            <w:tcW w:w="1097" w:type="dxa"/>
            <w:noWrap/>
            <w:vAlign w:val="center"/>
          </w:tcPr>
          <w:p w:rsidR="00AA6ACF" w:rsidRDefault="00AA6ACF" w:rsidP="00AA6ACF">
            <w:pPr>
              <w:jc w:val="center"/>
              <w:rPr>
                <w:sz w:val="20"/>
                <w:szCs w:val="20"/>
              </w:rPr>
            </w:pPr>
            <w:r>
              <w:rPr>
                <w:sz w:val="20"/>
                <w:szCs w:val="20"/>
              </w:rPr>
              <w:t>0.046</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1989</w:t>
            </w:r>
          </w:p>
        </w:tc>
        <w:tc>
          <w:tcPr>
            <w:tcW w:w="1409" w:type="dxa"/>
            <w:noWrap/>
            <w:vAlign w:val="center"/>
          </w:tcPr>
          <w:p w:rsidR="00AA6ACF" w:rsidRDefault="00AA6ACF" w:rsidP="00AA6ACF">
            <w:pPr>
              <w:jc w:val="center"/>
              <w:rPr>
                <w:sz w:val="20"/>
                <w:szCs w:val="20"/>
              </w:rPr>
            </w:pPr>
            <w:r>
              <w:rPr>
                <w:sz w:val="20"/>
                <w:szCs w:val="20"/>
              </w:rPr>
              <w:t>0.396</w:t>
            </w:r>
          </w:p>
        </w:tc>
        <w:tc>
          <w:tcPr>
            <w:tcW w:w="1069" w:type="dxa"/>
            <w:noWrap/>
            <w:vAlign w:val="center"/>
          </w:tcPr>
          <w:p w:rsidR="00AA6ACF" w:rsidRDefault="00AA6ACF" w:rsidP="00AA6ACF">
            <w:pPr>
              <w:jc w:val="center"/>
              <w:rPr>
                <w:sz w:val="20"/>
                <w:szCs w:val="20"/>
              </w:rPr>
            </w:pPr>
            <w:r>
              <w:rPr>
                <w:sz w:val="20"/>
                <w:szCs w:val="20"/>
              </w:rPr>
              <w:t>0.426</w:t>
            </w:r>
          </w:p>
        </w:tc>
        <w:tc>
          <w:tcPr>
            <w:tcW w:w="1030" w:type="dxa"/>
            <w:vAlign w:val="center"/>
          </w:tcPr>
          <w:p w:rsidR="00AA6ACF" w:rsidRDefault="00AA6ACF" w:rsidP="00AA6ACF">
            <w:pPr>
              <w:jc w:val="center"/>
              <w:rPr>
                <w:sz w:val="20"/>
                <w:szCs w:val="20"/>
              </w:rPr>
            </w:pPr>
            <w:r>
              <w:rPr>
                <w:sz w:val="20"/>
                <w:szCs w:val="20"/>
              </w:rPr>
              <w:t>0.930</w:t>
            </w:r>
          </w:p>
        </w:tc>
        <w:tc>
          <w:tcPr>
            <w:tcW w:w="1097" w:type="dxa"/>
            <w:noWrap/>
            <w:vAlign w:val="center"/>
          </w:tcPr>
          <w:p w:rsidR="00AA6ACF" w:rsidRDefault="00AA6ACF" w:rsidP="00AA6ACF">
            <w:pPr>
              <w:jc w:val="center"/>
              <w:rPr>
                <w:sz w:val="20"/>
                <w:szCs w:val="20"/>
              </w:rPr>
            </w:pPr>
            <w:r>
              <w:rPr>
                <w:sz w:val="20"/>
                <w:szCs w:val="20"/>
              </w:rPr>
              <w:t>0.061</w:t>
            </w:r>
          </w:p>
        </w:tc>
        <w:tc>
          <w:tcPr>
            <w:tcW w:w="1097" w:type="dxa"/>
            <w:vAlign w:val="center"/>
          </w:tcPr>
          <w:p w:rsidR="00AA6ACF" w:rsidRDefault="00AA6ACF" w:rsidP="00AA6ACF">
            <w:pPr>
              <w:jc w:val="center"/>
              <w:rPr>
                <w:sz w:val="20"/>
                <w:szCs w:val="20"/>
              </w:rPr>
            </w:pPr>
            <w:r>
              <w:rPr>
                <w:sz w:val="20"/>
                <w:szCs w:val="20"/>
              </w:rPr>
              <w:t>0.020</w:t>
            </w:r>
          </w:p>
        </w:tc>
        <w:tc>
          <w:tcPr>
            <w:tcW w:w="1097" w:type="dxa"/>
            <w:noWrap/>
            <w:vAlign w:val="center"/>
          </w:tcPr>
          <w:p w:rsidR="00AA6ACF" w:rsidRDefault="00AA6ACF" w:rsidP="00AA6ACF">
            <w:pPr>
              <w:jc w:val="center"/>
              <w:rPr>
                <w:sz w:val="20"/>
                <w:szCs w:val="20"/>
              </w:rPr>
            </w:pPr>
            <w:r>
              <w:rPr>
                <w:sz w:val="20"/>
                <w:szCs w:val="20"/>
              </w:rPr>
              <w:t>0.041</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1990</w:t>
            </w:r>
          </w:p>
        </w:tc>
        <w:tc>
          <w:tcPr>
            <w:tcW w:w="1409" w:type="dxa"/>
            <w:noWrap/>
            <w:vAlign w:val="center"/>
          </w:tcPr>
          <w:p w:rsidR="00AA6ACF" w:rsidRDefault="00AA6ACF" w:rsidP="00AA6ACF">
            <w:pPr>
              <w:jc w:val="center"/>
              <w:rPr>
                <w:sz w:val="20"/>
                <w:szCs w:val="20"/>
              </w:rPr>
            </w:pPr>
            <w:r>
              <w:rPr>
                <w:sz w:val="20"/>
                <w:szCs w:val="20"/>
              </w:rPr>
              <w:t>0.613</w:t>
            </w:r>
          </w:p>
        </w:tc>
        <w:tc>
          <w:tcPr>
            <w:tcW w:w="1069" w:type="dxa"/>
            <w:noWrap/>
            <w:vAlign w:val="center"/>
          </w:tcPr>
          <w:p w:rsidR="00AA6ACF" w:rsidRDefault="00AA6ACF" w:rsidP="00AA6ACF">
            <w:pPr>
              <w:jc w:val="center"/>
              <w:rPr>
                <w:sz w:val="20"/>
                <w:szCs w:val="20"/>
              </w:rPr>
            </w:pPr>
            <w:r>
              <w:rPr>
                <w:sz w:val="20"/>
                <w:szCs w:val="20"/>
              </w:rPr>
              <w:t>0.654</w:t>
            </w:r>
          </w:p>
        </w:tc>
        <w:tc>
          <w:tcPr>
            <w:tcW w:w="1030" w:type="dxa"/>
            <w:vAlign w:val="center"/>
          </w:tcPr>
          <w:p w:rsidR="00AA6ACF" w:rsidRDefault="00AA6ACF" w:rsidP="00AA6ACF">
            <w:pPr>
              <w:jc w:val="center"/>
              <w:rPr>
                <w:sz w:val="20"/>
                <w:szCs w:val="20"/>
              </w:rPr>
            </w:pPr>
            <w:r>
              <w:rPr>
                <w:sz w:val="20"/>
                <w:szCs w:val="20"/>
              </w:rPr>
              <w:t>0.938</w:t>
            </w:r>
          </w:p>
        </w:tc>
        <w:tc>
          <w:tcPr>
            <w:tcW w:w="1097" w:type="dxa"/>
            <w:noWrap/>
            <w:vAlign w:val="center"/>
          </w:tcPr>
          <w:p w:rsidR="00AA6ACF" w:rsidRDefault="00AA6ACF" w:rsidP="00AA6ACF">
            <w:pPr>
              <w:jc w:val="center"/>
              <w:rPr>
                <w:sz w:val="20"/>
                <w:szCs w:val="20"/>
              </w:rPr>
            </w:pPr>
            <w:r>
              <w:rPr>
                <w:sz w:val="20"/>
                <w:szCs w:val="20"/>
              </w:rPr>
              <w:t>0.058</w:t>
            </w:r>
          </w:p>
        </w:tc>
        <w:tc>
          <w:tcPr>
            <w:tcW w:w="1097" w:type="dxa"/>
            <w:vAlign w:val="center"/>
          </w:tcPr>
          <w:p w:rsidR="00AA6ACF" w:rsidRDefault="00AA6ACF" w:rsidP="00AA6ACF">
            <w:pPr>
              <w:jc w:val="center"/>
              <w:rPr>
                <w:sz w:val="20"/>
                <w:szCs w:val="20"/>
              </w:rPr>
            </w:pPr>
            <w:r>
              <w:rPr>
                <w:sz w:val="20"/>
                <w:szCs w:val="20"/>
              </w:rPr>
              <w:t>0</w:t>
            </w:r>
          </w:p>
        </w:tc>
        <w:tc>
          <w:tcPr>
            <w:tcW w:w="1097" w:type="dxa"/>
            <w:noWrap/>
            <w:vAlign w:val="center"/>
          </w:tcPr>
          <w:p w:rsidR="00AA6ACF" w:rsidRDefault="00AA6ACF" w:rsidP="00AA6ACF">
            <w:pPr>
              <w:jc w:val="center"/>
              <w:rPr>
                <w:sz w:val="20"/>
                <w:szCs w:val="20"/>
              </w:rPr>
            </w:pPr>
            <w:r>
              <w:rPr>
                <w:sz w:val="20"/>
                <w:szCs w:val="20"/>
              </w:rPr>
              <w:t>0.029</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1991</w:t>
            </w:r>
          </w:p>
        </w:tc>
        <w:tc>
          <w:tcPr>
            <w:tcW w:w="1409" w:type="dxa"/>
            <w:noWrap/>
            <w:vAlign w:val="center"/>
          </w:tcPr>
          <w:p w:rsidR="00AA6ACF" w:rsidRDefault="00AA6ACF" w:rsidP="00AA6ACF">
            <w:pPr>
              <w:jc w:val="center"/>
              <w:rPr>
                <w:sz w:val="20"/>
                <w:szCs w:val="20"/>
              </w:rPr>
            </w:pPr>
            <w:r>
              <w:rPr>
                <w:sz w:val="20"/>
                <w:szCs w:val="20"/>
              </w:rPr>
              <w:t>0.859</w:t>
            </w:r>
          </w:p>
        </w:tc>
        <w:tc>
          <w:tcPr>
            <w:tcW w:w="1069" w:type="dxa"/>
            <w:noWrap/>
            <w:vAlign w:val="center"/>
          </w:tcPr>
          <w:p w:rsidR="00AA6ACF" w:rsidRDefault="00AA6ACF" w:rsidP="00AA6ACF">
            <w:pPr>
              <w:jc w:val="center"/>
              <w:rPr>
                <w:sz w:val="20"/>
                <w:szCs w:val="20"/>
              </w:rPr>
            </w:pPr>
            <w:r>
              <w:rPr>
                <w:sz w:val="20"/>
                <w:szCs w:val="20"/>
              </w:rPr>
              <w:t>1</w:t>
            </w:r>
          </w:p>
        </w:tc>
        <w:tc>
          <w:tcPr>
            <w:tcW w:w="1030" w:type="dxa"/>
            <w:vAlign w:val="center"/>
          </w:tcPr>
          <w:p w:rsidR="00AA6ACF" w:rsidRDefault="00AA6ACF" w:rsidP="00AA6ACF">
            <w:pPr>
              <w:jc w:val="center"/>
              <w:rPr>
                <w:sz w:val="20"/>
                <w:szCs w:val="20"/>
              </w:rPr>
            </w:pPr>
            <w:r>
              <w:rPr>
                <w:sz w:val="20"/>
                <w:szCs w:val="20"/>
              </w:rPr>
              <w:t>0.859</w:t>
            </w:r>
          </w:p>
        </w:tc>
        <w:tc>
          <w:tcPr>
            <w:tcW w:w="1097" w:type="dxa"/>
            <w:noWrap/>
            <w:vAlign w:val="center"/>
          </w:tcPr>
          <w:p w:rsidR="00AA6ACF" w:rsidRPr="00F068AB" w:rsidRDefault="00AA6ACF" w:rsidP="00AA6ACF">
            <w:pPr>
              <w:jc w:val="center"/>
              <w:rPr>
                <w:sz w:val="20"/>
                <w:szCs w:val="20"/>
              </w:rPr>
            </w:pPr>
            <w:r w:rsidRPr="00F068AB">
              <w:rPr>
                <w:sz w:val="20"/>
                <w:szCs w:val="20"/>
              </w:rPr>
              <w:t>0</w:t>
            </w:r>
          </w:p>
        </w:tc>
        <w:tc>
          <w:tcPr>
            <w:tcW w:w="1097" w:type="dxa"/>
            <w:vAlign w:val="center"/>
          </w:tcPr>
          <w:p w:rsidR="00AA6ACF" w:rsidRPr="00F068AB" w:rsidRDefault="00AA6ACF" w:rsidP="00AA6ACF">
            <w:pPr>
              <w:jc w:val="center"/>
              <w:rPr>
                <w:sz w:val="20"/>
                <w:szCs w:val="20"/>
              </w:rPr>
            </w:pPr>
            <w:r w:rsidRPr="00F068AB">
              <w:rPr>
                <w:sz w:val="20"/>
                <w:szCs w:val="20"/>
              </w:rPr>
              <w:t>0</w:t>
            </w:r>
          </w:p>
        </w:tc>
        <w:tc>
          <w:tcPr>
            <w:tcW w:w="1097" w:type="dxa"/>
            <w:noWrap/>
            <w:vAlign w:val="center"/>
          </w:tcPr>
          <w:p w:rsidR="00AA6ACF" w:rsidRPr="00F068AB" w:rsidRDefault="00AA6ACF" w:rsidP="00AA6ACF">
            <w:pPr>
              <w:jc w:val="center"/>
              <w:rPr>
                <w:sz w:val="20"/>
                <w:szCs w:val="20"/>
              </w:rPr>
            </w:pPr>
            <w:r w:rsidRPr="00F068AB">
              <w:rPr>
                <w:sz w:val="20"/>
                <w:szCs w:val="20"/>
              </w:rPr>
              <w:t>0</w:t>
            </w:r>
          </w:p>
        </w:tc>
      </w:tr>
      <w:tr w:rsidR="00AA6ACF">
        <w:trPr>
          <w:trHeight w:val="340"/>
          <w:jc w:val="center"/>
        </w:trPr>
        <w:tc>
          <w:tcPr>
            <w:tcW w:w="841" w:type="dxa"/>
            <w:tcBorders>
              <w:bottom w:val="single" w:sz="6" w:space="0" w:color="auto"/>
            </w:tcBorders>
            <w:vAlign w:val="center"/>
          </w:tcPr>
          <w:p w:rsidR="00AA6ACF" w:rsidRPr="006F7CA4" w:rsidRDefault="00AA6ACF" w:rsidP="00AA6ACF">
            <w:pPr>
              <w:rPr>
                <w:bCs/>
                <w:sz w:val="20"/>
                <w:szCs w:val="20"/>
              </w:rPr>
            </w:pPr>
            <w:r w:rsidRPr="006F7CA4">
              <w:rPr>
                <w:bCs/>
                <w:sz w:val="20"/>
                <w:szCs w:val="20"/>
              </w:rPr>
              <w:t xml:space="preserve"> 1992</w:t>
            </w:r>
          </w:p>
        </w:tc>
        <w:tc>
          <w:tcPr>
            <w:tcW w:w="1409" w:type="dxa"/>
            <w:tcBorders>
              <w:bottom w:val="single" w:sz="6" w:space="0" w:color="auto"/>
            </w:tcBorders>
            <w:vAlign w:val="center"/>
          </w:tcPr>
          <w:p w:rsidR="00AA6ACF" w:rsidRPr="00FE1FE0" w:rsidRDefault="00AA6ACF" w:rsidP="00AA6ACF">
            <w:pPr>
              <w:jc w:val="center"/>
              <w:rPr>
                <w:bCs/>
                <w:sz w:val="20"/>
                <w:szCs w:val="20"/>
              </w:rPr>
            </w:pPr>
            <w:r w:rsidRPr="00FE1FE0">
              <w:rPr>
                <w:bCs/>
                <w:sz w:val="20"/>
                <w:szCs w:val="20"/>
              </w:rPr>
              <w:t>0.809</w:t>
            </w:r>
          </w:p>
        </w:tc>
        <w:tc>
          <w:tcPr>
            <w:tcW w:w="1069" w:type="dxa"/>
            <w:tcBorders>
              <w:bottom w:val="single" w:sz="6" w:space="0" w:color="auto"/>
            </w:tcBorders>
            <w:vAlign w:val="center"/>
          </w:tcPr>
          <w:p w:rsidR="00AA6ACF" w:rsidRPr="00FE1FE0" w:rsidRDefault="00AA6ACF" w:rsidP="00AA6ACF">
            <w:pPr>
              <w:jc w:val="center"/>
              <w:rPr>
                <w:bCs/>
                <w:sz w:val="20"/>
                <w:szCs w:val="20"/>
              </w:rPr>
            </w:pPr>
            <w:r w:rsidRPr="00FE1FE0">
              <w:rPr>
                <w:bCs/>
                <w:sz w:val="20"/>
                <w:szCs w:val="20"/>
              </w:rPr>
              <w:t>0.874</w:t>
            </w:r>
          </w:p>
        </w:tc>
        <w:tc>
          <w:tcPr>
            <w:tcW w:w="1030" w:type="dxa"/>
            <w:tcBorders>
              <w:bottom w:val="single" w:sz="6" w:space="0" w:color="auto"/>
            </w:tcBorders>
            <w:vAlign w:val="center"/>
          </w:tcPr>
          <w:p w:rsidR="00AA6ACF" w:rsidRPr="00FE1FE0" w:rsidRDefault="00AA6ACF" w:rsidP="00AA6ACF">
            <w:pPr>
              <w:jc w:val="center"/>
              <w:rPr>
                <w:bCs/>
                <w:sz w:val="20"/>
                <w:szCs w:val="20"/>
              </w:rPr>
            </w:pPr>
            <w:r w:rsidRPr="00FE1FE0">
              <w:rPr>
                <w:bCs/>
                <w:sz w:val="20"/>
                <w:szCs w:val="20"/>
              </w:rPr>
              <w:t>0.</w:t>
            </w:r>
            <w:r>
              <w:rPr>
                <w:bCs/>
                <w:sz w:val="20"/>
                <w:szCs w:val="20"/>
              </w:rPr>
              <w:t>925</w:t>
            </w:r>
          </w:p>
        </w:tc>
        <w:tc>
          <w:tcPr>
            <w:tcW w:w="1097" w:type="dxa"/>
            <w:tcBorders>
              <w:bottom w:val="single" w:sz="6" w:space="0" w:color="auto"/>
            </w:tcBorders>
            <w:vAlign w:val="center"/>
          </w:tcPr>
          <w:p w:rsidR="00AA6ACF" w:rsidRPr="00FE1FE0" w:rsidRDefault="00AA6ACF" w:rsidP="00AA6ACF">
            <w:pPr>
              <w:jc w:val="center"/>
              <w:rPr>
                <w:bCs/>
                <w:sz w:val="20"/>
                <w:szCs w:val="20"/>
              </w:rPr>
            </w:pPr>
            <w:r>
              <w:rPr>
                <w:bCs/>
                <w:sz w:val="20"/>
                <w:szCs w:val="20"/>
              </w:rPr>
              <w:t>0.041</w:t>
            </w:r>
          </w:p>
        </w:tc>
        <w:tc>
          <w:tcPr>
            <w:tcW w:w="1097" w:type="dxa"/>
            <w:tcBorders>
              <w:bottom w:val="single" w:sz="6" w:space="0" w:color="auto"/>
            </w:tcBorders>
            <w:vAlign w:val="center"/>
          </w:tcPr>
          <w:p w:rsidR="00AA6ACF" w:rsidRPr="00FE1FE0" w:rsidRDefault="00AA6ACF" w:rsidP="00AA6ACF">
            <w:pPr>
              <w:jc w:val="center"/>
              <w:rPr>
                <w:bCs/>
                <w:sz w:val="20"/>
                <w:szCs w:val="20"/>
              </w:rPr>
            </w:pPr>
            <w:r>
              <w:rPr>
                <w:bCs/>
                <w:sz w:val="20"/>
                <w:szCs w:val="20"/>
              </w:rPr>
              <w:t>0</w:t>
            </w:r>
          </w:p>
        </w:tc>
        <w:tc>
          <w:tcPr>
            <w:tcW w:w="1097" w:type="dxa"/>
            <w:tcBorders>
              <w:bottom w:val="single" w:sz="6" w:space="0" w:color="auto"/>
            </w:tcBorders>
            <w:vAlign w:val="center"/>
          </w:tcPr>
          <w:p w:rsidR="00AA6ACF" w:rsidRPr="00FE1FE0" w:rsidRDefault="00AA6ACF" w:rsidP="00AA6ACF">
            <w:pPr>
              <w:jc w:val="center"/>
              <w:rPr>
                <w:bCs/>
                <w:sz w:val="20"/>
                <w:szCs w:val="20"/>
              </w:rPr>
            </w:pPr>
            <w:r>
              <w:rPr>
                <w:bCs/>
                <w:sz w:val="20"/>
                <w:szCs w:val="20"/>
              </w:rPr>
              <w:t>0.021</w:t>
            </w:r>
          </w:p>
        </w:tc>
      </w:tr>
      <w:tr w:rsidR="00AA6ACF">
        <w:trPr>
          <w:trHeight w:val="340"/>
          <w:jc w:val="center"/>
        </w:trPr>
        <w:tc>
          <w:tcPr>
            <w:tcW w:w="841" w:type="dxa"/>
            <w:tcBorders>
              <w:top w:val="single" w:sz="6" w:space="0" w:color="auto"/>
              <w:bottom w:val="single" w:sz="6" w:space="0" w:color="auto"/>
            </w:tcBorders>
            <w:noWrap/>
            <w:vAlign w:val="center"/>
          </w:tcPr>
          <w:p w:rsidR="00AA6ACF" w:rsidRDefault="00AA6ACF" w:rsidP="00AA6ACF">
            <w:pPr>
              <w:rPr>
                <w:bCs/>
                <w:sz w:val="20"/>
                <w:szCs w:val="20"/>
              </w:rPr>
            </w:pPr>
            <w:r>
              <w:rPr>
                <w:bCs/>
                <w:sz w:val="20"/>
                <w:szCs w:val="20"/>
              </w:rPr>
              <w:t xml:space="preserve"> 1993</w:t>
            </w:r>
          </w:p>
        </w:tc>
        <w:tc>
          <w:tcPr>
            <w:tcW w:w="1409" w:type="dxa"/>
            <w:tcBorders>
              <w:top w:val="single" w:sz="6" w:space="0" w:color="auto"/>
              <w:bottom w:val="single" w:sz="6" w:space="0" w:color="auto"/>
            </w:tcBorders>
            <w:noWrap/>
            <w:vAlign w:val="center"/>
          </w:tcPr>
          <w:p w:rsidR="00AA6ACF" w:rsidRDefault="00AA6ACF" w:rsidP="00AA6ACF">
            <w:pPr>
              <w:jc w:val="center"/>
              <w:rPr>
                <w:sz w:val="20"/>
                <w:szCs w:val="20"/>
              </w:rPr>
            </w:pPr>
            <w:r>
              <w:rPr>
                <w:sz w:val="20"/>
                <w:szCs w:val="20"/>
              </w:rPr>
              <w:t>0.688</w:t>
            </w:r>
          </w:p>
        </w:tc>
        <w:tc>
          <w:tcPr>
            <w:tcW w:w="1069" w:type="dxa"/>
            <w:tcBorders>
              <w:top w:val="single" w:sz="6" w:space="0" w:color="auto"/>
              <w:bottom w:val="single" w:sz="6" w:space="0" w:color="auto"/>
            </w:tcBorders>
            <w:noWrap/>
            <w:vAlign w:val="center"/>
          </w:tcPr>
          <w:p w:rsidR="00AA6ACF" w:rsidRDefault="00AA6ACF" w:rsidP="00AA6ACF">
            <w:pPr>
              <w:jc w:val="center"/>
              <w:rPr>
                <w:sz w:val="20"/>
                <w:szCs w:val="20"/>
              </w:rPr>
            </w:pPr>
            <w:r>
              <w:rPr>
                <w:sz w:val="20"/>
                <w:szCs w:val="20"/>
              </w:rPr>
              <w:t>0.716</w:t>
            </w:r>
          </w:p>
        </w:tc>
        <w:tc>
          <w:tcPr>
            <w:tcW w:w="1030" w:type="dxa"/>
            <w:vAlign w:val="center"/>
          </w:tcPr>
          <w:p w:rsidR="00AA6ACF" w:rsidRDefault="00AA6ACF" w:rsidP="00AA6ACF">
            <w:pPr>
              <w:jc w:val="center"/>
              <w:rPr>
                <w:sz w:val="20"/>
                <w:szCs w:val="20"/>
              </w:rPr>
            </w:pPr>
            <w:r>
              <w:rPr>
                <w:sz w:val="20"/>
                <w:szCs w:val="20"/>
              </w:rPr>
              <w:t>0.961</w:t>
            </w:r>
          </w:p>
        </w:tc>
        <w:tc>
          <w:tcPr>
            <w:tcW w:w="1097" w:type="dxa"/>
            <w:tcBorders>
              <w:top w:val="single" w:sz="6" w:space="0" w:color="auto"/>
              <w:bottom w:val="single" w:sz="6" w:space="0" w:color="auto"/>
            </w:tcBorders>
            <w:noWrap/>
            <w:vAlign w:val="center"/>
          </w:tcPr>
          <w:p w:rsidR="00AA6ACF" w:rsidRPr="00F068AB" w:rsidRDefault="00AA6ACF" w:rsidP="00AA6ACF">
            <w:pPr>
              <w:jc w:val="center"/>
              <w:rPr>
                <w:b/>
                <w:sz w:val="20"/>
                <w:szCs w:val="20"/>
              </w:rPr>
            </w:pPr>
            <w:r w:rsidRPr="00F068AB">
              <w:rPr>
                <w:b/>
                <w:sz w:val="20"/>
                <w:szCs w:val="20"/>
              </w:rPr>
              <w:t>0</w:t>
            </w:r>
          </w:p>
        </w:tc>
        <w:tc>
          <w:tcPr>
            <w:tcW w:w="1097" w:type="dxa"/>
            <w:tcBorders>
              <w:top w:val="single" w:sz="6" w:space="0" w:color="auto"/>
              <w:bottom w:val="single" w:sz="6" w:space="0" w:color="auto"/>
            </w:tcBorders>
            <w:vAlign w:val="center"/>
          </w:tcPr>
          <w:p w:rsidR="00AA6ACF" w:rsidRDefault="00AA6ACF" w:rsidP="00AA6ACF">
            <w:pPr>
              <w:jc w:val="center"/>
              <w:rPr>
                <w:sz w:val="20"/>
                <w:szCs w:val="20"/>
              </w:rPr>
            </w:pPr>
            <w:r>
              <w:rPr>
                <w:sz w:val="20"/>
                <w:szCs w:val="20"/>
              </w:rPr>
              <w:t>0</w:t>
            </w:r>
          </w:p>
        </w:tc>
        <w:tc>
          <w:tcPr>
            <w:tcW w:w="1097" w:type="dxa"/>
            <w:tcBorders>
              <w:top w:val="single" w:sz="6" w:space="0" w:color="auto"/>
              <w:bottom w:val="single" w:sz="6" w:space="0" w:color="auto"/>
            </w:tcBorders>
            <w:noWrap/>
            <w:vAlign w:val="center"/>
          </w:tcPr>
          <w:p w:rsidR="00AA6ACF" w:rsidRPr="00F068AB" w:rsidRDefault="00AA6ACF" w:rsidP="00AA6ACF">
            <w:pPr>
              <w:jc w:val="center"/>
              <w:rPr>
                <w:b/>
                <w:sz w:val="20"/>
                <w:szCs w:val="20"/>
              </w:rPr>
            </w:pPr>
            <w:r w:rsidRPr="00F068AB">
              <w:rPr>
                <w:b/>
                <w:sz w:val="20"/>
                <w:szCs w:val="20"/>
              </w:rPr>
              <w:t>0</w:t>
            </w:r>
          </w:p>
        </w:tc>
      </w:tr>
      <w:tr w:rsidR="00AA6ACF">
        <w:trPr>
          <w:trHeight w:val="340"/>
          <w:jc w:val="center"/>
        </w:trPr>
        <w:tc>
          <w:tcPr>
            <w:tcW w:w="841" w:type="dxa"/>
            <w:tcBorders>
              <w:top w:val="single" w:sz="6" w:space="0" w:color="auto"/>
            </w:tcBorders>
            <w:noWrap/>
            <w:vAlign w:val="center"/>
          </w:tcPr>
          <w:p w:rsidR="00AA6ACF" w:rsidRDefault="00AA6ACF" w:rsidP="00AA6ACF">
            <w:pPr>
              <w:rPr>
                <w:bCs/>
                <w:sz w:val="20"/>
                <w:szCs w:val="20"/>
              </w:rPr>
            </w:pPr>
            <w:r>
              <w:rPr>
                <w:bCs/>
                <w:sz w:val="20"/>
                <w:szCs w:val="20"/>
              </w:rPr>
              <w:t xml:space="preserve"> 1994</w:t>
            </w:r>
          </w:p>
        </w:tc>
        <w:tc>
          <w:tcPr>
            <w:tcW w:w="1409" w:type="dxa"/>
            <w:tcBorders>
              <w:top w:val="single" w:sz="6" w:space="0" w:color="auto"/>
            </w:tcBorders>
            <w:noWrap/>
            <w:vAlign w:val="center"/>
          </w:tcPr>
          <w:p w:rsidR="00AA6ACF" w:rsidRDefault="00AA6ACF" w:rsidP="00AA6ACF">
            <w:pPr>
              <w:jc w:val="center"/>
              <w:rPr>
                <w:sz w:val="20"/>
                <w:szCs w:val="20"/>
              </w:rPr>
            </w:pPr>
            <w:r>
              <w:rPr>
                <w:sz w:val="20"/>
                <w:szCs w:val="20"/>
              </w:rPr>
              <w:t>0.956</w:t>
            </w:r>
          </w:p>
        </w:tc>
        <w:tc>
          <w:tcPr>
            <w:tcW w:w="1069" w:type="dxa"/>
            <w:tcBorders>
              <w:top w:val="single" w:sz="6" w:space="0" w:color="auto"/>
            </w:tcBorders>
            <w:noWrap/>
            <w:vAlign w:val="center"/>
          </w:tcPr>
          <w:p w:rsidR="00AA6ACF" w:rsidRDefault="00AA6ACF" w:rsidP="00AA6ACF">
            <w:pPr>
              <w:jc w:val="center"/>
              <w:rPr>
                <w:sz w:val="20"/>
                <w:szCs w:val="20"/>
              </w:rPr>
            </w:pPr>
            <w:r>
              <w:rPr>
                <w:sz w:val="20"/>
                <w:szCs w:val="20"/>
              </w:rPr>
              <w:t>1</w:t>
            </w:r>
          </w:p>
        </w:tc>
        <w:tc>
          <w:tcPr>
            <w:tcW w:w="1030" w:type="dxa"/>
            <w:vAlign w:val="center"/>
          </w:tcPr>
          <w:p w:rsidR="00AA6ACF" w:rsidRDefault="00AA6ACF" w:rsidP="00AA6ACF">
            <w:pPr>
              <w:jc w:val="center"/>
              <w:rPr>
                <w:sz w:val="20"/>
                <w:szCs w:val="20"/>
              </w:rPr>
            </w:pPr>
            <w:r>
              <w:rPr>
                <w:sz w:val="20"/>
                <w:szCs w:val="20"/>
              </w:rPr>
              <w:t>0.956</w:t>
            </w:r>
          </w:p>
        </w:tc>
        <w:tc>
          <w:tcPr>
            <w:tcW w:w="1097" w:type="dxa"/>
            <w:tcBorders>
              <w:top w:val="single" w:sz="6" w:space="0" w:color="auto"/>
            </w:tcBorders>
            <w:noWrap/>
            <w:vAlign w:val="center"/>
          </w:tcPr>
          <w:p w:rsidR="00AA6ACF" w:rsidRDefault="00AA6ACF" w:rsidP="00AA6ACF">
            <w:pPr>
              <w:jc w:val="center"/>
              <w:rPr>
                <w:sz w:val="20"/>
                <w:szCs w:val="20"/>
              </w:rPr>
            </w:pPr>
            <w:r>
              <w:rPr>
                <w:sz w:val="20"/>
                <w:szCs w:val="20"/>
              </w:rPr>
              <w:t>0</w:t>
            </w:r>
          </w:p>
        </w:tc>
        <w:tc>
          <w:tcPr>
            <w:tcW w:w="1097" w:type="dxa"/>
            <w:tcBorders>
              <w:top w:val="single" w:sz="6" w:space="0" w:color="auto"/>
            </w:tcBorders>
            <w:vAlign w:val="center"/>
          </w:tcPr>
          <w:p w:rsidR="00AA6ACF" w:rsidRDefault="00AA6ACF" w:rsidP="00AA6ACF">
            <w:pPr>
              <w:jc w:val="center"/>
              <w:rPr>
                <w:sz w:val="20"/>
                <w:szCs w:val="20"/>
              </w:rPr>
            </w:pPr>
            <w:r>
              <w:rPr>
                <w:sz w:val="20"/>
                <w:szCs w:val="20"/>
              </w:rPr>
              <w:t>0</w:t>
            </w:r>
          </w:p>
        </w:tc>
        <w:tc>
          <w:tcPr>
            <w:tcW w:w="1097" w:type="dxa"/>
            <w:tcBorders>
              <w:top w:val="single" w:sz="6" w:space="0" w:color="auto"/>
            </w:tcBorders>
            <w:noWrap/>
            <w:vAlign w:val="center"/>
          </w:tcPr>
          <w:p w:rsidR="00AA6ACF" w:rsidRDefault="00AA6ACF" w:rsidP="00AA6ACF">
            <w:pPr>
              <w:jc w:val="center"/>
              <w:rPr>
                <w:sz w:val="20"/>
                <w:szCs w:val="20"/>
              </w:rPr>
            </w:pPr>
            <w:r>
              <w:rPr>
                <w:sz w:val="20"/>
                <w:szCs w:val="20"/>
              </w:rPr>
              <w:t>0</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1995</w:t>
            </w:r>
          </w:p>
        </w:tc>
        <w:tc>
          <w:tcPr>
            <w:tcW w:w="1409" w:type="dxa"/>
            <w:noWrap/>
            <w:vAlign w:val="center"/>
          </w:tcPr>
          <w:p w:rsidR="00AA6ACF" w:rsidRDefault="00AA6ACF" w:rsidP="00AA6ACF">
            <w:pPr>
              <w:jc w:val="center"/>
              <w:rPr>
                <w:sz w:val="20"/>
                <w:szCs w:val="20"/>
              </w:rPr>
            </w:pPr>
            <w:r>
              <w:rPr>
                <w:sz w:val="20"/>
                <w:szCs w:val="20"/>
              </w:rPr>
              <w:t>0.857</w:t>
            </w:r>
          </w:p>
        </w:tc>
        <w:tc>
          <w:tcPr>
            <w:tcW w:w="1069" w:type="dxa"/>
            <w:noWrap/>
            <w:vAlign w:val="center"/>
          </w:tcPr>
          <w:p w:rsidR="00AA6ACF" w:rsidRDefault="00AA6ACF" w:rsidP="00AA6ACF">
            <w:pPr>
              <w:jc w:val="center"/>
              <w:rPr>
                <w:sz w:val="20"/>
                <w:szCs w:val="20"/>
              </w:rPr>
            </w:pPr>
            <w:r>
              <w:rPr>
                <w:sz w:val="20"/>
                <w:szCs w:val="20"/>
              </w:rPr>
              <w:t>0.937</w:t>
            </w:r>
          </w:p>
        </w:tc>
        <w:tc>
          <w:tcPr>
            <w:tcW w:w="1030" w:type="dxa"/>
            <w:vAlign w:val="center"/>
          </w:tcPr>
          <w:p w:rsidR="00AA6ACF" w:rsidRDefault="00AA6ACF" w:rsidP="00AA6ACF">
            <w:pPr>
              <w:jc w:val="center"/>
              <w:rPr>
                <w:sz w:val="20"/>
                <w:szCs w:val="20"/>
              </w:rPr>
            </w:pPr>
            <w:r>
              <w:rPr>
                <w:sz w:val="20"/>
                <w:szCs w:val="20"/>
              </w:rPr>
              <w:t>0.914</w:t>
            </w:r>
          </w:p>
        </w:tc>
        <w:tc>
          <w:tcPr>
            <w:tcW w:w="1097" w:type="dxa"/>
            <w:noWrap/>
            <w:vAlign w:val="center"/>
          </w:tcPr>
          <w:p w:rsidR="00AA6ACF" w:rsidRDefault="00AA6ACF" w:rsidP="00AA6ACF">
            <w:pPr>
              <w:jc w:val="center"/>
              <w:rPr>
                <w:sz w:val="20"/>
                <w:szCs w:val="20"/>
              </w:rPr>
            </w:pPr>
            <w:r>
              <w:rPr>
                <w:sz w:val="20"/>
                <w:szCs w:val="20"/>
              </w:rPr>
              <w:t>0</w:t>
            </w:r>
          </w:p>
        </w:tc>
        <w:tc>
          <w:tcPr>
            <w:tcW w:w="1097" w:type="dxa"/>
            <w:vAlign w:val="center"/>
          </w:tcPr>
          <w:p w:rsidR="00AA6ACF" w:rsidRDefault="00AA6ACF" w:rsidP="00AA6ACF">
            <w:pPr>
              <w:jc w:val="center"/>
              <w:rPr>
                <w:sz w:val="20"/>
                <w:szCs w:val="20"/>
              </w:rPr>
            </w:pPr>
            <w:r>
              <w:rPr>
                <w:sz w:val="20"/>
                <w:szCs w:val="20"/>
              </w:rPr>
              <w:t>0.136</w:t>
            </w:r>
          </w:p>
        </w:tc>
        <w:tc>
          <w:tcPr>
            <w:tcW w:w="1097" w:type="dxa"/>
            <w:noWrap/>
            <w:vAlign w:val="center"/>
          </w:tcPr>
          <w:p w:rsidR="00AA6ACF" w:rsidRDefault="00AA6ACF" w:rsidP="00AA6ACF">
            <w:pPr>
              <w:jc w:val="center"/>
              <w:rPr>
                <w:sz w:val="20"/>
                <w:szCs w:val="20"/>
              </w:rPr>
            </w:pPr>
            <w:r>
              <w:rPr>
                <w:sz w:val="20"/>
                <w:szCs w:val="20"/>
              </w:rPr>
              <w:t>0.068</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1996</w:t>
            </w:r>
          </w:p>
        </w:tc>
        <w:tc>
          <w:tcPr>
            <w:tcW w:w="1409" w:type="dxa"/>
            <w:noWrap/>
            <w:vAlign w:val="center"/>
          </w:tcPr>
          <w:p w:rsidR="00AA6ACF" w:rsidRDefault="00AA6ACF" w:rsidP="00AA6ACF">
            <w:pPr>
              <w:jc w:val="center"/>
              <w:rPr>
                <w:sz w:val="20"/>
                <w:szCs w:val="20"/>
              </w:rPr>
            </w:pPr>
            <w:r>
              <w:rPr>
                <w:sz w:val="20"/>
                <w:szCs w:val="20"/>
              </w:rPr>
              <w:t>1</w:t>
            </w:r>
          </w:p>
        </w:tc>
        <w:tc>
          <w:tcPr>
            <w:tcW w:w="1069" w:type="dxa"/>
            <w:noWrap/>
            <w:vAlign w:val="center"/>
          </w:tcPr>
          <w:p w:rsidR="00AA6ACF" w:rsidRDefault="00AA6ACF" w:rsidP="00AA6ACF">
            <w:pPr>
              <w:jc w:val="center"/>
              <w:rPr>
                <w:sz w:val="20"/>
                <w:szCs w:val="20"/>
              </w:rPr>
            </w:pPr>
            <w:r>
              <w:rPr>
                <w:sz w:val="20"/>
                <w:szCs w:val="20"/>
              </w:rPr>
              <w:t>1</w:t>
            </w:r>
          </w:p>
        </w:tc>
        <w:tc>
          <w:tcPr>
            <w:tcW w:w="1030" w:type="dxa"/>
            <w:vAlign w:val="center"/>
          </w:tcPr>
          <w:p w:rsidR="00AA6ACF" w:rsidRDefault="00AA6ACF" w:rsidP="00AA6ACF">
            <w:pPr>
              <w:jc w:val="center"/>
              <w:rPr>
                <w:sz w:val="20"/>
                <w:szCs w:val="20"/>
              </w:rPr>
            </w:pPr>
            <w:r>
              <w:rPr>
                <w:sz w:val="20"/>
                <w:szCs w:val="20"/>
              </w:rPr>
              <w:t>1</w:t>
            </w:r>
          </w:p>
        </w:tc>
        <w:tc>
          <w:tcPr>
            <w:tcW w:w="1097" w:type="dxa"/>
            <w:noWrap/>
            <w:vAlign w:val="center"/>
          </w:tcPr>
          <w:p w:rsidR="00AA6ACF" w:rsidRDefault="00AA6ACF" w:rsidP="00AA6ACF">
            <w:pPr>
              <w:jc w:val="center"/>
              <w:rPr>
                <w:sz w:val="20"/>
                <w:szCs w:val="20"/>
              </w:rPr>
            </w:pPr>
            <w:r>
              <w:rPr>
                <w:sz w:val="20"/>
                <w:szCs w:val="20"/>
              </w:rPr>
              <w:t>0</w:t>
            </w:r>
          </w:p>
        </w:tc>
        <w:tc>
          <w:tcPr>
            <w:tcW w:w="1097" w:type="dxa"/>
            <w:vAlign w:val="center"/>
          </w:tcPr>
          <w:p w:rsidR="00AA6ACF" w:rsidRDefault="00AA6ACF" w:rsidP="00AA6ACF">
            <w:pPr>
              <w:jc w:val="center"/>
              <w:rPr>
                <w:sz w:val="20"/>
                <w:szCs w:val="20"/>
              </w:rPr>
            </w:pPr>
            <w:r>
              <w:rPr>
                <w:sz w:val="20"/>
                <w:szCs w:val="20"/>
              </w:rPr>
              <w:t>0</w:t>
            </w:r>
          </w:p>
        </w:tc>
        <w:tc>
          <w:tcPr>
            <w:tcW w:w="1097" w:type="dxa"/>
            <w:noWrap/>
            <w:vAlign w:val="center"/>
          </w:tcPr>
          <w:p w:rsidR="00AA6ACF" w:rsidRDefault="00AA6ACF" w:rsidP="00AA6ACF">
            <w:pPr>
              <w:jc w:val="center"/>
              <w:rPr>
                <w:sz w:val="20"/>
                <w:szCs w:val="20"/>
              </w:rPr>
            </w:pPr>
            <w:r>
              <w:rPr>
                <w:sz w:val="20"/>
                <w:szCs w:val="20"/>
              </w:rPr>
              <w:t>0</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1997</w:t>
            </w:r>
          </w:p>
        </w:tc>
        <w:tc>
          <w:tcPr>
            <w:tcW w:w="1409" w:type="dxa"/>
            <w:noWrap/>
            <w:vAlign w:val="center"/>
          </w:tcPr>
          <w:p w:rsidR="00AA6ACF" w:rsidRDefault="00AA6ACF" w:rsidP="00AA6ACF">
            <w:pPr>
              <w:jc w:val="center"/>
              <w:rPr>
                <w:sz w:val="20"/>
                <w:szCs w:val="20"/>
              </w:rPr>
            </w:pPr>
            <w:r>
              <w:rPr>
                <w:sz w:val="20"/>
                <w:szCs w:val="20"/>
              </w:rPr>
              <w:t>1</w:t>
            </w:r>
          </w:p>
        </w:tc>
        <w:tc>
          <w:tcPr>
            <w:tcW w:w="1069" w:type="dxa"/>
            <w:noWrap/>
            <w:vAlign w:val="center"/>
          </w:tcPr>
          <w:p w:rsidR="00AA6ACF" w:rsidRDefault="00AA6ACF" w:rsidP="00AA6ACF">
            <w:pPr>
              <w:jc w:val="center"/>
              <w:rPr>
                <w:sz w:val="20"/>
                <w:szCs w:val="20"/>
              </w:rPr>
            </w:pPr>
            <w:r>
              <w:rPr>
                <w:sz w:val="20"/>
                <w:szCs w:val="20"/>
              </w:rPr>
              <w:t>1</w:t>
            </w:r>
          </w:p>
        </w:tc>
        <w:tc>
          <w:tcPr>
            <w:tcW w:w="1030" w:type="dxa"/>
            <w:vAlign w:val="center"/>
          </w:tcPr>
          <w:p w:rsidR="00AA6ACF" w:rsidRDefault="00AA6ACF" w:rsidP="00AA6ACF">
            <w:pPr>
              <w:jc w:val="center"/>
              <w:rPr>
                <w:sz w:val="20"/>
                <w:szCs w:val="20"/>
              </w:rPr>
            </w:pPr>
            <w:r>
              <w:rPr>
                <w:sz w:val="20"/>
                <w:szCs w:val="20"/>
              </w:rPr>
              <w:t>1</w:t>
            </w:r>
          </w:p>
        </w:tc>
        <w:tc>
          <w:tcPr>
            <w:tcW w:w="1097" w:type="dxa"/>
            <w:noWrap/>
            <w:vAlign w:val="center"/>
          </w:tcPr>
          <w:p w:rsidR="00AA6ACF" w:rsidRDefault="00AA6ACF" w:rsidP="00AA6ACF">
            <w:pPr>
              <w:jc w:val="center"/>
              <w:rPr>
                <w:sz w:val="20"/>
                <w:szCs w:val="20"/>
              </w:rPr>
            </w:pPr>
            <w:r>
              <w:rPr>
                <w:sz w:val="20"/>
                <w:szCs w:val="20"/>
              </w:rPr>
              <w:t>0</w:t>
            </w:r>
          </w:p>
        </w:tc>
        <w:tc>
          <w:tcPr>
            <w:tcW w:w="1097" w:type="dxa"/>
            <w:vAlign w:val="center"/>
          </w:tcPr>
          <w:p w:rsidR="00AA6ACF" w:rsidRDefault="00AA6ACF" w:rsidP="00AA6ACF">
            <w:pPr>
              <w:jc w:val="center"/>
              <w:rPr>
                <w:sz w:val="20"/>
                <w:szCs w:val="20"/>
              </w:rPr>
            </w:pPr>
            <w:r>
              <w:rPr>
                <w:sz w:val="20"/>
                <w:szCs w:val="20"/>
              </w:rPr>
              <w:t>0</w:t>
            </w:r>
          </w:p>
        </w:tc>
        <w:tc>
          <w:tcPr>
            <w:tcW w:w="1097" w:type="dxa"/>
            <w:noWrap/>
            <w:vAlign w:val="center"/>
          </w:tcPr>
          <w:p w:rsidR="00AA6ACF" w:rsidRDefault="00AA6ACF" w:rsidP="00AA6ACF">
            <w:pPr>
              <w:jc w:val="center"/>
              <w:rPr>
                <w:sz w:val="20"/>
                <w:szCs w:val="20"/>
              </w:rPr>
            </w:pPr>
            <w:r>
              <w:rPr>
                <w:sz w:val="20"/>
                <w:szCs w:val="20"/>
              </w:rPr>
              <w:t>0</w:t>
            </w:r>
          </w:p>
        </w:tc>
      </w:tr>
    </w:tbl>
    <w:p w:rsidR="00AA6ACF" w:rsidRDefault="00AA6ACF" w:rsidP="00AA6ACF"/>
    <w:p w:rsidR="00AA6ACF" w:rsidRDefault="00AA6ACF" w:rsidP="00AA6ACF"/>
    <w:p w:rsidR="00AA6ACF" w:rsidRDefault="00AA6ACF" w:rsidP="00AA6ACF">
      <w:r>
        <w:br w:type="page"/>
      </w:r>
    </w:p>
    <w:p w:rsidR="00AA6ACF" w:rsidRDefault="00AA6ACF" w:rsidP="00AA6ACF"/>
    <w:p w:rsidR="00AA6ACF" w:rsidRDefault="00AA6ACF" w:rsidP="00AA6ACF"/>
    <w:p w:rsidR="00AA6ACF" w:rsidRPr="001410DA" w:rsidRDefault="00AA6ACF" w:rsidP="00AA6ACF">
      <w:pPr>
        <w:jc w:val="center"/>
      </w:pPr>
      <w:r w:rsidRPr="001410DA">
        <w:t xml:space="preserve">Table </w:t>
      </w:r>
      <w:r>
        <w:t xml:space="preserve">2. </w:t>
      </w:r>
      <w:r w:rsidRPr="001410DA">
        <w:t xml:space="preserve"> Results from Cooper’s approach: </w:t>
      </w:r>
      <w:r>
        <w:t>automob</w:t>
      </w:r>
      <w:r w:rsidRPr="001410DA">
        <w:t>ile industry</w:t>
      </w:r>
    </w:p>
    <w:p w:rsidR="00AA6ACF" w:rsidRDefault="00AA6ACF" w:rsidP="00AA6ACF">
      <w:pPr>
        <w:jc w:val="center"/>
      </w:pPr>
    </w:p>
    <w:tbl>
      <w:tblPr>
        <w:tblW w:w="764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15" w:type="dxa"/>
          <w:right w:w="115" w:type="dxa"/>
        </w:tblCellMar>
        <w:tblLook w:val="0000"/>
      </w:tblPr>
      <w:tblGrid>
        <w:gridCol w:w="841"/>
        <w:gridCol w:w="1409"/>
        <w:gridCol w:w="1069"/>
        <w:gridCol w:w="1030"/>
        <w:gridCol w:w="1097"/>
        <w:gridCol w:w="1097"/>
        <w:gridCol w:w="1097"/>
      </w:tblGrid>
      <w:tr w:rsidR="00AA6ACF">
        <w:trPr>
          <w:trHeight w:val="483"/>
          <w:jc w:val="center"/>
        </w:trPr>
        <w:tc>
          <w:tcPr>
            <w:tcW w:w="841" w:type="dxa"/>
            <w:noWrap/>
            <w:vAlign w:val="center"/>
          </w:tcPr>
          <w:p w:rsidR="00AA6ACF" w:rsidRDefault="00AA6ACF" w:rsidP="00AA6ACF">
            <w:pPr>
              <w:jc w:val="center"/>
              <w:rPr>
                <w:sz w:val="20"/>
                <w:szCs w:val="20"/>
              </w:rPr>
            </w:pPr>
          </w:p>
        </w:tc>
        <w:tc>
          <w:tcPr>
            <w:tcW w:w="1409" w:type="dxa"/>
            <w:noWrap/>
            <w:vAlign w:val="center"/>
          </w:tcPr>
          <w:p w:rsidR="00AA6ACF" w:rsidRDefault="00AA6ACF" w:rsidP="009C1FD6">
            <w:pPr>
              <w:spacing w:before="60" w:after="60"/>
              <w:jc w:val="center"/>
              <w:rPr>
                <w:sz w:val="20"/>
                <w:szCs w:val="20"/>
              </w:rPr>
            </w:pPr>
            <w:r>
              <w:rPr>
                <w:sz w:val="20"/>
                <w:szCs w:val="20"/>
              </w:rPr>
              <w:t>CCR efficiency score</w:t>
            </w:r>
          </w:p>
        </w:tc>
        <w:tc>
          <w:tcPr>
            <w:tcW w:w="1069" w:type="dxa"/>
            <w:noWrap/>
            <w:vAlign w:val="center"/>
          </w:tcPr>
          <w:p w:rsidR="00AA6ACF" w:rsidRDefault="00AA6ACF" w:rsidP="009C1FD6">
            <w:pPr>
              <w:spacing w:before="60" w:after="60"/>
              <w:jc w:val="center"/>
              <w:rPr>
                <w:sz w:val="20"/>
                <w:szCs w:val="20"/>
              </w:rPr>
            </w:pPr>
            <w:smartTag w:uri="urn:schemas-microsoft-com:office:smarttags" w:element="stockticker">
              <w:r>
                <w:rPr>
                  <w:sz w:val="20"/>
                  <w:szCs w:val="20"/>
                </w:rPr>
                <w:t>BCC</w:t>
              </w:r>
            </w:smartTag>
            <w:r>
              <w:rPr>
                <w:sz w:val="20"/>
                <w:szCs w:val="20"/>
              </w:rPr>
              <w:t xml:space="preserve"> efficiency score</w:t>
            </w:r>
          </w:p>
        </w:tc>
        <w:tc>
          <w:tcPr>
            <w:tcW w:w="1030" w:type="dxa"/>
            <w:vAlign w:val="center"/>
          </w:tcPr>
          <w:p w:rsidR="00AA6ACF" w:rsidRDefault="00AA6ACF" w:rsidP="009C1FD6">
            <w:pPr>
              <w:spacing w:before="60" w:after="60"/>
              <w:jc w:val="center"/>
              <w:rPr>
                <w:sz w:val="20"/>
                <w:szCs w:val="20"/>
              </w:rPr>
            </w:pPr>
            <w:r>
              <w:rPr>
                <w:sz w:val="20"/>
                <w:szCs w:val="20"/>
              </w:rPr>
              <w:t>Scale efficiency score</w:t>
            </w:r>
          </w:p>
        </w:tc>
        <w:tc>
          <w:tcPr>
            <w:tcW w:w="1097" w:type="dxa"/>
            <w:vAlign w:val="center"/>
          </w:tcPr>
          <w:p w:rsidR="00AA6ACF" w:rsidRDefault="00AA6ACF" w:rsidP="00AA6ACF">
            <w:pPr>
              <w:jc w:val="center"/>
              <w:rPr>
                <w:sz w:val="20"/>
                <w:szCs w:val="20"/>
              </w:rPr>
            </w:pPr>
            <w:r>
              <w:rPr>
                <w:sz w:val="20"/>
                <w:szCs w:val="20"/>
              </w:rPr>
              <w:t>Labour congestion</w:t>
            </w:r>
          </w:p>
        </w:tc>
        <w:tc>
          <w:tcPr>
            <w:tcW w:w="1097" w:type="dxa"/>
          </w:tcPr>
          <w:p w:rsidR="00AA6ACF" w:rsidRDefault="00AA6ACF" w:rsidP="009C1FD6">
            <w:pPr>
              <w:spacing w:before="200"/>
              <w:jc w:val="center"/>
              <w:rPr>
                <w:sz w:val="20"/>
                <w:szCs w:val="20"/>
              </w:rPr>
            </w:pPr>
            <w:r>
              <w:rPr>
                <w:sz w:val="20"/>
                <w:szCs w:val="20"/>
              </w:rPr>
              <w:t>Capital congestion</w:t>
            </w:r>
          </w:p>
        </w:tc>
        <w:tc>
          <w:tcPr>
            <w:tcW w:w="1097" w:type="dxa"/>
            <w:noWrap/>
            <w:vAlign w:val="center"/>
          </w:tcPr>
          <w:p w:rsidR="00AA6ACF" w:rsidRDefault="00AA6ACF" w:rsidP="00AA6ACF">
            <w:pPr>
              <w:jc w:val="center"/>
              <w:rPr>
                <w:sz w:val="20"/>
                <w:szCs w:val="20"/>
              </w:rPr>
            </w:pPr>
            <w:r>
              <w:rPr>
                <w:sz w:val="20"/>
                <w:szCs w:val="20"/>
              </w:rPr>
              <w:t>Overall congestion</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1981</w:t>
            </w:r>
          </w:p>
        </w:tc>
        <w:tc>
          <w:tcPr>
            <w:tcW w:w="1409" w:type="dxa"/>
            <w:noWrap/>
            <w:vAlign w:val="center"/>
          </w:tcPr>
          <w:p w:rsidR="00AA6ACF" w:rsidRDefault="00AA6ACF" w:rsidP="00AA6ACF">
            <w:pPr>
              <w:jc w:val="center"/>
              <w:rPr>
                <w:sz w:val="20"/>
                <w:szCs w:val="20"/>
              </w:rPr>
            </w:pPr>
            <w:r>
              <w:rPr>
                <w:sz w:val="20"/>
                <w:szCs w:val="20"/>
              </w:rPr>
              <w:t>0.873</w:t>
            </w:r>
          </w:p>
        </w:tc>
        <w:tc>
          <w:tcPr>
            <w:tcW w:w="1069" w:type="dxa"/>
            <w:noWrap/>
            <w:vAlign w:val="center"/>
          </w:tcPr>
          <w:p w:rsidR="00AA6ACF" w:rsidRDefault="00AA6ACF" w:rsidP="00AA6ACF">
            <w:pPr>
              <w:jc w:val="center"/>
              <w:rPr>
                <w:sz w:val="20"/>
                <w:szCs w:val="20"/>
              </w:rPr>
            </w:pPr>
            <w:r>
              <w:rPr>
                <w:sz w:val="20"/>
                <w:szCs w:val="20"/>
              </w:rPr>
              <w:t>1</w:t>
            </w:r>
          </w:p>
        </w:tc>
        <w:tc>
          <w:tcPr>
            <w:tcW w:w="1030" w:type="dxa"/>
            <w:vAlign w:val="center"/>
          </w:tcPr>
          <w:p w:rsidR="00AA6ACF" w:rsidRDefault="00AA6ACF" w:rsidP="00AA6ACF">
            <w:pPr>
              <w:jc w:val="center"/>
              <w:rPr>
                <w:sz w:val="20"/>
                <w:szCs w:val="20"/>
              </w:rPr>
            </w:pPr>
            <w:r>
              <w:rPr>
                <w:sz w:val="20"/>
                <w:szCs w:val="20"/>
              </w:rPr>
              <w:t>0.873</w:t>
            </w:r>
          </w:p>
        </w:tc>
        <w:tc>
          <w:tcPr>
            <w:tcW w:w="1097" w:type="dxa"/>
            <w:noWrap/>
            <w:vAlign w:val="center"/>
          </w:tcPr>
          <w:p w:rsidR="00AA6ACF" w:rsidRDefault="00AA6ACF" w:rsidP="00AA6ACF">
            <w:pPr>
              <w:jc w:val="center"/>
              <w:rPr>
                <w:sz w:val="20"/>
                <w:szCs w:val="20"/>
              </w:rPr>
            </w:pPr>
            <w:r>
              <w:rPr>
                <w:sz w:val="20"/>
                <w:szCs w:val="20"/>
              </w:rPr>
              <w:t>0</w:t>
            </w:r>
          </w:p>
        </w:tc>
        <w:tc>
          <w:tcPr>
            <w:tcW w:w="1097" w:type="dxa"/>
            <w:vAlign w:val="center"/>
          </w:tcPr>
          <w:p w:rsidR="00AA6ACF" w:rsidRDefault="00AA6ACF" w:rsidP="00AA6ACF">
            <w:pPr>
              <w:jc w:val="center"/>
              <w:rPr>
                <w:sz w:val="20"/>
                <w:szCs w:val="20"/>
              </w:rPr>
            </w:pPr>
            <w:r>
              <w:rPr>
                <w:sz w:val="20"/>
                <w:szCs w:val="20"/>
              </w:rPr>
              <w:t>0</w:t>
            </w:r>
          </w:p>
        </w:tc>
        <w:tc>
          <w:tcPr>
            <w:tcW w:w="1097" w:type="dxa"/>
            <w:noWrap/>
            <w:vAlign w:val="center"/>
          </w:tcPr>
          <w:p w:rsidR="00AA6ACF" w:rsidRDefault="00AA6ACF" w:rsidP="00AA6ACF">
            <w:pPr>
              <w:jc w:val="center"/>
              <w:rPr>
                <w:sz w:val="20"/>
                <w:szCs w:val="20"/>
              </w:rPr>
            </w:pPr>
            <w:r>
              <w:rPr>
                <w:sz w:val="20"/>
                <w:szCs w:val="20"/>
              </w:rPr>
              <w:t>0</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1982</w:t>
            </w:r>
          </w:p>
        </w:tc>
        <w:tc>
          <w:tcPr>
            <w:tcW w:w="1409" w:type="dxa"/>
            <w:noWrap/>
            <w:vAlign w:val="center"/>
          </w:tcPr>
          <w:p w:rsidR="00AA6ACF" w:rsidRDefault="00AA6ACF" w:rsidP="00AA6ACF">
            <w:pPr>
              <w:jc w:val="center"/>
              <w:rPr>
                <w:sz w:val="20"/>
                <w:szCs w:val="20"/>
              </w:rPr>
            </w:pPr>
            <w:r>
              <w:rPr>
                <w:sz w:val="20"/>
                <w:szCs w:val="20"/>
              </w:rPr>
              <w:t>0.938</w:t>
            </w:r>
          </w:p>
        </w:tc>
        <w:tc>
          <w:tcPr>
            <w:tcW w:w="1069" w:type="dxa"/>
            <w:noWrap/>
            <w:vAlign w:val="center"/>
          </w:tcPr>
          <w:p w:rsidR="00AA6ACF" w:rsidRDefault="00AA6ACF" w:rsidP="00AA6ACF">
            <w:pPr>
              <w:jc w:val="center"/>
              <w:rPr>
                <w:sz w:val="20"/>
                <w:szCs w:val="20"/>
              </w:rPr>
            </w:pPr>
            <w:r>
              <w:rPr>
                <w:sz w:val="20"/>
                <w:szCs w:val="20"/>
              </w:rPr>
              <w:t>1</w:t>
            </w:r>
          </w:p>
        </w:tc>
        <w:tc>
          <w:tcPr>
            <w:tcW w:w="1030" w:type="dxa"/>
            <w:vAlign w:val="center"/>
          </w:tcPr>
          <w:p w:rsidR="00AA6ACF" w:rsidRDefault="00AA6ACF" w:rsidP="00AA6ACF">
            <w:pPr>
              <w:jc w:val="center"/>
              <w:rPr>
                <w:sz w:val="20"/>
                <w:szCs w:val="20"/>
              </w:rPr>
            </w:pPr>
            <w:r>
              <w:rPr>
                <w:sz w:val="20"/>
                <w:szCs w:val="20"/>
              </w:rPr>
              <w:t>0.938</w:t>
            </w:r>
          </w:p>
        </w:tc>
        <w:tc>
          <w:tcPr>
            <w:tcW w:w="1097" w:type="dxa"/>
            <w:noWrap/>
            <w:vAlign w:val="center"/>
          </w:tcPr>
          <w:p w:rsidR="00AA6ACF" w:rsidRDefault="00AA6ACF" w:rsidP="00AA6ACF">
            <w:pPr>
              <w:jc w:val="center"/>
              <w:rPr>
                <w:sz w:val="20"/>
                <w:szCs w:val="20"/>
              </w:rPr>
            </w:pPr>
            <w:r>
              <w:rPr>
                <w:sz w:val="20"/>
                <w:szCs w:val="20"/>
              </w:rPr>
              <w:t>0</w:t>
            </w:r>
          </w:p>
        </w:tc>
        <w:tc>
          <w:tcPr>
            <w:tcW w:w="1097" w:type="dxa"/>
            <w:vAlign w:val="center"/>
          </w:tcPr>
          <w:p w:rsidR="00AA6ACF" w:rsidRDefault="00AA6ACF" w:rsidP="00AA6ACF">
            <w:pPr>
              <w:jc w:val="center"/>
              <w:rPr>
                <w:sz w:val="20"/>
                <w:szCs w:val="20"/>
              </w:rPr>
            </w:pPr>
            <w:r>
              <w:rPr>
                <w:sz w:val="20"/>
                <w:szCs w:val="20"/>
              </w:rPr>
              <w:t>0</w:t>
            </w:r>
          </w:p>
        </w:tc>
        <w:tc>
          <w:tcPr>
            <w:tcW w:w="1097" w:type="dxa"/>
            <w:noWrap/>
            <w:vAlign w:val="center"/>
          </w:tcPr>
          <w:p w:rsidR="00AA6ACF" w:rsidRDefault="00AA6ACF" w:rsidP="00AA6ACF">
            <w:pPr>
              <w:jc w:val="center"/>
              <w:rPr>
                <w:sz w:val="20"/>
                <w:szCs w:val="20"/>
              </w:rPr>
            </w:pPr>
            <w:r>
              <w:rPr>
                <w:sz w:val="20"/>
                <w:szCs w:val="20"/>
              </w:rPr>
              <w:t>0</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1983</w:t>
            </w:r>
          </w:p>
        </w:tc>
        <w:tc>
          <w:tcPr>
            <w:tcW w:w="1409" w:type="dxa"/>
            <w:noWrap/>
            <w:vAlign w:val="center"/>
          </w:tcPr>
          <w:p w:rsidR="00AA6ACF" w:rsidRDefault="00AA6ACF" w:rsidP="00AA6ACF">
            <w:pPr>
              <w:jc w:val="center"/>
              <w:rPr>
                <w:sz w:val="20"/>
                <w:szCs w:val="20"/>
              </w:rPr>
            </w:pPr>
            <w:r>
              <w:rPr>
                <w:sz w:val="20"/>
                <w:szCs w:val="20"/>
              </w:rPr>
              <w:t>1</w:t>
            </w:r>
          </w:p>
        </w:tc>
        <w:tc>
          <w:tcPr>
            <w:tcW w:w="1069" w:type="dxa"/>
            <w:noWrap/>
            <w:vAlign w:val="center"/>
          </w:tcPr>
          <w:p w:rsidR="00AA6ACF" w:rsidRDefault="00AA6ACF" w:rsidP="00AA6ACF">
            <w:pPr>
              <w:jc w:val="center"/>
              <w:rPr>
                <w:sz w:val="20"/>
                <w:szCs w:val="20"/>
              </w:rPr>
            </w:pPr>
            <w:r>
              <w:rPr>
                <w:sz w:val="20"/>
                <w:szCs w:val="20"/>
              </w:rPr>
              <w:t>1</w:t>
            </w:r>
          </w:p>
        </w:tc>
        <w:tc>
          <w:tcPr>
            <w:tcW w:w="1030" w:type="dxa"/>
            <w:vAlign w:val="center"/>
          </w:tcPr>
          <w:p w:rsidR="00AA6ACF" w:rsidRDefault="00AA6ACF" w:rsidP="00AA6ACF">
            <w:pPr>
              <w:jc w:val="center"/>
              <w:rPr>
                <w:sz w:val="20"/>
                <w:szCs w:val="20"/>
              </w:rPr>
            </w:pPr>
            <w:r>
              <w:rPr>
                <w:sz w:val="20"/>
                <w:szCs w:val="20"/>
              </w:rPr>
              <w:t>1</w:t>
            </w:r>
          </w:p>
        </w:tc>
        <w:tc>
          <w:tcPr>
            <w:tcW w:w="1097" w:type="dxa"/>
            <w:noWrap/>
            <w:vAlign w:val="center"/>
          </w:tcPr>
          <w:p w:rsidR="00AA6ACF" w:rsidRDefault="00AA6ACF" w:rsidP="00AA6ACF">
            <w:pPr>
              <w:jc w:val="center"/>
              <w:rPr>
                <w:sz w:val="20"/>
                <w:szCs w:val="20"/>
              </w:rPr>
            </w:pPr>
            <w:r>
              <w:rPr>
                <w:sz w:val="20"/>
                <w:szCs w:val="20"/>
              </w:rPr>
              <w:t>0</w:t>
            </w:r>
          </w:p>
        </w:tc>
        <w:tc>
          <w:tcPr>
            <w:tcW w:w="1097" w:type="dxa"/>
            <w:vAlign w:val="center"/>
          </w:tcPr>
          <w:p w:rsidR="00AA6ACF" w:rsidRDefault="00AA6ACF" w:rsidP="00AA6ACF">
            <w:pPr>
              <w:jc w:val="center"/>
              <w:rPr>
                <w:sz w:val="20"/>
                <w:szCs w:val="20"/>
              </w:rPr>
            </w:pPr>
            <w:r>
              <w:rPr>
                <w:sz w:val="20"/>
                <w:szCs w:val="20"/>
              </w:rPr>
              <w:t>0</w:t>
            </w:r>
          </w:p>
        </w:tc>
        <w:tc>
          <w:tcPr>
            <w:tcW w:w="1097" w:type="dxa"/>
            <w:noWrap/>
            <w:vAlign w:val="center"/>
          </w:tcPr>
          <w:p w:rsidR="00AA6ACF" w:rsidRDefault="00AA6ACF" w:rsidP="00AA6ACF">
            <w:pPr>
              <w:jc w:val="center"/>
              <w:rPr>
                <w:sz w:val="20"/>
                <w:szCs w:val="20"/>
              </w:rPr>
            </w:pPr>
            <w:r>
              <w:rPr>
                <w:sz w:val="20"/>
                <w:szCs w:val="20"/>
              </w:rPr>
              <w:t>0</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1984</w:t>
            </w:r>
          </w:p>
        </w:tc>
        <w:tc>
          <w:tcPr>
            <w:tcW w:w="1409" w:type="dxa"/>
            <w:noWrap/>
            <w:vAlign w:val="center"/>
          </w:tcPr>
          <w:p w:rsidR="00AA6ACF" w:rsidRDefault="00AA6ACF" w:rsidP="00AA6ACF">
            <w:pPr>
              <w:jc w:val="center"/>
              <w:rPr>
                <w:sz w:val="20"/>
                <w:szCs w:val="20"/>
              </w:rPr>
            </w:pPr>
            <w:r>
              <w:rPr>
                <w:sz w:val="20"/>
                <w:szCs w:val="20"/>
              </w:rPr>
              <w:t>0.961</w:t>
            </w:r>
          </w:p>
        </w:tc>
        <w:tc>
          <w:tcPr>
            <w:tcW w:w="1069" w:type="dxa"/>
            <w:noWrap/>
            <w:vAlign w:val="center"/>
          </w:tcPr>
          <w:p w:rsidR="00AA6ACF" w:rsidRDefault="00AA6ACF" w:rsidP="00AA6ACF">
            <w:pPr>
              <w:jc w:val="center"/>
              <w:rPr>
                <w:sz w:val="20"/>
                <w:szCs w:val="20"/>
              </w:rPr>
            </w:pPr>
            <w:r>
              <w:rPr>
                <w:sz w:val="20"/>
                <w:szCs w:val="20"/>
              </w:rPr>
              <w:t>0.999</w:t>
            </w:r>
          </w:p>
        </w:tc>
        <w:tc>
          <w:tcPr>
            <w:tcW w:w="1030" w:type="dxa"/>
            <w:vAlign w:val="center"/>
          </w:tcPr>
          <w:p w:rsidR="00AA6ACF" w:rsidRDefault="00AA6ACF" w:rsidP="00AA6ACF">
            <w:pPr>
              <w:jc w:val="center"/>
              <w:rPr>
                <w:sz w:val="20"/>
                <w:szCs w:val="20"/>
              </w:rPr>
            </w:pPr>
            <w:r>
              <w:rPr>
                <w:sz w:val="20"/>
                <w:szCs w:val="20"/>
              </w:rPr>
              <w:t>0.962</w:t>
            </w:r>
          </w:p>
        </w:tc>
        <w:tc>
          <w:tcPr>
            <w:tcW w:w="1097" w:type="dxa"/>
            <w:noWrap/>
            <w:vAlign w:val="center"/>
          </w:tcPr>
          <w:p w:rsidR="00AA6ACF" w:rsidRDefault="00AA6ACF" w:rsidP="00AA6ACF">
            <w:pPr>
              <w:jc w:val="center"/>
              <w:rPr>
                <w:sz w:val="20"/>
                <w:szCs w:val="20"/>
              </w:rPr>
            </w:pPr>
            <w:r>
              <w:rPr>
                <w:sz w:val="20"/>
                <w:szCs w:val="20"/>
              </w:rPr>
              <w:t>0.121</w:t>
            </w:r>
          </w:p>
        </w:tc>
        <w:tc>
          <w:tcPr>
            <w:tcW w:w="1097" w:type="dxa"/>
            <w:vAlign w:val="center"/>
          </w:tcPr>
          <w:p w:rsidR="00AA6ACF" w:rsidRDefault="00AA6ACF" w:rsidP="00AA6ACF">
            <w:pPr>
              <w:jc w:val="center"/>
              <w:rPr>
                <w:sz w:val="20"/>
                <w:szCs w:val="20"/>
              </w:rPr>
            </w:pPr>
            <w:r>
              <w:rPr>
                <w:sz w:val="20"/>
                <w:szCs w:val="20"/>
              </w:rPr>
              <w:t>0</w:t>
            </w:r>
          </w:p>
        </w:tc>
        <w:tc>
          <w:tcPr>
            <w:tcW w:w="1097" w:type="dxa"/>
            <w:noWrap/>
            <w:vAlign w:val="center"/>
          </w:tcPr>
          <w:p w:rsidR="00AA6ACF" w:rsidRDefault="00AA6ACF" w:rsidP="00AA6ACF">
            <w:pPr>
              <w:jc w:val="center"/>
              <w:rPr>
                <w:sz w:val="20"/>
                <w:szCs w:val="20"/>
              </w:rPr>
            </w:pPr>
            <w:r>
              <w:rPr>
                <w:sz w:val="20"/>
                <w:szCs w:val="20"/>
              </w:rPr>
              <w:t>0.061</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1985</w:t>
            </w:r>
          </w:p>
        </w:tc>
        <w:tc>
          <w:tcPr>
            <w:tcW w:w="1409" w:type="dxa"/>
            <w:noWrap/>
            <w:vAlign w:val="center"/>
          </w:tcPr>
          <w:p w:rsidR="00AA6ACF" w:rsidRDefault="00AA6ACF" w:rsidP="00AA6ACF">
            <w:pPr>
              <w:jc w:val="center"/>
              <w:rPr>
                <w:sz w:val="20"/>
                <w:szCs w:val="20"/>
              </w:rPr>
            </w:pPr>
            <w:r>
              <w:rPr>
                <w:sz w:val="20"/>
                <w:szCs w:val="20"/>
              </w:rPr>
              <w:t>0.818</w:t>
            </w:r>
          </w:p>
        </w:tc>
        <w:tc>
          <w:tcPr>
            <w:tcW w:w="1069" w:type="dxa"/>
            <w:noWrap/>
            <w:vAlign w:val="center"/>
          </w:tcPr>
          <w:p w:rsidR="00AA6ACF" w:rsidRDefault="00AA6ACF" w:rsidP="00AA6ACF">
            <w:pPr>
              <w:jc w:val="center"/>
              <w:rPr>
                <w:sz w:val="20"/>
                <w:szCs w:val="20"/>
              </w:rPr>
            </w:pPr>
            <w:r>
              <w:rPr>
                <w:sz w:val="20"/>
                <w:szCs w:val="20"/>
              </w:rPr>
              <w:t>0.851</w:t>
            </w:r>
          </w:p>
        </w:tc>
        <w:tc>
          <w:tcPr>
            <w:tcW w:w="1030" w:type="dxa"/>
            <w:vAlign w:val="center"/>
          </w:tcPr>
          <w:p w:rsidR="00AA6ACF" w:rsidRDefault="00AA6ACF" w:rsidP="00AA6ACF">
            <w:pPr>
              <w:jc w:val="center"/>
              <w:rPr>
                <w:sz w:val="20"/>
                <w:szCs w:val="20"/>
              </w:rPr>
            </w:pPr>
            <w:r>
              <w:rPr>
                <w:sz w:val="20"/>
                <w:szCs w:val="20"/>
              </w:rPr>
              <w:t>0.961</w:t>
            </w:r>
          </w:p>
        </w:tc>
        <w:tc>
          <w:tcPr>
            <w:tcW w:w="1097" w:type="dxa"/>
            <w:noWrap/>
            <w:vAlign w:val="center"/>
          </w:tcPr>
          <w:p w:rsidR="00AA6ACF" w:rsidRDefault="00AA6ACF" w:rsidP="00AA6ACF">
            <w:pPr>
              <w:jc w:val="center"/>
              <w:rPr>
                <w:sz w:val="20"/>
                <w:szCs w:val="20"/>
              </w:rPr>
            </w:pPr>
            <w:r>
              <w:rPr>
                <w:sz w:val="20"/>
                <w:szCs w:val="20"/>
              </w:rPr>
              <w:t>0.203</w:t>
            </w:r>
          </w:p>
        </w:tc>
        <w:tc>
          <w:tcPr>
            <w:tcW w:w="1097" w:type="dxa"/>
            <w:vAlign w:val="center"/>
          </w:tcPr>
          <w:p w:rsidR="00AA6ACF" w:rsidRDefault="00AA6ACF" w:rsidP="00AA6ACF">
            <w:pPr>
              <w:jc w:val="center"/>
              <w:rPr>
                <w:sz w:val="20"/>
                <w:szCs w:val="20"/>
              </w:rPr>
            </w:pPr>
            <w:r>
              <w:rPr>
                <w:sz w:val="20"/>
                <w:szCs w:val="20"/>
              </w:rPr>
              <w:t>0</w:t>
            </w:r>
          </w:p>
        </w:tc>
        <w:tc>
          <w:tcPr>
            <w:tcW w:w="1097" w:type="dxa"/>
            <w:noWrap/>
            <w:vAlign w:val="center"/>
          </w:tcPr>
          <w:p w:rsidR="00AA6ACF" w:rsidRDefault="00AA6ACF" w:rsidP="00AA6ACF">
            <w:pPr>
              <w:jc w:val="center"/>
              <w:rPr>
                <w:sz w:val="20"/>
                <w:szCs w:val="20"/>
              </w:rPr>
            </w:pPr>
            <w:r>
              <w:rPr>
                <w:sz w:val="20"/>
                <w:szCs w:val="20"/>
              </w:rPr>
              <w:t>0.102</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1986</w:t>
            </w:r>
          </w:p>
        </w:tc>
        <w:tc>
          <w:tcPr>
            <w:tcW w:w="1409" w:type="dxa"/>
            <w:noWrap/>
            <w:vAlign w:val="center"/>
          </w:tcPr>
          <w:p w:rsidR="00AA6ACF" w:rsidRDefault="00AA6ACF" w:rsidP="00AA6ACF">
            <w:pPr>
              <w:jc w:val="center"/>
              <w:rPr>
                <w:sz w:val="20"/>
                <w:szCs w:val="20"/>
              </w:rPr>
            </w:pPr>
            <w:r>
              <w:rPr>
                <w:sz w:val="20"/>
                <w:szCs w:val="20"/>
              </w:rPr>
              <w:t>0.658</w:t>
            </w:r>
          </w:p>
        </w:tc>
        <w:tc>
          <w:tcPr>
            <w:tcW w:w="1069" w:type="dxa"/>
            <w:noWrap/>
            <w:vAlign w:val="center"/>
          </w:tcPr>
          <w:p w:rsidR="00AA6ACF" w:rsidRDefault="00AA6ACF" w:rsidP="00AA6ACF">
            <w:pPr>
              <w:jc w:val="center"/>
              <w:rPr>
                <w:sz w:val="20"/>
                <w:szCs w:val="20"/>
              </w:rPr>
            </w:pPr>
            <w:r>
              <w:rPr>
                <w:sz w:val="20"/>
                <w:szCs w:val="20"/>
              </w:rPr>
              <w:t>0.674</w:t>
            </w:r>
          </w:p>
        </w:tc>
        <w:tc>
          <w:tcPr>
            <w:tcW w:w="1030" w:type="dxa"/>
            <w:vAlign w:val="center"/>
          </w:tcPr>
          <w:p w:rsidR="00AA6ACF" w:rsidRDefault="00AA6ACF" w:rsidP="00AA6ACF">
            <w:pPr>
              <w:jc w:val="center"/>
              <w:rPr>
                <w:sz w:val="20"/>
                <w:szCs w:val="20"/>
              </w:rPr>
            </w:pPr>
            <w:r>
              <w:rPr>
                <w:sz w:val="20"/>
                <w:szCs w:val="20"/>
              </w:rPr>
              <w:t>0.976</w:t>
            </w:r>
          </w:p>
        </w:tc>
        <w:tc>
          <w:tcPr>
            <w:tcW w:w="1097" w:type="dxa"/>
            <w:noWrap/>
            <w:vAlign w:val="center"/>
          </w:tcPr>
          <w:p w:rsidR="00AA6ACF" w:rsidRDefault="00AA6ACF" w:rsidP="00AA6ACF">
            <w:pPr>
              <w:jc w:val="center"/>
              <w:rPr>
                <w:sz w:val="20"/>
                <w:szCs w:val="20"/>
              </w:rPr>
            </w:pPr>
            <w:r>
              <w:rPr>
                <w:sz w:val="20"/>
                <w:szCs w:val="20"/>
              </w:rPr>
              <w:t>0.133</w:t>
            </w:r>
          </w:p>
        </w:tc>
        <w:tc>
          <w:tcPr>
            <w:tcW w:w="1097" w:type="dxa"/>
            <w:vAlign w:val="center"/>
          </w:tcPr>
          <w:p w:rsidR="00AA6ACF" w:rsidRDefault="00AA6ACF" w:rsidP="00AA6ACF">
            <w:pPr>
              <w:jc w:val="center"/>
              <w:rPr>
                <w:sz w:val="20"/>
                <w:szCs w:val="20"/>
              </w:rPr>
            </w:pPr>
            <w:r>
              <w:rPr>
                <w:sz w:val="20"/>
                <w:szCs w:val="20"/>
              </w:rPr>
              <w:t>0</w:t>
            </w:r>
          </w:p>
        </w:tc>
        <w:tc>
          <w:tcPr>
            <w:tcW w:w="1097" w:type="dxa"/>
            <w:noWrap/>
            <w:vAlign w:val="center"/>
          </w:tcPr>
          <w:p w:rsidR="00AA6ACF" w:rsidRDefault="00AA6ACF" w:rsidP="00AA6ACF">
            <w:pPr>
              <w:jc w:val="center"/>
              <w:rPr>
                <w:sz w:val="20"/>
                <w:szCs w:val="20"/>
              </w:rPr>
            </w:pPr>
            <w:r>
              <w:rPr>
                <w:sz w:val="20"/>
                <w:szCs w:val="20"/>
              </w:rPr>
              <w:t>0.067</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1987</w:t>
            </w:r>
          </w:p>
        </w:tc>
        <w:tc>
          <w:tcPr>
            <w:tcW w:w="1409" w:type="dxa"/>
            <w:noWrap/>
            <w:vAlign w:val="center"/>
          </w:tcPr>
          <w:p w:rsidR="00AA6ACF" w:rsidRDefault="00AA6ACF" w:rsidP="00AA6ACF">
            <w:pPr>
              <w:jc w:val="center"/>
              <w:rPr>
                <w:sz w:val="20"/>
                <w:szCs w:val="20"/>
              </w:rPr>
            </w:pPr>
            <w:r>
              <w:rPr>
                <w:sz w:val="20"/>
                <w:szCs w:val="20"/>
              </w:rPr>
              <w:t>0.603</w:t>
            </w:r>
          </w:p>
        </w:tc>
        <w:tc>
          <w:tcPr>
            <w:tcW w:w="1069" w:type="dxa"/>
            <w:noWrap/>
            <w:vAlign w:val="center"/>
          </w:tcPr>
          <w:p w:rsidR="00AA6ACF" w:rsidRDefault="00AA6ACF" w:rsidP="00AA6ACF">
            <w:pPr>
              <w:jc w:val="center"/>
              <w:rPr>
                <w:sz w:val="20"/>
                <w:szCs w:val="20"/>
              </w:rPr>
            </w:pPr>
            <w:r>
              <w:rPr>
                <w:sz w:val="20"/>
                <w:szCs w:val="20"/>
              </w:rPr>
              <w:t>0.614</w:t>
            </w:r>
          </w:p>
        </w:tc>
        <w:tc>
          <w:tcPr>
            <w:tcW w:w="1030" w:type="dxa"/>
            <w:vAlign w:val="center"/>
          </w:tcPr>
          <w:p w:rsidR="00AA6ACF" w:rsidRDefault="00AA6ACF" w:rsidP="00AA6ACF">
            <w:pPr>
              <w:jc w:val="center"/>
              <w:rPr>
                <w:sz w:val="20"/>
                <w:szCs w:val="20"/>
              </w:rPr>
            </w:pPr>
            <w:r>
              <w:rPr>
                <w:sz w:val="20"/>
                <w:szCs w:val="20"/>
              </w:rPr>
              <w:t>0.982</w:t>
            </w:r>
          </w:p>
        </w:tc>
        <w:tc>
          <w:tcPr>
            <w:tcW w:w="1097" w:type="dxa"/>
            <w:noWrap/>
            <w:vAlign w:val="center"/>
          </w:tcPr>
          <w:p w:rsidR="00AA6ACF" w:rsidRDefault="00AA6ACF" w:rsidP="00AA6ACF">
            <w:pPr>
              <w:jc w:val="center"/>
              <w:rPr>
                <w:sz w:val="20"/>
                <w:szCs w:val="20"/>
              </w:rPr>
            </w:pPr>
            <w:r>
              <w:rPr>
                <w:sz w:val="20"/>
                <w:szCs w:val="20"/>
              </w:rPr>
              <w:t>0.135</w:t>
            </w:r>
          </w:p>
        </w:tc>
        <w:tc>
          <w:tcPr>
            <w:tcW w:w="1097" w:type="dxa"/>
            <w:vAlign w:val="center"/>
          </w:tcPr>
          <w:p w:rsidR="00AA6ACF" w:rsidRDefault="00AA6ACF" w:rsidP="00AA6ACF">
            <w:pPr>
              <w:jc w:val="center"/>
              <w:rPr>
                <w:sz w:val="20"/>
                <w:szCs w:val="20"/>
              </w:rPr>
            </w:pPr>
            <w:r>
              <w:rPr>
                <w:sz w:val="20"/>
                <w:szCs w:val="20"/>
              </w:rPr>
              <w:t>0</w:t>
            </w:r>
          </w:p>
        </w:tc>
        <w:tc>
          <w:tcPr>
            <w:tcW w:w="1097" w:type="dxa"/>
            <w:noWrap/>
            <w:vAlign w:val="center"/>
          </w:tcPr>
          <w:p w:rsidR="00AA6ACF" w:rsidRDefault="00AA6ACF" w:rsidP="00AA6ACF">
            <w:pPr>
              <w:jc w:val="center"/>
              <w:rPr>
                <w:sz w:val="20"/>
                <w:szCs w:val="20"/>
              </w:rPr>
            </w:pPr>
            <w:r>
              <w:rPr>
                <w:sz w:val="20"/>
                <w:szCs w:val="20"/>
              </w:rPr>
              <w:t>0.068</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1988</w:t>
            </w:r>
          </w:p>
        </w:tc>
        <w:tc>
          <w:tcPr>
            <w:tcW w:w="1409" w:type="dxa"/>
            <w:noWrap/>
            <w:vAlign w:val="center"/>
          </w:tcPr>
          <w:p w:rsidR="00AA6ACF" w:rsidRDefault="00AA6ACF" w:rsidP="00AA6ACF">
            <w:pPr>
              <w:jc w:val="center"/>
              <w:rPr>
                <w:sz w:val="20"/>
                <w:szCs w:val="20"/>
              </w:rPr>
            </w:pPr>
            <w:r>
              <w:rPr>
                <w:sz w:val="20"/>
                <w:szCs w:val="20"/>
              </w:rPr>
              <w:t>0.690</w:t>
            </w:r>
          </w:p>
        </w:tc>
        <w:tc>
          <w:tcPr>
            <w:tcW w:w="1069" w:type="dxa"/>
            <w:noWrap/>
            <w:vAlign w:val="center"/>
          </w:tcPr>
          <w:p w:rsidR="00AA6ACF" w:rsidRDefault="00AA6ACF" w:rsidP="00AA6ACF">
            <w:pPr>
              <w:jc w:val="center"/>
              <w:rPr>
                <w:sz w:val="20"/>
                <w:szCs w:val="20"/>
              </w:rPr>
            </w:pPr>
            <w:r>
              <w:rPr>
                <w:sz w:val="20"/>
                <w:szCs w:val="20"/>
              </w:rPr>
              <w:t>0.706</w:t>
            </w:r>
          </w:p>
        </w:tc>
        <w:tc>
          <w:tcPr>
            <w:tcW w:w="1030" w:type="dxa"/>
            <w:vAlign w:val="center"/>
          </w:tcPr>
          <w:p w:rsidR="00AA6ACF" w:rsidRDefault="00AA6ACF" w:rsidP="00AA6ACF">
            <w:pPr>
              <w:jc w:val="center"/>
              <w:rPr>
                <w:sz w:val="20"/>
                <w:szCs w:val="20"/>
              </w:rPr>
            </w:pPr>
            <w:r>
              <w:rPr>
                <w:sz w:val="20"/>
                <w:szCs w:val="20"/>
              </w:rPr>
              <w:t>0.978</w:t>
            </w:r>
          </w:p>
        </w:tc>
        <w:tc>
          <w:tcPr>
            <w:tcW w:w="1097" w:type="dxa"/>
            <w:noWrap/>
            <w:vAlign w:val="center"/>
          </w:tcPr>
          <w:p w:rsidR="00AA6ACF" w:rsidRDefault="00AA6ACF" w:rsidP="00AA6ACF">
            <w:pPr>
              <w:jc w:val="center"/>
              <w:rPr>
                <w:sz w:val="20"/>
                <w:szCs w:val="20"/>
              </w:rPr>
            </w:pPr>
            <w:r>
              <w:rPr>
                <w:sz w:val="20"/>
                <w:szCs w:val="20"/>
              </w:rPr>
              <w:t>0.194</w:t>
            </w:r>
          </w:p>
        </w:tc>
        <w:tc>
          <w:tcPr>
            <w:tcW w:w="1097" w:type="dxa"/>
            <w:vAlign w:val="center"/>
          </w:tcPr>
          <w:p w:rsidR="00AA6ACF" w:rsidRDefault="00AA6ACF" w:rsidP="00AA6ACF">
            <w:pPr>
              <w:jc w:val="center"/>
              <w:rPr>
                <w:sz w:val="20"/>
                <w:szCs w:val="20"/>
              </w:rPr>
            </w:pPr>
            <w:r>
              <w:rPr>
                <w:sz w:val="20"/>
                <w:szCs w:val="20"/>
              </w:rPr>
              <w:t>0</w:t>
            </w:r>
          </w:p>
        </w:tc>
        <w:tc>
          <w:tcPr>
            <w:tcW w:w="1097" w:type="dxa"/>
            <w:noWrap/>
            <w:vAlign w:val="center"/>
          </w:tcPr>
          <w:p w:rsidR="00AA6ACF" w:rsidRDefault="00AA6ACF" w:rsidP="00AA6ACF">
            <w:pPr>
              <w:jc w:val="center"/>
              <w:rPr>
                <w:sz w:val="20"/>
                <w:szCs w:val="20"/>
              </w:rPr>
            </w:pPr>
            <w:r>
              <w:rPr>
                <w:sz w:val="20"/>
                <w:szCs w:val="20"/>
              </w:rPr>
              <w:t>0.097</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1989</w:t>
            </w:r>
          </w:p>
        </w:tc>
        <w:tc>
          <w:tcPr>
            <w:tcW w:w="1409" w:type="dxa"/>
            <w:noWrap/>
            <w:vAlign w:val="center"/>
          </w:tcPr>
          <w:p w:rsidR="00AA6ACF" w:rsidRDefault="00AA6ACF" w:rsidP="00AA6ACF">
            <w:pPr>
              <w:jc w:val="center"/>
              <w:rPr>
                <w:sz w:val="20"/>
                <w:szCs w:val="20"/>
              </w:rPr>
            </w:pPr>
            <w:r>
              <w:rPr>
                <w:sz w:val="20"/>
                <w:szCs w:val="20"/>
              </w:rPr>
              <w:t>0.874</w:t>
            </w:r>
          </w:p>
        </w:tc>
        <w:tc>
          <w:tcPr>
            <w:tcW w:w="1069" w:type="dxa"/>
            <w:noWrap/>
            <w:vAlign w:val="center"/>
          </w:tcPr>
          <w:p w:rsidR="00AA6ACF" w:rsidRDefault="00AA6ACF" w:rsidP="00AA6ACF">
            <w:pPr>
              <w:jc w:val="center"/>
              <w:rPr>
                <w:sz w:val="20"/>
                <w:szCs w:val="20"/>
              </w:rPr>
            </w:pPr>
            <w:r>
              <w:rPr>
                <w:sz w:val="20"/>
                <w:szCs w:val="20"/>
              </w:rPr>
              <w:t>0.902</w:t>
            </w:r>
          </w:p>
        </w:tc>
        <w:tc>
          <w:tcPr>
            <w:tcW w:w="1030" w:type="dxa"/>
            <w:vAlign w:val="center"/>
          </w:tcPr>
          <w:p w:rsidR="00AA6ACF" w:rsidRDefault="00AA6ACF" w:rsidP="00AA6ACF">
            <w:pPr>
              <w:jc w:val="center"/>
              <w:rPr>
                <w:sz w:val="20"/>
                <w:szCs w:val="20"/>
              </w:rPr>
            </w:pPr>
            <w:r>
              <w:rPr>
                <w:sz w:val="20"/>
                <w:szCs w:val="20"/>
              </w:rPr>
              <w:t>0.969</w:t>
            </w:r>
          </w:p>
        </w:tc>
        <w:tc>
          <w:tcPr>
            <w:tcW w:w="1097" w:type="dxa"/>
            <w:noWrap/>
            <w:vAlign w:val="center"/>
          </w:tcPr>
          <w:p w:rsidR="00AA6ACF" w:rsidRDefault="00AA6ACF" w:rsidP="00AA6ACF">
            <w:pPr>
              <w:jc w:val="center"/>
              <w:rPr>
                <w:sz w:val="20"/>
                <w:szCs w:val="20"/>
              </w:rPr>
            </w:pPr>
            <w:r>
              <w:rPr>
                <w:sz w:val="20"/>
                <w:szCs w:val="20"/>
              </w:rPr>
              <w:t>0.237</w:t>
            </w:r>
          </w:p>
        </w:tc>
        <w:tc>
          <w:tcPr>
            <w:tcW w:w="1097" w:type="dxa"/>
            <w:vAlign w:val="center"/>
          </w:tcPr>
          <w:p w:rsidR="00AA6ACF" w:rsidRDefault="00AA6ACF" w:rsidP="00AA6ACF">
            <w:pPr>
              <w:jc w:val="center"/>
              <w:rPr>
                <w:sz w:val="20"/>
                <w:szCs w:val="20"/>
              </w:rPr>
            </w:pPr>
            <w:r>
              <w:rPr>
                <w:sz w:val="20"/>
                <w:szCs w:val="20"/>
              </w:rPr>
              <w:t>0</w:t>
            </w:r>
          </w:p>
        </w:tc>
        <w:tc>
          <w:tcPr>
            <w:tcW w:w="1097" w:type="dxa"/>
            <w:noWrap/>
            <w:vAlign w:val="center"/>
          </w:tcPr>
          <w:p w:rsidR="00AA6ACF" w:rsidRDefault="00AA6ACF" w:rsidP="00AA6ACF">
            <w:pPr>
              <w:jc w:val="center"/>
              <w:rPr>
                <w:sz w:val="20"/>
                <w:szCs w:val="20"/>
              </w:rPr>
            </w:pPr>
            <w:r>
              <w:rPr>
                <w:sz w:val="20"/>
                <w:szCs w:val="20"/>
              </w:rPr>
              <w:t>0.119</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1990</w:t>
            </w:r>
          </w:p>
        </w:tc>
        <w:tc>
          <w:tcPr>
            <w:tcW w:w="1409" w:type="dxa"/>
            <w:noWrap/>
            <w:vAlign w:val="center"/>
          </w:tcPr>
          <w:p w:rsidR="00AA6ACF" w:rsidRDefault="00AA6ACF" w:rsidP="00AA6ACF">
            <w:pPr>
              <w:jc w:val="center"/>
              <w:rPr>
                <w:sz w:val="20"/>
                <w:szCs w:val="20"/>
              </w:rPr>
            </w:pPr>
            <w:r>
              <w:rPr>
                <w:sz w:val="20"/>
                <w:szCs w:val="20"/>
              </w:rPr>
              <w:t>0.830</w:t>
            </w:r>
          </w:p>
        </w:tc>
        <w:tc>
          <w:tcPr>
            <w:tcW w:w="1069" w:type="dxa"/>
            <w:noWrap/>
            <w:vAlign w:val="center"/>
          </w:tcPr>
          <w:p w:rsidR="00AA6ACF" w:rsidRDefault="00AA6ACF" w:rsidP="00AA6ACF">
            <w:pPr>
              <w:jc w:val="center"/>
              <w:rPr>
                <w:sz w:val="20"/>
                <w:szCs w:val="20"/>
              </w:rPr>
            </w:pPr>
            <w:r>
              <w:rPr>
                <w:sz w:val="20"/>
                <w:szCs w:val="20"/>
              </w:rPr>
              <w:t>0.853</w:t>
            </w:r>
          </w:p>
        </w:tc>
        <w:tc>
          <w:tcPr>
            <w:tcW w:w="1030" w:type="dxa"/>
            <w:vAlign w:val="center"/>
          </w:tcPr>
          <w:p w:rsidR="00AA6ACF" w:rsidRDefault="00AA6ACF" w:rsidP="00AA6ACF">
            <w:pPr>
              <w:jc w:val="center"/>
              <w:rPr>
                <w:sz w:val="20"/>
                <w:szCs w:val="20"/>
              </w:rPr>
            </w:pPr>
            <w:r>
              <w:rPr>
                <w:sz w:val="20"/>
                <w:szCs w:val="20"/>
              </w:rPr>
              <w:t>0.973</w:t>
            </w:r>
          </w:p>
        </w:tc>
        <w:tc>
          <w:tcPr>
            <w:tcW w:w="1097" w:type="dxa"/>
            <w:noWrap/>
            <w:vAlign w:val="center"/>
          </w:tcPr>
          <w:p w:rsidR="00AA6ACF" w:rsidRPr="00107D27" w:rsidRDefault="00AA6ACF" w:rsidP="00AA6ACF">
            <w:pPr>
              <w:jc w:val="center"/>
              <w:rPr>
                <w:b/>
                <w:sz w:val="20"/>
                <w:szCs w:val="20"/>
              </w:rPr>
            </w:pPr>
            <w:r w:rsidRPr="00107D27">
              <w:rPr>
                <w:b/>
                <w:sz w:val="20"/>
                <w:szCs w:val="20"/>
              </w:rPr>
              <w:t>0.219</w:t>
            </w:r>
          </w:p>
        </w:tc>
        <w:tc>
          <w:tcPr>
            <w:tcW w:w="1097" w:type="dxa"/>
            <w:vAlign w:val="center"/>
          </w:tcPr>
          <w:p w:rsidR="00AA6ACF" w:rsidRDefault="00AA6ACF" w:rsidP="00AA6ACF">
            <w:pPr>
              <w:jc w:val="center"/>
              <w:rPr>
                <w:sz w:val="20"/>
                <w:szCs w:val="20"/>
              </w:rPr>
            </w:pPr>
            <w:r>
              <w:rPr>
                <w:sz w:val="20"/>
                <w:szCs w:val="20"/>
              </w:rPr>
              <w:t>0</w:t>
            </w:r>
          </w:p>
        </w:tc>
        <w:tc>
          <w:tcPr>
            <w:tcW w:w="1097" w:type="dxa"/>
            <w:noWrap/>
            <w:vAlign w:val="center"/>
          </w:tcPr>
          <w:p w:rsidR="00AA6ACF" w:rsidRPr="00107D27" w:rsidRDefault="00AA6ACF" w:rsidP="00AA6ACF">
            <w:pPr>
              <w:jc w:val="center"/>
              <w:rPr>
                <w:b/>
                <w:sz w:val="20"/>
                <w:szCs w:val="20"/>
              </w:rPr>
            </w:pPr>
            <w:r w:rsidRPr="00107D27">
              <w:rPr>
                <w:b/>
                <w:sz w:val="20"/>
                <w:szCs w:val="20"/>
              </w:rPr>
              <w:t>0.110</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1991</w:t>
            </w:r>
          </w:p>
        </w:tc>
        <w:tc>
          <w:tcPr>
            <w:tcW w:w="1409" w:type="dxa"/>
            <w:noWrap/>
            <w:vAlign w:val="center"/>
          </w:tcPr>
          <w:p w:rsidR="00AA6ACF" w:rsidRDefault="00AA6ACF" w:rsidP="00AA6ACF">
            <w:pPr>
              <w:jc w:val="center"/>
              <w:rPr>
                <w:sz w:val="20"/>
                <w:szCs w:val="20"/>
              </w:rPr>
            </w:pPr>
            <w:r>
              <w:rPr>
                <w:sz w:val="20"/>
                <w:szCs w:val="20"/>
              </w:rPr>
              <w:t>0.857</w:t>
            </w:r>
          </w:p>
        </w:tc>
        <w:tc>
          <w:tcPr>
            <w:tcW w:w="1069" w:type="dxa"/>
            <w:noWrap/>
            <w:vAlign w:val="center"/>
          </w:tcPr>
          <w:p w:rsidR="00AA6ACF" w:rsidRDefault="00AA6ACF" w:rsidP="00AA6ACF">
            <w:pPr>
              <w:jc w:val="center"/>
              <w:rPr>
                <w:sz w:val="20"/>
                <w:szCs w:val="20"/>
              </w:rPr>
            </w:pPr>
            <w:r>
              <w:rPr>
                <w:sz w:val="20"/>
                <w:szCs w:val="20"/>
              </w:rPr>
              <w:t>0.876</w:t>
            </w:r>
          </w:p>
        </w:tc>
        <w:tc>
          <w:tcPr>
            <w:tcW w:w="1030" w:type="dxa"/>
            <w:vAlign w:val="center"/>
          </w:tcPr>
          <w:p w:rsidR="00AA6ACF" w:rsidRDefault="00AA6ACF" w:rsidP="00AA6ACF">
            <w:pPr>
              <w:jc w:val="center"/>
              <w:rPr>
                <w:sz w:val="20"/>
                <w:szCs w:val="20"/>
              </w:rPr>
            </w:pPr>
            <w:r>
              <w:rPr>
                <w:sz w:val="20"/>
                <w:szCs w:val="20"/>
              </w:rPr>
              <w:t>0.978</w:t>
            </w:r>
          </w:p>
        </w:tc>
        <w:tc>
          <w:tcPr>
            <w:tcW w:w="1097" w:type="dxa"/>
            <w:noWrap/>
            <w:vAlign w:val="center"/>
          </w:tcPr>
          <w:p w:rsidR="00AA6ACF" w:rsidRDefault="00AA6ACF" w:rsidP="00AA6ACF">
            <w:pPr>
              <w:jc w:val="center"/>
              <w:rPr>
                <w:sz w:val="20"/>
                <w:szCs w:val="20"/>
              </w:rPr>
            </w:pPr>
            <w:r>
              <w:rPr>
                <w:sz w:val="20"/>
                <w:szCs w:val="20"/>
              </w:rPr>
              <w:t>0.239</w:t>
            </w:r>
          </w:p>
        </w:tc>
        <w:tc>
          <w:tcPr>
            <w:tcW w:w="1097" w:type="dxa"/>
            <w:vAlign w:val="center"/>
          </w:tcPr>
          <w:p w:rsidR="00AA6ACF" w:rsidRDefault="00AA6ACF" w:rsidP="00AA6ACF">
            <w:pPr>
              <w:jc w:val="center"/>
              <w:rPr>
                <w:sz w:val="20"/>
                <w:szCs w:val="20"/>
              </w:rPr>
            </w:pPr>
            <w:r>
              <w:rPr>
                <w:sz w:val="20"/>
                <w:szCs w:val="20"/>
              </w:rPr>
              <w:t>0</w:t>
            </w:r>
          </w:p>
        </w:tc>
        <w:tc>
          <w:tcPr>
            <w:tcW w:w="1097" w:type="dxa"/>
            <w:noWrap/>
            <w:vAlign w:val="center"/>
          </w:tcPr>
          <w:p w:rsidR="00AA6ACF" w:rsidRDefault="00AA6ACF" w:rsidP="00AA6ACF">
            <w:pPr>
              <w:jc w:val="center"/>
              <w:rPr>
                <w:sz w:val="20"/>
                <w:szCs w:val="20"/>
              </w:rPr>
            </w:pPr>
            <w:r>
              <w:rPr>
                <w:sz w:val="20"/>
                <w:szCs w:val="20"/>
              </w:rPr>
              <w:t>0.119</w:t>
            </w:r>
          </w:p>
        </w:tc>
      </w:tr>
      <w:tr w:rsidR="00AA6ACF">
        <w:trPr>
          <w:trHeight w:val="340"/>
          <w:jc w:val="center"/>
        </w:trPr>
        <w:tc>
          <w:tcPr>
            <w:tcW w:w="841" w:type="dxa"/>
            <w:tcBorders>
              <w:bottom w:val="single" w:sz="6" w:space="0" w:color="auto"/>
            </w:tcBorders>
            <w:vAlign w:val="center"/>
          </w:tcPr>
          <w:p w:rsidR="00AA6ACF" w:rsidRPr="006F7CA4" w:rsidRDefault="00AA6ACF" w:rsidP="00AA6ACF">
            <w:pPr>
              <w:rPr>
                <w:bCs/>
                <w:sz w:val="20"/>
                <w:szCs w:val="20"/>
              </w:rPr>
            </w:pPr>
            <w:r w:rsidRPr="006F7CA4">
              <w:rPr>
                <w:bCs/>
                <w:sz w:val="20"/>
                <w:szCs w:val="20"/>
              </w:rPr>
              <w:t xml:space="preserve"> 1992</w:t>
            </w:r>
          </w:p>
        </w:tc>
        <w:tc>
          <w:tcPr>
            <w:tcW w:w="1409" w:type="dxa"/>
            <w:tcBorders>
              <w:bottom w:val="single" w:sz="6" w:space="0" w:color="auto"/>
            </w:tcBorders>
            <w:vAlign w:val="center"/>
          </w:tcPr>
          <w:p w:rsidR="00AA6ACF" w:rsidRPr="00FE1FE0" w:rsidRDefault="00AA6ACF" w:rsidP="00AA6ACF">
            <w:pPr>
              <w:jc w:val="center"/>
              <w:rPr>
                <w:bCs/>
                <w:sz w:val="20"/>
                <w:szCs w:val="20"/>
              </w:rPr>
            </w:pPr>
            <w:r w:rsidRPr="00FE1FE0">
              <w:rPr>
                <w:bCs/>
                <w:sz w:val="20"/>
                <w:szCs w:val="20"/>
              </w:rPr>
              <w:t>0.8</w:t>
            </w:r>
            <w:r>
              <w:rPr>
                <w:bCs/>
                <w:sz w:val="20"/>
                <w:szCs w:val="20"/>
              </w:rPr>
              <w:t>61</w:t>
            </w:r>
          </w:p>
        </w:tc>
        <w:tc>
          <w:tcPr>
            <w:tcW w:w="1069" w:type="dxa"/>
            <w:tcBorders>
              <w:bottom w:val="single" w:sz="6" w:space="0" w:color="auto"/>
            </w:tcBorders>
            <w:vAlign w:val="center"/>
          </w:tcPr>
          <w:p w:rsidR="00AA6ACF" w:rsidRPr="00FE1FE0" w:rsidRDefault="00AA6ACF" w:rsidP="00AA6ACF">
            <w:pPr>
              <w:jc w:val="center"/>
              <w:rPr>
                <w:bCs/>
                <w:sz w:val="20"/>
                <w:szCs w:val="20"/>
              </w:rPr>
            </w:pPr>
            <w:r w:rsidRPr="00FE1FE0">
              <w:rPr>
                <w:bCs/>
                <w:sz w:val="20"/>
                <w:szCs w:val="20"/>
              </w:rPr>
              <w:t>0.87</w:t>
            </w:r>
            <w:r>
              <w:rPr>
                <w:bCs/>
                <w:sz w:val="20"/>
                <w:szCs w:val="20"/>
              </w:rPr>
              <w:t>1</w:t>
            </w:r>
          </w:p>
        </w:tc>
        <w:tc>
          <w:tcPr>
            <w:tcW w:w="1030" w:type="dxa"/>
            <w:tcBorders>
              <w:bottom w:val="single" w:sz="6" w:space="0" w:color="auto"/>
            </w:tcBorders>
            <w:vAlign w:val="center"/>
          </w:tcPr>
          <w:p w:rsidR="00AA6ACF" w:rsidRPr="00FE1FE0" w:rsidRDefault="00AA6ACF" w:rsidP="00AA6ACF">
            <w:pPr>
              <w:jc w:val="center"/>
              <w:rPr>
                <w:bCs/>
                <w:sz w:val="20"/>
                <w:szCs w:val="20"/>
              </w:rPr>
            </w:pPr>
            <w:r w:rsidRPr="00FE1FE0">
              <w:rPr>
                <w:bCs/>
                <w:sz w:val="20"/>
                <w:szCs w:val="20"/>
              </w:rPr>
              <w:t>0.</w:t>
            </w:r>
            <w:r>
              <w:rPr>
                <w:bCs/>
                <w:sz w:val="20"/>
                <w:szCs w:val="20"/>
              </w:rPr>
              <w:t>989</w:t>
            </w:r>
          </w:p>
        </w:tc>
        <w:tc>
          <w:tcPr>
            <w:tcW w:w="1097" w:type="dxa"/>
            <w:tcBorders>
              <w:bottom w:val="single" w:sz="6" w:space="0" w:color="auto"/>
            </w:tcBorders>
            <w:vAlign w:val="center"/>
          </w:tcPr>
          <w:p w:rsidR="00AA6ACF" w:rsidRPr="00FE1FE0" w:rsidRDefault="00AA6ACF" w:rsidP="00AA6ACF">
            <w:pPr>
              <w:jc w:val="center"/>
              <w:rPr>
                <w:bCs/>
                <w:sz w:val="20"/>
                <w:szCs w:val="20"/>
              </w:rPr>
            </w:pPr>
            <w:r>
              <w:rPr>
                <w:bCs/>
                <w:sz w:val="20"/>
                <w:szCs w:val="20"/>
              </w:rPr>
              <w:t>0.187</w:t>
            </w:r>
          </w:p>
        </w:tc>
        <w:tc>
          <w:tcPr>
            <w:tcW w:w="1097" w:type="dxa"/>
            <w:tcBorders>
              <w:bottom w:val="single" w:sz="6" w:space="0" w:color="auto"/>
            </w:tcBorders>
            <w:vAlign w:val="center"/>
          </w:tcPr>
          <w:p w:rsidR="00AA6ACF" w:rsidRPr="00FE1FE0" w:rsidRDefault="00AA6ACF" w:rsidP="00AA6ACF">
            <w:pPr>
              <w:jc w:val="center"/>
              <w:rPr>
                <w:bCs/>
                <w:sz w:val="20"/>
                <w:szCs w:val="20"/>
              </w:rPr>
            </w:pPr>
            <w:r>
              <w:rPr>
                <w:bCs/>
                <w:sz w:val="20"/>
                <w:szCs w:val="20"/>
              </w:rPr>
              <w:t>0</w:t>
            </w:r>
          </w:p>
        </w:tc>
        <w:tc>
          <w:tcPr>
            <w:tcW w:w="1097" w:type="dxa"/>
            <w:tcBorders>
              <w:bottom w:val="single" w:sz="6" w:space="0" w:color="auto"/>
            </w:tcBorders>
            <w:vAlign w:val="center"/>
          </w:tcPr>
          <w:p w:rsidR="00AA6ACF" w:rsidRPr="00FE1FE0" w:rsidRDefault="00AA6ACF" w:rsidP="00AA6ACF">
            <w:pPr>
              <w:jc w:val="center"/>
              <w:rPr>
                <w:bCs/>
                <w:sz w:val="20"/>
                <w:szCs w:val="20"/>
              </w:rPr>
            </w:pPr>
            <w:r>
              <w:rPr>
                <w:bCs/>
                <w:sz w:val="20"/>
                <w:szCs w:val="20"/>
              </w:rPr>
              <w:t>0.094</w:t>
            </w:r>
          </w:p>
        </w:tc>
      </w:tr>
      <w:tr w:rsidR="00AA6ACF">
        <w:trPr>
          <w:trHeight w:val="340"/>
          <w:jc w:val="center"/>
        </w:trPr>
        <w:tc>
          <w:tcPr>
            <w:tcW w:w="841" w:type="dxa"/>
            <w:tcBorders>
              <w:top w:val="single" w:sz="6" w:space="0" w:color="auto"/>
              <w:bottom w:val="single" w:sz="6" w:space="0" w:color="auto"/>
            </w:tcBorders>
            <w:noWrap/>
            <w:vAlign w:val="center"/>
          </w:tcPr>
          <w:p w:rsidR="00AA6ACF" w:rsidRDefault="00AA6ACF" w:rsidP="00AA6ACF">
            <w:pPr>
              <w:rPr>
                <w:bCs/>
                <w:sz w:val="20"/>
                <w:szCs w:val="20"/>
              </w:rPr>
            </w:pPr>
            <w:r>
              <w:rPr>
                <w:bCs/>
                <w:sz w:val="20"/>
                <w:szCs w:val="20"/>
              </w:rPr>
              <w:t xml:space="preserve"> 1993</w:t>
            </w:r>
          </w:p>
        </w:tc>
        <w:tc>
          <w:tcPr>
            <w:tcW w:w="1409" w:type="dxa"/>
            <w:tcBorders>
              <w:top w:val="single" w:sz="6" w:space="0" w:color="auto"/>
              <w:bottom w:val="single" w:sz="6" w:space="0" w:color="auto"/>
            </w:tcBorders>
            <w:noWrap/>
            <w:vAlign w:val="center"/>
          </w:tcPr>
          <w:p w:rsidR="00AA6ACF" w:rsidRDefault="00AA6ACF" w:rsidP="00AA6ACF">
            <w:pPr>
              <w:jc w:val="center"/>
              <w:rPr>
                <w:sz w:val="20"/>
                <w:szCs w:val="20"/>
              </w:rPr>
            </w:pPr>
            <w:r>
              <w:rPr>
                <w:sz w:val="20"/>
                <w:szCs w:val="20"/>
              </w:rPr>
              <w:t>0.828</w:t>
            </w:r>
          </w:p>
        </w:tc>
        <w:tc>
          <w:tcPr>
            <w:tcW w:w="1069" w:type="dxa"/>
            <w:tcBorders>
              <w:top w:val="single" w:sz="6" w:space="0" w:color="auto"/>
              <w:bottom w:val="single" w:sz="6" w:space="0" w:color="auto"/>
            </w:tcBorders>
            <w:noWrap/>
            <w:vAlign w:val="center"/>
          </w:tcPr>
          <w:p w:rsidR="00AA6ACF" w:rsidRDefault="00AA6ACF" w:rsidP="00AA6ACF">
            <w:pPr>
              <w:jc w:val="center"/>
              <w:rPr>
                <w:sz w:val="20"/>
                <w:szCs w:val="20"/>
              </w:rPr>
            </w:pPr>
            <w:r>
              <w:rPr>
                <w:sz w:val="20"/>
                <w:szCs w:val="20"/>
              </w:rPr>
              <w:t>0.830</w:t>
            </w:r>
          </w:p>
        </w:tc>
        <w:tc>
          <w:tcPr>
            <w:tcW w:w="1030" w:type="dxa"/>
            <w:vAlign w:val="center"/>
          </w:tcPr>
          <w:p w:rsidR="00AA6ACF" w:rsidRDefault="00AA6ACF" w:rsidP="00AA6ACF">
            <w:pPr>
              <w:jc w:val="center"/>
              <w:rPr>
                <w:sz w:val="20"/>
                <w:szCs w:val="20"/>
              </w:rPr>
            </w:pPr>
            <w:r>
              <w:rPr>
                <w:sz w:val="20"/>
                <w:szCs w:val="20"/>
              </w:rPr>
              <w:t>0.987</w:t>
            </w:r>
          </w:p>
        </w:tc>
        <w:tc>
          <w:tcPr>
            <w:tcW w:w="1097" w:type="dxa"/>
            <w:tcBorders>
              <w:top w:val="single" w:sz="6" w:space="0" w:color="auto"/>
              <w:bottom w:val="single" w:sz="6" w:space="0" w:color="auto"/>
            </w:tcBorders>
            <w:noWrap/>
            <w:vAlign w:val="center"/>
          </w:tcPr>
          <w:p w:rsidR="00AA6ACF" w:rsidRDefault="00AA6ACF" w:rsidP="00AA6ACF">
            <w:pPr>
              <w:jc w:val="center"/>
              <w:rPr>
                <w:sz w:val="20"/>
                <w:szCs w:val="20"/>
              </w:rPr>
            </w:pPr>
            <w:r>
              <w:rPr>
                <w:sz w:val="20"/>
                <w:szCs w:val="20"/>
              </w:rPr>
              <w:t>0.073</w:t>
            </w:r>
          </w:p>
        </w:tc>
        <w:tc>
          <w:tcPr>
            <w:tcW w:w="1097" w:type="dxa"/>
            <w:tcBorders>
              <w:top w:val="single" w:sz="6" w:space="0" w:color="auto"/>
              <w:bottom w:val="single" w:sz="6" w:space="0" w:color="auto"/>
            </w:tcBorders>
            <w:vAlign w:val="center"/>
          </w:tcPr>
          <w:p w:rsidR="00AA6ACF" w:rsidRDefault="00AA6ACF" w:rsidP="00AA6ACF">
            <w:pPr>
              <w:jc w:val="center"/>
              <w:rPr>
                <w:sz w:val="20"/>
                <w:szCs w:val="20"/>
              </w:rPr>
            </w:pPr>
            <w:r>
              <w:rPr>
                <w:sz w:val="20"/>
                <w:szCs w:val="20"/>
              </w:rPr>
              <w:t>0</w:t>
            </w:r>
          </w:p>
        </w:tc>
        <w:tc>
          <w:tcPr>
            <w:tcW w:w="1097" w:type="dxa"/>
            <w:tcBorders>
              <w:top w:val="single" w:sz="6" w:space="0" w:color="auto"/>
              <w:bottom w:val="single" w:sz="6" w:space="0" w:color="auto"/>
            </w:tcBorders>
            <w:noWrap/>
            <w:vAlign w:val="center"/>
          </w:tcPr>
          <w:p w:rsidR="00AA6ACF" w:rsidRDefault="00AA6ACF" w:rsidP="00AA6ACF">
            <w:pPr>
              <w:jc w:val="center"/>
              <w:rPr>
                <w:sz w:val="20"/>
                <w:szCs w:val="20"/>
              </w:rPr>
            </w:pPr>
            <w:r>
              <w:rPr>
                <w:sz w:val="20"/>
                <w:szCs w:val="20"/>
              </w:rPr>
              <w:t>0.036</w:t>
            </w:r>
          </w:p>
        </w:tc>
      </w:tr>
      <w:tr w:rsidR="00AA6ACF">
        <w:trPr>
          <w:trHeight w:val="340"/>
          <w:jc w:val="center"/>
        </w:trPr>
        <w:tc>
          <w:tcPr>
            <w:tcW w:w="841" w:type="dxa"/>
            <w:tcBorders>
              <w:top w:val="single" w:sz="6" w:space="0" w:color="auto"/>
            </w:tcBorders>
            <w:noWrap/>
            <w:vAlign w:val="center"/>
          </w:tcPr>
          <w:p w:rsidR="00AA6ACF" w:rsidRDefault="00AA6ACF" w:rsidP="00AA6ACF">
            <w:pPr>
              <w:rPr>
                <w:bCs/>
                <w:sz w:val="20"/>
                <w:szCs w:val="20"/>
              </w:rPr>
            </w:pPr>
            <w:r>
              <w:rPr>
                <w:bCs/>
                <w:sz w:val="20"/>
                <w:szCs w:val="20"/>
              </w:rPr>
              <w:t xml:space="preserve"> 1994</w:t>
            </w:r>
          </w:p>
        </w:tc>
        <w:tc>
          <w:tcPr>
            <w:tcW w:w="1409" w:type="dxa"/>
            <w:tcBorders>
              <w:top w:val="single" w:sz="6" w:space="0" w:color="auto"/>
            </w:tcBorders>
            <w:noWrap/>
            <w:vAlign w:val="center"/>
          </w:tcPr>
          <w:p w:rsidR="00AA6ACF" w:rsidRDefault="00AA6ACF" w:rsidP="00AA6ACF">
            <w:pPr>
              <w:jc w:val="center"/>
              <w:rPr>
                <w:sz w:val="20"/>
                <w:szCs w:val="20"/>
              </w:rPr>
            </w:pPr>
            <w:r>
              <w:rPr>
                <w:sz w:val="20"/>
                <w:szCs w:val="20"/>
              </w:rPr>
              <w:t>0.839</w:t>
            </w:r>
          </w:p>
        </w:tc>
        <w:tc>
          <w:tcPr>
            <w:tcW w:w="1069" w:type="dxa"/>
            <w:tcBorders>
              <w:top w:val="single" w:sz="6" w:space="0" w:color="auto"/>
            </w:tcBorders>
            <w:noWrap/>
            <w:vAlign w:val="center"/>
          </w:tcPr>
          <w:p w:rsidR="00AA6ACF" w:rsidRDefault="00AA6ACF" w:rsidP="00AA6ACF">
            <w:pPr>
              <w:jc w:val="center"/>
              <w:rPr>
                <w:sz w:val="20"/>
                <w:szCs w:val="20"/>
              </w:rPr>
            </w:pPr>
            <w:r>
              <w:rPr>
                <w:sz w:val="20"/>
                <w:szCs w:val="20"/>
              </w:rPr>
              <w:t>0.839</w:t>
            </w:r>
          </w:p>
        </w:tc>
        <w:tc>
          <w:tcPr>
            <w:tcW w:w="1030" w:type="dxa"/>
            <w:vAlign w:val="center"/>
          </w:tcPr>
          <w:p w:rsidR="00AA6ACF" w:rsidRDefault="00AA6ACF" w:rsidP="00AA6ACF">
            <w:pPr>
              <w:jc w:val="center"/>
              <w:rPr>
                <w:sz w:val="20"/>
                <w:szCs w:val="20"/>
              </w:rPr>
            </w:pPr>
            <w:r>
              <w:rPr>
                <w:sz w:val="20"/>
                <w:szCs w:val="20"/>
              </w:rPr>
              <w:t>1.000</w:t>
            </w:r>
          </w:p>
        </w:tc>
        <w:tc>
          <w:tcPr>
            <w:tcW w:w="1097" w:type="dxa"/>
            <w:tcBorders>
              <w:top w:val="single" w:sz="6" w:space="0" w:color="auto"/>
            </w:tcBorders>
            <w:noWrap/>
            <w:vAlign w:val="center"/>
          </w:tcPr>
          <w:p w:rsidR="00AA6ACF" w:rsidRPr="00F068AB" w:rsidRDefault="00AA6ACF" w:rsidP="00AA6ACF">
            <w:pPr>
              <w:jc w:val="center"/>
              <w:rPr>
                <w:sz w:val="20"/>
                <w:szCs w:val="20"/>
              </w:rPr>
            </w:pPr>
            <w:r w:rsidRPr="00F068AB">
              <w:rPr>
                <w:sz w:val="20"/>
                <w:szCs w:val="20"/>
              </w:rPr>
              <w:t>0</w:t>
            </w:r>
            <w:r>
              <w:rPr>
                <w:sz w:val="20"/>
                <w:szCs w:val="20"/>
              </w:rPr>
              <w:t>.008</w:t>
            </w:r>
          </w:p>
        </w:tc>
        <w:tc>
          <w:tcPr>
            <w:tcW w:w="1097" w:type="dxa"/>
            <w:tcBorders>
              <w:top w:val="single" w:sz="6" w:space="0" w:color="auto"/>
            </w:tcBorders>
            <w:vAlign w:val="center"/>
          </w:tcPr>
          <w:p w:rsidR="00AA6ACF" w:rsidRDefault="00AA6ACF" w:rsidP="00AA6ACF">
            <w:pPr>
              <w:jc w:val="center"/>
              <w:rPr>
                <w:sz w:val="20"/>
                <w:szCs w:val="20"/>
              </w:rPr>
            </w:pPr>
            <w:r>
              <w:rPr>
                <w:sz w:val="20"/>
                <w:szCs w:val="20"/>
              </w:rPr>
              <w:t>0</w:t>
            </w:r>
          </w:p>
        </w:tc>
        <w:tc>
          <w:tcPr>
            <w:tcW w:w="1097" w:type="dxa"/>
            <w:tcBorders>
              <w:top w:val="single" w:sz="6" w:space="0" w:color="auto"/>
            </w:tcBorders>
            <w:noWrap/>
            <w:vAlign w:val="center"/>
          </w:tcPr>
          <w:p w:rsidR="00AA6ACF" w:rsidRPr="00F068AB" w:rsidRDefault="00AA6ACF" w:rsidP="00AA6ACF">
            <w:pPr>
              <w:jc w:val="center"/>
              <w:rPr>
                <w:sz w:val="20"/>
                <w:szCs w:val="20"/>
              </w:rPr>
            </w:pPr>
            <w:r w:rsidRPr="00F068AB">
              <w:rPr>
                <w:sz w:val="20"/>
                <w:szCs w:val="20"/>
              </w:rPr>
              <w:t>0</w:t>
            </w:r>
            <w:r>
              <w:rPr>
                <w:sz w:val="20"/>
                <w:szCs w:val="20"/>
              </w:rPr>
              <w:t>.004</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1995</w:t>
            </w:r>
          </w:p>
        </w:tc>
        <w:tc>
          <w:tcPr>
            <w:tcW w:w="1409" w:type="dxa"/>
            <w:noWrap/>
            <w:vAlign w:val="center"/>
          </w:tcPr>
          <w:p w:rsidR="00AA6ACF" w:rsidRDefault="00AA6ACF" w:rsidP="00AA6ACF">
            <w:pPr>
              <w:jc w:val="center"/>
              <w:rPr>
                <w:sz w:val="20"/>
                <w:szCs w:val="20"/>
              </w:rPr>
            </w:pPr>
            <w:r>
              <w:rPr>
                <w:sz w:val="20"/>
                <w:szCs w:val="20"/>
              </w:rPr>
              <w:t>0.961</w:t>
            </w:r>
          </w:p>
        </w:tc>
        <w:tc>
          <w:tcPr>
            <w:tcW w:w="1069" w:type="dxa"/>
            <w:noWrap/>
            <w:vAlign w:val="center"/>
          </w:tcPr>
          <w:p w:rsidR="00AA6ACF" w:rsidRDefault="00AA6ACF" w:rsidP="00AA6ACF">
            <w:pPr>
              <w:jc w:val="center"/>
              <w:rPr>
                <w:sz w:val="20"/>
                <w:szCs w:val="20"/>
              </w:rPr>
            </w:pPr>
            <w:r>
              <w:rPr>
                <w:sz w:val="20"/>
                <w:szCs w:val="20"/>
              </w:rPr>
              <w:t>0.971</w:t>
            </w:r>
          </w:p>
        </w:tc>
        <w:tc>
          <w:tcPr>
            <w:tcW w:w="1030" w:type="dxa"/>
            <w:vAlign w:val="center"/>
          </w:tcPr>
          <w:p w:rsidR="00AA6ACF" w:rsidRDefault="00AA6ACF" w:rsidP="00AA6ACF">
            <w:pPr>
              <w:jc w:val="center"/>
              <w:rPr>
                <w:sz w:val="20"/>
                <w:szCs w:val="20"/>
              </w:rPr>
            </w:pPr>
            <w:r>
              <w:rPr>
                <w:sz w:val="20"/>
                <w:szCs w:val="20"/>
              </w:rPr>
              <w:t>0.990</w:t>
            </w:r>
          </w:p>
        </w:tc>
        <w:tc>
          <w:tcPr>
            <w:tcW w:w="1097" w:type="dxa"/>
            <w:noWrap/>
            <w:vAlign w:val="center"/>
          </w:tcPr>
          <w:p w:rsidR="00AA6ACF" w:rsidRDefault="00AA6ACF" w:rsidP="00AA6ACF">
            <w:pPr>
              <w:jc w:val="center"/>
              <w:rPr>
                <w:sz w:val="20"/>
                <w:szCs w:val="20"/>
              </w:rPr>
            </w:pPr>
            <w:r>
              <w:rPr>
                <w:sz w:val="20"/>
                <w:szCs w:val="20"/>
              </w:rPr>
              <w:t>0</w:t>
            </w:r>
          </w:p>
        </w:tc>
        <w:tc>
          <w:tcPr>
            <w:tcW w:w="1097" w:type="dxa"/>
            <w:vAlign w:val="center"/>
          </w:tcPr>
          <w:p w:rsidR="00AA6ACF" w:rsidRDefault="00AA6ACF" w:rsidP="00AA6ACF">
            <w:pPr>
              <w:jc w:val="center"/>
              <w:rPr>
                <w:sz w:val="20"/>
                <w:szCs w:val="20"/>
              </w:rPr>
            </w:pPr>
            <w:r>
              <w:rPr>
                <w:sz w:val="20"/>
                <w:szCs w:val="20"/>
              </w:rPr>
              <w:t>0.139</w:t>
            </w:r>
          </w:p>
        </w:tc>
        <w:tc>
          <w:tcPr>
            <w:tcW w:w="1097" w:type="dxa"/>
            <w:noWrap/>
            <w:vAlign w:val="center"/>
          </w:tcPr>
          <w:p w:rsidR="00AA6ACF" w:rsidRDefault="00AA6ACF" w:rsidP="00AA6ACF">
            <w:pPr>
              <w:jc w:val="center"/>
              <w:rPr>
                <w:sz w:val="20"/>
                <w:szCs w:val="20"/>
              </w:rPr>
            </w:pPr>
            <w:r>
              <w:rPr>
                <w:sz w:val="20"/>
                <w:szCs w:val="20"/>
              </w:rPr>
              <w:t>0.069</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1996</w:t>
            </w:r>
          </w:p>
        </w:tc>
        <w:tc>
          <w:tcPr>
            <w:tcW w:w="1409" w:type="dxa"/>
            <w:noWrap/>
            <w:vAlign w:val="center"/>
          </w:tcPr>
          <w:p w:rsidR="00AA6ACF" w:rsidRDefault="00AA6ACF" w:rsidP="00AA6ACF">
            <w:pPr>
              <w:jc w:val="center"/>
              <w:rPr>
                <w:sz w:val="20"/>
                <w:szCs w:val="20"/>
              </w:rPr>
            </w:pPr>
            <w:r>
              <w:rPr>
                <w:sz w:val="20"/>
                <w:szCs w:val="20"/>
              </w:rPr>
              <w:t>0.940</w:t>
            </w:r>
          </w:p>
        </w:tc>
        <w:tc>
          <w:tcPr>
            <w:tcW w:w="1069" w:type="dxa"/>
            <w:noWrap/>
            <w:vAlign w:val="center"/>
          </w:tcPr>
          <w:p w:rsidR="00AA6ACF" w:rsidRDefault="00AA6ACF" w:rsidP="00AA6ACF">
            <w:pPr>
              <w:jc w:val="center"/>
              <w:rPr>
                <w:sz w:val="20"/>
                <w:szCs w:val="20"/>
              </w:rPr>
            </w:pPr>
            <w:r>
              <w:rPr>
                <w:sz w:val="20"/>
                <w:szCs w:val="20"/>
              </w:rPr>
              <w:t>0.940</w:t>
            </w:r>
          </w:p>
        </w:tc>
        <w:tc>
          <w:tcPr>
            <w:tcW w:w="1030" w:type="dxa"/>
            <w:vAlign w:val="center"/>
          </w:tcPr>
          <w:p w:rsidR="00AA6ACF" w:rsidRDefault="00AA6ACF" w:rsidP="00AA6ACF">
            <w:pPr>
              <w:jc w:val="center"/>
              <w:rPr>
                <w:sz w:val="20"/>
                <w:szCs w:val="20"/>
              </w:rPr>
            </w:pPr>
            <w:r>
              <w:rPr>
                <w:sz w:val="20"/>
                <w:szCs w:val="20"/>
              </w:rPr>
              <w:t>1.000</w:t>
            </w:r>
          </w:p>
        </w:tc>
        <w:tc>
          <w:tcPr>
            <w:tcW w:w="1097" w:type="dxa"/>
            <w:noWrap/>
            <w:vAlign w:val="center"/>
          </w:tcPr>
          <w:p w:rsidR="00AA6ACF" w:rsidRPr="00F068AB" w:rsidRDefault="00AA6ACF" w:rsidP="00AA6ACF">
            <w:pPr>
              <w:jc w:val="center"/>
              <w:rPr>
                <w:b/>
                <w:sz w:val="20"/>
                <w:szCs w:val="20"/>
              </w:rPr>
            </w:pPr>
            <w:r w:rsidRPr="00F068AB">
              <w:rPr>
                <w:b/>
                <w:sz w:val="20"/>
                <w:szCs w:val="20"/>
              </w:rPr>
              <w:t>0</w:t>
            </w:r>
          </w:p>
        </w:tc>
        <w:tc>
          <w:tcPr>
            <w:tcW w:w="1097" w:type="dxa"/>
            <w:vAlign w:val="center"/>
          </w:tcPr>
          <w:p w:rsidR="00AA6ACF" w:rsidRDefault="00AA6ACF" w:rsidP="00AA6ACF">
            <w:pPr>
              <w:jc w:val="center"/>
              <w:rPr>
                <w:sz w:val="20"/>
                <w:szCs w:val="20"/>
              </w:rPr>
            </w:pPr>
            <w:r>
              <w:rPr>
                <w:sz w:val="20"/>
                <w:szCs w:val="20"/>
              </w:rPr>
              <w:t>0</w:t>
            </w:r>
          </w:p>
        </w:tc>
        <w:tc>
          <w:tcPr>
            <w:tcW w:w="1097" w:type="dxa"/>
            <w:noWrap/>
            <w:vAlign w:val="center"/>
          </w:tcPr>
          <w:p w:rsidR="00AA6ACF" w:rsidRPr="00F068AB" w:rsidRDefault="00AA6ACF" w:rsidP="00AA6ACF">
            <w:pPr>
              <w:jc w:val="center"/>
              <w:rPr>
                <w:b/>
                <w:sz w:val="20"/>
                <w:szCs w:val="20"/>
              </w:rPr>
            </w:pPr>
            <w:r w:rsidRPr="00F068AB">
              <w:rPr>
                <w:b/>
                <w:sz w:val="20"/>
                <w:szCs w:val="20"/>
              </w:rPr>
              <w:t>0</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1997</w:t>
            </w:r>
          </w:p>
        </w:tc>
        <w:tc>
          <w:tcPr>
            <w:tcW w:w="1409" w:type="dxa"/>
            <w:noWrap/>
            <w:vAlign w:val="center"/>
          </w:tcPr>
          <w:p w:rsidR="00AA6ACF" w:rsidRDefault="00AA6ACF" w:rsidP="00AA6ACF">
            <w:pPr>
              <w:jc w:val="center"/>
              <w:rPr>
                <w:sz w:val="20"/>
                <w:szCs w:val="20"/>
              </w:rPr>
            </w:pPr>
            <w:r>
              <w:rPr>
                <w:sz w:val="20"/>
                <w:szCs w:val="20"/>
              </w:rPr>
              <w:t>1</w:t>
            </w:r>
          </w:p>
        </w:tc>
        <w:tc>
          <w:tcPr>
            <w:tcW w:w="1069" w:type="dxa"/>
            <w:noWrap/>
            <w:vAlign w:val="center"/>
          </w:tcPr>
          <w:p w:rsidR="00AA6ACF" w:rsidRDefault="00AA6ACF" w:rsidP="00AA6ACF">
            <w:pPr>
              <w:jc w:val="center"/>
              <w:rPr>
                <w:sz w:val="20"/>
                <w:szCs w:val="20"/>
              </w:rPr>
            </w:pPr>
            <w:r>
              <w:rPr>
                <w:sz w:val="20"/>
                <w:szCs w:val="20"/>
              </w:rPr>
              <w:t>1</w:t>
            </w:r>
          </w:p>
        </w:tc>
        <w:tc>
          <w:tcPr>
            <w:tcW w:w="1030" w:type="dxa"/>
            <w:vAlign w:val="center"/>
          </w:tcPr>
          <w:p w:rsidR="00AA6ACF" w:rsidRDefault="00AA6ACF" w:rsidP="00AA6ACF">
            <w:pPr>
              <w:jc w:val="center"/>
              <w:rPr>
                <w:sz w:val="20"/>
                <w:szCs w:val="20"/>
              </w:rPr>
            </w:pPr>
            <w:r>
              <w:rPr>
                <w:sz w:val="20"/>
                <w:szCs w:val="20"/>
              </w:rPr>
              <w:t>1</w:t>
            </w:r>
          </w:p>
        </w:tc>
        <w:tc>
          <w:tcPr>
            <w:tcW w:w="1097" w:type="dxa"/>
            <w:noWrap/>
            <w:vAlign w:val="center"/>
          </w:tcPr>
          <w:p w:rsidR="00AA6ACF" w:rsidRDefault="00AA6ACF" w:rsidP="00AA6ACF">
            <w:pPr>
              <w:jc w:val="center"/>
              <w:rPr>
                <w:sz w:val="20"/>
                <w:szCs w:val="20"/>
              </w:rPr>
            </w:pPr>
            <w:r>
              <w:rPr>
                <w:sz w:val="20"/>
                <w:szCs w:val="20"/>
              </w:rPr>
              <w:t>0</w:t>
            </w:r>
          </w:p>
        </w:tc>
        <w:tc>
          <w:tcPr>
            <w:tcW w:w="1097" w:type="dxa"/>
            <w:vAlign w:val="center"/>
          </w:tcPr>
          <w:p w:rsidR="00AA6ACF" w:rsidRDefault="00AA6ACF" w:rsidP="00AA6ACF">
            <w:pPr>
              <w:jc w:val="center"/>
              <w:rPr>
                <w:sz w:val="20"/>
                <w:szCs w:val="20"/>
              </w:rPr>
            </w:pPr>
            <w:r>
              <w:rPr>
                <w:sz w:val="20"/>
                <w:szCs w:val="20"/>
              </w:rPr>
              <w:t>0</w:t>
            </w:r>
          </w:p>
        </w:tc>
        <w:tc>
          <w:tcPr>
            <w:tcW w:w="1097" w:type="dxa"/>
            <w:noWrap/>
            <w:vAlign w:val="center"/>
          </w:tcPr>
          <w:p w:rsidR="00AA6ACF" w:rsidRDefault="00AA6ACF" w:rsidP="00AA6ACF">
            <w:pPr>
              <w:jc w:val="center"/>
              <w:rPr>
                <w:sz w:val="20"/>
                <w:szCs w:val="20"/>
              </w:rPr>
            </w:pPr>
            <w:r>
              <w:rPr>
                <w:sz w:val="20"/>
                <w:szCs w:val="20"/>
              </w:rPr>
              <w:t>0</w:t>
            </w:r>
          </w:p>
        </w:tc>
      </w:tr>
    </w:tbl>
    <w:p w:rsidR="00AA6ACF" w:rsidRDefault="00AA6ACF" w:rsidP="00AA6ACF"/>
    <w:p w:rsidR="00AA6ACF" w:rsidRDefault="00AA6ACF" w:rsidP="00AA6ACF"/>
    <w:p w:rsidR="00AA6ACF" w:rsidRDefault="00AA6ACF" w:rsidP="00AA6ACF">
      <w:r>
        <w:rPr>
          <w:spacing w:val="-2"/>
        </w:rPr>
        <w:br w:type="page"/>
      </w:r>
    </w:p>
    <w:p w:rsidR="00AA6ACF" w:rsidRDefault="00AA6ACF" w:rsidP="00AA6ACF"/>
    <w:p w:rsidR="00AA6ACF" w:rsidRDefault="00AA6ACF" w:rsidP="00AA6ACF"/>
    <w:p w:rsidR="00AA6ACF" w:rsidRPr="001410DA" w:rsidRDefault="00AA6ACF" w:rsidP="00AA6ACF">
      <w:pPr>
        <w:jc w:val="center"/>
      </w:pPr>
      <w:r w:rsidRPr="001410DA">
        <w:t xml:space="preserve">Table </w:t>
      </w:r>
      <w:r>
        <w:t>3</w:t>
      </w:r>
      <w:r w:rsidRPr="001410DA">
        <w:t xml:space="preserve">.  Results from </w:t>
      </w:r>
      <w:r>
        <w:t>Färe</w:t>
      </w:r>
      <w:r w:rsidRPr="001410DA">
        <w:t>’s approach: textile industry</w:t>
      </w:r>
    </w:p>
    <w:p w:rsidR="00AA6ACF" w:rsidRDefault="00AA6ACF" w:rsidP="00AA6ACF">
      <w:pPr>
        <w:jc w:val="center"/>
      </w:pPr>
    </w:p>
    <w:tbl>
      <w:tblPr>
        <w:tblW w:w="768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15" w:type="dxa"/>
          <w:right w:w="115" w:type="dxa"/>
        </w:tblCellMar>
        <w:tblLook w:val="0000"/>
      </w:tblPr>
      <w:tblGrid>
        <w:gridCol w:w="841"/>
        <w:gridCol w:w="1409"/>
        <w:gridCol w:w="1069"/>
        <w:gridCol w:w="1036"/>
        <w:gridCol w:w="1142"/>
        <w:gridCol w:w="1033"/>
        <w:gridCol w:w="1155"/>
      </w:tblGrid>
      <w:tr w:rsidR="00AA6ACF">
        <w:trPr>
          <w:trHeight w:val="345"/>
          <w:jc w:val="center"/>
        </w:trPr>
        <w:tc>
          <w:tcPr>
            <w:tcW w:w="841" w:type="dxa"/>
            <w:vMerge w:val="restart"/>
            <w:noWrap/>
            <w:vAlign w:val="center"/>
          </w:tcPr>
          <w:p w:rsidR="00AA6ACF" w:rsidRDefault="00AA6ACF" w:rsidP="00AA6ACF">
            <w:pPr>
              <w:jc w:val="center"/>
              <w:rPr>
                <w:sz w:val="20"/>
                <w:szCs w:val="20"/>
              </w:rPr>
            </w:pPr>
          </w:p>
        </w:tc>
        <w:tc>
          <w:tcPr>
            <w:tcW w:w="1409" w:type="dxa"/>
            <w:vMerge w:val="restart"/>
            <w:noWrap/>
            <w:vAlign w:val="center"/>
          </w:tcPr>
          <w:p w:rsidR="00AA6ACF" w:rsidRDefault="00AA6ACF" w:rsidP="00AA6ACF">
            <w:pPr>
              <w:jc w:val="center"/>
              <w:rPr>
                <w:sz w:val="20"/>
                <w:szCs w:val="20"/>
              </w:rPr>
            </w:pPr>
            <w:r>
              <w:rPr>
                <w:sz w:val="20"/>
                <w:szCs w:val="20"/>
              </w:rPr>
              <w:t>Overall technical efficiency</w:t>
            </w:r>
          </w:p>
        </w:tc>
        <w:tc>
          <w:tcPr>
            <w:tcW w:w="1069" w:type="dxa"/>
            <w:vMerge w:val="restart"/>
            <w:noWrap/>
            <w:vAlign w:val="center"/>
          </w:tcPr>
          <w:p w:rsidR="00AA6ACF" w:rsidRDefault="00AA6ACF" w:rsidP="00AA6ACF">
            <w:pPr>
              <w:jc w:val="center"/>
              <w:rPr>
                <w:sz w:val="20"/>
                <w:szCs w:val="20"/>
              </w:rPr>
            </w:pPr>
            <w:r>
              <w:rPr>
                <w:sz w:val="20"/>
                <w:szCs w:val="20"/>
              </w:rPr>
              <w:t>Pure technical efficiency</w:t>
            </w:r>
          </w:p>
        </w:tc>
        <w:tc>
          <w:tcPr>
            <w:tcW w:w="2178" w:type="dxa"/>
            <w:gridSpan w:val="2"/>
            <w:vAlign w:val="center"/>
          </w:tcPr>
          <w:p w:rsidR="00AA6ACF" w:rsidRDefault="00AA6ACF" w:rsidP="00AA6ACF">
            <w:pPr>
              <w:jc w:val="center"/>
              <w:rPr>
                <w:sz w:val="20"/>
                <w:szCs w:val="20"/>
              </w:rPr>
            </w:pPr>
            <w:r>
              <w:rPr>
                <w:sz w:val="20"/>
                <w:szCs w:val="20"/>
              </w:rPr>
              <w:t>VRS-based method</w:t>
            </w:r>
          </w:p>
        </w:tc>
        <w:tc>
          <w:tcPr>
            <w:tcW w:w="2188" w:type="dxa"/>
            <w:gridSpan w:val="2"/>
            <w:shd w:val="clear" w:color="auto" w:fill="auto"/>
            <w:vAlign w:val="center"/>
          </w:tcPr>
          <w:p w:rsidR="00AA6ACF" w:rsidRDefault="00AA6ACF" w:rsidP="00AA6ACF">
            <w:pPr>
              <w:jc w:val="center"/>
              <w:rPr>
                <w:sz w:val="20"/>
                <w:szCs w:val="20"/>
              </w:rPr>
            </w:pPr>
            <w:smartTag w:uri="urn:schemas-microsoft-com:office:smarttags" w:element="stockticker">
              <w:r>
                <w:rPr>
                  <w:sz w:val="20"/>
                  <w:szCs w:val="20"/>
                </w:rPr>
                <w:t>CRS</w:t>
              </w:r>
            </w:smartTag>
            <w:r>
              <w:rPr>
                <w:sz w:val="20"/>
                <w:szCs w:val="20"/>
              </w:rPr>
              <w:t>-based method</w:t>
            </w:r>
          </w:p>
        </w:tc>
      </w:tr>
      <w:tr w:rsidR="00AA6ACF">
        <w:trPr>
          <w:trHeight w:val="345"/>
          <w:jc w:val="center"/>
        </w:trPr>
        <w:tc>
          <w:tcPr>
            <w:tcW w:w="841" w:type="dxa"/>
            <w:vMerge/>
            <w:noWrap/>
            <w:vAlign w:val="center"/>
          </w:tcPr>
          <w:p w:rsidR="00AA6ACF" w:rsidRDefault="00AA6ACF" w:rsidP="00AA6ACF">
            <w:pPr>
              <w:jc w:val="center"/>
              <w:rPr>
                <w:sz w:val="20"/>
                <w:szCs w:val="20"/>
              </w:rPr>
            </w:pPr>
          </w:p>
        </w:tc>
        <w:tc>
          <w:tcPr>
            <w:tcW w:w="1409" w:type="dxa"/>
            <w:vMerge/>
            <w:noWrap/>
            <w:vAlign w:val="center"/>
          </w:tcPr>
          <w:p w:rsidR="00AA6ACF" w:rsidRDefault="00AA6ACF" w:rsidP="00AA6ACF">
            <w:pPr>
              <w:jc w:val="center"/>
              <w:rPr>
                <w:sz w:val="20"/>
                <w:szCs w:val="20"/>
              </w:rPr>
            </w:pPr>
          </w:p>
        </w:tc>
        <w:tc>
          <w:tcPr>
            <w:tcW w:w="1069" w:type="dxa"/>
            <w:vMerge/>
            <w:noWrap/>
            <w:vAlign w:val="center"/>
          </w:tcPr>
          <w:p w:rsidR="00AA6ACF" w:rsidRDefault="00AA6ACF" w:rsidP="00AA6ACF">
            <w:pPr>
              <w:jc w:val="center"/>
              <w:rPr>
                <w:sz w:val="20"/>
                <w:szCs w:val="20"/>
              </w:rPr>
            </w:pPr>
          </w:p>
        </w:tc>
        <w:tc>
          <w:tcPr>
            <w:tcW w:w="1036" w:type="dxa"/>
            <w:vAlign w:val="center"/>
          </w:tcPr>
          <w:p w:rsidR="00AA6ACF" w:rsidRDefault="00AA6ACF" w:rsidP="00173179">
            <w:pPr>
              <w:spacing w:before="60" w:after="60"/>
              <w:jc w:val="center"/>
              <w:rPr>
                <w:sz w:val="20"/>
                <w:szCs w:val="20"/>
              </w:rPr>
            </w:pPr>
            <w:r>
              <w:rPr>
                <w:sz w:val="20"/>
                <w:szCs w:val="20"/>
              </w:rPr>
              <w:t>Scale efficiency</w:t>
            </w:r>
          </w:p>
        </w:tc>
        <w:tc>
          <w:tcPr>
            <w:tcW w:w="1142" w:type="dxa"/>
            <w:vAlign w:val="center"/>
          </w:tcPr>
          <w:p w:rsidR="00AA6ACF" w:rsidRDefault="00AA6ACF" w:rsidP="00173179">
            <w:pPr>
              <w:spacing w:before="60" w:after="60"/>
              <w:jc w:val="center"/>
              <w:rPr>
                <w:sz w:val="20"/>
                <w:szCs w:val="20"/>
              </w:rPr>
            </w:pPr>
            <w:r>
              <w:rPr>
                <w:sz w:val="20"/>
                <w:szCs w:val="20"/>
              </w:rPr>
              <w:t>Congestion efficiency</w:t>
            </w:r>
          </w:p>
        </w:tc>
        <w:tc>
          <w:tcPr>
            <w:tcW w:w="1033" w:type="dxa"/>
            <w:shd w:val="clear" w:color="auto" w:fill="auto"/>
            <w:vAlign w:val="center"/>
          </w:tcPr>
          <w:p w:rsidR="00AA6ACF" w:rsidRDefault="00AA6ACF" w:rsidP="00173179">
            <w:pPr>
              <w:spacing w:before="60" w:after="60"/>
              <w:jc w:val="center"/>
              <w:rPr>
                <w:sz w:val="20"/>
                <w:szCs w:val="20"/>
              </w:rPr>
            </w:pPr>
            <w:r>
              <w:rPr>
                <w:sz w:val="20"/>
                <w:szCs w:val="20"/>
              </w:rPr>
              <w:t>Scale efficiency</w:t>
            </w:r>
          </w:p>
        </w:tc>
        <w:tc>
          <w:tcPr>
            <w:tcW w:w="1155" w:type="dxa"/>
            <w:shd w:val="clear" w:color="auto" w:fill="auto"/>
            <w:vAlign w:val="center"/>
          </w:tcPr>
          <w:p w:rsidR="00AA6ACF" w:rsidRDefault="00AA6ACF" w:rsidP="00173179">
            <w:pPr>
              <w:spacing w:before="60" w:after="60"/>
              <w:jc w:val="center"/>
              <w:rPr>
                <w:sz w:val="20"/>
                <w:szCs w:val="20"/>
              </w:rPr>
            </w:pPr>
            <w:r>
              <w:rPr>
                <w:sz w:val="20"/>
                <w:szCs w:val="20"/>
              </w:rPr>
              <w:t>Congestion efficiency</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1981</w:t>
            </w:r>
          </w:p>
        </w:tc>
        <w:tc>
          <w:tcPr>
            <w:tcW w:w="1409" w:type="dxa"/>
            <w:noWrap/>
            <w:vAlign w:val="center"/>
          </w:tcPr>
          <w:p w:rsidR="00AA6ACF" w:rsidRDefault="00AA6ACF" w:rsidP="00AA6ACF">
            <w:pPr>
              <w:jc w:val="center"/>
              <w:rPr>
                <w:sz w:val="20"/>
                <w:szCs w:val="20"/>
              </w:rPr>
            </w:pPr>
            <w:r>
              <w:rPr>
                <w:sz w:val="20"/>
                <w:szCs w:val="20"/>
              </w:rPr>
              <w:t>0.276</w:t>
            </w:r>
          </w:p>
        </w:tc>
        <w:tc>
          <w:tcPr>
            <w:tcW w:w="1069" w:type="dxa"/>
            <w:noWrap/>
            <w:vAlign w:val="center"/>
          </w:tcPr>
          <w:p w:rsidR="00AA6ACF" w:rsidRDefault="00AA6ACF" w:rsidP="00AA6ACF">
            <w:pPr>
              <w:jc w:val="center"/>
              <w:rPr>
                <w:sz w:val="20"/>
                <w:szCs w:val="20"/>
              </w:rPr>
            </w:pPr>
            <w:r>
              <w:rPr>
                <w:sz w:val="20"/>
                <w:szCs w:val="20"/>
              </w:rPr>
              <w:t>1</w:t>
            </w:r>
          </w:p>
        </w:tc>
        <w:tc>
          <w:tcPr>
            <w:tcW w:w="1036" w:type="dxa"/>
            <w:vAlign w:val="center"/>
          </w:tcPr>
          <w:p w:rsidR="00AA6ACF" w:rsidRDefault="00AA6ACF" w:rsidP="00AA6ACF">
            <w:pPr>
              <w:jc w:val="center"/>
              <w:rPr>
                <w:sz w:val="20"/>
                <w:szCs w:val="20"/>
              </w:rPr>
            </w:pPr>
            <w:r>
              <w:rPr>
                <w:sz w:val="20"/>
                <w:szCs w:val="20"/>
              </w:rPr>
              <w:t>0.276</w:t>
            </w:r>
          </w:p>
        </w:tc>
        <w:tc>
          <w:tcPr>
            <w:tcW w:w="1142" w:type="dxa"/>
            <w:noWrap/>
            <w:vAlign w:val="center"/>
          </w:tcPr>
          <w:p w:rsidR="00AA6ACF" w:rsidRDefault="00AA6ACF" w:rsidP="00AA6ACF">
            <w:pPr>
              <w:jc w:val="center"/>
              <w:rPr>
                <w:sz w:val="20"/>
                <w:szCs w:val="20"/>
              </w:rPr>
            </w:pPr>
            <w:r>
              <w:rPr>
                <w:sz w:val="20"/>
                <w:szCs w:val="20"/>
              </w:rPr>
              <w:t>1</w:t>
            </w:r>
          </w:p>
        </w:tc>
        <w:tc>
          <w:tcPr>
            <w:tcW w:w="1033" w:type="dxa"/>
            <w:vAlign w:val="center"/>
          </w:tcPr>
          <w:p w:rsidR="00AA6ACF" w:rsidRDefault="00AA6ACF" w:rsidP="00AA6ACF">
            <w:pPr>
              <w:jc w:val="center"/>
              <w:rPr>
                <w:sz w:val="20"/>
                <w:szCs w:val="20"/>
              </w:rPr>
            </w:pPr>
            <w:r>
              <w:rPr>
                <w:sz w:val="20"/>
                <w:szCs w:val="20"/>
              </w:rPr>
              <w:t>0.969</w:t>
            </w:r>
          </w:p>
        </w:tc>
        <w:tc>
          <w:tcPr>
            <w:tcW w:w="1155" w:type="dxa"/>
            <w:noWrap/>
            <w:vAlign w:val="center"/>
          </w:tcPr>
          <w:p w:rsidR="00AA6ACF" w:rsidRDefault="00AA6ACF" w:rsidP="00AA6ACF">
            <w:pPr>
              <w:jc w:val="center"/>
              <w:rPr>
                <w:sz w:val="20"/>
                <w:szCs w:val="20"/>
              </w:rPr>
            </w:pPr>
            <w:r>
              <w:rPr>
                <w:sz w:val="20"/>
                <w:szCs w:val="20"/>
              </w:rPr>
              <w:t>0.284 K</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1982</w:t>
            </w:r>
          </w:p>
        </w:tc>
        <w:tc>
          <w:tcPr>
            <w:tcW w:w="1409" w:type="dxa"/>
            <w:noWrap/>
            <w:vAlign w:val="center"/>
          </w:tcPr>
          <w:p w:rsidR="00AA6ACF" w:rsidRDefault="00AA6ACF" w:rsidP="00AA6ACF">
            <w:pPr>
              <w:jc w:val="center"/>
              <w:rPr>
                <w:sz w:val="20"/>
                <w:szCs w:val="20"/>
              </w:rPr>
            </w:pPr>
            <w:r>
              <w:rPr>
                <w:sz w:val="20"/>
                <w:szCs w:val="20"/>
              </w:rPr>
              <w:t>0.263</w:t>
            </w:r>
          </w:p>
        </w:tc>
        <w:tc>
          <w:tcPr>
            <w:tcW w:w="1069" w:type="dxa"/>
            <w:noWrap/>
            <w:vAlign w:val="center"/>
          </w:tcPr>
          <w:p w:rsidR="00AA6ACF" w:rsidRDefault="00AA6ACF" w:rsidP="00AA6ACF">
            <w:pPr>
              <w:jc w:val="center"/>
              <w:rPr>
                <w:sz w:val="20"/>
                <w:szCs w:val="20"/>
              </w:rPr>
            </w:pPr>
            <w:r>
              <w:rPr>
                <w:sz w:val="20"/>
                <w:szCs w:val="20"/>
              </w:rPr>
              <w:t>1</w:t>
            </w:r>
          </w:p>
        </w:tc>
        <w:tc>
          <w:tcPr>
            <w:tcW w:w="1036" w:type="dxa"/>
            <w:vAlign w:val="center"/>
          </w:tcPr>
          <w:p w:rsidR="00AA6ACF" w:rsidRDefault="00AA6ACF" w:rsidP="00AA6ACF">
            <w:pPr>
              <w:jc w:val="center"/>
              <w:rPr>
                <w:sz w:val="20"/>
                <w:szCs w:val="20"/>
              </w:rPr>
            </w:pPr>
            <w:r>
              <w:rPr>
                <w:sz w:val="20"/>
                <w:szCs w:val="20"/>
              </w:rPr>
              <w:t>0.279</w:t>
            </w:r>
          </w:p>
        </w:tc>
        <w:tc>
          <w:tcPr>
            <w:tcW w:w="1142" w:type="dxa"/>
            <w:noWrap/>
            <w:vAlign w:val="center"/>
          </w:tcPr>
          <w:p w:rsidR="00AA6ACF" w:rsidRDefault="00AA6ACF" w:rsidP="00AA6ACF">
            <w:pPr>
              <w:jc w:val="center"/>
              <w:rPr>
                <w:sz w:val="20"/>
                <w:szCs w:val="20"/>
              </w:rPr>
            </w:pPr>
            <w:r>
              <w:rPr>
                <w:sz w:val="20"/>
                <w:szCs w:val="20"/>
              </w:rPr>
              <w:t>0.945 K</w:t>
            </w:r>
          </w:p>
        </w:tc>
        <w:tc>
          <w:tcPr>
            <w:tcW w:w="1033" w:type="dxa"/>
            <w:vAlign w:val="center"/>
          </w:tcPr>
          <w:p w:rsidR="00AA6ACF" w:rsidRDefault="00AA6ACF" w:rsidP="00AA6ACF">
            <w:pPr>
              <w:jc w:val="center"/>
              <w:rPr>
                <w:sz w:val="20"/>
                <w:szCs w:val="20"/>
              </w:rPr>
            </w:pPr>
            <w:r>
              <w:rPr>
                <w:sz w:val="20"/>
                <w:szCs w:val="20"/>
              </w:rPr>
              <w:t>1</w:t>
            </w:r>
          </w:p>
        </w:tc>
        <w:tc>
          <w:tcPr>
            <w:tcW w:w="1155" w:type="dxa"/>
            <w:noWrap/>
            <w:vAlign w:val="center"/>
          </w:tcPr>
          <w:p w:rsidR="00AA6ACF" w:rsidRDefault="00AA6ACF" w:rsidP="00AA6ACF">
            <w:pPr>
              <w:jc w:val="center"/>
              <w:rPr>
                <w:sz w:val="20"/>
                <w:szCs w:val="20"/>
              </w:rPr>
            </w:pPr>
            <w:r>
              <w:rPr>
                <w:sz w:val="20"/>
                <w:szCs w:val="20"/>
              </w:rPr>
              <w:t>0.263 K</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1983</w:t>
            </w:r>
          </w:p>
        </w:tc>
        <w:tc>
          <w:tcPr>
            <w:tcW w:w="1409" w:type="dxa"/>
            <w:noWrap/>
            <w:vAlign w:val="center"/>
          </w:tcPr>
          <w:p w:rsidR="00AA6ACF" w:rsidRDefault="00AA6ACF" w:rsidP="00AA6ACF">
            <w:pPr>
              <w:jc w:val="center"/>
              <w:rPr>
                <w:sz w:val="20"/>
                <w:szCs w:val="20"/>
              </w:rPr>
            </w:pPr>
            <w:r>
              <w:rPr>
                <w:sz w:val="20"/>
                <w:szCs w:val="20"/>
              </w:rPr>
              <w:t>0.288</w:t>
            </w:r>
          </w:p>
        </w:tc>
        <w:tc>
          <w:tcPr>
            <w:tcW w:w="1069" w:type="dxa"/>
            <w:noWrap/>
            <w:vAlign w:val="center"/>
          </w:tcPr>
          <w:p w:rsidR="00AA6ACF" w:rsidRDefault="00AA6ACF" w:rsidP="00AA6ACF">
            <w:pPr>
              <w:jc w:val="center"/>
              <w:rPr>
                <w:sz w:val="20"/>
                <w:szCs w:val="20"/>
              </w:rPr>
            </w:pPr>
            <w:r>
              <w:rPr>
                <w:sz w:val="20"/>
                <w:szCs w:val="20"/>
              </w:rPr>
              <w:t>1</w:t>
            </w:r>
          </w:p>
        </w:tc>
        <w:tc>
          <w:tcPr>
            <w:tcW w:w="1036" w:type="dxa"/>
            <w:vAlign w:val="center"/>
          </w:tcPr>
          <w:p w:rsidR="00AA6ACF" w:rsidRDefault="00AA6ACF" w:rsidP="00AA6ACF">
            <w:pPr>
              <w:jc w:val="center"/>
              <w:rPr>
                <w:sz w:val="20"/>
                <w:szCs w:val="20"/>
              </w:rPr>
            </w:pPr>
            <w:r>
              <w:rPr>
                <w:sz w:val="20"/>
                <w:szCs w:val="20"/>
              </w:rPr>
              <w:t>0.288</w:t>
            </w:r>
          </w:p>
        </w:tc>
        <w:tc>
          <w:tcPr>
            <w:tcW w:w="1142" w:type="dxa"/>
            <w:noWrap/>
            <w:vAlign w:val="center"/>
          </w:tcPr>
          <w:p w:rsidR="00AA6ACF" w:rsidRDefault="00AA6ACF" w:rsidP="00AA6ACF">
            <w:pPr>
              <w:jc w:val="center"/>
              <w:rPr>
                <w:sz w:val="20"/>
                <w:szCs w:val="20"/>
              </w:rPr>
            </w:pPr>
            <w:r>
              <w:rPr>
                <w:sz w:val="20"/>
                <w:szCs w:val="20"/>
              </w:rPr>
              <w:t>1</w:t>
            </w:r>
          </w:p>
        </w:tc>
        <w:tc>
          <w:tcPr>
            <w:tcW w:w="1033" w:type="dxa"/>
            <w:vAlign w:val="center"/>
          </w:tcPr>
          <w:p w:rsidR="00AA6ACF" w:rsidRDefault="00AA6ACF" w:rsidP="00AA6ACF">
            <w:pPr>
              <w:jc w:val="center"/>
              <w:rPr>
                <w:sz w:val="20"/>
                <w:szCs w:val="20"/>
              </w:rPr>
            </w:pPr>
            <w:r>
              <w:rPr>
                <w:sz w:val="20"/>
                <w:szCs w:val="20"/>
              </w:rPr>
              <w:t>0.288</w:t>
            </w:r>
          </w:p>
        </w:tc>
        <w:tc>
          <w:tcPr>
            <w:tcW w:w="1155" w:type="dxa"/>
            <w:noWrap/>
            <w:vAlign w:val="center"/>
          </w:tcPr>
          <w:p w:rsidR="00AA6ACF" w:rsidRDefault="00AA6ACF" w:rsidP="00AA6ACF">
            <w:pPr>
              <w:jc w:val="center"/>
              <w:rPr>
                <w:sz w:val="20"/>
                <w:szCs w:val="20"/>
              </w:rPr>
            </w:pPr>
            <w:r>
              <w:rPr>
                <w:sz w:val="20"/>
                <w:szCs w:val="20"/>
              </w:rPr>
              <w:t>1</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1984</w:t>
            </w:r>
          </w:p>
        </w:tc>
        <w:tc>
          <w:tcPr>
            <w:tcW w:w="1409" w:type="dxa"/>
            <w:noWrap/>
            <w:vAlign w:val="center"/>
          </w:tcPr>
          <w:p w:rsidR="00AA6ACF" w:rsidRDefault="00AA6ACF" w:rsidP="00AA6ACF">
            <w:pPr>
              <w:jc w:val="center"/>
              <w:rPr>
                <w:sz w:val="20"/>
                <w:szCs w:val="20"/>
              </w:rPr>
            </w:pPr>
            <w:r>
              <w:rPr>
                <w:sz w:val="20"/>
                <w:szCs w:val="20"/>
              </w:rPr>
              <w:t>0.325</w:t>
            </w:r>
          </w:p>
        </w:tc>
        <w:tc>
          <w:tcPr>
            <w:tcW w:w="1069" w:type="dxa"/>
            <w:noWrap/>
            <w:vAlign w:val="center"/>
          </w:tcPr>
          <w:p w:rsidR="00AA6ACF" w:rsidRDefault="00AA6ACF" w:rsidP="00AA6ACF">
            <w:pPr>
              <w:jc w:val="center"/>
              <w:rPr>
                <w:sz w:val="20"/>
                <w:szCs w:val="20"/>
              </w:rPr>
            </w:pPr>
            <w:r>
              <w:rPr>
                <w:sz w:val="20"/>
                <w:szCs w:val="20"/>
              </w:rPr>
              <w:t>1</w:t>
            </w:r>
          </w:p>
        </w:tc>
        <w:tc>
          <w:tcPr>
            <w:tcW w:w="1036" w:type="dxa"/>
            <w:vAlign w:val="center"/>
          </w:tcPr>
          <w:p w:rsidR="00AA6ACF" w:rsidRDefault="00AA6ACF" w:rsidP="00AA6ACF">
            <w:pPr>
              <w:jc w:val="center"/>
              <w:rPr>
                <w:sz w:val="20"/>
                <w:szCs w:val="20"/>
              </w:rPr>
            </w:pPr>
            <w:r>
              <w:rPr>
                <w:sz w:val="20"/>
                <w:szCs w:val="20"/>
              </w:rPr>
              <w:t>0.325</w:t>
            </w:r>
          </w:p>
        </w:tc>
        <w:tc>
          <w:tcPr>
            <w:tcW w:w="1142" w:type="dxa"/>
            <w:noWrap/>
            <w:vAlign w:val="center"/>
          </w:tcPr>
          <w:p w:rsidR="00AA6ACF" w:rsidRDefault="00AA6ACF" w:rsidP="00AA6ACF">
            <w:pPr>
              <w:jc w:val="center"/>
              <w:rPr>
                <w:sz w:val="20"/>
                <w:szCs w:val="20"/>
              </w:rPr>
            </w:pPr>
            <w:r>
              <w:rPr>
                <w:sz w:val="20"/>
                <w:szCs w:val="20"/>
              </w:rPr>
              <w:t>1</w:t>
            </w:r>
          </w:p>
        </w:tc>
        <w:tc>
          <w:tcPr>
            <w:tcW w:w="1033" w:type="dxa"/>
            <w:vAlign w:val="center"/>
          </w:tcPr>
          <w:p w:rsidR="00AA6ACF" w:rsidRDefault="00AA6ACF" w:rsidP="00AA6ACF">
            <w:pPr>
              <w:jc w:val="center"/>
              <w:rPr>
                <w:sz w:val="20"/>
                <w:szCs w:val="20"/>
              </w:rPr>
            </w:pPr>
            <w:r>
              <w:rPr>
                <w:sz w:val="20"/>
                <w:szCs w:val="20"/>
              </w:rPr>
              <w:t>0.365</w:t>
            </w:r>
          </w:p>
        </w:tc>
        <w:tc>
          <w:tcPr>
            <w:tcW w:w="1155" w:type="dxa"/>
            <w:noWrap/>
            <w:vAlign w:val="center"/>
          </w:tcPr>
          <w:p w:rsidR="00AA6ACF" w:rsidRDefault="00AA6ACF" w:rsidP="00AA6ACF">
            <w:pPr>
              <w:jc w:val="center"/>
              <w:rPr>
                <w:sz w:val="20"/>
                <w:szCs w:val="20"/>
              </w:rPr>
            </w:pPr>
            <w:r>
              <w:rPr>
                <w:sz w:val="20"/>
                <w:szCs w:val="20"/>
              </w:rPr>
              <w:t>0.890 K</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1985</w:t>
            </w:r>
          </w:p>
        </w:tc>
        <w:tc>
          <w:tcPr>
            <w:tcW w:w="1409" w:type="dxa"/>
            <w:noWrap/>
            <w:vAlign w:val="center"/>
          </w:tcPr>
          <w:p w:rsidR="00AA6ACF" w:rsidRDefault="00AA6ACF" w:rsidP="00AA6ACF">
            <w:pPr>
              <w:jc w:val="center"/>
              <w:rPr>
                <w:sz w:val="20"/>
                <w:szCs w:val="20"/>
              </w:rPr>
            </w:pPr>
            <w:r>
              <w:rPr>
                <w:sz w:val="20"/>
                <w:szCs w:val="20"/>
              </w:rPr>
              <w:t>0.493</w:t>
            </w:r>
          </w:p>
        </w:tc>
        <w:tc>
          <w:tcPr>
            <w:tcW w:w="1069" w:type="dxa"/>
            <w:noWrap/>
            <w:vAlign w:val="center"/>
          </w:tcPr>
          <w:p w:rsidR="00AA6ACF" w:rsidRDefault="00AA6ACF" w:rsidP="00AA6ACF">
            <w:pPr>
              <w:jc w:val="center"/>
              <w:rPr>
                <w:sz w:val="20"/>
                <w:szCs w:val="20"/>
              </w:rPr>
            </w:pPr>
            <w:r>
              <w:rPr>
                <w:sz w:val="20"/>
                <w:szCs w:val="20"/>
              </w:rPr>
              <w:t>1</w:t>
            </w:r>
          </w:p>
        </w:tc>
        <w:tc>
          <w:tcPr>
            <w:tcW w:w="1036" w:type="dxa"/>
            <w:vAlign w:val="center"/>
          </w:tcPr>
          <w:p w:rsidR="00AA6ACF" w:rsidRDefault="00AA6ACF" w:rsidP="00AA6ACF">
            <w:pPr>
              <w:jc w:val="center"/>
              <w:rPr>
                <w:sz w:val="20"/>
                <w:szCs w:val="20"/>
              </w:rPr>
            </w:pPr>
            <w:r>
              <w:rPr>
                <w:sz w:val="20"/>
                <w:szCs w:val="20"/>
              </w:rPr>
              <w:t>0.493</w:t>
            </w:r>
          </w:p>
        </w:tc>
        <w:tc>
          <w:tcPr>
            <w:tcW w:w="1142" w:type="dxa"/>
            <w:noWrap/>
            <w:vAlign w:val="center"/>
          </w:tcPr>
          <w:p w:rsidR="00AA6ACF" w:rsidRDefault="00AA6ACF" w:rsidP="00AA6ACF">
            <w:pPr>
              <w:jc w:val="center"/>
              <w:rPr>
                <w:sz w:val="20"/>
                <w:szCs w:val="20"/>
              </w:rPr>
            </w:pPr>
            <w:r>
              <w:rPr>
                <w:sz w:val="20"/>
                <w:szCs w:val="20"/>
              </w:rPr>
              <w:t>1</w:t>
            </w:r>
          </w:p>
        </w:tc>
        <w:tc>
          <w:tcPr>
            <w:tcW w:w="1033" w:type="dxa"/>
            <w:vAlign w:val="center"/>
          </w:tcPr>
          <w:p w:rsidR="00AA6ACF" w:rsidRDefault="00AA6ACF" w:rsidP="00AA6ACF">
            <w:pPr>
              <w:jc w:val="center"/>
              <w:rPr>
                <w:sz w:val="20"/>
                <w:szCs w:val="20"/>
              </w:rPr>
            </w:pPr>
            <w:r>
              <w:rPr>
                <w:sz w:val="20"/>
                <w:szCs w:val="20"/>
              </w:rPr>
              <w:t>0.548</w:t>
            </w:r>
          </w:p>
        </w:tc>
        <w:tc>
          <w:tcPr>
            <w:tcW w:w="1155" w:type="dxa"/>
            <w:noWrap/>
            <w:vAlign w:val="center"/>
          </w:tcPr>
          <w:p w:rsidR="00AA6ACF" w:rsidRDefault="00AA6ACF" w:rsidP="00AA6ACF">
            <w:pPr>
              <w:jc w:val="center"/>
              <w:rPr>
                <w:sz w:val="20"/>
                <w:szCs w:val="20"/>
              </w:rPr>
            </w:pPr>
            <w:r>
              <w:rPr>
                <w:sz w:val="20"/>
                <w:szCs w:val="20"/>
              </w:rPr>
              <w:t>0.900 L</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1986</w:t>
            </w:r>
          </w:p>
        </w:tc>
        <w:tc>
          <w:tcPr>
            <w:tcW w:w="1409" w:type="dxa"/>
            <w:noWrap/>
            <w:vAlign w:val="center"/>
          </w:tcPr>
          <w:p w:rsidR="00AA6ACF" w:rsidRDefault="00AA6ACF" w:rsidP="00AA6ACF">
            <w:pPr>
              <w:jc w:val="center"/>
              <w:rPr>
                <w:sz w:val="20"/>
                <w:szCs w:val="20"/>
              </w:rPr>
            </w:pPr>
            <w:r>
              <w:rPr>
                <w:sz w:val="20"/>
                <w:szCs w:val="20"/>
              </w:rPr>
              <w:t>0.447</w:t>
            </w:r>
          </w:p>
        </w:tc>
        <w:tc>
          <w:tcPr>
            <w:tcW w:w="1069" w:type="dxa"/>
            <w:noWrap/>
            <w:vAlign w:val="center"/>
          </w:tcPr>
          <w:p w:rsidR="00AA6ACF" w:rsidRDefault="00AA6ACF" w:rsidP="00AA6ACF">
            <w:pPr>
              <w:jc w:val="center"/>
              <w:rPr>
                <w:sz w:val="20"/>
                <w:szCs w:val="20"/>
              </w:rPr>
            </w:pPr>
            <w:r>
              <w:rPr>
                <w:sz w:val="20"/>
                <w:szCs w:val="20"/>
              </w:rPr>
              <w:t>0.944</w:t>
            </w:r>
          </w:p>
        </w:tc>
        <w:tc>
          <w:tcPr>
            <w:tcW w:w="1036" w:type="dxa"/>
            <w:vAlign w:val="center"/>
          </w:tcPr>
          <w:p w:rsidR="00AA6ACF" w:rsidRDefault="00AA6ACF" w:rsidP="00AA6ACF">
            <w:pPr>
              <w:jc w:val="center"/>
              <w:rPr>
                <w:sz w:val="20"/>
                <w:szCs w:val="20"/>
              </w:rPr>
            </w:pPr>
            <w:r>
              <w:rPr>
                <w:sz w:val="20"/>
                <w:szCs w:val="20"/>
              </w:rPr>
              <w:t>0.473</w:t>
            </w:r>
          </w:p>
        </w:tc>
        <w:tc>
          <w:tcPr>
            <w:tcW w:w="1142" w:type="dxa"/>
            <w:noWrap/>
            <w:vAlign w:val="center"/>
          </w:tcPr>
          <w:p w:rsidR="00AA6ACF" w:rsidRDefault="00AA6ACF" w:rsidP="00AA6ACF">
            <w:pPr>
              <w:jc w:val="center"/>
              <w:rPr>
                <w:sz w:val="20"/>
                <w:szCs w:val="20"/>
              </w:rPr>
            </w:pPr>
            <w:r>
              <w:rPr>
                <w:sz w:val="20"/>
                <w:szCs w:val="20"/>
              </w:rPr>
              <w:t>1</w:t>
            </w:r>
          </w:p>
        </w:tc>
        <w:tc>
          <w:tcPr>
            <w:tcW w:w="1033" w:type="dxa"/>
            <w:vAlign w:val="center"/>
          </w:tcPr>
          <w:p w:rsidR="00AA6ACF" w:rsidRDefault="00AA6ACF" w:rsidP="00AA6ACF">
            <w:pPr>
              <w:jc w:val="center"/>
              <w:rPr>
                <w:sz w:val="20"/>
                <w:szCs w:val="20"/>
              </w:rPr>
            </w:pPr>
            <w:r>
              <w:rPr>
                <w:sz w:val="20"/>
                <w:szCs w:val="20"/>
              </w:rPr>
              <w:t>0.524</w:t>
            </w:r>
          </w:p>
        </w:tc>
        <w:tc>
          <w:tcPr>
            <w:tcW w:w="1155" w:type="dxa"/>
            <w:noWrap/>
            <w:vAlign w:val="center"/>
          </w:tcPr>
          <w:p w:rsidR="00AA6ACF" w:rsidRDefault="00AA6ACF" w:rsidP="00AA6ACF">
            <w:pPr>
              <w:jc w:val="center"/>
              <w:rPr>
                <w:sz w:val="20"/>
                <w:szCs w:val="20"/>
              </w:rPr>
            </w:pPr>
            <w:r>
              <w:rPr>
                <w:sz w:val="20"/>
                <w:szCs w:val="20"/>
              </w:rPr>
              <w:t>0.903 L</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1987</w:t>
            </w:r>
          </w:p>
        </w:tc>
        <w:tc>
          <w:tcPr>
            <w:tcW w:w="1409" w:type="dxa"/>
            <w:noWrap/>
            <w:vAlign w:val="center"/>
          </w:tcPr>
          <w:p w:rsidR="00AA6ACF" w:rsidRDefault="00AA6ACF" w:rsidP="00AA6ACF">
            <w:pPr>
              <w:jc w:val="center"/>
              <w:rPr>
                <w:sz w:val="20"/>
                <w:szCs w:val="20"/>
              </w:rPr>
            </w:pPr>
            <w:r>
              <w:rPr>
                <w:sz w:val="20"/>
                <w:szCs w:val="20"/>
              </w:rPr>
              <w:t>0.433</w:t>
            </w:r>
          </w:p>
        </w:tc>
        <w:tc>
          <w:tcPr>
            <w:tcW w:w="1069" w:type="dxa"/>
            <w:noWrap/>
            <w:vAlign w:val="center"/>
          </w:tcPr>
          <w:p w:rsidR="00AA6ACF" w:rsidRDefault="00AA6ACF" w:rsidP="00AA6ACF">
            <w:pPr>
              <w:jc w:val="center"/>
              <w:rPr>
                <w:sz w:val="20"/>
                <w:szCs w:val="20"/>
              </w:rPr>
            </w:pPr>
            <w:r>
              <w:rPr>
                <w:sz w:val="20"/>
                <w:szCs w:val="20"/>
              </w:rPr>
              <w:t>0.864</w:t>
            </w:r>
          </w:p>
        </w:tc>
        <w:tc>
          <w:tcPr>
            <w:tcW w:w="1036" w:type="dxa"/>
            <w:vAlign w:val="center"/>
          </w:tcPr>
          <w:p w:rsidR="00AA6ACF" w:rsidRDefault="00AA6ACF" w:rsidP="00AA6ACF">
            <w:pPr>
              <w:jc w:val="center"/>
              <w:rPr>
                <w:sz w:val="20"/>
                <w:szCs w:val="20"/>
              </w:rPr>
            </w:pPr>
            <w:r>
              <w:rPr>
                <w:sz w:val="20"/>
                <w:szCs w:val="20"/>
              </w:rPr>
              <w:t>0.501</w:t>
            </w:r>
          </w:p>
        </w:tc>
        <w:tc>
          <w:tcPr>
            <w:tcW w:w="1142" w:type="dxa"/>
            <w:noWrap/>
            <w:vAlign w:val="center"/>
          </w:tcPr>
          <w:p w:rsidR="00AA6ACF" w:rsidRDefault="00AA6ACF" w:rsidP="00AA6ACF">
            <w:pPr>
              <w:jc w:val="center"/>
              <w:rPr>
                <w:sz w:val="20"/>
                <w:szCs w:val="20"/>
              </w:rPr>
            </w:pPr>
            <w:r>
              <w:rPr>
                <w:sz w:val="20"/>
                <w:szCs w:val="20"/>
              </w:rPr>
              <w:t>1</w:t>
            </w:r>
          </w:p>
        </w:tc>
        <w:tc>
          <w:tcPr>
            <w:tcW w:w="1033" w:type="dxa"/>
            <w:vAlign w:val="center"/>
          </w:tcPr>
          <w:p w:rsidR="00AA6ACF" w:rsidRDefault="00AA6ACF" w:rsidP="00AA6ACF">
            <w:pPr>
              <w:jc w:val="center"/>
              <w:rPr>
                <w:sz w:val="20"/>
                <w:szCs w:val="20"/>
              </w:rPr>
            </w:pPr>
            <w:r>
              <w:rPr>
                <w:sz w:val="20"/>
                <w:szCs w:val="20"/>
              </w:rPr>
              <w:t>0.540</w:t>
            </w:r>
          </w:p>
        </w:tc>
        <w:tc>
          <w:tcPr>
            <w:tcW w:w="1155" w:type="dxa"/>
            <w:noWrap/>
            <w:vAlign w:val="center"/>
          </w:tcPr>
          <w:p w:rsidR="00AA6ACF" w:rsidRDefault="00AA6ACF" w:rsidP="00AA6ACF">
            <w:pPr>
              <w:jc w:val="center"/>
              <w:rPr>
                <w:sz w:val="20"/>
                <w:szCs w:val="20"/>
              </w:rPr>
            </w:pPr>
            <w:r>
              <w:rPr>
                <w:sz w:val="20"/>
                <w:szCs w:val="20"/>
              </w:rPr>
              <w:t>0.928 L</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1988</w:t>
            </w:r>
          </w:p>
        </w:tc>
        <w:tc>
          <w:tcPr>
            <w:tcW w:w="1409" w:type="dxa"/>
            <w:noWrap/>
            <w:vAlign w:val="center"/>
          </w:tcPr>
          <w:p w:rsidR="00AA6ACF" w:rsidRDefault="00AA6ACF" w:rsidP="00AA6ACF">
            <w:pPr>
              <w:jc w:val="center"/>
              <w:rPr>
                <w:sz w:val="20"/>
                <w:szCs w:val="20"/>
              </w:rPr>
            </w:pPr>
            <w:r>
              <w:rPr>
                <w:sz w:val="20"/>
                <w:szCs w:val="20"/>
              </w:rPr>
              <w:t>0.356</w:t>
            </w:r>
          </w:p>
        </w:tc>
        <w:tc>
          <w:tcPr>
            <w:tcW w:w="1069" w:type="dxa"/>
            <w:noWrap/>
            <w:vAlign w:val="center"/>
          </w:tcPr>
          <w:p w:rsidR="00AA6ACF" w:rsidRDefault="00AA6ACF" w:rsidP="00AA6ACF">
            <w:pPr>
              <w:jc w:val="center"/>
              <w:rPr>
                <w:sz w:val="20"/>
                <w:szCs w:val="20"/>
              </w:rPr>
            </w:pPr>
            <w:r>
              <w:rPr>
                <w:sz w:val="20"/>
                <w:szCs w:val="20"/>
              </w:rPr>
              <w:t>0.707</w:t>
            </w:r>
          </w:p>
        </w:tc>
        <w:tc>
          <w:tcPr>
            <w:tcW w:w="1036" w:type="dxa"/>
            <w:vAlign w:val="center"/>
          </w:tcPr>
          <w:p w:rsidR="00AA6ACF" w:rsidRDefault="00AA6ACF" w:rsidP="00AA6ACF">
            <w:pPr>
              <w:jc w:val="center"/>
              <w:rPr>
                <w:sz w:val="20"/>
                <w:szCs w:val="20"/>
              </w:rPr>
            </w:pPr>
            <w:r>
              <w:rPr>
                <w:sz w:val="20"/>
                <w:szCs w:val="20"/>
              </w:rPr>
              <w:t>0.503</w:t>
            </w:r>
          </w:p>
        </w:tc>
        <w:tc>
          <w:tcPr>
            <w:tcW w:w="1142" w:type="dxa"/>
            <w:noWrap/>
            <w:vAlign w:val="center"/>
          </w:tcPr>
          <w:p w:rsidR="00AA6ACF" w:rsidRDefault="00AA6ACF" w:rsidP="00AA6ACF">
            <w:pPr>
              <w:jc w:val="center"/>
              <w:rPr>
                <w:sz w:val="20"/>
                <w:szCs w:val="20"/>
              </w:rPr>
            </w:pPr>
            <w:r>
              <w:rPr>
                <w:sz w:val="20"/>
                <w:szCs w:val="20"/>
              </w:rPr>
              <w:t>1</w:t>
            </w:r>
          </w:p>
        </w:tc>
        <w:tc>
          <w:tcPr>
            <w:tcW w:w="1033" w:type="dxa"/>
            <w:vAlign w:val="center"/>
          </w:tcPr>
          <w:p w:rsidR="00AA6ACF" w:rsidRDefault="00AA6ACF" w:rsidP="00AA6ACF">
            <w:pPr>
              <w:jc w:val="center"/>
              <w:rPr>
                <w:sz w:val="20"/>
                <w:szCs w:val="20"/>
              </w:rPr>
            </w:pPr>
            <w:r>
              <w:rPr>
                <w:sz w:val="20"/>
                <w:szCs w:val="20"/>
              </w:rPr>
              <w:t>0.510</w:t>
            </w:r>
          </w:p>
        </w:tc>
        <w:tc>
          <w:tcPr>
            <w:tcW w:w="1155" w:type="dxa"/>
            <w:noWrap/>
            <w:vAlign w:val="center"/>
          </w:tcPr>
          <w:p w:rsidR="00AA6ACF" w:rsidRDefault="00AA6ACF" w:rsidP="00AA6ACF">
            <w:pPr>
              <w:jc w:val="center"/>
              <w:rPr>
                <w:sz w:val="20"/>
                <w:szCs w:val="20"/>
              </w:rPr>
            </w:pPr>
            <w:r>
              <w:rPr>
                <w:sz w:val="20"/>
                <w:szCs w:val="20"/>
              </w:rPr>
              <w:t>0.985 L</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1989</w:t>
            </w:r>
          </w:p>
        </w:tc>
        <w:tc>
          <w:tcPr>
            <w:tcW w:w="1409" w:type="dxa"/>
            <w:noWrap/>
            <w:vAlign w:val="center"/>
          </w:tcPr>
          <w:p w:rsidR="00AA6ACF" w:rsidRDefault="00AA6ACF" w:rsidP="00AA6ACF">
            <w:pPr>
              <w:jc w:val="center"/>
              <w:rPr>
                <w:sz w:val="20"/>
                <w:szCs w:val="20"/>
              </w:rPr>
            </w:pPr>
            <w:r>
              <w:rPr>
                <w:sz w:val="20"/>
                <w:szCs w:val="20"/>
              </w:rPr>
              <w:t>0.396</w:t>
            </w:r>
          </w:p>
        </w:tc>
        <w:tc>
          <w:tcPr>
            <w:tcW w:w="1069" w:type="dxa"/>
            <w:noWrap/>
            <w:vAlign w:val="center"/>
          </w:tcPr>
          <w:p w:rsidR="00AA6ACF" w:rsidRDefault="00AA6ACF" w:rsidP="00AA6ACF">
            <w:pPr>
              <w:jc w:val="center"/>
              <w:rPr>
                <w:sz w:val="20"/>
                <w:szCs w:val="20"/>
              </w:rPr>
            </w:pPr>
            <w:r>
              <w:rPr>
                <w:sz w:val="20"/>
                <w:szCs w:val="20"/>
              </w:rPr>
              <w:t>0.694</w:t>
            </w:r>
          </w:p>
        </w:tc>
        <w:tc>
          <w:tcPr>
            <w:tcW w:w="1036" w:type="dxa"/>
            <w:vAlign w:val="center"/>
          </w:tcPr>
          <w:p w:rsidR="00AA6ACF" w:rsidRDefault="00AA6ACF" w:rsidP="00AA6ACF">
            <w:pPr>
              <w:jc w:val="center"/>
              <w:rPr>
                <w:sz w:val="20"/>
                <w:szCs w:val="20"/>
              </w:rPr>
            </w:pPr>
            <w:r>
              <w:rPr>
                <w:sz w:val="20"/>
                <w:szCs w:val="20"/>
              </w:rPr>
              <w:t>0.571</w:t>
            </w:r>
          </w:p>
        </w:tc>
        <w:tc>
          <w:tcPr>
            <w:tcW w:w="1142" w:type="dxa"/>
            <w:noWrap/>
            <w:vAlign w:val="center"/>
          </w:tcPr>
          <w:p w:rsidR="00AA6ACF" w:rsidRDefault="00AA6ACF" w:rsidP="00AA6ACF">
            <w:pPr>
              <w:jc w:val="center"/>
              <w:rPr>
                <w:sz w:val="20"/>
                <w:szCs w:val="20"/>
              </w:rPr>
            </w:pPr>
            <w:r>
              <w:rPr>
                <w:sz w:val="20"/>
                <w:szCs w:val="20"/>
              </w:rPr>
              <w:t>1</w:t>
            </w:r>
          </w:p>
        </w:tc>
        <w:tc>
          <w:tcPr>
            <w:tcW w:w="1033" w:type="dxa"/>
            <w:vAlign w:val="center"/>
          </w:tcPr>
          <w:p w:rsidR="00AA6ACF" w:rsidRDefault="00AA6ACF" w:rsidP="00AA6ACF">
            <w:pPr>
              <w:jc w:val="center"/>
              <w:rPr>
                <w:sz w:val="20"/>
                <w:szCs w:val="20"/>
              </w:rPr>
            </w:pPr>
            <w:r>
              <w:rPr>
                <w:sz w:val="20"/>
                <w:szCs w:val="20"/>
              </w:rPr>
              <w:t>0.574</w:t>
            </w:r>
          </w:p>
        </w:tc>
        <w:tc>
          <w:tcPr>
            <w:tcW w:w="1155" w:type="dxa"/>
            <w:noWrap/>
            <w:vAlign w:val="center"/>
          </w:tcPr>
          <w:p w:rsidR="00AA6ACF" w:rsidRDefault="00AA6ACF" w:rsidP="00AA6ACF">
            <w:pPr>
              <w:jc w:val="center"/>
              <w:rPr>
                <w:sz w:val="20"/>
                <w:szCs w:val="20"/>
              </w:rPr>
            </w:pPr>
            <w:r>
              <w:rPr>
                <w:sz w:val="20"/>
                <w:szCs w:val="20"/>
              </w:rPr>
              <w:t>0.995 L</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1990</w:t>
            </w:r>
          </w:p>
        </w:tc>
        <w:tc>
          <w:tcPr>
            <w:tcW w:w="1409" w:type="dxa"/>
            <w:noWrap/>
            <w:vAlign w:val="center"/>
          </w:tcPr>
          <w:p w:rsidR="00AA6ACF" w:rsidRDefault="00AA6ACF" w:rsidP="00AA6ACF">
            <w:pPr>
              <w:jc w:val="center"/>
              <w:rPr>
                <w:sz w:val="20"/>
                <w:szCs w:val="20"/>
              </w:rPr>
            </w:pPr>
            <w:r>
              <w:rPr>
                <w:sz w:val="20"/>
                <w:szCs w:val="20"/>
              </w:rPr>
              <w:t>0.613</w:t>
            </w:r>
          </w:p>
        </w:tc>
        <w:tc>
          <w:tcPr>
            <w:tcW w:w="1069" w:type="dxa"/>
            <w:noWrap/>
            <w:vAlign w:val="center"/>
          </w:tcPr>
          <w:p w:rsidR="00AA6ACF" w:rsidRDefault="00AA6ACF" w:rsidP="00AA6ACF">
            <w:pPr>
              <w:jc w:val="center"/>
              <w:rPr>
                <w:sz w:val="20"/>
                <w:szCs w:val="20"/>
              </w:rPr>
            </w:pPr>
            <w:r>
              <w:rPr>
                <w:sz w:val="20"/>
                <w:szCs w:val="20"/>
              </w:rPr>
              <w:t>0.837</w:t>
            </w:r>
          </w:p>
        </w:tc>
        <w:tc>
          <w:tcPr>
            <w:tcW w:w="1036" w:type="dxa"/>
            <w:vAlign w:val="center"/>
          </w:tcPr>
          <w:p w:rsidR="00AA6ACF" w:rsidRDefault="00AA6ACF" w:rsidP="00AA6ACF">
            <w:pPr>
              <w:jc w:val="center"/>
              <w:rPr>
                <w:sz w:val="20"/>
                <w:szCs w:val="20"/>
              </w:rPr>
            </w:pPr>
            <w:r>
              <w:rPr>
                <w:sz w:val="20"/>
                <w:szCs w:val="20"/>
              </w:rPr>
              <w:t>0.733</w:t>
            </w:r>
          </w:p>
        </w:tc>
        <w:tc>
          <w:tcPr>
            <w:tcW w:w="1142" w:type="dxa"/>
            <w:noWrap/>
            <w:vAlign w:val="center"/>
          </w:tcPr>
          <w:p w:rsidR="00AA6ACF" w:rsidRDefault="00AA6ACF" w:rsidP="00AA6ACF">
            <w:pPr>
              <w:jc w:val="center"/>
              <w:rPr>
                <w:sz w:val="20"/>
                <w:szCs w:val="20"/>
              </w:rPr>
            </w:pPr>
            <w:r>
              <w:rPr>
                <w:sz w:val="20"/>
                <w:szCs w:val="20"/>
              </w:rPr>
              <w:t>1</w:t>
            </w:r>
          </w:p>
        </w:tc>
        <w:tc>
          <w:tcPr>
            <w:tcW w:w="1033" w:type="dxa"/>
            <w:vAlign w:val="center"/>
          </w:tcPr>
          <w:p w:rsidR="00AA6ACF" w:rsidRDefault="00AA6ACF" w:rsidP="00AA6ACF">
            <w:pPr>
              <w:jc w:val="center"/>
              <w:rPr>
                <w:sz w:val="20"/>
                <w:szCs w:val="20"/>
              </w:rPr>
            </w:pPr>
            <w:r>
              <w:rPr>
                <w:sz w:val="20"/>
                <w:szCs w:val="20"/>
              </w:rPr>
              <w:t>0.793</w:t>
            </w:r>
          </w:p>
        </w:tc>
        <w:tc>
          <w:tcPr>
            <w:tcW w:w="1155" w:type="dxa"/>
            <w:noWrap/>
            <w:vAlign w:val="center"/>
          </w:tcPr>
          <w:p w:rsidR="00AA6ACF" w:rsidRDefault="00AA6ACF" w:rsidP="00AA6ACF">
            <w:pPr>
              <w:jc w:val="center"/>
              <w:rPr>
                <w:sz w:val="20"/>
                <w:szCs w:val="20"/>
              </w:rPr>
            </w:pPr>
            <w:r>
              <w:rPr>
                <w:sz w:val="20"/>
                <w:szCs w:val="20"/>
              </w:rPr>
              <w:t>0.925 L</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1991</w:t>
            </w:r>
          </w:p>
        </w:tc>
        <w:tc>
          <w:tcPr>
            <w:tcW w:w="1409" w:type="dxa"/>
            <w:noWrap/>
            <w:vAlign w:val="center"/>
          </w:tcPr>
          <w:p w:rsidR="00AA6ACF" w:rsidRDefault="00AA6ACF" w:rsidP="00AA6ACF">
            <w:pPr>
              <w:jc w:val="center"/>
              <w:rPr>
                <w:sz w:val="20"/>
                <w:szCs w:val="20"/>
              </w:rPr>
            </w:pPr>
            <w:r>
              <w:rPr>
                <w:sz w:val="20"/>
                <w:szCs w:val="20"/>
              </w:rPr>
              <w:t>0.859</w:t>
            </w:r>
          </w:p>
        </w:tc>
        <w:tc>
          <w:tcPr>
            <w:tcW w:w="1069" w:type="dxa"/>
            <w:noWrap/>
            <w:vAlign w:val="center"/>
          </w:tcPr>
          <w:p w:rsidR="00AA6ACF" w:rsidRDefault="00AA6ACF" w:rsidP="00AA6ACF">
            <w:pPr>
              <w:jc w:val="center"/>
              <w:rPr>
                <w:sz w:val="20"/>
                <w:szCs w:val="20"/>
              </w:rPr>
            </w:pPr>
            <w:r>
              <w:rPr>
                <w:sz w:val="20"/>
                <w:szCs w:val="20"/>
              </w:rPr>
              <w:t>1</w:t>
            </w:r>
          </w:p>
        </w:tc>
        <w:tc>
          <w:tcPr>
            <w:tcW w:w="1036" w:type="dxa"/>
            <w:vAlign w:val="center"/>
          </w:tcPr>
          <w:p w:rsidR="00AA6ACF" w:rsidRDefault="00AA6ACF" w:rsidP="00AA6ACF">
            <w:pPr>
              <w:jc w:val="center"/>
              <w:rPr>
                <w:sz w:val="20"/>
                <w:szCs w:val="20"/>
              </w:rPr>
            </w:pPr>
            <w:r>
              <w:rPr>
                <w:sz w:val="20"/>
                <w:szCs w:val="20"/>
              </w:rPr>
              <w:t>0.859</w:t>
            </w:r>
          </w:p>
        </w:tc>
        <w:tc>
          <w:tcPr>
            <w:tcW w:w="1142" w:type="dxa"/>
            <w:noWrap/>
            <w:vAlign w:val="center"/>
          </w:tcPr>
          <w:p w:rsidR="00AA6ACF" w:rsidRPr="00A56E0E" w:rsidRDefault="00AA6ACF" w:rsidP="00AA6ACF">
            <w:pPr>
              <w:jc w:val="center"/>
              <w:rPr>
                <w:sz w:val="20"/>
                <w:szCs w:val="20"/>
              </w:rPr>
            </w:pPr>
            <w:r>
              <w:rPr>
                <w:sz w:val="20"/>
                <w:szCs w:val="20"/>
              </w:rPr>
              <w:t>1</w:t>
            </w:r>
          </w:p>
        </w:tc>
        <w:tc>
          <w:tcPr>
            <w:tcW w:w="1033" w:type="dxa"/>
            <w:vAlign w:val="center"/>
          </w:tcPr>
          <w:p w:rsidR="00AA6ACF" w:rsidRDefault="00AA6ACF" w:rsidP="00AA6ACF">
            <w:pPr>
              <w:jc w:val="center"/>
              <w:rPr>
                <w:sz w:val="20"/>
                <w:szCs w:val="20"/>
              </w:rPr>
            </w:pPr>
            <w:r>
              <w:rPr>
                <w:sz w:val="20"/>
                <w:szCs w:val="20"/>
              </w:rPr>
              <w:t>1</w:t>
            </w:r>
          </w:p>
        </w:tc>
        <w:tc>
          <w:tcPr>
            <w:tcW w:w="1155" w:type="dxa"/>
            <w:noWrap/>
            <w:vAlign w:val="center"/>
          </w:tcPr>
          <w:p w:rsidR="00AA6ACF" w:rsidRPr="00A56E0E" w:rsidRDefault="00AA6ACF" w:rsidP="00AA6ACF">
            <w:pPr>
              <w:jc w:val="center"/>
              <w:rPr>
                <w:sz w:val="20"/>
                <w:szCs w:val="20"/>
              </w:rPr>
            </w:pPr>
            <w:r w:rsidRPr="00A56E0E">
              <w:rPr>
                <w:sz w:val="20"/>
                <w:szCs w:val="20"/>
              </w:rPr>
              <w:t>0</w:t>
            </w:r>
            <w:r>
              <w:rPr>
                <w:sz w:val="20"/>
                <w:szCs w:val="20"/>
              </w:rPr>
              <w:t>.859 L</w:t>
            </w:r>
          </w:p>
        </w:tc>
      </w:tr>
      <w:tr w:rsidR="00AA6ACF">
        <w:trPr>
          <w:trHeight w:val="340"/>
          <w:jc w:val="center"/>
        </w:trPr>
        <w:tc>
          <w:tcPr>
            <w:tcW w:w="841" w:type="dxa"/>
            <w:tcBorders>
              <w:bottom w:val="single" w:sz="6" w:space="0" w:color="auto"/>
            </w:tcBorders>
            <w:vAlign w:val="center"/>
          </w:tcPr>
          <w:p w:rsidR="00AA6ACF" w:rsidRPr="006F7CA4" w:rsidRDefault="00AA6ACF" w:rsidP="00AA6ACF">
            <w:pPr>
              <w:rPr>
                <w:bCs/>
                <w:sz w:val="20"/>
                <w:szCs w:val="20"/>
              </w:rPr>
            </w:pPr>
            <w:r w:rsidRPr="006F7CA4">
              <w:rPr>
                <w:bCs/>
                <w:sz w:val="20"/>
                <w:szCs w:val="20"/>
              </w:rPr>
              <w:t xml:space="preserve"> 1992</w:t>
            </w:r>
          </w:p>
        </w:tc>
        <w:tc>
          <w:tcPr>
            <w:tcW w:w="1409" w:type="dxa"/>
            <w:tcBorders>
              <w:bottom w:val="single" w:sz="6" w:space="0" w:color="auto"/>
            </w:tcBorders>
            <w:vAlign w:val="center"/>
          </w:tcPr>
          <w:p w:rsidR="00AA6ACF" w:rsidRPr="00FE1FE0" w:rsidRDefault="00AA6ACF" w:rsidP="00AA6ACF">
            <w:pPr>
              <w:jc w:val="center"/>
              <w:rPr>
                <w:bCs/>
                <w:sz w:val="20"/>
                <w:szCs w:val="20"/>
              </w:rPr>
            </w:pPr>
            <w:r w:rsidRPr="00FE1FE0">
              <w:rPr>
                <w:bCs/>
                <w:sz w:val="20"/>
                <w:szCs w:val="20"/>
              </w:rPr>
              <w:t>0.809</w:t>
            </w:r>
          </w:p>
        </w:tc>
        <w:tc>
          <w:tcPr>
            <w:tcW w:w="1069" w:type="dxa"/>
            <w:tcBorders>
              <w:bottom w:val="single" w:sz="6" w:space="0" w:color="auto"/>
            </w:tcBorders>
            <w:vAlign w:val="center"/>
          </w:tcPr>
          <w:p w:rsidR="00AA6ACF" w:rsidRPr="00FE1FE0" w:rsidRDefault="00AA6ACF" w:rsidP="00AA6ACF">
            <w:pPr>
              <w:jc w:val="center"/>
              <w:rPr>
                <w:bCs/>
                <w:sz w:val="20"/>
                <w:szCs w:val="20"/>
              </w:rPr>
            </w:pPr>
            <w:r>
              <w:rPr>
                <w:bCs/>
                <w:sz w:val="20"/>
                <w:szCs w:val="20"/>
              </w:rPr>
              <w:t>0.935</w:t>
            </w:r>
          </w:p>
        </w:tc>
        <w:tc>
          <w:tcPr>
            <w:tcW w:w="1036" w:type="dxa"/>
            <w:tcBorders>
              <w:bottom w:val="single" w:sz="6" w:space="0" w:color="auto"/>
            </w:tcBorders>
            <w:vAlign w:val="center"/>
          </w:tcPr>
          <w:p w:rsidR="00AA6ACF" w:rsidRPr="00FE1FE0" w:rsidRDefault="00AA6ACF" w:rsidP="00AA6ACF">
            <w:pPr>
              <w:jc w:val="center"/>
              <w:rPr>
                <w:bCs/>
                <w:sz w:val="20"/>
                <w:szCs w:val="20"/>
              </w:rPr>
            </w:pPr>
            <w:r w:rsidRPr="00FE1FE0">
              <w:rPr>
                <w:bCs/>
                <w:sz w:val="20"/>
                <w:szCs w:val="20"/>
              </w:rPr>
              <w:t>0.</w:t>
            </w:r>
            <w:r>
              <w:rPr>
                <w:bCs/>
                <w:sz w:val="20"/>
                <w:szCs w:val="20"/>
              </w:rPr>
              <w:t>865</w:t>
            </w:r>
          </w:p>
        </w:tc>
        <w:tc>
          <w:tcPr>
            <w:tcW w:w="1142" w:type="dxa"/>
            <w:tcBorders>
              <w:bottom w:val="single" w:sz="6" w:space="0" w:color="auto"/>
            </w:tcBorders>
            <w:vAlign w:val="center"/>
          </w:tcPr>
          <w:p w:rsidR="00AA6ACF" w:rsidRPr="00FE1FE0" w:rsidRDefault="00AA6ACF" w:rsidP="00AA6ACF">
            <w:pPr>
              <w:jc w:val="center"/>
              <w:rPr>
                <w:bCs/>
                <w:sz w:val="20"/>
                <w:szCs w:val="20"/>
              </w:rPr>
            </w:pPr>
            <w:r>
              <w:rPr>
                <w:bCs/>
                <w:sz w:val="20"/>
                <w:szCs w:val="20"/>
              </w:rPr>
              <w:t>1</w:t>
            </w:r>
          </w:p>
        </w:tc>
        <w:tc>
          <w:tcPr>
            <w:tcW w:w="1033" w:type="dxa"/>
            <w:tcBorders>
              <w:bottom w:val="single" w:sz="6" w:space="0" w:color="auto"/>
            </w:tcBorders>
            <w:vAlign w:val="center"/>
          </w:tcPr>
          <w:p w:rsidR="00AA6ACF" w:rsidRPr="00FE1FE0" w:rsidRDefault="00AA6ACF" w:rsidP="00AA6ACF">
            <w:pPr>
              <w:jc w:val="center"/>
              <w:rPr>
                <w:bCs/>
                <w:sz w:val="20"/>
                <w:szCs w:val="20"/>
              </w:rPr>
            </w:pPr>
            <w:r>
              <w:rPr>
                <w:bCs/>
                <w:sz w:val="20"/>
                <w:szCs w:val="20"/>
              </w:rPr>
              <w:t>0.945</w:t>
            </w:r>
          </w:p>
        </w:tc>
        <w:tc>
          <w:tcPr>
            <w:tcW w:w="1155" w:type="dxa"/>
            <w:tcBorders>
              <w:bottom w:val="single" w:sz="6" w:space="0" w:color="auto"/>
            </w:tcBorders>
            <w:vAlign w:val="center"/>
          </w:tcPr>
          <w:p w:rsidR="00AA6ACF" w:rsidRPr="00FE1FE0" w:rsidRDefault="00AA6ACF" w:rsidP="00AA6ACF">
            <w:pPr>
              <w:jc w:val="center"/>
              <w:rPr>
                <w:bCs/>
                <w:sz w:val="20"/>
                <w:szCs w:val="20"/>
              </w:rPr>
            </w:pPr>
            <w:r>
              <w:rPr>
                <w:bCs/>
                <w:sz w:val="20"/>
                <w:szCs w:val="20"/>
              </w:rPr>
              <w:t>0.915 L</w:t>
            </w:r>
          </w:p>
        </w:tc>
      </w:tr>
      <w:tr w:rsidR="00AA6ACF">
        <w:trPr>
          <w:trHeight w:val="340"/>
          <w:jc w:val="center"/>
        </w:trPr>
        <w:tc>
          <w:tcPr>
            <w:tcW w:w="841" w:type="dxa"/>
            <w:tcBorders>
              <w:top w:val="single" w:sz="6" w:space="0" w:color="auto"/>
              <w:bottom w:val="single" w:sz="6" w:space="0" w:color="auto"/>
            </w:tcBorders>
            <w:noWrap/>
            <w:vAlign w:val="center"/>
          </w:tcPr>
          <w:p w:rsidR="00AA6ACF" w:rsidRDefault="00AA6ACF" w:rsidP="00AA6ACF">
            <w:pPr>
              <w:rPr>
                <w:bCs/>
                <w:sz w:val="20"/>
                <w:szCs w:val="20"/>
              </w:rPr>
            </w:pPr>
            <w:r>
              <w:rPr>
                <w:bCs/>
                <w:sz w:val="20"/>
                <w:szCs w:val="20"/>
              </w:rPr>
              <w:t xml:space="preserve"> 1993</w:t>
            </w:r>
          </w:p>
        </w:tc>
        <w:tc>
          <w:tcPr>
            <w:tcW w:w="1409" w:type="dxa"/>
            <w:tcBorders>
              <w:top w:val="single" w:sz="6" w:space="0" w:color="auto"/>
              <w:bottom w:val="single" w:sz="6" w:space="0" w:color="auto"/>
            </w:tcBorders>
            <w:noWrap/>
            <w:vAlign w:val="center"/>
          </w:tcPr>
          <w:p w:rsidR="00AA6ACF" w:rsidRDefault="00AA6ACF" w:rsidP="00AA6ACF">
            <w:pPr>
              <w:jc w:val="center"/>
              <w:rPr>
                <w:sz w:val="20"/>
                <w:szCs w:val="20"/>
              </w:rPr>
            </w:pPr>
            <w:r>
              <w:rPr>
                <w:sz w:val="20"/>
                <w:szCs w:val="20"/>
              </w:rPr>
              <w:t>0.688</w:t>
            </w:r>
          </w:p>
        </w:tc>
        <w:tc>
          <w:tcPr>
            <w:tcW w:w="1069" w:type="dxa"/>
            <w:tcBorders>
              <w:top w:val="single" w:sz="6" w:space="0" w:color="auto"/>
              <w:bottom w:val="single" w:sz="6" w:space="0" w:color="auto"/>
            </w:tcBorders>
            <w:noWrap/>
            <w:vAlign w:val="center"/>
          </w:tcPr>
          <w:p w:rsidR="00AA6ACF" w:rsidRDefault="00AA6ACF" w:rsidP="00AA6ACF">
            <w:pPr>
              <w:jc w:val="center"/>
              <w:rPr>
                <w:sz w:val="20"/>
                <w:szCs w:val="20"/>
              </w:rPr>
            </w:pPr>
            <w:r>
              <w:rPr>
                <w:sz w:val="20"/>
                <w:szCs w:val="20"/>
              </w:rPr>
              <w:t>0.836</w:t>
            </w:r>
          </w:p>
        </w:tc>
        <w:tc>
          <w:tcPr>
            <w:tcW w:w="1036" w:type="dxa"/>
            <w:vAlign w:val="center"/>
          </w:tcPr>
          <w:p w:rsidR="00AA6ACF" w:rsidRDefault="00AA6ACF" w:rsidP="00AA6ACF">
            <w:pPr>
              <w:jc w:val="center"/>
              <w:rPr>
                <w:sz w:val="20"/>
                <w:szCs w:val="20"/>
              </w:rPr>
            </w:pPr>
            <w:r>
              <w:rPr>
                <w:sz w:val="20"/>
                <w:szCs w:val="20"/>
              </w:rPr>
              <w:t>0.824</w:t>
            </w:r>
          </w:p>
        </w:tc>
        <w:tc>
          <w:tcPr>
            <w:tcW w:w="1142" w:type="dxa"/>
            <w:tcBorders>
              <w:top w:val="single" w:sz="6" w:space="0" w:color="auto"/>
              <w:bottom w:val="single" w:sz="6" w:space="0" w:color="auto"/>
            </w:tcBorders>
            <w:noWrap/>
            <w:vAlign w:val="center"/>
          </w:tcPr>
          <w:p w:rsidR="00AA6ACF" w:rsidRDefault="00AA6ACF" w:rsidP="00AA6ACF">
            <w:pPr>
              <w:jc w:val="center"/>
              <w:rPr>
                <w:sz w:val="20"/>
                <w:szCs w:val="20"/>
              </w:rPr>
            </w:pPr>
            <w:r>
              <w:rPr>
                <w:sz w:val="20"/>
                <w:szCs w:val="20"/>
              </w:rPr>
              <w:t>1</w:t>
            </w:r>
          </w:p>
        </w:tc>
        <w:tc>
          <w:tcPr>
            <w:tcW w:w="1033" w:type="dxa"/>
            <w:tcBorders>
              <w:top w:val="single" w:sz="6" w:space="0" w:color="auto"/>
              <w:bottom w:val="single" w:sz="6" w:space="0" w:color="auto"/>
            </w:tcBorders>
            <w:vAlign w:val="center"/>
          </w:tcPr>
          <w:p w:rsidR="00AA6ACF" w:rsidRDefault="00AA6ACF" w:rsidP="00AA6ACF">
            <w:pPr>
              <w:jc w:val="center"/>
              <w:rPr>
                <w:sz w:val="20"/>
                <w:szCs w:val="20"/>
              </w:rPr>
            </w:pPr>
            <w:r>
              <w:rPr>
                <w:sz w:val="20"/>
                <w:szCs w:val="20"/>
              </w:rPr>
              <w:t>0.824</w:t>
            </w:r>
          </w:p>
        </w:tc>
        <w:tc>
          <w:tcPr>
            <w:tcW w:w="1155" w:type="dxa"/>
            <w:tcBorders>
              <w:top w:val="single" w:sz="6" w:space="0" w:color="auto"/>
              <w:bottom w:val="single" w:sz="6" w:space="0" w:color="auto"/>
            </w:tcBorders>
            <w:noWrap/>
            <w:vAlign w:val="center"/>
          </w:tcPr>
          <w:p w:rsidR="00AA6ACF" w:rsidRDefault="00AA6ACF" w:rsidP="00AA6ACF">
            <w:pPr>
              <w:jc w:val="center"/>
              <w:rPr>
                <w:sz w:val="20"/>
                <w:szCs w:val="20"/>
              </w:rPr>
            </w:pPr>
            <w:r>
              <w:rPr>
                <w:sz w:val="20"/>
                <w:szCs w:val="20"/>
              </w:rPr>
              <w:t>1</w:t>
            </w:r>
          </w:p>
        </w:tc>
      </w:tr>
      <w:tr w:rsidR="00AA6ACF">
        <w:trPr>
          <w:trHeight w:val="340"/>
          <w:jc w:val="center"/>
        </w:trPr>
        <w:tc>
          <w:tcPr>
            <w:tcW w:w="841" w:type="dxa"/>
            <w:tcBorders>
              <w:top w:val="single" w:sz="6" w:space="0" w:color="auto"/>
            </w:tcBorders>
            <w:noWrap/>
            <w:vAlign w:val="center"/>
          </w:tcPr>
          <w:p w:rsidR="00AA6ACF" w:rsidRDefault="00AA6ACF" w:rsidP="00AA6ACF">
            <w:pPr>
              <w:rPr>
                <w:bCs/>
                <w:sz w:val="20"/>
                <w:szCs w:val="20"/>
              </w:rPr>
            </w:pPr>
            <w:r>
              <w:rPr>
                <w:bCs/>
                <w:sz w:val="20"/>
                <w:szCs w:val="20"/>
              </w:rPr>
              <w:t xml:space="preserve"> 1994</w:t>
            </w:r>
          </w:p>
        </w:tc>
        <w:tc>
          <w:tcPr>
            <w:tcW w:w="1409" w:type="dxa"/>
            <w:tcBorders>
              <w:top w:val="single" w:sz="6" w:space="0" w:color="auto"/>
            </w:tcBorders>
            <w:noWrap/>
            <w:vAlign w:val="center"/>
          </w:tcPr>
          <w:p w:rsidR="00AA6ACF" w:rsidRDefault="00AA6ACF" w:rsidP="00AA6ACF">
            <w:pPr>
              <w:jc w:val="center"/>
              <w:rPr>
                <w:sz w:val="20"/>
                <w:szCs w:val="20"/>
              </w:rPr>
            </w:pPr>
            <w:r>
              <w:rPr>
                <w:sz w:val="20"/>
                <w:szCs w:val="20"/>
              </w:rPr>
              <w:t>0.956</w:t>
            </w:r>
          </w:p>
        </w:tc>
        <w:tc>
          <w:tcPr>
            <w:tcW w:w="1069" w:type="dxa"/>
            <w:tcBorders>
              <w:top w:val="single" w:sz="6" w:space="0" w:color="auto"/>
            </w:tcBorders>
            <w:noWrap/>
            <w:vAlign w:val="center"/>
          </w:tcPr>
          <w:p w:rsidR="00AA6ACF" w:rsidRDefault="00AA6ACF" w:rsidP="00AA6ACF">
            <w:pPr>
              <w:jc w:val="center"/>
              <w:rPr>
                <w:sz w:val="20"/>
                <w:szCs w:val="20"/>
              </w:rPr>
            </w:pPr>
            <w:r>
              <w:rPr>
                <w:sz w:val="20"/>
                <w:szCs w:val="20"/>
              </w:rPr>
              <w:t>1</w:t>
            </w:r>
          </w:p>
        </w:tc>
        <w:tc>
          <w:tcPr>
            <w:tcW w:w="1036" w:type="dxa"/>
            <w:vAlign w:val="center"/>
          </w:tcPr>
          <w:p w:rsidR="00AA6ACF" w:rsidRDefault="00AA6ACF" w:rsidP="00AA6ACF">
            <w:pPr>
              <w:jc w:val="center"/>
              <w:rPr>
                <w:sz w:val="20"/>
                <w:szCs w:val="20"/>
              </w:rPr>
            </w:pPr>
            <w:r>
              <w:rPr>
                <w:sz w:val="20"/>
                <w:szCs w:val="20"/>
              </w:rPr>
              <w:t>0.956</w:t>
            </w:r>
          </w:p>
        </w:tc>
        <w:tc>
          <w:tcPr>
            <w:tcW w:w="1142" w:type="dxa"/>
            <w:tcBorders>
              <w:top w:val="single" w:sz="6" w:space="0" w:color="auto"/>
            </w:tcBorders>
            <w:noWrap/>
            <w:vAlign w:val="center"/>
          </w:tcPr>
          <w:p w:rsidR="00AA6ACF" w:rsidRDefault="00AA6ACF" w:rsidP="00AA6ACF">
            <w:pPr>
              <w:jc w:val="center"/>
              <w:rPr>
                <w:sz w:val="20"/>
                <w:szCs w:val="20"/>
              </w:rPr>
            </w:pPr>
            <w:r>
              <w:rPr>
                <w:sz w:val="20"/>
                <w:szCs w:val="20"/>
              </w:rPr>
              <w:t>1</w:t>
            </w:r>
          </w:p>
        </w:tc>
        <w:tc>
          <w:tcPr>
            <w:tcW w:w="1033" w:type="dxa"/>
            <w:tcBorders>
              <w:top w:val="single" w:sz="6" w:space="0" w:color="auto"/>
            </w:tcBorders>
            <w:vAlign w:val="center"/>
          </w:tcPr>
          <w:p w:rsidR="00AA6ACF" w:rsidRDefault="00AA6ACF" w:rsidP="00AA6ACF">
            <w:pPr>
              <w:jc w:val="center"/>
              <w:rPr>
                <w:sz w:val="20"/>
                <w:szCs w:val="20"/>
              </w:rPr>
            </w:pPr>
            <w:r>
              <w:rPr>
                <w:sz w:val="20"/>
                <w:szCs w:val="20"/>
              </w:rPr>
              <w:t>0.956</w:t>
            </w:r>
          </w:p>
        </w:tc>
        <w:tc>
          <w:tcPr>
            <w:tcW w:w="1155" w:type="dxa"/>
            <w:tcBorders>
              <w:top w:val="single" w:sz="6" w:space="0" w:color="auto"/>
            </w:tcBorders>
            <w:noWrap/>
            <w:vAlign w:val="center"/>
          </w:tcPr>
          <w:p w:rsidR="00AA6ACF" w:rsidRDefault="00AA6ACF" w:rsidP="00AA6ACF">
            <w:pPr>
              <w:jc w:val="center"/>
              <w:rPr>
                <w:sz w:val="20"/>
                <w:szCs w:val="20"/>
              </w:rPr>
            </w:pPr>
            <w:r>
              <w:rPr>
                <w:sz w:val="20"/>
                <w:szCs w:val="20"/>
              </w:rPr>
              <w:t>1</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1995</w:t>
            </w:r>
          </w:p>
        </w:tc>
        <w:tc>
          <w:tcPr>
            <w:tcW w:w="1409" w:type="dxa"/>
            <w:noWrap/>
            <w:vAlign w:val="center"/>
          </w:tcPr>
          <w:p w:rsidR="00AA6ACF" w:rsidRDefault="00AA6ACF" w:rsidP="00AA6ACF">
            <w:pPr>
              <w:jc w:val="center"/>
              <w:rPr>
                <w:sz w:val="20"/>
                <w:szCs w:val="20"/>
              </w:rPr>
            </w:pPr>
            <w:r>
              <w:rPr>
                <w:sz w:val="20"/>
                <w:szCs w:val="20"/>
              </w:rPr>
              <w:t>0.857</w:t>
            </w:r>
          </w:p>
        </w:tc>
        <w:tc>
          <w:tcPr>
            <w:tcW w:w="1069" w:type="dxa"/>
            <w:noWrap/>
            <w:vAlign w:val="center"/>
          </w:tcPr>
          <w:p w:rsidR="00AA6ACF" w:rsidRDefault="00AA6ACF" w:rsidP="00AA6ACF">
            <w:pPr>
              <w:jc w:val="center"/>
              <w:rPr>
                <w:sz w:val="20"/>
                <w:szCs w:val="20"/>
              </w:rPr>
            </w:pPr>
            <w:r>
              <w:rPr>
                <w:sz w:val="20"/>
                <w:szCs w:val="20"/>
              </w:rPr>
              <w:t>1</w:t>
            </w:r>
          </w:p>
        </w:tc>
        <w:tc>
          <w:tcPr>
            <w:tcW w:w="1036" w:type="dxa"/>
            <w:vAlign w:val="center"/>
          </w:tcPr>
          <w:p w:rsidR="00AA6ACF" w:rsidRDefault="00AA6ACF" w:rsidP="00AA6ACF">
            <w:pPr>
              <w:jc w:val="center"/>
              <w:rPr>
                <w:sz w:val="20"/>
                <w:szCs w:val="20"/>
              </w:rPr>
            </w:pPr>
            <w:r>
              <w:rPr>
                <w:sz w:val="20"/>
                <w:szCs w:val="20"/>
              </w:rPr>
              <w:t>0.981</w:t>
            </w:r>
          </w:p>
        </w:tc>
        <w:tc>
          <w:tcPr>
            <w:tcW w:w="1142" w:type="dxa"/>
            <w:noWrap/>
            <w:vAlign w:val="center"/>
          </w:tcPr>
          <w:p w:rsidR="00AA6ACF" w:rsidRDefault="00AA6ACF" w:rsidP="00AA6ACF">
            <w:pPr>
              <w:jc w:val="center"/>
              <w:rPr>
                <w:sz w:val="20"/>
                <w:szCs w:val="20"/>
              </w:rPr>
            </w:pPr>
            <w:r>
              <w:rPr>
                <w:sz w:val="20"/>
                <w:szCs w:val="20"/>
              </w:rPr>
              <w:t>0.873 K</w:t>
            </w:r>
          </w:p>
        </w:tc>
        <w:tc>
          <w:tcPr>
            <w:tcW w:w="1033" w:type="dxa"/>
            <w:vAlign w:val="center"/>
          </w:tcPr>
          <w:p w:rsidR="00AA6ACF" w:rsidRDefault="00AA6ACF" w:rsidP="00AA6ACF">
            <w:pPr>
              <w:jc w:val="center"/>
              <w:rPr>
                <w:sz w:val="20"/>
                <w:szCs w:val="20"/>
              </w:rPr>
            </w:pPr>
            <w:r>
              <w:rPr>
                <w:sz w:val="20"/>
                <w:szCs w:val="20"/>
              </w:rPr>
              <w:t>0.983</w:t>
            </w:r>
          </w:p>
        </w:tc>
        <w:tc>
          <w:tcPr>
            <w:tcW w:w="1155" w:type="dxa"/>
            <w:noWrap/>
            <w:vAlign w:val="center"/>
          </w:tcPr>
          <w:p w:rsidR="00AA6ACF" w:rsidRDefault="00AA6ACF" w:rsidP="00AA6ACF">
            <w:pPr>
              <w:jc w:val="center"/>
              <w:rPr>
                <w:sz w:val="20"/>
                <w:szCs w:val="20"/>
              </w:rPr>
            </w:pPr>
            <w:r>
              <w:rPr>
                <w:sz w:val="20"/>
                <w:szCs w:val="20"/>
              </w:rPr>
              <w:t>0.871 K</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1996</w:t>
            </w:r>
          </w:p>
        </w:tc>
        <w:tc>
          <w:tcPr>
            <w:tcW w:w="1409" w:type="dxa"/>
            <w:noWrap/>
            <w:vAlign w:val="center"/>
          </w:tcPr>
          <w:p w:rsidR="00AA6ACF" w:rsidRDefault="00AA6ACF" w:rsidP="00AA6ACF">
            <w:pPr>
              <w:jc w:val="center"/>
              <w:rPr>
                <w:sz w:val="20"/>
                <w:szCs w:val="20"/>
              </w:rPr>
            </w:pPr>
            <w:r>
              <w:rPr>
                <w:sz w:val="20"/>
                <w:szCs w:val="20"/>
              </w:rPr>
              <w:t>1</w:t>
            </w:r>
          </w:p>
        </w:tc>
        <w:tc>
          <w:tcPr>
            <w:tcW w:w="1069" w:type="dxa"/>
            <w:noWrap/>
            <w:vAlign w:val="center"/>
          </w:tcPr>
          <w:p w:rsidR="00AA6ACF" w:rsidRDefault="00AA6ACF" w:rsidP="00AA6ACF">
            <w:pPr>
              <w:jc w:val="center"/>
              <w:rPr>
                <w:sz w:val="20"/>
                <w:szCs w:val="20"/>
              </w:rPr>
            </w:pPr>
            <w:r>
              <w:rPr>
                <w:sz w:val="20"/>
                <w:szCs w:val="20"/>
              </w:rPr>
              <w:t>1</w:t>
            </w:r>
          </w:p>
        </w:tc>
        <w:tc>
          <w:tcPr>
            <w:tcW w:w="1036" w:type="dxa"/>
            <w:vAlign w:val="center"/>
          </w:tcPr>
          <w:p w:rsidR="00AA6ACF" w:rsidRDefault="00AA6ACF" w:rsidP="00AA6ACF">
            <w:pPr>
              <w:jc w:val="center"/>
              <w:rPr>
                <w:sz w:val="20"/>
                <w:szCs w:val="20"/>
              </w:rPr>
            </w:pPr>
            <w:r>
              <w:rPr>
                <w:sz w:val="20"/>
                <w:szCs w:val="20"/>
              </w:rPr>
              <w:t>1</w:t>
            </w:r>
          </w:p>
        </w:tc>
        <w:tc>
          <w:tcPr>
            <w:tcW w:w="1142" w:type="dxa"/>
            <w:noWrap/>
            <w:vAlign w:val="center"/>
          </w:tcPr>
          <w:p w:rsidR="00AA6ACF" w:rsidRDefault="00AA6ACF" w:rsidP="00AA6ACF">
            <w:pPr>
              <w:jc w:val="center"/>
              <w:rPr>
                <w:sz w:val="20"/>
                <w:szCs w:val="20"/>
              </w:rPr>
            </w:pPr>
            <w:r>
              <w:rPr>
                <w:sz w:val="20"/>
                <w:szCs w:val="20"/>
              </w:rPr>
              <w:t>1</w:t>
            </w:r>
          </w:p>
        </w:tc>
        <w:tc>
          <w:tcPr>
            <w:tcW w:w="1033" w:type="dxa"/>
            <w:vAlign w:val="center"/>
          </w:tcPr>
          <w:p w:rsidR="00AA6ACF" w:rsidRDefault="00AA6ACF" w:rsidP="00AA6ACF">
            <w:pPr>
              <w:jc w:val="center"/>
              <w:rPr>
                <w:sz w:val="20"/>
                <w:szCs w:val="20"/>
              </w:rPr>
            </w:pPr>
            <w:r>
              <w:rPr>
                <w:sz w:val="20"/>
                <w:szCs w:val="20"/>
              </w:rPr>
              <w:t>1</w:t>
            </w:r>
          </w:p>
        </w:tc>
        <w:tc>
          <w:tcPr>
            <w:tcW w:w="1155" w:type="dxa"/>
            <w:noWrap/>
            <w:vAlign w:val="center"/>
          </w:tcPr>
          <w:p w:rsidR="00AA6ACF" w:rsidRDefault="00AA6ACF" w:rsidP="00AA6ACF">
            <w:pPr>
              <w:jc w:val="center"/>
              <w:rPr>
                <w:sz w:val="20"/>
                <w:szCs w:val="20"/>
              </w:rPr>
            </w:pPr>
            <w:r>
              <w:rPr>
                <w:sz w:val="20"/>
                <w:szCs w:val="20"/>
              </w:rPr>
              <w:t>1</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1997</w:t>
            </w:r>
          </w:p>
        </w:tc>
        <w:tc>
          <w:tcPr>
            <w:tcW w:w="1409" w:type="dxa"/>
            <w:noWrap/>
            <w:vAlign w:val="center"/>
          </w:tcPr>
          <w:p w:rsidR="00AA6ACF" w:rsidRDefault="00AA6ACF" w:rsidP="00AA6ACF">
            <w:pPr>
              <w:jc w:val="center"/>
              <w:rPr>
                <w:sz w:val="20"/>
                <w:szCs w:val="20"/>
              </w:rPr>
            </w:pPr>
            <w:r>
              <w:rPr>
                <w:sz w:val="20"/>
                <w:szCs w:val="20"/>
              </w:rPr>
              <w:t>1</w:t>
            </w:r>
          </w:p>
        </w:tc>
        <w:tc>
          <w:tcPr>
            <w:tcW w:w="1069" w:type="dxa"/>
            <w:noWrap/>
            <w:vAlign w:val="center"/>
          </w:tcPr>
          <w:p w:rsidR="00AA6ACF" w:rsidRDefault="00AA6ACF" w:rsidP="00AA6ACF">
            <w:pPr>
              <w:jc w:val="center"/>
              <w:rPr>
                <w:sz w:val="20"/>
                <w:szCs w:val="20"/>
              </w:rPr>
            </w:pPr>
            <w:r>
              <w:rPr>
                <w:sz w:val="20"/>
                <w:szCs w:val="20"/>
              </w:rPr>
              <w:t>1</w:t>
            </w:r>
          </w:p>
        </w:tc>
        <w:tc>
          <w:tcPr>
            <w:tcW w:w="1036" w:type="dxa"/>
            <w:vAlign w:val="center"/>
          </w:tcPr>
          <w:p w:rsidR="00AA6ACF" w:rsidRDefault="00AA6ACF" w:rsidP="00AA6ACF">
            <w:pPr>
              <w:jc w:val="center"/>
              <w:rPr>
                <w:sz w:val="20"/>
                <w:szCs w:val="20"/>
              </w:rPr>
            </w:pPr>
            <w:r>
              <w:rPr>
                <w:sz w:val="20"/>
                <w:szCs w:val="20"/>
              </w:rPr>
              <w:t>1</w:t>
            </w:r>
          </w:p>
        </w:tc>
        <w:tc>
          <w:tcPr>
            <w:tcW w:w="1142" w:type="dxa"/>
            <w:noWrap/>
            <w:vAlign w:val="center"/>
          </w:tcPr>
          <w:p w:rsidR="00AA6ACF" w:rsidRDefault="00AA6ACF" w:rsidP="00AA6ACF">
            <w:pPr>
              <w:jc w:val="center"/>
              <w:rPr>
                <w:sz w:val="20"/>
                <w:szCs w:val="20"/>
              </w:rPr>
            </w:pPr>
            <w:r>
              <w:rPr>
                <w:sz w:val="20"/>
                <w:szCs w:val="20"/>
              </w:rPr>
              <w:t>1</w:t>
            </w:r>
          </w:p>
        </w:tc>
        <w:tc>
          <w:tcPr>
            <w:tcW w:w="1033" w:type="dxa"/>
            <w:vAlign w:val="center"/>
          </w:tcPr>
          <w:p w:rsidR="00AA6ACF" w:rsidRDefault="00AA6ACF" w:rsidP="00AA6ACF">
            <w:pPr>
              <w:jc w:val="center"/>
              <w:rPr>
                <w:sz w:val="20"/>
                <w:szCs w:val="20"/>
              </w:rPr>
            </w:pPr>
            <w:r>
              <w:rPr>
                <w:sz w:val="20"/>
                <w:szCs w:val="20"/>
              </w:rPr>
              <w:t>1</w:t>
            </w:r>
          </w:p>
        </w:tc>
        <w:tc>
          <w:tcPr>
            <w:tcW w:w="1155" w:type="dxa"/>
            <w:noWrap/>
            <w:vAlign w:val="center"/>
          </w:tcPr>
          <w:p w:rsidR="00AA6ACF" w:rsidRDefault="00AA6ACF" w:rsidP="00AA6ACF">
            <w:pPr>
              <w:jc w:val="center"/>
              <w:rPr>
                <w:sz w:val="20"/>
                <w:szCs w:val="20"/>
              </w:rPr>
            </w:pPr>
            <w:r>
              <w:rPr>
                <w:sz w:val="20"/>
                <w:szCs w:val="20"/>
              </w:rPr>
              <w:t>1</w:t>
            </w:r>
          </w:p>
        </w:tc>
      </w:tr>
    </w:tbl>
    <w:p w:rsidR="00AA6ACF" w:rsidRDefault="00AA6ACF" w:rsidP="00AA6ACF"/>
    <w:p w:rsidR="00AA6ACF" w:rsidRDefault="00AA6ACF" w:rsidP="00AA6ACF"/>
    <w:p w:rsidR="00AA6ACF" w:rsidRDefault="00AA6ACF" w:rsidP="00AA6ACF">
      <w:r>
        <w:br w:type="page"/>
      </w:r>
    </w:p>
    <w:p w:rsidR="00AA6ACF" w:rsidRDefault="00AA6ACF" w:rsidP="00AA6ACF"/>
    <w:p w:rsidR="00AA6ACF" w:rsidRDefault="00AA6ACF" w:rsidP="00AA6ACF"/>
    <w:p w:rsidR="00AA6ACF" w:rsidRPr="001410DA" w:rsidRDefault="00AA6ACF" w:rsidP="00AA6ACF">
      <w:pPr>
        <w:jc w:val="center"/>
      </w:pPr>
      <w:r w:rsidRPr="001410DA">
        <w:t xml:space="preserve">Table </w:t>
      </w:r>
      <w:r>
        <w:t xml:space="preserve">4. </w:t>
      </w:r>
      <w:r w:rsidRPr="001410DA">
        <w:t xml:space="preserve"> Results from </w:t>
      </w:r>
      <w:r>
        <w:t>Färe</w:t>
      </w:r>
      <w:r w:rsidRPr="001410DA">
        <w:t xml:space="preserve">’s approach: </w:t>
      </w:r>
      <w:r>
        <w:t>automobil</w:t>
      </w:r>
      <w:r w:rsidRPr="001410DA">
        <w:t>e industry</w:t>
      </w:r>
    </w:p>
    <w:p w:rsidR="00AA6ACF" w:rsidRDefault="00AA6ACF" w:rsidP="00AA6ACF">
      <w:pPr>
        <w:jc w:val="center"/>
      </w:pPr>
    </w:p>
    <w:tbl>
      <w:tblPr>
        <w:tblW w:w="768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15" w:type="dxa"/>
          <w:right w:w="115" w:type="dxa"/>
        </w:tblCellMar>
        <w:tblLook w:val="0000"/>
      </w:tblPr>
      <w:tblGrid>
        <w:gridCol w:w="841"/>
        <w:gridCol w:w="1409"/>
        <w:gridCol w:w="1069"/>
        <w:gridCol w:w="1036"/>
        <w:gridCol w:w="1142"/>
        <w:gridCol w:w="1033"/>
        <w:gridCol w:w="1155"/>
      </w:tblGrid>
      <w:tr w:rsidR="00AA6ACF">
        <w:trPr>
          <w:trHeight w:val="345"/>
          <w:jc w:val="center"/>
        </w:trPr>
        <w:tc>
          <w:tcPr>
            <w:tcW w:w="841" w:type="dxa"/>
            <w:vMerge w:val="restart"/>
            <w:noWrap/>
            <w:vAlign w:val="center"/>
          </w:tcPr>
          <w:p w:rsidR="00AA6ACF" w:rsidRDefault="00AA6ACF" w:rsidP="00AA6ACF">
            <w:pPr>
              <w:jc w:val="center"/>
              <w:rPr>
                <w:sz w:val="20"/>
                <w:szCs w:val="20"/>
              </w:rPr>
            </w:pPr>
          </w:p>
        </w:tc>
        <w:tc>
          <w:tcPr>
            <w:tcW w:w="1409" w:type="dxa"/>
            <w:vMerge w:val="restart"/>
            <w:noWrap/>
            <w:vAlign w:val="center"/>
          </w:tcPr>
          <w:p w:rsidR="00AA6ACF" w:rsidRDefault="00AA6ACF" w:rsidP="00AA6ACF">
            <w:pPr>
              <w:jc w:val="center"/>
              <w:rPr>
                <w:sz w:val="20"/>
                <w:szCs w:val="20"/>
              </w:rPr>
            </w:pPr>
            <w:r>
              <w:rPr>
                <w:sz w:val="20"/>
                <w:szCs w:val="20"/>
              </w:rPr>
              <w:t>Overall technical efficiency</w:t>
            </w:r>
          </w:p>
        </w:tc>
        <w:tc>
          <w:tcPr>
            <w:tcW w:w="1069" w:type="dxa"/>
            <w:vMerge w:val="restart"/>
            <w:noWrap/>
            <w:vAlign w:val="center"/>
          </w:tcPr>
          <w:p w:rsidR="00AA6ACF" w:rsidRDefault="00AA6ACF" w:rsidP="00AA6ACF">
            <w:pPr>
              <w:jc w:val="center"/>
              <w:rPr>
                <w:sz w:val="20"/>
                <w:szCs w:val="20"/>
              </w:rPr>
            </w:pPr>
            <w:r>
              <w:rPr>
                <w:sz w:val="20"/>
                <w:szCs w:val="20"/>
              </w:rPr>
              <w:t>Pure technical efficiency</w:t>
            </w:r>
          </w:p>
        </w:tc>
        <w:tc>
          <w:tcPr>
            <w:tcW w:w="2178" w:type="dxa"/>
            <w:gridSpan w:val="2"/>
            <w:vAlign w:val="center"/>
          </w:tcPr>
          <w:p w:rsidR="00AA6ACF" w:rsidRDefault="00AA6ACF" w:rsidP="00AA6ACF">
            <w:pPr>
              <w:jc w:val="center"/>
              <w:rPr>
                <w:sz w:val="20"/>
                <w:szCs w:val="20"/>
              </w:rPr>
            </w:pPr>
            <w:r>
              <w:rPr>
                <w:sz w:val="20"/>
                <w:szCs w:val="20"/>
              </w:rPr>
              <w:t>VRS-based method</w:t>
            </w:r>
          </w:p>
        </w:tc>
        <w:tc>
          <w:tcPr>
            <w:tcW w:w="2188" w:type="dxa"/>
            <w:gridSpan w:val="2"/>
            <w:shd w:val="clear" w:color="auto" w:fill="auto"/>
            <w:vAlign w:val="center"/>
          </w:tcPr>
          <w:p w:rsidR="00AA6ACF" w:rsidRDefault="00AA6ACF" w:rsidP="00AA6ACF">
            <w:pPr>
              <w:jc w:val="center"/>
              <w:rPr>
                <w:sz w:val="20"/>
                <w:szCs w:val="20"/>
              </w:rPr>
            </w:pPr>
            <w:smartTag w:uri="urn:schemas-microsoft-com:office:smarttags" w:element="stockticker">
              <w:r>
                <w:rPr>
                  <w:sz w:val="20"/>
                  <w:szCs w:val="20"/>
                </w:rPr>
                <w:t>CRS</w:t>
              </w:r>
            </w:smartTag>
            <w:r>
              <w:rPr>
                <w:sz w:val="20"/>
                <w:szCs w:val="20"/>
              </w:rPr>
              <w:t>-based method</w:t>
            </w:r>
          </w:p>
        </w:tc>
      </w:tr>
      <w:tr w:rsidR="00AA6ACF">
        <w:trPr>
          <w:trHeight w:val="345"/>
          <w:jc w:val="center"/>
        </w:trPr>
        <w:tc>
          <w:tcPr>
            <w:tcW w:w="841" w:type="dxa"/>
            <w:vMerge/>
            <w:noWrap/>
            <w:vAlign w:val="center"/>
          </w:tcPr>
          <w:p w:rsidR="00AA6ACF" w:rsidRDefault="00AA6ACF" w:rsidP="00AA6ACF">
            <w:pPr>
              <w:jc w:val="center"/>
              <w:rPr>
                <w:sz w:val="20"/>
                <w:szCs w:val="20"/>
              </w:rPr>
            </w:pPr>
          </w:p>
        </w:tc>
        <w:tc>
          <w:tcPr>
            <w:tcW w:w="1409" w:type="dxa"/>
            <w:vMerge/>
            <w:noWrap/>
            <w:vAlign w:val="center"/>
          </w:tcPr>
          <w:p w:rsidR="00AA6ACF" w:rsidRDefault="00AA6ACF" w:rsidP="00AA6ACF">
            <w:pPr>
              <w:jc w:val="center"/>
              <w:rPr>
                <w:sz w:val="20"/>
                <w:szCs w:val="20"/>
              </w:rPr>
            </w:pPr>
          </w:p>
        </w:tc>
        <w:tc>
          <w:tcPr>
            <w:tcW w:w="1069" w:type="dxa"/>
            <w:vMerge/>
            <w:noWrap/>
            <w:vAlign w:val="center"/>
          </w:tcPr>
          <w:p w:rsidR="00AA6ACF" w:rsidRDefault="00AA6ACF" w:rsidP="00AA6ACF">
            <w:pPr>
              <w:jc w:val="center"/>
              <w:rPr>
                <w:sz w:val="20"/>
                <w:szCs w:val="20"/>
              </w:rPr>
            </w:pPr>
          </w:p>
        </w:tc>
        <w:tc>
          <w:tcPr>
            <w:tcW w:w="1036" w:type="dxa"/>
            <w:vAlign w:val="center"/>
          </w:tcPr>
          <w:p w:rsidR="00AA6ACF" w:rsidRDefault="00AA6ACF" w:rsidP="00173179">
            <w:pPr>
              <w:spacing w:before="60" w:after="60"/>
              <w:jc w:val="center"/>
              <w:rPr>
                <w:sz w:val="20"/>
                <w:szCs w:val="20"/>
              </w:rPr>
            </w:pPr>
            <w:r>
              <w:rPr>
                <w:sz w:val="20"/>
                <w:szCs w:val="20"/>
              </w:rPr>
              <w:t>Scale efficiency</w:t>
            </w:r>
          </w:p>
        </w:tc>
        <w:tc>
          <w:tcPr>
            <w:tcW w:w="1142" w:type="dxa"/>
            <w:vAlign w:val="center"/>
          </w:tcPr>
          <w:p w:rsidR="00AA6ACF" w:rsidRDefault="00AA6ACF" w:rsidP="00173179">
            <w:pPr>
              <w:spacing w:before="60" w:after="60"/>
              <w:jc w:val="center"/>
              <w:rPr>
                <w:sz w:val="20"/>
                <w:szCs w:val="20"/>
              </w:rPr>
            </w:pPr>
            <w:r>
              <w:rPr>
                <w:sz w:val="20"/>
                <w:szCs w:val="20"/>
              </w:rPr>
              <w:t>Congestion efficiency</w:t>
            </w:r>
          </w:p>
        </w:tc>
        <w:tc>
          <w:tcPr>
            <w:tcW w:w="1033" w:type="dxa"/>
            <w:shd w:val="clear" w:color="auto" w:fill="auto"/>
            <w:vAlign w:val="center"/>
          </w:tcPr>
          <w:p w:rsidR="00AA6ACF" w:rsidRDefault="00AA6ACF" w:rsidP="00173179">
            <w:pPr>
              <w:spacing w:before="60" w:after="60"/>
              <w:jc w:val="center"/>
              <w:rPr>
                <w:sz w:val="20"/>
                <w:szCs w:val="20"/>
              </w:rPr>
            </w:pPr>
            <w:r>
              <w:rPr>
                <w:sz w:val="20"/>
                <w:szCs w:val="20"/>
              </w:rPr>
              <w:t>Scale efficiency</w:t>
            </w:r>
          </w:p>
        </w:tc>
        <w:tc>
          <w:tcPr>
            <w:tcW w:w="1155" w:type="dxa"/>
            <w:shd w:val="clear" w:color="auto" w:fill="auto"/>
            <w:vAlign w:val="center"/>
          </w:tcPr>
          <w:p w:rsidR="00AA6ACF" w:rsidRDefault="00AA6ACF" w:rsidP="00173179">
            <w:pPr>
              <w:spacing w:before="60" w:after="60"/>
              <w:jc w:val="center"/>
              <w:rPr>
                <w:sz w:val="20"/>
                <w:szCs w:val="20"/>
              </w:rPr>
            </w:pPr>
            <w:r>
              <w:rPr>
                <w:sz w:val="20"/>
                <w:szCs w:val="20"/>
              </w:rPr>
              <w:t>Congestion efficiency</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1981</w:t>
            </w:r>
          </w:p>
        </w:tc>
        <w:tc>
          <w:tcPr>
            <w:tcW w:w="1409" w:type="dxa"/>
            <w:noWrap/>
            <w:vAlign w:val="center"/>
          </w:tcPr>
          <w:p w:rsidR="00AA6ACF" w:rsidRDefault="00AA6ACF" w:rsidP="00AA6ACF">
            <w:pPr>
              <w:jc w:val="center"/>
              <w:rPr>
                <w:sz w:val="20"/>
                <w:szCs w:val="20"/>
              </w:rPr>
            </w:pPr>
            <w:r>
              <w:rPr>
                <w:sz w:val="20"/>
                <w:szCs w:val="20"/>
              </w:rPr>
              <w:t>0.873</w:t>
            </w:r>
          </w:p>
        </w:tc>
        <w:tc>
          <w:tcPr>
            <w:tcW w:w="1069" w:type="dxa"/>
            <w:noWrap/>
            <w:vAlign w:val="center"/>
          </w:tcPr>
          <w:p w:rsidR="00AA6ACF" w:rsidRDefault="00AA6ACF" w:rsidP="00AA6ACF">
            <w:pPr>
              <w:jc w:val="center"/>
              <w:rPr>
                <w:sz w:val="20"/>
                <w:szCs w:val="20"/>
              </w:rPr>
            </w:pPr>
            <w:r>
              <w:rPr>
                <w:sz w:val="20"/>
                <w:szCs w:val="20"/>
              </w:rPr>
              <w:t>1</w:t>
            </w:r>
          </w:p>
        </w:tc>
        <w:tc>
          <w:tcPr>
            <w:tcW w:w="1036" w:type="dxa"/>
            <w:vAlign w:val="center"/>
          </w:tcPr>
          <w:p w:rsidR="00AA6ACF" w:rsidRDefault="00AA6ACF" w:rsidP="00AA6ACF">
            <w:pPr>
              <w:jc w:val="center"/>
              <w:rPr>
                <w:sz w:val="20"/>
                <w:szCs w:val="20"/>
              </w:rPr>
            </w:pPr>
            <w:r>
              <w:rPr>
                <w:sz w:val="20"/>
                <w:szCs w:val="20"/>
              </w:rPr>
              <w:t>0.873</w:t>
            </w:r>
          </w:p>
        </w:tc>
        <w:tc>
          <w:tcPr>
            <w:tcW w:w="1142" w:type="dxa"/>
            <w:noWrap/>
            <w:vAlign w:val="center"/>
          </w:tcPr>
          <w:p w:rsidR="00AA6ACF" w:rsidRDefault="00AA6ACF" w:rsidP="00AA6ACF">
            <w:pPr>
              <w:jc w:val="center"/>
              <w:rPr>
                <w:sz w:val="20"/>
                <w:szCs w:val="20"/>
              </w:rPr>
            </w:pPr>
            <w:r>
              <w:rPr>
                <w:sz w:val="20"/>
                <w:szCs w:val="20"/>
              </w:rPr>
              <w:t>1</w:t>
            </w:r>
          </w:p>
        </w:tc>
        <w:tc>
          <w:tcPr>
            <w:tcW w:w="1033" w:type="dxa"/>
            <w:vAlign w:val="center"/>
          </w:tcPr>
          <w:p w:rsidR="00AA6ACF" w:rsidRDefault="00AA6ACF" w:rsidP="00AA6ACF">
            <w:pPr>
              <w:jc w:val="center"/>
              <w:rPr>
                <w:sz w:val="20"/>
                <w:szCs w:val="20"/>
              </w:rPr>
            </w:pPr>
            <w:r>
              <w:rPr>
                <w:sz w:val="20"/>
                <w:szCs w:val="20"/>
              </w:rPr>
              <w:t>1</w:t>
            </w:r>
          </w:p>
        </w:tc>
        <w:tc>
          <w:tcPr>
            <w:tcW w:w="1155" w:type="dxa"/>
            <w:noWrap/>
            <w:vAlign w:val="center"/>
          </w:tcPr>
          <w:p w:rsidR="00AA6ACF" w:rsidRDefault="00AA6ACF" w:rsidP="00AA6ACF">
            <w:pPr>
              <w:jc w:val="center"/>
              <w:rPr>
                <w:sz w:val="20"/>
                <w:szCs w:val="20"/>
              </w:rPr>
            </w:pPr>
            <w:r>
              <w:rPr>
                <w:sz w:val="20"/>
                <w:szCs w:val="20"/>
              </w:rPr>
              <w:t>0.873 L</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1982</w:t>
            </w:r>
          </w:p>
        </w:tc>
        <w:tc>
          <w:tcPr>
            <w:tcW w:w="1409" w:type="dxa"/>
            <w:noWrap/>
            <w:vAlign w:val="center"/>
          </w:tcPr>
          <w:p w:rsidR="00AA6ACF" w:rsidRDefault="00AA6ACF" w:rsidP="00AA6ACF">
            <w:pPr>
              <w:jc w:val="center"/>
              <w:rPr>
                <w:sz w:val="20"/>
                <w:szCs w:val="20"/>
              </w:rPr>
            </w:pPr>
            <w:r>
              <w:rPr>
                <w:sz w:val="20"/>
                <w:szCs w:val="20"/>
              </w:rPr>
              <w:t>0.938</w:t>
            </w:r>
          </w:p>
        </w:tc>
        <w:tc>
          <w:tcPr>
            <w:tcW w:w="1069" w:type="dxa"/>
            <w:noWrap/>
            <w:vAlign w:val="center"/>
          </w:tcPr>
          <w:p w:rsidR="00AA6ACF" w:rsidRDefault="00AA6ACF" w:rsidP="00AA6ACF">
            <w:pPr>
              <w:jc w:val="center"/>
              <w:rPr>
                <w:sz w:val="20"/>
                <w:szCs w:val="20"/>
              </w:rPr>
            </w:pPr>
            <w:r>
              <w:rPr>
                <w:sz w:val="20"/>
                <w:szCs w:val="20"/>
              </w:rPr>
              <w:t>1</w:t>
            </w:r>
          </w:p>
        </w:tc>
        <w:tc>
          <w:tcPr>
            <w:tcW w:w="1036" w:type="dxa"/>
            <w:vAlign w:val="center"/>
          </w:tcPr>
          <w:p w:rsidR="00AA6ACF" w:rsidRDefault="00AA6ACF" w:rsidP="00AA6ACF">
            <w:pPr>
              <w:jc w:val="center"/>
              <w:rPr>
                <w:sz w:val="20"/>
                <w:szCs w:val="20"/>
              </w:rPr>
            </w:pPr>
            <w:r>
              <w:rPr>
                <w:sz w:val="20"/>
                <w:szCs w:val="20"/>
              </w:rPr>
              <w:t>0.938</w:t>
            </w:r>
          </w:p>
        </w:tc>
        <w:tc>
          <w:tcPr>
            <w:tcW w:w="1142" w:type="dxa"/>
            <w:noWrap/>
            <w:vAlign w:val="center"/>
          </w:tcPr>
          <w:p w:rsidR="00AA6ACF" w:rsidRDefault="00AA6ACF" w:rsidP="00AA6ACF">
            <w:pPr>
              <w:jc w:val="center"/>
              <w:rPr>
                <w:sz w:val="20"/>
                <w:szCs w:val="20"/>
              </w:rPr>
            </w:pPr>
            <w:r>
              <w:rPr>
                <w:sz w:val="20"/>
                <w:szCs w:val="20"/>
              </w:rPr>
              <w:t>1</w:t>
            </w:r>
          </w:p>
        </w:tc>
        <w:tc>
          <w:tcPr>
            <w:tcW w:w="1033" w:type="dxa"/>
            <w:vAlign w:val="center"/>
          </w:tcPr>
          <w:p w:rsidR="00AA6ACF" w:rsidRDefault="00AA6ACF" w:rsidP="00AA6ACF">
            <w:pPr>
              <w:jc w:val="center"/>
              <w:rPr>
                <w:sz w:val="20"/>
                <w:szCs w:val="20"/>
              </w:rPr>
            </w:pPr>
            <w:r>
              <w:rPr>
                <w:sz w:val="20"/>
                <w:szCs w:val="20"/>
              </w:rPr>
              <w:t>1</w:t>
            </w:r>
          </w:p>
        </w:tc>
        <w:tc>
          <w:tcPr>
            <w:tcW w:w="1155" w:type="dxa"/>
            <w:noWrap/>
            <w:vAlign w:val="center"/>
          </w:tcPr>
          <w:p w:rsidR="00AA6ACF" w:rsidRDefault="00AA6ACF" w:rsidP="00AA6ACF">
            <w:pPr>
              <w:jc w:val="center"/>
              <w:rPr>
                <w:sz w:val="20"/>
                <w:szCs w:val="20"/>
              </w:rPr>
            </w:pPr>
            <w:r>
              <w:rPr>
                <w:sz w:val="20"/>
                <w:szCs w:val="20"/>
              </w:rPr>
              <w:t>0.938 L</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1983</w:t>
            </w:r>
          </w:p>
        </w:tc>
        <w:tc>
          <w:tcPr>
            <w:tcW w:w="1409" w:type="dxa"/>
            <w:noWrap/>
            <w:vAlign w:val="center"/>
          </w:tcPr>
          <w:p w:rsidR="00AA6ACF" w:rsidRDefault="00AA6ACF" w:rsidP="00AA6ACF">
            <w:pPr>
              <w:jc w:val="center"/>
              <w:rPr>
                <w:sz w:val="20"/>
                <w:szCs w:val="20"/>
              </w:rPr>
            </w:pPr>
            <w:r>
              <w:rPr>
                <w:sz w:val="20"/>
                <w:szCs w:val="20"/>
              </w:rPr>
              <w:t>1</w:t>
            </w:r>
          </w:p>
        </w:tc>
        <w:tc>
          <w:tcPr>
            <w:tcW w:w="1069" w:type="dxa"/>
            <w:noWrap/>
            <w:vAlign w:val="center"/>
          </w:tcPr>
          <w:p w:rsidR="00AA6ACF" w:rsidRDefault="00AA6ACF" w:rsidP="00AA6ACF">
            <w:pPr>
              <w:jc w:val="center"/>
              <w:rPr>
                <w:sz w:val="20"/>
                <w:szCs w:val="20"/>
              </w:rPr>
            </w:pPr>
            <w:r>
              <w:rPr>
                <w:sz w:val="20"/>
                <w:szCs w:val="20"/>
              </w:rPr>
              <w:t>1</w:t>
            </w:r>
          </w:p>
        </w:tc>
        <w:tc>
          <w:tcPr>
            <w:tcW w:w="1036" w:type="dxa"/>
            <w:vAlign w:val="center"/>
          </w:tcPr>
          <w:p w:rsidR="00AA6ACF" w:rsidRDefault="00AA6ACF" w:rsidP="00AA6ACF">
            <w:pPr>
              <w:jc w:val="center"/>
              <w:rPr>
                <w:sz w:val="20"/>
                <w:szCs w:val="20"/>
              </w:rPr>
            </w:pPr>
            <w:r>
              <w:rPr>
                <w:sz w:val="20"/>
                <w:szCs w:val="20"/>
              </w:rPr>
              <w:t>1</w:t>
            </w:r>
          </w:p>
        </w:tc>
        <w:tc>
          <w:tcPr>
            <w:tcW w:w="1142" w:type="dxa"/>
            <w:noWrap/>
            <w:vAlign w:val="center"/>
          </w:tcPr>
          <w:p w:rsidR="00AA6ACF" w:rsidRDefault="00AA6ACF" w:rsidP="00AA6ACF">
            <w:pPr>
              <w:jc w:val="center"/>
              <w:rPr>
                <w:sz w:val="20"/>
                <w:szCs w:val="20"/>
              </w:rPr>
            </w:pPr>
            <w:r>
              <w:rPr>
                <w:sz w:val="20"/>
                <w:szCs w:val="20"/>
              </w:rPr>
              <w:t>1</w:t>
            </w:r>
          </w:p>
        </w:tc>
        <w:tc>
          <w:tcPr>
            <w:tcW w:w="1033" w:type="dxa"/>
            <w:vAlign w:val="center"/>
          </w:tcPr>
          <w:p w:rsidR="00AA6ACF" w:rsidRDefault="00AA6ACF" w:rsidP="00AA6ACF">
            <w:pPr>
              <w:jc w:val="center"/>
              <w:rPr>
                <w:sz w:val="20"/>
                <w:szCs w:val="20"/>
              </w:rPr>
            </w:pPr>
            <w:r>
              <w:rPr>
                <w:sz w:val="20"/>
                <w:szCs w:val="20"/>
              </w:rPr>
              <w:t>1</w:t>
            </w:r>
          </w:p>
        </w:tc>
        <w:tc>
          <w:tcPr>
            <w:tcW w:w="1155" w:type="dxa"/>
            <w:noWrap/>
            <w:vAlign w:val="center"/>
          </w:tcPr>
          <w:p w:rsidR="00AA6ACF" w:rsidRDefault="00AA6ACF" w:rsidP="00AA6ACF">
            <w:pPr>
              <w:jc w:val="center"/>
              <w:rPr>
                <w:sz w:val="20"/>
                <w:szCs w:val="20"/>
              </w:rPr>
            </w:pPr>
            <w:r>
              <w:rPr>
                <w:sz w:val="20"/>
                <w:szCs w:val="20"/>
              </w:rPr>
              <w:t>1</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1984</w:t>
            </w:r>
          </w:p>
        </w:tc>
        <w:tc>
          <w:tcPr>
            <w:tcW w:w="1409" w:type="dxa"/>
            <w:noWrap/>
            <w:vAlign w:val="center"/>
          </w:tcPr>
          <w:p w:rsidR="00AA6ACF" w:rsidRDefault="00AA6ACF" w:rsidP="00AA6ACF">
            <w:pPr>
              <w:jc w:val="center"/>
              <w:rPr>
                <w:sz w:val="20"/>
                <w:szCs w:val="20"/>
              </w:rPr>
            </w:pPr>
            <w:r>
              <w:rPr>
                <w:sz w:val="20"/>
                <w:szCs w:val="20"/>
              </w:rPr>
              <w:t>0.961</w:t>
            </w:r>
          </w:p>
        </w:tc>
        <w:tc>
          <w:tcPr>
            <w:tcW w:w="1069" w:type="dxa"/>
            <w:noWrap/>
            <w:vAlign w:val="center"/>
          </w:tcPr>
          <w:p w:rsidR="00AA6ACF" w:rsidRDefault="00AA6ACF" w:rsidP="00AA6ACF">
            <w:pPr>
              <w:jc w:val="center"/>
              <w:rPr>
                <w:sz w:val="20"/>
                <w:szCs w:val="20"/>
              </w:rPr>
            </w:pPr>
            <w:r>
              <w:rPr>
                <w:sz w:val="20"/>
                <w:szCs w:val="20"/>
              </w:rPr>
              <w:t>1</w:t>
            </w:r>
          </w:p>
        </w:tc>
        <w:tc>
          <w:tcPr>
            <w:tcW w:w="1036" w:type="dxa"/>
            <w:vAlign w:val="center"/>
          </w:tcPr>
          <w:p w:rsidR="00AA6ACF" w:rsidRDefault="00AA6ACF" w:rsidP="00AA6ACF">
            <w:pPr>
              <w:jc w:val="center"/>
              <w:rPr>
                <w:sz w:val="20"/>
                <w:szCs w:val="20"/>
              </w:rPr>
            </w:pPr>
            <w:r>
              <w:rPr>
                <w:sz w:val="20"/>
                <w:szCs w:val="20"/>
              </w:rPr>
              <w:t>0.962</w:t>
            </w:r>
          </w:p>
        </w:tc>
        <w:tc>
          <w:tcPr>
            <w:tcW w:w="1142" w:type="dxa"/>
            <w:noWrap/>
            <w:vAlign w:val="center"/>
          </w:tcPr>
          <w:p w:rsidR="00AA6ACF" w:rsidRDefault="00AA6ACF" w:rsidP="00AA6ACF">
            <w:pPr>
              <w:jc w:val="center"/>
              <w:rPr>
                <w:sz w:val="20"/>
                <w:szCs w:val="20"/>
              </w:rPr>
            </w:pPr>
            <w:r>
              <w:rPr>
                <w:sz w:val="20"/>
                <w:szCs w:val="20"/>
              </w:rPr>
              <w:t>0.999 L</w:t>
            </w:r>
          </w:p>
        </w:tc>
        <w:tc>
          <w:tcPr>
            <w:tcW w:w="1033" w:type="dxa"/>
            <w:vAlign w:val="center"/>
          </w:tcPr>
          <w:p w:rsidR="00AA6ACF" w:rsidRDefault="00AA6ACF" w:rsidP="00AA6ACF">
            <w:pPr>
              <w:jc w:val="center"/>
              <w:rPr>
                <w:sz w:val="20"/>
                <w:szCs w:val="20"/>
              </w:rPr>
            </w:pPr>
            <w:r>
              <w:rPr>
                <w:sz w:val="20"/>
                <w:szCs w:val="20"/>
              </w:rPr>
              <w:t>0.961</w:t>
            </w:r>
          </w:p>
        </w:tc>
        <w:tc>
          <w:tcPr>
            <w:tcW w:w="1155" w:type="dxa"/>
            <w:noWrap/>
            <w:vAlign w:val="center"/>
          </w:tcPr>
          <w:p w:rsidR="00AA6ACF" w:rsidRDefault="00AA6ACF" w:rsidP="00AA6ACF">
            <w:pPr>
              <w:jc w:val="center"/>
              <w:rPr>
                <w:sz w:val="20"/>
                <w:szCs w:val="20"/>
              </w:rPr>
            </w:pPr>
            <w:r>
              <w:rPr>
                <w:sz w:val="20"/>
                <w:szCs w:val="20"/>
              </w:rPr>
              <w:t>1</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1985</w:t>
            </w:r>
          </w:p>
        </w:tc>
        <w:tc>
          <w:tcPr>
            <w:tcW w:w="1409" w:type="dxa"/>
            <w:noWrap/>
            <w:vAlign w:val="center"/>
          </w:tcPr>
          <w:p w:rsidR="00AA6ACF" w:rsidRDefault="00AA6ACF" w:rsidP="00AA6ACF">
            <w:pPr>
              <w:jc w:val="center"/>
              <w:rPr>
                <w:sz w:val="20"/>
                <w:szCs w:val="20"/>
              </w:rPr>
            </w:pPr>
            <w:r>
              <w:rPr>
                <w:sz w:val="20"/>
                <w:szCs w:val="20"/>
              </w:rPr>
              <w:t>0.818</w:t>
            </w:r>
          </w:p>
        </w:tc>
        <w:tc>
          <w:tcPr>
            <w:tcW w:w="1069" w:type="dxa"/>
            <w:noWrap/>
            <w:vAlign w:val="center"/>
          </w:tcPr>
          <w:p w:rsidR="00AA6ACF" w:rsidRDefault="00AA6ACF" w:rsidP="00AA6ACF">
            <w:pPr>
              <w:jc w:val="center"/>
              <w:rPr>
                <w:sz w:val="20"/>
                <w:szCs w:val="20"/>
              </w:rPr>
            </w:pPr>
            <w:r>
              <w:rPr>
                <w:sz w:val="20"/>
                <w:szCs w:val="20"/>
              </w:rPr>
              <w:t>0.826</w:t>
            </w:r>
          </w:p>
        </w:tc>
        <w:tc>
          <w:tcPr>
            <w:tcW w:w="1036" w:type="dxa"/>
            <w:vAlign w:val="center"/>
          </w:tcPr>
          <w:p w:rsidR="00AA6ACF" w:rsidRDefault="00AA6ACF" w:rsidP="00AA6ACF">
            <w:pPr>
              <w:jc w:val="center"/>
              <w:rPr>
                <w:sz w:val="20"/>
                <w:szCs w:val="20"/>
              </w:rPr>
            </w:pPr>
            <w:r>
              <w:rPr>
                <w:sz w:val="20"/>
                <w:szCs w:val="20"/>
              </w:rPr>
              <w:t>0.990</w:t>
            </w:r>
          </w:p>
        </w:tc>
        <w:tc>
          <w:tcPr>
            <w:tcW w:w="1142" w:type="dxa"/>
            <w:noWrap/>
            <w:vAlign w:val="center"/>
          </w:tcPr>
          <w:p w:rsidR="00AA6ACF" w:rsidRDefault="00AA6ACF" w:rsidP="00AA6ACF">
            <w:pPr>
              <w:jc w:val="center"/>
              <w:rPr>
                <w:sz w:val="20"/>
                <w:szCs w:val="20"/>
              </w:rPr>
            </w:pPr>
            <w:r>
              <w:rPr>
                <w:sz w:val="20"/>
                <w:szCs w:val="20"/>
              </w:rPr>
              <w:t>1.000 L</w:t>
            </w:r>
          </w:p>
        </w:tc>
        <w:tc>
          <w:tcPr>
            <w:tcW w:w="1033" w:type="dxa"/>
            <w:vAlign w:val="center"/>
          </w:tcPr>
          <w:p w:rsidR="00AA6ACF" w:rsidRDefault="00AA6ACF" w:rsidP="00AA6ACF">
            <w:pPr>
              <w:jc w:val="center"/>
              <w:rPr>
                <w:sz w:val="20"/>
                <w:szCs w:val="20"/>
              </w:rPr>
            </w:pPr>
            <w:r>
              <w:rPr>
                <w:sz w:val="20"/>
                <w:szCs w:val="20"/>
              </w:rPr>
              <w:t>0.990</w:t>
            </w:r>
          </w:p>
        </w:tc>
        <w:tc>
          <w:tcPr>
            <w:tcW w:w="1155" w:type="dxa"/>
            <w:noWrap/>
            <w:vAlign w:val="center"/>
          </w:tcPr>
          <w:p w:rsidR="00AA6ACF" w:rsidRDefault="00AA6ACF" w:rsidP="00AA6ACF">
            <w:pPr>
              <w:jc w:val="center"/>
              <w:rPr>
                <w:sz w:val="20"/>
                <w:szCs w:val="20"/>
              </w:rPr>
            </w:pPr>
            <w:r>
              <w:rPr>
                <w:sz w:val="20"/>
                <w:szCs w:val="20"/>
              </w:rPr>
              <w:t>1</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1986</w:t>
            </w:r>
          </w:p>
        </w:tc>
        <w:tc>
          <w:tcPr>
            <w:tcW w:w="1409" w:type="dxa"/>
            <w:noWrap/>
            <w:vAlign w:val="center"/>
          </w:tcPr>
          <w:p w:rsidR="00AA6ACF" w:rsidRDefault="00AA6ACF" w:rsidP="00AA6ACF">
            <w:pPr>
              <w:jc w:val="center"/>
              <w:rPr>
                <w:sz w:val="20"/>
                <w:szCs w:val="20"/>
              </w:rPr>
            </w:pPr>
            <w:r>
              <w:rPr>
                <w:sz w:val="20"/>
                <w:szCs w:val="20"/>
              </w:rPr>
              <w:t>0.658</w:t>
            </w:r>
          </w:p>
        </w:tc>
        <w:tc>
          <w:tcPr>
            <w:tcW w:w="1069" w:type="dxa"/>
            <w:noWrap/>
            <w:vAlign w:val="center"/>
          </w:tcPr>
          <w:p w:rsidR="00AA6ACF" w:rsidRDefault="00AA6ACF" w:rsidP="00AA6ACF">
            <w:pPr>
              <w:jc w:val="center"/>
              <w:rPr>
                <w:sz w:val="20"/>
                <w:szCs w:val="20"/>
              </w:rPr>
            </w:pPr>
            <w:r>
              <w:rPr>
                <w:sz w:val="20"/>
                <w:szCs w:val="20"/>
              </w:rPr>
              <w:t>0.747</w:t>
            </w:r>
          </w:p>
        </w:tc>
        <w:tc>
          <w:tcPr>
            <w:tcW w:w="1036" w:type="dxa"/>
            <w:vAlign w:val="center"/>
          </w:tcPr>
          <w:p w:rsidR="00AA6ACF" w:rsidRDefault="00AA6ACF" w:rsidP="00AA6ACF">
            <w:pPr>
              <w:jc w:val="center"/>
              <w:rPr>
                <w:sz w:val="20"/>
                <w:szCs w:val="20"/>
              </w:rPr>
            </w:pPr>
            <w:r>
              <w:rPr>
                <w:sz w:val="20"/>
                <w:szCs w:val="20"/>
              </w:rPr>
              <w:t>0.882</w:t>
            </w:r>
          </w:p>
        </w:tc>
        <w:tc>
          <w:tcPr>
            <w:tcW w:w="1142" w:type="dxa"/>
            <w:noWrap/>
            <w:vAlign w:val="center"/>
          </w:tcPr>
          <w:p w:rsidR="00AA6ACF" w:rsidRDefault="00AA6ACF" w:rsidP="00AA6ACF">
            <w:pPr>
              <w:jc w:val="center"/>
              <w:rPr>
                <w:sz w:val="20"/>
                <w:szCs w:val="20"/>
              </w:rPr>
            </w:pPr>
            <w:r>
              <w:rPr>
                <w:sz w:val="20"/>
                <w:szCs w:val="20"/>
              </w:rPr>
              <w:t>0.999 L</w:t>
            </w:r>
          </w:p>
        </w:tc>
        <w:tc>
          <w:tcPr>
            <w:tcW w:w="1033" w:type="dxa"/>
            <w:vAlign w:val="center"/>
          </w:tcPr>
          <w:p w:rsidR="00AA6ACF" w:rsidRDefault="00AA6ACF" w:rsidP="00AA6ACF">
            <w:pPr>
              <w:jc w:val="center"/>
              <w:rPr>
                <w:sz w:val="20"/>
                <w:szCs w:val="20"/>
              </w:rPr>
            </w:pPr>
            <w:r>
              <w:rPr>
                <w:sz w:val="20"/>
                <w:szCs w:val="20"/>
              </w:rPr>
              <w:t>0.881</w:t>
            </w:r>
          </w:p>
        </w:tc>
        <w:tc>
          <w:tcPr>
            <w:tcW w:w="1155" w:type="dxa"/>
            <w:noWrap/>
            <w:vAlign w:val="center"/>
          </w:tcPr>
          <w:p w:rsidR="00AA6ACF" w:rsidRDefault="00AA6ACF" w:rsidP="00AA6ACF">
            <w:pPr>
              <w:jc w:val="center"/>
              <w:rPr>
                <w:sz w:val="20"/>
                <w:szCs w:val="20"/>
              </w:rPr>
            </w:pPr>
            <w:r>
              <w:rPr>
                <w:sz w:val="20"/>
                <w:szCs w:val="20"/>
              </w:rPr>
              <w:t>1</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1987</w:t>
            </w:r>
          </w:p>
        </w:tc>
        <w:tc>
          <w:tcPr>
            <w:tcW w:w="1409" w:type="dxa"/>
            <w:noWrap/>
            <w:vAlign w:val="center"/>
          </w:tcPr>
          <w:p w:rsidR="00AA6ACF" w:rsidRDefault="00AA6ACF" w:rsidP="00AA6ACF">
            <w:pPr>
              <w:jc w:val="center"/>
              <w:rPr>
                <w:sz w:val="20"/>
                <w:szCs w:val="20"/>
              </w:rPr>
            </w:pPr>
            <w:r>
              <w:rPr>
                <w:sz w:val="20"/>
                <w:szCs w:val="20"/>
              </w:rPr>
              <w:t>0.603</w:t>
            </w:r>
          </w:p>
        </w:tc>
        <w:tc>
          <w:tcPr>
            <w:tcW w:w="1069" w:type="dxa"/>
            <w:noWrap/>
            <w:vAlign w:val="center"/>
          </w:tcPr>
          <w:p w:rsidR="00AA6ACF" w:rsidRDefault="00AA6ACF" w:rsidP="00AA6ACF">
            <w:pPr>
              <w:jc w:val="center"/>
              <w:rPr>
                <w:sz w:val="20"/>
                <w:szCs w:val="20"/>
              </w:rPr>
            </w:pPr>
            <w:r>
              <w:rPr>
                <w:sz w:val="20"/>
                <w:szCs w:val="20"/>
              </w:rPr>
              <w:t>0.736</w:t>
            </w:r>
          </w:p>
        </w:tc>
        <w:tc>
          <w:tcPr>
            <w:tcW w:w="1036" w:type="dxa"/>
            <w:vAlign w:val="center"/>
          </w:tcPr>
          <w:p w:rsidR="00AA6ACF" w:rsidRDefault="00AA6ACF" w:rsidP="00AA6ACF">
            <w:pPr>
              <w:jc w:val="center"/>
              <w:rPr>
                <w:sz w:val="20"/>
                <w:szCs w:val="20"/>
              </w:rPr>
            </w:pPr>
            <w:r>
              <w:rPr>
                <w:sz w:val="20"/>
                <w:szCs w:val="20"/>
              </w:rPr>
              <w:t>0.823</w:t>
            </w:r>
          </w:p>
        </w:tc>
        <w:tc>
          <w:tcPr>
            <w:tcW w:w="1142" w:type="dxa"/>
            <w:noWrap/>
            <w:vAlign w:val="center"/>
          </w:tcPr>
          <w:p w:rsidR="00AA6ACF" w:rsidRDefault="00AA6ACF" w:rsidP="00AA6ACF">
            <w:pPr>
              <w:jc w:val="center"/>
              <w:rPr>
                <w:sz w:val="20"/>
                <w:szCs w:val="20"/>
              </w:rPr>
            </w:pPr>
            <w:r>
              <w:rPr>
                <w:sz w:val="20"/>
                <w:szCs w:val="20"/>
              </w:rPr>
              <w:t>0.996 L</w:t>
            </w:r>
          </w:p>
        </w:tc>
        <w:tc>
          <w:tcPr>
            <w:tcW w:w="1033" w:type="dxa"/>
            <w:vAlign w:val="center"/>
          </w:tcPr>
          <w:p w:rsidR="00AA6ACF" w:rsidRDefault="00AA6ACF" w:rsidP="00AA6ACF">
            <w:pPr>
              <w:jc w:val="center"/>
              <w:rPr>
                <w:sz w:val="20"/>
                <w:szCs w:val="20"/>
              </w:rPr>
            </w:pPr>
            <w:r>
              <w:rPr>
                <w:sz w:val="20"/>
                <w:szCs w:val="20"/>
              </w:rPr>
              <w:t>0.820</w:t>
            </w:r>
          </w:p>
        </w:tc>
        <w:tc>
          <w:tcPr>
            <w:tcW w:w="1155" w:type="dxa"/>
            <w:noWrap/>
            <w:vAlign w:val="center"/>
          </w:tcPr>
          <w:p w:rsidR="00AA6ACF" w:rsidRDefault="00AA6ACF" w:rsidP="00AA6ACF">
            <w:pPr>
              <w:jc w:val="center"/>
              <w:rPr>
                <w:sz w:val="20"/>
                <w:szCs w:val="20"/>
              </w:rPr>
            </w:pPr>
            <w:r>
              <w:rPr>
                <w:sz w:val="20"/>
                <w:szCs w:val="20"/>
              </w:rPr>
              <w:t>1</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1988</w:t>
            </w:r>
          </w:p>
        </w:tc>
        <w:tc>
          <w:tcPr>
            <w:tcW w:w="1409" w:type="dxa"/>
            <w:noWrap/>
            <w:vAlign w:val="center"/>
          </w:tcPr>
          <w:p w:rsidR="00AA6ACF" w:rsidRDefault="00AA6ACF" w:rsidP="00AA6ACF">
            <w:pPr>
              <w:jc w:val="center"/>
              <w:rPr>
                <w:sz w:val="20"/>
                <w:szCs w:val="20"/>
              </w:rPr>
            </w:pPr>
            <w:r>
              <w:rPr>
                <w:sz w:val="20"/>
                <w:szCs w:val="20"/>
              </w:rPr>
              <w:t>0.690</w:t>
            </w:r>
          </w:p>
        </w:tc>
        <w:tc>
          <w:tcPr>
            <w:tcW w:w="1069" w:type="dxa"/>
            <w:noWrap/>
            <w:vAlign w:val="center"/>
          </w:tcPr>
          <w:p w:rsidR="00AA6ACF" w:rsidRDefault="00AA6ACF" w:rsidP="00AA6ACF">
            <w:pPr>
              <w:jc w:val="center"/>
              <w:rPr>
                <w:sz w:val="20"/>
                <w:szCs w:val="20"/>
              </w:rPr>
            </w:pPr>
            <w:r>
              <w:rPr>
                <w:sz w:val="20"/>
                <w:szCs w:val="20"/>
              </w:rPr>
              <w:t>0.710</w:t>
            </w:r>
          </w:p>
        </w:tc>
        <w:tc>
          <w:tcPr>
            <w:tcW w:w="1036" w:type="dxa"/>
            <w:vAlign w:val="center"/>
          </w:tcPr>
          <w:p w:rsidR="00AA6ACF" w:rsidRDefault="00AA6ACF" w:rsidP="00AA6ACF">
            <w:pPr>
              <w:jc w:val="center"/>
              <w:rPr>
                <w:sz w:val="20"/>
                <w:szCs w:val="20"/>
              </w:rPr>
            </w:pPr>
            <w:r>
              <w:rPr>
                <w:sz w:val="20"/>
                <w:szCs w:val="20"/>
              </w:rPr>
              <w:t>0.972</w:t>
            </w:r>
          </w:p>
        </w:tc>
        <w:tc>
          <w:tcPr>
            <w:tcW w:w="1142" w:type="dxa"/>
            <w:noWrap/>
            <w:vAlign w:val="center"/>
          </w:tcPr>
          <w:p w:rsidR="00AA6ACF" w:rsidRDefault="00AA6ACF" w:rsidP="00AA6ACF">
            <w:pPr>
              <w:jc w:val="center"/>
              <w:rPr>
                <w:sz w:val="20"/>
                <w:szCs w:val="20"/>
              </w:rPr>
            </w:pPr>
            <w:r>
              <w:rPr>
                <w:sz w:val="20"/>
                <w:szCs w:val="20"/>
              </w:rPr>
              <w:t>1</w:t>
            </w:r>
          </w:p>
        </w:tc>
        <w:tc>
          <w:tcPr>
            <w:tcW w:w="1033" w:type="dxa"/>
            <w:vAlign w:val="center"/>
          </w:tcPr>
          <w:p w:rsidR="00AA6ACF" w:rsidRDefault="00AA6ACF" w:rsidP="00AA6ACF">
            <w:pPr>
              <w:jc w:val="center"/>
              <w:rPr>
                <w:sz w:val="20"/>
                <w:szCs w:val="20"/>
              </w:rPr>
            </w:pPr>
            <w:r>
              <w:rPr>
                <w:sz w:val="20"/>
                <w:szCs w:val="20"/>
              </w:rPr>
              <w:t>0.972</w:t>
            </w:r>
          </w:p>
        </w:tc>
        <w:tc>
          <w:tcPr>
            <w:tcW w:w="1155" w:type="dxa"/>
            <w:noWrap/>
            <w:vAlign w:val="center"/>
          </w:tcPr>
          <w:p w:rsidR="00AA6ACF" w:rsidRDefault="00AA6ACF" w:rsidP="00AA6ACF">
            <w:pPr>
              <w:jc w:val="center"/>
              <w:rPr>
                <w:sz w:val="20"/>
                <w:szCs w:val="20"/>
              </w:rPr>
            </w:pPr>
            <w:r>
              <w:rPr>
                <w:sz w:val="20"/>
                <w:szCs w:val="20"/>
              </w:rPr>
              <w:t>1</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1989</w:t>
            </w:r>
          </w:p>
        </w:tc>
        <w:tc>
          <w:tcPr>
            <w:tcW w:w="1409" w:type="dxa"/>
            <w:noWrap/>
            <w:vAlign w:val="center"/>
          </w:tcPr>
          <w:p w:rsidR="00AA6ACF" w:rsidRDefault="00AA6ACF" w:rsidP="00AA6ACF">
            <w:pPr>
              <w:jc w:val="center"/>
              <w:rPr>
                <w:sz w:val="20"/>
                <w:szCs w:val="20"/>
              </w:rPr>
            </w:pPr>
            <w:r>
              <w:rPr>
                <w:sz w:val="20"/>
                <w:szCs w:val="20"/>
              </w:rPr>
              <w:t>0.874</w:t>
            </w:r>
          </w:p>
        </w:tc>
        <w:tc>
          <w:tcPr>
            <w:tcW w:w="1069" w:type="dxa"/>
            <w:noWrap/>
            <w:vAlign w:val="center"/>
          </w:tcPr>
          <w:p w:rsidR="00AA6ACF" w:rsidRDefault="00AA6ACF" w:rsidP="00AA6ACF">
            <w:pPr>
              <w:jc w:val="center"/>
              <w:rPr>
                <w:sz w:val="20"/>
                <w:szCs w:val="20"/>
              </w:rPr>
            </w:pPr>
            <w:r>
              <w:rPr>
                <w:sz w:val="20"/>
                <w:szCs w:val="20"/>
              </w:rPr>
              <w:t>1</w:t>
            </w:r>
          </w:p>
        </w:tc>
        <w:tc>
          <w:tcPr>
            <w:tcW w:w="1036" w:type="dxa"/>
            <w:vAlign w:val="center"/>
          </w:tcPr>
          <w:p w:rsidR="00AA6ACF" w:rsidRDefault="00AA6ACF" w:rsidP="00AA6ACF">
            <w:pPr>
              <w:jc w:val="center"/>
              <w:rPr>
                <w:sz w:val="20"/>
                <w:szCs w:val="20"/>
              </w:rPr>
            </w:pPr>
            <w:r>
              <w:rPr>
                <w:sz w:val="20"/>
                <w:szCs w:val="20"/>
              </w:rPr>
              <w:t>0.979</w:t>
            </w:r>
          </w:p>
        </w:tc>
        <w:tc>
          <w:tcPr>
            <w:tcW w:w="1142" w:type="dxa"/>
            <w:noWrap/>
            <w:vAlign w:val="center"/>
          </w:tcPr>
          <w:p w:rsidR="00AA6ACF" w:rsidRDefault="00AA6ACF" w:rsidP="00AA6ACF">
            <w:pPr>
              <w:jc w:val="center"/>
              <w:rPr>
                <w:sz w:val="20"/>
                <w:szCs w:val="20"/>
              </w:rPr>
            </w:pPr>
            <w:r>
              <w:rPr>
                <w:sz w:val="20"/>
                <w:szCs w:val="20"/>
              </w:rPr>
              <w:t>0.893 L</w:t>
            </w:r>
          </w:p>
        </w:tc>
        <w:tc>
          <w:tcPr>
            <w:tcW w:w="1033" w:type="dxa"/>
            <w:vAlign w:val="center"/>
          </w:tcPr>
          <w:p w:rsidR="00AA6ACF" w:rsidRDefault="00AA6ACF" w:rsidP="00AA6ACF">
            <w:pPr>
              <w:jc w:val="center"/>
              <w:rPr>
                <w:sz w:val="20"/>
                <w:szCs w:val="20"/>
              </w:rPr>
            </w:pPr>
            <w:r>
              <w:rPr>
                <w:sz w:val="20"/>
                <w:szCs w:val="20"/>
              </w:rPr>
              <w:t>0.874</w:t>
            </w:r>
          </w:p>
        </w:tc>
        <w:tc>
          <w:tcPr>
            <w:tcW w:w="1155" w:type="dxa"/>
            <w:noWrap/>
            <w:vAlign w:val="center"/>
          </w:tcPr>
          <w:p w:rsidR="00AA6ACF" w:rsidRDefault="00AA6ACF" w:rsidP="00AA6ACF">
            <w:pPr>
              <w:jc w:val="center"/>
              <w:rPr>
                <w:sz w:val="20"/>
                <w:szCs w:val="20"/>
              </w:rPr>
            </w:pPr>
            <w:r>
              <w:rPr>
                <w:sz w:val="20"/>
                <w:szCs w:val="20"/>
              </w:rPr>
              <w:t>1</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1990</w:t>
            </w:r>
          </w:p>
        </w:tc>
        <w:tc>
          <w:tcPr>
            <w:tcW w:w="1409" w:type="dxa"/>
            <w:noWrap/>
            <w:vAlign w:val="center"/>
          </w:tcPr>
          <w:p w:rsidR="00AA6ACF" w:rsidRDefault="00AA6ACF" w:rsidP="00AA6ACF">
            <w:pPr>
              <w:jc w:val="center"/>
              <w:rPr>
                <w:sz w:val="20"/>
                <w:szCs w:val="20"/>
              </w:rPr>
            </w:pPr>
            <w:r>
              <w:rPr>
                <w:sz w:val="20"/>
                <w:szCs w:val="20"/>
              </w:rPr>
              <w:t>0.830</w:t>
            </w:r>
          </w:p>
        </w:tc>
        <w:tc>
          <w:tcPr>
            <w:tcW w:w="1069" w:type="dxa"/>
            <w:noWrap/>
            <w:vAlign w:val="center"/>
          </w:tcPr>
          <w:p w:rsidR="00AA6ACF" w:rsidRDefault="00AA6ACF" w:rsidP="00AA6ACF">
            <w:pPr>
              <w:jc w:val="center"/>
              <w:rPr>
                <w:sz w:val="20"/>
                <w:szCs w:val="20"/>
              </w:rPr>
            </w:pPr>
            <w:r>
              <w:rPr>
                <w:sz w:val="20"/>
                <w:szCs w:val="20"/>
              </w:rPr>
              <w:t>0.844</w:t>
            </w:r>
          </w:p>
        </w:tc>
        <w:tc>
          <w:tcPr>
            <w:tcW w:w="1036" w:type="dxa"/>
            <w:vAlign w:val="center"/>
          </w:tcPr>
          <w:p w:rsidR="00AA6ACF" w:rsidRDefault="00AA6ACF" w:rsidP="00AA6ACF">
            <w:pPr>
              <w:jc w:val="center"/>
              <w:rPr>
                <w:sz w:val="20"/>
                <w:szCs w:val="20"/>
              </w:rPr>
            </w:pPr>
            <w:r>
              <w:rPr>
                <w:sz w:val="20"/>
                <w:szCs w:val="20"/>
              </w:rPr>
              <w:t>0.988</w:t>
            </w:r>
          </w:p>
        </w:tc>
        <w:tc>
          <w:tcPr>
            <w:tcW w:w="1142" w:type="dxa"/>
            <w:noWrap/>
            <w:vAlign w:val="center"/>
          </w:tcPr>
          <w:p w:rsidR="00AA6ACF" w:rsidRDefault="00AA6ACF" w:rsidP="00AA6ACF">
            <w:pPr>
              <w:jc w:val="center"/>
              <w:rPr>
                <w:sz w:val="20"/>
                <w:szCs w:val="20"/>
              </w:rPr>
            </w:pPr>
            <w:r>
              <w:rPr>
                <w:sz w:val="20"/>
                <w:szCs w:val="20"/>
              </w:rPr>
              <w:t>0.995 L</w:t>
            </w:r>
          </w:p>
        </w:tc>
        <w:tc>
          <w:tcPr>
            <w:tcW w:w="1033" w:type="dxa"/>
            <w:vAlign w:val="center"/>
          </w:tcPr>
          <w:p w:rsidR="00AA6ACF" w:rsidRDefault="00AA6ACF" w:rsidP="00AA6ACF">
            <w:pPr>
              <w:jc w:val="center"/>
              <w:rPr>
                <w:sz w:val="20"/>
                <w:szCs w:val="20"/>
              </w:rPr>
            </w:pPr>
            <w:r>
              <w:rPr>
                <w:sz w:val="20"/>
                <w:szCs w:val="20"/>
              </w:rPr>
              <w:t>0.983</w:t>
            </w:r>
          </w:p>
        </w:tc>
        <w:tc>
          <w:tcPr>
            <w:tcW w:w="1155" w:type="dxa"/>
            <w:noWrap/>
            <w:vAlign w:val="center"/>
          </w:tcPr>
          <w:p w:rsidR="00AA6ACF" w:rsidRDefault="00AA6ACF" w:rsidP="00AA6ACF">
            <w:pPr>
              <w:jc w:val="center"/>
              <w:rPr>
                <w:sz w:val="20"/>
                <w:szCs w:val="20"/>
              </w:rPr>
            </w:pPr>
            <w:r>
              <w:rPr>
                <w:sz w:val="20"/>
                <w:szCs w:val="20"/>
              </w:rPr>
              <w:t>1</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1991</w:t>
            </w:r>
          </w:p>
        </w:tc>
        <w:tc>
          <w:tcPr>
            <w:tcW w:w="1409" w:type="dxa"/>
            <w:noWrap/>
            <w:vAlign w:val="center"/>
          </w:tcPr>
          <w:p w:rsidR="00AA6ACF" w:rsidRDefault="00AA6ACF" w:rsidP="00AA6ACF">
            <w:pPr>
              <w:jc w:val="center"/>
              <w:rPr>
                <w:sz w:val="20"/>
                <w:szCs w:val="20"/>
              </w:rPr>
            </w:pPr>
            <w:r>
              <w:rPr>
                <w:sz w:val="20"/>
                <w:szCs w:val="20"/>
              </w:rPr>
              <w:t>0.857</w:t>
            </w:r>
          </w:p>
        </w:tc>
        <w:tc>
          <w:tcPr>
            <w:tcW w:w="1069" w:type="dxa"/>
            <w:noWrap/>
            <w:vAlign w:val="center"/>
          </w:tcPr>
          <w:p w:rsidR="00AA6ACF" w:rsidRDefault="00AA6ACF" w:rsidP="00AA6ACF">
            <w:pPr>
              <w:jc w:val="center"/>
              <w:rPr>
                <w:sz w:val="20"/>
                <w:szCs w:val="20"/>
              </w:rPr>
            </w:pPr>
            <w:r>
              <w:rPr>
                <w:sz w:val="20"/>
                <w:szCs w:val="20"/>
              </w:rPr>
              <w:t>0.918</w:t>
            </w:r>
          </w:p>
        </w:tc>
        <w:tc>
          <w:tcPr>
            <w:tcW w:w="1036" w:type="dxa"/>
            <w:vAlign w:val="center"/>
          </w:tcPr>
          <w:p w:rsidR="00AA6ACF" w:rsidRDefault="00AA6ACF" w:rsidP="00AA6ACF">
            <w:pPr>
              <w:jc w:val="center"/>
              <w:rPr>
                <w:sz w:val="20"/>
                <w:szCs w:val="20"/>
              </w:rPr>
            </w:pPr>
            <w:r>
              <w:rPr>
                <w:sz w:val="20"/>
                <w:szCs w:val="20"/>
              </w:rPr>
              <w:t>0.986</w:t>
            </w:r>
          </w:p>
        </w:tc>
        <w:tc>
          <w:tcPr>
            <w:tcW w:w="1142" w:type="dxa"/>
            <w:noWrap/>
            <w:vAlign w:val="center"/>
          </w:tcPr>
          <w:p w:rsidR="00AA6ACF" w:rsidRPr="00A56E0E" w:rsidRDefault="00AA6ACF" w:rsidP="00AA6ACF">
            <w:pPr>
              <w:jc w:val="center"/>
              <w:rPr>
                <w:sz w:val="20"/>
                <w:szCs w:val="20"/>
              </w:rPr>
            </w:pPr>
            <w:r>
              <w:rPr>
                <w:sz w:val="20"/>
                <w:szCs w:val="20"/>
              </w:rPr>
              <w:t>0.946 L</w:t>
            </w:r>
          </w:p>
        </w:tc>
        <w:tc>
          <w:tcPr>
            <w:tcW w:w="1033" w:type="dxa"/>
            <w:vAlign w:val="center"/>
          </w:tcPr>
          <w:p w:rsidR="00AA6ACF" w:rsidRDefault="00AA6ACF" w:rsidP="00AA6ACF">
            <w:pPr>
              <w:jc w:val="center"/>
              <w:rPr>
                <w:sz w:val="20"/>
                <w:szCs w:val="20"/>
              </w:rPr>
            </w:pPr>
            <w:r>
              <w:rPr>
                <w:sz w:val="20"/>
                <w:szCs w:val="20"/>
              </w:rPr>
              <w:t>0.933</w:t>
            </w:r>
          </w:p>
        </w:tc>
        <w:tc>
          <w:tcPr>
            <w:tcW w:w="1155" w:type="dxa"/>
            <w:noWrap/>
            <w:vAlign w:val="center"/>
          </w:tcPr>
          <w:p w:rsidR="00AA6ACF" w:rsidRPr="00A56E0E" w:rsidRDefault="00AA6ACF" w:rsidP="00AA6ACF">
            <w:pPr>
              <w:jc w:val="center"/>
              <w:rPr>
                <w:sz w:val="20"/>
                <w:szCs w:val="20"/>
              </w:rPr>
            </w:pPr>
            <w:r>
              <w:rPr>
                <w:sz w:val="20"/>
                <w:szCs w:val="20"/>
              </w:rPr>
              <w:t>1</w:t>
            </w:r>
          </w:p>
        </w:tc>
      </w:tr>
      <w:tr w:rsidR="00AA6ACF">
        <w:trPr>
          <w:trHeight w:val="340"/>
          <w:jc w:val="center"/>
        </w:trPr>
        <w:tc>
          <w:tcPr>
            <w:tcW w:w="841" w:type="dxa"/>
            <w:tcBorders>
              <w:bottom w:val="single" w:sz="6" w:space="0" w:color="auto"/>
            </w:tcBorders>
            <w:vAlign w:val="center"/>
          </w:tcPr>
          <w:p w:rsidR="00AA6ACF" w:rsidRPr="006F7CA4" w:rsidRDefault="00AA6ACF" w:rsidP="00AA6ACF">
            <w:pPr>
              <w:rPr>
                <w:bCs/>
                <w:sz w:val="20"/>
                <w:szCs w:val="20"/>
              </w:rPr>
            </w:pPr>
            <w:r w:rsidRPr="006F7CA4">
              <w:rPr>
                <w:bCs/>
                <w:sz w:val="20"/>
                <w:szCs w:val="20"/>
              </w:rPr>
              <w:t xml:space="preserve"> 1992</w:t>
            </w:r>
          </w:p>
        </w:tc>
        <w:tc>
          <w:tcPr>
            <w:tcW w:w="1409" w:type="dxa"/>
            <w:tcBorders>
              <w:bottom w:val="single" w:sz="6" w:space="0" w:color="auto"/>
            </w:tcBorders>
            <w:vAlign w:val="center"/>
          </w:tcPr>
          <w:p w:rsidR="00AA6ACF" w:rsidRPr="00FE1FE0" w:rsidRDefault="00AA6ACF" w:rsidP="00AA6ACF">
            <w:pPr>
              <w:jc w:val="center"/>
              <w:rPr>
                <w:bCs/>
                <w:sz w:val="20"/>
                <w:szCs w:val="20"/>
              </w:rPr>
            </w:pPr>
            <w:r w:rsidRPr="00FE1FE0">
              <w:rPr>
                <w:bCs/>
                <w:sz w:val="20"/>
                <w:szCs w:val="20"/>
              </w:rPr>
              <w:t>0.8</w:t>
            </w:r>
            <w:r>
              <w:rPr>
                <w:bCs/>
                <w:sz w:val="20"/>
                <w:szCs w:val="20"/>
              </w:rPr>
              <w:t>61</w:t>
            </w:r>
          </w:p>
        </w:tc>
        <w:tc>
          <w:tcPr>
            <w:tcW w:w="1069" w:type="dxa"/>
            <w:tcBorders>
              <w:bottom w:val="single" w:sz="6" w:space="0" w:color="auto"/>
            </w:tcBorders>
            <w:vAlign w:val="center"/>
          </w:tcPr>
          <w:p w:rsidR="00AA6ACF" w:rsidRPr="00FE1FE0" w:rsidRDefault="00AA6ACF" w:rsidP="00AA6ACF">
            <w:pPr>
              <w:jc w:val="center"/>
              <w:rPr>
                <w:bCs/>
                <w:sz w:val="20"/>
                <w:szCs w:val="20"/>
              </w:rPr>
            </w:pPr>
            <w:r>
              <w:rPr>
                <w:bCs/>
                <w:sz w:val="20"/>
                <w:szCs w:val="20"/>
              </w:rPr>
              <w:t>0.883</w:t>
            </w:r>
          </w:p>
        </w:tc>
        <w:tc>
          <w:tcPr>
            <w:tcW w:w="1036" w:type="dxa"/>
            <w:tcBorders>
              <w:bottom w:val="single" w:sz="6" w:space="0" w:color="auto"/>
            </w:tcBorders>
            <w:vAlign w:val="center"/>
          </w:tcPr>
          <w:p w:rsidR="00AA6ACF" w:rsidRPr="00FE1FE0" w:rsidRDefault="00AA6ACF" w:rsidP="00AA6ACF">
            <w:pPr>
              <w:jc w:val="center"/>
              <w:rPr>
                <w:bCs/>
                <w:sz w:val="20"/>
                <w:szCs w:val="20"/>
              </w:rPr>
            </w:pPr>
            <w:r w:rsidRPr="00FE1FE0">
              <w:rPr>
                <w:bCs/>
                <w:sz w:val="20"/>
                <w:szCs w:val="20"/>
              </w:rPr>
              <w:t>0.</w:t>
            </w:r>
            <w:r>
              <w:rPr>
                <w:bCs/>
                <w:sz w:val="20"/>
                <w:szCs w:val="20"/>
              </w:rPr>
              <w:t>994</w:t>
            </w:r>
          </w:p>
        </w:tc>
        <w:tc>
          <w:tcPr>
            <w:tcW w:w="1142" w:type="dxa"/>
            <w:tcBorders>
              <w:bottom w:val="single" w:sz="6" w:space="0" w:color="auto"/>
            </w:tcBorders>
            <w:vAlign w:val="center"/>
          </w:tcPr>
          <w:p w:rsidR="00AA6ACF" w:rsidRPr="00FE1FE0" w:rsidRDefault="00AA6ACF" w:rsidP="00AA6ACF">
            <w:pPr>
              <w:jc w:val="center"/>
              <w:rPr>
                <w:bCs/>
                <w:sz w:val="20"/>
                <w:szCs w:val="20"/>
              </w:rPr>
            </w:pPr>
            <w:r>
              <w:rPr>
                <w:bCs/>
                <w:sz w:val="20"/>
                <w:szCs w:val="20"/>
              </w:rPr>
              <w:t>0.982 L</w:t>
            </w:r>
          </w:p>
        </w:tc>
        <w:tc>
          <w:tcPr>
            <w:tcW w:w="1033" w:type="dxa"/>
            <w:tcBorders>
              <w:bottom w:val="single" w:sz="6" w:space="0" w:color="auto"/>
            </w:tcBorders>
            <w:vAlign w:val="center"/>
          </w:tcPr>
          <w:p w:rsidR="00AA6ACF" w:rsidRPr="00FE1FE0" w:rsidRDefault="00AA6ACF" w:rsidP="00AA6ACF">
            <w:pPr>
              <w:jc w:val="center"/>
              <w:rPr>
                <w:bCs/>
                <w:sz w:val="20"/>
                <w:szCs w:val="20"/>
              </w:rPr>
            </w:pPr>
            <w:r>
              <w:rPr>
                <w:bCs/>
                <w:sz w:val="20"/>
                <w:szCs w:val="20"/>
              </w:rPr>
              <w:t>0.976</w:t>
            </w:r>
          </w:p>
        </w:tc>
        <w:tc>
          <w:tcPr>
            <w:tcW w:w="1155" w:type="dxa"/>
            <w:tcBorders>
              <w:bottom w:val="single" w:sz="6" w:space="0" w:color="auto"/>
            </w:tcBorders>
            <w:vAlign w:val="center"/>
          </w:tcPr>
          <w:p w:rsidR="00AA6ACF" w:rsidRPr="00FE1FE0" w:rsidRDefault="00AA6ACF" w:rsidP="00AA6ACF">
            <w:pPr>
              <w:jc w:val="center"/>
              <w:rPr>
                <w:bCs/>
                <w:sz w:val="20"/>
                <w:szCs w:val="20"/>
              </w:rPr>
            </w:pPr>
            <w:r>
              <w:rPr>
                <w:bCs/>
                <w:sz w:val="20"/>
                <w:szCs w:val="20"/>
              </w:rPr>
              <w:t>1</w:t>
            </w:r>
          </w:p>
        </w:tc>
      </w:tr>
      <w:tr w:rsidR="00AA6ACF">
        <w:trPr>
          <w:trHeight w:val="340"/>
          <w:jc w:val="center"/>
        </w:trPr>
        <w:tc>
          <w:tcPr>
            <w:tcW w:w="841" w:type="dxa"/>
            <w:tcBorders>
              <w:top w:val="single" w:sz="6" w:space="0" w:color="auto"/>
              <w:bottom w:val="single" w:sz="6" w:space="0" w:color="auto"/>
            </w:tcBorders>
            <w:noWrap/>
            <w:vAlign w:val="center"/>
          </w:tcPr>
          <w:p w:rsidR="00AA6ACF" w:rsidRDefault="00AA6ACF" w:rsidP="00AA6ACF">
            <w:pPr>
              <w:rPr>
                <w:bCs/>
                <w:sz w:val="20"/>
                <w:szCs w:val="20"/>
              </w:rPr>
            </w:pPr>
            <w:r>
              <w:rPr>
                <w:bCs/>
                <w:sz w:val="20"/>
                <w:szCs w:val="20"/>
              </w:rPr>
              <w:t xml:space="preserve"> 1993</w:t>
            </w:r>
          </w:p>
        </w:tc>
        <w:tc>
          <w:tcPr>
            <w:tcW w:w="1409" w:type="dxa"/>
            <w:tcBorders>
              <w:top w:val="single" w:sz="6" w:space="0" w:color="auto"/>
              <w:bottom w:val="single" w:sz="6" w:space="0" w:color="auto"/>
            </w:tcBorders>
            <w:noWrap/>
            <w:vAlign w:val="center"/>
          </w:tcPr>
          <w:p w:rsidR="00AA6ACF" w:rsidRDefault="00AA6ACF" w:rsidP="00AA6ACF">
            <w:pPr>
              <w:jc w:val="center"/>
              <w:rPr>
                <w:sz w:val="20"/>
                <w:szCs w:val="20"/>
              </w:rPr>
            </w:pPr>
            <w:r>
              <w:rPr>
                <w:sz w:val="20"/>
                <w:szCs w:val="20"/>
              </w:rPr>
              <w:t>0.828</w:t>
            </w:r>
          </w:p>
        </w:tc>
        <w:tc>
          <w:tcPr>
            <w:tcW w:w="1069" w:type="dxa"/>
            <w:tcBorders>
              <w:top w:val="single" w:sz="6" w:space="0" w:color="auto"/>
              <w:bottom w:val="single" w:sz="6" w:space="0" w:color="auto"/>
            </w:tcBorders>
            <w:noWrap/>
            <w:vAlign w:val="center"/>
          </w:tcPr>
          <w:p w:rsidR="00AA6ACF" w:rsidRDefault="00AA6ACF" w:rsidP="00AA6ACF">
            <w:pPr>
              <w:jc w:val="center"/>
              <w:rPr>
                <w:sz w:val="20"/>
                <w:szCs w:val="20"/>
              </w:rPr>
            </w:pPr>
            <w:r>
              <w:rPr>
                <w:sz w:val="20"/>
                <w:szCs w:val="20"/>
              </w:rPr>
              <w:t>0.836</w:t>
            </w:r>
          </w:p>
        </w:tc>
        <w:tc>
          <w:tcPr>
            <w:tcW w:w="1036" w:type="dxa"/>
            <w:vAlign w:val="center"/>
          </w:tcPr>
          <w:p w:rsidR="00AA6ACF" w:rsidRDefault="00AA6ACF" w:rsidP="00AA6ACF">
            <w:pPr>
              <w:jc w:val="center"/>
              <w:rPr>
                <w:sz w:val="20"/>
                <w:szCs w:val="20"/>
              </w:rPr>
            </w:pPr>
            <w:r>
              <w:rPr>
                <w:sz w:val="20"/>
                <w:szCs w:val="20"/>
              </w:rPr>
              <w:t>0.990</w:t>
            </w:r>
          </w:p>
        </w:tc>
        <w:tc>
          <w:tcPr>
            <w:tcW w:w="1142" w:type="dxa"/>
            <w:tcBorders>
              <w:top w:val="single" w:sz="6" w:space="0" w:color="auto"/>
              <w:bottom w:val="single" w:sz="6" w:space="0" w:color="auto"/>
            </w:tcBorders>
            <w:noWrap/>
            <w:vAlign w:val="center"/>
          </w:tcPr>
          <w:p w:rsidR="00AA6ACF" w:rsidRDefault="00AA6ACF" w:rsidP="00AA6ACF">
            <w:pPr>
              <w:jc w:val="center"/>
              <w:rPr>
                <w:sz w:val="20"/>
                <w:szCs w:val="20"/>
              </w:rPr>
            </w:pPr>
            <w:r>
              <w:rPr>
                <w:sz w:val="20"/>
                <w:szCs w:val="20"/>
              </w:rPr>
              <w:t>0.999 K</w:t>
            </w:r>
          </w:p>
        </w:tc>
        <w:tc>
          <w:tcPr>
            <w:tcW w:w="1033" w:type="dxa"/>
            <w:tcBorders>
              <w:top w:val="single" w:sz="6" w:space="0" w:color="auto"/>
              <w:bottom w:val="single" w:sz="6" w:space="0" w:color="auto"/>
            </w:tcBorders>
            <w:vAlign w:val="center"/>
          </w:tcPr>
          <w:p w:rsidR="00AA6ACF" w:rsidRDefault="00AA6ACF" w:rsidP="00AA6ACF">
            <w:pPr>
              <w:jc w:val="center"/>
              <w:rPr>
                <w:sz w:val="20"/>
                <w:szCs w:val="20"/>
              </w:rPr>
            </w:pPr>
            <w:r>
              <w:rPr>
                <w:sz w:val="20"/>
                <w:szCs w:val="20"/>
              </w:rPr>
              <w:t>0.990</w:t>
            </w:r>
          </w:p>
        </w:tc>
        <w:tc>
          <w:tcPr>
            <w:tcW w:w="1155" w:type="dxa"/>
            <w:tcBorders>
              <w:top w:val="single" w:sz="6" w:space="0" w:color="auto"/>
              <w:bottom w:val="single" w:sz="6" w:space="0" w:color="auto"/>
            </w:tcBorders>
            <w:noWrap/>
            <w:vAlign w:val="center"/>
          </w:tcPr>
          <w:p w:rsidR="00AA6ACF" w:rsidRDefault="00AA6ACF" w:rsidP="00AA6ACF">
            <w:pPr>
              <w:jc w:val="center"/>
              <w:rPr>
                <w:sz w:val="20"/>
                <w:szCs w:val="20"/>
              </w:rPr>
            </w:pPr>
            <w:r>
              <w:rPr>
                <w:sz w:val="20"/>
                <w:szCs w:val="20"/>
              </w:rPr>
              <w:t>1</w:t>
            </w:r>
          </w:p>
        </w:tc>
      </w:tr>
      <w:tr w:rsidR="00AA6ACF">
        <w:trPr>
          <w:trHeight w:val="340"/>
          <w:jc w:val="center"/>
        </w:trPr>
        <w:tc>
          <w:tcPr>
            <w:tcW w:w="841" w:type="dxa"/>
            <w:tcBorders>
              <w:top w:val="single" w:sz="6" w:space="0" w:color="auto"/>
            </w:tcBorders>
            <w:noWrap/>
            <w:vAlign w:val="center"/>
          </w:tcPr>
          <w:p w:rsidR="00AA6ACF" w:rsidRDefault="00AA6ACF" w:rsidP="00AA6ACF">
            <w:pPr>
              <w:rPr>
                <w:bCs/>
                <w:sz w:val="20"/>
                <w:szCs w:val="20"/>
              </w:rPr>
            </w:pPr>
            <w:r>
              <w:rPr>
                <w:bCs/>
                <w:sz w:val="20"/>
                <w:szCs w:val="20"/>
              </w:rPr>
              <w:t xml:space="preserve"> 1994</w:t>
            </w:r>
          </w:p>
        </w:tc>
        <w:tc>
          <w:tcPr>
            <w:tcW w:w="1409" w:type="dxa"/>
            <w:tcBorders>
              <w:top w:val="single" w:sz="6" w:space="0" w:color="auto"/>
            </w:tcBorders>
            <w:noWrap/>
            <w:vAlign w:val="center"/>
          </w:tcPr>
          <w:p w:rsidR="00AA6ACF" w:rsidRDefault="00AA6ACF" w:rsidP="00AA6ACF">
            <w:pPr>
              <w:jc w:val="center"/>
              <w:rPr>
                <w:sz w:val="20"/>
                <w:szCs w:val="20"/>
              </w:rPr>
            </w:pPr>
            <w:r>
              <w:rPr>
                <w:sz w:val="20"/>
                <w:szCs w:val="20"/>
              </w:rPr>
              <w:t>0.839</w:t>
            </w:r>
          </w:p>
        </w:tc>
        <w:tc>
          <w:tcPr>
            <w:tcW w:w="1069" w:type="dxa"/>
            <w:tcBorders>
              <w:top w:val="single" w:sz="6" w:space="0" w:color="auto"/>
            </w:tcBorders>
            <w:noWrap/>
            <w:vAlign w:val="center"/>
          </w:tcPr>
          <w:p w:rsidR="00AA6ACF" w:rsidRDefault="00AA6ACF" w:rsidP="00AA6ACF">
            <w:pPr>
              <w:jc w:val="center"/>
              <w:rPr>
                <w:sz w:val="20"/>
                <w:szCs w:val="20"/>
              </w:rPr>
            </w:pPr>
            <w:r>
              <w:rPr>
                <w:sz w:val="20"/>
                <w:szCs w:val="20"/>
              </w:rPr>
              <w:t>0.909</w:t>
            </w:r>
          </w:p>
        </w:tc>
        <w:tc>
          <w:tcPr>
            <w:tcW w:w="1036" w:type="dxa"/>
            <w:vAlign w:val="center"/>
          </w:tcPr>
          <w:p w:rsidR="00AA6ACF" w:rsidRDefault="00AA6ACF" w:rsidP="00AA6ACF">
            <w:pPr>
              <w:jc w:val="center"/>
              <w:rPr>
                <w:sz w:val="20"/>
                <w:szCs w:val="20"/>
              </w:rPr>
            </w:pPr>
            <w:r>
              <w:rPr>
                <w:sz w:val="20"/>
                <w:szCs w:val="20"/>
              </w:rPr>
              <w:t>0.929</w:t>
            </w:r>
          </w:p>
        </w:tc>
        <w:tc>
          <w:tcPr>
            <w:tcW w:w="1142" w:type="dxa"/>
            <w:tcBorders>
              <w:top w:val="single" w:sz="6" w:space="0" w:color="auto"/>
            </w:tcBorders>
            <w:noWrap/>
            <w:vAlign w:val="center"/>
          </w:tcPr>
          <w:p w:rsidR="00AA6ACF" w:rsidRDefault="00AA6ACF" w:rsidP="00AA6ACF">
            <w:pPr>
              <w:jc w:val="center"/>
              <w:rPr>
                <w:sz w:val="20"/>
                <w:szCs w:val="20"/>
              </w:rPr>
            </w:pPr>
            <w:r>
              <w:rPr>
                <w:sz w:val="20"/>
                <w:szCs w:val="20"/>
              </w:rPr>
              <w:t>0.999 K</w:t>
            </w:r>
          </w:p>
        </w:tc>
        <w:tc>
          <w:tcPr>
            <w:tcW w:w="1033" w:type="dxa"/>
            <w:tcBorders>
              <w:top w:val="single" w:sz="6" w:space="0" w:color="auto"/>
            </w:tcBorders>
            <w:vAlign w:val="center"/>
          </w:tcPr>
          <w:p w:rsidR="00AA6ACF" w:rsidRDefault="00AA6ACF" w:rsidP="00AA6ACF">
            <w:pPr>
              <w:jc w:val="center"/>
              <w:rPr>
                <w:sz w:val="20"/>
                <w:szCs w:val="20"/>
              </w:rPr>
            </w:pPr>
            <w:r>
              <w:rPr>
                <w:sz w:val="20"/>
                <w:szCs w:val="20"/>
              </w:rPr>
              <w:t>0.923</w:t>
            </w:r>
          </w:p>
        </w:tc>
        <w:tc>
          <w:tcPr>
            <w:tcW w:w="1155" w:type="dxa"/>
            <w:tcBorders>
              <w:top w:val="single" w:sz="6" w:space="0" w:color="auto"/>
            </w:tcBorders>
            <w:noWrap/>
            <w:vAlign w:val="center"/>
          </w:tcPr>
          <w:p w:rsidR="00AA6ACF" w:rsidRDefault="00AA6ACF" w:rsidP="00AA6ACF">
            <w:pPr>
              <w:jc w:val="center"/>
              <w:rPr>
                <w:sz w:val="20"/>
                <w:szCs w:val="20"/>
              </w:rPr>
            </w:pPr>
            <w:r>
              <w:rPr>
                <w:sz w:val="20"/>
                <w:szCs w:val="20"/>
              </w:rPr>
              <w:t>1</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1995</w:t>
            </w:r>
          </w:p>
        </w:tc>
        <w:tc>
          <w:tcPr>
            <w:tcW w:w="1409" w:type="dxa"/>
            <w:noWrap/>
            <w:vAlign w:val="center"/>
          </w:tcPr>
          <w:p w:rsidR="00AA6ACF" w:rsidRDefault="00AA6ACF" w:rsidP="00AA6ACF">
            <w:pPr>
              <w:jc w:val="center"/>
              <w:rPr>
                <w:sz w:val="20"/>
                <w:szCs w:val="20"/>
              </w:rPr>
            </w:pPr>
            <w:r>
              <w:rPr>
                <w:sz w:val="20"/>
                <w:szCs w:val="20"/>
              </w:rPr>
              <w:t>0.961</w:t>
            </w:r>
          </w:p>
        </w:tc>
        <w:tc>
          <w:tcPr>
            <w:tcW w:w="1069" w:type="dxa"/>
            <w:noWrap/>
            <w:vAlign w:val="center"/>
          </w:tcPr>
          <w:p w:rsidR="00AA6ACF" w:rsidRDefault="00AA6ACF" w:rsidP="00AA6ACF">
            <w:pPr>
              <w:jc w:val="center"/>
              <w:rPr>
                <w:sz w:val="20"/>
                <w:szCs w:val="20"/>
              </w:rPr>
            </w:pPr>
            <w:r>
              <w:rPr>
                <w:sz w:val="20"/>
                <w:szCs w:val="20"/>
              </w:rPr>
              <w:t>1</w:t>
            </w:r>
          </w:p>
        </w:tc>
        <w:tc>
          <w:tcPr>
            <w:tcW w:w="1036" w:type="dxa"/>
            <w:vAlign w:val="center"/>
          </w:tcPr>
          <w:p w:rsidR="00AA6ACF" w:rsidRDefault="00AA6ACF" w:rsidP="00AA6ACF">
            <w:pPr>
              <w:jc w:val="center"/>
              <w:rPr>
                <w:sz w:val="20"/>
                <w:szCs w:val="20"/>
              </w:rPr>
            </w:pPr>
            <w:r>
              <w:rPr>
                <w:sz w:val="20"/>
                <w:szCs w:val="20"/>
              </w:rPr>
              <w:t>0.976</w:t>
            </w:r>
          </w:p>
        </w:tc>
        <w:tc>
          <w:tcPr>
            <w:tcW w:w="1142" w:type="dxa"/>
            <w:noWrap/>
            <w:vAlign w:val="center"/>
          </w:tcPr>
          <w:p w:rsidR="00AA6ACF" w:rsidRDefault="00AA6ACF" w:rsidP="00AA6ACF">
            <w:pPr>
              <w:jc w:val="center"/>
              <w:rPr>
                <w:sz w:val="20"/>
                <w:szCs w:val="20"/>
              </w:rPr>
            </w:pPr>
            <w:r>
              <w:rPr>
                <w:sz w:val="20"/>
                <w:szCs w:val="20"/>
              </w:rPr>
              <w:t>0.984 K</w:t>
            </w:r>
          </w:p>
        </w:tc>
        <w:tc>
          <w:tcPr>
            <w:tcW w:w="1033" w:type="dxa"/>
            <w:vAlign w:val="center"/>
          </w:tcPr>
          <w:p w:rsidR="00AA6ACF" w:rsidRDefault="00AA6ACF" w:rsidP="00AA6ACF">
            <w:pPr>
              <w:jc w:val="center"/>
              <w:rPr>
                <w:sz w:val="20"/>
                <w:szCs w:val="20"/>
              </w:rPr>
            </w:pPr>
            <w:r>
              <w:rPr>
                <w:sz w:val="20"/>
                <w:szCs w:val="20"/>
              </w:rPr>
              <w:t>1</w:t>
            </w:r>
          </w:p>
        </w:tc>
        <w:tc>
          <w:tcPr>
            <w:tcW w:w="1155" w:type="dxa"/>
            <w:noWrap/>
            <w:vAlign w:val="center"/>
          </w:tcPr>
          <w:p w:rsidR="00AA6ACF" w:rsidRDefault="00AA6ACF" w:rsidP="00AA6ACF">
            <w:pPr>
              <w:jc w:val="center"/>
              <w:rPr>
                <w:sz w:val="20"/>
                <w:szCs w:val="20"/>
              </w:rPr>
            </w:pPr>
            <w:r>
              <w:rPr>
                <w:sz w:val="20"/>
                <w:szCs w:val="20"/>
              </w:rPr>
              <w:t>0.961 K</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1996</w:t>
            </w:r>
          </w:p>
        </w:tc>
        <w:tc>
          <w:tcPr>
            <w:tcW w:w="1409" w:type="dxa"/>
            <w:noWrap/>
            <w:vAlign w:val="center"/>
          </w:tcPr>
          <w:p w:rsidR="00AA6ACF" w:rsidRDefault="00AA6ACF" w:rsidP="00AA6ACF">
            <w:pPr>
              <w:jc w:val="center"/>
              <w:rPr>
                <w:sz w:val="20"/>
                <w:szCs w:val="20"/>
              </w:rPr>
            </w:pPr>
            <w:r>
              <w:rPr>
                <w:sz w:val="20"/>
                <w:szCs w:val="20"/>
              </w:rPr>
              <w:t>0.940</w:t>
            </w:r>
          </w:p>
        </w:tc>
        <w:tc>
          <w:tcPr>
            <w:tcW w:w="1069" w:type="dxa"/>
            <w:noWrap/>
            <w:vAlign w:val="center"/>
          </w:tcPr>
          <w:p w:rsidR="00AA6ACF" w:rsidRDefault="00AA6ACF" w:rsidP="00AA6ACF">
            <w:pPr>
              <w:jc w:val="center"/>
              <w:rPr>
                <w:sz w:val="20"/>
                <w:szCs w:val="20"/>
              </w:rPr>
            </w:pPr>
            <w:r>
              <w:rPr>
                <w:sz w:val="20"/>
                <w:szCs w:val="20"/>
              </w:rPr>
              <w:t>0.959</w:t>
            </w:r>
          </w:p>
        </w:tc>
        <w:tc>
          <w:tcPr>
            <w:tcW w:w="1036" w:type="dxa"/>
            <w:vAlign w:val="center"/>
          </w:tcPr>
          <w:p w:rsidR="00AA6ACF" w:rsidRDefault="00AA6ACF" w:rsidP="00AA6ACF">
            <w:pPr>
              <w:jc w:val="center"/>
              <w:rPr>
                <w:sz w:val="20"/>
                <w:szCs w:val="20"/>
              </w:rPr>
            </w:pPr>
            <w:r>
              <w:rPr>
                <w:sz w:val="20"/>
                <w:szCs w:val="20"/>
              </w:rPr>
              <w:t>0.982</w:t>
            </w:r>
          </w:p>
        </w:tc>
        <w:tc>
          <w:tcPr>
            <w:tcW w:w="1142" w:type="dxa"/>
            <w:noWrap/>
            <w:vAlign w:val="center"/>
          </w:tcPr>
          <w:p w:rsidR="00AA6ACF" w:rsidRDefault="00AA6ACF" w:rsidP="00AA6ACF">
            <w:pPr>
              <w:jc w:val="center"/>
              <w:rPr>
                <w:sz w:val="20"/>
                <w:szCs w:val="20"/>
              </w:rPr>
            </w:pPr>
            <w:r>
              <w:rPr>
                <w:sz w:val="20"/>
                <w:szCs w:val="20"/>
              </w:rPr>
              <w:t>0.998 K</w:t>
            </w:r>
          </w:p>
        </w:tc>
        <w:tc>
          <w:tcPr>
            <w:tcW w:w="1033" w:type="dxa"/>
            <w:vAlign w:val="center"/>
          </w:tcPr>
          <w:p w:rsidR="00AA6ACF" w:rsidRDefault="00AA6ACF" w:rsidP="00AA6ACF">
            <w:pPr>
              <w:jc w:val="center"/>
              <w:rPr>
                <w:sz w:val="20"/>
                <w:szCs w:val="20"/>
              </w:rPr>
            </w:pPr>
            <w:r>
              <w:rPr>
                <w:sz w:val="20"/>
                <w:szCs w:val="20"/>
              </w:rPr>
              <w:t>0.980</w:t>
            </w:r>
          </w:p>
        </w:tc>
        <w:tc>
          <w:tcPr>
            <w:tcW w:w="1155" w:type="dxa"/>
            <w:noWrap/>
            <w:vAlign w:val="center"/>
          </w:tcPr>
          <w:p w:rsidR="00AA6ACF" w:rsidRDefault="00AA6ACF" w:rsidP="00AA6ACF">
            <w:pPr>
              <w:jc w:val="center"/>
              <w:rPr>
                <w:sz w:val="20"/>
                <w:szCs w:val="20"/>
              </w:rPr>
            </w:pPr>
            <w:r>
              <w:rPr>
                <w:sz w:val="20"/>
                <w:szCs w:val="20"/>
              </w:rPr>
              <w:t>1</w:t>
            </w:r>
          </w:p>
        </w:tc>
      </w:tr>
      <w:tr w:rsidR="00AA6ACF">
        <w:trPr>
          <w:trHeight w:val="340"/>
          <w:jc w:val="center"/>
        </w:trPr>
        <w:tc>
          <w:tcPr>
            <w:tcW w:w="841" w:type="dxa"/>
            <w:noWrap/>
            <w:vAlign w:val="center"/>
          </w:tcPr>
          <w:p w:rsidR="00AA6ACF" w:rsidRDefault="00AA6ACF" w:rsidP="00AA6ACF">
            <w:pPr>
              <w:rPr>
                <w:bCs/>
                <w:sz w:val="20"/>
                <w:szCs w:val="20"/>
              </w:rPr>
            </w:pPr>
            <w:r>
              <w:rPr>
                <w:bCs/>
                <w:sz w:val="20"/>
                <w:szCs w:val="20"/>
              </w:rPr>
              <w:t xml:space="preserve"> 1997</w:t>
            </w:r>
          </w:p>
        </w:tc>
        <w:tc>
          <w:tcPr>
            <w:tcW w:w="1409" w:type="dxa"/>
            <w:noWrap/>
            <w:vAlign w:val="center"/>
          </w:tcPr>
          <w:p w:rsidR="00AA6ACF" w:rsidRDefault="00AA6ACF" w:rsidP="00AA6ACF">
            <w:pPr>
              <w:jc w:val="center"/>
              <w:rPr>
                <w:sz w:val="20"/>
                <w:szCs w:val="20"/>
              </w:rPr>
            </w:pPr>
            <w:r>
              <w:rPr>
                <w:sz w:val="20"/>
                <w:szCs w:val="20"/>
              </w:rPr>
              <w:t>1</w:t>
            </w:r>
          </w:p>
        </w:tc>
        <w:tc>
          <w:tcPr>
            <w:tcW w:w="1069" w:type="dxa"/>
            <w:noWrap/>
            <w:vAlign w:val="center"/>
          </w:tcPr>
          <w:p w:rsidR="00AA6ACF" w:rsidRDefault="00AA6ACF" w:rsidP="00AA6ACF">
            <w:pPr>
              <w:jc w:val="center"/>
              <w:rPr>
                <w:sz w:val="20"/>
                <w:szCs w:val="20"/>
              </w:rPr>
            </w:pPr>
            <w:r>
              <w:rPr>
                <w:sz w:val="20"/>
                <w:szCs w:val="20"/>
              </w:rPr>
              <w:t>1</w:t>
            </w:r>
          </w:p>
        </w:tc>
        <w:tc>
          <w:tcPr>
            <w:tcW w:w="1036" w:type="dxa"/>
            <w:vAlign w:val="center"/>
          </w:tcPr>
          <w:p w:rsidR="00AA6ACF" w:rsidRDefault="00AA6ACF" w:rsidP="00AA6ACF">
            <w:pPr>
              <w:jc w:val="center"/>
              <w:rPr>
                <w:sz w:val="20"/>
                <w:szCs w:val="20"/>
              </w:rPr>
            </w:pPr>
            <w:r>
              <w:rPr>
                <w:sz w:val="20"/>
                <w:szCs w:val="20"/>
              </w:rPr>
              <w:t>1</w:t>
            </w:r>
          </w:p>
        </w:tc>
        <w:tc>
          <w:tcPr>
            <w:tcW w:w="1142" w:type="dxa"/>
            <w:noWrap/>
            <w:vAlign w:val="center"/>
          </w:tcPr>
          <w:p w:rsidR="00AA6ACF" w:rsidRDefault="00AA6ACF" w:rsidP="00AA6ACF">
            <w:pPr>
              <w:jc w:val="center"/>
              <w:rPr>
                <w:sz w:val="20"/>
                <w:szCs w:val="20"/>
              </w:rPr>
            </w:pPr>
            <w:r>
              <w:rPr>
                <w:sz w:val="20"/>
                <w:szCs w:val="20"/>
              </w:rPr>
              <w:t>1</w:t>
            </w:r>
          </w:p>
        </w:tc>
        <w:tc>
          <w:tcPr>
            <w:tcW w:w="1033" w:type="dxa"/>
            <w:vAlign w:val="center"/>
          </w:tcPr>
          <w:p w:rsidR="00AA6ACF" w:rsidRDefault="00AA6ACF" w:rsidP="00AA6ACF">
            <w:pPr>
              <w:jc w:val="center"/>
              <w:rPr>
                <w:sz w:val="20"/>
                <w:szCs w:val="20"/>
              </w:rPr>
            </w:pPr>
            <w:r>
              <w:rPr>
                <w:sz w:val="20"/>
                <w:szCs w:val="20"/>
              </w:rPr>
              <w:t>1</w:t>
            </w:r>
          </w:p>
        </w:tc>
        <w:tc>
          <w:tcPr>
            <w:tcW w:w="1155" w:type="dxa"/>
            <w:noWrap/>
            <w:vAlign w:val="center"/>
          </w:tcPr>
          <w:p w:rsidR="00AA6ACF" w:rsidRDefault="00AA6ACF" w:rsidP="00AA6ACF">
            <w:pPr>
              <w:jc w:val="center"/>
              <w:rPr>
                <w:sz w:val="20"/>
                <w:szCs w:val="20"/>
              </w:rPr>
            </w:pPr>
            <w:r>
              <w:rPr>
                <w:sz w:val="20"/>
                <w:szCs w:val="20"/>
              </w:rPr>
              <w:t>1</w:t>
            </w:r>
          </w:p>
        </w:tc>
      </w:tr>
    </w:tbl>
    <w:p w:rsidR="00AA6ACF" w:rsidRDefault="00AA6ACF" w:rsidP="00AA6ACF"/>
    <w:p w:rsidR="00AA6ACF" w:rsidRDefault="00AA6ACF" w:rsidP="00AA6ACF"/>
    <w:p w:rsidR="00AA6ACF" w:rsidRDefault="00AA6ACF" w:rsidP="00AA6ACF">
      <w:r>
        <w:br w:type="page"/>
      </w:r>
    </w:p>
    <w:p w:rsidR="00AA6ACF" w:rsidRDefault="00AA6ACF" w:rsidP="00AA6ACF"/>
    <w:p w:rsidR="00AA6ACF" w:rsidRDefault="00AA6ACF" w:rsidP="00AA6ACF"/>
    <w:p w:rsidR="00AA6ACF" w:rsidRPr="001410DA" w:rsidRDefault="00AA6ACF" w:rsidP="00AA6ACF">
      <w:pPr>
        <w:jc w:val="center"/>
      </w:pPr>
      <w:r w:rsidRPr="001410DA">
        <w:t xml:space="preserve">Table </w:t>
      </w:r>
      <w:r>
        <w:t>5</w:t>
      </w:r>
      <w:r w:rsidRPr="001410DA">
        <w:t xml:space="preserve">.  Results from </w:t>
      </w:r>
      <w:r>
        <w:t>Tone’s approach</w:t>
      </w:r>
    </w:p>
    <w:p w:rsidR="00AA6ACF" w:rsidRDefault="00AA6ACF" w:rsidP="00AA6ACF">
      <w:pPr>
        <w:jc w:val="center"/>
      </w:pPr>
    </w:p>
    <w:tbl>
      <w:tblPr>
        <w:tblW w:w="577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15" w:type="dxa"/>
          <w:right w:w="115" w:type="dxa"/>
        </w:tblCellMar>
        <w:tblLook w:val="0000"/>
      </w:tblPr>
      <w:tblGrid>
        <w:gridCol w:w="1095"/>
        <w:gridCol w:w="1142"/>
        <w:gridCol w:w="1197"/>
        <w:gridCol w:w="1142"/>
        <w:gridCol w:w="1197"/>
      </w:tblGrid>
      <w:tr w:rsidR="00AA6ACF">
        <w:trPr>
          <w:trHeight w:val="340"/>
          <w:jc w:val="center"/>
        </w:trPr>
        <w:tc>
          <w:tcPr>
            <w:tcW w:w="1095" w:type="dxa"/>
            <w:noWrap/>
            <w:vAlign w:val="center"/>
          </w:tcPr>
          <w:p w:rsidR="00AA6ACF" w:rsidRDefault="00AA6ACF" w:rsidP="00AA6ACF">
            <w:pPr>
              <w:rPr>
                <w:bCs/>
                <w:sz w:val="20"/>
                <w:szCs w:val="20"/>
              </w:rPr>
            </w:pPr>
          </w:p>
        </w:tc>
        <w:tc>
          <w:tcPr>
            <w:tcW w:w="2339" w:type="dxa"/>
            <w:gridSpan w:val="2"/>
            <w:vAlign w:val="center"/>
          </w:tcPr>
          <w:p w:rsidR="00AA6ACF" w:rsidRDefault="00AA6ACF" w:rsidP="00AA6ACF">
            <w:pPr>
              <w:jc w:val="center"/>
              <w:rPr>
                <w:sz w:val="20"/>
                <w:szCs w:val="20"/>
              </w:rPr>
            </w:pPr>
            <w:r>
              <w:rPr>
                <w:sz w:val="20"/>
                <w:szCs w:val="20"/>
              </w:rPr>
              <w:t>Textiles</w:t>
            </w:r>
          </w:p>
        </w:tc>
        <w:tc>
          <w:tcPr>
            <w:tcW w:w="2339" w:type="dxa"/>
            <w:gridSpan w:val="2"/>
            <w:shd w:val="clear" w:color="auto" w:fill="auto"/>
            <w:vAlign w:val="center"/>
          </w:tcPr>
          <w:p w:rsidR="00AA6ACF" w:rsidRDefault="00AA6ACF" w:rsidP="00AA6ACF">
            <w:pPr>
              <w:jc w:val="center"/>
              <w:rPr>
                <w:sz w:val="20"/>
                <w:szCs w:val="20"/>
              </w:rPr>
            </w:pPr>
            <w:r>
              <w:rPr>
                <w:sz w:val="20"/>
                <w:szCs w:val="20"/>
              </w:rPr>
              <w:t>Automobiles</w:t>
            </w:r>
          </w:p>
        </w:tc>
      </w:tr>
      <w:tr w:rsidR="00AA6ACF">
        <w:trPr>
          <w:trHeight w:val="340"/>
          <w:jc w:val="center"/>
        </w:trPr>
        <w:tc>
          <w:tcPr>
            <w:tcW w:w="1095" w:type="dxa"/>
            <w:noWrap/>
            <w:vAlign w:val="center"/>
          </w:tcPr>
          <w:p w:rsidR="00AA6ACF" w:rsidRDefault="00AA6ACF" w:rsidP="00AA6ACF">
            <w:pPr>
              <w:rPr>
                <w:bCs/>
                <w:sz w:val="20"/>
                <w:szCs w:val="20"/>
              </w:rPr>
            </w:pPr>
          </w:p>
        </w:tc>
        <w:tc>
          <w:tcPr>
            <w:tcW w:w="1142" w:type="dxa"/>
            <w:vAlign w:val="center"/>
          </w:tcPr>
          <w:p w:rsidR="00AA6ACF" w:rsidRDefault="00AA6ACF" w:rsidP="00173179">
            <w:pPr>
              <w:spacing w:before="60" w:after="60"/>
              <w:jc w:val="center"/>
              <w:rPr>
                <w:sz w:val="20"/>
                <w:szCs w:val="20"/>
              </w:rPr>
            </w:pPr>
            <w:r>
              <w:rPr>
                <w:sz w:val="20"/>
                <w:szCs w:val="20"/>
              </w:rPr>
              <w:t>Congestion score</w:t>
            </w:r>
          </w:p>
        </w:tc>
        <w:tc>
          <w:tcPr>
            <w:tcW w:w="1197" w:type="dxa"/>
            <w:noWrap/>
            <w:vAlign w:val="center"/>
          </w:tcPr>
          <w:p w:rsidR="00AA6ACF" w:rsidRDefault="00AA6ACF" w:rsidP="00173179">
            <w:pPr>
              <w:spacing w:before="60" w:after="60"/>
              <w:jc w:val="center"/>
              <w:rPr>
                <w:sz w:val="20"/>
                <w:szCs w:val="20"/>
              </w:rPr>
            </w:pPr>
            <w:r>
              <w:rPr>
                <w:sz w:val="20"/>
                <w:szCs w:val="20"/>
              </w:rPr>
              <w:t>Scale diseconomy</w:t>
            </w:r>
          </w:p>
        </w:tc>
        <w:tc>
          <w:tcPr>
            <w:tcW w:w="1142" w:type="dxa"/>
            <w:shd w:val="clear" w:color="auto" w:fill="auto"/>
            <w:vAlign w:val="center"/>
          </w:tcPr>
          <w:p w:rsidR="00AA6ACF" w:rsidRDefault="00AA6ACF" w:rsidP="00173179">
            <w:pPr>
              <w:spacing w:before="60" w:after="60"/>
              <w:jc w:val="center"/>
              <w:rPr>
                <w:sz w:val="20"/>
                <w:szCs w:val="20"/>
              </w:rPr>
            </w:pPr>
            <w:r>
              <w:rPr>
                <w:sz w:val="20"/>
                <w:szCs w:val="20"/>
              </w:rPr>
              <w:t>Congestion score</w:t>
            </w:r>
          </w:p>
        </w:tc>
        <w:tc>
          <w:tcPr>
            <w:tcW w:w="1197" w:type="dxa"/>
            <w:noWrap/>
            <w:vAlign w:val="center"/>
          </w:tcPr>
          <w:p w:rsidR="00AA6ACF" w:rsidRDefault="00AA6ACF" w:rsidP="00173179">
            <w:pPr>
              <w:spacing w:before="60" w:after="60"/>
              <w:jc w:val="center"/>
              <w:rPr>
                <w:sz w:val="20"/>
                <w:szCs w:val="20"/>
              </w:rPr>
            </w:pPr>
            <w:r>
              <w:rPr>
                <w:sz w:val="20"/>
                <w:szCs w:val="20"/>
              </w:rPr>
              <w:t>Scale diseconomy</w:t>
            </w:r>
          </w:p>
        </w:tc>
      </w:tr>
      <w:tr w:rsidR="00AA6ACF">
        <w:trPr>
          <w:trHeight w:val="340"/>
          <w:jc w:val="center"/>
        </w:trPr>
        <w:tc>
          <w:tcPr>
            <w:tcW w:w="1095" w:type="dxa"/>
            <w:noWrap/>
            <w:vAlign w:val="center"/>
          </w:tcPr>
          <w:p w:rsidR="00AA6ACF" w:rsidRDefault="00AA6ACF" w:rsidP="00AA6ACF">
            <w:pPr>
              <w:rPr>
                <w:bCs/>
                <w:sz w:val="20"/>
                <w:szCs w:val="20"/>
              </w:rPr>
            </w:pPr>
            <w:r>
              <w:rPr>
                <w:bCs/>
                <w:sz w:val="20"/>
                <w:szCs w:val="20"/>
              </w:rPr>
              <w:t xml:space="preserve"> 1981</w:t>
            </w:r>
          </w:p>
        </w:tc>
        <w:tc>
          <w:tcPr>
            <w:tcW w:w="1142" w:type="dxa"/>
            <w:vAlign w:val="center"/>
          </w:tcPr>
          <w:p w:rsidR="00AA6ACF" w:rsidRDefault="00AA6ACF" w:rsidP="00AA6ACF">
            <w:pPr>
              <w:jc w:val="center"/>
              <w:rPr>
                <w:sz w:val="20"/>
                <w:szCs w:val="20"/>
              </w:rPr>
            </w:pPr>
            <w:r>
              <w:rPr>
                <w:sz w:val="20"/>
                <w:szCs w:val="20"/>
              </w:rPr>
              <w:t>1</w:t>
            </w:r>
          </w:p>
        </w:tc>
        <w:tc>
          <w:tcPr>
            <w:tcW w:w="1197" w:type="dxa"/>
            <w:noWrap/>
            <w:vAlign w:val="center"/>
          </w:tcPr>
          <w:p w:rsidR="00AA6ACF" w:rsidRDefault="00AA6ACF" w:rsidP="00AA6ACF">
            <w:pPr>
              <w:tabs>
                <w:tab w:val="decimal" w:pos="507"/>
              </w:tabs>
              <w:rPr>
                <w:sz w:val="20"/>
                <w:szCs w:val="20"/>
              </w:rPr>
            </w:pPr>
          </w:p>
        </w:tc>
        <w:tc>
          <w:tcPr>
            <w:tcW w:w="1142" w:type="dxa"/>
            <w:shd w:val="clear" w:color="auto" w:fill="auto"/>
            <w:vAlign w:val="center"/>
          </w:tcPr>
          <w:p w:rsidR="00AA6ACF" w:rsidRDefault="00AA6ACF" w:rsidP="00AA6ACF">
            <w:pPr>
              <w:jc w:val="center"/>
              <w:rPr>
                <w:sz w:val="20"/>
                <w:szCs w:val="20"/>
              </w:rPr>
            </w:pPr>
            <w:r>
              <w:rPr>
                <w:sz w:val="20"/>
                <w:szCs w:val="20"/>
              </w:rPr>
              <w:t>1</w:t>
            </w:r>
          </w:p>
        </w:tc>
        <w:tc>
          <w:tcPr>
            <w:tcW w:w="1197" w:type="dxa"/>
            <w:noWrap/>
            <w:vAlign w:val="center"/>
          </w:tcPr>
          <w:p w:rsidR="00AA6ACF" w:rsidRDefault="00AA6ACF" w:rsidP="00AA6ACF">
            <w:pPr>
              <w:tabs>
                <w:tab w:val="decimal" w:pos="507"/>
              </w:tabs>
              <w:rPr>
                <w:sz w:val="20"/>
                <w:szCs w:val="20"/>
              </w:rPr>
            </w:pPr>
          </w:p>
        </w:tc>
      </w:tr>
      <w:tr w:rsidR="00AA6ACF">
        <w:trPr>
          <w:trHeight w:val="340"/>
          <w:jc w:val="center"/>
        </w:trPr>
        <w:tc>
          <w:tcPr>
            <w:tcW w:w="1095" w:type="dxa"/>
            <w:noWrap/>
            <w:vAlign w:val="center"/>
          </w:tcPr>
          <w:p w:rsidR="00AA6ACF" w:rsidRDefault="00AA6ACF" w:rsidP="00AA6ACF">
            <w:pPr>
              <w:rPr>
                <w:bCs/>
                <w:sz w:val="20"/>
                <w:szCs w:val="20"/>
              </w:rPr>
            </w:pPr>
            <w:r>
              <w:rPr>
                <w:bCs/>
                <w:sz w:val="20"/>
                <w:szCs w:val="20"/>
              </w:rPr>
              <w:t xml:space="preserve"> 1982</w:t>
            </w:r>
          </w:p>
        </w:tc>
        <w:tc>
          <w:tcPr>
            <w:tcW w:w="1142" w:type="dxa"/>
            <w:vAlign w:val="center"/>
          </w:tcPr>
          <w:p w:rsidR="00AA6ACF" w:rsidRDefault="00AA6ACF" w:rsidP="00AA6ACF">
            <w:pPr>
              <w:jc w:val="center"/>
              <w:rPr>
                <w:sz w:val="20"/>
                <w:szCs w:val="20"/>
              </w:rPr>
            </w:pPr>
            <w:r>
              <w:rPr>
                <w:sz w:val="20"/>
                <w:szCs w:val="20"/>
              </w:rPr>
              <w:t>1.494</w:t>
            </w:r>
          </w:p>
        </w:tc>
        <w:tc>
          <w:tcPr>
            <w:tcW w:w="1197" w:type="dxa"/>
            <w:noWrap/>
            <w:vAlign w:val="center"/>
          </w:tcPr>
          <w:p w:rsidR="00AA6ACF" w:rsidRDefault="00AA6ACF" w:rsidP="00AA6ACF">
            <w:pPr>
              <w:tabs>
                <w:tab w:val="decimal" w:pos="507"/>
              </w:tabs>
              <w:rPr>
                <w:sz w:val="20"/>
                <w:szCs w:val="20"/>
              </w:rPr>
            </w:pPr>
            <w:r>
              <w:rPr>
                <w:sz w:val="20"/>
                <w:szCs w:val="20"/>
              </w:rPr>
              <w:sym w:font="Symbol" w:char="F02D"/>
            </w:r>
            <w:r>
              <w:rPr>
                <w:sz w:val="20"/>
                <w:szCs w:val="20"/>
              </w:rPr>
              <w:t>14.55</w:t>
            </w:r>
          </w:p>
        </w:tc>
        <w:tc>
          <w:tcPr>
            <w:tcW w:w="1142" w:type="dxa"/>
            <w:shd w:val="clear" w:color="auto" w:fill="auto"/>
            <w:vAlign w:val="center"/>
          </w:tcPr>
          <w:p w:rsidR="00AA6ACF" w:rsidRDefault="00AA6ACF" w:rsidP="00AA6ACF">
            <w:pPr>
              <w:jc w:val="center"/>
              <w:rPr>
                <w:sz w:val="20"/>
                <w:szCs w:val="20"/>
              </w:rPr>
            </w:pPr>
            <w:r>
              <w:rPr>
                <w:sz w:val="20"/>
                <w:szCs w:val="20"/>
              </w:rPr>
              <w:t>1</w:t>
            </w:r>
          </w:p>
        </w:tc>
        <w:tc>
          <w:tcPr>
            <w:tcW w:w="1197" w:type="dxa"/>
            <w:noWrap/>
            <w:vAlign w:val="center"/>
          </w:tcPr>
          <w:p w:rsidR="00AA6ACF" w:rsidRDefault="00AA6ACF" w:rsidP="00AA6ACF">
            <w:pPr>
              <w:tabs>
                <w:tab w:val="decimal" w:pos="507"/>
              </w:tabs>
              <w:rPr>
                <w:sz w:val="20"/>
                <w:szCs w:val="20"/>
              </w:rPr>
            </w:pPr>
          </w:p>
        </w:tc>
      </w:tr>
      <w:tr w:rsidR="00AA6ACF">
        <w:trPr>
          <w:trHeight w:val="340"/>
          <w:jc w:val="center"/>
        </w:trPr>
        <w:tc>
          <w:tcPr>
            <w:tcW w:w="1095" w:type="dxa"/>
            <w:noWrap/>
            <w:vAlign w:val="center"/>
          </w:tcPr>
          <w:p w:rsidR="00AA6ACF" w:rsidRDefault="00AA6ACF" w:rsidP="00AA6ACF">
            <w:pPr>
              <w:rPr>
                <w:bCs/>
                <w:sz w:val="20"/>
                <w:szCs w:val="20"/>
              </w:rPr>
            </w:pPr>
            <w:r>
              <w:rPr>
                <w:bCs/>
                <w:sz w:val="20"/>
                <w:szCs w:val="20"/>
              </w:rPr>
              <w:t xml:space="preserve"> 1983</w:t>
            </w:r>
          </w:p>
        </w:tc>
        <w:tc>
          <w:tcPr>
            <w:tcW w:w="1142" w:type="dxa"/>
            <w:vAlign w:val="center"/>
          </w:tcPr>
          <w:p w:rsidR="00AA6ACF" w:rsidRDefault="00AA6ACF" w:rsidP="00AA6ACF">
            <w:pPr>
              <w:jc w:val="center"/>
              <w:rPr>
                <w:sz w:val="20"/>
                <w:szCs w:val="20"/>
              </w:rPr>
            </w:pPr>
            <w:r>
              <w:rPr>
                <w:sz w:val="20"/>
                <w:szCs w:val="20"/>
              </w:rPr>
              <w:t>1</w:t>
            </w:r>
          </w:p>
        </w:tc>
        <w:tc>
          <w:tcPr>
            <w:tcW w:w="1197" w:type="dxa"/>
            <w:noWrap/>
            <w:vAlign w:val="center"/>
          </w:tcPr>
          <w:p w:rsidR="00AA6ACF" w:rsidRDefault="00AA6ACF" w:rsidP="00AA6ACF">
            <w:pPr>
              <w:tabs>
                <w:tab w:val="decimal" w:pos="507"/>
              </w:tabs>
              <w:rPr>
                <w:sz w:val="20"/>
                <w:szCs w:val="20"/>
              </w:rPr>
            </w:pPr>
          </w:p>
        </w:tc>
        <w:tc>
          <w:tcPr>
            <w:tcW w:w="1142" w:type="dxa"/>
            <w:shd w:val="clear" w:color="auto" w:fill="auto"/>
            <w:vAlign w:val="center"/>
          </w:tcPr>
          <w:p w:rsidR="00AA6ACF" w:rsidRDefault="00AA6ACF" w:rsidP="00AA6ACF">
            <w:pPr>
              <w:jc w:val="center"/>
              <w:rPr>
                <w:sz w:val="20"/>
                <w:szCs w:val="20"/>
              </w:rPr>
            </w:pPr>
            <w:r>
              <w:rPr>
                <w:sz w:val="20"/>
                <w:szCs w:val="20"/>
              </w:rPr>
              <w:t>1</w:t>
            </w:r>
          </w:p>
        </w:tc>
        <w:tc>
          <w:tcPr>
            <w:tcW w:w="1197" w:type="dxa"/>
            <w:noWrap/>
            <w:vAlign w:val="center"/>
          </w:tcPr>
          <w:p w:rsidR="00AA6ACF" w:rsidRDefault="00AA6ACF" w:rsidP="00AA6ACF">
            <w:pPr>
              <w:tabs>
                <w:tab w:val="decimal" w:pos="507"/>
              </w:tabs>
              <w:rPr>
                <w:sz w:val="20"/>
                <w:szCs w:val="20"/>
              </w:rPr>
            </w:pPr>
          </w:p>
        </w:tc>
      </w:tr>
      <w:tr w:rsidR="00AA6ACF">
        <w:trPr>
          <w:trHeight w:val="340"/>
          <w:jc w:val="center"/>
        </w:trPr>
        <w:tc>
          <w:tcPr>
            <w:tcW w:w="1095" w:type="dxa"/>
            <w:noWrap/>
            <w:vAlign w:val="center"/>
          </w:tcPr>
          <w:p w:rsidR="00AA6ACF" w:rsidRDefault="00AA6ACF" w:rsidP="00AA6ACF">
            <w:pPr>
              <w:rPr>
                <w:bCs/>
                <w:sz w:val="20"/>
                <w:szCs w:val="20"/>
              </w:rPr>
            </w:pPr>
            <w:r>
              <w:rPr>
                <w:bCs/>
                <w:sz w:val="20"/>
                <w:szCs w:val="20"/>
              </w:rPr>
              <w:t xml:space="preserve"> 1984</w:t>
            </w:r>
          </w:p>
        </w:tc>
        <w:tc>
          <w:tcPr>
            <w:tcW w:w="1142" w:type="dxa"/>
            <w:vAlign w:val="center"/>
          </w:tcPr>
          <w:p w:rsidR="00AA6ACF" w:rsidRDefault="00AA6ACF" w:rsidP="00AA6ACF">
            <w:pPr>
              <w:jc w:val="center"/>
              <w:rPr>
                <w:sz w:val="20"/>
                <w:szCs w:val="20"/>
              </w:rPr>
            </w:pPr>
            <w:r>
              <w:rPr>
                <w:sz w:val="20"/>
                <w:szCs w:val="20"/>
              </w:rPr>
              <w:t>1</w:t>
            </w:r>
          </w:p>
        </w:tc>
        <w:tc>
          <w:tcPr>
            <w:tcW w:w="1197" w:type="dxa"/>
            <w:noWrap/>
            <w:vAlign w:val="center"/>
          </w:tcPr>
          <w:p w:rsidR="00AA6ACF" w:rsidRDefault="00AA6ACF" w:rsidP="00AA6ACF">
            <w:pPr>
              <w:tabs>
                <w:tab w:val="decimal" w:pos="507"/>
              </w:tabs>
              <w:rPr>
                <w:sz w:val="20"/>
                <w:szCs w:val="20"/>
              </w:rPr>
            </w:pPr>
          </w:p>
        </w:tc>
        <w:tc>
          <w:tcPr>
            <w:tcW w:w="1142" w:type="dxa"/>
            <w:shd w:val="clear" w:color="auto" w:fill="auto"/>
            <w:vAlign w:val="center"/>
          </w:tcPr>
          <w:p w:rsidR="00AA6ACF" w:rsidRDefault="00AA6ACF" w:rsidP="00AA6ACF">
            <w:pPr>
              <w:jc w:val="center"/>
              <w:rPr>
                <w:sz w:val="20"/>
                <w:szCs w:val="20"/>
              </w:rPr>
            </w:pPr>
            <w:r>
              <w:rPr>
                <w:sz w:val="20"/>
                <w:szCs w:val="20"/>
              </w:rPr>
              <w:t>1.001</w:t>
            </w:r>
          </w:p>
        </w:tc>
        <w:tc>
          <w:tcPr>
            <w:tcW w:w="1197" w:type="dxa"/>
            <w:noWrap/>
            <w:vAlign w:val="center"/>
          </w:tcPr>
          <w:p w:rsidR="00AA6ACF" w:rsidRDefault="00AA6ACF" w:rsidP="00AA6ACF">
            <w:pPr>
              <w:tabs>
                <w:tab w:val="decimal" w:pos="507"/>
              </w:tabs>
              <w:rPr>
                <w:sz w:val="20"/>
                <w:szCs w:val="20"/>
              </w:rPr>
            </w:pPr>
            <w:r>
              <w:rPr>
                <w:sz w:val="20"/>
                <w:szCs w:val="20"/>
              </w:rPr>
              <w:sym w:font="Symbol" w:char="F02D"/>
            </w:r>
            <w:r>
              <w:rPr>
                <w:sz w:val="20"/>
                <w:szCs w:val="20"/>
              </w:rPr>
              <w:t>0.01</w:t>
            </w:r>
          </w:p>
        </w:tc>
      </w:tr>
      <w:tr w:rsidR="00AA6ACF">
        <w:trPr>
          <w:trHeight w:val="340"/>
          <w:jc w:val="center"/>
        </w:trPr>
        <w:tc>
          <w:tcPr>
            <w:tcW w:w="1095" w:type="dxa"/>
            <w:noWrap/>
            <w:vAlign w:val="center"/>
          </w:tcPr>
          <w:p w:rsidR="00AA6ACF" w:rsidRDefault="00AA6ACF" w:rsidP="00AA6ACF">
            <w:pPr>
              <w:rPr>
                <w:bCs/>
                <w:sz w:val="20"/>
                <w:szCs w:val="20"/>
              </w:rPr>
            </w:pPr>
            <w:r>
              <w:rPr>
                <w:bCs/>
                <w:sz w:val="20"/>
                <w:szCs w:val="20"/>
              </w:rPr>
              <w:t xml:space="preserve"> 1985</w:t>
            </w:r>
          </w:p>
        </w:tc>
        <w:tc>
          <w:tcPr>
            <w:tcW w:w="1142" w:type="dxa"/>
            <w:vAlign w:val="center"/>
          </w:tcPr>
          <w:p w:rsidR="00AA6ACF" w:rsidRDefault="00AA6ACF" w:rsidP="00AA6ACF">
            <w:pPr>
              <w:jc w:val="center"/>
              <w:rPr>
                <w:sz w:val="20"/>
                <w:szCs w:val="20"/>
              </w:rPr>
            </w:pPr>
            <w:r>
              <w:rPr>
                <w:sz w:val="20"/>
                <w:szCs w:val="20"/>
              </w:rPr>
              <w:t>1</w:t>
            </w:r>
          </w:p>
        </w:tc>
        <w:tc>
          <w:tcPr>
            <w:tcW w:w="1197" w:type="dxa"/>
            <w:noWrap/>
            <w:vAlign w:val="center"/>
          </w:tcPr>
          <w:p w:rsidR="00AA6ACF" w:rsidRDefault="00AA6ACF" w:rsidP="00AA6ACF">
            <w:pPr>
              <w:tabs>
                <w:tab w:val="decimal" w:pos="507"/>
              </w:tabs>
              <w:rPr>
                <w:sz w:val="20"/>
                <w:szCs w:val="20"/>
              </w:rPr>
            </w:pPr>
          </w:p>
        </w:tc>
        <w:tc>
          <w:tcPr>
            <w:tcW w:w="1142" w:type="dxa"/>
            <w:shd w:val="clear" w:color="auto" w:fill="auto"/>
            <w:vAlign w:val="center"/>
          </w:tcPr>
          <w:p w:rsidR="00AA6ACF" w:rsidRDefault="00AA6ACF" w:rsidP="00AA6ACF">
            <w:pPr>
              <w:jc w:val="center"/>
              <w:rPr>
                <w:sz w:val="20"/>
                <w:szCs w:val="20"/>
              </w:rPr>
            </w:pPr>
            <w:r>
              <w:rPr>
                <w:sz w:val="20"/>
                <w:szCs w:val="20"/>
              </w:rPr>
              <w:t>1.175</w:t>
            </w:r>
          </w:p>
        </w:tc>
        <w:tc>
          <w:tcPr>
            <w:tcW w:w="1197" w:type="dxa"/>
            <w:noWrap/>
            <w:vAlign w:val="center"/>
          </w:tcPr>
          <w:p w:rsidR="00AA6ACF" w:rsidRDefault="00AA6ACF" w:rsidP="00AA6ACF">
            <w:pPr>
              <w:tabs>
                <w:tab w:val="decimal" w:pos="507"/>
              </w:tabs>
              <w:rPr>
                <w:sz w:val="20"/>
                <w:szCs w:val="20"/>
              </w:rPr>
            </w:pPr>
            <w:r>
              <w:rPr>
                <w:sz w:val="20"/>
                <w:szCs w:val="20"/>
              </w:rPr>
              <w:sym w:font="Symbol" w:char="F02D"/>
            </w:r>
            <w:r>
              <w:rPr>
                <w:sz w:val="20"/>
                <w:szCs w:val="20"/>
              </w:rPr>
              <w:t>0.86</w:t>
            </w:r>
          </w:p>
        </w:tc>
      </w:tr>
      <w:tr w:rsidR="00AA6ACF">
        <w:trPr>
          <w:trHeight w:val="340"/>
          <w:jc w:val="center"/>
        </w:trPr>
        <w:tc>
          <w:tcPr>
            <w:tcW w:w="1095" w:type="dxa"/>
            <w:noWrap/>
            <w:vAlign w:val="center"/>
          </w:tcPr>
          <w:p w:rsidR="00AA6ACF" w:rsidRDefault="00AA6ACF" w:rsidP="00AA6ACF">
            <w:pPr>
              <w:rPr>
                <w:bCs/>
                <w:sz w:val="20"/>
                <w:szCs w:val="20"/>
              </w:rPr>
            </w:pPr>
            <w:r>
              <w:rPr>
                <w:bCs/>
                <w:sz w:val="20"/>
                <w:szCs w:val="20"/>
              </w:rPr>
              <w:t xml:space="preserve"> 1986</w:t>
            </w:r>
          </w:p>
        </w:tc>
        <w:tc>
          <w:tcPr>
            <w:tcW w:w="1142" w:type="dxa"/>
            <w:vAlign w:val="center"/>
          </w:tcPr>
          <w:p w:rsidR="00AA6ACF" w:rsidRDefault="00AA6ACF" w:rsidP="00AA6ACF">
            <w:pPr>
              <w:jc w:val="center"/>
              <w:rPr>
                <w:sz w:val="20"/>
                <w:szCs w:val="20"/>
              </w:rPr>
            </w:pPr>
            <w:r>
              <w:rPr>
                <w:sz w:val="20"/>
                <w:szCs w:val="20"/>
              </w:rPr>
              <w:t>1</w:t>
            </w:r>
          </w:p>
        </w:tc>
        <w:tc>
          <w:tcPr>
            <w:tcW w:w="1197" w:type="dxa"/>
            <w:noWrap/>
            <w:vAlign w:val="center"/>
          </w:tcPr>
          <w:p w:rsidR="00AA6ACF" w:rsidRDefault="00AA6ACF" w:rsidP="00AA6ACF">
            <w:pPr>
              <w:tabs>
                <w:tab w:val="decimal" w:pos="507"/>
              </w:tabs>
              <w:rPr>
                <w:sz w:val="20"/>
                <w:szCs w:val="20"/>
              </w:rPr>
            </w:pPr>
          </w:p>
        </w:tc>
        <w:tc>
          <w:tcPr>
            <w:tcW w:w="1142" w:type="dxa"/>
            <w:shd w:val="clear" w:color="auto" w:fill="auto"/>
            <w:vAlign w:val="center"/>
          </w:tcPr>
          <w:p w:rsidR="00AA6ACF" w:rsidRDefault="00AA6ACF" w:rsidP="00AA6ACF">
            <w:pPr>
              <w:jc w:val="center"/>
              <w:rPr>
                <w:sz w:val="20"/>
                <w:szCs w:val="20"/>
              </w:rPr>
            </w:pPr>
            <w:r>
              <w:rPr>
                <w:sz w:val="20"/>
                <w:szCs w:val="20"/>
              </w:rPr>
              <w:t>1.023</w:t>
            </w:r>
          </w:p>
        </w:tc>
        <w:tc>
          <w:tcPr>
            <w:tcW w:w="1197" w:type="dxa"/>
            <w:noWrap/>
            <w:vAlign w:val="center"/>
          </w:tcPr>
          <w:p w:rsidR="00AA6ACF" w:rsidRDefault="00AA6ACF" w:rsidP="00AA6ACF">
            <w:pPr>
              <w:tabs>
                <w:tab w:val="decimal" w:pos="507"/>
              </w:tabs>
              <w:rPr>
                <w:sz w:val="20"/>
                <w:szCs w:val="20"/>
              </w:rPr>
            </w:pPr>
            <w:r>
              <w:rPr>
                <w:sz w:val="20"/>
                <w:szCs w:val="20"/>
              </w:rPr>
              <w:sym w:font="Symbol" w:char="F02D"/>
            </w:r>
            <w:r>
              <w:rPr>
                <w:sz w:val="20"/>
                <w:szCs w:val="20"/>
              </w:rPr>
              <w:t>0.18</w:t>
            </w:r>
          </w:p>
        </w:tc>
      </w:tr>
      <w:tr w:rsidR="00AA6ACF">
        <w:trPr>
          <w:trHeight w:val="340"/>
          <w:jc w:val="center"/>
        </w:trPr>
        <w:tc>
          <w:tcPr>
            <w:tcW w:w="1095" w:type="dxa"/>
            <w:noWrap/>
            <w:vAlign w:val="center"/>
          </w:tcPr>
          <w:p w:rsidR="00AA6ACF" w:rsidRDefault="00AA6ACF" w:rsidP="00AA6ACF">
            <w:pPr>
              <w:rPr>
                <w:bCs/>
                <w:sz w:val="20"/>
                <w:szCs w:val="20"/>
              </w:rPr>
            </w:pPr>
            <w:r>
              <w:rPr>
                <w:bCs/>
                <w:sz w:val="20"/>
                <w:szCs w:val="20"/>
              </w:rPr>
              <w:t xml:space="preserve"> 1987</w:t>
            </w:r>
          </w:p>
        </w:tc>
        <w:tc>
          <w:tcPr>
            <w:tcW w:w="1142" w:type="dxa"/>
            <w:vAlign w:val="center"/>
          </w:tcPr>
          <w:p w:rsidR="00AA6ACF" w:rsidRDefault="00AA6ACF" w:rsidP="00AA6ACF">
            <w:pPr>
              <w:jc w:val="center"/>
              <w:rPr>
                <w:sz w:val="20"/>
                <w:szCs w:val="20"/>
              </w:rPr>
            </w:pPr>
            <w:r>
              <w:rPr>
                <w:sz w:val="20"/>
                <w:szCs w:val="20"/>
              </w:rPr>
              <w:t>1</w:t>
            </w:r>
          </w:p>
        </w:tc>
        <w:tc>
          <w:tcPr>
            <w:tcW w:w="1197" w:type="dxa"/>
            <w:noWrap/>
            <w:vAlign w:val="center"/>
          </w:tcPr>
          <w:p w:rsidR="00AA6ACF" w:rsidRDefault="00AA6ACF" w:rsidP="00AA6ACF">
            <w:pPr>
              <w:tabs>
                <w:tab w:val="decimal" w:pos="507"/>
              </w:tabs>
              <w:rPr>
                <w:sz w:val="20"/>
                <w:szCs w:val="20"/>
              </w:rPr>
            </w:pPr>
          </w:p>
        </w:tc>
        <w:tc>
          <w:tcPr>
            <w:tcW w:w="1142" w:type="dxa"/>
            <w:shd w:val="clear" w:color="auto" w:fill="auto"/>
            <w:vAlign w:val="center"/>
          </w:tcPr>
          <w:p w:rsidR="00AA6ACF" w:rsidRDefault="00AA6ACF" w:rsidP="00AA6ACF">
            <w:pPr>
              <w:jc w:val="center"/>
              <w:rPr>
                <w:sz w:val="20"/>
                <w:szCs w:val="20"/>
              </w:rPr>
            </w:pPr>
            <w:r>
              <w:rPr>
                <w:sz w:val="20"/>
                <w:szCs w:val="20"/>
              </w:rPr>
              <w:t>1.025</w:t>
            </w:r>
          </w:p>
        </w:tc>
        <w:tc>
          <w:tcPr>
            <w:tcW w:w="1197" w:type="dxa"/>
            <w:noWrap/>
            <w:vAlign w:val="center"/>
          </w:tcPr>
          <w:p w:rsidR="00AA6ACF" w:rsidRDefault="00AA6ACF" w:rsidP="00AA6ACF">
            <w:pPr>
              <w:tabs>
                <w:tab w:val="decimal" w:pos="507"/>
              </w:tabs>
              <w:rPr>
                <w:sz w:val="20"/>
                <w:szCs w:val="20"/>
              </w:rPr>
            </w:pPr>
            <w:r>
              <w:rPr>
                <w:sz w:val="20"/>
                <w:szCs w:val="20"/>
              </w:rPr>
              <w:sym w:font="Symbol" w:char="F02D"/>
            </w:r>
            <w:r>
              <w:rPr>
                <w:sz w:val="20"/>
                <w:szCs w:val="20"/>
              </w:rPr>
              <w:t>0.19</w:t>
            </w:r>
          </w:p>
        </w:tc>
      </w:tr>
      <w:tr w:rsidR="00AA6ACF">
        <w:trPr>
          <w:trHeight w:val="340"/>
          <w:jc w:val="center"/>
        </w:trPr>
        <w:tc>
          <w:tcPr>
            <w:tcW w:w="1095" w:type="dxa"/>
            <w:noWrap/>
            <w:vAlign w:val="center"/>
          </w:tcPr>
          <w:p w:rsidR="00AA6ACF" w:rsidRDefault="00AA6ACF" w:rsidP="00AA6ACF">
            <w:pPr>
              <w:rPr>
                <w:bCs/>
                <w:sz w:val="20"/>
                <w:szCs w:val="20"/>
              </w:rPr>
            </w:pPr>
            <w:r>
              <w:rPr>
                <w:bCs/>
                <w:sz w:val="20"/>
                <w:szCs w:val="20"/>
              </w:rPr>
              <w:t xml:space="preserve"> 1988</w:t>
            </w:r>
          </w:p>
        </w:tc>
        <w:tc>
          <w:tcPr>
            <w:tcW w:w="1142" w:type="dxa"/>
            <w:vAlign w:val="center"/>
          </w:tcPr>
          <w:p w:rsidR="00AA6ACF" w:rsidRDefault="00AA6ACF" w:rsidP="00AA6ACF">
            <w:pPr>
              <w:jc w:val="center"/>
              <w:rPr>
                <w:sz w:val="20"/>
                <w:szCs w:val="20"/>
              </w:rPr>
            </w:pPr>
            <w:r>
              <w:rPr>
                <w:sz w:val="20"/>
                <w:szCs w:val="20"/>
              </w:rPr>
              <w:t>1.291</w:t>
            </w:r>
          </w:p>
        </w:tc>
        <w:tc>
          <w:tcPr>
            <w:tcW w:w="1197" w:type="dxa"/>
            <w:noWrap/>
            <w:vAlign w:val="center"/>
          </w:tcPr>
          <w:p w:rsidR="00AA6ACF" w:rsidRDefault="00AA6ACF" w:rsidP="00AA6ACF">
            <w:pPr>
              <w:tabs>
                <w:tab w:val="decimal" w:pos="507"/>
              </w:tabs>
              <w:rPr>
                <w:sz w:val="20"/>
                <w:szCs w:val="20"/>
              </w:rPr>
            </w:pPr>
            <w:r>
              <w:rPr>
                <w:sz w:val="20"/>
                <w:szCs w:val="20"/>
              </w:rPr>
              <w:sym w:font="Symbol" w:char="F02D"/>
            </w:r>
            <w:r>
              <w:rPr>
                <w:sz w:val="20"/>
                <w:szCs w:val="20"/>
              </w:rPr>
              <w:t>3.19</w:t>
            </w:r>
          </w:p>
        </w:tc>
        <w:tc>
          <w:tcPr>
            <w:tcW w:w="1142" w:type="dxa"/>
            <w:shd w:val="clear" w:color="auto" w:fill="auto"/>
            <w:vAlign w:val="center"/>
          </w:tcPr>
          <w:p w:rsidR="00AA6ACF" w:rsidRDefault="00AA6ACF" w:rsidP="00AA6ACF">
            <w:pPr>
              <w:jc w:val="center"/>
              <w:rPr>
                <w:sz w:val="20"/>
                <w:szCs w:val="20"/>
              </w:rPr>
            </w:pPr>
            <w:r>
              <w:rPr>
                <w:sz w:val="20"/>
                <w:szCs w:val="20"/>
              </w:rPr>
              <w:t>1.066</w:t>
            </w:r>
          </w:p>
        </w:tc>
        <w:tc>
          <w:tcPr>
            <w:tcW w:w="1197" w:type="dxa"/>
            <w:noWrap/>
            <w:vAlign w:val="center"/>
          </w:tcPr>
          <w:p w:rsidR="00AA6ACF" w:rsidRDefault="00AA6ACF" w:rsidP="00AA6ACF">
            <w:pPr>
              <w:tabs>
                <w:tab w:val="decimal" w:pos="507"/>
              </w:tabs>
              <w:rPr>
                <w:sz w:val="20"/>
                <w:szCs w:val="20"/>
              </w:rPr>
            </w:pPr>
            <w:r>
              <w:rPr>
                <w:sz w:val="20"/>
                <w:szCs w:val="20"/>
              </w:rPr>
              <w:sym w:font="Symbol" w:char="F02D"/>
            </w:r>
            <w:r>
              <w:rPr>
                <w:sz w:val="20"/>
                <w:szCs w:val="20"/>
              </w:rPr>
              <w:t>0.34</w:t>
            </w:r>
          </w:p>
        </w:tc>
      </w:tr>
      <w:tr w:rsidR="00AA6ACF">
        <w:trPr>
          <w:trHeight w:val="340"/>
          <w:jc w:val="center"/>
        </w:trPr>
        <w:tc>
          <w:tcPr>
            <w:tcW w:w="1095" w:type="dxa"/>
            <w:noWrap/>
            <w:vAlign w:val="center"/>
          </w:tcPr>
          <w:p w:rsidR="00AA6ACF" w:rsidRDefault="00AA6ACF" w:rsidP="00AA6ACF">
            <w:pPr>
              <w:rPr>
                <w:bCs/>
                <w:sz w:val="20"/>
                <w:szCs w:val="20"/>
              </w:rPr>
            </w:pPr>
            <w:r>
              <w:rPr>
                <w:bCs/>
                <w:sz w:val="20"/>
                <w:szCs w:val="20"/>
              </w:rPr>
              <w:t xml:space="preserve"> 1989</w:t>
            </w:r>
          </w:p>
        </w:tc>
        <w:tc>
          <w:tcPr>
            <w:tcW w:w="1142" w:type="dxa"/>
            <w:vAlign w:val="center"/>
          </w:tcPr>
          <w:p w:rsidR="00AA6ACF" w:rsidRDefault="00AA6ACF" w:rsidP="00AA6ACF">
            <w:pPr>
              <w:jc w:val="center"/>
              <w:rPr>
                <w:sz w:val="20"/>
                <w:szCs w:val="20"/>
              </w:rPr>
            </w:pPr>
            <w:r>
              <w:rPr>
                <w:sz w:val="20"/>
                <w:szCs w:val="20"/>
              </w:rPr>
              <w:t>2.346</w:t>
            </w:r>
          </w:p>
        </w:tc>
        <w:tc>
          <w:tcPr>
            <w:tcW w:w="1197" w:type="dxa"/>
            <w:noWrap/>
            <w:vAlign w:val="center"/>
          </w:tcPr>
          <w:p w:rsidR="00AA6ACF" w:rsidRDefault="00AA6ACF" w:rsidP="00AA6ACF">
            <w:pPr>
              <w:tabs>
                <w:tab w:val="decimal" w:pos="507"/>
              </w:tabs>
              <w:rPr>
                <w:sz w:val="20"/>
                <w:szCs w:val="20"/>
              </w:rPr>
            </w:pPr>
            <w:r>
              <w:rPr>
                <w:sz w:val="20"/>
                <w:szCs w:val="20"/>
              </w:rPr>
              <w:sym w:font="Symbol" w:char="F02D"/>
            </w:r>
            <w:r>
              <w:rPr>
                <w:sz w:val="20"/>
                <w:szCs w:val="20"/>
              </w:rPr>
              <w:t>33.18</w:t>
            </w:r>
          </w:p>
        </w:tc>
        <w:tc>
          <w:tcPr>
            <w:tcW w:w="1142" w:type="dxa"/>
            <w:shd w:val="clear" w:color="auto" w:fill="auto"/>
            <w:vAlign w:val="center"/>
          </w:tcPr>
          <w:p w:rsidR="00AA6ACF" w:rsidRDefault="00AA6ACF" w:rsidP="00AA6ACF">
            <w:pPr>
              <w:jc w:val="center"/>
              <w:rPr>
                <w:sz w:val="20"/>
                <w:szCs w:val="20"/>
              </w:rPr>
            </w:pPr>
            <w:r>
              <w:rPr>
                <w:sz w:val="20"/>
                <w:szCs w:val="20"/>
              </w:rPr>
              <w:t>1.109</w:t>
            </w:r>
          </w:p>
        </w:tc>
        <w:tc>
          <w:tcPr>
            <w:tcW w:w="1197" w:type="dxa"/>
            <w:noWrap/>
            <w:vAlign w:val="center"/>
          </w:tcPr>
          <w:p w:rsidR="00AA6ACF" w:rsidRDefault="00AA6ACF" w:rsidP="00AA6ACF">
            <w:pPr>
              <w:tabs>
                <w:tab w:val="decimal" w:pos="507"/>
              </w:tabs>
              <w:rPr>
                <w:sz w:val="20"/>
                <w:szCs w:val="20"/>
              </w:rPr>
            </w:pPr>
            <w:r>
              <w:rPr>
                <w:sz w:val="20"/>
                <w:szCs w:val="20"/>
              </w:rPr>
              <w:sym w:font="Symbol" w:char="F02D"/>
            </w:r>
            <w:r>
              <w:rPr>
                <w:sz w:val="20"/>
                <w:szCs w:val="20"/>
              </w:rPr>
              <w:t>0.46</w:t>
            </w:r>
          </w:p>
        </w:tc>
      </w:tr>
      <w:tr w:rsidR="00AA6ACF">
        <w:trPr>
          <w:trHeight w:val="340"/>
          <w:jc w:val="center"/>
        </w:trPr>
        <w:tc>
          <w:tcPr>
            <w:tcW w:w="1095" w:type="dxa"/>
            <w:noWrap/>
            <w:vAlign w:val="center"/>
          </w:tcPr>
          <w:p w:rsidR="00AA6ACF" w:rsidRDefault="00AA6ACF" w:rsidP="00AA6ACF">
            <w:pPr>
              <w:rPr>
                <w:bCs/>
                <w:sz w:val="20"/>
                <w:szCs w:val="20"/>
              </w:rPr>
            </w:pPr>
            <w:r>
              <w:rPr>
                <w:bCs/>
                <w:sz w:val="20"/>
                <w:szCs w:val="20"/>
              </w:rPr>
              <w:t xml:space="preserve"> 1990</w:t>
            </w:r>
          </w:p>
        </w:tc>
        <w:tc>
          <w:tcPr>
            <w:tcW w:w="1142" w:type="dxa"/>
            <w:vAlign w:val="center"/>
          </w:tcPr>
          <w:p w:rsidR="00AA6ACF" w:rsidRDefault="00AA6ACF" w:rsidP="00AA6ACF">
            <w:pPr>
              <w:jc w:val="center"/>
              <w:rPr>
                <w:sz w:val="20"/>
                <w:szCs w:val="20"/>
              </w:rPr>
            </w:pPr>
            <w:r>
              <w:rPr>
                <w:sz w:val="20"/>
                <w:szCs w:val="20"/>
              </w:rPr>
              <w:t>1.315</w:t>
            </w:r>
          </w:p>
        </w:tc>
        <w:tc>
          <w:tcPr>
            <w:tcW w:w="1197" w:type="dxa"/>
            <w:noWrap/>
            <w:vAlign w:val="center"/>
          </w:tcPr>
          <w:p w:rsidR="00AA6ACF" w:rsidRDefault="00AA6ACF" w:rsidP="00AA6ACF">
            <w:pPr>
              <w:tabs>
                <w:tab w:val="decimal" w:pos="507"/>
              </w:tabs>
              <w:rPr>
                <w:sz w:val="20"/>
                <w:szCs w:val="20"/>
              </w:rPr>
            </w:pPr>
            <w:r>
              <w:rPr>
                <w:sz w:val="20"/>
                <w:szCs w:val="20"/>
              </w:rPr>
              <w:sym w:font="Symbol" w:char="F02D"/>
            </w:r>
            <w:r>
              <w:rPr>
                <w:sz w:val="20"/>
                <w:szCs w:val="20"/>
              </w:rPr>
              <w:t>5.43</w:t>
            </w:r>
          </w:p>
        </w:tc>
        <w:tc>
          <w:tcPr>
            <w:tcW w:w="1142" w:type="dxa"/>
            <w:shd w:val="clear" w:color="auto" w:fill="auto"/>
            <w:vAlign w:val="center"/>
          </w:tcPr>
          <w:p w:rsidR="00AA6ACF" w:rsidRDefault="00AA6ACF" w:rsidP="00AA6ACF">
            <w:pPr>
              <w:jc w:val="center"/>
              <w:rPr>
                <w:sz w:val="20"/>
                <w:szCs w:val="20"/>
              </w:rPr>
            </w:pPr>
            <w:r>
              <w:rPr>
                <w:sz w:val="20"/>
                <w:szCs w:val="20"/>
              </w:rPr>
              <w:t>1.091</w:t>
            </w:r>
          </w:p>
        </w:tc>
        <w:tc>
          <w:tcPr>
            <w:tcW w:w="1197" w:type="dxa"/>
            <w:noWrap/>
            <w:vAlign w:val="center"/>
          </w:tcPr>
          <w:p w:rsidR="00AA6ACF" w:rsidRDefault="00AA6ACF" w:rsidP="00AA6ACF">
            <w:pPr>
              <w:tabs>
                <w:tab w:val="decimal" w:pos="507"/>
              </w:tabs>
              <w:rPr>
                <w:sz w:val="20"/>
                <w:szCs w:val="20"/>
              </w:rPr>
            </w:pPr>
            <w:r>
              <w:rPr>
                <w:sz w:val="20"/>
                <w:szCs w:val="20"/>
              </w:rPr>
              <w:sym w:font="Symbol" w:char="F02D"/>
            </w:r>
            <w:r>
              <w:rPr>
                <w:sz w:val="20"/>
                <w:szCs w:val="20"/>
              </w:rPr>
              <w:t>0.41</w:t>
            </w:r>
          </w:p>
        </w:tc>
      </w:tr>
      <w:tr w:rsidR="00AA6ACF">
        <w:trPr>
          <w:trHeight w:val="340"/>
          <w:jc w:val="center"/>
        </w:trPr>
        <w:tc>
          <w:tcPr>
            <w:tcW w:w="1095" w:type="dxa"/>
            <w:noWrap/>
            <w:vAlign w:val="center"/>
          </w:tcPr>
          <w:p w:rsidR="00AA6ACF" w:rsidRDefault="00AA6ACF" w:rsidP="00AA6ACF">
            <w:pPr>
              <w:rPr>
                <w:bCs/>
                <w:sz w:val="20"/>
                <w:szCs w:val="20"/>
              </w:rPr>
            </w:pPr>
            <w:r>
              <w:rPr>
                <w:bCs/>
                <w:sz w:val="20"/>
                <w:szCs w:val="20"/>
              </w:rPr>
              <w:t xml:space="preserve"> 1991</w:t>
            </w:r>
          </w:p>
        </w:tc>
        <w:tc>
          <w:tcPr>
            <w:tcW w:w="1142" w:type="dxa"/>
            <w:vAlign w:val="center"/>
          </w:tcPr>
          <w:p w:rsidR="00AA6ACF" w:rsidRPr="00A56E0E" w:rsidRDefault="00AA6ACF" w:rsidP="00AA6ACF">
            <w:pPr>
              <w:jc w:val="center"/>
              <w:rPr>
                <w:sz w:val="20"/>
                <w:szCs w:val="20"/>
              </w:rPr>
            </w:pPr>
            <w:r>
              <w:rPr>
                <w:sz w:val="20"/>
                <w:szCs w:val="20"/>
              </w:rPr>
              <w:t>1</w:t>
            </w:r>
          </w:p>
        </w:tc>
        <w:tc>
          <w:tcPr>
            <w:tcW w:w="1197" w:type="dxa"/>
            <w:noWrap/>
            <w:vAlign w:val="center"/>
          </w:tcPr>
          <w:p w:rsidR="00AA6ACF" w:rsidRPr="00A56E0E" w:rsidRDefault="00AA6ACF" w:rsidP="00AA6ACF">
            <w:pPr>
              <w:tabs>
                <w:tab w:val="decimal" w:pos="507"/>
              </w:tabs>
              <w:jc w:val="center"/>
              <w:rPr>
                <w:sz w:val="20"/>
                <w:szCs w:val="20"/>
              </w:rPr>
            </w:pPr>
          </w:p>
        </w:tc>
        <w:tc>
          <w:tcPr>
            <w:tcW w:w="1142" w:type="dxa"/>
            <w:shd w:val="clear" w:color="auto" w:fill="auto"/>
            <w:vAlign w:val="center"/>
          </w:tcPr>
          <w:p w:rsidR="00AA6ACF" w:rsidRPr="00A56E0E" w:rsidRDefault="00AA6ACF" w:rsidP="00AA6ACF">
            <w:pPr>
              <w:jc w:val="center"/>
              <w:rPr>
                <w:sz w:val="20"/>
                <w:szCs w:val="20"/>
              </w:rPr>
            </w:pPr>
            <w:r>
              <w:rPr>
                <w:sz w:val="20"/>
                <w:szCs w:val="20"/>
              </w:rPr>
              <w:t>1.141</w:t>
            </w:r>
          </w:p>
        </w:tc>
        <w:tc>
          <w:tcPr>
            <w:tcW w:w="1197" w:type="dxa"/>
            <w:noWrap/>
            <w:vAlign w:val="center"/>
          </w:tcPr>
          <w:p w:rsidR="00AA6ACF" w:rsidRPr="00A56E0E" w:rsidRDefault="00AA6ACF" w:rsidP="00AA6ACF">
            <w:pPr>
              <w:tabs>
                <w:tab w:val="decimal" w:pos="507"/>
              </w:tabs>
              <w:rPr>
                <w:sz w:val="20"/>
                <w:szCs w:val="20"/>
              </w:rPr>
            </w:pPr>
            <w:r>
              <w:rPr>
                <w:bCs/>
                <w:sz w:val="20"/>
                <w:szCs w:val="20"/>
              </w:rPr>
              <w:sym w:font="Symbol" w:char="F02D"/>
            </w:r>
            <w:r>
              <w:rPr>
                <w:bCs/>
                <w:sz w:val="20"/>
                <w:szCs w:val="20"/>
              </w:rPr>
              <w:t>0.59</w:t>
            </w:r>
          </w:p>
        </w:tc>
      </w:tr>
      <w:tr w:rsidR="00AA6ACF">
        <w:trPr>
          <w:trHeight w:val="340"/>
          <w:jc w:val="center"/>
        </w:trPr>
        <w:tc>
          <w:tcPr>
            <w:tcW w:w="1095" w:type="dxa"/>
            <w:tcBorders>
              <w:bottom w:val="single" w:sz="6" w:space="0" w:color="auto"/>
            </w:tcBorders>
            <w:vAlign w:val="center"/>
          </w:tcPr>
          <w:p w:rsidR="00AA6ACF" w:rsidRPr="006F7CA4" w:rsidRDefault="00AA6ACF" w:rsidP="00AA6ACF">
            <w:pPr>
              <w:rPr>
                <w:bCs/>
                <w:sz w:val="20"/>
                <w:szCs w:val="20"/>
              </w:rPr>
            </w:pPr>
            <w:r w:rsidRPr="006F7CA4">
              <w:rPr>
                <w:bCs/>
                <w:sz w:val="20"/>
                <w:szCs w:val="20"/>
              </w:rPr>
              <w:t xml:space="preserve"> 1992</w:t>
            </w:r>
          </w:p>
        </w:tc>
        <w:tc>
          <w:tcPr>
            <w:tcW w:w="1142" w:type="dxa"/>
            <w:tcBorders>
              <w:bottom w:val="single" w:sz="6" w:space="0" w:color="auto"/>
            </w:tcBorders>
            <w:vAlign w:val="center"/>
          </w:tcPr>
          <w:p w:rsidR="00AA6ACF" w:rsidRPr="00FE1FE0" w:rsidRDefault="00AA6ACF" w:rsidP="00AA6ACF">
            <w:pPr>
              <w:jc w:val="center"/>
              <w:rPr>
                <w:bCs/>
                <w:sz w:val="20"/>
                <w:szCs w:val="20"/>
              </w:rPr>
            </w:pPr>
            <w:r>
              <w:rPr>
                <w:bCs/>
                <w:sz w:val="20"/>
                <w:szCs w:val="20"/>
              </w:rPr>
              <w:t>1.144</w:t>
            </w:r>
          </w:p>
        </w:tc>
        <w:tc>
          <w:tcPr>
            <w:tcW w:w="1197" w:type="dxa"/>
            <w:tcBorders>
              <w:bottom w:val="single" w:sz="6" w:space="0" w:color="auto"/>
            </w:tcBorders>
            <w:vAlign w:val="center"/>
          </w:tcPr>
          <w:p w:rsidR="00AA6ACF" w:rsidRPr="00FE1FE0" w:rsidRDefault="00AA6ACF" w:rsidP="00AA6ACF">
            <w:pPr>
              <w:tabs>
                <w:tab w:val="decimal" w:pos="507"/>
              </w:tabs>
              <w:rPr>
                <w:bCs/>
                <w:sz w:val="20"/>
                <w:szCs w:val="20"/>
              </w:rPr>
            </w:pPr>
            <w:r>
              <w:rPr>
                <w:bCs/>
                <w:sz w:val="20"/>
                <w:szCs w:val="20"/>
              </w:rPr>
              <w:sym w:font="Symbol" w:char="F02D"/>
            </w:r>
            <w:r>
              <w:rPr>
                <w:bCs/>
                <w:sz w:val="20"/>
                <w:szCs w:val="20"/>
              </w:rPr>
              <w:t>3.49</w:t>
            </w:r>
          </w:p>
        </w:tc>
        <w:tc>
          <w:tcPr>
            <w:tcW w:w="1142" w:type="dxa"/>
            <w:shd w:val="clear" w:color="auto" w:fill="auto"/>
            <w:vAlign w:val="center"/>
          </w:tcPr>
          <w:p w:rsidR="00AA6ACF" w:rsidRPr="00FE1FE0" w:rsidRDefault="00AA6ACF" w:rsidP="00AA6ACF">
            <w:pPr>
              <w:jc w:val="center"/>
              <w:rPr>
                <w:bCs/>
                <w:sz w:val="20"/>
                <w:szCs w:val="20"/>
              </w:rPr>
            </w:pPr>
            <w:r>
              <w:rPr>
                <w:bCs/>
                <w:sz w:val="20"/>
                <w:szCs w:val="20"/>
              </w:rPr>
              <w:t>1.148</w:t>
            </w:r>
          </w:p>
        </w:tc>
        <w:tc>
          <w:tcPr>
            <w:tcW w:w="1197" w:type="dxa"/>
            <w:tcBorders>
              <w:bottom w:val="single" w:sz="6" w:space="0" w:color="auto"/>
            </w:tcBorders>
            <w:vAlign w:val="center"/>
          </w:tcPr>
          <w:p w:rsidR="00AA6ACF" w:rsidRPr="00FE1FE0" w:rsidRDefault="00AA6ACF" w:rsidP="00AA6ACF">
            <w:pPr>
              <w:tabs>
                <w:tab w:val="decimal" w:pos="507"/>
              </w:tabs>
              <w:rPr>
                <w:bCs/>
                <w:sz w:val="20"/>
                <w:szCs w:val="20"/>
              </w:rPr>
            </w:pPr>
            <w:r>
              <w:rPr>
                <w:bCs/>
                <w:sz w:val="20"/>
                <w:szCs w:val="20"/>
              </w:rPr>
              <w:sym w:font="Symbol" w:char="F02D"/>
            </w:r>
            <w:r>
              <w:rPr>
                <w:bCs/>
                <w:sz w:val="20"/>
                <w:szCs w:val="20"/>
              </w:rPr>
              <w:t>0.79</w:t>
            </w:r>
          </w:p>
        </w:tc>
      </w:tr>
      <w:tr w:rsidR="00AA6ACF">
        <w:trPr>
          <w:trHeight w:val="340"/>
          <w:jc w:val="center"/>
        </w:trPr>
        <w:tc>
          <w:tcPr>
            <w:tcW w:w="1095" w:type="dxa"/>
            <w:tcBorders>
              <w:top w:val="single" w:sz="6" w:space="0" w:color="auto"/>
              <w:bottom w:val="single" w:sz="6" w:space="0" w:color="auto"/>
            </w:tcBorders>
            <w:noWrap/>
            <w:vAlign w:val="center"/>
          </w:tcPr>
          <w:p w:rsidR="00AA6ACF" w:rsidRDefault="00AA6ACF" w:rsidP="00AA6ACF">
            <w:pPr>
              <w:rPr>
                <w:bCs/>
                <w:sz w:val="20"/>
                <w:szCs w:val="20"/>
              </w:rPr>
            </w:pPr>
            <w:r>
              <w:rPr>
                <w:bCs/>
                <w:sz w:val="20"/>
                <w:szCs w:val="20"/>
              </w:rPr>
              <w:t xml:space="preserve"> 1993</w:t>
            </w:r>
          </w:p>
        </w:tc>
        <w:tc>
          <w:tcPr>
            <w:tcW w:w="1142" w:type="dxa"/>
            <w:vAlign w:val="center"/>
          </w:tcPr>
          <w:p w:rsidR="00AA6ACF" w:rsidRDefault="00AA6ACF" w:rsidP="00AA6ACF">
            <w:pPr>
              <w:jc w:val="center"/>
              <w:rPr>
                <w:sz w:val="20"/>
                <w:szCs w:val="20"/>
              </w:rPr>
            </w:pPr>
            <w:r>
              <w:rPr>
                <w:sz w:val="20"/>
                <w:szCs w:val="20"/>
              </w:rPr>
              <w:t>1.002</w:t>
            </w:r>
          </w:p>
        </w:tc>
        <w:tc>
          <w:tcPr>
            <w:tcW w:w="1197" w:type="dxa"/>
            <w:tcBorders>
              <w:top w:val="single" w:sz="6" w:space="0" w:color="auto"/>
              <w:bottom w:val="single" w:sz="6" w:space="0" w:color="auto"/>
            </w:tcBorders>
            <w:noWrap/>
            <w:vAlign w:val="center"/>
          </w:tcPr>
          <w:p w:rsidR="00AA6ACF" w:rsidRDefault="00AA6ACF" w:rsidP="00AA6ACF">
            <w:pPr>
              <w:tabs>
                <w:tab w:val="decimal" w:pos="507"/>
              </w:tabs>
              <w:rPr>
                <w:sz w:val="20"/>
                <w:szCs w:val="20"/>
              </w:rPr>
            </w:pPr>
            <w:r>
              <w:rPr>
                <w:sz w:val="20"/>
                <w:szCs w:val="20"/>
              </w:rPr>
              <w:sym w:font="Symbol" w:char="F02D"/>
            </w:r>
            <w:r>
              <w:rPr>
                <w:sz w:val="20"/>
                <w:szCs w:val="20"/>
              </w:rPr>
              <w:t>0.58</w:t>
            </w:r>
          </w:p>
        </w:tc>
        <w:tc>
          <w:tcPr>
            <w:tcW w:w="1142" w:type="dxa"/>
            <w:shd w:val="clear" w:color="auto" w:fill="auto"/>
            <w:vAlign w:val="center"/>
          </w:tcPr>
          <w:p w:rsidR="00AA6ACF" w:rsidRDefault="00AA6ACF" w:rsidP="00AA6ACF">
            <w:pPr>
              <w:jc w:val="center"/>
              <w:rPr>
                <w:sz w:val="20"/>
                <w:szCs w:val="20"/>
              </w:rPr>
            </w:pPr>
            <w:r>
              <w:rPr>
                <w:sz w:val="20"/>
                <w:szCs w:val="20"/>
              </w:rPr>
              <w:t>1.204</w:t>
            </w:r>
          </w:p>
        </w:tc>
        <w:tc>
          <w:tcPr>
            <w:tcW w:w="1197" w:type="dxa"/>
            <w:tcBorders>
              <w:top w:val="single" w:sz="6" w:space="0" w:color="auto"/>
              <w:bottom w:val="single" w:sz="6" w:space="0" w:color="auto"/>
            </w:tcBorders>
            <w:noWrap/>
            <w:vAlign w:val="center"/>
          </w:tcPr>
          <w:p w:rsidR="00AA6ACF" w:rsidRDefault="00AA6ACF" w:rsidP="00AA6ACF">
            <w:pPr>
              <w:tabs>
                <w:tab w:val="decimal" w:pos="507"/>
              </w:tabs>
              <w:rPr>
                <w:sz w:val="20"/>
                <w:szCs w:val="20"/>
              </w:rPr>
            </w:pPr>
            <w:r>
              <w:rPr>
                <w:sz w:val="20"/>
                <w:szCs w:val="20"/>
              </w:rPr>
              <w:sym w:font="Symbol" w:char="F02D"/>
            </w:r>
            <w:r>
              <w:rPr>
                <w:sz w:val="20"/>
                <w:szCs w:val="20"/>
              </w:rPr>
              <w:t>2.81</w:t>
            </w:r>
          </w:p>
        </w:tc>
      </w:tr>
      <w:tr w:rsidR="00AA6ACF">
        <w:trPr>
          <w:trHeight w:val="340"/>
          <w:jc w:val="center"/>
        </w:trPr>
        <w:tc>
          <w:tcPr>
            <w:tcW w:w="1095" w:type="dxa"/>
            <w:tcBorders>
              <w:top w:val="single" w:sz="6" w:space="0" w:color="auto"/>
            </w:tcBorders>
            <w:noWrap/>
            <w:vAlign w:val="center"/>
          </w:tcPr>
          <w:p w:rsidR="00AA6ACF" w:rsidRDefault="00AA6ACF" w:rsidP="00AA6ACF">
            <w:pPr>
              <w:rPr>
                <w:bCs/>
                <w:sz w:val="20"/>
                <w:szCs w:val="20"/>
              </w:rPr>
            </w:pPr>
            <w:r>
              <w:rPr>
                <w:bCs/>
                <w:sz w:val="20"/>
                <w:szCs w:val="20"/>
              </w:rPr>
              <w:t xml:space="preserve"> 1994</w:t>
            </w:r>
          </w:p>
        </w:tc>
        <w:tc>
          <w:tcPr>
            <w:tcW w:w="1142" w:type="dxa"/>
            <w:vAlign w:val="center"/>
          </w:tcPr>
          <w:p w:rsidR="00AA6ACF" w:rsidRDefault="00AA6ACF" w:rsidP="00AA6ACF">
            <w:pPr>
              <w:jc w:val="center"/>
              <w:rPr>
                <w:sz w:val="20"/>
                <w:szCs w:val="20"/>
              </w:rPr>
            </w:pPr>
            <w:r>
              <w:rPr>
                <w:sz w:val="20"/>
                <w:szCs w:val="20"/>
              </w:rPr>
              <w:t>1</w:t>
            </w:r>
          </w:p>
        </w:tc>
        <w:tc>
          <w:tcPr>
            <w:tcW w:w="1197" w:type="dxa"/>
            <w:tcBorders>
              <w:top w:val="single" w:sz="6" w:space="0" w:color="auto"/>
            </w:tcBorders>
            <w:noWrap/>
            <w:vAlign w:val="center"/>
          </w:tcPr>
          <w:p w:rsidR="00AA6ACF" w:rsidRDefault="00AA6ACF" w:rsidP="00AA6ACF">
            <w:pPr>
              <w:tabs>
                <w:tab w:val="decimal" w:pos="507"/>
              </w:tabs>
              <w:jc w:val="center"/>
              <w:rPr>
                <w:sz w:val="20"/>
                <w:szCs w:val="20"/>
              </w:rPr>
            </w:pPr>
          </w:p>
        </w:tc>
        <w:tc>
          <w:tcPr>
            <w:tcW w:w="1142" w:type="dxa"/>
            <w:shd w:val="clear" w:color="auto" w:fill="auto"/>
            <w:vAlign w:val="center"/>
          </w:tcPr>
          <w:p w:rsidR="00AA6ACF" w:rsidRDefault="00AA6ACF" w:rsidP="00AA6ACF">
            <w:pPr>
              <w:jc w:val="center"/>
              <w:rPr>
                <w:sz w:val="20"/>
                <w:szCs w:val="20"/>
              </w:rPr>
            </w:pPr>
            <w:r>
              <w:rPr>
                <w:sz w:val="20"/>
                <w:szCs w:val="20"/>
              </w:rPr>
              <w:t>1.002</w:t>
            </w:r>
          </w:p>
        </w:tc>
        <w:tc>
          <w:tcPr>
            <w:tcW w:w="1197" w:type="dxa"/>
            <w:tcBorders>
              <w:top w:val="single" w:sz="6" w:space="0" w:color="auto"/>
            </w:tcBorders>
            <w:noWrap/>
            <w:vAlign w:val="center"/>
          </w:tcPr>
          <w:p w:rsidR="00AA6ACF" w:rsidRDefault="00AA6ACF" w:rsidP="00AA6ACF">
            <w:pPr>
              <w:tabs>
                <w:tab w:val="decimal" w:pos="507"/>
              </w:tabs>
              <w:rPr>
                <w:sz w:val="20"/>
                <w:szCs w:val="20"/>
              </w:rPr>
            </w:pPr>
            <w:r>
              <w:rPr>
                <w:sz w:val="20"/>
                <w:szCs w:val="20"/>
              </w:rPr>
              <w:sym w:font="Symbol" w:char="F02D"/>
            </w:r>
            <w:r>
              <w:rPr>
                <w:sz w:val="20"/>
                <w:szCs w:val="20"/>
              </w:rPr>
              <w:t>0.22</w:t>
            </w:r>
          </w:p>
        </w:tc>
      </w:tr>
      <w:tr w:rsidR="00AA6ACF">
        <w:trPr>
          <w:trHeight w:val="340"/>
          <w:jc w:val="center"/>
        </w:trPr>
        <w:tc>
          <w:tcPr>
            <w:tcW w:w="1095" w:type="dxa"/>
            <w:noWrap/>
            <w:vAlign w:val="center"/>
          </w:tcPr>
          <w:p w:rsidR="00AA6ACF" w:rsidRDefault="00AA6ACF" w:rsidP="00AA6ACF">
            <w:pPr>
              <w:rPr>
                <w:bCs/>
                <w:sz w:val="20"/>
                <w:szCs w:val="20"/>
              </w:rPr>
            </w:pPr>
            <w:r>
              <w:rPr>
                <w:bCs/>
                <w:sz w:val="20"/>
                <w:szCs w:val="20"/>
              </w:rPr>
              <w:t xml:space="preserve"> 1995</w:t>
            </w:r>
          </w:p>
        </w:tc>
        <w:tc>
          <w:tcPr>
            <w:tcW w:w="1142" w:type="dxa"/>
            <w:vAlign w:val="center"/>
          </w:tcPr>
          <w:p w:rsidR="00AA6ACF" w:rsidRDefault="00AA6ACF" w:rsidP="00AA6ACF">
            <w:pPr>
              <w:jc w:val="center"/>
              <w:rPr>
                <w:sz w:val="20"/>
                <w:szCs w:val="20"/>
              </w:rPr>
            </w:pPr>
            <w:r>
              <w:rPr>
                <w:sz w:val="20"/>
                <w:szCs w:val="20"/>
              </w:rPr>
              <w:t>1.067</w:t>
            </w:r>
          </w:p>
        </w:tc>
        <w:tc>
          <w:tcPr>
            <w:tcW w:w="1197" w:type="dxa"/>
            <w:noWrap/>
            <w:vAlign w:val="center"/>
          </w:tcPr>
          <w:p w:rsidR="00AA6ACF" w:rsidRDefault="00AA6ACF" w:rsidP="00AA6ACF">
            <w:pPr>
              <w:tabs>
                <w:tab w:val="decimal" w:pos="507"/>
              </w:tabs>
              <w:rPr>
                <w:sz w:val="20"/>
                <w:szCs w:val="20"/>
              </w:rPr>
            </w:pPr>
            <w:r>
              <w:rPr>
                <w:sz w:val="20"/>
                <w:szCs w:val="20"/>
              </w:rPr>
              <w:sym w:font="Symbol" w:char="F02D"/>
            </w:r>
            <w:r>
              <w:rPr>
                <w:sz w:val="20"/>
                <w:szCs w:val="20"/>
              </w:rPr>
              <w:t>0.50</w:t>
            </w:r>
          </w:p>
        </w:tc>
        <w:tc>
          <w:tcPr>
            <w:tcW w:w="1142" w:type="dxa"/>
            <w:shd w:val="clear" w:color="auto" w:fill="auto"/>
            <w:vAlign w:val="center"/>
          </w:tcPr>
          <w:p w:rsidR="00AA6ACF" w:rsidRDefault="00AA6ACF" w:rsidP="00AA6ACF">
            <w:pPr>
              <w:jc w:val="center"/>
              <w:rPr>
                <w:sz w:val="20"/>
                <w:szCs w:val="20"/>
              </w:rPr>
            </w:pPr>
            <w:r>
              <w:rPr>
                <w:sz w:val="20"/>
                <w:szCs w:val="20"/>
              </w:rPr>
              <w:t>1.030</w:t>
            </w:r>
          </w:p>
        </w:tc>
        <w:tc>
          <w:tcPr>
            <w:tcW w:w="1197" w:type="dxa"/>
            <w:noWrap/>
            <w:vAlign w:val="center"/>
          </w:tcPr>
          <w:p w:rsidR="00AA6ACF" w:rsidRDefault="00AA6ACF" w:rsidP="00AA6ACF">
            <w:pPr>
              <w:tabs>
                <w:tab w:val="decimal" w:pos="507"/>
              </w:tabs>
              <w:rPr>
                <w:sz w:val="20"/>
                <w:szCs w:val="20"/>
              </w:rPr>
            </w:pPr>
            <w:r>
              <w:rPr>
                <w:sz w:val="20"/>
                <w:szCs w:val="20"/>
              </w:rPr>
              <w:sym w:font="Symbol" w:char="F02D"/>
            </w:r>
            <w:r>
              <w:rPr>
                <w:sz w:val="20"/>
                <w:szCs w:val="20"/>
              </w:rPr>
              <w:t>0.22</w:t>
            </w:r>
          </w:p>
        </w:tc>
      </w:tr>
      <w:tr w:rsidR="00AA6ACF">
        <w:trPr>
          <w:trHeight w:val="340"/>
          <w:jc w:val="center"/>
        </w:trPr>
        <w:tc>
          <w:tcPr>
            <w:tcW w:w="1095" w:type="dxa"/>
            <w:noWrap/>
            <w:vAlign w:val="center"/>
          </w:tcPr>
          <w:p w:rsidR="00AA6ACF" w:rsidRDefault="00AA6ACF" w:rsidP="00AA6ACF">
            <w:pPr>
              <w:rPr>
                <w:bCs/>
                <w:sz w:val="20"/>
                <w:szCs w:val="20"/>
              </w:rPr>
            </w:pPr>
            <w:r>
              <w:rPr>
                <w:bCs/>
                <w:sz w:val="20"/>
                <w:szCs w:val="20"/>
              </w:rPr>
              <w:t xml:space="preserve"> 1996</w:t>
            </w:r>
          </w:p>
        </w:tc>
        <w:tc>
          <w:tcPr>
            <w:tcW w:w="1142" w:type="dxa"/>
            <w:vAlign w:val="center"/>
          </w:tcPr>
          <w:p w:rsidR="00AA6ACF" w:rsidRDefault="00AA6ACF" w:rsidP="00AA6ACF">
            <w:pPr>
              <w:jc w:val="center"/>
              <w:rPr>
                <w:sz w:val="20"/>
                <w:szCs w:val="20"/>
              </w:rPr>
            </w:pPr>
            <w:r>
              <w:rPr>
                <w:sz w:val="20"/>
                <w:szCs w:val="20"/>
              </w:rPr>
              <w:t>1</w:t>
            </w:r>
          </w:p>
        </w:tc>
        <w:tc>
          <w:tcPr>
            <w:tcW w:w="1197" w:type="dxa"/>
            <w:noWrap/>
            <w:vAlign w:val="center"/>
          </w:tcPr>
          <w:p w:rsidR="00AA6ACF" w:rsidRDefault="00AA6ACF" w:rsidP="00AA6ACF">
            <w:pPr>
              <w:tabs>
                <w:tab w:val="decimal" w:pos="507"/>
              </w:tabs>
              <w:jc w:val="center"/>
              <w:rPr>
                <w:sz w:val="20"/>
                <w:szCs w:val="20"/>
              </w:rPr>
            </w:pPr>
          </w:p>
        </w:tc>
        <w:tc>
          <w:tcPr>
            <w:tcW w:w="1142" w:type="dxa"/>
            <w:shd w:val="clear" w:color="auto" w:fill="auto"/>
            <w:vAlign w:val="center"/>
          </w:tcPr>
          <w:p w:rsidR="00AA6ACF" w:rsidRDefault="00AA6ACF" w:rsidP="00AA6ACF">
            <w:pPr>
              <w:jc w:val="center"/>
              <w:rPr>
                <w:sz w:val="20"/>
                <w:szCs w:val="20"/>
              </w:rPr>
            </w:pPr>
            <w:r>
              <w:rPr>
                <w:sz w:val="20"/>
                <w:szCs w:val="20"/>
              </w:rPr>
              <w:t>1.001</w:t>
            </w:r>
          </w:p>
        </w:tc>
        <w:tc>
          <w:tcPr>
            <w:tcW w:w="1197" w:type="dxa"/>
            <w:noWrap/>
            <w:vAlign w:val="center"/>
          </w:tcPr>
          <w:p w:rsidR="00AA6ACF" w:rsidRDefault="00AA6ACF" w:rsidP="00AA6ACF">
            <w:pPr>
              <w:tabs>
                <w:tab w:val="decimal" w:pos="507"/>
              </w:tabs>
              <w:rPr>
                <w:sz w:val="20"/>
                <w:szCs w:val="20"/>
              </w:rPr>
            </w:pPr>
            <w:r>
              <w:rPr>
                <w:sz w:val="20"/>
                <w:szCs w:val="20"/>
              </w:rPr>
              <w:sym w:font="Symbol" w:char="F02D"/>
            </w:r>
            <w:r>
              <w:rPr>
                <w:sz w:val="20"/>
                <w:szCs w:val="20"/>
              </w:rPr>
              <w:t>0.09</w:t>
            </w:r>
          </w:p>
        </w:tc>
      </w:tr>
      <w:tr w:rsidR="00AA6ACF">
        <w:trPr>
          <w:trHeight w:val="340"/>
          <w:jc w:val="center"/>
        </w:trPr>
        <w:tc>
          <w:tcPr>
            <w:tcW w:w="1095" w:type="dxa"/>
            <w:noWrap/>
            <w:vAlign w:val="center"/>
          </w:tcPr>
          <w:p w:rsidR="00AA6ACF" w:rsidRDefault="00AA6ACF" w:rsidP="00AA6ACF">
            <w:pPr>
              <w:rPr>
                <w:bCs/>
                <w:sz w:val="20"/>
                <w:szCs w:val="20"/>
              </w:rPr>
            </w:pPr>
            <w:r>
              <w:rPr>
                <w:bCs/>
                <w:sz w:val="20"/>
                <w:szCs w:val="20"/>
              </w:rPr>
              <w:t xml:space="preserve"> 1997</w:t>
            </w:r>
          </w:p>
        </w:tc>
        <w:tc>
          <w:tcPr>
            <w:tcW w:w="1142" w:type="dxa"/>
            <w:vAlign w:val="center"/>
          </w:tcPr>
          <w:p w:rsidR="00AA6ACF" w:rsidRDefault="00AA6ACF" w:rsidP="00AA6ACF">
            <w:pPr>
              <w:jc w:val="center"/>
              <w:rPr>
                <w:sz w:val="20"/>
                <w:szCs w:val="20"/>
              </w:rPr>
            </w:pPr>
            <w:r>
              <w:rPr>
                <w:sz w:val="20"/>
                <w:szCs w:val="20"/>
              </w:rPr>
              <w:t>1</w:t>
            </w:r>
          </w:p>
        </w:tc>
        <w:tc>
          <w:tcPr>
            <w:tcW w:w="1197" w:type="dxa"/>
            <w:noWrap/>
            <w:vAlign w:val="center"/>
          </w:tcPr>
          <w:p w:rsidR="00AA6ACF" w:rsidRDefault="00AA6ACF" w:rsidP="00AA6ACF">
            <w:pPr>
              <w:tabs>
                <w:tab w:val="decimal" w:pos="507"/>
              </w:tabs>
              <w:jc w:val="center"/>
              <w:rPr>
                <w:sz w:val="20"/>
                <w:szCs w:val="20"/>
              </w:rPr>
            </w:pPr>
          </w:p>
        </w:tc>
        <w:tc>
          <w:tcPr>
            <w:tcW w:w="1142" w:type="dxa"/>
            <w:shd w:val="clear" w:color="auto" w:fill="auto"/>
            <w:vAlign w:val="center"/>
          </w:tcPr>
          <w:p w:rsidR="00AA6ACF" w:rsidRDefault="00AA6ACF" w:rsidP="00AA6ACF">
            <w:pPr>
              <w:jc w:val="center"/>
              <w:rPr>
                <w:sz w:val="20"/>
                <w:szCs w:val="20"/>
              </w:rPr>
            </w:pPr>
            <w:r>
              <w:rPr>
                <w:sz w:val="20"/>
                <w:szCs w:val="20"/>
              </w:rPr>
              <w:t>1</w:t>
            </w:r>
          </w:p>
        </w:tc>
        <w:tc>
          <w:tcPr>
            <w:tcW w:w="1197" w:type="dxa"/>
            <w:noWrap/>
            <w:vAlign w:val="center"/>
          </w:tcPr>
          <w:p w:rsidR="00AA6ACF" w:rsidRDefault="00AA6ACF" w:rsidP="00AA6ACF">
            <w:pPr>
              <w:tabs>
                <w:tab w:val="decimal" w:pos="507"/>
              </w:tabs>
              <w:jc w:val="center"/>
              <w:rPr>
                <w:sz w:val="20"/>
                <w:szCs w:val="20"/>
              </w:rPr>
            </w:pPr>
          </w:p>
        </w:tc>
      </w:tr>
    </w:tbl>
    <w:p w:rsidR="00AA6ACF" w:rsidRDefault="00AA6ACF" w:rsidP="00AA6ACF"/>
    <w:p w:rsidR="00AA6ACF" w:rsidRDefault="00AA6ACF" w:rsidP="00AA6ACF"/>
    <w:p w:rsidR="00886AEB" w:rsidRDefault="007E5699" w:rsidP="007E5699">
      <w:pPr>
        <w:widowControl w:val="0"/>
        <w:tabs>
          <w:tab w:val="left" w:pos="-1440"/>
          <w:tab w:val="left" w:pos="-720"/>
          <w:tab w:val="left" w:pos="18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120" w:line="480" w:lineRule="auto"/>
      </w:pPr>
      <w:r>
        <w:br w:type="page"/>
      </w:r>
    </w:p>
    <w:p w:rsidR="0008693B" w:rsidRDefault="0008693B" w:rsidP="0008693B"/>
    <w:p w:rsidR="0008693B" w:rsidRDefault="0008693B" w:rsidP="0008693B"/>
    <w:p w:rsidR="0008693B" w:rsidRDefault="0008693B" w:rsidP="0008693B"/>
    <w:p w:rsidR="0008693B" w:rsidRDefault="0008693B" w:rsidP="0008693B">
      <w:r w:rsidRPr="002B049A">
        <w:pict>
          <v:shape id="_x0000_s1031" type="#_x0000_t75" style="position:absolute;left:0;text-align:left;margin-left:9pt;margin-top:12.6pt;width:6in;height:366.6pt;z-index:1">
            <v:imagedata r:id="rId23" o:title=""/>
          </v:shape>
        </w:pict>
      </w:r>
    </w:p>
    <w:p w:rsidR="0008693B" w:rsidRDefault="0008693B" w:rsidP="0008693B"/>
    <w:p w:rsidR="0008693B" w:rsidRDefault="0008693B" w:rsidP="0008693B"/>
    <w:p w:rsidR="0008693B" w:rsidRDefault="0008693B" w:rsidP="0008693B"/>
    <w:p w:rsidR="0008693B" w:rsidRDefault="0008693B" w:rsidP="0008693B"/>
    <w:p w:rsidR="0008693B" w:rsidRDefault="0008693B" w:rsidP="0008693B"/>
    <w:p w:rsidR="0008693B" w:rsidRDefault="0008693B" w:rsidP="0008693B"/>
    <w:p w:rsidR="0008693B" w:rsidRDefault="0008693B" w:rsidP="0008693B"/>
    <w:p w:rsidR="0008693B" w:rsidRDefault="0008693B" w:rsidP="0008693B"/>
    <w:p w:rsidR="0008693B" w:rsidRDefault="0008693B" w:rsidP="0008693B"/>
    <w:p w:rsidR="0008693B" w:rsidRDefault="0008693B" w:rsidP="0008693B"/>
    <w:p w:rsidR="0008693B" w:rsidRDefault="0008693B" w:rsidP="0008693B"/>
    <w:p w:rsidR="0008693B" w:rsidRDefault="0008693B" w:rsidP="0008693B"/>
    <w:p w:rsidR="0008693B" w:rsidRDefault="0008693B" w:rsidP="0008693B"/>
    <w:p w:rsidR="0008693B" w:rsidRDefault="0008693B" w:rsidP="0008693B"/>
    <w:p w:rsidR="0008693B" w:rsidRDefault="0008693B" w:rsidP="0008693B"/>
    <w:p w:rsidR="0008693B" w:rsidRDefault="0008693B" w:rsidP="0008693B"/>
    <w:p w:rsidR="0008693B" w:rsidRDefault="0008693B" w:rsidP="0008693B"/>
    <w:p w:rsidR="0008693B" w:rsidRDefault="0008693B" w:rsidP="0008693B"/>
    <w:p w:rsidR="0008693B" w:rsidRDefault="0008693B" w:rsidP="0008693B"/>
    <w:p w:rsidR="0008693B" w:rsidRDefault="0008693B" w:rsidP="0008693B"/>
    <w:p w:rsidR="0008693B" w:rsidRDefault="0008693B" w:rsidP="0008693B"/>
    <w:p w:rsidR="0008693B" w:rsidRDefault="0008693B" w:rsidP="0008693B"/>
    <w:p w:rsidR="0008693B" w:rsidRDefault="0008693B" w:rsidP="0008693B"/>
    <w:p w:rsidR="0008693B" w:rsidRDefault="0008693B" w:rsidP="0008693B"/>
    <w:p w:rsidR="0008693B" w:rsidRDefault="0008693B" w:rsidP="0008693B"/>
    <w:p w:rsidR="0008693B" w:rsidRDefault="0008693B" w:rsidP="0008693B"/>
    <w:p w:rsidR="0008693B" w:rsidRDefault="0008693B" w:rsidP="0008693B"/>
    <w:p w:rsidR="0008693B" w:rsidRDefault="0008693B" w:rsidP="0008693B"/>
    <w:p w:rsidR="0008693B" w:rsidRDefault="0008693B" w:rsidP="0008693B">
      <w:pPr>
        <w:jc w:val="center"/>
      </w:pPr>
      <w:r w:rsidRPr="002B049A">
        <w:rPr>
          <w:b/>
        </w:rPr>
        <w:t>Figure 1</w:t>
      </w:r>
      <w:r>
        <w:rPr>
          <w:b/>
        </w:rPr>
        <w:t xml:space="preserve">.  </w:t>
      </w:r>
      <w:r w:rsidRPr="00A837FF">
        <w:t>Färe and Grosskopf’s approach</w:t>
      </w:r>
    </w:p>
    <w:p w:rsidR="0008693B" w:rsidRDefault="0008693B" w:rsidP="0008693B">
      <w:r>
        <w:br w:type="page"/>
      </w:r>
    </w:p>
    <w:p w:rsidR="0008693B" w:rsidRDefault="0008693B" w:rsidP="0008693B">
      <w:pPr>
        <w:rPr>
          <w:b/>
        </w:rPr>
      </w:pPr>
      <w:r w:rsidRPr="000A06B8">
        <w:pict>
          <v:shape id="_x0000_s1032" type="#_x0000_t75" style="position:absolute;left:0;text-align:left;margin-left:9pt;margin-top:13.2pt;width:431.8pt;height:325.15pt;z-index:2">
            <v:imagedata r:id="rId24" o:title=""/>
          </v:shape>
        </w:pict>
      </w:r>
    </w:p>
    <w:p w:rsidR="0008693B" w:rsidRDefault="0008693B" w:rsidP="0008693B">
      <w:pPr>
        <w:rPr>
          <w:b/>
        </w:rPr>
      </w:pPr>
    </w:p>
    <w:p w:rsidR="0008693B" w:rsidRDefault="0008693B" w:rsidP="0008693B">
      <w:pPr>
        <w:jc w:val="center"/>
        <w:rPr>
          <w:b/>
        </w:rPr>
      </w:pPr>
    </w:p>
    <w:p w:rsidR="0008693B" w:rsidRDefault="0008693B" w:rsidP="0008693B">
      <w:pPr>
        <w:jc w:val="center"/>
        <w:rPr>
          <w:b/>
        </w:rPr>
      </w:pPr>
    </w:p>
    <w:p w:rsidR="0008693B" w:rsidRDefault="0008693B" w:rsidP="0008693B">
      <w:pPr>
        <w:jc w:val="center"/>
        <w:rPr>
          <w:b/>
        </w:rPr>
      </w:pPr>
    </w:p>
    <w:p w:rsidR="0008693B" w:rsidRDefault="0008693B" w:rsidP="0008693B">
      <w:pPr>
        <w:jc w:val="center"/>
        <w:rPr>
          <w:b/>
        </w:rPr>
      </w:pPr>
    </w:p>
    <w:p w:rsidR="0008693B" w:rsidRDefault="0008693B" w:rsidP="0008693B">
      <w:pPr>
        <w:jc w:val="center"/>
        <w:rPr>
          <w:b/>
        </w:rPr>
      </w:pPr>
    </w:p>
    <w:p w:rsidR="0008693B" w:rsidRDefault="0008693B" w:rsidP="0008693B">
      <w:pPr>
        <w:jc w:val="center"/>
        <w:rPr>
          <w:b/>
        </w:rPr>
      </w:pPr>
    </w:p>
    <w:p w:rsidR="0008693B" w:rsidRDefault="0008693B" w:rsidP="0008693B">
      <w:pPr>
        <w:jc w:val="center"/>
        <w:rPr>
          <w:b/>
        </w:rPr>
      </w:pPr>
    </w:p>
    <w:p w:rsidR="0008693B" w:rsidRDefault="0008693B" w:rsidP="0008693B">
      <w:pPr>
        <w:jc w:val="center"/>
        <w:rPr>
          <w:b/>
        </w:rPr>
      </w:pPr>
    </w:p>
    <w:p w:rsidR="0008693B" w:rsidRDefault="0008693B" w:rsidP="0008693B">
      <w:pPr>
        <w:jc w:val="center"/>
        <w:rPr>
          <w:b/>
        </w:rPr>
      </w:pPr>
    </w:p>
    <w:p w:rsidR="0008693B" w:rsidRDefault="0008693B" w:rsidP="0008693B">
      <w:pPr>
        <w:jc w:val="center"/>
        <w:rPr>
          <w:b/>
        </w:rPr>
      </w:pPr>
    </w:p>
    <w:p w:rsidR="0008693B" w:rsidRDefault="0008693B" w:rsidP="0008693B">
      <w:pPr>
        <w:jc w:val="center"/>
        <w:rPr>
          <w:b/>
        </w:rPr>
      </w:pPr>
    </w:p>
    <w:p w:rsidR="0008693B" w:rsidRDefault="0008693B" w:rsidP="0008693B">
      <w:pPr>
        <w:jc w:val="center"/>
        <w:rPr>
          <w:b/>
        </w:rPr>
      </w:pPr>
    </w:p>
    <w:p w:rsidR="0008693B" w:rsidRDefault="0008693B" w:rsidP="0008693B">
      <w:pPr>
        <w:jc w:val="center"/>
        <w:rPr>
          <w:b/>
        </w:rPr>
      </w:pPr>
    </w:p>
    <w:p w:rsidR="0008693B" w:rsidRDefault="0008693B" w:rsidP="0008693B">
      <w:pPr>
        <w:jc w:val="center"/>
        <w:rPr>
          <w:b/>
        </w:rPr>
      </w:pPr>
    </w:p>
    <w:p w:rsidR="0008693B" w:rsidRDefault="0008693B" w:rsidP="0008693B">
      <w:pPr>
        <w:jc w:val="center"/>
        <w:rPr>
          <w:b/>
        </w:rPr>
      </w:pPr>
    </w:p>
    <w:p w:rsidR="0008693B" w:rsidRDefault="0008693B" w:rsidP="0008693B">
      <w:pPr>
        <w:jc w:val="center"/>
        <w:rPr>
          <w:b/>
        </w:rPr>
      </w:pPr>
    </w:p>
    <w:p w:rsidR="0008693B" w:rsidRDefault="0008693B" w:rsidP="0008693B">
      <w:pPr>
        <w:jc w:val="center"/>
        <w:rPr>
          <w:b/>
        </w:rPr>
      </w:pPr>
    </w:p>
    <w:p w:rsidR="0008693B" w:rsidRDefault="0008693B" w:rsidP="0008693B">
      <w:pPr>
        <w:jc w:val="center"/>
        <w:rPr>
          <w:b/>
        </w:rPr>
      </w:pPr>
    </w:p>
    <w:p w:rsidR="0008693B" w:rsidRDefault="0008693B" w:rsidP="0008693B">
      <w:pPr>
        <w:jc w:val="center"/>
        <w:rPr>
          <w:b/>
        </w:rPr>
      </w:pPr>
    </w:p>
    <w:p w:rsidR="0008693B" w:rsidRDefault="0008693B" w:rsidP="0008693B">
      <w:pPr>
        <w:jc w:val="center"/>
        <w:rPr>
          <w:b/>
        </w:rPr>
      </w:pPr>
    </w:p>
    <w:p w:rsidR="0008693B" w:rsidRDefault="0008693B" w:rsidP="0008693B">
      <w:pPr>
        <w:jc w:val="center"/>
        <w:rPr>
          <w:b/>
        </w:rPr>
      </w:pPr>
    </w:p>
    <w:p w:rsidR="0008693B" w:rsidRDefault="0008693B" w:rsidP="0008693B">
      <w:pPr>
        <w:jc w:val="center"/>
        <w:rPr>
          <w:b/>
        </w:rPr>
      </w:pPr>
      <w:r>
        <w:rPr>
          <w:b/>
        </w:rPr>
        <w:t>Figure 2</w:t>
      </w:r>
    </w:p>
    <w:p w:rsidR="0008693B" w:rsidRDefault="0008693B" w:rsidP="0008693B">
      <w:pPr>
        <w:jc w:val="center"/>
        <w:rPr>
          <w:b/>
        </w:rPr>
      </w:pPr>
    </w:p>
    <w:p w:rsidR="0008693B" w:rsidRDefault="0008693B" w:rsidP="0008693B">
      <w:pPr>
        <w:jc w:val="center"/>
        <w:rPr>
          <w:b/>
        </w:rPr>
      </w:pPr>
    </w:p>
    <w:p w:rsidR="0008693B" w:rsidRPr="005F5184" w:rsidRDefault="0008693B" w:rsidP="0008693B">
      <w:pPr>
        <w:jc w:val="center"/>
      </w:pPr>
      <w:r>
        <w:rPr>
          <w:b/>
        </w:rPr>
        <w:t xml:space="preserve">Figure 2.  </w:t>
      </w:r>
      <w:r>
        <w:t>Cooper’s model</w:t>
      </w:r>
    </w:p>
    <w:p w:rsidR="0008693B" w:rsidRPr="00441A89" w:rsidRDefault="0008693B" w:rsidP="0008693B">
      <w:r>
        <w:rPr>
          <w:b/>
        </w:rPr>
        <w:br w:type="page"/>
      </w:r>
    </w:p>
    <w:p w:rsidR="0008693B" w:rsidRPr="00441A89" w:rsidRDefault="0008693B" w:rsidP="0008693B"/>
    <w:p w:rsidR="0008693B" w:rsidRDefault="0008693B" w:rsidP="0008693B">
      <w:r w:rsidRPr="009B4FD8">
        <w:pict>
          <v:shape id="_x0000_s1034" type="#_x0000_t75" style="position:absolute;left:0;text-align:left;margin-left:-4pt;margin-top:9pt;width:431.8pt;height:415.9pt;z-index:4">
            <v:imagedata r:id="rId25" o:title=""/>
          </v:shape>
        </w:pict>
      </w:r>
    </w:p>
    <w:p w:rsidR="0008693B" w:rsidRDefault="0008693B" w:rsidP="0008693B"/>
    <w:p w:rsidR="0008693B" w:rsidRDefault="0008693B" w:rsidP="0008693B">
      <w:pPr>
        <w:jc w:val="center"/>
      </w:pPr>
    </w:p>
    <w:p w:rsidR="0008693B" w:rsidRDefault="0008693B" w:rsidP="0008693B">
      <w:pPr>
        <w:jc w:val="center"/>
      </w:pPr>
    </w:p>
    <w:p w:rsidR="0008693B" w:rsidRDefault="0008693B" w:rsidP="0008693B">
      <w:pPr>
        <w:jc w:val="center"/>
      </w:pPr>
    </w:p>
    <w:p w:rsidR="0008693B" w:rsidRDefault="0008693B" w:rsidP="0008693B">
      <w:pPr>
        <w:jc w:val="center"/>
      </w:pPr>
    </w:p>
    <w:p w:rsidR="0008693B" w:rsidRDefault="0008693B" w:rsidP="0008693B">
      <w:pPr>
        <w:jc w:val="center"/>
      </w:pPr>
    </w:p>
    <w:p w:rsidR="0008693B" w:rsidRDefault="0008693B" w:rsidP="0008693B">
      <w:pPr>
        <w:jc w:val="center"/>
      </w:pPr>
    </w:p>
    <w:p w:rsidR="0008693B" w:rsidRDefault="0008693B" w:rsidP="0008693B">
      <w:pPr>
        <w:jc w:val="center"/>
      </w:pPr>
    </w:p>
    <w:p w:rsidR="0008693B" w:rsidRDefault="0008693B" w:rsidP="0008693B">
      <w:pPr>
        <w:jc w:val="center"/>
      </w:pPr>
    </w:p>
    <w:p w:rsidR="0008693B" w:rsidRDefault="0008693B" w:rsidP="0008693B">
      <w:pPr>
        <w:jc w:val="center"/>
      </w:pPr>
    </w:p>
    <w:p w:rsidR="0008693B" w:rsidRDefault="0008693B" w:rsidP="0008693B">
      <w:pPr>
        <w:jc w:val="center"/>
      </w:pPr>
    </w:p>
    <w:p w:rsidR="0008693B" w:rsidRDefault="0008693B" w:rsidP="0008693B">
      <w:pPr>
        <w:jc w:val="center"/>
      </w:pPr>
    </w:p>
    <w:p w:rsidR="0008693B" w:rsidRDefault="0008693B" w:rsidP="0008693B">
      <w:pPr>
        <w:jc w:val="center"/>
      </w:pPr>
    </w:p>
    <w:p w:rsidR="0008693B" w:rsidRDefault="0008693B" w:rsidP="0008693B">
      <w:pPr>
        <w:jc w:val="center"/>
      </w:pPr>
    </w:p>
    <w:p w:rsidR="0008693B" w:rsidRDefault="0008693B" w:rsidP="0008693B">
      <w:pPr>
        <w:jc w:val="center"/>
      </w:pPr>
    </w:p>
    <w:p w:rsidR="0008693B" w:rsidRDefault="0008693B" w:rsidP="0008693B">
      <w:pPr>
        <w:jc w:val="center"/>
      </w:pPr>
    </w:p>
    <w:p w:rsidR="0008693B" w:rsidRDefault="0008693B" w:rsidP="0008693B">
      <w:pPr>
        <w:jc w:val="center"/>
      </w:pPr>
    </w:p>
    <w:p w:rsidR="0008693B" w:rsidRDefault="0008693B" w:rsidP="0008693B">
      <w:pPr>
        <w:jc w:val="center"/>
      </w:pPr>
    </w:p>
    <w:p w:rsidR="0008693B" w:rsidRDefault="0008693B" w:rsidP="0008693B">
      <w:pPr>
        <w:jc w:val="center"/>
      </w:pPr>
    </w:p>
    <w:p w:rsidR="0008693B" w:rsidRDefault="0008693B" w:rsidP="0008693B">
      <w:pPr>
        <w:jc w:val="center"/>
      </w:pPr>
    </w:p>
    <w:p w:rsidR="0008693B" w:rsidRDefault="0008693B" w:rsidP="0008693B">
      <w:pPr>
        <w:jc w:val="center"/>
      </w:pPr>
    </w:p>
    <w:p w:rsidR="0008693B" w:rsidRDefault="0008693B" w:rsidP="0008693B">
      <w:pPr>
        <w:jc w:val="center"/>
      </w:pPr>
    </w:p>
    <w:p w:rsidR="0008693B" w:rsidRDefault="0008693B" w:rsidP="0008693B">
      <w:pPr>
        <w:jc w:val="center"/>
      </w:pPr>
    </w:p>
    <w:p w:rsidR="0008693B" w:rsidRDefault="0008693B" w:rsidP="0008693B">
      <w:pPr>
        <w:jc w:val="center"/>
      </w:pPr>
    </w:p>
    <w:p w:rsidR="0008693B" w:rsidRDefault="0008693B" w:rsidP="0008693B">
      <w:pPr>
        <w:jc w:val="center"/>
      </w:pPr>
    </w:p>
    <w:p w:rsidR="0008693B" w:rsidRDefault="0008693B" w:rsidP="0008693B">
      <w:pPr>
        <w:jc w:val="center"/>
      </w:pPr>
    </w:p>
    <w:p w:rsidR="0008693B" w:rsidRDefault="0008693B" w:rsidP="0008693B">
      <w:pPr>
        <w:jc w:val="center"/>
      </w:pPr>
    </w:p>
    <w:p w:rsidR="0008693B" w:rsidRDefault="0008693B" w:rsidP="0008693B">
      <w:pPr>
        <w:jc w:val="center"/>
      </w:pPr>
    </w:p>
    <w:p w:rsidR="0008693B" w:rsidRDefault="0008693B" w:rsidP="0008693B">
      <w:pPr>
        <w:jc w:val="center"/>
      </w:pPr>
    </w:p>
    <w:p w:rsidR="0008693B" w:rsidRDefault="0008693B" w:rsidP="0008693B">
      <w:pPr>
        <w:jc w:val="center"/>
      </w:pPr>
    </w:p>
    <w:p w:rsidR="0008693B" w:rsidRDefault="0008693B" w:rsidP="0008693B">
      <w:pPr>
        <w:jc w:val="center"/>
      </w:pPr>
    </w:p>
    <w:p w:rsidR="0008693B" w:rsidRPr="00320E50" w:rsidRDefault="0008693B" w:rsidP="0008693B">
      <w:pPr>
        <w:jc w:val="center"/>
        <w:rPr>
          <w:b/>
        </w:rPr>
      </w:pPr>
      <w:r w:rsidRPr="00C84301">
        <w:rPr>
          <w:b/>
        </w:rPr>
        <w:t>Figure 3.</w:t>
      </w:r>
      <w:r>
        <w:t xml:space="preserve"> </w:t>
      </w:r>
      <w:r w:rsidRPr="00320E50">
        <w:t xml:space="preserve"> </w:t>
      </w:r>
      <w:r w:rsidRPr="00C87916">
        <w:t>A</w:t>
      </w:r>
      <w:r>
        <w:t xml:space="preserve"> comparison of approaches</w:t>
      </w:r>
    </w:p>
    <w:p w:rsidR="0008693B" w:rsidRDefault="0008693B" w:rsidP="0008693B">
      <w:pPr>
        <w:rPr>
          <w:b/>
        </w:rPr>
      </w:pPr>
    </w:p>
    <w:p w:rsidR="0008693B" w:rsidRDefault="0008693B" w:rsidP="0008693B">
      <w:pPr>
        <w:rPr>
          <w:b/>
        </w:rPr>
      </w:pPr>
      <w:r>
        <w:rPr>
          <w:b/>
        </w:rPr>
        <w:br w:type="page"/>
      </w:r>
    </w:p>
    <w:p w:rsidR="0008693B" w:rsidRDefault="0008693B" w:rsidP="0008693B">
      <w:pPr>
        <w:rPr>
          <w:b/>
        </w:rPr>
      </w:pPr>
    </w:p>
    <w:p w:rsidR="0008693B" w:rsidRDefault="0008693B" w:rsidP="0008693B">
      <w:pPr>
        <w:rPr>
          <w:b/>
        </w:rPr>
      </w:pPr>
    </w:p>
    <w:p w:rsidR="0008693B" w:rsidRPr="000A06B8" w:rsidRDefault="0008693B" w:rsidP="0008693B">
      <w:pPr>
        <w:jc w:val="center"/>
        <w:rPr>
          <w:b/>
        </w:rPr>
      </w:pPr>
      <w:r w:rsidRPr="000A06B8">
        <w:pict>
          <v:shape id="_x0000_i1032" type="#_x0000_t75" style="width:415.5pt;height:333pt">
            <v:imagedata r:id="rId26" o:title=""/>
          </v:shape>
        </w:pict>
      </w:r>
    </w:p>
    <w:p w:rsidR="0008693B" w:rsidRDefault="0008693B" w:rsidP="0008693B">
      <w:pPr>
        <w:jc w:val="center"/>
        <w:rPr>
          <w:b/>
        </w:rPr>
      </w:pPr>
    </w:p>
    <w:p w:rsidR="0008693B" w:rsidRDefault="0008693B" w:rsidP="0008693B">
      <w:pPr>
        <w:jc w:val="center"/>
        <w:rPr>
          <w:b/>
        </w:rPr>
      </w:pPr>
      <w:r>
        <w:rPr>
          <w:b/>
        </w:rPr>
        <w:t xml:space="preserve">Figure 4.  </w:t>
      </w:r>
      <w:r w:rsidRPr="00EF7605">
        <w:t>Data for the textile industry</w:t>
      </w:r>
    </w:p>
    <w:p w:rsidR="0008693B" w:rsidRDefault="0008693B" w:rsidP="0008693B">
      <w:pPr>
        <w:rPr>
          <w:b/>
        </w:rPr>
      </w:pPr>
    </w:p>
    <w:p w:rsidR="0008693B" w:rsidRDefault="0008693B" w:rsidP="0008693B">
      <w:pPr>
        <w:rPr>
          <w:b/>
        </w:rPr>
      </w:pPr>
      <w:r>
        <w:rPr>
          <w:b/>
        </w:rPr>
        <w:br w:type="page"/>
      </w:r>
    </w:p>
    <w:p w:rsidR="0008693B" w:rsidRDefault="0008693B" w:rsidP="0008693B">
      <w:pPr>
        <w:rPr>
          <w:b/>
        </w:rPr>
      </w:pPr>
    </w:p>
    <w:p w:rsidR="0008693B" w:rsidRDefault="0008693B" w:rsidP="0008693B">
      <w:pPr>
        <w:rPr>
          <w:b/>
        </w:rPr>
      </w:pPr>
    </w:p>
    <w:p w:rsidR="0008693B" w:rsidRPr="000A06B8" w:rsidRDefault="0008693B" w:rsidP="0008693B">
      <w:pPr>
        <w:jc w:val="center"/>
        <w:rPr>
          <w:b/>
        </w:rPr>
      </w:pPr>
      <w:r w:rsidRPr="000A06B8">
        <w:pict>
          <v:shape id="_x0000_i1033" type="#_x0000_t75" style="width:414.75pt;height:328.5pt">
            <v:imagedata r:id="rId27" o:title=""/>
          </v:shape>
        </w:pict>
      </w:r>
    </w:p>
    <w:p w:rsidR="0008693B" w:rsidRDefault="0008693B" w:rsidP="0008693B">
      <w:pPr>
        <w:jc w:val="center"/>
        <w:rPr>
          <w:b/>
        </w:rPr>
      </w:pPr>
    </w:p>
    <w:p w:rsidR="0008693B" w:rsidRDefault="0008693B" w:rsidP="0008693B">
      <w:pPr>
        <w:jc w:val="center"/>
        <w:rPr>
          <w:b/>
        </w:rPr>
      </w:pPr>
      <w:r>
        <w:rPr>
          <w:b/>
        </w:rPr>
        <w:t xml:space="preserve">Figure 5.  </w:t>
      </w:r>
      <w:r w:rsidRPr="00EF7605">
        <w:t xml:space="preserve">Data for the </w:t>
      </w:r>
      <w:r>
        <w:t>au</w:t>
      </w:r>
      <w:r w:rsidRPr="00EF7605">
        <w:t>t</w:t>
      </w:r>
      <w:r>
        <w:t>omob</w:t>
      </w:r>
      <w:r w:rsidRPr="00EF7605">
        <w:t>ile industry</w:t>
      </w:r>
    </w:p>
    <w:p w:rsidR="0008693B" w:rsidRDefault="0008693B" w:rsidP="0008693B">
      <w:pPr>
        <w:rPr>
          <w:b/>
        </w:rPr>
      </w:pPr>
    </w:p>
    <w:p w:rsidR="0008693B" w:rsidRDefault="0008693B" w:rsidP="0008693B">
      <w:pPr>
        <w:rPr>
          <w:b/>
        </w:rPr>
      </w:pPr>
      <w:r>
        <w:rPr>
          <w:b/>
        </w:rPr>
        <w:br w:type="page"/>
      </w:r>
    </w:p>
    <w:p w:rsidR="0008693B" w:rsidRDefault="0008693B" w:rsidP="0008693B">
      <w:pPr>
        <w:rPr>
          <w:b/>
        </w:rPr>
      </w:pPr>
    </w:p>
    <w:p w:rsidR="0008693B" w:rsidRDefault="0008693B" w:rsidP="0008693B">
      <w:pPr>
        <w:rPr>
          <w:b/>
        </w:rPr>
      </w:pPr>
    </w:p>
    <w:p w:rsidR="0008693B" w:rsidRPr="00413DF4" w:rsidRDefault="0008693B" w:rsidP="0008693B">
      <w:pPr>
        <w:jc w:val="center"/>
        <w:rPr>
          <w:b/>
        </w:rPr>
      </w:pPr>
      <w:r w:rsidRPr="00413DF4">
        <w:pict>
          <v:shape id="_x0000_i1034" type="#_x0000_t75" style="width:413.25pt;height:294.75pt">
            <v:imagedata r:id="rId28" o:title=""/>
          </v:shape>
        </w:pict>
      </w:r>
    </w:p>
    <w:p w:rsidR="0008693B" w:rsidRDefault="0008693B" w:rsidP="0008693B">
      <w:pPr>
        <w:jc w:val="center"/>
        <w:rPr>
          <w:b/>
        </w:rPr>
      </w:pPr>
    </w:p>
    <w:p w:rsidR="0008693B" w:rsidRDefault="0008693B" w:rsidP="0008693B">
      <w:pPr>
        <w:jc w:val="center"/>
        <w:rPr>
          <w:b/>
        </w:rPr>
      </w:pPr>
      <w:r>
        <w:rPr>
          <w:b/>
        </w:rPr>
        <w:t xml:space="preserve">Figure 6.  </w:t>
      </w:r>
      <w:r w:rsidRPr="00E673EC">
        <w:t>Alternative measures of</w:t>
      </w:r>
      <w:r>
        <w:rPr>
          <w:b/>
        </w:rPr>
        <w:t xml:space="preserve"> </w:t>
      </w:r>
      <w:r w:rsidRPr="00DA57F4">
        <w:t xml:space="preserve">labour </w:t>
      </w:r>
      <w:r w:rsidRPr="00E673EC">
        <w:t>c</w:t>
      </w:r>
      <w:r w:rsidRPr="005D2878">
        <w:t>ongestion</w:t>
      </w:r>
      <w:r>
        <w:t>:</w:t>
      </w:r>
      <w:r w:rsidRPr="005D2878">
        <w:t xml:space="preserve"> textiles</w:t>
      </w:r>
    </w:p>
    <w:p w:rsidR="0008693B" w:rsidRDefault="0008693B" w:rsidP="0008693B">
      <w:pPr>
        <w:rPr>
          <w:b/>
        </w:rPr>
      </w:pPr>
    </w:p>
    <w:p w:rsidR="0008693B" w:rsidRDefault="0008693B" w:rsidP="0008693B">
      <w:pPr>
        <w:jc w:val="center"/>
        <w:rPr>
          <w:b/>
        </w:rPr>
      </w:pPr>
      <w:r>
        <w:rPr>
          <w:b/>
        </w:rPr>
        <w:br w:type="page"/>
      </w:r>
    </w:p>
    <w:p w:rsidR="0008693B" w:rsidRDefault="0008693B" w:rsidP="0008693B">
      <w:pPr>
        <w:jc w:val="center"/>
        <w:rPr>
          <w:b/>
        </w:rPr>
      </w:pPr>
    </w:p>
    <w:p w:rsidR="0008693B" w:rsidRDefault="0008693B" w:rsidP="0008693B">
      <w:pPr>
        <w:jc w:val="center"/>
        <w:rPr>
          <w:b/>
        </w:rPr>
      </w:pPr>
    </w:p>
    <w:p w:rsidR="0008693B" w:rsidRDefault="0008693B" w:rsidP="0008693B">
      <w:pPr>
        <w:jc w:val="center"/>
      </w:pPr>
    </w:p>
    <w:p w:rsidR="0008693B" w:rsidRDefault="0008693B" w:rsidP="0008693B">
      <w:pPr>
        <w:jc w:val="center"/>
        <w:rPr>
          <w:b/>
        </w:rPr>
      </w:pPr>
      <w:r w:rsidRPr="001D782E">
        <w:pict>
          <v:shape id="_x0000_s1033" type="#_x0000_t75" style="position:absolute;left:0;text-align:left;margin-left:0;margin-top:-18pt;width:431.3pt;height:307.55pt;z-index:3">
            <v:imagedata r:id="rId29" o:title=""/>
          </v:shape>
        </w:pict>
      </w:r>
    </w:p>
    <w:p w:rsidR="0008693B" w:rsidRDefault="0008693B" w:rsidP="0008693B">
      <w:pPr>
        <w:jc w:val="center"/>
        <w:rPr>
          <w:b/>
        </w:rPr>
      </w:pPr>
    </w:p>
    <w:p w:rsidR="0008693B" w:rsidRDefault="0008693B" w:rsidP="0008693B">
      <w:pPr>
        <w:jc w:val="center"/>
        <w:rPr>
          <w:b/>
        </w:rPr>
      </w:pPr>
    </w:p>
    <w:p w:rsidR="0008693B" w:rsidRDefault="0008693B" w:rsidP="0008693B">
      <w:pPr>
        <w:jc w:val="center"/>
        <w:rPr>
          <w:b/>
        </w:rPr>
      </w:pPr>
    </w:p>
    <w:p w:rsidR="0008693B" w:rsidRDefault="0008693B" w:rsidP="0008693B">
      <w:pPr>
        <w:jc w:val="center"/>
        <w:rPr>
          <w:b/>
        </w:rPr>
      </w:pPr>
    </w:p>
    <w:p w:rsidR="0008693B" w:rsidRDefault="0008693B" w:rsidP="0008693B">
      <w:pPr>
        <w:jc w:val="center"/>
        <w:rPr>
          <w:b/>
        </w:rPr>
      </w:pPr>
    </w:p>
    <w:p w:rsidR="0008693B" w:rsidRDefault="0008693B" w:rsidP="0008693B">
      <w:pPr>
        <w:jc w:val="center"/>
        <w:rPr>
          <w:b/>
        </w:rPr>
      </w:pPr>
    </w:p>
    <w:p w:rsidR="0008693B" w:rsidRDefault="0008693B" w:rsidP="0008693B">
      <w:pPr>
        <w:jc w:val="center"/>
        <w:rPr>
          <w:b/>
        </w:rPr>
      </w:pPr>
    </w:p>
    <w:p w:rsidR="0008693B" w:rsidRDefault="0008693B" w:rsidP="0008693B">
      <w:pPr>
        <w:jc w:val="center"/>
        <w:rPr>
          <w:b/>
        </w:rPr>
      </w:pPr>
    </w:p>
    <w:p w:rsidR="0008693B" w:rsidRDefault="0008693B" w:rsidP="0008693B">
      <w:pPr>
        <w:jc w:val="center"/>
        <w:rPr>
          <w:b/>
        </w:rPr>
      </w:pPr>
    </w:p>
    <w:p w:rsidR="0008693B" w:rsidRDefault="0008693B" w:rsidP="0008693B">
      <w:pPr>
        <w:jc w:val="center"/>
        <w:rPr>
          <w:b/>
        </w:rPr>
      </w:pPr>
    </w:p>
    <w:p w:rsidR="0008693B" w:rsidRPr="001D782E" w:rsidRDefault="0008693B" w:rsidP="0008693B">
      <w:pPr>
        <w:jc w:val="center"/>
        <w:rPr>
          <w:b/>
        </w:rPr>
      </w:pPr>
    </w:p>
    <w:p w:rsidR="0008693B" w:rsidRDefault="0008693B" w:rsidP="0008693B">
      <w:pPr>
        <w:jc w:val="center"/>
        <w:rPr>
          <w:b/>
        </w:rPr>
      </w:pPr>
    </w:p>
    <w:p w:rsidR="0008693B" w:rsidRDefault="0008693B" w:rsidP="0008693B">
      <w:pPr>
        <w:jc w:val="center"/>
        <w:rPr>
          <w:b/>
        </w:rPr>
      </w:pPr>
    </w:p>
    <w:p w:rsidR="0008693B" w:rsidRDefault="0008693B" w:rsidP="0008693B">
      <w:pPr>
        <w:jc w:val="center"/>
        <w:rPr>
          <w:b/>
        </w:rPr>
      </w:pPr>
    </w:p>
    <w:p w:rsidR="0008693B" w:rsidRDefault="0008693B" w:rsidP="0008693B">
      <w:pPr>
        <w:jc w:val="center"/>
        <w:rPr>
          <w:b/>
        </w:rPr>
      </w:pPr>
    </w:p>
    <w:p w:rsidR="0008693B" w:rsidRDefault="0008693B" w:rsidP="0008693B">
      <w:pPr>
        <w:jc w:val="center"/>
        <w:rPr>
          <w:b/>
        </w:rPr>
      </w:pPr>
    </w:p>
    <w:p w:rsidR="0008693B" w:rsidRDefault="0008693B" w:rsidP="0008693B">
      <w:pPr>
        <w:jc w:val="center"/>
        <w:rPr>
          <w:b/>
        </w:rPr>
      </w:pPr>
    </w:p>
    <w:p w:rsidR="0008693B" w:rsidRDefault="0008693B" w:rsidP="0008693B">
      <w:pPr>
        <w:jc w:val="center"/>
        <w:rPr>
          <w:b/>
        </w:rPr>
      </w:pPr>
    </w:p>
    <w:p w:rsidR="0008693B" w:rsidRDefault="0008693B" w:rsidP="0008693B">
      <w:pPr>
        <w:jc w:val="center"/>
        <w:rPr>
          <w:b/>
        </w:rPr>
      </w:pPr>
    </w:p>
    <w:p w:rsidR="0008693B" w:rsidRDefault="0008693B" w:rsidP="0008693B">
      <w:pPr>
        <w:jc w:val="center"/>
        <w:rPr>
          <w:b/>
        </w:rPr>
      </w:pPr>
    </w:p>
    <w:p w:rsidR="0008693B" w:rsidRDefault="0008693B" w:rsidP="0008693B">
      <w:pPr>
        <w:jc w:val="center"/>
        <w:rPr>
          <w:b/>
        </w:rPr>
      </w:pPr>
    </w:p>
    <w:p w:rsidR="0008693B" w:rsidRDefault="0008693B" w:rsidP="0008693B">
      <w:pPr>
        <w:jc w:val="center"/>
      </w:pPr>
      <w:r>
        <w:rPr>
          <w:b/>
        </w:rPr>
        <w:t xml:space="preserve">Figure 7.  </w:t>
      </w:r>
      <w:r w:rsidRPr="00E673EC">
        <w:t>Alternative measures of</w:t>
      </w:r>
      <w:r>
        <w:rPr>
          <w:b/>
        </w:rPr>
        <w:t xml:space="preserve"> </w:t>
      </w:r>
      <w:r>
        <w:t xml:space="preserve">labour </w:t>
      </w:r>
      <w:r w:rsidRPr="00E673EC">
        <w:t>c</w:t>
      </w:r>
      <w:r w:rsidRPr="005D2878">
        <w:t>ongestion</w:t>
      </w:r>
      <w:r>
        <w:t>:</w:t>
      </w:r>
      <w:r w:rsidRPr="005D2878">
        <w:t xml:space="preserve"> automobiles</w:t>
      </w:r>
    </w:p>
    <w:p w:rsidR="0008693B" w:rsidRDefault="0008693B" w:rsidP="0008693B">
      <w:pPr>
        <w:rPr>
          <w:b/>
          <w:bCs/>
          <w:spacing w:val="-3"/>
          <w:sz w:val="22"/>
          <w:szCs w:val="26"/>
        </w:rPr>
      </w:pPr>
      <w:r>
        <w:br w:type="page"/>
      </w:r>
      <w:r w:rsidR="00A2330F">
        <w:lastRenderedPageBreak/>
        <w:t xml:space="preserve"> </w:t>
      </w:r>
    </w:p>
    <w:p w:rsidR="0008693B" w:rsidRPr="001D68B6" w:rsidRDefault="0008693B" w:rsidP="0008693B">
      <w:pPr>
        <w:tabs>
          <w:tab w:val="center" w:pos="4513"/>
        </w:tabs>
        <w:suppressAutoHyphens/>
        <w:spacing w:line="240" w:lineRule="atLeast"/>
        <w:rPr>
          <w:spacing w:val="-2"/>
        </w:rPr>
      </w:pPr>
      <w:r>
        <w:rPr>
          <w:b/>
          <w:bCs/>
          <w:spacing w:val="-3"/>
          <w:sz w:val="22"/>
          <w:szCs w:val="26"/>
        </w:rPr>
        <w:tab/>
      </w:r>
      <w:r w:rsidR="0047363F" w:rsidRPr="001D68B6">
        <w:rPr>
          <w:b/>
          <w:bCs/>
          <w:spacing w:val="-3"/>
        </w:rPr>
        <w:t>Biograph</w:t>
      </w:r>
      <w:r w:rsidR="0047363F">
        <w:rPr>
          <w:b/>
          <w:bCs/>
          <w:spacing w:val="-3"/>
        </w:rPr>
        <w:t>ies</w:t>
      </w:r>
      <w:r w:rsidRPr="001D68B6">
        <w:rPr>
          <w:b/>
          <w:bCs/>
          <w:spacing w:val="-3"/>
        </w:rPr>
        <w:t xml:space="preserve"> </w:t>
      </w:r>
      <w:r w:rsidRPr="001D68B6">
        <w:rPr>
          <w:spacing w:val="-2"/>
        </w:rPr>
        <w:fldChar w:fldCharType="begin"/>
      </w:r>
      <w:r w:rsidRPr="001D68B6">
        <w:rPr>
          <w:spacing w:val="-2"/>
        </w:rPr>
        <w:instrText xml:space="preserve">PRIVATE </w:instrText>
      </w:r>
      <w:r w:rsidRPr="001D68B6">
        <w:rPr>
          <w:spacing w:val="-2"/>
        </w:rPr>
      </w:r>
      <w:r w:rsidRPr="001D68B6">
        <w:rPr>
          <w:spacing w:val="-2"/>
        </w:rPr>
        <w:fldChar w:fldCharType="end"/>
      </w:r>
    </w:p>
    <w:p w:rsidR="0008693B" w:rsidRPr="001D68B6" w:rsidRDefault="0008693B" w:rsidP="0008693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uppressAutoHyphens/>
        <w:spacing w:line="240" w:lineRule="atLeast"/>
        <w:rPr>
          <w:spacing w:val="-2"/>
        </w:rPr>
      </w:pPr>
    </w:p>
    <w:p w:rsidR="0008693B" w:rsidRPr="001D68B6" w:rsidRDefault="0008693B" w:rsidP="0008693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uppressAutoHyphens/>
        <w:spacing w:line="240" w:lineRule="atLeast"/>
        <w:rPr>
          <w:iCs/>
          <w:spacing w:val="-2"/>
        </w:rPr>
      </w:pPr>
    </w:p>
    <w:p w:rsidR="0008693B" w:rsidRPr="001D68B6" w:rsidRDefault="0008693B" w:rsidP="0047363F">
      <w:pPr>
        <w:tabs>
          <w:tab w:val="center" w:pos="4513"/>
        </w:tabs>
        <w:suppressAutoHyphens/>
        <w:spacing w:line="240" w:lineRule="atLeast"/>
        <w:rPr>
          <w:spacing w:val="-2"/>
        </w:rPr>
      </w:pPr>
      <w:r w:rsidRPr="001D68B6">
        <w:rPr>
          <w:spacing w:val="-2"/>
        </w:rPr>
        <w:fldChar w:fldCharType="begin"/>
      </w:r>
      <w:r w:rsidRPr="001D68B6">
        <w:rPr>
          <w:spacing w:val="-2"/>
        </w:rPr>
        <w:instrText xml:space="preserve">PRIVATE </w:instrText>
      </w:r>
      <w:r w:rsidRPr="001D68B6">
        <w:rPr>
          <w:spacing w:val="-2"/>
        </w:rPr>
      </w:r>
      <w:r w:rsidRPr="001D68B6">
        <w:rPr>
          <w:spacing w:val="-2"/>
        </w:rPr>
        <w:fldChar w:fldCharType="end"/>
      </w:r>
    </w:p>
    <w:p w:rsidR="0008693B" w:rsidRDefault="0008693B" w:rsidP="0008693B">
      <w:pPr>
        <w:rPr>
          <w:spacing w:val="-2"/>
        </w:rPr>
      </w:pPr>
      <w:r w:rsidRPr="0047363F">
        <w:rPr>
          <w:b/>
          <w:spacing w:val="-2"/>
        </w:rPr>
        <w:t xml:space="preserve">David </w:t>
      </w:r>
      <w:r w:rsidR="0047363F">
        <w:rPr>
          <w:b/>
          <w:spacing w:val="-2"/>
        </w:rPr>
        <w:t xml:space="preserve">O. </w:t>
      </w:r>
      <w:r w:rsidRPr="0047363F">
        <w:rPr>
          <w:b/>
          <w:spacing w:val="-2"/>
        </w:rPr>
        <w:t>Allen</w:t>
      </w:r>
      <w:r w:rsidRPr="001D68B6">
        <w:rPr>
          <w:spacing w:val="-2"/>
        </w:rPr>
        <w:t xml:space="preserve"> is a Senior Lecturer in Economics in the </w:t>
      </w:r>
      <w:smartTag w:uri="urn:schemas-microsoft-com:office:smarttags" w:element="place">
        <w:smartTag w:uri="urn:schemas-microsoft-com:office:smarttags" w:element="PlaceName">
          <w:r w:rsidRPr="001D68B6">
            <w:rPr>
              <w:spacing w:val="-2"/>
            </w:rPr>
            <w:t>Bristol</w:t>
          </w:r>
        </w:smartTag>
        <w:r w:rsidRPr="001D68B6">
          <w:rPr>
            <w:spacing w:val="-2"/>
          </w:rPr>
          <w:t xml:space="preserve"> </w:t>
        </w:r>
        <w:smartTag w:uri="urn:schemas-microsoft-com:office:smarttags" w:element="PlaceName">
          <w:r w:rsidRPr="001D68B6">
            <w:rPr>
              <w:spacing w:val="-2"/>
            </w:rPr>
            <w:t>Business</w:t>
          </w:r>
        </w:smartTag>
        <w:r w:rsidRPr="001D68B6">
          <w:rPr>
            <w:spacing w:val="-2"/>
          </w:rPr>
          <w:t xml:space="preserve"> </w:t>
        </w:r>
        <w:smartTag w:uri="urn:schemas-microsoft-com:office:smarttags" w:element="PlaceType">
          <w:r w:rsidRPr="001D68B6">
            <w:rPr>
              <w:spacing w:val="-2"/>
            </w:rPr>
            <w:t>School</w:t>
          </w:r>
        </w:smartTag>
      </w:smartTag>
      <w:r w:rsidRPr="001D68B6">
        <w:rPr>
          <w:spacing w:val="-2"/>
        </w:rPr>
        <w:t xml:space="preserve">, located at the University of the West of England, </w:t>
      </w:r>
      <w:smartTag w:uri="urn:schemas-microsoft-com:office:smarttags" w:element="place">
        <w:smartTag w:uri="urn:schemas-microsoft-com:office:smarttags" w:element="City">
          <w:r w:rsidRPr="001D68B6">
            <w:rPr>
              <w:spacing w:val="-2"/>
            </w:rPr>
            <w:t>Bristol</w:t>
          </w:r>
        </w:smartTag>
        <w:r w:rsidR="00DA545A">
          <w:rPr>
            <w:spacing w:val="-2"/>
          </w:rPr>
          <w:t xml:space="preserve">, </w:t>
        </w:r>
        <w:smartTag w:uri="urn:schemas-microsoft-com:office:smarttags" w:element="country-region">
          <w:r w:rsidR="00DA545A">
            <w:rPr>
              <w:spacing w:val="-2"/>
            </w:rPr>
            <w:t>England</w:t>
          </w:r>
        </w:smartTag>
      </w:smartTag>
      <w:r w:rsidRPr="001D68B6">
        <w:rPr>
          <w:spacing w:val="-2"/>
        </w:rPr>
        <w:t xml:space="preserve">.  </w:t>
      </w:r>
      <w:r w:rsidR="00421832">
        <w:rPr>
          <w:spacing w:val="-2"/>
        </w:rPr>
        <w:t>Mr Allen</w:t>
      </w:r>
      <w:r w:rsidRPr="001D68B6">
        <w:rPr>
          <w:spacing w:val="-2"/>
        </w:rPr>
        <w:t xml:space="preserve"> has taught Economics at this university since 199</w:t>
      </w:r>
      <w:r>
        <w:rPr>
          <w:spacing w:val="-2"/>
        </w:rPr>
        <w:t>5</w:t>
      </w:r>
      <w:r w:rsidR="0047363F">
        <w:rPr>
          <w:spacing w:val="-2"/>
        </w:rPr>
        <w:t xml:space="preserve"> and he</w:t>
      </w:r>
      <w:r>
        <w:rPr>
          <w:spacing w:val="-2"/>
        </w:rPr>
        <w:t xml:space="preserve"> </w:t>
      </w:r>
      <w:r w:rsidR="0047363F">
        <w:rPr>
          <w:spacing w:val="-2"/>
        </w:rPr>
        <w:t>manages its</w:t>
      </w:r>
      <w:r>
        <w:rPr>
          <w:spacing w:val="-2"/>
        </w:rPr>
        <w:t xml:space="preserve"> undergraduate programme in Economics.  </w:t>
      </w:r>
      <w:r w:rsidRPr="001D68B6">
        <w:rPr>
          <w:spacing w:val="-2"/>
        </w:rPr>
        <w:t xml:space="preserve">His present teaching is in </w:t>
      </w:r>
      <w:r w:rsidR="0047363F">
        <w:rPr>
          <w:spacing w:val="-2"/>
        </w:rPr>
        <w:t xml:space="preserve">the </w:t>
      </w:r>
      <w:r w:rsidRPr="001D68B6">
        <w:rPr>
          <w:spacing w:val="-2"/>
        </w:rPr>
        <w:t xml:space="preserve">economics </w:t>
      </w:r>
      <w:r w:rsidR="0047363F">
        <w:rPr>
          <w:spacing w:val="-2"/>
        </w:rPr>
        <w:t>of global business</w:t>
      </w:r>
      <w:r w:rsidRPr="001D68B6">
        <w:rPr>
          <w:spacing w:val="-2"/>
        </w:rPr>
        <w:t xml:space="preserve">.  </w:t>
      </w:r>
      <w:r w:rsidR="00421832">
        <w:rPr>
          <w:spacing w:val="-2"/>
        </w:rPr>
        <w:t>Mr Allen’</w:t>
      </w:r>
      <w:r>
        <w:rPr>
          <w:spacing w:val="-2"/>
        </w:rPr>
        <w:t>s</w:t>
      </w:r>
      <w:r w:rsidRPr="001D68B6">
        <w:rPr>
          <w:spacing w:val="-2"/>
        </w:rPr>
        <w:t xml:space="preserve"> current research interests are in economic pedagogy, where he is carrying out doctoral research, and in applications of data envelopment analysis in the field of higher education.  </w:t>
      </w:r>
      <w:r w:rsidR="00DA545A">
        <w:rPr>
          <w:spacing w:val="-2"/>
        </w:rPr>
        <w:t>He</w:t>
      </w:r>
      <w:r w:rsidRPr="001D68B6">
        <w:rPr>
          <w:spacing w:val="-2"/>
        </w:rPr>
        <w:t xml:space="preserve"> holds an M.Sc. in International Business Economics (with distinction) and a B.A. (honours) in Economics from the University of the West of England, </w:t>
      </w:r>
      <w:smartTag w:uri="urn:schemas-microsoft-com:office:smarttags" w:element="City">
        <w:smartTag w:uri="urn:schemas-microsoft-com:office:smarttags" w:element="place">
          <w:r w:rsidRPr="001D68B6">
            <w:rPr>
              <w:spacing w:val="-2"/>
            </w:rPr>
            <w:t>Bristol</w:t>
          </w:r>
        </w:smartTag>
      </w:smartTag>
      <w:r w:rsidRPr="001D68B6">
        <w:rPr>
          <w:spacing w:val="-2"/>
        </w:rPr>
        <w:t xml:space="preserve">, and a postgraduate Certificate in Education from the </w:t>
      </w:r>
      <w:smartTag w:uri="urn:schemas-microsoft-com:office:smarttags" w:element="place">
        <w:smartTag w:uri="urn:schemas-microsoft-com:office:smarttags" w:element="PlaceType">
          <w:r w:rsidRPr="001D68B6">
            <w:rPr>
              <w:spacing w:val="-2"/>
            </w:rPr>
            <w:t>University</w:t>
          </w:r>
        </w:smartTag>
        <w:r w:rsidRPr="001D68B6">
          <w:rPr>
            <w:spacing w:val="-2"/>
          </w:rPr>
          <w:t xml:space="preserve"> of </w:t>
        </w:r>
        <w:smartTag w:uri="urn:schemas-microsoft-com:office:smarttags" w:element="PlaceName">
          <w:r w:rsidRPr="001D68B6">
            <w:rPr>
              <w:spacing w:val="-2"/>
            </w:rPr>
            <w:t>Wales</w:t>
          </w:r>
        </w:smartTag>
      </w:smartTag>
      <w:r w:rsidRPr="001D68B6">
        <w:rPr>
          <w:spacing w:val="-2"/>
        </w:rPr>
        <w:t xml:space="preserve">, </w:t>
      </w:r>
      <w:smartTag w:uri="urn:schemas-microsoft-com:office:smarttags" w:element="City">
        <w:smartTag w:uri="urn:schemas-microsoft-com:office:smarttags" w:element="place">
          <w:r w:rsidRPr="001D68B6">
            <w:rPr>
              <w:spacing w:val="-2"/>
            </w:rPr>
            <w:t>Cardiff</w:t>
          </w:r>
        </w:smartTag>
      </w:smartTag>
      <w:r w:rsidRPr="001D68B6">
        <w:rPr>
          <w:spacing w:val="-2"/>
        </w:rPr>
        <w:t xml:space="preserve">.  His publications have appeared in </w:t>
      </w:r>
      <w:r w:rsidRPr="001D68B6">
        <w:rPr>
          <w:i/>
          <w:spacing w:val="-2"/>
        </w:rPr>
        <w:t>Economic Issues</w:t>
      </w:r>
      <w:r w:rsidRPr="001D68B6">
        <w:rPr>
          <w:spacing w:val="-2"/>
        </w:rPr>
        <w:t xml:space="preserve">, </w:t>
      </w:r>
      <w:r w:rsidRPr="001D68B6">
        <w:rPr>
          <w:i/>
          <w:iCs/>
          <w:spacing w:val="-2"/>
        </w:rPr>
        <w:t>Education Economics</w:t>
      </w:r>
      <w:r>
        <w:rPr>
          <w:iCs/>
          <w:spacing w:val="-2"/>
        </w:rPr>
        <w:t>,</w:t>
      </w:r>
      <w:r w:rsidRPr="001D68B6">
        <w:rPr>
          <w:spacing w:val="-2"/>
        </w:rPr>
        <w:t xml:space="preserve"> the </w:t>
      </w:r>
      <w:r w:rsidRPr="001D68B6">
        <w:rPr>
          <w:i/>
          <w:spacing w:val="-2"/>
        </w:rPr>
        <w:t>Journal of Regional Science</w:t>
      </w:r>
      <w:r w:rsidRPr="00B25BB7">
        <w:rPr>
          <w:spacing w:val="-2"/>
        </w:rPr>
        <w:t xml:space="preserve"> </w:t>
      </w:r>
      <w:r w:rsidRPr="001D68B6">
        <w:rPr>
          <w:spacing w:val="-2"/>
        </w:rPr>
        <w:t xml:space="preserve">and in </w:t>
      </w:r>
      <w:r>
        <w:rPr>
          <w:i/>
          <w:spacing w:val="-2"/>
        </w:rPr>
        <w:t>Empirical Economics Letters</w:t>
      </w:r>
      <w:r w:rsidRPr="001D68B6">
        <w:rPr>
          <w:spacing w:val="-2"/>
        </w:rPr>
        <w:t>.</w:t>
      </w:r>
    </w:p>
    <w:p w:rsidR="00A44B73" w:rsidRDefault="00A44B73" w:rsidP="0008693B">
      <w:pPr>
        <w:rPr>
          <w:spacing w:val="-2"/>
        </w:rPr>
      </w:pPr>
    </w:p>
    <w:p w:rsidR="00A44B73" w:rsidRPr="001D68B6" w:rsidRDefault="00A44B73" w:rsidP="0008693B"/>
    <w:p w:rsidR="00A44B73" w:rsidRPr="001D68B6" w:rsidRDefault="00A44B73" w:rsidP="00A44B7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uppressAutoHyphens/>
        <w:spacing w:line="240" w:lineRule="atLeast"/>
        <w:rPr>
          <w:iCs/>
          <w:spacing w:val="-2"/>
        </w:rPr>
      </w:pPr>
      <w:r w:rsidRPr="001D68B6">
        <w:rPr>
          <w:b/>
          <w:bCs/>
          <w:spacing w:val="-3"/>
        </w:rPr>
        <w:t>Anthony T</w:t>
      </w:r>
      <w:r>
        <w:rPr>
          <w:b/>
          <w:bCs/>
          <w:spacing w:val="-3"/>
        </w:rPr>
        <w:t>.</w:t>
      </w:r>
      <w:r w:rsidRPr="001D68B6">
        <w:rPr>
          <w:b/>
          <w:bCs/>
          <w:spacing w:val="-3"/>
        </w:rPr>
        <w:t xml:space="preserve"> Flegg</w:t>
      </w:r>
      <w:r w:rsidRPr="001D68B6">
        <w:rPr>
          <w:spacing w:val="-2"/>
        </w:rPr>
        <w:t xml:space="preserve"> is a Principal Lecturer in Economics in the </w:t>
      </w:r>
      <w:smartTag w:uri="urn:schemas-microsoft-com:office:smarttags" w:element="place">
        <w:smartTag w:uri="urn:schemas-microsoft-com:office:smarttags" w:element="PlaceName">
          <w:r w:rsidRPr="001D68B6">
            <w:rPr>
              <w:spacing w:val="-2"/>
            </w:rPr>
            <w:t>Bristol</w:t>
          </w:r>
        </w:smartTag>
        <w:r w:rsidRPr="001D68B6">
          <w:rPr>
            <w:spacing w:val="-2"/>
          </w:rPr>
          <w:t xml:space="preserve"> </w:t>
        </w:r>
        <w:smartTag w:uri="urn:schemas-microsoft-com:office:smarttags" w:element="PlaceName">
          <w:r w:rsidRPr="001D68B6">
            <w:rPr>
              <w:spacing w:val="-2"/>
            </w:rPr>
            <w:t>Business</w:t>
          </w:r>
        </w:smartTag>
        <w:r w:rsidRPr="001D68B6">
          <w:rPr>
            <w:spacing w:val="-2"/>
          </w:rPr>
          <w:t xml:space="preserve"> </w:t>
        </w:r>
        <w:smartTag w:uri="urn:schemas-microsoft-com:office:smarttags" w:element="PlaceType">
          <w:r w:rsidRPr="001D68B6">
            <w:rPr>
              <w:spacing w:val="-2"/>
            </w:rPr>
            <w:t>School</w:t>
          </w:r>
        </w:smartTag>
      </w:smartTag>
      <w:r w:rsidRPr="001D68B6">
        <w:rPr>
          <w:spacing w:val="-2"/>
        </w:rPr>
        <w:t xml:space="preserve">, located at the University of the West of England, </w:t>
      </w:r>
      <w:smartTag w:uri="urn:schemas-microsoft-com:office:smarttags" w:element="place">
        <w:smartTag w:uri="urn:schemas-microsoft-com:office:smarttags" w:element="City">
          <w:r w:rsidRPr="001D68B6">
            <w:rPr>
              <w:spacing w:val="-2"/>
            </w:rPr>
            <w:t>Bristol</w:t>
          </w:r>
        </w:smartTag>
        <w:r w:rsidR="0089147D">
          <w:rPr>
            <w:spacing w:val="-2"/>
          </w:rPr>
          <w:t xml:space="preserve">, </w:t>
        </w:r>
        <w:smartTag w:uri="urn:schemas-microsoft-com:office:smarttags" w:element="country-region">
          <w:r w:rsidR="0089147D">
            <w:rPr>
              <w:spacing w:val="-2"/>
            </w:rPr>
            <w:t>England</w:t>
          </w:r>
        </w:smartTag>
      </w:smartTag>
      <w:r w:rsidRPr="001D68B6">
        <w:rPr>
          <w:spacing w:val="-2"/>
        </w:rPr>
        <w:t xml:space="preserve">.  Apart from two years at </w:t>
      </w:r>
      <w:smartTag w:uri="urn:schemas-microsoft-com:office:smarttags" w:element="place">
        <w:smartTag w:uri="urn:schemas-microsoft-com:office:smarttags" w:element="PlaceName">
          <w:r w:rsidRPr="001D68B6">
            <w:rPr>
              <w:spacing w:val="-2"/>
            </w:rPr>
            <w:t>California</w:t>
          </w:r>
        </w:smartTag>
        <w:r w:rsidRPr="001D68B6">
          <w:rPr>
            <w:spacing w:val="-2"/>
          </w:rPr>
          <w:t xml:space="preserve"> </w:t>
        </w:r>
        <w:smartTag w:uri="urn:schemas-microsoft-com:office:smarttags" w:element="PlaceType">
          <w:r w:rsidRPr="001D68B6">
            <w:rPr>
              <w:spacing w:val="-2"/>
            </w:rPr>
            <w:t>State</w:t>
          </w:r>
        </w:smartTag>
        <w:r w:rsidRPr="001D68B6">
          <w:rPr>
            <w:spacing w:val="-2"/>
          </w:rPr>
          <w:t xml:space="preserve"> </w:t>
        </w:r>
        <w:smartTag w:uri="urn:schemas-microsoft-com:office:smarttags" w:element="PlaceType">
          <w:r w:rsidRPr="001D68B6">
            <w:rPr>
              <w:spacing w:val="-2"/>
            </w:rPr>
            <w:t>University</w:t>
          </w:r>
        </w:smartTag>
      </w:smartTag>
      <w:r w:rsidRPr="001D68B6">
        <w:rPr>
          <w:spacing w:val="-2"/>
        </w:rPr>
        <w:t>, Northridge (1981</w:t>
      </w:r>
      <w:r w:rsidRPr="001D68B6">
        <w:rPr>
          <w:spacing w:val="-2"/>
        </w:rPr>
        <w:sym w:font="Symbol" w:char="F02D"/>
      </w:r>
      <w:r w:rsidRPr="001D68B6">
        <w:rPr>
          <w:spacing w:val="-2"/>
        </w:rPr>
        <w:t xml:space="preserve">83), </w:t>
      </w:r>
      <w:r w:rsidR="00421832">
        <w:rPr>
          <w:spacing w:val="-2"/>
        </w:rPr>
        <w:t>Mr Flegg</w:t>
      </w:r>
      <w:r w:rsidRPr="001D68B6">
        <w:rPr>
          <w:spacing w:val="-2"/>
        </w:rPr>
        <w:t xml:space="preserve"> has taught Economics at this university (and its predecessor, Bristol Polytechnic) since 1976.  </w:t>
      </w:r>
      <w:r>
        <w:rPr>
          <w:spacing w:val="-2"/>
        </w:rPr>
        <w:t>Most of h</w:t>
      </w:r>
      <w:r w:rsidRPr="001D68B6">
        <w:rPr>
          <w:spacing w:val="-2"/>
        </w:rPr>
        <w:t xml:space="preserve">is teaching </w:t>
      </w:r>
      <w:r>
        <w:rPr>
          <w:spacing w:val="-2"/>
        </w:rPr>
        <w:t>has been</w:t>
      </w:r>
      <w:r w:rsidRPr="001D68B6">
        <w:rPr>
          <w:spacing w:val="-2"/>
        </w:rPr>
        <w:t xml:space="preserve"> in econometrics and </w:t>
      </w:r>
      <w:r>
        <w:rPr>
          <w:spacing w:val="-2"/>
        </w:rPr>
        <w:t xml:space="preserve">in </w:t>
      </w:r>
      <w:r w:rsidRPr="001D68B6">
        <w:rPr>
          <w:spacing w:val="-2"/>
        </w:rPr>
        <w:t xml:space="preserve">microeconomics.  His current research interests </w:t>
      </w:r>
      <w:r>
        <w:rPr>
          <w:spacing w:val="-2"/>
        </w:rPr>
        <w:t>li</w:t>
      </w:r>
      <w:r w:rsidRPr="001D68B6">
        <w:rPr>
          <w:spacing w:val="-2"/>
        </w:rPr>
        <w:t xml:space="preserve">e in two major areas: (i) measuring the efficiency </w:t>
      </w:r>
      <w:r>
        <w:rPr>
          <w:spacing w:val="-2"/>
        </w:rPr>
        <w:t xml:space="preserve">and productivity </w:t>
      </w:r>
      <w:r w:rsidRPr="001D68B6">
        <w:rPr>
          <w:spacing w:val="-2"/>
        </w:rPr>
        <w:t>of British universities using data envelopment analysis and (ii) analysing the structure of Finnish regions using input</w:t>
      </w:r>
      <w:r w:rsidRPr="001D68B6">
        <w:rPr>
          <w:spacing w:val="-2"/>
        </w:rPr>
        <w:sym w:font="Symbol" w:char="F02D"/>
      </w:r>
      <w:r w:rsidRPr="001D68B6">
        <w:rPr>
          <w:spacing w:val="-2"/>
        </w:rPr>
        <w:t xml:space="preserve">output analysis.  </w:t>
      </w:r>
      <w:r w:rsidR="00421832">
        <w:rPr>
          <w:spacing w:val="-2"/>
        </w:rPr>
        <w:t>Mr Flegg</w:t>
      </w:r>
      <w:r w:rsidRPr="001D68B6">
        <w:rPr>
          <w:spacing w:val="-2"/>
        </w:rPr>
        <w:t xml:space="preserve"> is a graduate of the </w:t>
      </w:r>
      <w:smartTag w:uri="urn:schemas-microsoft-com:office:smarttags" w:element="place">
        <w:smartTag w:uri="urn:schemas-microsoft-com:office:smarttags" w:element="PlaceType">
          <w:r w:rsidR="005C3B84">
            <w:rPr>
              <w:spacing w:val="-2"/>
            </w:rPr>
            <w:t>U</w:t>
          </w:r>
          <w:r w:rsidRPr="001D68B6">
            <w:rPr>
              <w:spacing w:val="-2"/>
            </w:rPr>
            <w:t>niversit</w:t>
          </w:r>
          <w:r w:rsidR="005C3B84">
            <w:rPr>
              <w:spacing w:val="-2"/>
            </w:rPr>
            <w:t>y</w:t>
          </w:r>
        </w:smartTag>
        <w:r w:rsidRPr="001D68B6">
          <w:rPr>
            <w:spacing w:val="-2"/>
          </w:rPr>
          <w:t xml:space="preserve"> of </w:t>
        </w:r>
        <w:smartTag w:uri="urn:schemas-microsoft-com:office:smarttags" w:element="PlaceName">
          <w:r w:rsidRPr="001D68B6">
            <w:rPr>
              <w:spacing w:val="-2"/>
            </w:rPr>
            <w:t>Cape Town</w:t>
          </w:r>
        </w:smartTag>
      </w:smartTag>
      <w:r w:rsidRPr="001D68B6">
        <w:rPr>
          <w:spacing w:val="-2"/>
        </w:rPr>
        <w:t xml:space="preserve"> (B.Com.), </w:t>
      </w:r>
      <w:r w:rsidR="005C3B84">
        <w:rPr>
          <w:spacing w:val="-2"/>
        </w:rPr>
        <w:t xml:space="preserve">the </w:t>
      </w:r>
      <w:smartTag w:uri="urn:schemas-microsoft-com:office:smarttags" w:element="place">
        <w:smartTag w:uri="urn:schemas-microsoft-com:office:smarttags" w:element="PlaceType">
          <w:r w:rsidR="005C3B84">
            <w:rPr>
              <w:spacing w:val="-2"/>
            </w:rPr>
            <w:t>University</w:t>
          </w:r>
        </w:smartTag>
        <w:r w:rsidR="005C3B84">
          <w:rPr>
            <w:spacing w:val="-2"/>
          </w:rPr>
          <w:t xml:space="preserve"> of </w:t>
        </w:r>
        <w:smartTag w:uri="urn:schemas-microsoft-com:office:smarttags" w:element="PlaceName">
          <w:r w:rsidRPr="001D68B6">
            <w:rPr>
              <w:spacing w:val="-2"/>
            </w:rPr>
            <w:t>Essex</w:t>
          </w:r>
        </w:smartTag>
      </w:smartTag>
      <w:r w:rsidR="005C3B84">
        <w:rPr>
          <w:spacing w:val="-2"/>
        </w:rPr>
        <w:t xml:space="preserve">, </w:t>
      </w:r>
      <w:smartTag w:uri="urn:schemas-microsoft-com:office:smarttags" w:element="place">
        <w:r w:rsidR="005C3B84">
          <w:rPr>
            <w:spacing w:val="-2"/>
          </w:rPr>
          <w:t>Colchester</w:t>
        </w:r>
      </w:smartTag>
      <w:r w:rsidRPr="001D68B6">
        <w:rPr>
          <w:spacing w:val="-2"/>
        </w:rPr>
        <w:t xml:space="preserve"> (B.A. (honours) in Economics) and </w:t>
      </w:r>
      <w:r w:rsidR="005C3B84">
        <w:rPr>
          <w:spacing w:val="-2"/>
        </w:rPr>
        <w:t xml:space="preserve">the </w:t>
      </w:r>
      <w:smartTag w:uri="urn:schemas-microsoft-com:office:smarttags" w:element="place">
        <w:smartTag w:uri="urn:schemas-microsoft-com:office:smarttags" w:element="PlaceType">
          <w:r w:rsidR="005C3B84">
            <w:rPr>
              <w:spacing w:val="-2"/>
            </w:rPr>
            <w:t>University</w:t>
          </w:r>
        </w:smartTag>
        <w:r w:rsidR="005C3B84">
          <w:rPr>
            <w:spacing w:val="-2"/>
          </w:rPr>
          <w:t xml:space="preserve"> of </w:t>
        </w:r>
        <w:smartTag w:uri="urn:schemas-microsoft-com:office:smarttags" w:element="PlaceName">
          <w:r w:rsidRPr="001D68B6">
            <w:rPr>
              <w:spacing w:val="-2"/>
            </w:rPr>
            <w:t>Warwick</w:t>
          </w:r>
        </w:smartTag>
      </w:smartTag>
      <w:r w:rsidR="005C3B84">
        <w:rPr>
          <w:spacing w:val="-2"/>
        </w:rPr>
        <w:t xml:space="preserve">, </w:t>
      </w:r>
      <w:smartTag w:uri="urn:schemas-microsoft-com:office:smarttags" w:element="City">
        <w:smartTag w:uri="urn:schemas-microsoft-com:office:smarttags" w:element="place">
          <w:r w:rsidR="005C3B84">
            <w:rPr>
              <w:spacing w:val="-2"/>
            </w:rPr>
            <w:t>Coventry</w:t>
          </w:r>
        </w:smartTag>
      </w:smartTag>
      <w:r w:rsidRPr="001D68B6">
        <w:rPr>
          <w:spacing w:val="-2"/>
        </w:rPr>
        <w:t xml:space="preserve"> (M.A. and M.Phil. in Economics).  His publications have appeared in several journals, including </w:t>
      </w:r>
      <w:r w:rsidRPr="001D68B6">
        <w:rPr>
          <w:i/>
          <w:spacing w:val="-2"/>
        </w:rPr>
        <w:t>Economic Issues</w:t>
      </w:r>
      <w:r w:rsidRPr="001D68B6">
        <w:rPr>
          <w:spacing w:val="-2"/>
        </w:rPr>
        <w:t xml:space="preserve">, </w:t>
      </w:r>
      <w:r w:rsidRPr="001D68B6">
        <w:rPr>
          <w:i/>
          <w:iCs/>
          <w:spacing w:val="-2"/>
        </w:rPr>
        <w:t>Education Economics</w:t>
      </w:r>
      <w:r w:rsidRPr="001D68B6">
        <w:rPr>
          <w:iCs/>
          <w:spacing w:val="-2"/>
        </w:rPr>
        <w:t xml:space="preserve">, </w:t>
      </w:r>
      <w:r w:rsidRPr="001D68B6">
        <w:rPr>
          <w:spacing w:val="-2"/>
        </w:rPr>
        <w:t xml:space="preserve">the </w:t>
      </w:r>
      <w:r w:rsidRPr="001D68B6">
        <w:rPr>
          <w:i/>
          <w:spacing w:val="-2"/>
        </w:rPr>
        <w:t>Journal of Development Studies</w:t>
      </w:r>
      <w:r w:rsidRPr="001D68B6">
        <w:rPr>
          <w:spacing w:val="-2"/>
        </w:rPr>
        <w:t xml:space="preserve">, </w:t>
      </w:r>
      <w:r w:rsidRPr="001D68B6">
        <w:rPr>
          <w:iCs/>
          <w:spacing w:val="-2"/>
        </w:rPr>
        <w:t xml:space="preserve">the </w:t>
      </w:r>
      <w:r w:rsidRPr="001D68B6">
        <w:rPr>
          <w:i/>
          <w:iCs/>
          <w:spacing w:val="-2"/>
        </w:rPr>
        <w:t>Oxford Bulletin of Economics and Statistics</w:t>
      </w:r>
      <w:r w:rsidRPr="001D68B6">
        <w:rPr>
          <w:iCs/>
          <w:spacing w:val="-2"/>
        </w:rPr>
        <w:t xml:space="preserve">, </w:t>
      </w:r>
      <w:r w:rsidRPr="001D68B6">
        <w:rPr>
          <w:i/>
          <w:iCs/>
          <w:spacing w:val="-2"/>
        </w:rPr>
        <w:t>Population Studies</w:t>
      </w:r>
      <w:r w:rsidRPr="001D68B6">
        <w:rPr>
          <w:iCs/>
          <w:spacing w:val="-2"/>
        </w:rPr>
        <w:t xml:space="preserve"> and</w:t>
      </w:r>
      <w:r w:rsidRPr="001D68B6">
        <w:rPr>
          <w:i/>
          <w:iCs/>
          <w:spacing w:val="-2"/>
        </w:rPr>
        <w:t xml:space="preserve"> Regional Studies</w:t>
      </w:r>
      <w:r w:rsidRPr="001D68B6">
        <w:rPr>
          <w:iCs/>
          <w:spacing w:val="-2"/>
        </w:rPr>
        <w:t>.</w:t>
      </w:r>
    </w:p>
    <w:p w:rsidR="00886AEB" w:rsidRDefault="00886AEB" w:rsidP="008B6D8F">
      <w:pPr>
        <w:widowControl w:val="0"/>
        <w:tabs>
          <w:tab w:val="left" w:pos="-1440"/>
          <w:tab w:val="left" w:pos="-720"/>
          <w:tab w:val="left" w:pos="18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after="120" w:line="480" w:lineRule="auto"/>
      </w:pPr>
    </w:p>
    <w:sectPr w:rsidR="00886AEB">
      <w:footerReference w:type="even" r:id="rId30"/>
      <w:footerReference w:type="default" r:id="rId31"/>
      <w:pgSz w:w="11906" w:h="16838"/>
      <w:pgMar w:top="1440" w:right="1440" w:bottom="1077" w:left="1440" w:header="144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896" w:rsidRDefault="00855896">
      <w:r>
        <w:separator/>
      </w:r>
    </w:p>
  </w:endnote>
  <w:endnote w:type="continuationSeparator" w:id="0">
    <w:p w:rsidR="00855896" w:rsidRDefault="008558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F48" w:rsidRDefault="00DB7F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7F48" w:rsidRDefault="00DB7F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F48" w:rsidRDefault="00DB7F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1573">
      <w:rPr>
        <w:rStyle w:val="PageNumber"/>
        <w:noProof/>
      </w:rPr>
      <w:t>42</w:t>
    </w:r>
    <w:r>
      <w:rPr>
        <w:rStyle w:val="PageNumber"/>
      </w:rPr>
      <w:fldChar w:fldCharType="end"/>
    </w:r>
  </w:p>
  <w:p w:rsidR="00DB7F48" w:rsidRDefault="00DB7F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896" w:rsidRDefault="00855896">
      <w:r>
        <w:separator/>
      </w:r>
    </w:p>
  </w:footnote>
  <w:footnote w:type="continuationSeparator" w:id="0">
    <w:p w:rsidR="00855896" w:rsidRDefault="00855896">
      <w:r>
        <w:continuationSeparator/>
      </w:r>
    </w:p>
  </w:footnote>
  <w:footnote w:id="1">
    <w:p w:rsidR="00DB7F48" w:rsidRDefault="00DB7F48">
      <w:pPr>
        <w:pStyle w:val="FootnoteText"/>
        <w:tabs>
          <w:tab w:val="left" w:pos="180"/>
        </w:tabs>
        <w:rPr>
          <w:sz w:val="22"/>
          <w:szCs w:val="22"/>
        </w:rPr>
      </w:pPr>
      <w:r>
        <w:rPr>
          <w:rStyle w:val="FootnoteReference"/>
          <w:sz w:val="22"/>
          <w:szCs w:val="22"/>
        </w:rPr>
        <w:footnoteRef/>
      </w:r>
      <w:r>
        <w:rPr>
          <w:sz w:val="22"/>
          <w:szCs w:val="22"/>
        </w:rPr>
        <w:tab/>
        <w:t xml:space="preserve">See [1] for further discussion of this issue. </w:t>
      </w:r>
    </w:p>
  </w:footnote>
  <w:footnote w:id="2">
    <w:p w:rsidR="00DB7F48" w:rsidRDefault="00DB7F48">
      <w:pPr>
        <w:pStyle w:val="FootnoteText"/>
        <w:tabs>
          <w:tab w:val="left" w:pos="180"/>
        </w:tabs>
        <w:spacing w:after="120"/>
        <w:rPr>
          <w:sz w:val="22"/>
          <w:szCs w:val="22"/>
        </w:rPr>
      </w:pPr>
      <w:r>
        <w:rPr>
          <w:rStyle w:val="FootnoteReference"/>
          <w:sz w:val="22"/>
          <w:szCs w:val="22"/>
        </w:rPr>
        <w:footnoteRef/>
      </w:r>
      <w:r>
        <w:rPr>
          <w:sz w:val="22"/>
          <w:szCs w:val="22"/>
        </w:rPr>
        <w:t xml:space="preserve"> </w:t>
      </w:r>
      <w:r>
        <w:rPr>
          <w:sz w:val="22"/>
          <w:szCs w:val="22"/>
        </w:rPr>
        <w:tab/>
        <w:t>See, for example, [4], [7], [8], [9], [11], [12], [15] and [16].</w:t>
      </w:r>
    </w:p>
  </w:footnote>
  <w:footnote w:id="3">
    <w:p w:rsidR="00DB7F48" w:rsidRDefault="00DB7F48">
      <w:pPr>
        <w:pStyle w:val="FootnoteText"/>
        <w:tabs>
          <w:tab w:val="left" w:pos="180"/>
        </w:tabs>
        <w:rPr>
          <w:sz w:val="22"/>
          <w:szCs w:val="22"/>
        </w:rPr>
      </w:pPr>
      <w:r>
        <w:rPr>
          <w:rStyle w:val="FootnoteReference"/>
          <w:sz w:val="22"/>
          <w:szCs w:val="22"/>
        </w:rPr>
        <w:footnoteRef/>
      </w:r>
      <w:r>
        <w:rPr>
          <w:sz w:val="22"/>
          <w:szCs w:val="22"/>
        </w:rPr>
        <w:t xml:space="preserve"> </w:t>
      </w:r>
      <w:r>
        <w:rPr>
          <w:sz w:val="22"/>
          <w:szCs w:val="22"/>
        </w:rPr>
        <w:tab/>
        <w:t>The earlier criticisms of Färe and Grosskopf’s approach by Cooper and his associates are reiterated in Cooper et al. [7], who remark (p. 189): “Undoubtedly these defects in [this] approach can be eliminated or alleviated but the research needed to do this has not yet been done.”</w:t>
      </w:r>
    </w:p>
  </w:footnote>
  <w:footnote w:id="4">
    <w:p w:rsidR="00DB7F48" w:rsidRDefault="00DB7F48">
      <w:pPr>
        <w:pStyle w:val="FootnoteText"/>
        <w:tabs>
          <w:tab w:val="left" w:pos="180"/>
        </w:tabs>
        <w:spacing w:after="120"/>
        <w:rPr>
          <w:sz w:val="22"/>
          <w:szCs w:val="22"/>
        </w:rPr>
      </w:pPr>
      <w:r>
        <w:rPr>
          <w:rStyle w:val="FootnoteReference"/>
          <w:sz w:val="22"/>
          <w:szCs w:val="22"/>
        </w:rPr>
        <w:footnoteRef/>
      </w:r>
      <w:r>
        <w:rPr>
          <w:sz w:val="22"/>
          <w:szCs w:val="22"/>
        </w:rPr>
        <w:t xml:space="preserve"> </w:t>
      </w:r>
      <w:r>
        <w:rPr>
          <w:sz w:val="22"/>
          <w:szCs w:val="22"/>
        </w:rPr>
        <w:tab/>
        <w:t>Note that the gradient of each line segment, dx</w:t>
      </w:r>
      <w:r>
        <w:rPr>
          <w:sz w:val="22"/>
          <w:szCs w:val="22"/>
          <w:vertAlign w:val="subscript"/>
        </w:rPr>
        <w:t>2</w:t>
      </w:r>
      <w:r>
        <w:rPr>
          <w:sz w:val="22"/>
          <w:szCs w:val="22"/>
        </w:rPr>
        <w:t>/dx</w:t>
      </w:r>
      <w:r>
        <w:rPr>
          <w:sz w:val="22"/>
          <w:szCs w:val="22"/>
          <w:vertAlign w:val="subscript"/>
        </w:rPr>
        <w:t>1</w:t>
      </w:r>
      <w:r>
        <w:rPr>
          <w:sz w:val="22"/>
          <w:szCs w:val="22"/>
        </w:rPr>
        <w:t xml:space="preserve">, equals </w:t>
      </w:r>
      <w:r>
        <w:rPr>
          <w:sz w:val="22"/>
          <w:szCs w:val="22"/>
        </w:rPr>
        <w:sym w:font="Symbol" w:char="F02D"/>
      </w:r>
      <w:r>
        <w:rPr>
          <w:sz w:val="22"/>
          <w:szCs w:val="22"/>
        </w:rPr>
        <w:t>MP</w:t>
      </w:r>
      <w:r>
        <w:rPr>
          <w:sz w:val="22"/>
          <w:szCs w:val="22"/>
          <w:vertAlign w:val="subscript"/>
        </w:rPr>
        <w:t>1</w:t>
      </w:r>
      <w:r>
        <w:rPr>
          <w:sz w:val="22"/>
          <w:szCs w:val="22"/>
        </w:rPr>
        <w:t>/MP</w:t>
      </w:r>
      <w:r>
        <w:rPr>
          <w:sz w:val="22"/>
          <w:szCs w:val="22"/>
          <w:vertAlign w:val="subscript"/>
        </w:rPr>
        <w:t>2</w:t>
      </w:r>
      <w:r>
        <w:rPr>
          <w:sz w:val="22"/>
          <w:szCs w:val="22"/>
        </w:rPr>
        <w:t>.  These marginal products must have opposite signs to yield dx</w:t>
      </w:r>
      <w:r>
        <w:rPr>
          <w:sz w:val="22"/>
          <w:szCs w:val="22"/>
          <w:vertAlign w:val="subscript"/>
        </w:rPr>
        <w:t>2</w:t>
      </w:r>
      <w:r>
        <w:rPr>
          <w:sz w:val="22"/>
          <w:szCs w:val="22"/>
        </w:rPr>
        <w:t>/dx</w:t>
      </w:r>
      <w:r>
        <w:rPr>
          <w:sz w:val="22"/>
          <w:szCs w:val="22"/>
          <w:vertAlign w:val="subscript"/>
        </w:rPr>
        <w:t>1</w:t>
      </w:r>
      <w:r>
        <w:rPr>
          <w:sz w:val="22"/>
          <w:szCs w:val="22"/>
        </w:rPr>
        <w:t xml:space="preserve"> &gt; 0.</w:t>
      </w:r>
    </w:p>
  </w:footnote>
  <w:footnote w:id="5">
    <w:p w:rsidR="00DB7F48" w:rsidRDefault="00DB7F48">
      <w:pPr>
        <w:pStyle w:val="FootnoteText"/>
        <w:tabs>
          <w:tab w:val="left" w:pos="180"/>
        </w:tabs>
        <w:spacing w:after="120"/>
        <w:rPr>
          <w:sz w:val="22"/>
          <w:szCs w:val="22"/>
        </w:rPr>
      </w:pPr>
      <w:r>
        <w:rPr>
          <w:rStyle w:val="FootnoteReference"/>
          <w:sz w:val="22"/>
          <w:szCs w:val="22"/>
        </w:rPr>
        <w:footnoteRef/>
      </w:r>
      <w:r>
        <w:rPr>
          <w:sz w:val="22"/>
          <w:szCs w:val="22"/>
        </w:rPr>
        <w:t xml:space="preserve"> </w:t>
      </w:r>
      <w:r>
        <w:rPr>
          <w:sz w:val="22"/>
          <w:szCs w:val="22"/>
        </w:rPr>
        <w:tab/>
        <w:t>For more discussion of the issues surrounding strong and weak disposability, see [28, pp. 170, 175</w:t>
      </w:r>
      <w:r>
        <w:rPr>
          <w:sz w:val="22"/>
          <w:szCs w:val="22"/>
        </w:rPr>
        <w:sym w:font="Symbol" w:char="F02D"/>
      </w:r>
      <w:r>
        <w:rPr>
          <w:sz w:val="22"/>
          <w:szCs w:val="22"/>
        </w:rPr>
        <w:t>186] and [30, pp. 181</w:t>
      </w:r>
      <w:r>
        <w:rPr>
          <w:sz w:val="22"/>
          <w:szCs w:val="22"/>
        </w:rPr>
        <w:sym w:font="Symbol" w:char="F02D"/>
      </w:r>
      <w:r>
        <w:rPr>
          <w:sz w:val="22"/>
          <w:szCs w:val="22"/>
        </w:rPr>
        <w:t>186].</w:t>
      </w:r>
    </w:p>
  </w:footnote>
  <w:footnote w:id="6">
    <w:p w:rsidR="00DB7F48" w:rsidRDefault="00DB7F48">
      <w:pPr>
        <w:pStyle w:val="FootnoteText"/>
        <w:tabs>
          <w:tab w:val="left" w:pos="180"/>
        </w:tabs>
        <w:rPr>
          <w:sz w:val="22"/>
          <w:szCs w:val="22"/>
        </w:rPr>
      </w:pPr>
      <w:r>
        <w:rPr>
          <w:rStyle w:val="FootnoteReference"/>
          <w:sz w:val="22"/>
          <w:szCs w:val="22"/>
        </w:rPr>
        <w:footnoteRef/>
      </w:r>
      <w:r>
        <w:rPr>
          <w:sz w:val="22"/>
          <w:szCs w:val="22"/>
        </w:rPr>
        <w:t xml:space="preserve"> </w:t>
      </w:r>
      <w:r>
        <w:rPr>
          <w:sz w:val="22"/>
          <w:szCs w:val="22"/>
        </w:rPr>
        <w:tab/>
        <w:t xml:space="preserve">The calculations were carried out using </w:t>
      </w:r>
      <w:r>
        <w:rPr>
          <w:i/>
          <w:sz w:val="22"/>
          <w:szCs w:val="22"/>
        </w:rPr>
        <w:t>OnFront</w:t>
      </w:r>
      <w:r>
        <w:rPr>
          <w:sz w:val="22"/>
          <w:szCs w:val="22"/>
        </w:rPr>
        <w:t xml:space="preserve"> (www.emq.com).</w:t>
      </w:r>
    </w:p>
  </w:footnote>
  <w:footnote w:id="7">
    <w:p w:rsidR="00DB7F48" w:rsidRDefault="00DB7F48">
      <w:pPr>
        <w:pStyle w:val="FootnoteText"/>
        <w:tabs>
          <w:tab w:val="left" w:pos="180"/>
        </w:tabs>
        <w:spacing w:after="120"/>
        <w:ind w:left="180" w:hanging="180"/>
        <w:rPr>
          <w:sz w:val="22"/>
          <w:szCs w:val="22"/>
        </w:rPr>
      </w:pPr>
      <w:r>
        <w:rPr>
          <w:rStyle w:val="FootnoteReference"/>
          <w:sz w:val="22"/>
          <w:szCs w:val="22"/>
        </w:rPr>
        <w:footnoteRef/>
      </w:r>
      <w:r>
        <w:rPr>
          <w:sz w:val="22"/>
          <w:szCs w:val="22"/>
        </w:rPr>
        <w:t xml:space="preserve"> </w:t>
      </w:r>
      <w:r>
        <w:rPr>
          <w:sz w:val="22"/>
          <w:szCs w:val="22"/>
        </w:rPr>
        <w:tab/>
        <w:t>See [16] and [7, pp. 184</w:t>
      </w:r>
      <w:r>
        <w:rPr>
          <w:sz w:val="22"/>
          <w:szCs w:val="22"/>
        </w:rPr>
        <w:sym w:font="Symbol" w:char="F02D"/>
      </w:r>
      <w:r>
        <w:rPr>
          <w:sz w:val="22"/>
          <w:szCs w:val="22"/>
        </w:rPr>
        <w:t>189].</w:t>
      </w:r>
    </w:p>
  </w:footnote>
  <w:footnote w:id="8">
    <w:p w:rsidR="00DB7F48" w:rsidRDefault="00DB7F48">
      <w:pPr>
        <w:pStyle w:val="FootnoteText"/>
        <w:tabs>
          <w:tab w:val="left" w:pos="180"/>
        </w:tabs>
        <w:spacing w:after="120"/>
        <w:rPr>
          <w:sz w:val="22"/>
          <w:szCs w:val="22"/>
        </w:rPr>
      </w:pPr>
      <w:r>
        <w:rPr>
          <w:rStyle w:val="FootnoteReference"/>
          <w:sz w:val="22"/>
          <w:szCs w:val="22"/>
        </w:rPr>
        <w:footnoteRef/>
      </w:r>
      <w:r>
        <w:rPr>
          <w:sz w:val="22"/>
          <w:szCs w:val="22"/>
        </w:rPr>
        <w:t xml:space="preserve"> </w:t>
      </w:r>
      <w:r>
        <w:rPr>
          <w:sz w:val="22"/>
          <w:szCs w:val="22"/>
        </w:rPr>
        <w:tab/>
        <w:t xml:space="preserve">It is possible to combine these two stages but this would entail sacrificing some valuable information in terms of the results provided.  See </w:t>
      </w:r>
      <w:r>
        <w:rPr>
          <w:spacing w:val="-2"/>
          <w:sz w:val="22"/>
          <w:szCs w:val="22"/>
        </w:rPr>
        <w:t>[6].</w:t>
      </w:r>
    </w:p>
  </w:footnote>
  <w:footnote w:id="9">
    <w:p w:rsidR="00DB7F48" w:rsidRDefault="00DB7F48">
      <w:pPr>
        <w:pStyle w:val="FootnoteText"/>
        <w:tabs>
          <w:tab w:val="left" w:pos="180"/>
        </w:tabs>
        <w:rPr>
          <w:sz w:val="22"/>
          <w:szCs w:val="22"/>
        </w:rPr>
      </w:pPr>
      <w:r>
        <w:rPr>
          <w:rStyle w:val="FootnoteReference"/>
          <w:sz w:val="22"/>
          <w:szCs w:val="22"/>
        </w:rPr>
        <w:footnoteRef/>
      </w:r>
      <w:r>
        <w:rPr>
          <w:spacing w:val="-2"/>
          <w:sz w:val="22"/>
          <w:szCs w:val="22"/>
        </w:rPr>
        <w:t xml:space="preserve"> </w:t>
      </w:r>
      <w:r>
        <w:rPr>
          <w:spacing w:val="-2"/>
          <w:sz w:val="22"/>
          <w:szCs w:val="22"/>
        </w:rPr>
        <w:tab/>
        <w:t xml:space="preserve">Cooper et al. [12, p. 211] state that it would be wrong to use an </w:t>
      </w:r>
      <w:r>
        <w:rPr>
          <w:sz w:val="22"/>
          <w:szCs w:val="22"/>
        </w:rPr>
        <w:t>input-oriented model when implementing their approach.</w:t>
      </w:r>
    </w:p>
  </w:footnote>
  <w:footnote w:id="10">
    <w:p w:rsidR="00DB7F48" w:rsidRDefault="00DB7F48">
      <w:pPr>
        <w:pStyle w:val="FootnoteText"/>
        <w:tabs>
          <w:tab w:val="left" w:pos="180"/>
        </w:tabs>
        <w:ind w:left="180" w:hanging="180"/>
        <w:rPr>
          <w:sz w:val="22"/>
          <w:szCs w:val="22"/>
        </w:rPr>
      </w:pPr>
      <w:r>
        <w:rPr>
          <w:rStyle w:val="FootnoteReference"/>
          <w:sz w:val="22"/>
          <w:szCs w:val="22"/>
        </w:rPr>
        <w:footnoteRef/>
      </w:r>
      <w:r>
        <w:rPr>
          <w:sz w:val="22"/>
          <w:szCs w:val="22"/>
        </w:rPr>
        <w:t xml:space="preserve">  See </w:t>
      </w:r>
      <w:r>
        <w:rPr>
          <w:spacing w:val="-2"/>
          <w:sz w:val="22"/>
          <w:szCs w:val="22"/>
        </w:rPr>
        <w:t xml:space="preserve">[10] for a detailed discussion of the CCR and </w:t>
      </w:r>
      <w:smartTag w:uri="urn:schemas-microsoft-com:office:smarttags" w:element="stockticker">
        <w:r>
          <w:rPr>
            <w:spacing w:val="-2"/>
            <w:sz w:val="22"/>
            <w:szCs w:val="22"/>
          </w:rPr>
          <w:t>BCC</w:t>
        </w:r>
      </w:smartTag>
      <w:r>
        <w:rPr>
          <w:spacing w:val="-2"/>
          <w:sz w:val="22"/>
          <w:szCs w:val="22"/>
        </w:rPr>
        <w:t xml:space="preserve"> models.</w:t>
      </w:r>
    </w:p>
  </w:footnote>
  <w:footnote w:id="11">
    <w:p w:rsidR="00DB7F48" w:rsidRDefault="00DB7F48">
      <w:pPr>
        <w:pStyle w:val="FootnoteText"/>
        <w:spacing w:after="120"/>
        <w:rPr>
          <w:sz w:val="22"/>
          <w:szCs w:val="22"/>
        </w:rPr>
      </w:pPr>
      <w:r>
        <w:rPr>
          <w:rStyle w:val="FootnoteReference"/>
          <w:sz w:val="22"/>
          <w:szCs w:val="22"/>
        </w:rPr>
        <w:footnoteRef/>
      </w:r>
      <w:r>
        <w:rPr>
          <w:sz w:val="22"/>
          <w:szCs w:val="22"/>
        </w:rPr>
        <w:t xml:space="preserve">  </w:t>
      </w:r>
      <w:r>
        <w:rPr>
          <w:spacing w:val="-2"/>
          <w:sz w:val="22"/>
          <w:szCs w:val="22"/>
        </w:rPr>
        <w:t xml:space="preserve">A similar diagram is the subject of a debate between </w:t>
      </w:r>
      <w:r>
        <w:rPr>
          <w:sz w:val="22"/>
          <w:szCs w:val="22"/>
        </w:rPr>
        <w:t xml:space="preserve">Cherchye </w:t>
      </w:r>
      <w:r>
        <w:rPr>
          <w:iCs/>
          <w:sz w:val="22"/>
          <w:szCs w:val="22"/>
        </w:rPr>
        <w:t>et al.</w:t>
      </w:r>
      <w:r>
        <w:rPr>
          <w:sz w:val="22"/>
          <w:szCs w:val="22"/>
        </w:rPr>
        <w:t xml:space="preserve"> [4] and Cooper</w:t>
      </w:r>
      <w:r>
        <w:rPr>
          <w:iCs/>
          <w:sz w:val="22"/>
          <w:szCs w:val="22"/>
        </w:rPr>
        <w:t xml:space="preserve"> et al.</w:t>
      </w:r>
      <w:r>
        <w:rPr>
          <w:sz w:val="22"/>
          <w:szCs w:val="22"/>
        </w:rPr>
        <w:t xml:space="preserve"> [8, 9].  Also see [23, pp. 81</w:t>
      </w:r>
      <w:r>
        <w:rPr>
          <w:sz w:val="22"/>
          <w:szCs w:val="22"/>
        </w:rPr>
        <w:sym w:font="Symbol" w:char="F02D"/>
      </w:r>
      <w:r>
        <w:rPr>
          <w:sz w:val="22"/>
          <w:szCs w:val="22"/>
        </w:rPr>
        <w:t xml:space="preserve">82].  However, that diagram differs in one key respect from our Figure 3: the DMUs defining the efficiency frontier under VRS are no longer efficient if </w:t>
      </w:r>
      <w:smartTag w:uri="urn:schemas-microsoft-com:office:smarttags" w:element="stockticker">
        <w:r>
          <w:rPr>
            <w:sz w:val="22"/>
            <w:szCs w:val="22"/>
          </w:rPr>
          <w:t>CRS</w:t>
        </w:r>
      </w:smartTag>
      <w:r>
        <w:rPr>
          <w:sz w:val="22"/>
          <w:szCs w:val="22"/>
        </w:rPr>
        <w:t xml:space="preserve"> is assumed.  By contrast, in Figure 3, DMUs A and B are efficient under both </w:t>
      </w:r>
      <w:smartTag w:uri="urn:schemas-microsoft-com:office:smarttags" w:element="stockticker">
        <w:r>
          <w:rPr>
            <w:sz w:val="22"/>
            <w:szCs w:val="22"/>
          </w:rPr>
          <w:t>CRS</w:t>
        </w:r>
      </w:smartTag>
      <w:r>
        <w:rPr>
          <w:sz w:val="22"/>
          <w:szCs w:val="22"/>
        </w:rPr>
        <w:t xml:space="preserve"> and VRS.</w:t>
      </w:r>
    </w:p>
  </w:footnote>
  <w:footnote w:id="12">
    <w:p w:rsidR="00DB7F48" w:rsidRDefault="00DB7F48">
      <w:pPr>
        <w:pStyle w:val="FootnoteText"/>
        <w:tabs>
          <w:tab w:val="left" w:pos="0"/>
        </w:tabs>
        <w:spacing w:after="120" w:line="240" w:lineRule="atLeast"/>
        <w:rPr>
          <w:sz w:val="22"/>
          <w:szCs w:val="22"/>
        </w:rPr>
      </w:pPr>
      <w:r>
        <w:rPr>
          <w:rStyle w:val="FootnoteReference"/>
          <w:sz w:val="22"/>
          <w:szCs w:val="22"/>
        </w:rPr>
        <w:footnoteRef/>
      </w:r>
      <w:r>
        <w:rPr>
          <w:sz w:val="22"/>
          <w:szCs w:val="22"/>
        </w:rPr>
        <w:t xml:space="preserve">  TE </w:t>
      </w:r>
      <w:r>
        <w:rPr>
          <w:spacing w:val="-2"/>
          <w:sz w:val="22"/>
          <w:szCs w:val="22"/>
        </w:rPr>
        <w:t>≈</w:t>
      </w:r>
      <w:r>
        <w:rPr>
          <w:sz w:val="22"/>
          <w:szCs w:val="22"/>
        </w:rPr>
        <w:t xml:space="preserve"> 0.1948 and SE </w:t>
      </w:r>
      <w:r>
        <w:rPr>
          <w:spacing w:val="-2"/>
          <w:sz w:val="22"/>
          <w:szCs w:val="22"/>
        </w:rPr>
        <w:t>≈</w:t>
      </w:r>
      <w:r>
        <w:rPr>
          <w:sz w:val="22"/>
          <w:szCs w:val="22"/>
        </w:rPr>
        <w:t xml:space="preserve"> 0.4453 for C and D, whereas TE = 0.15 and SE </w:t>
      </w:r>
      <w:r>
        <w:rPr>
          <w:spacing w:val="-2"/>
          <w:sz w:val="22"/>
          <w:szCs w:val="22"/>
        </w:rPr>
        <w:t>≈</w:t>
      </w:r>
      <w:r>
        <w:rPr>
          <w:sz w:val="22"/>
          <w:szCs w:val="22"/>
        </w:rPr>
        <w:t xml:space="preserve"> 0.3429 for E.  These results were obtained using </w:t>
      </w:r>
      <w:r>
        <w:rPr>
          <w:i/>
          <w:sz w:val="22"/>
          <w:szCs w:val="22"/>
        </w:rPr>
        <w:t xml:space="preserve">OnFront </w:t>
      </w:r>
      <w:r>
        <w:rPr>
          <w:sz w:val="22"/>
          <w:szCs w:val="22"/>
        </w:rPr>
        <w:t>and an input-oriented model.</w:t>
      </w:r>
    </w:p>
  </w:footnote>
  <w:footnote w:id="13">
    <w:p w:rsidR="00DB7F48" w:rsidRDefault="00DB7F48">
      <w:pPr>
        <w:pStyle w:val="FootnoteText"/>
        <w:rPr>
          <w:b/>
          <w:sz w:val="22"/>
          <w:szCs w:val="22"/>
        </w:rPr>
      </w:pPr>
      <w:r>
        <w:rPr>
          <w:rStyle w:val="FootnoteReference"/>
          <w:sz w:val="22"/>
          <w:szCs w:val="22"/>
        </w:rPr>
        <w:footnoteRef/>
      </w:r>
      <w:r>
        <w:rPr>
          <w:sz w:val="22"/>
          <w:szCs w:val="22"/>
        </w:rPr>
        <w:t xml:space="preserve">  CE = Oc/OC* and CE = Od/OD* for the repositioned C and D, where CE = 0.8 in both cases.</w:t>
      </w:r>
    </w:p>
  </w:footnote>
  <w:footnote w:id="14">
    <w:p w:rsidR="00DB7F48" w:rsidRDefault="00DB7F48">
      <w:pPr>
        <w:pStyle w:val="FootnoteText"/>
        <w:tabs>
          <w:tab w:val="left" w:pos="180"/>
        </w:tabs>
        <w:spacing w:after="120"/>
        <w:rPr>
          <w:sz w:val="22"/>
          <w:szCs w:val="22"/>
        </w:rPr>
      </w:pPr>
      <w:r>
        <w:rPr>
          <w:rStyle w:val="FootnoteReference"/>
          <w:sz w:val="22"/>
          <w:szCs w:val="22"/>
        </w:rPr>
        <w:footnoteRef/>
      </w:r>
      <w:r>
        <w:rPr>
          <w:sz w:val="22"/>
          <w:szCs w:val="22"/>
        </w:rPr>
        <w:tab/>
        <w:t xml:space="preserve"> SE is calculated by dividing the CCR score by the </w:t>
      </w:r>
      <w:smartTag w:uri="urn:schemas-microsoft-com:office:smarttags" w:element="stockticker">
        <w:r>
          <w:rPr>
            <w:sz w:val="22"/>
            <w:szCs w:val="22"/>
          </w:rPr>
          <w:t>BCC</w:t>
        </w:r>
      </w:smartTag>
      <w:r>
        <w:rPr>
          <w:sz w:val="22"/>
          <w:szCs w:val="22"/>
        </w:rPr>
        <w:t xml:space="preserve"> score.  The latter measures technical efficiency once the effects (if any) of an inappropriate scale have been removed.</w:t>
      </w:r>
    </w:p>
  </w:footnote>
  <w:footnote w:id="15">
    <w:p w:rsidR="00DB7F48" w:rsidRDefault="00DB7F48">
      <w:pPr>
        <w:pStyle w:val="FootnoteText"/>
        <w:tabs>
          <w:tab w:val="left" w:pos="180"/>
        </w:tabs>
        <w:spacing w:after="120"/>
        <w:rPr>
          <w:sz w:val="22"/>
          <w:szCs w:val="22"/>
        </w:rPr>
      </w:pPr>
      <w:r>
        <w:rPr>
          <w:rStyle w:val="FootnoteReference"/>
          <w:sz w:val="22"/>
          <w:szCs w:val="22"/>
        </w:rPr>
        <w:footnoteRef/>
      </w:r>
      <w:r>
        <w:rPr>
          <w:sz w:val="22"/>
          <w:szCs w:val="22"/>
        </w:rPr>
        <w:tab/>
        <w:t xml:space="preserve"> Cooper et al. [5] miss the capital congestion in textiles in 1989, owing to an error in their Table 2, which shows no slack for that year (the slack was actually 0.52).</w:t>
      </w:r>
    </w:p>
  </w:footnote>
  <w:footnote w:id="16">
    <w:p w:rsidR="00DB7F48" w:rsidRDefault="00DB7F48">
      <w:pPr>
        <w:pStyle w:val="FootnoteText"/>
        <w:tabs>
          <w:tab w:val="left" w:pos="180"/>
        </w:tabs>
        <w:spacing w:after="120"/>
        <w:rPr>
          <w:sz w:val="22"/>
          <w:szCs w:val="22"/>
        </w:rPr>
      </w:pPr>
      <w:r>
        <w:rPr>
          <w:rStyle w:val="FootnoteReference"/>
          <w:sz w:val="22"/>
          <w:szCs w:val="22"/>
        </w:rPr>
        <w:footnoteRef/>
      </w:r>
      <w:r>
        <w:rPr>
          <w:sz w:val="22"/>
          <w:szCs w:val="22"/>
        </w:rPr>
        <w:tab/>
        <w:t xml:space="preserve"> In absolute terms, the differences are much less marked.  This is due to the substantially larger labour force in textiles.  See [5, Tables 1 and 2].</w:t>
      </w:r>
    </w:p>
  </w:footnote>
  <w:footnote w:id="17">
    <w:p w:rsidR="00DB7F48" w:rsidRDefault="00DB7F48">
      <w:pPr>
        <w:pStyle w:val="FootnoteText"/>
        <w:tabs>
          <w:tab w:val="left" w:pos="180"/>
        </w:tabs>
        <w:spacing w:after="120"/>
        <w:rPr>
          <w:sz w:val="22"/>
          <w:szCs w:val="22"/>
        </w:rPr>
      </w:pPr>
      <w:r>
        <w:rPr>
          <w:rStyle w:val="FootnoteReference"/>
          <w:sz w:val="22"/>
          <w:szCs w:val="22"/>
        </w:rPr>
        <w:footnoteRef/>
      </w:r>
      <w:r>
        <w:rPr>
          <w:sz w:val="22"/>
          <w:szCs w:val="22"/>
        </w:rPr>
        <w:tab/>
        <w:t xml:space="preserve"> This issue is discussed in Cooper et al. [11, pp. 15</w:t>
      </w:r>
      <w:r>
        <w:rPr>
          <w:sz w:val="22"/>
          <w:szCs w:val="22"/>
        </w:rPr>
        <w:sym w:font="Symbol" w:char="F02D"/>
      </w:r>
      <w:r>
        <w:rPr>
          <w:sz w:val="22"/>
          <w:szCs w:val="22"/>
        </w:rPr>
        <w:t xml:space="preserve">17], who remark (p. 15) that “the frontiers … in most real world data sets contain only the extreme efficient DMUs”.  </w:t>
      </w:r>
    </w:p>
  </w:footnote>
  <w:footnote w:id="18">
    <w:p w:rsidR="00DB7F48" w:rsidRDefault="00DB7F48">
      <w:pPr>
        <w:pStyle w:val="FootnoteText"/>
        <w:tabs>
          <w:tab w:val="left" w:pos="180"/>
        </w:tabs>
        <w:spacing w:after="120"/>
        <w:rPr>
          <w:sz w:val="22"/>
          <w:szCs w:val="22"/>
        </w:rPr>
      </w:pPr>
      <w:r>
        <w:rPr>
          <w:rStyle w:val="FootnoteReference"/>
          <w:sz w:val="22"/>
          <w:szCs w:val="22"/>
        </w:rPr>
        <w:footnoteRef/>
      </w:r>
      <w:r>
        <w:rPr>
          <w:sz w:val="22"/>
          <w:szCs w:val="22"/>
        </w:rPr>
        <w:tab/>
        <w:t xml:space="preserve"> For example, Y</w:t>
      </w:r>
      <w:r>
        <w:rPr>
          <w:sz w:val="22"/>
          <w:szCs w:val="22"/>
          <w:vertAlign w:val="subscript"/>
        </w:rPr>
        <w:t>82</w:t>
      </w:r>
      <w:r>
        <w:rPr>
          <w:sz w:val="22"/>
          <w:szCs w:val="22"/>
        </w:rPr>
        <w:t xml:space="preserve"> = αY</w:t>
      </w:r>
      <w:r>
        <w:rPr>
          <w:sz w:val="22"/>
          <w:szCs w:val="22"/>
          <w:vertAlign w:val="subscript"/>
        </w:rPr>
        <w:t>81</w:t>
      </w:r>
      <w:r>
        <w:rPr>
          <w:sz w:val="22"/>
          <w:szCs w:val="22"/>
        </w:rPr>
        <w:t xml:space="preserve"> + (1 </w:t>
      </w:r>
      <w:r>
        <w:rPr>
          <w:sz w:val="22"/>
          <w:szCs w:val="22"/>
        </w:rPr>
        <w:sym w:font="Symbol" w:char="F02D"/>
      </w:r>
      <w:r>
        <w:rPr>
          <w:sz w:val="22"/>
          <w:szCs w:val="22"/>
        </w:rPr>
        <w:t xml:space="preserve"> α)Y</w:t>
      </w:r>
      <w:r>
        <w:rPr>
          <w:sz w:val="22"/>
          <w:szCs w:val="22"/>
          <w:vertAlign w:val="subscript"/>
        </w:rPr>
        <w:t>83</w:t>
      </w:r>
      <w:r>
        <w:rPr>
          <w:sz w:val="22"/>
          <w:szCs w:val="22"/>
        </w:rPr>
        <w:t xml:space="preserve">, α </w:t>
      </w:r>
      <w:r>
        <w:rPr>
          <w:spacing w:val="-2"/>
          <w:sz w:val="22"/>
          <w:szCs w:val="22"/>
        </w:rPr>
        <w:t>≈</w:t>
      </w:r>
      <w:r>
        <w:rPr>
          <w:sz w:val="22"/>
          <w:szCs w:val="22"/>
        </w:rPr>
        <w:t xml:space="preserve"> 0.755.  Such cases can be identified by the fact that they do not have any other DMUs in their </w:t>
      </w:r>
      <w:smartTag w:uri="urn:schemas-microsoft-com:office:smarttags" w:element="stockticker">
        <w:r>
          <w:rPr>
            <w:sz w:val="22"/>
            <w:szCs w:val="22"/>
          </w:rPr>
          <w:t>BCC</w:t>
        </w:r>
      </w:smartTag>
      <w:r>
        <w:rPr>
          <w:sz w:val="22"/>
          <w:szCs w:val="22"/>
        </w:rPr>
        <w:t xml:space="preserve"> reference sets.</w:t>
      </w:r>
    </w:p>
  </w:footnote>
  <w:footnote w:id="19">
    <w:p w:rsidR="00DB7F48" w:rsidRDefault="00DB7F48">
      <w:pPr>
        <w:pStyle w:val="FootnoteText"/>
        <w:tabs>
          <w:tab w:val="left" w:pos="180"/>
        </w:tabs>
        <w:spacing w:after="120"/>
        <w:rPr>
          <w:sz w:val="22"/>
          <w:szCs w:val="22"/>
        </w:rPr>
      </w:pPr>
      <w:r>
        <w:rPr>
          <w:rStyle w:val="FootnoteReference"/>
          <w:sz w:val="22"/>
          <w:szCs w:val="22"/>
        </w:rPr>
        <w:footnoteRef/>
      </w:r>
      <w:r>
        <w:rPr>
          <w:sz w:val="22"/>
          <w:szCs w:val="22"/>
        </w:rPr>
        <w:tab/>
        <w:t xml:space="preserve"> Incorporating the second stage had the effect of lowering the labour congestion score from 0.003 to zero for textiles in 1993; for automobiles, this score fell from 0.224 to 0.219 in 1990, and from 0.008 to zero in 1996.</w:t>
      </w:r>
    </w:p>
  </w:footnote>
  <w:footnote w:id="20">
    <w:p w:rsidR="00DB7F48" w:rsidRDefault="00DB7F48">
      <w:pPr>
        <w:pStyle w:val="FootnoteText"/>
        <w:spacing w:after="120"/>
        <w:rPr>
          <w:sz w:val="22"/>
          <w:szCs w:val="22"/>
        </w:rPr>
      </w:pPr>
      <w:r>
        <w:rPr>
          <w:rStyle w:val="FootnoteReference"/>
          <w:sz w:val="22"/>
          <w:szCs w:val="22"/>
        </w:rPr>
        <w:footnoteRef/>
      </w:r>
      <w:r>
        <w:rPr>
          <w:sz w:val="22"/>
          <w:szCs w:val="22"/>
        </w:rPr>
        <w:t xml:space="preserve">  Cooper’s second-stage model is a typical linear programming problem.  So long as the data set is not too large, it can be solved by using MS Excel’s Solver.</w:t>
      </w:r>
    </w:p>
  </w:footnote>
  <w:footnote w:id="21">
    <w:p w:rsidR="00DB7F48" w:rsidRDefault="00DB7F48">
      <w:pPr>
        <w:pStyle w:val="FootnoteText"/>
        <w:tabs>
          <w:tab w:val="left" w:pos="180"/>
        </w:tabs>
        <w:spacing w:after="120"/>
        <w:rPr>
          <w:sz w:val="22"/>
          <w:szCs w:val="22"/>
        </w:rPr>
      </w:pPr>
      <w:r>
        <w:rPr>
          <w:rStyle w:val="FootnoteReference"/>
          <w:sz w:val="22"/>
          <w:szCs w:val="22"/>
        </w:rPr>
        <w:footnoteRef/>
      </w:r>
      <w:r>
        <w:rPr>
          <w:sz w:val="22"/>
          <w:szCs w:val="22"/>
        </w:rPr>
        <w:tab/>
        <w:t xml:space="preserve"> See [3] for a classic example of this approach.  For a recent example, see [27].</w:t>
      </w:r>
    </w:p>
  </w:footnote>
  <w:footnote w:id="22">
    <w:p w:rsidR="00DB7F48" w:rsidRDefault="00DB7F48">
      <w:pPr>
        <w:pStyle w:val="FootnoteText"/>
        <w:tabs>
          <w:tab w:val="left" w:pos="180"/>
        </w:tabs>
        <w:spacing w:after="120"/>
        <w:rPr>
          <w:sz w:val="22"/>
          <w:szCs w:val="22"/>
        </w:rPr>
      </w:pPr>
      <w:r>
        <w:rPr>
          <w:rStyle w:val="FootnoteReference"/>
          <w:sz w:val="22"/>
          <w:szCs w:val="22"/>
        </w:rPr>
        <w:footnoteRef/>
      </w:r>
      <w:r>
        <w:rPr>
          <w:sz w:val="22"/>
          <w:szCs w:val="22"/>
        </w:rPr>
        <w:tab/>
        <w:t xml:space="preserve"> We are grateful to </w:t>
      </w:r>
      <w:r>
        <w:rPr>
          <w:spacing w:val="-2"/>
          <w:sz w:val="22"/>
          <w:szCs w:val="22"/>
        </w:rPr>
        <w:t>Pontus Roos, of the</w:t>
      </w:r>
      <w:r>
        <w:rPr>
          <w:sz w:val="22"/>
          <w:szCs w:val="22"/>
        </w:rPr>
        <w:t xml:space="preserve"> </w:t>
      </w:r>
      <w:smartTag w:uri="urn:schemas-microsoft-com:office:smarttags" w:element="place">
        <w:smartTag w:uri="urn:schemas-microsoft-com:office:smarttags" w:element="PlaceType">
          <w:r>
            <w:rPr>
              <w:sz w:val="22"/>
              <w:szCs w:val="22"/>
            </w:rPr>
            <w:t>Institute</w:t>
          </w:r>
        </w:smartTag>
        <w:r>
          <w:rPr>
            <w:sz w:val="22"/>
            <w:szCs w:val="22"/>
          </w:rPr>
          <w:t xml:space="preserve"> of </w:t>
        </w:r>
        <w:smartTag w:uri="urn:schemas-microsoft-com:office:smarttags" w:element="PlaceName">
          <w:r>
            <w:rPr>
              <w:sz w:val="22"/>
              <w:szCs w:val="22"/>
            </w:rPr>
            <w:t>Applied Economics</w:t>
          </w:r>
        </w:smartTag>
      </w:smartTag>
      <w:r>
        <w:rPr>
          <w:spacing w:val="-2"/>
          <w:sz w:val="22"/>
          <w:szCs w:val="22"/>
        </w:rPr>
        <w:t xml:space="preserve"> in </w:t>
      </w:r>
      <w:smartTag w:uri="urn:schemas-microsoft-com:office:smarttags" w:element="country-region">
        <w:smartTag w:uri="urn:schemas-microsoft-com:office:smarttags" w:element="place">
          <w:r>
            <w:rPr>
              <w:spacing w:val="-2"/>
              <w:sz w:val="22"/>
              <w:szCs w:val="22"/>
            </w:rPr>
            <w:t>Sweden</w:t>
          </w:r>
        </w:smartTag>
      </w:smartTag>
      <w:r>
        <w:rPr>
          <w:spacing w:val="-2"/>
          <w:sz w:val="22"/>
          <w:szCs w:val="22"/>
        </w:rPr>
        <w:t>, for clarifying this issue for us.</w:t>
      </w:r>
    </w:p>
  </w:footnote>
  <w:footnote w:id="23">
    <w:p w:rsidR="00DB7F48" w:rsidRDefault="00DB7F48">
      <w:pPr>
        <w:pStyle w:val="FootnoteText"/>
        <w:tabs>
          <w:tab w:val="left" w:pos="180"/>
        </w:tabs>
        <w:rPr>
          <w:sz w:val="22"/>
          <w:szCs w:val="22"/>
        </w:rPr>
      </w:pPr>
      <w:r>
        <w:rPr>
          <w:rStyle w:val="FootnoteReference"/>
          <w:sz w:val="22"/>
          <w:szCs w:val="22"/>
        </w:rPr>
        <w:footnoteRef/>
      </w:r>
      <w:r>
        <w:rPr>
          <w:sz w:val="22"/>
          <w:szCs w:val="22"/>
        </w:rPr>
        <w:tab/>
        <w:t xml:space="preserve"> To illustrate, suppose that we were checking for capital congestion.  Model 1 would specify strong disposability for both K and L, whereas model 2 would specify strong disposability for L but weak for K.  If model 2 then gave a higher efficiency score, this would indicate that K was indeed congested.  See [28, p. 183] for a discussion of this approach.</w:t>
      </w:r>
    </w:p>
  </w:footnote>
  <w:footnote w:id="24">
    <w:p w:rsidR="00DB7F48" w:rsidRDefault="00DB7F48">
      <w:pPr>
        <w:pStyle w:val="FootnoteText"/>
        <w:tabs>
          <w:tab w:val="left" w:pos="180"/>
        </w:tabs>
        <w:rPr>
          <w:sz w:val="22"/>
          <w:szCs w:val="22"/>
        </w:rPr>
      </w:pPr>
      <w:r>
        <w:rPr>
          <w:rStyle w:val="FootnoteReference"/>
          <w:sz w:val="22"/>
          <w:szCs w:val="22"/>
        </w:rPr>
        <w:footnoteRef/>
      </w:r>
      <w:r>
        <w:rPr>
          <w:sz w:val="22"/>
          <w:szCs w:val="22"/>
        </w:rPr>
        <w:tab/>
        <w:t xml:space="preserve"> The congestion scores cannot exceed the reciprocals of the </w:t>
      </w:r>
      <w:smartTag w:uri="urn:schemas-microsoft-com:office:smarttags" w:element="stockticker">
        <w:r>
          <w:rPr>
            <w:sz w:val="22"/>
            <w:szCs w:val="22"/>
          </w:rPr>
          <w:t>BCC</w:t>
        </w:r>
      </w:smartTag>
      <w:r>
        <w:rPr>
          <w:sz w:val="22"/>
          <w:szCs w:val="22"/>
        </w:rPr>
        <w:t xml:space="preserve"> scores shown in Tables 1 and 2.</w:t>
      </w:r>
    </w:p>
  </w:footnote>
  <w:footnote w:id="25">
    <w:p w:rsidR="00DB7F48" w:rsidRDefault="00DB7F48">
      <w:pPr>
        <w:pStyle w:val="FootnoteText"/>
        <w:tabs>
          <w:tab w:val="left" w:pos="180"/>
        </w:tabs>
        <w:spacing w:after="120"/>
        <w:rPr>
          <w:sz w:val="22"/>
          <w:szCs w:val="22"/>
        </w:rPr>
      </w:pPr>
      <w:r>
        <w:rPr>
          <w:rStyle w:val="FootnoteReference"/>
          <w:sz w:val="22"/>
          <w:szCs w:val="22"/>
        </w:rPr>
        <w:footnoteRef/>
      </w:r>
      <w:r>
        <w:rPr>
          <w:sz w:val="22"/>
          <w:szCs w:val="22"/>
        </w:rPr>
        <w:tab/>
        <w:t xml:space="preserve"> We should note the observation by Färe and Grosskopf [16, pp. 32</w:t>
      </w:r>
      <w:r>
        <w:rPr>
          <w:sz w:val="22"/>
          <w:szCs w:val="22"/>
        </w:rPr>
        <w:sym w:font="Symbol" w:char="F02D"/>
      </w:r>
      <w:r>
        <w:rPr>
          <w:sz w:val="22"/>
          <w:szCs w:val="22"/>
        </w:rPr>
        <w:t>33] that, as compared with Cooper’s method, their own procedure would tend to yield a smaller amount of congestion.</w:t>
      </w:r>
    </w:p>
  </w:footnote>
  <w:footnote w:id="26">
    <w:p w:rsidR="00DB7F48" w:rsidRPr="006D77F9" w:rsidRDefault="00DB7F48" w:rsidP="006D77F9">
      <w:pPr>
        <w:pStyle w:val="FootnoteText"/>
        <w:tabs>
          <w:tab w:val="left" w:pos="180"/>
        </w:tabs>
        <w:spacing w:after="120"/>
        <w:rPr>
          <w:sz w:val="22"/>
          <w:szCs w:val="22"/>
        </w:rPr>
      </w:pPr>
      <w:r w:rsidRPr="006D77F9">
        <w:rPr>
          <w:rStyle w:val="FootnoteReference"/>
          <w:sz w:val="22"/>
          <w:szCs w:val="22"/>
        </w:rPr>
        <w:footnoteRef/>
      </w:r>
      <w:r>
        <w:rPr>
          <w:sz w:val="22"/>
          <w:szCs w:val="22"/>
        </w:rPr>
        <w:tab/>
        <w:t xml:space="preserve"> For some more discussion of the implications of using VRS rather than </w:t>
      </w:r>
      <w:smartTag w:uri="urn:schemas-microsoft-com:office:smarttags" w:element="stockticker">
        <w:r>
          <w:rPr>
            <w:sz w:val="22"/>
            <w:szCs w:val="22"/>
          </w:rPr>
          <w:t>CRS</w:t>
        </w:r>
      </w:smartTag>
      <w:r>
        <w:rPr>
          <w:sz w:val="22"/>
          <w:szCs w:val="22"/>
        </w:rPr>
        <w:t>, see [23] and [25].</w:t>
      </w:r>
    </w:p>
  </w:footnote>
  <w:footnote w:id="27">
    <w:p w:rsidR="00DB7F48" w:rsidRDefault="00DB7F48" w:rsidP="006D77F9">
      <w:pPr>
        <w:pStyle w:val="FootnoteText"/>
        <w:tabs>
          <w:tab w:val="left" w:pos="180"/>
        </w:tabs>
        <w:rPr>
          <w:sz w:val="22"/>
          <w:szCs w:val="22"/>
        </w:rPr>
      </w:pPr>
      <w:r>
        <w:rPr>
          <w:rStyle w:val="FootnoteReference"/>
          <w:sz w:val="22"/>
          <w:szCs w:val="22"/>
        </w:rPr>
        <w:footnoteRef/>
      </w:r>
      <w:r>
        <w:rPr>
          <w:sz w:val="22"/>
          <w:szCs w:val="22"/>
        </w:rPr>
        <w:tab/>
        <w:t xml:space="preserve"> Indeed, </w:t>
      </w:r>
      <w:r>
        <w:rPr>
          <w:spacing w:val="-2"/>
          <w:sz w:val="22"/>
          <w:szCs w:val="22"/>
        </w:rPr>
        <w:t>Cooper et al. [11] found that using the second stage made no difference to their results.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E1687"/>
    <w:multiLevelType w:val="hybridMultilevel"/>
    <w:tmpl w:val="E80EFF4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705157"/>
    <w:multiLevelType w:val="hybridMultilevel"/>
    <w:tmpl w:val="E53827C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DD80115"/>
    <w:multiLevelType w:val="hybridMultilevel"/>
    <w:tmpl w:val="7696B81E"/>
    <w:lvl w:ilvl="0" w:tplc="04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nsid w:val="6B5205BF"/>
    <w:multiLevelType w:val="hybridMultilevel"/>
    <w:tmpl w:val="1D9AE3D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705E0A59"/>
    <w:multiLevelType w:val="hybridMultilevel"/>
    <w:tmpl w:val="598CC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4814B6B"/>
    <w:multiLevelType w:val="hybridMultilevel"/>
    <w:tmpl w:val="2794B6F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40113"/>
    <w:rsid w:val="0008693B"/>
    <w:rsid w:val="000A4B21"/>
    <w:rsid w:val="000E2B41"/>
    <w:rsid w:val="00173179"/>
    <w:rsid w:val="001973A5"/>
    <w:rsid w:val="001B36C5"/>
    <w:rsid w:val="00241BA1"/>
    <w:rsid w:val="00283DB7"/>
    <w:rsid w:val="00331773"/>
    <w:rsid w:val="00356219"/>
    <w:rsid w:val="003F59E6"/>
    <w:rsid w:val="003F79D3"/>
    <w:rsid w:val="004021E7"/>
    <w:rsid w:val="00406B2B"/>
    <w:rsid w:val="00421832"/>
    <w:rsid w:val="00440113"/>
    <w:rsid w:val="00467792"/>
    <w:rsid w:val="0047363F"/>
    <w:rsid w:val="00496559"/>
    <w:rsid w:val="004D50A1"/>
    <w:rsid w:val="004F6AFD"/>
    <w:rsid w:val="00556FB6"/>
    <w:rsid w:val="005C3B84"/>
    <w:rsid w:val="006D6218"/>
    <w:rsid w:val="006D77F9"/>
    <w:rsid w:val="006E121F"/>
    <w:rsid w:val="007E1A4E"/>
    <w:rsid w:val="007E5699"/>
    <w:rsid w:val="00842387"/>
    <w:rsid w:val="00855896"/>
    <w:rsid w:val="00861573"/>
    <w:rsid w:val="00886AEB"/>
    <w:rsid w:val="0089147D"/>
    <w:rsid w:val="008A54C4"/>
    <w:rsid w:val="008B6D8F"/>
    <w:rsid w:val="008C03A1"/>
    <w:rsid w:val="00926F3D"/>
    <w:rsid w:val="00971A6D"/>
    <w:rsid w:val="009C1FD6"/>
    <w:rsid w:val="00A2330F"/>
    <w:rsid w:val="00A44B73"/>
    <w:rsid w:val="00A541F8"/>
    <w:rsid w:val="00A732AB"/>
    <w:rsid w:val="00A84AB8"/>
    <w:rsid w:val="00A96141"/>
    <w:rsid w:val="00AA6ACF"/>
    <w:rsid w:val="00AD34E4"/>
    <w:rsid w:val="00B139CB"/>
    <w:rsid w:val="00B8510D"/>
    <w:rsid w:val="00BD2F2F"/>
    <w:rsid w:val="00C02388"/>
    <w:rsid w:val="00C04164"/>
    <w:rsid w:val="00C36CF4"/>
    <w:rsid w:val="00C62281"/>
    <w:rsid w:val="00C9022C"/>
    <w:rsid w:val="00CD5995"/>
    <w:rsid w:val="00D14964"/>
    <w:rsid w:val="00D46939"/>
    <w:rsid w:val="00DA545A"/>
    <w:rsid w:val="00DB7F48"/>
    <w:rsid w:val="00E309CB"/>
    <w:rsid w:val="00E4409E"/>
    <w:rsid w:val="00E92239"/>
    <w:rsid w:val="00F22FC9"/>
    <w:rsid w:val="00FC0964"/>
    <w:rsid w:val="00FC295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time"/>
  <w:smartTagType w:namespaceuri="urn:schemas-microsoft-com:office:smarttags" w:name="stockticker"/>
  <w:smartTagType w:namespaceuri="urn:schemas-microsoft-com:office:smarttags" w:name="addres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szCs w:val="24"/>
      <w:lang w:eastAsia="en-US"/>
    </w:rPr>
  </w:style>
  <w:style w:type="paragraph" w:styleId="Heading1">
    <w:name w:val="heading 1"/>
    <w:basedOn w:val="Normal"/>
    <w:next w:val="Normal"/>
    <w:qFormat/>
    <w:pPr>
      <w:keepNext/>
      <w:keepLines/>
      <w:widowControl w:val="0"/>
      <w:tabs>
        <w:tab w:val="left" w:pos="-720"/>
      </w:tabs>
      <w:suppressAutoHyphens/>
      <w:autoSpaceDE w:val="0"/>
      <w:autoSpaceDN w:val="0"/>
      <w:adjustRightInd w:val="0"/>
      <w:spacing w:line="240" w:lineRule="atLeast"/>
      <w:jc w:val="left"/>
      <w:outlineLvl w:val="0"/>
    </w:pPr>
    <w:rPr>
      <w:rFonts w:ascii="Arial" w:hAnsi="Arial" w:cs="Arial"/>
      <w:b/>
      <w:bCs/>
      <w:sz w:val="28"/>
      <w:szCs w:val="28"/>
      <w:lang w:val="en-US"/>
    </w:rPr>
  </w:style>
  <w:style w:type="paragraph" w:styleId="Heading2">
    <w:name w:val="heading 2"/>
    <w:basedOn w:val="Normal"/>
    <w:next w:val="Normal"/>
    <w:qFormat/>
    <w:pPr>
      <w:keepNext/>
      <w:keepLines/>
      <w:widowControl w:val="0"/>
      <w:tabs>
        <w:tab w:val="left" w:pos="0"/>
      </w:tabs>
      <w:suppressAutoHyphens/>
      <w:autoSpaceDE w:val="0"/>
      <w:autoSpaceDN w:val="0"/>
      <w:adjustRightInd w:val="0"/>
      <w:spacing w:line="240" w:lineRule="atLeast"/>
      <w:outlineLvl w:val="1"/>
    </w:pPr>
    <w:rPr>
      <w:b/>
      <w:bCs/>
      <w:spacing w:val="-3"/>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Caption">
    <w:name w:val="caption"/>
    <w:basedOn w:val="Normal"/>
    <w:next w:val="Normal"/>
    <w:qFormat/>
    <w:pPr>
      <w:widowControl w:val="0"/>
      <w:autoSpaceDE w:val="0"/>
      <w:autoSpaceDN w:val="0"/>
      <w:adjustRightInd w:val="0"/>
      <w:jc w:val="left"/>
    </w:pPr>
    <w:rPr>
      <w:rFonts w:ascii="Courier New" w:hAnsi="Courier New"/>
      <w:sz w:val="20"/>
      <w:lang w:val="en-US"/>
    </w:rPr>
  </w:style>
  <w:style w:type="paragraph" w:customStyle="1" w:styleId="Bodytext">
    <w:name w:val="Body text"/>
    <w:pPr>
      <w:jc w:val="both"/>
    </w:pPr>
    <w:rPr>
      <w:color w:val="000000"/>
      <w:sz w:val="24"/>
      <w:lang w:eastAsia="en-US"/>
    </w:rPr>
  </w:style>
  <w:style w:type="paragraph" w:customStyle="1" w:styleId="Subhead3">
    <w:name w:val="Subhead 3"/>
    <w:pPr>
      <w:widowControl w:val="0"/>
      <w:tabs>
        <w:tab w:val="left" w:pos="-720"/>
      </w:tabs>
      <w:suppressAutoHyphens/>
      <w:autoSpaceDE w:val="0"/>
      <w:autoSpaceDN w:val="0"/>
      <w:adjustRightInd w:val="0"/>
      <w:spacing w:line="240" w:lineRule="atLeast"/>
    </w:pPr>
    <w:rPr>
      <w:b/>
      <w:bCs/>
      <w:sz w:val="28"/>
      <w:szCs w:val="28"/>
      <w:lang w:eastAsia="en-US"/>
    </w:rPr>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Allen@uwe.ac.uk" TargetMode="External"/><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hyperlink" Target="mailto:Tony.Flegg@uwe.ac.uk" TargetMode="External"/><Relationship Id="rId12" Type="http://schemas.openxmlformats.org/officeDocument/2006/relationships/hyperlink" Target="http://www.emq.com" TargetMode="External"/><Relationship Id="rId17" Type="http://schemas.openxmlformats.org/officeDocument/2006/relationships/image" Target="media/image5.wmf"/><Relationship Id="rId25" Type="http://schemas.openxmlformats.org/officeDocument/2006/relationships/image" Target="media/image10.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emf"/><Relationship Id="rId28" Type="http://schemas.openxmlformats.org/officeDocument/2006/relationships/image" Target="media/image13.emf"/><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em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42</Pages>
  <Words>9019</Words>
  <Characters>51409</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E101 FORMULA SHEET: AUTUMN TERM</vt:lpstr>
    </vt:vector>
  </TitlesOfParts>
  <Company/>
  <LinksUpToDate>false</LinksUpToDate>
  <CharactersWithSpaces>60308</CharactersWithSpaces>
  <SharedDoc>false</SharedDoc>
  <HLinks>
    <vt:vector size="18" baseType="variant">
      <vt:variant>
        <vt:i4>3211388</vt:i4>
      </vt:variant>
      <vt:variant>
        <vt:i4>9</vt:i4>
      </vt:variant>
      <vt:variant>
        <vt:i4>0</vt:i4>
      </vt:variant>
      <vt:variant>
        <vt:i4>5</vt:i4>
      </vt:variant>
      <vt:variant>
        <vt:lpwstr>http://www.emq.com/</vt:lpwstr>
      </vt:variant>
      <vt:variant>
        <vt:lpwstr/>
      </vt:variant>
      <vt:variant>
        <vt:i4>4391018</vt:i4>
      </vt:variant>
      <vt:variant>
        <vt:i4>3</vt:i4>
      </vt:variant>
      <vt:variant>
        <vt:i4>0</vt:i4>
      </vt:variant>
      <vt:variant>
        <vt:i4>5</vt:i4>
      </vt:variant>
      <vt:variant>
        <vt:lpwstr>mailto:David.Allen@uwe.ac.uk</vt:lpwstr>
      </vt:variant>
      <vt:variant>
        <vt:lpwstr/>
      </vt:variant>
      <vt:variant>
        <vt:i4>5374055</vt:i4>
      </vt:variant>
      <vt:variant>
        <vt:i4>0</vt:i4>
      </vt:variant>
      <vt:variant>
        <vt:i4>0</vt:i4>
      </vt:variant>
      <vt:variant>
        <vt:i4>5</vt:i4>
      </vt:variant>
      <vt:variant>
        <vt:lpwstr>mailto:Tony.Flegg@uwe.ac.uk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E101 FORMULA SHEET: AUTUMN TERM</dc:title>
  <dc:subject/>
  <dc:creator>Mr Flegg</dc:creator>
  <cp:keywords/>
  <dc:description/>
  <cp:lastModifiedBy>Anna Lawson</cp:lastModifiedBy>
  <cp:revision>2</cp:revision>
  <cp:lastPrinted>2008-07-12T08:37:00Z</cp:lastPrinted>
  <dcterms:created xsi:type="dcterms:W3CDTF">2010-09-28T14:56:00Z</dcterms:created>
  <dcterms:modified xsi:type="dcterms:W3CDTF">2010-09-28T14:56:00Z</dcterms:modified>
</cp:coreProperties>
</file>