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8F" w:rsidRDefault="00F8784A" w:rsidP="003160BA">
      <w:pPr>
        <w:spacing w:line="360" w:lineRule="auto"/>
        <w:jc w:val="both"/>
        <w:rPr>
          <w:rFonts w:ascii="Arial" w:hAnsi="Arial" w:cs="Arial"/>
          <w:sz w:val="24"/>
          <w:szCs w:val="24"/>
        </w:rPr>
      </w:pPr>
      <w:r w:rsidRPr="00F8784A">
        <w:rPr>
          <w:rFonts w:ascii="Arial" w:hAnsi="Arial" w:cs="Arial"/>
          <w:b/>
          <w:sz w:val="24"/>
          <w:szCs w:val="24"/>
          <w:u w:val="single"/>
        </w:rPr>
        <w:t xml:space="preserve">DISCRIMINATION IN THE ARMED FORCES: 10 YEARS ON FROM THE ABOLITION OF THE BAN ON HOMOSEXUALS SERVING IN THE </w:t>
      </w:r>
      <w:r w:rsidR="00103AE5">
        <w:rPr>
          <w:rFonts w:ascii="Arial" w:hAnsi="Arial" w:cs="Arial"/>
          <w:b/>
          <w:sz w:val="24"/>
          <w:szCs w:val="24"/>
          <w:u w:val="single"/>
        </w:rPr>
        <w:t xml:space="preserve">UK </w:t>
      </w:r>
      <w:r w:rsidRPr="00F8784A">
        <w:rPr>
          <w:rFonts w:ascii="Arial" w:hAnsi="Arial" w:cs="Arial"/>
          <w:b/>
          <w:sz w:val="24"/>
          <w:szCs w:val="24"/>
          <w:u w:val="single"/>
        </w:rPr>
        <w:t>MILITARY</w:t>
      </w:r>
    </w:p>
    <w:p w:rsidR="001A758F" w:rsidRDefault="001A758F" w:rsidP="003160BA">
      <w:pPr>
        <w:spacing w:line="360" w:lineRule="auto"/>
        <w:jc w:val="both"/>
        <w:rPr>
          <w:rFonts w:ascii="Arial" w:hAnsi="Arial" w:cs="Arial"/>
          <w:sz w:val="24"/>
          <w:szCs w:val="24"/>
        </w:rPr>
      </w:pPr>
    </w:p>
    <w:p w:rsidR="001A758F" w:rsidRDefault="00904C32" w:rsidP="003160BA">
      <w:pPr>
        <w:spacing w:line="360" w:lineRule="auto"/>
        <w:jc w:val="both"/>
        <w:rPr>
          <w:rFonts w:ascii="Arial" w:hAnsi="Arial" w:cs="Arial"/>
          <w:sz w:val="24"/>
          <w:szCs w:val="24"/>
        </w:rPr>
      </w:pPr>
      <w:r>
        <w:rPr>
          <w:rFonts w:ascii="Arial" w:hAnsi="Arial" w:cs="Arial"/>
          <w:sz w:val="24"/>
          <w:szCs w:val="24"/>
          <w:u w:val="single"/>
        </w:rPr>
        <w:t>INTRODUCTION</w:t>
      </w:r>
    </w:p>
    <w:p w:rsidR="00904C32" w:rsidRDefault="00904C32" w:rsidP="003160BA">
      <w:pPr>
        <w:spacing w:line="360" w:lineRule="auto"/>
        <w:jc w:val="both"/>
        <w:rPr>
          <w:rFonts w:ascii="Arial" w:hAnsi="Arial" w:cs="Arial"/>
          <w:sz w:val="24"/>
          <w:szCs w:val="24"/>
        </w:rPr>
      </w:pPr>
    </w:p>
    <w:p w:rsidR="00904C32" w:rsidRDefault="00904C32" w:rsidP="00941954">
      <w:pPr>
        <w:spacing w:line="360" w:lineRule="auto"/>
        <w:jc w:val="both"/>
        <w:rPr>
          <w:rFonts w:ascii="Arial" w:hAnsi="Arial" w:cs="Arial"/>
          <w:sz w:val="24"/>
          <w:szCs w:val="24"/>
          <w:lang w:val="en-US"/>
        </w:rPr>
      </w:pPr>
      <w:r>
        <w:rPr>
          <w:rFonts w:ascii="Arial" w:hAnsi="Arial" w:cs="Arial"/>
          <w:sz w:val="24"/>
          <w:szCs w:val="24"/>
        </w:rPr>
        <w:t>2000 was a monumental year for human rights law. Most people consider that statement to refer to the Human Rights Act 1998 coming into force</w:t>
      </w:r>
      <w:r w:rsidR="00E45D87">
        <w:rPr>
          <w:rStyle w:val="FootnoteReference"/>
          <w:rFonts w:ascii="Arial" w:hAnsi="Arial" w:cs="Arial"/>
          <w:sz w:val="24"/>
          <w:szCs w:val="24"/>
        </w:rPr>
        <w:footnoteReference w:id="1"/>
      </w:r>
      <w:r>
        <w:rPr>
          <w:rFonts w:ascii="Arial" w:hAnsi="Arial" w:cs="Arial"/>
          <w:sz w:val="24"/>
          <w:szCs w:val="24"/>
        </w:rPr>
        <w:t>. However, for the UK Armed Forces probably the most significant human rights act was the Secretary of State for Defence’s statement</w:t>
      </w:r>
      <w:r w:rsidR="00941954">
        <w:rPr>
          <w:rFonts w:ascii="Arial" w:hAnsi="Arial" w:cs="Arial"/>
          <w:sz w:val="24"/>
          <w:szCs w:val="24"/>
        </w:rPr>
        <w:t xml:space="preserve"> to the House of Commons that the ban on homosexuals serving in the military would be lifted</w:t>
      </w:r>
      <w:r w:rsidR="00E45D87">
        <w:rPr>
          <w:rStyle w:val="FootnoteReference"/>
          <w:rFonts w:ascii="Arial" w:hAnsi="Arial" w:cs="Arial"/>
          <w:sz w:val="24"/>
          <w:szCs w:val="24"/>
        </w:rPr>
        <w:footnoteReference w:id="2"/>
      </w:r>
      <w:r w:rsidR="00941954">
        <w:rPr>
          <w:rFonts w:ascii="Arial" w:hAnsi="Arial" w:cs="Arial"/>
          <w:sz w:val="24"/>
          <w:szCs w:val="24"/>
        </w:rPr>
        <w:t>. This paper will examine the position of the Armed Forces within society, the so-called civil-military relationship</w:t>
      </w:r>
      <w:r w:rsidR="00E45D87">
        <w:rPr>
          <w:rFonts w:ascii="Arial" w:hAnsi="Arial" w:cs="Arial"/>
          <w:sz w:val="24"/>
          <w:szCs w:val="24"/>
        </w:rPr>
        <w:t xml:space="preserve">, and </w:t>
      </w:r>
      <w:r w:rsidR="000E707F">
        <w:rPr>
          <w:rFonts w:ascii="Arial" w:hAnsi="Arial" w:cs="Arial"/>
          <w:sz w:val="24"/>
          <w:szCs w:val="24"/>
        </w:rPr>
        <w:t>analyse</w:t>
      </w:r>
      <w:r w:rsidR="00E45D87">
        <w:rPr>
          <w:rFonts w:ascii="Arial" w:hAnsi="Arial" w:cs="Arial"/>
          <w:sz w:val="24"/>
          <w:szCs w:val="24"/>
        </w:rPr>
        <w:t xml:space="preserve"> this from a legal perspective. </w:t>
      </w:r>
      <w:r w:rsidR="00E45D87">
        <w:rPr>
          <w:rFonts w:ascii="Arial" w:hAnsi="Arial" w:cs="Arial"/>
          <w:sz w:val="24"/>
          <w:szCs w:val="24"/>
          <w:lang w:val="en-US"/>
        </w:rPr>
        <w:t xml:space="preserve">Whilst acknowledging the hierarchical nature of military life, different discrimination on the basis of an individual’s characteristics will be critically examined to determine acceptable behaviour on the part of military personnel and military institutions. Finally recommendations will be </w:t>
      </w:r>
      <w:proofErr w:type="gramStart"/>
      <w:r w:rsidR="00E45D87">
        <w:rPr>
          <w:rFonts w:ascii="Arial" w:hAnsi="Arial" w:cs="Arial"/>
          <w:sz w:val="24"/>
          <w:szCs w:val="24"/>
          <w:lang w:val="en-US"/>
        </w:rPr>
        <w:t>advanced</w:t>
      </w:r>
      <w:proofErr w:type="gramEnd"/>
      <w:r w:rsidR="00E45D87">
        <w:rPr>
          <w:rFonts w:ascii="Arial" w:hAnsi="Arial" w:cs="Arial"/>
          <w:sz w:val="24"/>
          <w:szCs w:val="24"/>
          <w:lang w:val="en-US"/>
        </w:rPr>
        <w:t xml:space="preserve"> for confronting</w:t>
      </w:r>
      <w:r w:rsidR="00E45D87" w:rsidRPr="00F8784A">
        <w:rPr>
          <w:rFonts w:ascii="Arial" w:hAnsi="Arial" w:cs="Arial"/>
          <w:sz w:val="24"/>
          <w:szCs w:val="24"/>
          <w:lang w:val="en-US"/>
        </w:rPr>
        <w:t xml:space="preserve"> any further problems </w:t>
      </w:r>
      <w:r w:rsidR="00E45D87">
        <w:rPr>
          <w:rFonts w:ascii="Arial" w:hAnsi="Arial" w:cs="Arial"/>
          <w:sz w:val="24"/>
          <w:szCs w:val="24"/>
          <w:lang w:val="en-US"/>
        </w:rPr>
        <w:t>that may continue to exist</w:t>
      </w:r>
      <w:r w:rsidR="00E45D87" w:rsidRPr="00F8784A">
        <w:rPr>
          <w:rFonts w:ascii="Arial" w:hAnsi="Arial" w:cs="Arial"/>
          <w:sz w:val="24"/>
          <w:szCs w:val="24"/>
          <w:lang w:val="en-US"/>
        </w:rPr>
        <w:t xml:space="preserve"> with discrimination and the </w:t>
      </w:r>
      <w:r w:rsidR="00E45D87">
        <w:rPr>
          <w:rFonts w:ascii="Arial" w:hAnsi="Arial" w:cs="Arial"/>
          <w:sz w:val="24"/>
          <w:szCs w:val="24"/>
          <w:lang w:val="en-US"/>
        </w:rPr>
        <w:t xml:space="preserve">UK </w:t>
      </w:r>
      <w:r w:rsidR="00E45D87" w:rsidRPr="00F8784A">
        <w:rPr>
          <w:rFonts w:ascii="Arial" w:hAnsi="Arial" w:cs="Arial"/>
          <w:sz w:val="24"/>
          <w:szCs w:val="24"/>
          <w:lang w:val="en-US"/>
        </w:rPr>
        <w:t>military</w:t>
      </w:r>
      <w:r w:rsidR="00E45D87">
        <w:rPr>
          <w:rFonts w:ascii="Arial" w:hAnsi="Arial" w:cs="Arial"/>
          <w:sz w:val="24"/>
          <w:szCs w:val="24"/>
          <w:lang w:val="en-US"/>
        </w:rPr>
        <w:t xml:space="preserve"> that could provide a model for other nations’ armed forces</w:t>
      </w:r>
      <w:r w:rsidR="00E45D87" w:rsidRPr="00F8784A">
        <w:rPr>
          <w:rFonts w:ascii="Arial" w:hAnsi="Arial" w:cs="Arial"/>
          <w:sz w:val="24"/>
          <w:szCs w:val="24"/>
          <w:lang w:val="en-US"/>
        </w:rPr>
        <w:t>.</w:t>
      </w:r>
    </w:p>
    <w:p w:rsidR="00E45D87" w:rsidRDefault="00E45D87" w:rsidP="00941954">
      <w:pPr>
        <w:spacing w:line="360" w:lineRule="auto"/>
        <w:jc w:val="both"/>
        <w:rPr>
          <w:rFonts w:ascii="Arial" w:hAnsi="Arial" w:cs="Arial"/>
          <w:sz w:val="24"/>
          <w:szCs w:val="24"/>
          <w:lang w:val="en-US"/>
        </w:rPr>
      </w:pPr>
    </w:p>
    <w:p w:rsidR="00E45D87" w:rsidRDefault="00E45D87" w:rsidP="00941954">
      <w:pPr>
        <w:spacing w:line="360" w:lineRule="auto"/>
        <w:jc w:val="both"/>
        <w:rPr>
          <w:rFonts w:ascii="Arial" w:hAnsi="Arial" w:cs="Arial"/>
          <w:sz w:val="24"/>
          <w:szCs w:val="24"/>
          <w:lang w:val="en-US"/>
        </w:rPr>
      </w:pPr>
      <w:r>
        <w:rPr>
          <w:rFonts w:ascii="Arial" w:hAnsi="Arial" w:cs="Arial"/>
          <w:sz w:val="24"/>
          <w:szCs w:val="24"/>
          <w:u w:val="single"/>
          <w:lang w:val="en-US"/>
        </w:rPr>
        <w:t>CIVIL-MILITARY RELATIONSHIP</w:t>
      </w:r>
    </w:p>
    <w:p w:rsidR="00E45D87" w:rsidRDefault="00E45D87" w:rsidP="00941954">
      <w:pPr>
        <w:spacing w:line="360" w:lineRule="auto"/>
        <w:jc w:val="both"/>
        <w:rPr>
          <w:rFonts w:ascii="Arial" w:hAnsi="Arial" w:cs="Arial"/>
          <w:sz w:val="24"/>
          <w:szCs w:val="24"/>
          <w:lang w:val="en-US"/>
        </w:rPr>
      </w:pPr>
    </w:p>
    <w:p w:rsidR="00E45D87" w:rsidRDefault="00CC1D62" w:rsidP="00941954">
      <w:pPr>
        <w:spacing w:line="360" w:lineRule="auto"/>
        <w:jc w:val="both"/>
        <w:rPr>
          <w:rFonts w:ascii="Arial" w:hAnsi="Arial" w:cs="Arial"/>
          <w:sz w:val="24"/>
          <w:szCs w:val="24"/>
        </w:rPr>
      </w:pPr>
      <w:r>
        <w:rPr>
          <w:rFonts w:ascii="Arial" w:hAnsi="Arial" w:cs="Arial"/>
          <w:sz w:val="24"/>
          <w:szCs w:val="24"/>
        </w:rPr>
        <w:t>There has been much written about the civil-military relationship</w:t>
      </w:r>
      <w:r w:rsidR="00AA76DD">
        <w:rPr>
          <w:rStyle w:val="FootnoteReference"/>
          <w:rFonts w:ascii="Arial" w:hAnsi="Arial" w:cs="Arial"/>
          <w:sz w:val="24"/>
          <w:szCs w:val="24"/>
        </w:rPr>
        <w:footnoteReference w:id="3"/>
      </w:r>
      <w:r>
        <w:rPr>
          <w:rFonts w:ascii="Arial" w:hAnsi="Arial" w:cs="Arial"/>
          <w:sz w:val="24"/>
          <w:szCs w:val="24"/>
        </w:rPr>
        <w:t xml:space="preserve"> that has focused </w:t>
      </w:r>
      <w:r w:rsidR="00EB29F8">
        <w:rPr>
          <w:rFonts w:ascii="Arial" w:hAnsi="Arial" w:cs="Arial"/>
          <w:sz w:val="24"/>
          <w:szCs w:val="24"/>
        </w:rPr>
        <w:t xml:space="preserve">predominantly </w:t>
      </w:r>
      <w:r>
        <w:rPr>
          <w:rFonts w:ascii="Arial" w:hAnsi="Arial" w:cs="Arial"/>
          <w:sz w:val="24"/>
          <w:szCs w:val="24"/>
        </w:rPr>
        <w:t xml:space="preserve">on the US military. </w:t>
      </w:r>
      <w:r w:rsidR="00AA76DD">
        <w:rPr>
          <w:rFonts w:ascii="Arial" w:hAnsi="Arial" w:cs="Arial"/>
          <w:sz w:val="24"/>
          <w:szCs w:val="24"/>
        </w:rPr>
        <w:t xml:space="preserve">The debate in the US has mainly been led by political scientists and sociologists. On the political science side the examination has centred on political institutions, the relationship between the civilian political </w:t>
      </w:r>
      <w:r w:rsidR="00AA76DD">
        <w:rPr>
          <w:rFonts w:ascii="Arial" w:hAnsi="Arial" w:cs="Arial"/>
          <w:sz w:val="24"/>
          <w:szCs w:val="24"/>
        </w:rPr>
        <w:lastRenderedPageBreak/>
        <w:t>machinery and the military and the democratic control of the military.</w:t>
      </w:r>
      <w:r w:rsidR="006D1A4A">
        <w:rPr>
          <w:rFonts w:ascii="Arial" w:hAnsi="Arial" w:cs="Arial"/>
          <w:sz w:val="24"/>
          <w:szCs w:val="24"/>
        </w:rPr>
        <w:t xml:space="preserve"> The two sides of the debate are exemplified by Huntington</w:t>
      </w:r>
      <w:r w:rsidR="00895DB8">
        <w:rPr>
          <w:rStyle w:val="FootnoteReference"/>
          <w:rFonts w:ascii="Arial" w:hAnsi="Arial" w:cs="Arial"/>
          <w:sz w:val="24"/>
          <w:szCs w:val="24"/>
        </w:rPr>
        <w:footnoteReference w:id="4"/>
      </w:r>
      <w:r w:rsidR="006D1A4A">
        <w:rPr>
          <w:rFonts w:ascii="Arial" w:hAnsi="Arial" w:cs="Arial"/>
          <w:sz w:val="24"/>
          <w:szCs w:val="24"/>
        </w:rPr>
        <w:t xml:space="preserve"> and Feaver</w:t>
      </w:r>
      <w:r w:rsidR="0030016C">
        <w:rPr>
          <w:rStyle w:val="FootnoteReference"/>
          <w:rFonts w:ascii="Arial" w:hAnsi="Arial" w:cs="Arial"/>
          <w:sz w:val="24"/>
          <w:szCs w:val="24"/>
        </w:rPr>
        <w:footnoteReference w:id="5"/>
      </w:r>
      <w:r w:rsidR="006D1A4A">
        <w:rPr>
          <w:rFonts w:ascii="Arial" w:hAnsi="Arial" w:cs="Arial"/>
          <w:sz w:val="24"/>
          <w:szCs w:val="24"/>
        </w:rPr>
        <w:t xml:space="preserve">. Huntington focused on the professional officer corps and concluded that </w:t>
      </w:r>
      <w:r w:rsidR="00895DB8">
        <w:rPr>
          <w:rFonts w:ascii="Arial" w:hAnsi="Arial" w:cs="Arial"/>
          <w:sz w:val="24"/>
          <w:szCs w:val="24"/>
        </w:rPr>
        <w:t xml:space="preserve">“the optimal balance between the functional imperative (military effectiveness) and the societal imperative (responsiveness) is achieved </w:t>
      </w:r>
      <w:r w:rsidR="00A47EEA">
        <w:rPr>
          <w:rFonts w:ascii="Arial" w:hAnsi="Arial" w:cs="Arial"/>
          <w:sz w:val="24"/>
          <w:szCs w:val="24"/>
        </w:rPr>
        <w:t xml:space="preserve">– contrary to conventional belief – </w:t>
      </w:r>
      <w:r w:rsidR="00895DB8">
        <w:rPr>
          <w:rFonts w:ascii="Arial" w:hAnsi="Arial" w:cs="Arial"/>
          <w:sz w:val="24"/>
          <w:szCs w:val="24"/>
        </w:rPr>
        <w:t>not when the officer corps is forced to incorporate civilian values as the price of the authority and influence it requires to fulfil its duties (“subjective civilian control”</w:t>
      </w:r>
      <w:r w:rsidR="0011544A">
        <w:rPr>
          <w:rStyle w:val="FootnoteReference"/>
          <w:rFonts w:ascii="Arial" w:hAnsi="Arial" w:cs="Arial"/>
          <w:sz w:val="24"/>
          <w:szCs w:val="24"/>
        </w:rPr>
        <w:footnoteReference w:id="6"/>
      </w:r>
      <w:r w:rsidR="00895DB8">
        <w:rPr>
          <w:rFonts w:ascii="Arial" w:hAnsi="Arial" w:cs="Arial"/>
          <w:sz w:val="24"/>
          <w:szCs w:val="24"/>
        </w:rPr>
        <w:t>), but when it is allowed to be fully professional (“objective civilian control”</w:t>
      </w:r>
      <w:r w:rsidR="00A47EEA">
        <w:rPr>
          <w:rStyle w:val="FootnoteReference"/>
          <w:rFonts w:ascii="Arial" w:hAnsi="Arial" w:cs="Arial"/>
          <w:sz w:val="24"/>
          <w:szCs w:val="24"/>
        </w:rPr>
        <w:footnoteReference w:id="7"/>
      </w:r>
      <w:r w:rsidR="00895DB8">
        <w:rPr>
          <w:rFonts w:ascii="Arial" w:hAnsi="Arial" w:cs="Arial"/>
          <w:sz w:val="24"/>
          <w:szCs w:val="24"/>
        </w:rPr>
        <w:t>)”</w:t>
      </w:r>
      <w:r w:rsidR="00895DB8">
        <w:rPr>
          <w:rStyle w:val="FootnoteReference"/>
          <w:rFonts w:ascii="Arial" w:hAnsi="Arial" w:cs="Arial"/>
          <w:sz w:val="24"/>
          <w:szCs w:val="24"/>
        </w:rPr>
        <w:footnoteReference w:id="8"/>
      </w:r>
      <w:r w:rsidR="006D1A4A">
        <w:rPr>
          <w:rFonts w:ascii="Arial" w:hAnsi="Arial" w:cs="Arial"/>
          <w:sz w:val="24"/>
          <w:szCs w:val="24"/>
        </w:rPr>
        <w:t xml:space="preserve">. Feaver </w:t>
      </w:r>
      <w:r w:rsidR="00A47EEA">
        <w:rPr>
          <w:rFonts w:ascii="Arial" w:hAnsi="Arial" w:cs="Arial"/>
          <w:sz w:val="24"/>
          <w:szCs w:val="24"/>
        </w:rPr>
        <w:t>on the other hand</w:t>
      </w:r>
      <w:r w:rsidR="003074C3">
        <w:rPr>
          <w:rFonts w:ascii="Arial" w:hAnsi="Arial" w:cs="Arial"/>
          <w:sz w:val="24"/>
          <w:szCs w:val="24"/>
        </w:rPr>
        <w:t xml:space="preserve"> establishes an agent-principal model with the armed forces as the agent acting in accordance with the civilian political principal’s int</w:t>
      </w:r>
      <w:r w:rsidR="0030016C">
        <w:rPr>
          <w:rFonts w:ascii="Arial" w:hAnsi="Arial" w:cs="Arial"/>
          <w:sz w:val="24"/>
          <w:szCs w:val="24"/>
        </w:rPr>
        <w:t>entions</w:t>
      </w:r>
      <w:r w:rsidR="0030016C">
        <w:rPr>
          <w:rStyle w:val="FootnoteReference"/>
          <w:rFonts w:ascii="Arial" w:hAnsi="Arial" w:cs="Arial"/>
          <w:sz w:val="24"/>
          <w:szCs w:val="24"/>
        </w:rPr>
        <w:footnoteReference w:id="9"/>
      </w:r>
      <w:r w:rsidR="0030016C">
        <w:rPr>
          <w:rFonts w:ascii="Arial" w:hAnsi="Arial" w:cs="Arial"/>
          <w:sz w:val="24"/>
          <w:szCs w:val="24"/>
        </w:rPr>
        <w:t>. The result is that there are considerable mechanisms for civilian oversight of the military</w:t>
      </w:r>
      <w:r w:rsidR="0030016C">
        <w:rPr>
          <w:rStyle w:val="FootnoteReference"/>
          <w:rFonts w:ascii="Arial" w:hAnsi="Arial" w:cs="Arial"/>
          <w:sz w:val="24"/>
          <w:szCs w:val="24"/>
        </w:rPr>
        <w:footnoteReference w:id="10"/>
      </w:r>
      <w:r w:rsidR="0030016C">
        <w:rPr>
          <w:rFonts w:ascii="Arial" w:hAnsi="Arial" w:cs="Arial"/>
          <w:sz w:val="24"/>
          <w:szCs w:val="24"/>
        </w:rPr>
        <w:t>, the availability of civilian punishment of the military</w:t>
      </w:r>
      <w:r w:rsidR="0030016C">
        <w:rPr>
          <w:rStyle w:val="FootnoteReference"/>
          <w:rFonts w:ascii="Arial" w:hAnsi="Arial" w:cs="Arial"/>
          <w:sz w:val="24"/>
          <w:szCs w:val="24"/>
        </w:rPr>
        <w:footnoteReference w:id="11"/>
      </w:r>
      <w:r w:rsidR="0030016C">
        <w:rPr>
          <w:rFonts w:ascii="Arial" w:hAnsi="Arial" w:cs="Arial"/>
          <w:sz w:val="24"/>
          <w:szCs w:val="24"/>
        </w:rPr>
        <w:t xml:space="preserve"> and an overall goal of </w:t>
      </w:r>
      <w:r w:rsidR="00FF28A8">
        <w:rPr>
          <w:rFonts w:ascii="Arial" w:hAnsi="Arial" w:cs="Arial"/>
          <w:sz w:val="24"/>
          <w:szCs w:val="24"/>
        </w:rPr>
        <w:t>protecting</w:t>
      </w:r>
      <w:r w:rsidR="0030016C">
        <w:rPr>
          <w:rFonts w:ascii="Arial" w:hAnsi="Arial" w:cs="Arial"/>
          <w:sz w:val="24"/>
          <w:szCs w:val="24"/>
        </w:rPr>
        <w:t xml:space="preserve"> democra</w:t>
      </w:r>
      <w:r w:rsidR="00FF28A8">
        <w:rPr>
          <w:rFonts w:ascii="Arial" w:hAnsi="Arial" w:cs="Arial"/>
          <w:sz w:val="24"/>
          <w:szCs w:val="24"/>
        </w:rPr>
        <w:t>tic values</w:t>
      </w:r>
      <w:r w:rsidR="0030016C">
        <w:rPr>
          <w:rStyle w:val="FootnoteReference"/>
          <w:rFonts w:ascii="Arial" w:hAnsi="Arial" w:cs="Arial"/>
          <w:sz w:val="24"/>
          <w:szCs w:val="24"/>
        </w:rPr>
        <w:footnoteReference w:id="12"/>
      </w:r>
      <w:r w:rsidR="004031CA">
        <w:rPr>
          <w:rFonts w:ascii="Arial" w:hAnsi="Arial" w:cs="Arial"/>
          <w:sz w:val="24"/>
          <w:szCs w:val="24"/>
        </w:rPr>
        <w:t>.</w:t>
      </w:r>
    </w:p>
    <w:p w:rsidR="00FF28A8" w:rsidRDefault="00FF28A8" w:rsidP="00941954">
      <w:pPr>
        <w:spacing w:line="360" w:lineRule="auto"/>
        <w:jc w:val="both"/>
        <w:rPr>
          <w:rFonts w:ascii="Arial" w:hAnsi="Arial" w:cs="Arial"/>
          <w:sz w:val="24"/>
          <w:szCs w:val="24"/>
        </w:rPr>
      </w:pPr>
    </w:p>
    <w:p w:rsidR="00FF28A8" w:rsidRDefault="00FF28A8" w:rsidP="00941954">
      <w:pPr>
        <w:spacing w:line="360" w:lineRule="auto"/>
        <w:jc w:val="both"/>
        <w:rPr>
          <w:rFonts w:ascii="Arial" w:hAnsi="Arial" w:cs="Arial"/>
          <w:sz w:val="24"/>
          <w:szCs w:val="24"/>
        </w:rPr>
      </w:pPr>
      <w:r>
        <w:rPr>
          <w:rFonts w:ascii="Arial" w:hAnsi="Arial" w:cs="Arial"/>
          <w:sz w:val="24"/>
          <w:szCs w:val="24"/>
        </w:rPr>
        <w:t>The sociological perspective of the civil-military relationship is dominated by Janowitz</w:t>
      </w:r>
      <w:r>
        <w:rPr>
          <w:rStyle w:val="FootnoteReference"/>
          <w:rFonts w:ascii="Arial" w:hAnsi="Arial" w:cs="Arial"/>
          <w:sz w:val="24"/>
          <w:szCs w:val="24"/>
        </w:rPr>
        <w:footnoteReference w:id="13"/>
      </w:r>
      <w:r w:rsidR="00F933A3">
        <w:rPr>
          <w:rFonts w:ascii="Arial" w:hAnsi="Arial" w:cs="Arial"/>
          <w:sz w:val="24"/>
          <w:szCs w:val="24"/>
        </w:rPr>
        <w:t xml:space="preserve"> and Moskos</w:t>
      </w:r>
      <w:r w:rsidR="00F933A3">
        <w:rPr>
          <w:rStyle w:val="FootnoteReference"/>
          <w:rFonts w:ascii="Arial" w:hAnsi="Arial" w:cs="Arial"/>
          <w:sz w:val="24"/>
          <w:szCs w:val="24"/>
        </w:rPr>
        <w:footnoteReference w:id="14"/>
      </w:r>
      <w:r w:rsidR="00F933A3">
        <w:rPr>
          <w:rFonts w:ascii="Arial" w:hAnsi="Arial" w:cs="Arial"/>
          <w:sz w:val="24"/>
          <w:szCs w:val="24"/>
        </w:rPr>
        <w:t>. Janowitz identified a convergence of the military and civilians with the civilianisation of the military</w:t>
      </w:r>
      <w:r w:rsidR="00A2466B">
        <w:rPr>
          <w:rFonts w:ascii="Arial" w:hAnsi="Arial" w:cs="Arial"/>
          <w:sz w:val="24"/>
          <w:szCs w:val="24"/>
        </w:rPr>
        <w:t xml:space="preserve"> leading to a “constabulary” role for the armed forces</w:t>
      </w:r>
      <w:r w:rsidR="00A2466B">
        <w:rPr>
          <w:rStyle w:val="FootnoteReference"/>
          <w:rFonts w:ascii="Arial" w:hAnsi="Arial" w:cs="Arial"/>
          <w:sz w:val="24"/>
          <w:szCs w:val="24"/>
        </w:rPr>
        <w:footnoteReference w:id="15"/>
      </w:r>
      <w:r w:rsidR="00A2466B">
        <w:rPr>
          <w:rFonts w:ascii="Arial" w:hAnsi="Arial" w:cs="Arial"/>
          <w:sz w:val="24"/>
          <w:szCs w:val="24"/>
        </w:rPr>
        <w:t xml:space="preserve">. His focus, like Huntington’s, was on the officer corps. The officer undertakes his duties “because he is a professional with a sense of self-esteem and moral worth”, “who accepts civilian political control because he recognises that civilians appreciate and understand the tasks and responsibilities of the constabulary </w:t>
      </w:r>
      <w:r w:rsidR="00A2466B">
        <w:rPr>
          <w:rFonts w:ascii="Arial" w:hAnsi="Arial" w:cs="Arial"/>
          <w:sz w:val="24"/>
          <w:szCs w:val="24"/>
        </w:rPr>
        <w:lastRenderedPageBreak/>
        <w:t>force. He is integrated into civilian society because he shares its common values”</w:t>
      </w:r>
      <w:r w:rsidR="00A2466B">
        <w:rPr>
          <w:rStyle w:val="FootnoteReference"/>
          <w:rFonts w:ascii="Arial" w:hAnsi="Arial" w:cs="Arial"/>
          <w:sz w:val="24"/>
          <w:szCs w:val="24"/>
        </w:rPr>
        <w:footnoteReference w:id="16"/>
      </w:r>
      <w:r w:rsidR="00224C0F">
        <w:rPr>
          <w:rFonts w:ascii="Arial" w:hAnsi="Arial" w:cs="Arial"/>
          <w:sz w:val="24"/>
          <w:szCs w:val="24"/>
        </w:rPr>
        <w:t xml:space="preserve">. </w:t>
      </w:r>
      <w:r w:rsidR="00791B67">
        <w:rPr>
          <w:rFonts w:ascii="Arial" w:hAnsi="Arial" w:cs="Arial"/>
          <w:sz w:val="24"/>
          <w:szCs w:val="24"/>
        </w:rPr>
        <w:t>Moskos</w:t>
      </w:r>
      <w:r w:rsidR="004031CA">
        <w:rPr>
          <w:rStyle w:val="FootnoteReference"/>
          <w:rFonts w:ascii="Arial" w:hAnsi="Arial" w:cs="Arial"/>
          <w:sz w:val="24"/>
          <w:szCs w:val="24"/>
        </w:rPr>
        <w:footnoteReference w:id="17"/>
      </w:r>
      <w:r w:rsidR="00791B67">
        <w:rPr>
          <w:rFonts w:ascii="Arial" w:hAnsi="Arial" w:cs="Arial"/>
          <w:sz w:val="24"/>
          <w:szCs w:val="24"/>
        </w:rPr>
        <w:t xml:space="preserve"> observed a similar development to Janowitz but this was framed within the transit</w:t>
      </w:r>
      <w:r w:rsidR="005301F9">
        <w:rPr>
          <w:rFonts w:ascii="Arial" w:hAnsi="Arial" w:cs="Arial"/>
          <w:sz w:val="24"/>
          <w:szCs w:val="24"/>
        </w:rPr>
        <w:t xml:space="preserve">ion from conscription to an all </w:t>
      </w:r>
      <w:r w:rsidR="00791B67">
        <w:rPr>
          <w:rFonts w:ascii="Arial" w:hAnsi="Arial" w:cs="Arial"/>
          <w:sz w:val="24"/>
          <w:szCs w:val="24"/>
        </w:rPr>
        <w:t>volunteer force. As convergence occurred between the military and civilians so the nature of the military personnel’s relationship with the armed forces also altered, moving from institutional to occupational.</w:t>
      </w:r>
    </w:p>
    <w:p w:rsidR="00343615" w:rsidRDefault="00343615" w:rsidP="00941954">
      <w:pPr>
        <w:spacing w:line="360" w:lineRule="auto"/>
        <w:jc w:val="both"/>
        <w:rPr>
          <w:rFonts w:ascii="Arial" w:hAnsi="Arial" w:cs="Arial"/>
          <w:sz w:val="24"/>
          <w:szCs w:val="24"/>
        </w:rPr>
      </w:pPr>
    </w:p>
    <w:p w:rsidR="00343615" w:rsidRDefault="00D10C8A" w:rsidP="00941954">
      <w:pPr>
        <w:spacing w:line="360" w:lineRule="auto"/>
        <w:jc w:val="both"/>
        <w:rPr>
          <w:rFonts w:ascii="Arial" w:hAnsi="Arial" w:cs="Arial"/>
          <w:sz w:val="24"/>
          <w:szCs w:val="24"/>
        </w:rPr>
      </w:pPr>
      <w:r>
        <w:rPr>
          <w:rFonts w:ascii="Arial" w:hAnsi="Arial" w:cs="Arial"/>
          <w:sz w:val="24"/>
          <w:szCs w:val="24"/>
        </w:rPr>
        <w:t>An attempt ha</w:t>
      </w:r>
      <w:r w:rsidR="00343615">
        <w:rPr>
          <w:rFonts w:ascii="Arial" w:hAnsi="Arial" w:cs="Arial"/>
          <w:sz w:val="24"/>
          <w:szCs w:val="24"/>
        </w:rPr>
        <w:t xml:space="preserve">s </w:t>
      </w:r>
      <w:r>
        <w:rPr>
          <w:rFonts w:ascii="Arial" w:hAnsi="Arial" w:cs="Arial"/>
          <w:sz w:val="24"/>
          <w:szCs w:val="24"/>
        </w:rPr>
        <w:t xml:space="preserve">been </w:t>
      </w:r>
      <w:r w:rsidR="00343615">
        <w:rPr>
          <w:rFonts w:ascii="Arial" w:hAnsi="Arial" w:cs="Arial"/>
          <w:sz w:val="24"/>
          <w:szCs w:val="24"/>
        </w:rPr>
        <w:t>made by Schiff</w:t>
      </w:r>
      <w:r w:rsidR="00343615">
        <w:rPr>
          <w:rStyle w:val="FootnoteReference"/>
          <w:rFonts w:ascii="Arial" w:hAnsi="Arial" w:cs="Arial"/>
          <w:sz w:val="24"/>
          <w:szCs w:val="24"/>
        </w:rPr>
        <w:footnoteReference w:id="18"/>
      </w:r>
      <w:r w:rsidR="00343615">
        <w:rPr>
          <w:rFonts w:ascii="Arial" w:hAnsi="Arial" w:cs="Arial"/>
          <w:sz w:val="24"/>
          <w:szCs w:val="24"/>
        </w:rPr>
        <w:t xml:space="preserve"> to navigate a middle way utilising both political science and sociology. She advances a theory for a cooperative relationship between the military, the political elites and the citizenry. This concordance model however has no ideal typical blueprint of civil-military relationship as several types are possible dependant on society’s institutional and cultural conditions.</w:t>
      </w:r>
    </w:p>
    <w:p w:rsidR="00D10C8A" w:rsidRDefault="00D10C8A" w:rsidP="00941954">
      <w:pPr>
        <w:spacing w:line="360" w:lineRule="auto"/>
        <w:jc w:val="both"/>
        <w:rPr>
          <w:rFonts w:ascii="Arial" w:hAnsi="Arial" w:cs="Arial"/>
          <w:sz w:val="24"/>
          <w:szCs w:val="24"/>
        </w:rPr>
      </w:pPr>
    </w:p>
    <w:p w:rsidR="00D10C8A" w:rsidRDefault="00D10C8A" w:rsidP="00941954">
      <w:pPr>
        <w:spacing w:line="360" w:lineRule="auto"/>
        <w:jc w:val="both"/>
        <w:rPr>
          <w:rFonts w:ascii="Arial" w:hAnsi="Arial" w:cs="Arial"/>
          <w:sz w:val="24"/>
          <w:szCs w:val="24"/>
        </w:rPr>
      </w:pPr>
      <w:r>
        <w:rPr>
          <w:rFonts w:ascii="Arial" w:hAnsi="Arial" w:cs="Arial"/>
          <w:sz w:val="24"/>
          <w:szCs w:val="24"/>
        </w:rPr>
        <w:t xml:space="preserve">In the UK the debate over the civil-military relationship has rarely come alive. The only notable </w:t>
      </w:r>
      <w:r w:rsidR="007B2286">
        <w:rPr>
          <w:rFonts w:ascii="Arial" w:hAnsi="Arial" w:cs="Arial"/>
          <w:sz w:val="24"/>
          <w:szCs w:val="24"/>
        </w:rPr>
        <w:t xml:space="preserve">analysis was conducted by </w:t>
      </w:r>
      <w:r w:rsidR="00B813F5">
        <w:rPr>
          <w:rFonts w:ascii="Arial" w:hAnsi="Arial" w:cs="Arial"/>
          <w:sz w:val="24"/>
          <w:szCs w:val="24"/>
        </w:rPr>
        <w:t>Strachan</w:t>
      </w:r>
      <w:r w:rsidR="00B813F5">
        <w:rPr>
          <w:rStyle w:val="FootnoteReference"/>
          <w:rFonts w:ascii="Arial" w:hAnsi="Arial" w:cs="Arial"/>
          <w:sz w:val="24"/>
          <w:szCs w:val="24"/>
        </w:rPr>
        <w:footnoteReference w:id="19"/>
      </w:r>
      <w:r w:rsidR="00B813F5">
        <w:rPr>
          <w:rFonts w:ascii="Arial" w:hAnsi="Arial" w:cs="Arial"/>
          <w:sz w:val="24"/>
          <w:szCs w:val="24"/>
        </w:rPr>
        <w:t>, an historian. Another significant gap is that of a legal analysis of the civil-military relationship. A recent attempt has been made by Woo</w:t>
      </w:r>
      <w:r w:rsidR="009F4EAD">
        <w:rPr>
          <w:rStyle w:val="FootnoteReference"/>
          <w:rFonts w:ascii="Arial" w:hAnsi="Arial" w:cs="Arial"/>
          <w:sz w:val="24"/>
          <w:szCs w:val="24"/>
        </w:rPr>
        <w:footnoteReference w:id="20"/>
      </w:r>
      <w:r w:rsidR="00B813F5">
        <w:rPr>
          <w:rFonts w:ascii="Arial" w:hAnsi="Arial" w:cs="Arial"/>
          <w:sz w:val="24"/>
          <w:szCs w:val="24"/>
        </w:rPr>
        <w:t xml:space="preserve"> in the USA from an administrative law angle and in the UK Rubin</w:t>
      </w:r>
      <w:r w:rsidR="009F4EAD">
        <w:rPr>
          <w:rStyle w:val="FootnoteReference"/>
          <w:rFonts w:ascii="Arial" w:hAnsi="Arial" w:cs="Arial"/>
          <w:sz w:val="24"/>
          <w:szCs w:val="24"/>
        </w:rPr>
        <w:footnoteReference w:id="21"/>
      </w:r>
      <w:r w:rsidR="00B813F5">
        <w:rPr>
          <w:rFonts w:ascii="Arial" w:hAnsi="Arial" w:cs="Arial"/>
          <w:sz w:val="24"/>
          <w:szCs w:val="24"/>
        </w:rPr>
        <w:t xml:space="preserve"> has examined the civilianisation and juridification of military law, particularly the </w:t>
      </w:r>
      <w:r w:rsidR="009F4EAD">
        <w:rPr>
          <w:rFonts w:ascii="Arial" w:hAnsi="Arial" w:cs="Arial"/>
          <w:sz w:val="24"/>
          <w:szCs w:val="24"/>
        </w:rPr>
        <w:t>military</w:t>
      </w:r>
      <w:r w:rsidR="00B813F5">
        <w:rPr>
          <w:rFonts w:ascii="Arial" w:hAnsi="Arial" w:cs="Arial"/>
          <w:sz w:val="24"/>
          <w:szCs w:val="24"/>
        </w:rPr>
        <w:t xml:space="preserve"> law aspects and </w:t>
      </w:r>
      <w:r w:rsidR="009F4EAD">
        <w:rPr>
          <w:rFonts w:ascii="Arial" w:hAnsi="Arial" w:cs="Arial"/>
          <w:sz w:val="24"/>
          <w:szCs w:val="24"/>
        </w:rPr>
        <w:t>the process of courts martial.</w:t>
      </w:r>
    </w:p>
    <w:p w:rsidR="007D5B4B" w:rsidRDefault="007D5B4B" w:rsidP="00941954">
      <w:pPr>
        <w:spacing w:line="360" w:lineRule="auto"/>
        <w:jc w:val="both"/>
        <w:rPr>
          <w:rFonts w:ascii="Arial" w:hAnsi="Arial" w:cs="Arial"/>
          <w:sz w:val="24"/>
          <w:szCs w:val="24"/>
        </w:rPr>
      </w:pPr>
    </w:p>
    <w:p w:rsidR="007D5B4B" w:rsidRDefault="007D5B4B" w:rsidP="00941954">
      <w:pPr>
        <w:spacing w:line="360" w:lineRule="auto"/>
        <w:jc w:val="both"/>
        <w:rPr>
          <w:rFonts w:ascii="Arial" w:hAnsi="Arial" w:cs="Arial"/>
          <w:sz w:val="24"/>
          <w:szCs w:val="24"/>
        </w:rPr>
      </w:pPr>
      <w:r>
        <w:rPr>
          <w:rFonts w:ascii="Arial" w:hAnsi="Arial" w:cs="Arial"/>
          <w:sz w:val="24"/>
          <w:szCs w:val="24"/>
        </w:rPr>
        <w:t xml:space="preserve">The question has to be asked why law should be considered to be a useful discipline for this </w:t>
      </w:r>
      <w:r w:rsidR="003328D1">
        <w:rPr>
          <w:rFonts w:ascii="Arial" w:hAnsi="Arial" w:cs="Arial"/>
          <w:sz w:val="24"/>
          <w:szCs w:val="24"/>
        </w:rPr>
        <w:t>analysis.</w:t>
      </w:r>
      <w:r>
        <w:rPr>
          <w:rFonts w:ascii="Arial" w:hAnsi="Arial" w:cs="Arial"/>
          <w:sz w:val="24"/>
          <w:szCs w:val="24"/>
        </w:rPr>
        <w:t xml:space="preserve"> Clausewitz fa</w:t>
      </w:r>
      <w:r w:rsidR="008E5B7A">
        <w:rPr>
          <w:rFonts w:ascii="Arial" w:hAnsi="Arial" w:cs="Arial"/>
          <w:sz w:val="24"/>
          <w:szCs w:val="24"/>
        </w:rPr>
        <w:t>mously described war as “not merely an act of policy but a true political instrument, a continuation of political intercourse, carried on with other means”</w:t>
      </w:r>
      <w:r w:rsidR="008E5B7A">
        <w:rPr>
          <w:rStyle w:val="FootnoteReference"/>
          <w:rFonts w:ascii="Arial" w:hAnsi="Arial" w:cs="Arial"/>
          <w:sz w:val="24"/>
          <w:szCs w:val="24"/>
        </w:rPr>
        <w:footnoteReference w:id="22"/>
      </w:r>
      <w:r w:rsidR="008E5B7A">
        <w:rPr>
          <w:rFonts w:ascii="Arial" w:hAnsi="Arial" w:cs="Arial"/>
          <w:sz w:val="24"/>
          <w:szCs w:val="24"/>
        </w:rPr>
        <w:t xml:space="preserve">. As such the armed forces are the organ of the State that conducts </w:t>
      </w:r>
      <w:r w:rsidR="008E5B7A">
        <w:rPr>
          <w:rFonts w:ascii="Arial" w:hAnsi="Arial" w:cs="Arial"/>
          <w:sz w:val="24"/>
          <w:szCs w:val="24"/>
        </w:rPr>
        <w:lastRenderedPageBreak/>
        <w:t xml:space="preserve">war as a political instrument. </w:t>
      </w:r>
      <w:r w:rsidR="00CE283B" w:rsidRPr="00CE283B">
        <w:rPr>
          <w:rFonts w:ascii="Arial" w:hAnsi="Arial" w:cs="Arial"/>
          <w:sz w:val="24"/>
          <w:szCs w:val="24"/>
        </w:rPr>
        <w:t>Politics is concerned with power</w:t>
      </w:r>
      <w:r w:rsidR="00CE283B" w:rsidRPr="00CE283B">
        <w:rPr>
          <w:rFonts w:ascii="Arial" w:hAnsi="Arial" w:cs="Arial"/>
          <w:sz w:val="24"/>
          <w:szCs w:val="24"/>
          <w:vertAlign w:val="superscript"/>
        </w:rPr>
        <w:footnoteReference w:id="23"/>
      </w:r>
      <w:r w:rsidR="00CE283B" w:rsidRPr="00CE283B">
        <w:rPr>
          <w:rFonts w:ascii="Arial" w:hAnsi="Arial" w:cs="Arial"/>
          <w:sz w:val="24"/>
          <w:szCs w:val="24"/>
        </w:rPr>
        <w:t xml:space="preserve"> and the capacity of social agents to maintain or transform their social environment and to create a regulated order for managing human conflict and interaction. Law can be considered to be “the enterprise of subjecting human conduct to the governance of rules”</w:t>
      </w:r>
      <w:r w:rsidR="00CE283B" w:rsidRPr="00CE283B">
        <w:rPr>
          <w:rFonts w:ascii="Arial" w:hAnsi="Arial" w:cs="Arial"/>
          <w:sz w:val="24"/>
          <w:szCs w:val="24"/>
          <w:vertAlign w:val="superscript"/>
        </w:rPr>
        <w:footnoteReference w:id="24"/>
      </w:r>
      <w:r w:rsidR="00CE283B" w:rsidRPr="00CE283B">
        <w:rPr>
          <w:rFonts w:ascii="Arial" w:hAnsi="Arial" w:cs="Arial"/>
          <w:sz w:val="24"/>
          <w:szCs w:val="24"/>
        </w:rPr>
        <w:t xml:space="preserve"> or “the human attempt to establish social order as a way of regulating and managing human conflict”</w:t>
      </w:r>
      <w:r w:rsidR="00CE283B" w:rsidRPr="00CE283B">
        <w:rPr>
          <w:rFonts w:ascii="Arial" w:hAnsi="Arial" w:cs="Arial"/>
          <w:sz w:val="24"/>
          <w:szCs w:val="24"/>
          <w:vertAlign w:val="superscript"/>
        </w:rPr>
        <w:footnoteReference w:id="25"/>
      </w:r>
      <w:r w:rsidR="00CE283B" w:rsidRPr="00CE283B">
        <w:rPr>
          <w:rFonts w:ascii="Arial" w:hAnsi="Arial" w:cs="Arial"/>
          <w:sz w:val="24"/>
          <w:szCs w:val="24"/>
        </w:rPr>
        <w:t>. As such it deals with human action and human social action, is the method used to enact the rules required to regulate this human social action and is the final outcome of the political process. From these definitions politics and law are inevitably intertwined with the laws and rules of the polity providing the positive evidence of the policy stance of the polity.</w:t>
      </w:r>
      <w:r w:rsidR="00CE283B">
        <w:rPr>
          <w:rFonts w:ascii="Arial" w:hAnsi="Arial" w:cs="Arial"/>
          <w:sz w:val="24"/>
          <w:szCs w:val="24"/>
        </w:rPr>
        <w:t xml:space="preserve"> Therefore it is the law that needs to be examined to determine the political will of the polity and as war is a political instrument legal analysis is essential to determine the position of the military vis-a-vis society.</w:t>
      </w:r>
    </w:p>
    <w:p w:rsidR="00CE283B" w:rsidRDefault="00CE283B" w:rsidP="00941954">
      <w:pPr>
        <w:spacing w:line="360" w:lineRule="auto"/>
        <w:jc w:val="both"/>
        <w:rPr>
          <w:rFonts w:ascii="Arial" w:hAnsi="Arial" w:cs="Arial"/>
          <w:sz w:val="24"/>
          <w:szCs w:val="24"/>
        </w:rPr>
      </w:pPr>
    </w:p>
    <w:p w:rsidR="00CE283B" w:rsidRDefault="00CE283B" w:rsidP="00941954">
      <w:pPr>
        <w:spacing w:line="360" w:lineRule="auto"/>
        <w:jc w:val="both"/>
        <w:rPr>
          <w:rFonts w:ascii="Arial" w:hAnsi="Arial" w:cs="Arial"/>
          <w:sz w:val="24"/>
          <w:szCs w:val="24"/>
        </w:rPr>
      </w:pPr>
      <w:r>
        <w:rPr>
          <w:rFonts w:ascii="Arial" w:hAnsi="Arial" w:cs="Arial"/>
          <w:sz w:val="24"/>
          <w:szCs w:val="24"/>
        </w:rPr>
        <w:t xml:space="preserve">I suggest that there have been </w:t>
      </w:r>
      <w:r w:rsidR="00F51581">
        <w:rPr>
          <w:rFonts w:ascii="Arial" w:hAnsi="Arial" w:cs="Arial"/>
          <w:sz w:val="24"/>
          <w:szCs w:val="24"/>
        </w:rPr>
        <w:t>four</w:t>
      </w:r>
      <w:r>
        <w:rPr>
          <w:rFonts w:ascii="Arial" w:hAnsi="Arial" w:cs="Arial"/>
          <w:sz w:val="24"/>
          <w:szCs w:val="24"/>
        </w:rPr>
        <w:t xml:space="preserve"> major legal developments in </w:t>
      </w:r>
      <w:r w:rsidR="00157316">
        <w:rPr>
          <w:rFonts w:ascii="Arial" w:hAnsi="Arial" w:cs="Arial"/>
          <w:sz w:val="24"/>
          <w:szCs w:val="24"/>
        </w:rPr>
        <w:t xml:space="preserve">the areas of </w:t>
      </w:r>
      <w:r>
        <w:rPr>
          <w:rFonts w:ascii="Arial" w:hAnsi="Arial" w:cs="Arial"/>
          <w:sz w:val="24"/>
          <w:szCs w:val="24"/>
        </w:rPr>
        <w:t xml:space="preserve">anti-discrimination </w:t>
      </w:r>
      <w:r w:rsidR="00157316">
        <w:rPr>
          <w:rFonts w:ascii="Arial" w:hAnsi="Arial" w:cs="Arial"/>
          <w:sz w:val="24"/>
          <w:szCs w:val="24"/>
        </w:rPr>
        <w:t>and human rights that have significantly influenced the societal position of the military in the UK today</w:t>
      </w:r>
      <w:r w:rsidR="00C669C5">
        <w:rPr>
          <w:rFonts w:ascii="Arial" w:hAnsi="Arial" w:cs="Arial"/>
          <w:sz w:val="24"/>
          <w:szCs w:val="24"/>
        </w:rPr>
        <w:t xml:space="preserve"> with a fifth due to take effect from 1 October 2010</w:t>
      </w:r>
      <w:r w:rsidR="00157316">
        <w:rPr>
          <w:rFonts w:ascii="Arial" w:hAnsi="Arial" w:cs="Arial"/>
          <w:sz w:val="24"/>
          <w:szCs w:val="24"/>
        </w:rPr>
        <w:t xml:space="preserve">. The first was the </w:t>
      </w:r>
      <w:r w:rsidR="00F73CD4">
        <w:rPr>
          <w:rFonts w:ascii="Arial" w:hAnsi="Arial" w:cs="Arial"/>
          <w:sz w:val="24"/>
          <w:szCs w:val="24"/>
        </w:rPr>
        <w:t>passing of the Sexual Offences Act 1967, following the 1957 Wolfenden Report</w:t>
      </w:r>
      <w:r w:rsidR="00F73CD4">
        <w:rPr>
          <w:rStyle w:val="FootnoteReference"/>
          <w:rFonts w:ascii="Arial" w:hAnsi="Arial" w:cs="Arial"/>
          <w:sz w:val="24"/>
          <w:szCs w:val="24"/>
        </w:rPr>
        <w:footnoteReference w:id="26"/>
      </w:r>
      <w:r w:rsidR="00F73CD4">
        <w:rPr>
          <w:rFonts w:ascii="Arial" w:hAnsi="Arial" w:cs="Arial"/>
          <w:sz w:val="24"/>
          <w:szCs w:val="24"/>
        </w:rPr>
        <w:t>, which decriminalised most homosexual offences between consenting adults over the age of twenty-one</w:t>
      </w:r>
      <w:r w:rsidR="00F73CD4">
        <w:rPr>
          <w:rStyle w:val="FootnoteReference"/>
          <w:rFonts w:ascii="Arial" w:hAnsi="Arial" w:cs="Arial"/>
          <w:sz w:val="24"/>
          <w:szCs w:val="24"/>
        </w:rPr>
        <w:footnoteReference w:id="27"/>
      </w:r>
      <w:r w:rsidR="00F73CD4">
        <w:rPr>
          <w:rFonts w:ascii="Arial" w:hAnsi="Arial" w:cs="Arial"/>
          <w:sz w:val="24"/>
          <w:szCs w:val="24"/>
        </w:rPr>
        <w:t xml:space="preserve"> in private</w:t>
      </w:r>
      <w:r w:rsidR="00F73CD4">
        <w:rPr>
          <w:rStyle w:val="FootnoteReference"/>
          <w:rFonts w:ascii="Arial" w:hAnsi="Arial" w:cs="Arial"/>
          <w:sz w:val="24"/>
          <w:szCs w:val="24"/>
        </w:rPr>
        <w:footnoteReference w:id="28"/>
      </w:r>
      <w:r w:rsidR="00F73CD4">
        <w:rPr>
          <w:rFonts w:ascii="Arial" w:hAnsi="Arial" w:cs="Arial"/>
          <w:sz w:val="24"/>
          <w:szCs w:val="24"/>
        </w:rPr>
        <w:t xml:space="preserve"> but excluded the armed forces</w:t>
      </w:r>
      <w:r w:rsidR="00F73CD4">
        <w:rPr>
          <w:rStyle w:val="FootnoteReference"/>
          <w:rFonts w:ascii="Arial" w:hAnsi="Arial" w:cs="Arial"/>
          <w:sz w:val="24"/>
          <w:szCs w:val="24"/>
        </w:rPr>
        <w:footnoteReference w:id="29"/>
      </w:r>
      <w:r w:rsidR="00F73CD4">
        <w:rPr>
          <w:rFonts w:ascii="Arial" w:hAnsi="Arial" w:cs="Arial"/>
          <w:sz w:val="24"/>
          <w:szCs w:val="24"/>
        </w:rPr>
        <w:t xml:space="preserve">. Second the </w:t>
      </w:r>
      <w:r w:rsidR="00F51581">
        <w:rPr>
          <w:rFonts w:ascii="Arial" w:hAnsi="Arial" w:cs="Arial"/>
          <w:sz w:val="24"/>
          <w:szCs w:val="24"/>
        </w:rPr>
        <w:t xml:space="preserve">accession of the UK to the then European Economic Community on 1 January 2003 and now the European Union. Third the </w:t>
      </w:r>
      <w:r w:rsidR="00F73CD4">
        <w:rPr>
          <w:rFonts w:ascii="Arial" w:hAnsi="Arial" w:cs="Arial"/>
          <w:sz w:val="24"/>
          <w:szCs w:val="24"/>
        </w:rPr>
        <w:t>adoption of the Sex Discrimination Act 1975</w:t>
      </w:r>
      <w:r w:rsidR="00E27BCB">
        <w:rPr>
          <w:rFonts w:ascii="Arial" w:hAnsi="Arial" w:cs="Arial"/>
          <w:sz w:val="24"/>
          <w:szCs w:val="24"/>
        </w:rPr>
        <w:t xml:space="preserve"> that first outlawed discrimination between the sexes in the UK but excluded the armed forces</w:t>
      </w:r>
      <w:r w:rsidR="00E27BCB">
        <w:rPr>
          <w:rStyle w:val="FootnoteReference"/>
          <w:rFonts w:ascii="Arial" w:hAnsi="Arial" w:cs="Arial"/>
          <w:sz w:val="24"/>
          <w:szCs w:val="24"/>
        </w:rPr>
        <w:footnoteReference w:id="30"/>
      </w:r>
      <w:r w:rsidR="00E27BCB">
        <w:rPr>
          <w:rFonts w:ascii="Arial" w:hAnsi="Arial" w:cs="Arial"/>
          <w:sz w:val="24"/>
          <w:szCs w:val="24"/>
        </w:rPr>
        <w:t xml:space="preserve">. </w:t>
      </w:r>
      <w:r w:rsidR="00F51581">
        <w:rPr>
          <w:rFonts w:ascii="Arial" w:hAnsi="Arial" w:cs="Arial"/>
          <w:sz w:val="24"/>
          <w:szCs w:val="24"/>
        </w:rPr>
        <w:t>Fourth</w:t>
      </w:r>
      <w:r w:rsidR="00E27BCB">
        <w:rPr>
          <w:rFonts w:ascii="Arial" w:hAnsi="Arial" w:cs="Arial"/>
          <w:sz w:val="24"/>
          <w:szCs w:val="24"/>
        </w:rPr>
        <w:t xml:space="preserve"> the Human Rights Act 1998 that </w:t>
      </w:r>
      <w:r w:rsidR="00A73E21">
        <w:rPr>
          <w:rFonts w:ascii="Arial" w:hAnsi="Arial" w:cs="Arial"/>
          <w:sz w:val="24"/>
          <w:szCs w:val="24"/>
        </w:rPr>
        <w:t xml:space="preserve">enabled the </w:t>
      </w:r>
      <w:r w:rsidR="00E27BCB">
        <w:rPr>
          <w:rFonts w:ascii="Arial" w:hAnsi="Arial" w:cs="Arial"/>
          <w:sz w:val="24"/>
          <w:szCs w:val="24"/>
        </w:rPr>
        <w:t xml:space="preserve">UK courts to develop human rights judgments based on the European </w:t>
      </w:r>
      <w:r w:rsidR="00E27BCB">
        <w:rPr>
          <w:rFonts w:ascii="Arial" w:hAnsi="Arial" w:cs="Arial"/>
          <w:sz w:val="24"/>
          <w:szCs w:val="24"/>
        </w:rPr>
        <w:lastRenderedPageBreak/>
        <w:t>Convention of Human Rights and the jurisprudence of the European Court of Human Rights.</w:t>
      </w:r>
      <w:r w:rsidR="00C669C5">
        <w:rPr>
          <w:rFonts w:ascii="Arial" w:hAnsi="Arial" w:cs="Arial"/>
          <w:sz w:val="24"/>
          <w:szCs w:val="24"/>
        </w:rPr>
        <w:t xml:space="preserve"> The</w:t>
      </w:r>
      <w:r w:rsidR="00F51581">
        <w:rPr>
          <w:rFonts w:ascii="Arial" w:hAnsi="Arial" w:cs="Arial"/>
          <w:sz w:val="24"/>
          <w:szCs w:val="24"/>
        </w:rPr>
        <w:t xml:space="preserve"> fifth significant legal developm</w:t>
      </w:r>
      <w:r w:rsidR="00C669C5">
        <w:rPr>
          <w:rFonts w:ascii="Arial" w:hAnsi="Arial" w:cs="Arial"/>
          <w:sz w:val="24"/>
          <w:szCs w:val="24"/>
        </w:rPr>
        <w:t>ent will be</w:t>
      </w:r>
      <w:r w:rsidR="00F51581">
        <w:rPr>
          <w:rFonts w:ascii="Arial" w:hAnsi="Arial" w:cs="Arial"/>
          <w:sz w:val="24"/>
          <w:szCs w:val="24"/>
        </w:rPr>
        <w:t xml:space="preserve"> the Equality Act 2010.</w:t>
      </w:r>
    </w:p>
    <w:p w:rsidR="00A73E21" w:rsidRDefault="00A73E21" w:rsidP="00941954">
      <w:pPr>
        <w:spacing w:line="360" w:lineRule="auto"/>
        <w:jc w:val="both"/>
        <w:rPr>
          <w:rFonts w:ascii="Arial" w:hAnsi="Arial" w:cs="Arial"/>
          <w:sz w:val="24"/>
          <w:szCs w:val="24"/>
        </w:rPr>
      </w:pPr>
    </w:p>
    <w:p w:rsidR="00A73E21" w:rsidRDefault="00A73E21" w:rsidP="00A73E21">
      <w:pPr>
        <w:spacing w:line="360" w:lineRule="auto"/>
        <w:jc w:val="both"/>
        <w:rPr>
          <w:rFonts w:ascii="Arial" w:hAnsi="Arial" w:cs="Arial"/>
          <w:sz w:val="24"/>
          <w:szCs w:val="24"/>
        </w:rPr>
      </w:pPr>
      <w:r>
        <w:rPr>
          <w:rFonts w:ascii="Arial" w:hAnsi="Arial" w:cs="Arial"/>
          <w:sz w:val="24"/>
          <w:szCs w:val="24"/>
          <w:u w:val="single"/>
        </w:rPr>
        <w:t>EQUALITY AND NON-DISCRIMINATION</w:t>
      </w:r>
    </w:p>
    <w:p w:rsidR="00A73E21" w:rsidRDefault="00A73E21" w:rsidP="00A73E21">
      <w:pPr>
        <w:spacing w:line="360" w:lineRule="auto"/>
        <w:jc w:val="both"/>
        <w:rPr>
          <w:rFonts w:ascii="Arial" w:hAnsi="Arial" w:cs="Arial"/>
          <w:sz w:val="24"/>
          <w:szCs w:val="24"/>
        </w:rPr>
      </w:pPr>
    </w:p>
    <w:p w:rsidR="00A73E21" w:rsidRDefault="00A73E21" w:rsidP="00A73E21">
      <w:pPr>
        <w:spacing w:line="360" w:lineRule="auto"/>
        <w:jc w:val="both"/>
        <w:rPr>
          <w:rFonts w:ascii="Arial" w:hAnsi="Arial" w:cs="Arial"/>
          <w:sz w:val="24"/>
          <w:szCs w:val="24"/>
        </w:rPr>
      </w:pPr>
      <w:r w:rsidRPr="00A73E21">
        <w:rPr>
          <w:rFonts w:ascii="Arial" w:hAnsi="Arial" w:cs="Arial"/>
          <w:sz w:val="24"/>
          <w:szCs w:val="24"/>
        </w:rPr>
        <w:t xml:space="preserve">Equality </w:t>
      </w:r>
      <w:r w:rsidR="00973430">
        <w:rPr>
          <w:rFonts w:ascii="Arial" w:hAnsi="Arial" w:cs="Arial"/>
          <w:sz w:val="24"/>
          <w:szCs w:val="24"/>
        </w:rPr>
        <w:t xml:space="preserve">is in ephemeral concept that </w:t>
      </w:r>
      <w:r w:rsidRPr="00A73E21">
        <w:rPr>
          <w:rFonts w:ascii="Arial" w:hAnsi="Arial" w:cs="Arial"/>
          <w:sz w:val="24"/>
          <w:szCs w:val="24"/>
        </w:rPr>
        <w:t>has engender</w:t>
      </w:r>
      <w:r w:rsidR="006F4F42">
        <w:rPr>
          <w:rFonts w:ascii="Arial" w:hAnsi="Arial" w:cs="Arial"/>
          <w:sz w:val="24"/>
          <w:szCs w:val="24"/>
        </w:rPr>
        <w:t>ed considerable academic debate</w:t>
      </w:r>
      <w:r w:rsidRPr="00A73E21">
        <w:rPr>
          <w:rFonts w:ascii="Arial" w:hAnsi="Arial" w:cs="Arial"/>
          <w:sz w:val="24"/>
          <w:szCs w:val="24"/>
        </w:rPr>
        <w:t xml:space="preserve"> about its substance and purpose. Westen</w:t>
      </w:r>
      <w:r w:rsidRPr="00A73E21">
        <w:rPr>
          <w:rFonts w:ascii="Arial" w:hAnsi="Arial" w:cs="Arial"/>
          <w:sz w:val="24"/>
          <w:szCs w:val="24"/>
          <w:vertAlign w:val="superscript"/>
        </w:rPr>
        <w:footnoteReference w:id="31"/>
      </w:r>
      <w:r w:rsidRPr="00A73E21">
        <w:rPr>
          <w:rFonts w:ascii="Arial" w:hAnsi="Arial" w:cs="Arial"/>
          <w:sz w:val="24"/>
          <w:szCs w:val="24"/>
        </w:rPr>
        <w:t xml:space="preserve"> separated formal and substan</w:t>
      </w:r>
      <w:r w:rsidR="00973430">
        <w:rPr>
          <w:rFonts w:ascii="Arial" w:hAnsi="Arial" w:cs="Arial"/>
          <w:sz w:val="24"/>
          <w:szCs w:val="24"/>
        </w:rPr>
        <w:t>tive equality. Formal equality wa</w:t>
      </w:r>
      <w:r w:rsidRPr="00A73E21">
        <w:rPr>
          <w:rFonts w:ascii="Arial" w:hAnsi="Arial" w:cs="Arial"/>
          <w:sz w:val="24"/>
          <w:szCs w:val="24"/>
        </w:rPr>
        <w:t>s non-compar</w:t>
      </w:r>
      <w:r w:rsidR="00973430">
        <w:rPr>
          <w:rFonts w:ascii="Arial" w:hAnsi="Arial" w:cs="Arial"/>
          <w:sz w:val="24"/>
          <w:szCs w:val="24"/>
        </w:rPr>
        <w:t>ative as no exterior criterion wa</w:t>
      </w:r>
      <w:r w:rsidRPr="00A73E21">
        <w:rPr>
          <w:rFonts w:ascii="Arial" w:hAnsi="Arial" w:cs="Arial"/>
          <w:sz w:val="24"/>
          <w:szCs w:val="24"/>
        </w:rPr>
        <w:t>s specified to ena</w:t>
      </w:r>
      <w:r w:rsidR="00973430">
        <w:rPr>
          <w:rFonts w:ascii="Arial" w:hAnsi="Arial" w:cs="Arial"/>
          <w:sz w:val="24"/>
          <w:szCs w:val="24"/>
        </w:rPr>
        <w:t>ble comparisons to be made. It wa</w:t>
      </w:r>
      <w:r w:rsidRPr="00A73E21">
        <w:rPr>
          <w:rFonts w:ascii="Arial" w:hAnsi="Arial" w:cs="Arial"/>
          <w:sz w:val="24"/>
          <w:szCs w:val="24"/>
        </w:rPr>
        <w:t>s defined by Aristotle as: “equality in morals means this: things that are alike should be treated alike, while things that are unalike should be treated unalike in proportion to their unalikeness”</w:t>
      </w:r>
      <w:r w:rsidRPr="00A73E21">
        <w:rPr>
          <w:rFonts w:ascii="Arial" w:hAnsi="Arial" w:cs="Arial"/>
          <w:sz w:val="24"/>
          <w:szCs w:val="24"/>
          <w:vertAlign w:val="superscript"/>
        </w:rPr>
        <w:footnoteReference w:id="32"/>
      </w:r>
      <w:r w:rsidRPr="00A73E21">
        <w:rPr>
          <w:rFonts w:ascii="Arial" w:hAnsi="Arial" w:cs="Arial"/>
          <w:sz w:val="24"/>
          <w:szCs w:val="24"/>
        </w:rPr>
        <w:t xml:space="preserve">. Furthermore, </w:t>
      </w:r>
      <w:r w:rsidRPr="00973430">
        <w:rPr>
          <w:rFonts w:ascii="Arial" w:hAnsi="Arial" w:cs="Arial"/>
          <w:sz w:val="24"/>
          <w:szCs w:val="24"/>
        </w:rPr>
        <w:t>“equality and justice are synonymous: to be just is to be equal, to be unjust is to be unequal”</w:t>
      </w:r>
      <w:r w:rsidRPr="00973430">
        <w:rPr>
          <w:rFonts w:ascii="Arial" w:hAnsi="Arial" w:cs="Arial"/>
          <w:sz w:val="24"/>
          <w:szCs w:val="24"/>
          <w:vertAlign w:val="superscript"/>
        </w:rPr>
        <w:footnoteReference w:id="33"/>
      </w:r>
      <w:r w:rsidR="00973430">
        <w:rPr>
          <w:rFonts w:ascii="Arial" w:hAnsi="Arial" w:cs="Arial"/>
          <w:sz w:val="24"/>
          <w:szCs w:val="24"/>
        </w:rPr>
        <w:t>. Westen claimed</w:t>
      </w:r>
      <w:r w:rsidRPr="00A73E21">
        <w:rPr>
          <w:rFonts w:ascii="Arial" w:hAnsi="Arial" w:cs="Arial"/>
          <w:sz w:val="24"/>
          <w:szCs w:val="24"/>
        </w:rPr>
        <w:t xml:space="preserve"> that both </w:t>
      </w:r>
      <w:r w:rsidR="00973430">
        <w:rPr>
          <w:rFonts w:ascii="Arial" w:hAnsi="Arial" w:cs="Arial"/>
          <w:sz w:val="24"/>
          <w:szCs w:val="24"/>
        </w:rPr>
        <w:t>elements of formal equality we</w:t>
      </w:r>
      <w:r w:rsidR="00C669C5">
        <w:rPr>
          <w:rFonts w:ascii="Arial" w:hAnsi="Arial" w:cs="Arial"/>
          <w:sz w:val="24"/>
          <w:szCs w:val="24"/>
        </w:rPr>
        <w:t>re vi</w:t>
      </w:r>
      <w:r w:rsidRPr="00A73E21">
        <w:rPr>
          <w:rFonts w:ascii="Arial" w:hAnsi="Arial" w:cs="Arial"/>
          <w:sz w:val="24"/>
          <w:szCs w:val="24"/>
        </w:rPr>
        <w:t>c</w:t>
      </w:r>
      <w:r w:rsidR="00C669C5">
        <w:rPr>
          <w:rFonts w:ascii="Arial" w:hAnsi="Arial" w:cs="Arial"/>
          <w:sz w:val="24"/>
          <w:szCs w:val="24"/>
        </w:rPr>
        <w:t>i</w:t>
      </w:r>
      <w:r w:rsidRPr="00A73E21">
        <w:rPr>
          <w:rFonts w:ascii="Arial" w:hAnsi="Arial" w:cs="Arial"/>
          <w:sz w:val="24"/>
          <w:szCs w:val="24"/>
        </w:rPr>
        <w:t>ously circular and thus tautologous. In the first definition the fund</w:t>
      </w:r>
      <w:r w:rsidR="00973430">
        <w:rPr>
          <w:rFonts w:ascii="Arial" w:hAnsi="Arial" w:cs="Arial"/>
          <w:sz w:val="24"/>
          <w:szCs w:val="24"/>
        </w:rPr>
        <w:t>amental nature of human beings wa</w:t>
      </w:r>
      <w:r w:rsidRPr="00A73E21">
        <w:rPr>
          <w:rFonts w:ascii="Arial" w:hAnsi="Arial" w:cs="Arial"/>
          <w:sz w:val="24"/>
          <w:szCs w:val="24"/>
        </w:rPr>
        <w:t>s their individuality s</w:t>
      </w:r>
      <w:r w:rsidR="00973430">
        <w:rPr>
          <w:rFonts w:ascii="Arial" w:hAnsi="Arial" w:cs="Arial"/>
          <w:sz w:val="24"/>
          <w:szCs w:val="24"/>
        </w:rPr>
        <w:t>uch that each individual human wa</w:t>
      </w:r>
      <w:r w:rsidRPr="00A73E21">
        <w:rPr>
          <w:rFonts w:ascii="Arial" w:hAnsi="Arial" w:cs="Arial"/>
          <w:sz w:val="24"/>
          <w:szCs w:val="24"/>
        </w:rPr>
        <w:t>s different and unique. Any attempt</w:t>
      </w:r>
      <w:r w:rsidR="00973430">
        <w:rPr>
          <w:rFonts w:ascii="Arial" w:hAnsi="Arial" w:cs="Arial"/>
          <w:sz w:val="24"/>
          <w:szCs w:val="24"/>
        </w:rPr>
        <w:t xml:space="preserve"> to determine alikes wa</w:t>
      </w:r>
      <w:r w:rsidRPr="00A73E21">
        <w:rPr>
          <w:rFonts w:ascii="Arial" w:hAnsi="Arial" w:cs="Arial"/>
          <w:sz w:val="24"/>
          <w:szCs w:val="24"/>
        </w:rPr>
        <w:t xml:space="preserve">s </w:t>
      </w:r>
      <w:r w:rsidR="00973430">
        <w:rPr>
          <w:rFonts w:ascii="Arial" w:hAnsi="Arial" w:cs="Arial"/>
          <w:sz w:val="24"/>
          <w:szCs w:val="24"/>
        </w:rPr>
        <w:t>impossible</w:t>
      </w:r>
      <w:r w:rsidRPr="00A73E21">
        <w:rPr>
          <w:rFonts w:ascii="Arial" w:hAnsi="Arial" w:cs="Arial"/>
          <w:sz w:val="24"/>
          <w:szCs w:val="24"/>
        </w:rPr>
        <w:t>. Thus equality “tells us to treat like people alike; but when we ask who ‘like people’ are, we are told they are ‘people who should be treated alike’. Equality is an empty vessel with no substantive moral content of its own. Without moral standards, equality remains meaningless, a formula that can have nothing to say about how we act”</w:t>
      </w:r>
      <w:r w:rsidRPr="00A73E21">
        <w:rPr>
          <w:rFonts w:ascii="Arial" w:hAnsi="Arial" w:cs="Arial"/>
          <w:sz w:val="24"/>
          <w:szCs w:val="24"/>
          <w:vertAlign w:val="superscript"/>
        </w:rPr>
        <w:footnoteReference w:id="34"/>
      </w:r>
      <w:r w:rsidRPr="00A73E21">
        <w:rPr>
          <w:rFonts w:ascii="Arial" w:hAnsi="Arial" w:cs="Arial"/>
          <w:sz w:val="24"/>
          <w:szCs w:val="24"/>
        </w:rPr>
        <w:t>. The second definition is claimed to be just as empty of moral substance as “justice can be reduced to equality, equality can be reduced to a statement of justice”</w:t>
      </w:r>
      <w:r w:rsidRPr="00A73E21">
        <w:rPr>
          <w:rFonts w:ascii="Arial" w:hAnsi="Arial" w:cs="Arial"/>
          <w:sz w:val="24"/>
          <w:szCs w:val="24"/>
          <w:vertAlign w:val="superscript"/>
        </w:rPr>
        <w:footnoteReference w:id="35"/>
      </w:r>
      <w:r w:rsidR="006F4F42">
        <w:rPr>
          <w:rFonts w:ascii="Arial" w:hAnsi="Arial" w:cs="Arial"/>
          <w:sz w:val="24"/>
          <w:szCs w:val="24"/>
        </w:rPr>
        <w:t>. Substantive equality received</w:t>
      </w:r>
      <w:r w:rsidRPr="00A73E21">
        <w:rPr>
          <w:rFonts w:ascii="Arial" w:hAnsi="Arial" w:cs="Arial"/>
          <w:sz w:val="24"/>
          <w:szCs w:val="24"/>
        </w:rPr>
        <w:t xml:space="preserve"> less normative but greater descriptive analysis from Weste</w:t>
      </w:r>
      <w:r w:rsidR="006F4F42">
        <w:rPr>
          <w:rFonts w:ascii="Arial" w:hAnsi="Arial" w:cs="Arial"/>
          <w:sz w:val="24"/>
          <w:szCs w:val="24"/>
        </w:rPr>
        <w:t>n. Substantive equality required</w:t>
      </w:r>
      <w:r w:rsidRPr="00A73E21">
        <w:rPr>
          <w:rFonts w:ascii="Arial" w:hAnsi="Arial" w:cs="Arial"/>
          <w:sz w:val="24"/>
          <w:szCs w:val="24"/>
        </w:rPr>
        <w:t xml:space="preserve"> an external criterion so that a comparison </w:t>
      </w:r>
      <w:r w:rsidR="006F4F42">
        <w:rPr>
          <w:rFonts w:ascii="Arial" w:hAnsi="Arial" w:cs="Arial"/>
          <w:sz w:val="24"/>
          <w:szCs w:val="24"/>
        </w:rPr>
        <w:t>could</w:t>
      </w:r>
      <w:r w:rsidRPr="00A73E21">
        <w:rPr>
          <w:rFonts w:ascii="Arial" w:hAnsi="Arial" w:cs="Arial"/>
          <w:sz w:val="24"/>
          <w:szCs w:val="24"/>
        </w:rPr>
        <w:t xml:space="preserve"> be made betw</w:t>
      </w:r>
      <w:r w:rsidR="006F4F42">
        <w:rPr>
          <w:rFonts w:ascii="Arial" w:hAnsi="Arial" w:cs="Arial"/>
          <w:sz w:val="24"/>
          <w:szCs w:val="24"/>
        </w:rPr>
        <w:t>een two equals. Westen concluded</w:t>
      </w:r>
      <w:r w:rsidRPr="00A73E21">
        <w:rPr>
          <w:rFonts w:ascii="Arial" w:hAnsi="Arial" w:cs="Arial"/>
          <w:sz w:val="24"/>
          <w:szCs w:val="24"/>
        </w:rPr>
        <w:t xml:space="preserve"> that comparative analysis involving substantive equality </w:t>
      </w:r>
      <w:r w:rsidR="006F4F42">
        <w:rPr>
          <w:rFonts w:ascii="Arial" w:hAnsi="Arial" w:cs="Arial"/>
          <w:sz w:val="24"/>
          <w:szCs w:val="24"/>
        </w:rPr>
        <w:t>could</w:t>
      </w:r>
      <w:r w:rsidRPr="00A73E21">
        <w:rPr>
          <w:rFonts w:ascii="Arial" w:hAnsi="Arial" w:cs="Arial"/>
          <w:sz w:val="24"/>
          <w:szCs w:val="24"/>
        </w:rPr>
        <w:t xml:space="preserve"> be reduced to a series of constituent and substantive rights that more </w:t>
      </w:r>
      <w:r w:rsidRPr="00A73E21">
        <w:rPr>
          <w:rFonts w:ascii="Arial" w:hAnsi="Arial" w:cs="Arial"/>
          <w:sz w:val="24"/>
          <w:szCs w:val="24"/>
        </w:rPr>
        <w:lastRenderedPageBreak/>
        <w:t>correctly protect</w:t>
      </w:r>
      <w:r w:rsidR="006F4F42">
        <w:rPr>
          <w:rFonts w:ascii="Arial" w:hAnsi="Arial" w:cs="Arial"/>
          <w:sz w:val="24"/>
          <w:szCs w:val="24"/>
        </w:rPr>
        <w:t>ed</w:t>
      </w:r>
      <w:r w:rsidRPr="00A73E21">
        <w:rPr>
          <w:rFonts w:ascii="Arial" w:hAnsi="Arial" w:cs="Arial"/>
          <w:sz w:val="24"/>
          <w:szCs w:val="24"/>
        </w:rPr>
        <w:t xml:space="preserve"> individual concerns. Simons</w:t>
      </w:r>
      <w:r w:rsidRPr="00A73E21">
        <w:rPr>
          <w:rFonts w:ascii="Arial" w:hAnsi="Arial" w:cs="Arial"/>
          <w:sz w:val="24"/>
          <w:szCs w:val="24"/>
          <w:vertAlign w:val="superscript"/>
        </w:rPr>
        <w:footnoteReference w:id="36"/>
      </w:r>
      <w:r w:rsidR="006F4F42">
        <w:rPr>
          <w:rFonts w:ascii="Arial" w:hAnsi="Arial" w:cs="Arial"/>
          <w:sz w:val="24"/>
          <w:szCs w:val="24"/>
        </w:rPr>
        <w:t xml:space="preserve"> attacked</w:t>
      </w:r>
      <w:r w:rsidRPr="00A73E21">
        <w:rPr>
          <w:rFonts w:ascii="Arial" w:hAnsi="Arial" w:cs="Arial"/>
          <w:sz w:val="24"/>
          <w:szCs w:val="24"/>
        </w:rPr>
        <w:t xml:space="preserve"> Westen over this analysis of </w:t>
      </w:r>
      <w:r w:rsidR="006F4F42">
        <w:rPr>
          <w:rFonts w:ascii="Arial" w:hAnsi="Arial" w:cs="Arial"/>
          <w:sz w:val="24"/>
          <w:szCs w:val="24"/>
        </w:rPr>
        <w:t>substantive equality. He defined</w:t>
      </w:r>
      <w:r w:rsidRPr="00A73E21">
        <w:rPr>
          <w:rFonts w:ascii="Arial" w:hAnsi="Arial" w:cs="Arial"/>
          <w:sz w:val="24"/>
          <w:szCs w:val="24"/>
        </w:rPr>
        <w:t xml:space="preserve"> formal equality a</w:t>
      </w:r>
      <w:r w:rsidR="006F4F42">
        <w:rPr>
          <w:rFonts w:ascii="Arial" w:hAnsi="Arial" w:cs="Arial"/>
          <w:sz w:val="24"/>
          <w:szCs w:val="24"/>
        </w:rPr>
        <w:t>s “</w:t>
      </w:r>
      <w:r w:rsidRPr="00A73E21">
        <w:rPr>
          <w:rFonts w:ascii="Arial" w:hAnsi="Arial" w:cs="Arial"/>
          <w:sz w:val="24"/>
          <w:szCs w:val="24"/>
        </w:rPr>
        <w:t>equality</w:t>
      </w:r>
      <w:r w:rsidR="006F4F42">
        <w:rPr>
          <w:rFonts w:ascii="Arial" w:hAnsi="Arial" w:cs="Arial"/>
          <w:sz w:val="24"/>
          <w:szCs w:val="24"/>
        </w:rPr>
        <w:t>” and substantive equality as “</w:t>
      </w:r>
      <w:r w:rsidRPr="00A73E21">
        <w:rPr>
          <w:rFonts w:ascii="Arial" w:hAnsi="Arial" w:cs="Arial"/>
          <w:sz w:val="24"/>
          <w:szCs w:val="24"/>
        </w:rPr>
        <w:t>the principle of equal treatment</w:t>
      </w:r>
      <w:r w:rsidR="006F4F42">
        <w:rPr>
          <w:rFonts w:ascii="Arial" w:hAnsi="Arial" w:cs="Arial"/>
          <w:sz w:val="24"/>
          <w:szCs w:val="24"/>
        </w:rPr>
        <w:t>”</w:t>
      </w:r>
      <w:r w:rsidRPr="00A73E21">
        <w:rPr>
          <w:rFonts w:ascii="Arial" w:hAnsi="Arial" w:cs="Arial"/>
          <w:sz w:val="24"/>
          <w:szCs w:val="24"/>
          <w:vertAlign w:val="superscript"/>
        </w:rPr>
        <w:footnoteReference w:id="37"/>
      </w:r>
      <w:r w:rsidRPr="00A73E21">
        <w:rPr>
          <w:rFonts w:ascii="Arial" w:hAnsi="Arial" w:cs="Arial"/>
          <w:sz w:val="24"/>
          <w:szCs w:val="24"/>
        </w:rPr>
        <w:t xml:space="preserve">. Thus the principle of equal treatment </w:t>
      </w:r>
      <w:r w:rsidR="006F4F42">
        <w:rPr>
          <w:rFonts w:ascii="Arial" w:hAnsi="Arial" w:cs="Arial"/>
          <w:sz w:val="24"/>
          <w:szCs w:val="24"/>
        </w:rPr>
        <w:t>wa</w:t>
      </w:r>
      <w:r w:rsidRPr="00A73E21">
        <w:rPr>
          <w:rFonts w:ascii="Arial" w:hAnsi="Arial" w:cs="Arial"/>
          <w:sz w:val="24"/>
          <w:szCs w:val="24"/>
        </w:rPr>
        <w:t>s a c</w:t>
      </w:r>
      <w:r w:rsidR="006F4F42">
        <w:rPr>
          <w:rFonts w:ascii="Arial" w:hAnsi="Arial" w:cs="Arial"/>
          <w:sz w:val="24"/>
          <w:szCs w:val="24"/>
        </w:rPr>
        <w:t>omparative right that prescribed</w:t>
      </w:r>
      <w:r w:rsidRPr="00A73E21">
        <w:rPr>
          <w:rFonts w:ascii="Arial" w:hAnsi="Arial" w:cs="Arial"/>
          <w:sz w:val="24"/>
          <w:szCs w:val="24"/>
        </w:rPr>
        <w:t xml:space="preserve"> a relation of equality</w:t>
      </w:r>
      <w:r w:rsidRPr="00A73E21">
        <w:rPr>
          <w:rFonts w:ascii="Arial" w:hAnsi="Arial" w:cs="Arial"/>
          <w:sz w:val="24"/>
          <w:szCs w:val="24"/>
          <w:vertAlign w:val="superscript"/>
        </w:rPr>
        <w:footnoteReference w:id="38"/>
      </w:r>
      <w:r w:rsidRPr="00A73E21">
        <w:rPr>
          <w:rFonts w:ascii="Arial" w:hAnsi="Arial" w:cs="Arial"/>
          <w:sz w:val="24"/>
          <w:szCs w:val="24"/>
        </w:rPr>
        <w:t>. “It is relational and social”</w:t>
      </w:r>
      <w:r w:rsidRPr="00A73E21">
        <w:rPr>
          <w:rFonts w:ascii="Arial" w:hAnsi="Arial" w:cs="Arial"/>
          <w:sz w:val="24"/>
          <w:szCs w:val="24"/>
          <w:vertAlign w:val="superscript"/>
        </w:rPr>
        <w:footnoteReference w:id="39"/>
      </w:r>
      <w:r w:rsidR="006F4F42">
        <w:rPr>
          <w:rFonts w:ascii="Arial" w:hAnsi="Arial" w:cs="Arial"/>
          <w:sz w:val="24"/>
          <w:szCs w:val="24"/>
        </w:rPr>
        <w:t xml:space="preserve"> and as it involved</w:t>
      </w:r>
      <w:r w:rsidRPr="00A73E21">
        <w:rPr>
          <w:rFonts w:ascii="Arial" w:hAnsi="Arial" w:cs="Arial"/>
          <w:sz w:val="24"/>
          <w:szCs w:val="24"/>
        </w:rPr>
        <w:t xml:space="preserve"> a comparison between individuals or groups it </w:t>
      </w:r>
      <w:r w:rsidR="006F4F42">
        <w:rPr>
          <w:rFonts w:ascii="Arial" w:hAnsi="Arial" w:cs="Arial"/>
          <w:sz w:val="24"/>
          <w:szCs w:val="24"/>
        </w:rPr>
        <w:t>had to</w:t>
      </w:r>
      <w:r w:rsidRPr="00A73E21">
        <w:rPr>
          <w:rFonts w:ascii="Arial" w:hAnsi="Arial" w:cs="Arial"/>
          <w:sz w:val="24"/>
          <w:szCs w:val="24"/>
        </w:rPr>
        <w:t xml:space="preserve"> be imbued with moral standards.</w:t>
      </w:r>
    </w:p>
    <w:p w:rsidR="00A73E21" w:rsidRPr="00A73E21" w:rsidRDefault="00A73E21" w:rsidP="00A73E21">
      <w:pPr>
        <w:spacing w:line="360" w:lineRule="auto"/>
        <w:jc w:val="both"/>
        <w:rPr>
          <w:rFonts w:ascii="Arial" w:hAnsi="Arial" w:cs="Arial"/>
          <w:sz w:val="24"/>
          <w:szCs w:val="24"/>
        </w:rPr>
      </w:pPr>
    </w:p>
    <w:p w:rsidR="00B3793F" w:rsidRDefault="00A73E21" w:rsidP="00A73E21">
      <w:pPr>
        <w:spacing w:line="360" w:lineRule="auto"/>
        <w:jc w:val="both"/>
        <w:rPr>
          <w:rFonts w:ascii="Arial" w:hAnsi="Arial" w:cs="Arial"/>
          <w:sz w:val="24"/>
          <w:szCs w:val="24"/>
        </w:rPr>
      </w:pPr>
      <w:r w:rsidRPr="00A73E21">
        <w:rPr>
          <w:rFonts w:ascii="Arial" w:hAnsi="Arial" w:cs="Arial"/>
          <w:sz w:val="24"/>
          <w:szCs w:val="24"/>
        </w:rPr>
        <w:t>Barnard has attempted to fill the vacuum of formal equality with the concept of non-discrimination</w:t>
      </w:r>
      <w:r w:rsidRPr="00A73E21">
        <w:rPr>
          <w:rFonts w:ascii="Arial" w:hAnsi="Arial" w:cs="Arial"/>
          <w:sz w:val="24"/>
          <w:szCs w:val="24"/>
          <w:vertAlign w:val="superscript"/>
        </w:rPr>
        <w:footnoteReference w:id="40"/>
      </w:r>
      <w:r w:rsidRPr="00A73E21">
        <w:rPr>
          <w:rFonts w:ascii="Arial" w:hAnsi="Arial" w:cs="Arial"/>
          <w:sz w:val="24"/>
          <w:szCs w:val="24"/>
        </w:rPr>
        <w:t>. This is a valid attempt to find answers to the questions that Westen sets</w:t>
      </w:r>
      <w:r w:rsidR="00B3793F">
        <w:rPr>
          <w:rFonts w:ascii="Arial" w:hAnsi="Arial" w:cs="Arial"/>
          <w:sz w:val="24"/>
          <w:szCs w:val="24"/>
        </w:rPr>
        <w:t xml:space="preserve"> and indeed the concept of non-discrimination in the UK has developed in an incremental and singular manner, first with the Equal Pay Act 1970, then the SDA75, and the Race Relations Act 1976 and so on</w:t>
      </w:r>
      <w:r w:rsidRPr="00A73E21">
        <w:rPr>
          <w:rFonts w:ascii="Arial" w:hAnsi="Arial" w:cs="Arial"/>
          <w:sz w:val="24"/>
          <w:szCs w:val="24"/>
        </w:rPr>
        <w:t xml:space="preserve">. </w:t>
      </w:r>
      <w:r w:rsidR="00B3793F">
        <w:rPr>
          <w:rFonts w:ascii="Arial" w:hAnsi="Arial" w:cs="Arial"/>
          <w:sz w:val="24"/>
          <w:szCs w:val="24"/>
        </w:rPr>
        <w:t>The effect has</w:t>
      </w:r>
      <w:r w:rsidR="00C669C5">
        <w:rPr>
          <w:rFonts w:ascii="Arial" w:hAnsi="Arial" w:cs="Arial"/>
          <w:sz w:val="24"/>
          <w:szCs w:val="24"/>
        </w:rPr>
        <w:t xml:space="preserve"> been to establish discrete are</w:t>
      </w:r>
      <w:r w:rsidR="00B3793F">
        <w:rPr>
          <w:rFonts w:ascii="Arial" w:hAnsi="Arial" w:cs="Arial"/>
          <w:sz w:val="24"/>
          <w:szCs w:val="24"/>
        </w:rPr>
        <w:t xml:space="preserve">as of non-discrimination without a defining principle of equal treatment imbued with moral values that constitutes substantive equality. This is at odds with the </w:t>
      </w:r>
      <w:r w:rsidR="00CC380F">
        <w:rPr>
          <w:rFonts w:ascii="Arial" w:hAnsi="Arial" w:cs="Arial"/>
          <w:sz w:val="24"/>
          <w:szCs w:val="24"/>
        </w:rPr>
        <w:t xml:space="preserve">experience of the </w:t>
      </w:r>
      <w:r w:rsidR="00B3793F">
        <w:rPr>
          <w:rFonts w:ascii="Arial" w:hAnsi="Arial" w:cs="Arial"/>
          <w:sz w:val="24"/>
          <w:szCs w:val="24"/>
        </w:rPr>
        <w:t>US</w:t>
      </w:r>
      <w:r w:rsidR="00CC380F">
        <w:rPr>
          <w:rFonts w:ascii="Arial" w:hAnsi="Arial" w:cs="Arial"/>
          <w:sz w:val="24"/>
          <w:szCs w:val="24"/>
        </w:rPr>
        <w:t>A</w:t>
      </w:r>
      <w:r w:rsidR="00B3793F">
        <w:rPr>
          <w:rFonts w:ascii="Arial" w:hAnsi="Arial" w:cs="Arial"/>
          <w:sz w:val="24"/>
          <w:szCs w:val="24"/>
        </w:rPr>
        <w:t xml:space="preserve"> and </w:t>
      </w:r>
      <w:r w:rsidR="00CC380F">
        <w:rPr>
          <w:rFonts w:ascii="Arial" w:hAnsi="Arial" w:cs="Arial"/>
          <w:sz w:val="24"/>
          <w:szCs w:val="24"/>
        </w:rPr>
        <w:t xml:space="preserve">in particular </w:t>
      </w:r>
      <w:r w:rsidR="00B3793F">
        <w:rPr>
          <w:rFonts w:ascii="Arial" w:hAnsi="Arial" w:cs="Arial"/>
          <w:sz w:val="24"/>
          <w:szCs w:val="24"/>
        </w:rPr>
        <w:t>the Civil Rights Act 1964.</w:t>
      </w:r>
    </w:p>
    <w:p w:rsidR="00B3793F" w:rsidRDefault="00B3793F" w:rsidP="00A73E21">
      <w:pPr>
        <w:spacing w:line="360" w:lineRule="auto"/>
        <w:jc w:val="both"/>
        <w:rPr>
          <w:rFonts w:ascii="Arial" w:hAnsi="Arial" w:cs="Arial"/>
          <w:sz w:val="24"/>
          <w:szCs w:val="24"/>
        </w:rPr>
      </w:pPr>
    </w:p>
    <w:p w:rsidR="00C669C5" w:rsidRDefault="00B3793F" w:rsidP="009C7FE1">
      <w:pPr>
        <w:spacing w:line="360" w:lineRule="auto"/>
        <w:jc w:val="both"/>
        <w:rPr>
          <w:rFonts w:ascii="Arial" w:hAnsi="Arial" w:cs="Arial"/>
          <w:sz w:val="24"/>
          <w:szCs w:val="24"/>
        </w:rPr>
      </w:pPr>
      <w:r>
        <w:rPr>
          <w:rFonts w:ascii="Arial" w:hAnsi="Arial" w:cs="Arial"/>
          <w:sz w:val="24"/>
          <w:szCs w:val="24"/>
        </w:rPr>
        <w:t>The position in the UK has undergone a transformation with the adoption of the Equality Act 2006</w:t>
      </w:r>
      <w:r w:rsidR="00CC380F">
        <w:rPr>
          <w:rFonts w:ascii="Arial" w:hAnsi="Arial" w:cs="Arial"/>
          <w:sz w:val="24"/>
          <w:szCs w:val="24"/>
        </w:rPr>
        <w:t xml:space="preserve"> (EA06)</w:t>
      </w:r>
      <w:r>
        <w:rPr>
          <w:rFonts w:ascii="Arial" w:hAnsi="Arial" w:cs="Arial"/>
          <w:sz w:val="24"/>
          <w:szCs w:val="24"/>
        </w:rPr>
        <w:t xml:space="preserve"> followed by the Equality Act 2010</w:t>
      </w:r>
      <w:r w:rsidR="00CC380F">
        <w:rPr>
          <w:rFonts w:ascii="Arial" w:hAnsi="Arial" w:cs="Arial"/>
          <w:sz w:val="24"/>
          <w:szCs w:val="24"/>
        </w:rPr>
        <w:t xml:space="preserve"> (EA10)</w:t>
      </w:r>
      <w:r>
        <w:rPr>
          <w:rFonts w:ascii="Arial" w:hAnsi="Arial" w:cs="Arial"/>
          <w:sz w:val="24"/>
          <w:szCs w:val="24"/>
        </w:rPr>
        <w:t xml:space="preserve">. </w:t>
      </w:r>
      <w:r w:rsidR="00CC380F">
        <w:rPr>
          <w:rFonts w:ascii="Arial" w:hAnsi="Arial" w:cs="Arial"/>
          <w:sz w:val="24"/>
          <w:szCs w:val="24"/>
        </w:rPr>
        <w:t xml:space="preserve">EA06 s 1 established a new single Commission for Equality and Human Rights to replace the patchwork of different bodies designed to protect single issue areas of non-discrimination. The Commission was presented with a general duty in s 3 to </w:t>
      </w:r>
      <w:r w:rsidR="002C537A">
        <w:rPr>
          <w:rFonts w:ascii="Arial" w:hAnsi="Arial" w:cs="Arial"/>
          <w:sz w:val="24"/>
          <w:szCs w:val="24"/>
        </w:rPr>
        <w:t>“</w:t>
      </w:r>
      <w:r w:rsidR="00CC380F">
        <w:rPr>
          <w:rFonts w:ascii="Arial" w:hAnsi="Arial" w:cs="Arial"/>
          <w:sz w:val="24"/>
          <w:szCs w:val="24"/>
        </w:rPr>
        <w:t>exercise its functions...</w:t>
      </w:r>
      <w:r w:rsidR="00CC380F" w:rsidRPr="00CC380F">
        <w:rPr>
          <w:rFonts w:ascii="Arial" w:hAnsi="Arial" w:cs="Arial"/>
          <w:sz w:val="24"/>
          <w:szCs w:val="24"/>
        </w:rPr>
        <w:t>with a view to</w:t>
      </w:r>
      <w:r w:rsidR="00CC380F">
        <w:rPr>
          <w:rFonts w:ascii="Arial" w:hAnsi="Arial" w:cs="Arial"/>
          <w:sz w:val="24"/>
          <w:szCs w:val="24"/>
        </w:rPr>
        <w:t xml:space="preserve"> </w:t>
      </w:r>
      <w:r w:rsidR="00CC380F" w:rsidRPr="00CC380F">
        <w:rPr>
          <w:rFonts w:ascii="Arial" w:hAnsi="Arial" w:cs="Arial"/>
          <w:sz w:val="24"/>
          <w:szCs w:val="24"/>
        </w:rPr>
        <w:t>encouraging and supporting the development of a society in which</w:t>
      </w:r>
      <w:r w:rsidR="00CC380F">
        <w:rPr>
          <w:rFonts w:ascii="Arial" w:hAnsi="Arial" w:cs="Arial"/>
          <w:sz w:val="24"/>
          <w:szCs w:val="24"/>
        </w:rPr>
        <w:t>:</w:t>
      </w:r>
      <w:r w:rsidR="002C537A">
        <w:rPr>
          <w:rFonts w:ascii="Arial" w:hAnsi="Arial" w:cs="Arial"/>
          <w:sz w:val="24"/>
          <w:szCs w:val="24"/>
        </w:rPr>
        <w:t xml:space="preserve"> (a) </w:t>
      </w:r>
      <w:r w:rsidR="002C537A" w:rsidRPr="002C537A">
        <w:rPr>
          <w:rFonts w:ascii="Arial" w:hAnsi="Arial" w:cs="Arial"/>
          <w:sz w:val="24"/>
          <w:szCs w:val="24"/>
        </w:rPr>
        <w:t>people’s ability to achieve their potential is not limited by prejudice or</w:t>
      </w:r>
      <w:r w:rsidR="002C537A">
        <w:rPr>
          <w:rFonts w:ascii="Arial" w:hAnsi="Arial" w:cs="Arial"/>
          <w:sz w:val="24"/>
          <w:szCs w:val="24"/>
        </w:rPr>
        <w:t xml:space="preserve"> </w:t>
      </w:r>
      <w:r w:rsidR="002C537A" w:rsidRPr="002C537A">
        <w:rPr>
          <w:rFonts w:ascii="Arial" w:hAnsi="Arial" w:cs="Arial"/>
          <w:sz w:val="24"/>
          <w:szCs w:val="24"/>
        </w:rPr>
        <w:t>discrimination</w:t>
      </w:r>
      <w:r w:rsidR="002C537A">
        <w:rPr>
          <w:rFonts w:ascii="Arial" w:hAnsi="Arial" w:cs="Arial"/>
          <w:sz w:val="24"/>
          <w:szCs w:val="24"/>
        </w:rPr>
        <w:t xml:space="preserve">; (b) </w:t>
      </w:r>
      <w:r w:rsidR="002C537A" w:rsidRPr="002C537A">
        <w:rPr>
          <w:rFonts w:ascii="Arial" w:hAnsi="Arial" w:cs="Arial"/>
          <w:sz w:val="24"/>
          <w:szCs w:val="24"/>
        </w:rPr>
        <w:t>there is respect for and protection of</w:t>
      </w:r>
      <w:r w:rsidR="002C537A">
        <w:rPr>
          <w:rFonts w:ascii="Arial" w:hAnsi="Arial" w:cs="Arial"/>
          <w:sz w:val="24"/>
          <w:szCs w:val="24"/>
        </w:rPr>
        <w:t xml:space="preserve"> each individual’s human rights; </w:t>
      </w:r>
      <w:r w:rsidR="002C537A" w:rsidRPr="002C537A">
        <w:rPr>
          <w:rFonts w:ascii="Arial" w:hAnsi="Arial" w:cs="Arial"/>
          <w:sz w:val="24"/>
          <w:szCs w:val="24"/>
        </w:rPr>
        <w:t>(c) there is respect for the dignity and worth of each individual</w:t>
      </w:r>
      <w:r w:rsidR="002C537A">
        <w:rPr>
          <w:rFonts w:ascii="Arial" w:hAnsi="Arial" w:cs="Arial"/>
          <w:sz w:val="24"/>
          <w:szCs w:val="24"/>
        </w:rPr>
        <w:t xml:space="preserve">; </w:t>
      </w:r>
      <w:r w:rsidR="002C537A" w:rsidRPr="002C537A">
        <w:rPr>
          <w:rFonts w:ascii="Arial" w:hAnsi="Arial" w:cs="Arial"/>
          <w:sz w:val="24"/>
          <w:szCs w:val="24"/>
        </w:rPr>
        <w:t>(d) each individual has an equal opport</w:t>
      </w:r>
      <w:r w:rsidR="002C537A">
        <w:rPr>
          <w:rFonts w:ascii="Arial" w:hAnsi="Arial" w:cs="Arial"/>
          <w:sz w:val="24"/>
          <w:szCs w:val="24"/>
        </w:rPr>
        <w:t>unity to participate in society;</w:t>
      </w:r>
      <w:r w:rsidR="002C537A" w:rsidRPr="002C537A">
        <w:rPr>
          <w:rFonts w:ascii="Arial" w:hAnsi="Arial" w:cs="Arial"/>
          <w:sz w:val="24"/>
          <w:szCs w:val="24"/>
        </w:rPr>
        <w:t xml:space="preserve"> and</w:t>
      </w:r>
      <w:r w:rsidR="002C537A">
        <w:rPr>
          <w:rFonts w:ascii="Arial" w:hAnsi="Arial" w:cs="Arial"/>
          <w:sz w:val="24"/>
          <w:szCs w:val="24"/>
        </w:rPr>
        <w:t xml:space="preserve">, </w:t>
      </w:r>
      <w:r w:rsidR="002C537A" w:rsidRPr="002C537A">
        <w:rPr>
          <w:rFonts w:ascii="Arial" w:hAnsi="Arial" w:cs="Arial"/>
          <w:sz w:val="24"/>
          <w:szCs w:val="24"/>
        </w:rPr>
        <w:t xml:space="preserve">(e) there is </w:t>
      </w:r>
      <w:r w:rsidR="002C537A" w:rsidRPr="002C537A">
        <w:rPr>
          <w:rFonts w:ascii="Arial" w:hAnsi="Arial" w:cs="Arial"/>
          <w:sz w:val="24"/>
          <w:szCs w:val="24"/>
        </w:rPr>
        <w:lastRenderedPageBreak/>
        <w:t>mutual respect between groups based on understanding and</w:t>
      </w:r>
      <w:r w:rsidR="002C537A">
        <w:rPr>
          <w:rFonts w:ascii="Arial" w:hAnsi="Arial" w:cs="Arial"/>
          <w:sz w:val="24"/>
          <w:szCs w:val="24"/>
        </w:rPr>
        <w:t xml:space="preserve"> </w:t>
      </w:r>
      <w:r w:rsidR="002C537A" w:rsidRPr="002C537A">
        <w:rPr>
          <w:rFonts w:ascii="Arial" w:hAnsi="Arial" w:cs="Arial"/>
          <w:sz w:val="24"/>
          <w:szCs w:val="24"/>
        </w:rPr>
        <w:t>valuing of diversity and on shared respect for equality and human</w:t>
      </w:r>
      <w:r w:rsidR="002C537A">
        <w:rPr>
          <w:rFonts w:ascii="Arial" w:hAnsi="Arial" w:cs="Arial"/>
          <w:sz w:val="24"/>
          <w:szCs w:val="24"/>
        </w:rPr>
        <w:t xml:space="preserve"> </w:t>
      </w:r>
      <w:r w:rsidR="002C537A" w:rsidRPr="002C537A">
        <w:rPr>
          <w:rFonts w:ascii="Arial" w:hAnsi="Arial" w:cs="Arial"/>
          <w:sz w:val="24"/>
          <w:szCs w:val="24"/>
        </w:rPr>
        <w:t>rights.</w:t>
      </w:r>
      <w:r w:rsidR="002C537A">
        <w:rPr>
          <w:rFonts w:ascii="Arial" w:hAnsi="Arial" w:cs="Arial"/>
          <w:sz w:val="24"/>
          <w:szCs w:val="24"/>
        </w:rPr>
        <w:t>” This has been taken even further by the EA10, abolishing the previous non-discrimination law and replacing them with a single law based on the principle of equality. This does not go as far as establishing a constitutional right to equality</w:t>
      </w:r>
      <w:r w:rsidR="002C537A">
        <w:rPr>
          <w:rStyle w:val="FootnoteReference"/>
          <w:rFonts w:ascii="Arial" w:hAnsi="Arial" w:cs="Arial"/>
          <w:sz w:val="24"/>
          <w:szCs w:val="24"/>
        </w:rPr>
        <w:footnoteReference w:id="41"/>
      </w:r>
      <w:r w:rsidR="00832087">
        <w:rPr>
          <w:rFonts w:ascii="Arial" w:hAnsi="Arial" w:cs="Arial"/>
          <w:sz w:val="24"/>
          <w:szCs w:val="24"/>
        </w:rPr>
        <w:t xml:space="preserve"> but it does establish</w:t>
      </w:r>
      <w:r w:rsidR="002C537A">
        <w:rPr>
          <w:rFonts w:ascii="Arial" w:hAnsi="Arial" w:cs="Arial"/>
          <w:sz w:val="24"/>
          <w:szCs w:val="24"/>
        </w:rPr>
        <w:t xml:space="preserve"> a substantive principle of equal treatment.</w:t>
      </w:r>
      <w:r w:rsidR="00F357F3">
        <w:rPr>
          <w:rFonts w:ascii="Arial" w:hAnsi="Arial" w:cs="Arial"/>
          <w:sz w:val="24"/>
          <w:szCs w:val="24"/>
        </w:rPr>
        <w:t xml:space="preserve"> It first imposes </w:t>
      </w:r>
      <w:r w:rsidR="00832087">
        <w:rPr>
          <w:rFonts w:ascii="Arial" w:hAnsi="Arial" w:cs="Arial"/>
          <w:sz w:val="24"/>
          <w:szCs w:val="24"/>
        </w:rPr>
        <w:t xml:space="preserve">in Part 1 </w:t>
      </w:r>
      <w:r w:rsidR="00F357F3">
        <w:rPr>
          <w:rFonts w:ascii="Arial" w:hAnsi="Arial" w:cs="Arial"/>
          <w:sz w:val="24"/>
          <w:szCs w:val="24"/>
        </w:rPr>
        <w:t>a duty on public sector authorities to mainstream equality of outcomes as a result of socio-economic disadvantage when</w:t>
      </w:r>
      <w:r w:rsidR="00832087">
        <w:rPr>
          <w:rFonts w:ascii="Arial" w:hAnsi="Arial" w:cs="Arial"/>
          <w:sz w:val="24"/>
          <w:szCs w:val="24"/>
        </w:rPr>
        <w:t xml:space="preserve"> </w:t>
      </w:r>
      <w:r w:rsidR="00F357F3">
        <w:rPr>
          <w:rFonts w:ascii="Arial" w:hAnsi="Arial" w:cs="Arial"/>
          <w:sz w:val="24"/>
          <w:szCs w:val="24"/>
        </w:rPr>
        <w:t>making strategic decisions on the exercising of functions</w:t>
      </w:r>
      <w:r w:rsidR="00832087">
        <w:rPr>
          <w:rFonts w:ascii="Arial" w:hAnsi="Arial" w:cs="Arial"/>
          <w:sz w:val="24"/>
          <w:szCs w:val="24"/>
        </w:rPr>
        <w:t xml:space="preserve"> (s 1(1))</w:t>
      </w:r>
      <w:r w:rsidR="00F357F3">
        <w:rPr>
          <w:rFonts w:ascii="Arial" w:hAnsi="Arial" w:cs="Arial"/>
          <w:sz w:val="24"/>
          <w:szCs w:val="24"/>
        </w:rPr>
        <w:t xml:space="preserve">. In the context of the military </w:t>
      </w:r>
      <w:r w:rsidR="00832087">
        <w:rPr>
          <w:rFonts w:ascii="Arial" w:hAnsi="Arial" w:cs="Arial"/>
          <w:sz w:val="24"/>
          <w:szCs w:val="24"/>
        </w:rPr>
        <w:t xml:space="preserve">these </w:t>
      </w:r>
      <w:r w:rsidR="00F357F3">
        <w:rPr>
          <w:rFonts w:ascii="Arial" w:hAnsi="Arial" w:cs="Arial"/>
          <w:sz w:val="24"/>
          <w:szCs w:val="24"/>
        </w:rPr>
        <w:t>authorities include</w:t>
      </w:r>
      <w:r w:rsidR="00832087">
        <w:rPr>
          <w:rFonts w:ascii="Arial" w:hAnsi="Arial" w:cs="Arial"/>
          <w:sz w:val="24"/>
          <w:szCs w:val="24"/>
        </w:rPr>
        <w:t xml:space="preserve"> Ministers of the Crown and government departments (s 1(3</w:t>
      </w:r>
      <w:proofErr w:type="gramStart"/>
      <w:r w:rsidR="00832087">
        <w:rPr>
          <w:rFonts w:ascii="Arial" w:hAnsi="Arial" w:cs="Arial"/>
          <w:sz w:val="24"/>
          <w:szCs w:val="24"/>
        </w:rPr>
        <w:t>)(</w:t>
      </w:r>
      <w:proofErr w:type="gramEnd"/>
      <w:r w:rsidR="00832087">
        <w:rPr>
          <w:rFonts w:ascii="Arial" w:hAnsi="Arial" w:cs="Arial"/>
          <w:sz w:val="24"/>
          <w:szCs w:val="24"/>
        </w:rPr>
        <w:t xml:space="preserve">a)&amp;(b)). </w:t>
      </w:r>
      <w:r w:rsidR="00C669C5">
        <w:rPr>
          <w:rFonts w:ascii="Arial" w:hAnsi="Arial" w:cs="Arial"/>
          <w:sz w:val="24"/>
          <w:szCs w:val="24"/>
        </w:rPr>
        <w:t>Fredman</w:t>
      </w:r>
      <w:r w:rsidR="009D033A">
        <w:rPr>
          <w:rStyle w:val="FootnoteReference"/>
          <w:rFonts w:ascii="Arial" w:hAnsi="Arial" w:cs="Arial"/>
          <w:sz w:val="24"/>
          <w:szCs w:val="24"/>
        </w:rPr>
        <w:footnoteReference w:id="42"/>
      </w:r>
      <w:r w:rsidR="00C669C5">
        <w:rPr>
          <w:rFonts w:ascii="Arial" w:hAnsi="Arial" w:cs="Arial"/>
          <w:sz w:val="24"/>
          <w:szCs w:val="24"/>
        </w:rPr>
        <w:t xml:space="preserve"> has recently stated that </w:t>
      </w:r>
      <w:r w:rsidR="009D033A">
        <w:rPr>
          <w:rFonts w:ascii="Arial" w:hAnsi="Arial" w:cs="Arial"/>
          <w:sz w:val="24"/>
          <w:szCs w:val="24"/>
        </w:rPr>
        <w:t>this duty does not apply to the armed forces. On the face of the Act she is correct but it will apply to the MoD and Secretary of State for Defence when making strategic decisions, e.g. the forthcoming Strategic Defence Review.</w:t>
      </w:r>
    </w:p>
    <w:p w:rsidR="00C669C5" w:rsidRDefault="00C669C5" w:rsidP="009C7FE1">
      <w:pPr>
        <w:spacing w:line="360" w:lineRule="auto"/>
        <w:jc w:val="both"/>
        <w:rPr>
          <w:rFonts w:ascii="Arial" w:hAnsi="Arial" w:cs="Arial"/>
          <w:sz w:val="24"/>
          <w:szCs w:val="24"/>
        </w:rPr>
      </w:pPr>
    </w:p>
    <w:p w:rsidR="00B3793F" w:rsidRDefault="00832087" w:rsidP="009C7FE1">
      <w:pPr>
        <w:spacing w:line="360" w:lineRule="auto"/>
        <w:jc w:val="both"/>
        <w:rPr>
          <w:rFonts w:ascii="Arial" w:hAnsi="Arial" w:cs="Arial"/>
          <w:sz w:val="24"/>
          <w:szCs w:val="24"/>
        </w:rPr>
      </w:pPr>
      <w:r>
        <w:rPr>
          <w:rFonts w:ascii="Arial" w:hAnsi="Arial" w:cs="Arial"/>
          <w:sz w:val="24"/>
          <w:szCs w:val="24"/>
        </w:rPr>
        <w:t>Part 2 outlines the substantive issues of equality. Chapter 1 provides a list of protected characteristics constituting age, disability, gender reassignment, marriage and civil partnership, pregnancy and maternity, race, religion or belief, sex and sexual orientation (s 4) and a definition of each characteristic (</w:t>
      </w:r>
      <w:proofErr w:type="spellStart"/>
      <w:r>
        <w:rPr>
          <w:rFonts w:ascii="Arial" w:hAnsi="Arial" w:cs="Arial"/>
          <w:sz w:val="24"/>
          <w:szCs w:val="24"/>
        </w:rPr>
        <w:t>ss</w:t>
      </w:r>
      <w:proofErr w:type="spellEnd"/>
      <w:r>
        <w:rPr>
          <w:rFonts w:ascii="Arial" w:hAnsi="Arial" w:cs="Arial"/>
          <w:sz w:val="24"/>
          <w:szCs w:val="24"/>
        </w:rPr>
        <w:t xml:space="preserve"> 5-12). </w:t>
      </w:r>
      <w:r w:rsidR="004C00AB">
        <w:rPr>
          <w:rFonts w:ascii="Arial" w:hAnsi="Arial" w:cs="Arial"/>
          <w:sz w:val="24"/>
          <w:szCs w:val="24"/>
        </w:rPr>
        <w:t>Chapter 2 outlines prohibited conduct</w:t>
      </w:r>
      <w:r w:rsidR="003B1F8E">
        <w:rPr>
          <w:rFonts w:ascii="Arial" w:hAnsi="Arial" w:cs="Arial"/>
          <w:sz w:val="24"/>
          <w:szCs w:val="24"/>
        </w:rPr>
        <w:t xml:space="preserve"> of which direct discrimination, indirect discrimination, haras</w:t>
      </w:r>
      <w:r w:rsidR="00CD4B5F">
        <w:rPr>
          <w:rFonts w:ascii="Arial" w:hAnsi="Arial" w:cs="Arial"/>
          <w:sz w:val="24"/>
          <w:szCs w:val="24"/>
        </w:rPr>
        <w:t>sme</w:t>
      </w:r>
      <w:r w:rsidR="003B1F8E">
        <w:rPr>
          <w:rFonts w:ascii="Arial" w:hAnsi="Arial" w:cs="Arial"/>
          <w:sz w:val="24"/>
          <w:szCs w:val="24"/>
        </w:rPr>
        <w:t>n</w:t>
      </w:r>
      <w:r w:rsidR="00CD4B5F">
        <w:rPr>
          <w:rFonts w:ascii="Arial" w:hAnsi="Arial" w:cs="Arial"/>
          <w:sz w:val="24"/>
          <w:szCs w:val="24"/>
        </w:rPr>
        <w:t>t and victimisation are significantly modified from previous legislation</w:t>
      </w:r>
      <w:r w:rsidR="004C00AB">
        <w:rPr>
          <w:rFonts w:ascii="Arial" w:hAnsi="Arial" w:cs="Arial"/>
          <w:sz w:val="24"/>
          <w:szCs w:val="24"/>
        </w:rPr>
        <w:t xml:space="preserve">. Direct discrimination is defined in s 13(1) as “[a] </w:t>
      </w:r>
      <w:r w:rsidR="004C00AB" w:rsidRPr="004C00AB">
        <w:rPr>
          <w:rFonts w:ascii="Arial" w:hAnsi="Arial" w:cs="Arial"/>
          <w:sz w:val="24"/>
          <w:szCs w:val="24"/>
        </w:rPr>
        <w:t>person (A) discriminates against another (B) if, because of a protected</w:t>
      </w:r>
      <w:r w:rsidR="004C00AB">
        <w:rPr>
          <w:rFonts w:ascii="Arial" w:hAnsi="Arial" w:cs="Arial"/>
          <w:sz w:val="24"/>
          <w:szCs w:val="24"/>
        </w:rPr>
        <w:t xml:space="preserve"> </w:t>
      </w:r>
      <w:r w:rsidR="004C00AB" w:rsidRPr="004C00AB">
        <w:rPr>
          <w:rFonts w:ascii="Arial" w:hAnsi="Arial" w:cs="Arial"/>
          <w:sz w:val="24"/>
          <w:szCs w:val="24"/>
        </w:rPr>
        <w:t xml:space="preserve">characteristic, </w:t>
      </w:r>
      <w:proofErr w:type="gramStart"/>
      <w:r w:rsidR="004C00AB" w:rsidRPr="004C00AB">
        <w:rPr>
          <w:rFonts w:ascii="Arial" w:hAnsi="Arial" w:cs="Arial"/>
          <w:sz w:val="24"/>
          <w:szCs w:val="24"/>
        </w:rPr>
        <w:t>A</w:t>
      </w:r>
      <w:proofErr w:type="gramEnd"/>
      <w:r w:rsidR="004C00AB" w:rsidRPr="004C00AB">
        <w:rPr>
          <w:rFonts w:ascii="Arial" w:hAnsi="Arial" w:cs="Arial"/>
          <w:sz w:val="24"/>
          <w:szCs w:val="24"/>
        </w:rPr>
        <w:t xml:space="preserve"> treats B less favourably than A treats or would treat others.</w:t>
      </w:r>
      <w:r w:rsidR="004C00AB">
        <w:rPr>
          <w:rFonts w:ascii="Arial" w:hAnsi="Arial" w:cs="Arial"/>
          <w:sz w:val="24"/>
          <w:szCs w:val="24"/>
        </w:rPr>
        <w:t xml:space="preserve">” Discrimination can be justified </w:t>
      </w:r>
      <w:r w:rsidR="00775189">
        <w:rPr>
          <w:rFonts w:ascii="Arial" w:hAnsi="Arial" w:cs="Arial"/>
          <w:sz w:val="24"/>
          <w:szCs w:val="24"/>
        </w:rPr>
        <w:t>if proportionate if the protected characteristic is age (s 13(2)) but the remaining parts of s 13 provides more protection for specific persons with specific protected characteristics. For example less favourable treatment for race includes segregating B from others (s 13(5)) and a woman breast-feeding (s 13(6</w:t>
      </w:r>
      <w:proofErr w:type="gramStart"/>
      <w:r w:rsidR="00775189">
        <w:rPr>
          <w:rFonts w:ascii="Arial" w:hAnsi="Arial" w:cs="Arial"/>
          <w:sz w:val="24"/>
          <w:szCs w:val="24"/>
        </w:rPr>
        <w:t>)(</w:t>
      </w:r>
      <w:proofErr w:type="gramEnd"/>
      <w:r w:rsidR="00775189">
        <w:rPr>
          <w:rFonts w:ascii="Arial" w:hAnsi="Arial" w:cs="Arial"/>
          <w:sz w:val="24"/>
          <w:szCs w:val="24"/>
        </w:rPr>
        <w:t xml:space="preserve">a)). These are augmented by </w:t>
      </w:r>
      <w:proofErr w:type="spellStart"/>
      <w:r w:rsidR="00775189">
        <w:rPr>
          <w:rFonts w:ascii="Arial" w:hAnsi="Arial" w:cs="Arial"/>
          <w:sz w:val="24"/>
          <w:szCs w:val="24"/>
        </w:rPr>
        <w:t>ss</w:t>
      </w:r>
      <w:proofErr w:type="spellEnd"/>
      <w:r w:rsidR="00775189">
        <w:rPr>
          <w:rFonts w:ascii="Arial" w:hAnsi="Arial" w:cs="Arial"/>
          <w:sz w:val="24"/>
          <w:szCs w:val="24"/>
        </w:rPr>
        <w:t xml:space="preserve"> 15-18. A new development is the provision on multiple discrimination</w:t>
      </w:r>
      <w:r w:rsidR="00775189">
        <w:rPr>
          <w:rStyle w:val="FootnoteReference"/>
          <w:rFonts w:ascii="Arial" w:hAnsi="Arial" w:cs="Arial"/>
          <w:sz w:val="24"/>
          <w:szCs w:val="24"/>
        </w:rPr>
        <w:footnoteReference w:id="43"/>
      </w:r>
      <w:r w:rsidR="00775189">
        <w:rPr>
          <w:rFonts w:ascii="Arial" w:hAnsi="Arial" w:cs="Arial"/>
          <w:sz w:val="24"/>
          <w:szCs w:val="24"/>
        </w:rPr>
        <w:t xml:space="preserve"> </w:t>
      </w:r>
      <w:r w:rsidR="003B1F8E">
        <w:rPr>
          <w:rFonts w:ascii="Arial" w:hAnsi="Arial" w:cs="Arial"/>
          <w:sz w:val="24"/>
          <w:szCs w:val="24"/>
        </w:rPr>
        <w:t xml:space="preserve">contained in s 14 </w:t>
      </w:r>
      <w:r w:rsidR="003B1F8E">
        <w:rPr>
          <w:rFonts w:ascii="Arial" w:hAnsi="Arial" w:cs="Arial"/>
          <w:sz w:val="24"/>
          <w:szCs w:val="24"/>
        </w:rPr>
        <w:lastRenderedPageBreak/>
        <w:t xml:space="preserve">that provides that “[a] </w:t>
      </w:r>
      <w:r w:rsidR="003B1F8E" w:rsidRPr="003B1F8E">
        <w:rPr>
          <w:rFonts w:ascii="Arial" w:hAnsi="Arial" w:cs="Arial"/>
          <w:sz w:val="24"/>
          <w:szCs w:val="24"/>
        </w:rPr>
        <w:t>person (A) discriminates against another (B) if, because of a combination of</w:t>
      </w:r>
      <w:r w:rsidR="003B1F8E">
        <w:rPr>
          <w:rFonts w:ascii="Arial" w:hAnsi="Arial" w:cs="Arial"/>
          <w:sz w:val="24"/>
          <w:szCs w:val="24"/>
        </w:rPr>
        <w:t xml:space="preserve"> </w:t>
      </w:r>
      <w:r w:rsidR="003B1F8E" w:rsidRPr="003B1F8E">
        <w:rPr>
          <w:rFonts w:ascii="Arial" w:hAnsi="Arial" w:cs="Arial"/>
          <w:sz w:val="24"/>
          <w:szCs w:val="24"/>
        </w:rPr>
        <w:t xml:space="preserve">two relevant protected characteristics, </w:t>
      </w:r>
      <w:proofErr w:type="gramStart"/>
      <w:r w:rsidR="003B1F8E" w:rsidRPr="003B1F8E">
        <w:rPr>
          <w:rFonts w:ascii="Arial" w:hAnsi="Arial" w:cs="Arial"/>
          <w:sz w:val="24"/>
          <w:szCs w:val="24"/>
        </w:rPr>
        <w:t>A</w:t>
      </w:r>
      <w:proofErr w:type="gramEnd"/>
      <w:r w:rsidR="003B1F8E" w:rsidRPr="003B1F8E">
        <w:rPr>
          <w:rFonts w:ascii="Arial" w:hAnsi="Arial" w:cs="Arial"/>
          <w:sz w:val="24"/>
          <w:szCs w:val="24"/>
        </w:rPr>
        <w:t xml:space="preserve"> treats B less favourably than A treats</w:t>
      </w:r>
      <w:r w:rsidR="003B1F8E">
        <w:rPr>
          <w:rFonts w:ascii="Arial" w:hAnsi="Arial" w:cs="Arial"/>
          <w:sz w:val="24"/>
          <w:szCs w:val="24"/>
        </w:rPr>
        <w:t xml:space="preserve"> </w:t>
      </w:r>
      <w:r w:rsidR="003B1F8E" w:rsidRPr="003B1F8E">
        <w:rPr>
          <w:rFonts w:ascii="Arial" w:hAnsi="Arial" w:cs="Arial"/>
          <w:sz w:val="24"/>
          <w:szCs w:val="24"/>
        </w:rPr>
        <w:t>or would treat a person who does not share either of those characteristics.</w:t>
      </w:r>
      <w:r w:rsidR="003B1F8E">
        <w:rPr>
          <w:rFonts w:ascii="Arial" w:hAnsi="Arial" w:cs="Arial"/>
          <w:sz w:val="24"/>
          <w:szCs w:val="24"/>
        </w:rPr>
        <w:t xml:space="preserve">” </w:t>
      </w:r>
      <w:r w:rsidR="00CD4B5F">
        <w:rPr>
          <w:rFonts w:ascii="Arial" w:hAnsi="Arial" w:cs="Arial"/>
          <w:sz w:val="24"/>
          <w:szCs w:val="24"/>
        </w:rPr>
        <w:t xml:space="preserve">Indirect discrimination in s 19(1) is defined as “[a] </w:t>
      </w:r>
      <w:r w:rsidR="00CD4B5F" w:rsidRPr="00CD4B5F">
        <w:rPr>
          <w:rFonts w:ascii="Arial" w:hAnsi="Arial" w:cs="Arial"/>
          <w:sz w:val="24"/>
          <w:szCs w:val="24"/>
        </w:rPr>
        <w:t>person (A) discriminates against another (B) if A applies to B a provision,</w:t>
      </w:r>
      <w:r w:rsidR="00CD4B5F">
        <w:rPr>
          <w:rFonts w:ascii="Arial" w:hAnsi="Arial" w:cs="Arial"/>
          <w:sz w:val="24"/>
          <w:szCs w:val="24"/>
        </w:rPr>
        <w:t xml:space="preserve"> </w:t>
      </w:r>
      <w:r w:rsidR="00CD4B5F" w:rsidRPr="00CD4B5F">
        <w:rPr>
          <w:rFonts w:ascii="Arial" w:hAnsi="Arial" w:cs="Arial"/>
          <w:sz w:val="24"/>
          <w:szCs w:val="24"/>
        </w:rPr>
        <w:t>criterion or practice which is discriminatory in relation to a relevant protected</w:t>
      </w:r>
      <w:r w:rsidR="00CD4B5F">
        <w:rPr>
          <w:rFonts w:ascii="Arial" w:hAnsi="Arial" w:cs="Arial"/>
          <w:sz w:val="24"/>
          <w:szCs w:val="24"/>
        </w:rPr>
        <w:t xml:space="preserve"> </w:t>
      </w:r>
      <w:r w:rsidR="00CD4B5F" w:rsidRPr="00CD4B5F">
        <w:rPr>
          <w:rFonts w:ascii="Arial" w:hAnsi="Arial" w:cs="Arial"/>
          <w:sz w:val="24"/>
          <w:szCs w:val="24"/>
        </w:rPr>
        <w:t>characteristic of B’s.</w:t>
      </w:r>
      <w:r w:rsidR="00CD4B5F">
        <w:rPr>
          <w:rFonts w:ascii="Arial" w:hAnsi="Arial" w:cs="Arial"/>
          <w:sz w:val="24"/>
          <w:szCs w:val="24"/>
        </w:rPr>
        <w:t>” Paragraph 2 provides it is discriminatory if: “</w:t>
      </w:r>
      <w:r w:rsidR="00CD4B5F" w:rsidRPr="00CD4B5F">
        <w:rPr>
          <w:rFonts w:ascii="Arial" w:hAnsi="Arial" w:cs="Arial"/>
          <w:sz w:val="24"/>
          <w:szCs w:val="24"/>
        </w:rPr>
        <w:t>(a) A applies, or would apply, it to persons with whom B does not share</w:t>
      </w:r>
      <w:r w:rsidR="00CD4B5F">
        <w:rPr>
          <w:rFonts w:ascii="Arial" w:hAnsi="Arial" w:cs="Arial"/>
          <w:sz w:val="24"/>
          <w:szCs w:val="24"/>
        </w:rPr>
        <w:t xml:space="preserve"> the characteristic; </w:t>
      </w:r>
      <w:r w:rsidR="00CD4B5F" w:rsidRPr="00CD4B5F">
        <w:rPr>
          <w:rFonts w:ascii="Arial" w:hAnsi="Arial" w:cs="Arial"/>
          <w:sz w:val="24"/>
          <w:szCs w:val="24"/>
        </w:rPr>
        <w:t>(b) it puts, or would put, persons with whom B shares the characteristic at</w:t>
      </w:r>
      <w:r w:rsidR="00CD4B5F">
        <w:rPr>
          <w:rFonts w:ascii="Arial" w:hAnsi="Arial" w:cs="Arial"/>
          <w:sz w:val="24"/>
          <w:szCs w:val="24"/>
        </w:rPr>
        <w:t xml:space="preserve"> </w:t>
      </w:r>
      <w:r w:rsidR="00CD4B5F" w:rsidRPr="00CD4B5F">
        <w:rPr>
          <w:rFonts w:ascii="Arial" w:hAnsi="Arial" w:cs="Arial"/>
          <w:sz w:val="24"/>
          <w:szCs w:val="24"/>
        </w:rPr>
        <w:t>a particular disadvantage when compared with persons with whom B</w:t>
      </w:r>
      <w:r w:rsidR="00CD4B5F">
        <w:rPr>
          <w:rFonts w:ascii="Arial" w:hAnsi="Arial" w:cs="Arial"/>
          <w:sz w:val="24"/>
          <w:szCs w:val="24"/>
        </w:rPr>
        <w:t xml:space="preserve"> does not share it; </w:t>
      </w:r>
      <w:r w:rsidR="00CD4B5F" w:rsidRPr="00CD4B5F">
        <w:rPr>
          <w:rFonts w:ascii="Arial" w:hAnsi="Arial" w:cs="Arial"/>
          <w:sz w:val="24"/>
          <w:szCs w:val="24"/>
        </w:rPr>
        <w:t>(c) it puts, or wo</w:t>
      </w:r>
      <w:r w:rsidR="00CD4B5F">
        <w:rPr>
          <w:rFonts w:ascii="Arial" w:hAnsi="Arial" w:cs="Arial"/>
          <w:sz w:val="24"/>
          <w:szCs w:val="24"/>
        </w:rPr>
        <w:t>uld put, B at that disadvantage;</w:t>
      </w:r>
      <w:r w:rsidR="00CD4B5F" w:rsidRPr="00CD4B5F">
        <w:rPr>
          <w:rFonts w:ascii="Arial" w:hAnsi="Arial" w:cs="Arial"/>
          <w:sz w:val="24"/>
          <w:szCs w:val="24"/>
        </w:rPr>
        <w:t xml:space="preserve"> and</w:t>
      </w:r>
      <w:r w:rsidR="00CD4B5F">
        <w:rPr>
          <w:rFonts w:ascii="Arial" w:hAnsi="Arial" w:cs="Arial"/>
          <w:sz w:val="24"/>
          <w:szCs w:val="24"/>
        </w:rPr>
        <w:t xml:space="preserve">, </w:t>
      </w:r>
      <w:r w:rsidR="00CD4B5F" w:rsidRPr="00CD4B5F">
        <w:rPr>
          <w:rFonts w:ascii="Arial" w:hAnsi="Arial" w:cs="Arial"/>
          <w:sz w:val="24"/>
          <w:szCs w:val="24"/>
        </w:rPr>
        <w:t>(d) A cannot show it to be a proportionate means of achieving a legitimate</w:t>
      </w:r>
      <w:r w:rsidR="00CD4B5F">
        <w:rPr>
          <w:rFonts w:ascii="Arial" w:hAnsi="Arial" w:cs="Arial"/>
          <w:sz w:val="24"/>
          <w:szCs w:val="24"/>
        </w:rPr>
        <w:t xml:space="preserve"> </w:t>
      </w:r>
      <w:r w:rsidR="00CD4B5F" w:rsidRPr="00CD4B5F">
        <w:rPr>
          <w:rFonts w:ascii="Arial" w:hAnsi="Arial" w:cs="Arial"/>
          <w:sz w:val="24"/>
          <w:szCs w:val="24"/>
        </w:rPr>
        <w:t>aim.</w:t>
      </w:r>
      <w:r w:rsidR="00CD4B5F">
        <w:rPr>
          <w:rFonts w:ascii="Arial" w:hAnsi="Arial" w:cs="Arial"/>
          <w:sz w:val="24"/>
          <w:szCs w:val="24"/>
        </w:rPr>
        <w:t xml:space="preserve">” It should be noted that </w:t>
      </w:r>
      <w:proofErr w:type="spellStart"/>
      <w:r w:rsidR="00CD4B5F">
        <w:rPr>
          <w:rFonts w:ascii="Arial" w:hAnsi="Arial" w:cs="Arial"/>
          <w:sz w:val="24"/>
          <w:szCs w:val="24"/>
        </w:rPr>
        <w:t>ss</w:t>
      </w:r>
      <w:proofErr w:type="spellEnd"/>
      <w:r w:rsidR="00CD4B5F">
        <w:rPr>
          <w:rFonts w:ascii="Arial" w:hAnsi="Arial" w:cs="Arial"/>
          <w:sz w:val="24"/>
          <w:szCs w:val="24"/>
        </w:rPr>
        <w:t xml:space="preserve"> 13, 14 and 19 do not require a real comparator</w:t>
      </w:r>
      <w:r w:rsidR="00B91E7E">
        <w:rPr>
          <w:rFonts w:ascii="Arial" w:hAnsi="Arial" w:cs="Arial"/>
          <w:sz w:val="24"/>
          <w:szCs w:val="24"/>
        </w:rPr>
        <w:t xml:space="preserve"> and</w:t>
      </w:r>
      <w:r w:rsidR="00CD4B5F">
        <w:rPr>
          <w:rFonts w:ascii="Arial" w:hAnsi="Arial" w:cs="Arial"/>
          <w:sz w:val="24"/>
          <w:szCs w:val="24"/>
        </w:rPr>
        <w:t xml:space="preserve"> indeed a comparator is not mentioned. However, to determine if something is discriminatory </w:t>
      </w:r>
      <w:r w:rsidR="00B91E7E">
        <w:rPr>
          <w:rFonts w:ascii="Arial" w:hAnsi="Arial" w:cs="Arial"/>
          <w:sz w:val="24"/>
          <w:szCs w:val="24"/>
        </w:rPr>
        <w:t>there</w:t>
      </w:r>
      <w:r w:rsidR="00CD4B5F">
        <w:rPr>
          <w:rFonts w:ascii="Arial" w:hAnsi="Arial" w:cs="Arial"/>
          <w:sz w:val="24"/>
          <w:szCs w:val="24"/>
        </w:rPr>
        <w:t xml:space="preserve"> has to be some </w:t>
      </w:r>
      <w:r w:rsidR="00B91E7E">
        <w:rPr>
          <w:rFonts w:ascii="Arial" w:hAnsi="Arial" w:cs="Arial"/>
          <w:sz w:val="24"/>
          <w:szCs w:val="24"/>
        </w:rPr>
        <w:t xml:space="preserve">form </w:t>
      </w:r>
      <w:r w:rsidR="00CD4B5F">
        <w:rPr>
          <w:rFonts w:ascii="Arial" w:hAnsi="Arial" w:cs="Arial"/>
          <w:sz w:val="24"/>
          <w:szCs w:val="24"/>
        </w:rPr>
        <w:t>of comparison</w:t>
      </w:r>
      <w:r w:rsidR="00B91E7E">
        <w:rPr>
          <w:rFonts w:ascii="Arial" w:hAnsi="Arial" w:cs="Arial"/>
          <w:sz w:val="24"/>
          <w:szCs w:val="24"/>
        </w:rPr>
        <w:t xml:space="preserve"> and s 23(1) requires there to be no material difference between the circumstances relating to each case when comparing and s 24(1) does not require person A to possess the protected characteristic for direct discrimination under s 13(1). Harassment is also prohibited conduct (s 26) and is defined as “</w:t>
      </w:r>
      <w:r w:rsidR="00B91E7E" w:rsidRPr="00B91E7E">
        <w:rPr>
          <w:rFonts w:ascii="Arial" w:hAnsi="Arial" w:cs="Arial"/>
          <w:sz w:val="24"/>
          <w:szCs w:val="24"/>
        </w:rPr>
        <w:t>(1) A person (A) harasses another (B) if</w:t>
      </w:r>
      <w:r w:rsidR="00B91E7E">
        <w:rPr>
          <w:rFonts w:ascii="Arial" w:hAnsi="Arial" w:cs="Arial"/>
          <w:sz w:val="24"/>
          <w:szCs w:val="24"/>
        </w:rPr>
        <w:t xml:space="preserve">: </w:t>
      </w:r>
      <w:r w:rsidR="00B91E7E" w:rsidRPr="00B91E7E">
        <w:rPr>
          <w:rFonts w:ascii="Arial" w:hAnsi="Arial" w:cs="Arial"/>
          <w:sz w:val="24"/>
          <w:szCs w:val="24"/>
        </w:rPr>
        <w:t>(a) A engages in unwanted conduct related to a relevant protected</w:t>
      </w:r>
      <w:r w:rsidR="00B91E7E">
        <w:rPr>
          <w:rFonts w:ascii="Arial" w:hAnsi="Arial" w:cs="Arial"/>
          <w:sz w:val="24"/>
          <w:szCs w:val="24"/>
        </w:rPr>
        <w:t xml:space="preserve"> characteristic;</w:t>
      </w:r>
      <w:r w:rsidR="00B91E7E" w:rsidRPr="00B91E7E">
        <w:rPr>
          <w:rFonts w:ascii="Arial" w:hAnsi="Arial" w:cs="Arial"/>
          <w:sz w:val="24"/>
          <w:szCs w:val="24"/>
        </w:rPr>
        <w:t xml:space="preserve"> and</w:t>
      </w:r>
      <w:r w:rsidR="00B91E7E">
        <w:rPr>
          <w:rFonts w:ascii="Arial" w:hAnsi="Arial" w:cs="Arial"/>
          <w:sz w:val="24"/>
          <w:szCs w:val="24"/>
        </w:rPr>
        <w:t xml:space="preserve">, </w:t>
      </w:r>
      <w:r w:rsidR="00B91E7E" w:rsidRPr="00B91E7E">
        <w:rPr>
          <w:rFonts w:ascii="Arial" w:hAnsi="Arial" w:cs="Arial"/>
          <w:sz w:val="24"/>
          <w:szCs w:val="24"/>
        </w:rPr>
        <w:t xml:space="preserve">(b) the conduct has the purpose or effect </w:t>
      </w:r>
      <w:r w:rsidR="00B91E7E">
        <w:rPr>
          <w:rFonts w:ascii="Arial" w:hAnsi="Arial" w:cs="Arial"/>
          <w:sz w:val="24"/>
          <w:szCs w:val="24"/>
        </w:rPr>
        <w:t>of: (i) violating B’s dignity;</w:t>
      </w:r>
      <w:r w:rsidR="00B91E7E" w:rsidRPr="00B91E7E">
        <w:rPr>
          <w:rFonts w:ascii="Arial" w:hAnsi="Arial" w:cs="Arial"/>
          <w:sz w:val="24"/>
          <w:szCs w:val="24"/>
        </w:rPr>
        <w:t xml:space="preserve"> or</w:t>
      </w:r>
      <w:r w:rsidR="00B91E7E">
        <w:rPr>
          <w:rFonts w:ascii="Arial" w:hAnsi="Arial" w:cs="Arial"/>
          <w:sz w:val="24"/>
          <w:szCs w:val="24"/>
        </w:rPr>
        <w:t xml:space="preserve"> </w:t>
      </w:r>
      <w:r w:rsidR="00B91E7E" w:rsidRPr="00B91E7E">
        <w:rPr>
          <w:rFonts w:ascii="Arial" w:hAnsi="Arial" w:cs="Arial"/>
          <w:sz w:val="24"/>
          <w:szCs w:val="24"/>
        </w:rPr>
        <w:t>(ii) creating an intimidating, hostile, degrading, humiliating or</w:t>
      </w:r>
      <w:r w:rsidR="00B91E7E">
        <w:rPr>
          <w:rFonts w:ascii="Arial" w:hAnsi="Arial" w:cs="Arial"/>
          <w:sz w:val="24"/>
          <w:szCs w:val="24"/>
        </w:rPr>
        <w:t xml:space="preserve"> </w:t>
      </w:r>
      <w:r w:rsidR="00B91E7E" w:rsidRPr="00B91E7E">
        <w:rPr>
          <w:rFonts w:ascii="Arial" w:hAnsi="Arial" w:cs="Arial"/>
          <w:sz w:val="24"/>
          <w:szCs w:val="24"/>
        </w:rPr>
        <w:t>offensive environment for B.</w:t>
      </w:r>
      <w:r w:rsidR="00B91E7E">
        <w:rPr>
          <w:rFonts w:ascii="Arial" w:hAnsi="Arial" w:cs="Arial"/>
          <w:sz w:val="24"/>
          <w:szCs w:val="24"/>
        </w:rPr>
        <w:t>” Specifically this can be sexual (s 26(2</w:t>
      </w:r>
      <w:proofErr w:type="gramStart"/>
      <w:r w:rsidR="00B91E7E">
        <w:rPr>
          <w:rFonts w:ascii="Arial" w:hAnsi="Arial" w:cs="Arial"/>
          <w:sz w:val="24"/>
          <w:szCs w:val="24"/>
        </w:rPr>
        <w:t>)&amp;</w:t>
      </w:r>
      <w:proofErr w:type="gramEnd"/>
      <w:r w:rsidR="00B91E7E">
        <w:rPr>
          <w:rFonts w:ascii="Arial" w:hAnsi="Arial" w:cs="Arial"/>
          <w:sz w:val="24"/>
          <w:szCs w:val="24"/>
        </w:rPr>
        <w:t xml:space="preserve">(3)). To determine harassment </w:t>
      </w:r>
      <w:r w:rsidR="009C7FE1">
        <w:rPr>
          <w:rFonts w:ascii="Arial" w:hAnsi="Arial" w:cs="Arial"/>
          <w:sz w:val="24"/>
          <w:szCs w:val="24"/>
        </w:rPr>
        <w:t>involves a substantive assessment (“</w:t>
      </w:r>
      <w:r w:rsidR="00B91E7E">
        <w:rPr>
          <w:rFonts w:ascii="Arial" w:hAnsi="Arial" w:cs="Arial"/>
          <w:sz w:val="24"/>
          <w:szCs w:val="24"/>
        </w:rPr>
        <w:t>the perception of B</w:t>
      </w:r>
      <w:r w:rsidR="009C7FE1">
        <w:rPr>
          <w:rFonts w:ascii="Arial" w:hAnsi="Arial" w:cs="Arial"/>
          <w:sz w:val="24"/>
          <w:szCs w:val="24"/>
        </w:rPr>
        <w:t>”), the other circumstances of the case and an objective analysis (“whether it is reasonable for that conduct to have that effect”) (s 26(4)). Finally there is victimisation in s 27 where “</w:t>
      </w:r>
      <w:r w:rsidR="009C7FE1" w:rsidRPr="009C7FE1">
        <w:rPr>
          <w:rFonts w:ascii="Arial" w:hAnsi="Arial" w:cs="Arial"/>
          <w:sz w:val="24"/>
          <w:szCs w:val="24"/>
        </w:rPr>
        <w:t>(1) A person (A) victimises another person (B) if A subjects B to a detriment</w:t>
      </w:r>
      <w:r w:rsidR="009C7FE1">
        <w:rPr>
          <w:rFonts w:ascii="Arial" w:hAnsi="Arial" w:cs="Arial"/>
          <w:sz w:val="24"/>
          <w:szCs w:val="24"/>
        </w:rPr>
        <w:t xml:space="preserve"> because: (a) B does a protected act;</w:t>
      </w:r>
      <w:r w:rsidR="009C7FE1" w:rsidRPr="009C7FE1">
        <w:rPr>
          <w:rFonts w:ascii="Arial" w:hAnsi="Arial" w:cs="Arial"/>
          <w:sz w:val="24"/>
          <w:szCs w:val="24"/>
        </w:rPr>
        <w:t xml:space="preserve"> or</w:t>
      </w:r>
      <w:r w:rsidR="009C7FE1">
        <w:rPr>
          <w:rFonts w:ascii="Arial" w:hAnsi="Arial" w:cs="Arial"/>
          <w:sz w:val="24"/>
          <w:szCs w:val="24"/>
        </w:rPr>
        <w:t xml:space="preserve">, </w:t>
      </w:r>
      <w:r w:rsidR="009C7FE1" w:rsidRPr="009C7FE1">
        <w:rPr>
          <w:rFonts w:ascii="Arial" w:hAnsi="Arial" w:cs="Arial"/>
          <w:sz w:val="24"/>
          <w:szCs w:val="24"/>
        </w:rPr>
        <w:t>(b) A believes that B has done, or may do, a protected act.</w:t>
      </w:r>
      <w:r w:rsidR="009C7FE1">
        <w:rPr>
          <w:rFonts w:ascii="Arial" w:hAnsi="Arial" w:cs="Arial"/>
          <w:sz w:val="24"/>
          <w:szCs w:val="24"/>
        </w:rPr>
        <w:t>” Protected acts are: “</w:t>
      </w:r>
      <w:r w:rsidR="009C7FE1" w:rsidRPr="009C7FE1">
        <w:rPr>
          <w:rFonts w:ascii="Arial" w:hAnsi="Arial" w:cs="Arial"/>
          <w:sz w:val="24"/>
          <w:szCs w:val="24"/>
        </w:rPr>
        <w:t>(a) brin</w:t>
      </w:r>
      <w:r w:rsidR="009C7FE1">
        <w:rPr>
          <w:rFonts w:ascii="Arial" w:hAnsi="Arial" w:cs="Arial"/>
          <w:sz w:val="24"/>
          <w:szCs w:val="24"/>
        </w:rPr>
        <w:t xml:space="preserve">ging proceedings under this Act; </w:t>
      </w:r>
      <w:r w:rsidR="009C7FE1" w:rsidRPr="009C7FE1">
        <w:rPr>
          <w:rFonts w:ascii="Arial" w:hAnsi="Arial" w:cs="Arial"/>
          <w:sz w:val="24"/>
          <w:szCs w:val="24"/>
        </w:rPr>
        <w:t>(b) giving evidence or information in connection with proceedings under</w:t>
      </w:r>
      <w:r w:rsidR="009C7FE1">
        <w:rPr>
          <w:rFonts w:ascii="Arial" w:hAnsi="Arial" w:cs="Arial"/>
          <w:sz w:val="24"/>
          <w:szCs w:val="24"/>
        </w:rPr>
        <w:t xml:space="preserve"> </w:t>
      </w:r>
      <w:r w:rsidR="009C7FE1" w:rsidRPr="009C7FE1">
        <w:rPr>
          <w:rFonts w:ascii="Arial" w:hAnsi="Arial" w:cs="Arial"/>
          <w:sz w:val="24"/>
          <w:szCs w:val="24"/>
        </w:rPr>
        <w:t>this Act;</w:t>
      </w:r>
      <w:r w:rsidR="009C7FE1">
        <w:rPr>
          <w:rFonts w:ascii="Arial" w:hAnsi="Arial" w:cs="Arial"/>
          <w:sz w:val="24"/>
          <w:szCs w:val="24"/>
        </w:rPr>
        <w:t xml:space="preserve"> </w:t>
      </w:r>
      <w:r w:rsidR="009C7FE1" w:rsidRPr="009C7FE1">
        <w:rPr>
          <w:rFonts w:ascii="Arial" w:hAnsi="Arial" w:cs="Arial"/>
          <w:sz w:val="24"/>
          <w:szCs w:val="24"/>
        </w:rPr>
        <w:t>(c) doing any other thing for the purposes of or in connection with this Act;</w:t>
      </w:r>
      <w:r w:rsidR="009C7FE1">
        <w:rPr>
          <w:rFonts w:ascii="Arial" w:hAnsi="Arial" w:cs="Arial"/>
          <w:sz w:val="24"/>
          <w:szCs w:val="24"/>
        </w:rPr>
        <w:t xml:space="preserve"> or, </w:t>
      </w:r>
      <w:r w:rsidR="009C7FE1" w:rsidRPr="009C7FE1">
        <w:rPr>
          <w:rFonts w:ascii="Arial" w:hAnsi="Arial" w:cs="Arial"/>
          <w:sz w:val="24"/>
          <w:szCs w:val="24"/>
        </w:rPr>
        <w:t>(d) making an allegation (whether or not express) that A or another person</w:t>
      </w:r>
      <w:r w:rsidR="009C7FE1">
        <w:rPr>
          <w:rFonts w:ascii="Arial" w:hAnsi="Arial" w:cs="Arial"/>
          <w:sz w:val="24"/>
          <w:szCs w:val="24"/>
        </w:rPr>
        <w:t xml:space="preserve"> </w:t>
      </w:r>
      <w:r w:rsidR="009C7FE1" w:rsidRPr="009C7FE1">
        <w:rPr>
          <w:rFonts w:ascii="Arial" w:hAnsi="Arial" w:cs="Arial"/>
          <w:sz w:val="24"/>
          <w:szCs w:val="24"/>
        </w:rPr>
        <w:t>has contravened this Act.</w:t>
      </w:r>
      <w:r w:rsidR="009C7FE1">
        <w:rPr>
          <w:rFonts w:ascii="Arial" w:hAnsi="Arial" w:cs="Arial"/>
          <w:sz w:val="24"/>
          <w:szCs w:val="24"/>
        </w:rPr>
        <w:t>”</w:t>
      </w:r>
    </w:p>
    <w:p w:rsidR="00800F9E" w:rsidRDefault="00800F9E" w:rsidP="009C7FE1">
      <w:pPr>
        <w:spacing w:line="360" w:lineRule="auto"/>
        <w:jc w:val="both"/>
        <w:rPr>
          <w:rFonts w:ascii="Arial" w:hAnsi="Arial" w:cs="Arial"/>
          <w:sz w:val="24"/>
          <w:szCs w:val="24"/>
        </w:rPr>
      </w:pPr>
    </w:p>
    <w:p w:rsidR="00800F9E" w:rsidRDefault="00800F9E" w:rsidP="008748A4">
      <w:pPr>
        <w:spacing w:line="360" w:lineRule="auto"/>
        <w:jc w:val="both"/>
        <w:rPr>
          <w:rFonts w:ascii="Arial" w:hAnsi="Arial" w:cs="Arial"/>
          <w:sz w:val="24"/>
          <w:szCs w:val="24"/>
        </w:rPr>
      </w:pPr>
      <w:r>
        <w:rPr>
          <w:rFonts w:ascii="Arial" w:hAnsi="Arial" w:cs="Arial"/>
          <w:sz w:val="24"/>
          <w:szCs w:val="24"/>
        </w:rPr>
        <w:t xml:space="preserve">Part 3 deals with services and public functions. S 29(6) is important for the armed forces and provides that “[a] </w:t>
      </w:r>
      <w:r w:rsidRPr="00800F9E">
        <w:rPr>
          <w:rFonts w:ascii="Arial" w:hAnsi="Arial" w:cs="Arial"/>
          <w:sz w:val="24"/>
          <w:szCs w:val="24"/>
        </w:rPr>
        <w:t>person must not, in the exercise of a public function that is not the provision</w:t>
      </w:r>
      <w:r>
        <w:rPr>
          <w:rFonts w:ascii="Arial" w:hAnsi="Arial" w:cs="Arial"/>
          <w:sz w:val="24"/>
          <w:szCs w:val="24"/>
        </w:rPr>
        <w:t xml:space="preserve"> </w:t>
      </w:r>
      <w:r w:rsidRPr="00800F9E">
        <w:rPr>
          <w:rFonts w:ascii="Arial" w:hAnsi="Arial" w:cs="Arial"/>
          <w:sz w:val="24"/>
          <w:szCs w:val="24"/>
        </w:rPr>
        <w:t>of a service to the public or a section of the public, do anything that constitutes</w:t>
      </w:r>
      <w:r>
        <w:rPr>
          <w:rFonts w:ascii="Arial" w:hAnsi="Arial" w:cs="Arial"/>
          <w:sz w:val="24"/>
          <w:szCs w:val="24"/>
        </w:rPr>
        <w:t xml:space="preserve"> </w:t>
      </w:r>
      <w:r w:rsidRPr="00800F9E">
        <w:rPr>
          <w:rFonts w:ascii="Arial" w:hAnsi="Arial" w:cs="Arial"/>
          <w:sz w:val="24"/>
          <w:szCs w:val="24"/>
        </w:rPr>
        <w:t>discrimination, harassment or victimisation.</w:t>
      </w:r>
      <w:r>
        <w:rPr>
          <w:rFonts w:ascii="Arial" w:hAnsi="Arial" w:cs="Arial"/>
          <w:sz w:val="24"/>
          <w:szCs w:val="24"/>
        </w:rPr>
        <w:t>”</w:t>
      </w:r>
      <w:r w:rsidR="00F33FB2">
        <w:rPr>
          <w:rFonts w:ascii="Arial" w:hAnsi="Arial" w:cs="Arial"/>
          <w:sz w:val="24"/>
          <w:szCs w:val="24"/>
        </w:rPr>
        <w:t xml:space="preserve"> However, s 4(1) of Part 1 of Schedule 3 disapplies this when relating to relevant discrimination “for the purpose of ensuring the combat effectiveness of the armed forces”. The </w:t>
      </w:r>
      <w:r w:rsidR="000E77A8">
        <w:rPr>
          <w:rFonts w:ascii="Arial" w:hAnsi="Arial" w:cs="Arial"/>
          <w:sz w:val="24"/>
          <w:szCs w:val="24"/>
        </w:rPr>
        <w:t xml:space="preserve">“relevant discrimination” is made up of four of the protected characteristics – age, disability, gender reassignment and sex but does not include race and sexual orientation. Part 5 is entitled Work and Chapter 1 deals with employment. S 39(1) prohibits an employer (A) from discriminating against a person (B): </w:t>
      </w:r>
      <w:r w:rsidR="000E77A8" w:rsidRPr="000E77A8">
        <w:rPr>
          <w:rFonts w:ascii="Arial" w:hAnsi="Arial" w:cs="Arial"/>
          <w:sz w:val="24"/>
          <w:szCs w:val="24"/>
        </w:rPr>
        <w:t>(a) in the arrangements A makes for deciding to whom to offer</w:t>
      </w:r>
      <w:r w:rsidR="000E77A8">
        <w:rPr>
          <w:rFonts w:ascii="Arial" w:hAnsi="Arial" w:cs="Arial"/>
          <w:sz w:val="24"/>
          <w:szCs w:val="24"/>
        </w:rPr>
        <w:t xml:space="preserve"> </w:t>
      </w:r>
      <w:r w:rsidR="000E77A8" w:rsidRPr="000E77A8">
        <w:rPr>
          <w:rFonts w:ascii="Arial" w:hAnsi="Arial" w:cs="Arial"/>
          <w:sz w:val="24"/>
          <w:szCs w:val="24"/>
        </w:rPr>
        <w:t>employment;</w:t>
      </w:r>
      <w:r w:rsidR="000E77A8">
        <w:rPr>
          <w:rFonts w:ascii="Arial" w:hAnsi="Arial" w:cs="Arial"/>
          <w:sz w:val="24"/>
          <w:szCs w:val="24"/>
        </w:rPr>
        <w:t xml:space="preserve"> </w:t>
      </w:r>
      <w:r w:rsidR="000E77A8" w:rsidRPr="000E77A8">
        <w:rPr>
          <w:rFonts w:ascii="Arial" w:hAnsi="Arial" w:cs="Arial"/>
          <w:sz w:val="24"/>
          <w:szCs w:val="24"/>
        </w:rPr>
        <w:t>(b) as to the terms on which A offers B employment;</w:t>
      </w:r>
      <w:r w:rsidR="000E77A8">
        <w:rPr>
          <w:rFonts w:ascii="Arial" w:hAnsi="Arial" w:cs="Arial"/>
          <w:sz w:val="24"/>
          <w:szCs w:val="24"/>
        </w:rPr>
        <w:t xml:space="preserve"> </w:t>
      </w:r>
      <w:r w:rsidR="000E77A8" w:rsidRPr="000E77A8">
        <w:rPr>
          <w:rFonts w:ascii="Arial" w:hAnsi="Arial" w:cs="Arial"/>
          <w:sz w:val="24"/>
          <w:szCs w:val="24"/>
        </w:rPr>
        <w:t>(c) by not offering B employment.</w:t>
      </w:r>
      <w:r w:rsidR="000E77A8">
        <w:rPr>
          <w:rFonts w:ascii="Arial" w:hAnsi="Arial" w:cs="Arial"/>
          <w:sz w:val="24"/>
          <w:szCs w:val="24"/>
        </w:rPr>
        <w:t xml:space="preserve"> The provision goes on to prohibit an employer (A) from discriminating against an employee of A’s (B): </w:t>
      </w:r>
      <w:r w:rsidR="000E77A8" w:rsidRPr="000E77A8">
        <w:rPr>
          <w:rFonts w:ascii="Arial" w:hAnsi="Arial" w:cs="Arial"/>
          <w:sz w:val="24"/>
          <w:szCs w:val="24"/>
        </w:rPr>
        <w:t>(a) as to B’s terms of employment;</w:t>
      </w:r>
      <w:r w:rsidR="000E77A8">
        <w:rPr>
          <w:rFonts w:ascii="Arial" w:hAnsi="Arial" w:cs="Arial"/>
          <w:sz w:val="24"/>
          <w:szCs w:val="24"/>
        </w:rPr>
        <w:t xml:space="preserve"> </w:t>
      </w:r>
      <w:r w:rsidR="000E77A8" w:rsidRPr="000E77A8">
        <w:rPr>
          <w:rFonts w:ascii="Arial" w:hAnsi="Arial" w:cs="Arial"/>
          <w:sz w:val="24"/>
          <w:szCs w:val="24"/>
        </w:rPr>
        <w:t>(b) in the way A affords B access, or by not affording B access, to</w:t>
      </w:r>
      <w:r w:rsidR="000E77A8">
        <w:rPr>
          <w:rFonts w:ascii="Arial" w:hAnsi="Arial" w:cs="Arial"/>
          <w:sz w:val="24"/>
          <w:szCs w:val="24"/>
        </w:rPr>
        <w:t xml:space="preserve"> </w:t>
      </w:r>
      <w:r w:rsidR="000E77A8" w:rsidRPr="000E77A8">
        <w:rPr>
          <w:rFonts w:ascii="Arial" w:hAnsi="Arial" w:cs="Arial"/>
          <w:sz w:val="24"/>
          <w:szCs w:val="24"/>
        </w:rPr>
        <w:t>opportunities for promotion, transfer or training or for receiving any</w:t>
      </w:r>
      <w:r w:rsidR="000E77A8">
        <w:rPr>
          <w:rFonts w:ascii="Arial" w:hAnsi="Arial" w:cs="Arial"/>
          <w:sz w:val="24"/>
          <w:szCs w:val="24"/>
        </w:rPr>
        <w:t xml:space="preserve"> </w:t>
      </w:r>
      <w:r w:rsidR="000E77A8" w:rsidRPr="000E77A8">
        <w:rPr>
          <w:rFonts w:ascii="Arial" w:hAnsi="Arial" w:cs="Arial"/>
          <w:sz w:val="24"/>
          <w:szCs w:val="24"/>
        </w:rPr>
        <w:t>other benefit, facility or service;</w:t>
      </w:r>
      <w:r w:rsidR="000E77A8">
        <w:rPr>
          <w:rFonts w:ascii="Arial" w:hAnsi="Arial" w:cs="Arial"/>
          <w:sz w:val="24"/>
          <w:szCs w:val="24"/>
        </w:rPr>
        <w:t xml:space="preserve"> </w:t>
      </w:r>
      <w:r w:rsidR="000E77A8" w:rsidRPr="000E77A8">
        <w:rPr>
          <w:rFonts w:ascii="Arial" w:hAnsi="Arial" w:cs="Arial"/>
          <w:sz w:val="24"/>
          <w:szCs w:val="24"/>
        </w:rPr>
        <w:t>(c) by dismissing B;</w:t>
      </w:r>
      <w:r w:rsidR="000E77A8">
        <w:rPr>
          <w:rFonts w:ascii="Arial" w:hAnsi="Arial" w:cs="Arial"/>
          <w:sz w:val="24"/>
          <w:szCs w:val="24"/>
        </w:rPr>
        <w:t xml:space="preserve"> </w:t>
      </w:r>
      <w:r w:rsidR="000E77A8" w:rsidRPr="000E77A8">
        <w:rPr>
          <w:rFonts w:ascii="Arial" w:hAnsi="Arial" w:cs="Arial"/>
          <w:sz w:val="24"/>
          <w:szCs w:val="24"/>
        </w:rPr>
        <w:t>(d) by subjecting B to any other detriment.</w:t>
      </w:r>
      <w:r w:rsidR="000E77A8">
        <w:rPr>
          <w:rFonts w:ascii="Arial" w:hAnsi="Arial" w:cs="Arial"/>
          <w:sz w:val="24"/>
          <w:szCs w:val="24"/>
        </w:rPr>
        <w:t xml:space="preserve"> </w:t>
      </w:r>
      <w:r w:rsidR="008748A4">
        <w:rPr>
          <w:rFonts w:ascii="Arial" w:hAnsi="Arial" w:cs="Arial"/>
          <w:sz w:val="24"/>
          <w:szCs w:val="24"/>
        </w:rPr>
        <w:t>Schedule 9, Part 1, s 4 provides an exception for the armed forces for s 39(1</w:t>
      </w:r>
      <w:proofErr w:type="gramStart"/>
      <w:r w:rsidR="008748A4">
        <w:rPr>
          <w:rFonts w:ascii="Arial" w:hAnsi="Arial" w:cs="Arial"/>
          <w:sz w:val="24"/>
          <w:szCs w:val="24"/>
        </w:rPr>
        <w:t>)(</w:t>
      </w:r>
      <w:proofErr w:type="gramEnd"/>
      <w:r w:rsidR="008748A4">
        <w:rPr>
          <w:rFonts w:ascii="Arial" w:hAnsi="Arial" w:cs="Arial"/>
          <w:sz w:val="24"/>
          <w:szCs w:val="24"/>
        </w:rPr>
        <w:t>a) or (c) or (2)(b) “by applying...</w:t>
      </w:r>
      <w:r w:rsidR="008748A4" w:rsidRPr="008748A4">
        <w:rPr>
          <w:rFonts w:ascii="BookAntiquaParliamentary" w:hAnsi="BookAntiquaParliamentary" w:cs="BookAntiquaParliamentary"/>
          <w:color w:val="231F20"/>
          <w:lang w:eastAsia="en-GB"/>
        </w:rPr>
        <w:t xml:space="preserve"> </w:t>
      </w:r>
      <w:r w:rsidR="008748A4" w:rsidRPr="008748A4">
        <w:rPr>
          <w:rFonts w:ascii="Arial" w:hAnsi="Arial" w:cs="Arial"/>
          <w:sz w:val="24"/>
          <w:szCs w:val="24"/>
        </w:rPr>
        <w:t>a relevant requirement if the person</w:t>
      </w:r>
      <w:r w:rsidR="008748A4">
        <w:rPr>
          <w:rFonts w:ascii="Arial" w:hAnsi="Arial" w:cs="Arial"/>
          <w:sz w:val="24"/>
          <w:szCs w:val="24"/>
        </w:rPr>
        <w:t xml:space="preserve"> </w:t>
      </w:r>
      <w:r w:rsidR="008748A4" w:rsidRPr="008748A4">
        <w:rPr>
          <w:rFonts w:ascii="Arial" w:hAnsi="Arial" w:cs="Arial"/>
          <w:sz w:val="24"/>
          <w:szCs w:val="24"/>
        </w:rPr>
        <w:t>shows that the application is a proportionate means of ensuring the combat</w:t>
      </w:r>
      <w:r w:rsidR="008748A4">
        <w:rPr>
          <w:rFonts w:ascii="Arial" w:hAnsi="Arial" w:cs="Arial"/>
          <w:sz w:val="24"/>
          <w:szCs w:val="24"/>
        </w:rPr>
        <w:t xml:space="preserve"> </w:t>
      </w:r>
      <w:r w:rsidR="008748A4" w:rsidRPr="008748A4">
        <w:rPr>
          <w:rFonts w:ascii="Arial" w:hAnsi="Arial" w:cs="Arial"/>
          <w:sz w:val="24"/>
          <w:szCs w:val="24"/>
        </w:rPr>
        <w:t>ef</w:t>
      </w:r>
      <w:r w:rsidR="008748A4">
        <w:rPr>
          <w:rFonts w:ascii="Arial" w:hAnsi="Arial" w:cs="Arial"/>
          <w:sz w:val="24"/>
          <w:szCs w:val="24"/>
        </w:rPr>
        <w:t>fectiveness of the armed forces”, where a “relevant requirement” is either to be a man or not to be a transsexual person. Furthermore, Part 5 on Work does not apply to service in the armed forces as far as relating to age or disability (</w:t>
      </w:r>
      <w:proofErr w:type="spellStart"/>
      <w:r w:rsidR="008748A4">
        <w:rPr>
          <w:rFonts w:ascii="Arial" w:hAnsi="Arial" w:cs="Arial"/>
          <w:sz w:val="24"/>
          <w:szCs w:val="24"/>
        </w:rPr>
        <w:t>Sch</w:t>
      </w:r>
      <w:proofErr w:type="spellEnd"/>
      <w:r w:rsidR="008748A4">
        <w:rPr>
          <w:rFonts w:ascii="Arial" w:hAnsi="Arial" w:cs="Arial"/>
          <w:sz w:val="24"/>
          <w:szCs w:val="24"/>
        </w:rPr>
        <w:t xml:space="preserve"> 9 Part 1 s 4(3)).</w:t>
      </w:r>
    </w:p>
    <w:p w:rsidR="00DF492F" w:rsidRDefault="00DF492F" w:rsidP="008748A4">
      <w:pPr>
        <w:spacing w:line="360" w:lineRule="auto"/>
        <w:jc w:val="both"/>
        <w:rPr>
          <w:rFonts w:ascii="Arial" w:hAnsi="Arial" w:cs="Arial"/>
          <w:sz w:val="24"/>
          <w:szCs w:val="24"/>
        </w:rPr>
      </w:pPr>
    </w:p>
    <w:p w:rsidR="00DF492F" w:rsidRDefault="00DF492F" w:rsidP="00DF492F">
      <w:pPr>
        <w:spacing w:line="360" w:lineRule="auto"/>
        <w:jc w:val="both"/>
        <w:rPr>
          <w:rFonts w:ascii="Arial" w:hAnsi="Arial" w:cs="Arial"/>
          <w:sz w:val="24"/>
          <w:szCs w:val="24"/>
        </w:rPr>
      </w:pPr>
      <w:r>
        <w:rPr>
          <w:rFonts w:ascii="Arial" w:hAnsi="Arial" w:cs="Arial"/>
          <w:sz w:val="24"/>
          <w:szCs w:val="24"/>
        </w:rPr>
        <w:t xml:space="preserve">Part 11 entitled “Advancement of Equality” creates a public sector equality duty in Chapter 1 that attempts to </w:t>
      </w:r>
      <w:r w:rsidR="009D033A">
        <w:rPr>
          <w:rFonts w:ascii="Arial" w:hAnsi="Arial" w:cs="Arial"/>
          <w:sz w:val="24"/>
          <w:szCs w:val="24"/>
        </w:rPr>
        <w:t xml:space="preserve">further </w:t>
      </w:r>
      <w:r>
        <w:rPr>
          <w:rFonts w:ascii="Arial" w:hAnsi="Arial" w:cs="Arial"/>
          <w:sz w:val="24"/>
          <w:szCs w:val="24"/>
        </w:rPr>
        <w:t xml:space="preserve">mainstream equality. The main duty is set out in s 149(1) that requires a public authority to “in the course of its functions, have due regard to the need to: </w:t>
      </w:r>
      <w:r w:rsidRPr="00DF492F">
        <w:rPr>
          <w:rFonts w:ascii="Arial" w:hAnsi="Arial" w:cs="Arial"/>
          <w:sz w:val="24"/>
          <w:szCs w:val="24"/>
        </w:rPr>
        <w:t>(a) eliminate discrimination, harassment, victimisation and any other</w:t>
      </w:r>
      <w:r>
        <w:rPr>
          <w:rFonts w:ascii="Arial" w:hAnsi="Arial" w:cs="Arial"/>
          <w:sz w:val="24"/>
          <w:szCs w:val="24"/>
        </w:rPr>
        <w:t xml:space="preserve"> </w:t>
      </w:r>
      <w:r w:rsidRPr="00DF492F">
        <w:rPr>
          <w:rFonts w:ascii="Arial" w:hAnsi="Arial" w:cs="Arial"/>
          <w:sz w:val="24"/>
          <w:szCs w:val="24"/>
        </w:rPr>
        <w:t>conduct that is prohibited by or under this Act;</w:t>
      </w:r>
      <w:r>
        <w:rPr>
          <w:rFonts w:ascii="Arial" w:hAnsi="Arial" w:cs="Arial"/>
          <w:sz w:val="24"/>
          <w:szCs w:val="24"/>
        </w:rPr>
        <w:t xml:space="preserve"> </w:t>
      </w:r>
      <w:r w:rsidRPr="00DF492F">
        <w:rPr>
          <w:rFonts w:ascii="Arial" w:hAnsi="Arial" w:cs="Arial"/>
          <w:sz w:val="24"/>
          <w:szCs w:val="24"/>
        </w:rPr>
        <w:t>(b) advance equality of opportunity between persons who share a relevant</w:t>
      </w:r>
      <w:r>
        <w:rPr>
          <w:rFonts w:ascii="Arial" w:hAnsi="Arial" w:cs="Arial"/>
          <w:sz w:val="24"/>
          <w:szCs w:val="24"/>
        </w:rPr>
        <w:t xml:space="preserve"> </w:t>
      </w:r>
      <w:r w:rsidRPr="00DF492F">
        <w:rPr>
          <w:rFonts w:ascii="Arial" w:hAnsi="Arial" w:cs="Arial"/>
          <w:sz w:val="24"/>
          <w:szCs w:val="24"/>
        </w:rPr>
        <w:t>protected characteristic and persons who do not share it;</w:t>
      </w:r>
      <w:r>
        <w:rPr>
          <w:rFonts w:ascii="Arial" w:hAnsi="Arial" w:cs="Arial"/>
          <w:sz w:val="24"/>
          <w:szCs w:val="24"/>
        </w:rPr>
        <w:t xml:space="preserve"> </w:t>
      </w:r>
      <w:r w:rsidRPr="00DF492F">
        <w:rPr>
          <w:rFonts w:ascii="Arial" w:hAnsi="Arial" w:cs="Arial"/>
          <w:sz w:val="24"/>
          <w:szCs w:val="24"/>
        </w:rPr>
        <w:t>(c) foster good relations between persons who share a relevant protected</w:t>
      </w:r>
      <w:r>
        <w:rPr>
          <w:rFonts w:ascii="Arial" w:hAnsi="Arial" w:cs="Arial"/>
          <w:sz w:val="24"/>
          <w:szCs w:val="24"/>
        </w:rPr>
        <w:t xml:space="preserve"> </w:t>
      </w:r>
      <w:r w:rsidRPr="00DF492F">
        <w:rPr>
          <w:rFonts w:ascii="Arial" w:hAnsi="Arial" w:cs="Arial"/>
          <w:sz w:val="24"/>
          <w:szCs w:val="24"/>
        </w:rPr>
        <w:t>characteristic and persons who do not share it.</w:t>
      </w:r>
      <w:r>
        <w:rPr>
          <w:rFonts w:ascii="Arial" w:hAnsi="Arial" w:cs="Arial"/>
          <w:sz w:val="24"/>
          <w:szCs w:val="24"/>
        </w:rPr>
        <w:t xml:space="preserve">” This is extended </w:t>
      </w:r>
      <w:r>
        <w:rPr>
          <w:rFonts w:ascii="Arial" w:hAnsi="Arial" w:cs="Arial"/>
          <w:sz w:val="24"/>
          <w:szCs w:val="24"/>
        </w:rPr>
        <w:lastRenderedPageBreak/>
        <w:t xml:space="preserve">to persons exercising public functions but not a public authority. </w:t>
      </w:r>
      <w:r w:rsidR="00CD4DB5">
        <w:rPr>
          <w:rFonts w:ascii="Arial" w:hAnsi="Arial" w:cs="Arial"/>
          <w:sz w:val="24"/>
          <w:szCs w:val="24"/>
        </w:rPr>
        <w:t>Public authorities are specified in Schedule 19 (s 150(1)) and include the armed forces.</w:t>
      </w:r>
    </w:p>
    <w:p w:rsidR="00CD4DB5" w:rsidRDefault="00CD4DB5" w:rsidP="00DF492F">
      <w:pPr>
        <w:spacing w:line="360" w:lineRule="auto"/>
        <w:jc w:val="both"/>
        <w:rPr>
          <w:rFonts w:ascii="Arial" w:hAnsi="Arial" w:cs="Arial"/>
          <w:sz w:val="24"/>
          <w:szCs w:val="24"/>
        </w:rPr>
      </w:pPr>
    </w:p>
    <w:p w:rsidR="00CD4DB5" w:rsidRDefault="00CD4DB5" w:rsidP="00CD4DB5">
      <w:pPr>
        <w:spacing w:line="360" w:lineRule="auto"/>
        <w:jc w:val="both"/>
        <w:rPr>
          <w:rFonts w:ascii="Arial" w:hAnsi="Arial" w:cs="Arial"/>
          <w:sz w:val="24"/>
          <w:szCs w:val="24"/>
        </w:rPr>
      </w:pPr>
      <w:r>
        <w:rPr>
          <w:rFonts w:ascii="Arial" w:hAnsi="Arial" w:cs="Arial"/>
          <w:sz w:val="24"/>
          <w:szCs w:val="24"/>
        </w:rPr>
        <w:t xml:space="preserve">A final point to note is the general exception provided by s 192 on national security: “[a] </w:t>
      </w:r>
      <w:r w:rsidRPr="00CD4DB5">
        <w:rPr>
          <w:rFonts w:ascii="Arial" w:hAnsi="Arial" w:cs="Arial"/>
          <w:sz w:val="24"/>
          <w:szCs w:val="24"/>
        </w:rPr>
        <w:t>person does not contravene this Act only by doing, for the purpose of</w:t>
      </w:r>
      <w:r>
        <w:rPr>
          <w:rFonts w:ascii="Arial" w:hAnsi="Arial" w:cs="Arial"/>
          <w:sz w:val="24"/>
          <w:szCs w:val="24"/>
        </w:rPr>
        <w:t xml:space="preserve"> </w:t>
      </w:r>
      <w:r w:rsidRPr="00CD4DB5">
        <w:rPr>
          <w:rFonts w:ascii="Arial" w:hAnsi="Arial" w:cs="Arial"/>
          <w:sz w:val="24"/>
          <w:szCs w:val="24"/>
        </w:rPr>
        <w:t>safeguarding national security, anything it is proportionate to do for that</w:t>
      </w:r>
      <w:r>
        <w:rPr>
          <w:rFonts w:ascii="Arial" w:hAnsi="Arial" w:cs="Arial"/>
          <w:sz w:val="24"/>
          <w:szCs w:val="24"/>
        </w:rPr>
        <w:t xml:space="preserve"> </w:t>
      </w:r>
      <w:r w:rsidRPr="00CD4DB5">
        <w:rPr>
          <w:rFonts w:ascii="Arial" w:hAnsi="Arial" w:cs="Arial"/>
          <w:sz w:val="24"/>
          <w:szCs w:val="24"/>
        </w:rPr>
        <w:t>purpose.</w:t>
      </w:r>
      <w:r>
        <w:rPr>
          <w:rFonts w:ascii="Arial" w:hAnsi="Arial" w:cs="Arial"/>
          <w:sz w:val="24"/>
          <w:szCs w:val="24"/>
        </w:rPr>
        <w:t>”</w:t>
      </w:r>
      <w:r w:rsidR="00904F8E">
        <w:rPr>
          <w:rFonts w:ascii="Arial" w:hAnsi="Arial" w:cs="Arial"/>
          <w:sz w:val="24"/>
          <w:szCs w:val="24"/>
        </w:rPr>
        <w:t xml:space="preserve"> Interestingly this is not a catch all exception as the principle of proportionality applies but the extent of the exclusion is uncertain as national security is not defined.</w:t>
      </w:r>
    </w:p>
    <w:p w:rsidR="00A73E21" w:rsidRPr="00A73E21" w:rsidRDefault="00A73E21" w:rsidP="00A73E21">
      <w:pPr>
        <w:spacing w:line="360" w:lineRule="auto"/>
        <w:jc w:val="both"/>
        <w:rPr>
          <w:rFonts w:ascii="Arial" w:hAnsi="Arial" w:cs="Arial"/>
          <w:sz w:val="24"/>
          <w:szCs w:val="24"/>
        </w:rPr>
      </w:pPr>
    </w:p>
    <w:p w:rsidR="00A73E21" w:rsidRDefault="00904F8E" w:rsidP="00A73E21">
      <w:pPr>
        <w:spacing w:line="360" w:lineRule="auto"/>
        <w:jc w:val="both"/>
        <w:rPr>
          <w:rFonts w:ascii="Arial" w:hAnsi="Arial" w:cs="Arial"/>
          <w:sz w:val="24"/>
          <w:szCs w:val="24"/>
        </w:rPr>
      </w:pPr>
      <w:r>
        <w:rPr>
          <w:rFonts w:ascii="Arial" w:hAnsi="Arial" w:cs="Arial"/>
          <w:sz w:val="24"/>
          <w:szCs w:val="24"/>
        </w:rPr>
        <w:t>So the EA10 has introduced the principle of equal treatment into UK law and the debate on s</w:t>
      </w:r>
      <w:r w:rsidR="00A73E21" w:rsidRPr="00A73E21">
        <w:rPr>
          <w:rFonts w:ascii="Arial" w:hAnsi="Arial" w:cs="Arial"/>
          <w:sz w:val="24"/>
          <w:szCs w:val="24"/>
        </w:rPr>
        <w:t xml:space="preserve">ubstantive equality </w:t>
      </w:r>
      <w:r>
        <w:rPr>
          <w:rFonts w:ascii="Arial" w:hAnsi="Arial" w:cs="Arial"/>
          <w:sz w:val="24"/>
          <w:szCs w:val="24"/>
        </w:rPr>
        <w:t>can be fully entered</w:t>
      </w:r>
      <w:r w:rsidR="002D4D3D">
        <w:rPr>
          <w:rFonts w:ascii="Arial" w:hAnsi="Arial" w:cs="Arial"/>
          <w:sz w:val="24"/>
          <w:szCs w:val="24"/>
        </w:rPr>
        <w:t xml:space="preserve">. The standard underpinning substantive equality, it has been suggested, </w:t>
      </w:r>
      <w:r w:rsidR="002D4D3D" w:rsidRPr="00A73E21">
        <w:rPr>
          <w:rFonts w:ascii="Arial" w:hAnsi="Arial" w:cs="Arial"/>
          <w:sz w:val="24"/>
          <w:szCs w:val="24"/>
        </w:rPr>
        <w:t>must be holistic in nature and must “apply to every person merely because he or she is a person”</w:t>
      </w:r>
      <w:r w:rsidR="002D4D3D">
        <w:rPr>
          <w:rStyle w:val="FootnoteReference"/>
          <w:rFonts w:ascii="Arial" w:hAnsi="Arial" w:cs="Arial"/>
          <w:sz w:val="24"/>
          <w:szCs w:val="24"/>
        </w:rPr>
        <w:footnoteReference w:id="44"/>
      </w:r>
      <w:r w:rsidR="002D4D3D">
        <w:rPr>
          <w:rFonts w:ascii="Arial" w:hAnsi="Arial" w:cs="Arial"/>
          <w:sz w:val="24"/>
          <w:szCs w:val="24"/>
        </w:rPr>
        <w:t>. There have been many suggestions of which I will merely mention three:</w:t>
      </w:r>
      <w:r w:rsidR="00A73E21" w:rsidRPr="00A73E21">
        <w:rPr>
          <w:rFonts w:ascii="Arial" w:hAnsi="Arial" w:cs="Arial"/>
          <w:sz w:val="24"/>
          <w:szCs w:val="24"/>
        </w:rPr>
        <w:t xml:space="preserve"> equality of opportunity</w:t>
      </w:r>
      <w:r w:rsidR="002D4D3D">
        <w:rPr>
          <w:rFonts w:ascii="Arial" w:hAnsi="Arial" w:cs="Arial"/>
          <w:sz w:val="24"/>
          <w:szCs w:val="24"/>
        </w:rPr>
        <w:t xml:space="preserve">; </w:t>
      </w:r>
      <w:r w:rsidR="00A73E21" w:rsidRPr="00A73E21">
        <w:rPr>
          <w:rFonts w:ascii="Arial" w:hAnsi="Arial" w:cs="Arial"/>
          <w:sz w:val="24"/>
          <w:szCs w:val="24"/>
        </w:rPr>
        <w:t>equality of outcomes</w:t>
      </w:r>
      <w:r w:rsidR="002D4D3D">
        <w:rPr>
          <w:rFonts w:ascii="Arial" w:hAnsi="Arial" w:cs="Arial"/>
          <w:sz w:val="24"/>
          <w:szCs w:val="24"/>
        </w:rPr>
        <w:t>; and</w:t>
      </w:r>
      <w:r w:rsidR="00A73E21" w:rsidRPr="00A73E21">
        <w:rPr>
          <w:rFonts w:ascii="Arial" w:hAnsi="Arial" w:cs="Arial"/>
          <w:sz w:val="24"/>
          <w:szCs w:val="24"/>
        </w:rPr>
        <w:t>, equality based on human dignity</w:t>
      </w:r>
      <w:r w:rsidR="00A73E21" w:rsidRPr="00A73E21">
        <w:rPr>
          <w:rFonts w:ascii="Arial" w:hAnsi="Arial" w:cs="Arial"/>
          <w:sz w:val="24"/>
          <w:szCs w:val="24"/>
          <w:vertAlign w:val="superscript"/>
        </w:rPr>
        <w:footnoteReference w:id="45"/>
      </w:r>
      <w:r w:rsidR="00A73E21" w:rsidRPr="00A73E21">
        <w:rPr>
          <w:rFonts w:ascii="Arial" w:hAnsi="Arial" w:cs="Arial"/>
          <w:sz w:val="24"/>
          <w:szCs w:val="24"/>
        </w:rPr>
        <w:t>, a concept that is becoming more academically fashionable</w:t>
      </w:r>
      <w:r w:rsidR="00A73E21" w:rsidRPr="00A73E21">
        <w:rPr>
          <w:rFonts w:ascii="Arial" w:hAnsi="Arial" w:cs="Arial"/>
          <w:sz w:val="24"/>
          <w:szCs w:val="24"/>
          <w:vertAlign w:val="superscript"/>
        </w:rPr>
        <w:footnoteReference w:id="46"/>
      </w:r>
      <w:r w:rsidR="00A73E21" w:rsidRPr="00A73E21">
        <w:rPr>
          <w:rFonts w:ascii="Arial" w:hAnsi="Arial" w:cs="Arial"/>
          <w:sz w:val="24"/>
          <w:szCs w:val="24"/>
        </w:rPr>
        <w:t>. This would appear to have merit as it ascribes equality in terms of intrinsic worth and personhood</w:t>
      </w:r>
      <w:r w:rsidR="00A73E21" w:rsidRPr="00A73E21">
        <w:rPr>
          <w:rFonts w:ascii="Arial" w:hAnsi="Arial" w:cs="Arial"/>
          <w:sz w:val="24"/>
          <w:szCs w:val="24"/>
          <w:vertAlign w:val="superscript"/>
        </w:rPr>
        <w:footnoteReference w:id="47"/>
      </w:r>
      <w:r w:rsidR="00A73E21" w:rsidRPr="00A73E21">
        <w:rPr>
          <w:rFonts w:ascii="Arial" w:hAnsi="Arial" w:cs="Arial"/>
          <w:sz w:val="24"/>
          <w:szCs w:val="24"/>
        </w:rPr>
        <w:t xml:space="preserve">. </w:t>
      </w:r>
      <w:r w:rsidR="009B2390">
        <w:rPr>
          <w:rFonts w:ascii="Arial" w:hAnsi="Arial" w:cs="Arial"/>
          <w:sz w:val="24"/>
          <w:szCs w:val="24"/>
        </w:rPr>
        <w:t>As Hepple</w:t>
      </w:r>
      <w:r w:rsidR="009B2390">
        <w:rPr>
          <w:rStyle w:val="FootnoteReference"/>
          <w:rFonts w:ascii="Arial" w:hAnsi="Arial" w:cs="Arial"/>
          <w:sz w:val="24"/>
          <w:szCs w:val="24"/>
        </w:rPr>
        <w:footnoteReference w:id="48"/>
      </w:r>
      <w:r w:rsidR="009B2390">
        <w:rPr>
          <w:rFonts w:ascii="Arial" w:hAnsi="Arial" w:cs="Arial"/>
          <w:sz w:val="24"/>
          <w:szCs w:val="24"/>
        </w:rPr>
        <w:t xml:space="preserve"> points out however, when discussing the EA06, a very wide range of standards are employed within the legislation none of which takes precedence.</w:t>
      </w:r>
    </w:p>
    <w:p w:rsidR="000D05D4" w:rsidRDefault="000D05D4" w:rsidP="00A73E21">
      <w:pPr>
        <w:spacing w:line="360" w:lineRule="auto"/>
        <w:jc w:val="both"/>
        <w:rPr>
          <w:rFonts w:ascii="Arial" w:hAnsi="Arial" w:cs="Arial"/>
          <w:sz w:val="24"/>
          <w:szCs w:val="24"/>
        </w:rPr>
      </w:pPr>
    </w:p>
    <w:p w:rsidR="00922138" w:rsidRDefault="00922138" w:rsidP="00A73E21">
      <w:pPr>
        <w:spacing w:line="360" w:lineRule="auto"/>
        <w:jc w:val="both"/>
        <w:rPr>
          <w:rFonts w:ascii="Arial" w:hAnsi="Arial" w:cs="Arial"/>
          <w:sz w:val="24"/>
          <w:szCs w:val="24"/>
        </w:rPr>
      </w:pPr>
      <w:r>
        <w:rPr>
          <w:rFonts w:ascii="Arial" w:hAnsi="Arial" w:cs="Arial"/>
          <w:sz w:val="24"/>
          <w:szCs w:val="24"/>
          <w:u w:val="single"/>
        </w:rPr>
        <w:t>EQUALITY AND THE ARMED FORCES</w:t>
      </w:r>
    </w:p>
    <w:p w:rsidR="00922138" w:rsidRDefault="00922138" w:rsidP="00A73E21">
      <w:pPr>
        <w:spacing w:line="360" w:lineRule="auto"/>
        <w:jc w:val="both"/>
        <w:rPr>
          <w:rFonts w:ascii="Arial" w:hAnsi="Arial" w:cs="Arial"/>
          <w:sz w:val="24"/>
          <w:szCs w:val="24"/>
        </w:rPr>
      </w:pPr>
    </w:p>
    <w:p w:rsidR="00B627E2" w:rsidRDefault="00922138" w:rsidP="00B627E2">
      <w:pPr>
        <w:spacing w:line="360" w:lineRule="auto"/>
        <w:jc w:val="both"/>
        <w:rPr>
          <w:rFonts w:ascii="Arial" w:hAnsi="Arial" w:cs="Arial"/>
          <w:sz w:val="24"/>
          <w:szCs w:val="24"/>
        </w:rPr>
      </w:pPr>
      <w:r>
        <w:rPr>
          <w:rFonts w:ascii="Arial" w:hAnsi="Arial" w:cs="Arial"/>
          <w:sz w:val="24"/>
          <w:szCs w:val="24"/>
        </w:rPr>
        <w:t xml:space="preserve">As demonstrated above the new EA10 creates significant duties upon the military and has, it can be argued, continued the process of integrating the military as part of </w:t>
      </w:r>
      <w:r>
        <w:rPr>
          <w:rFonts w:ascii="Arial" w:hAnsi="Arial" w:cs="Arial"/>
          <w:sz w:val="24"/>
          <w:szCs w:val="24"/>
        </w:rPr>
        <w:lastRenderedPageBreak/>
        <w:t>society rather than as a separate and different society within a society. The direction of travel for the armed forces was first indicated in the 1998 Strategic Defence Review</w:t>
      </w:r>
      <w:r w:rsidR="007F5316">
        <w:rPr>
          <w:rFonts w:ascii="Arial" w:hAnsi="Arial" w:cs="Arial"/>
          <w:sz w:val="24"/>
          <w:szCs w:val="24"/>
        </w:rPr>
        <w:t>. The White Paper emphasised that “the armed f</w:t>
      </w:r>
      <w:r w:rsidR="007F5316" w:rsidRPr="007F5316">
        <w:rPr>
          <w:rFonts w:ascii="Arial" w:hAnsi="Arial" w:cs="Arial"/>
          <w:sz w:val="24"/>
          <w:szCs w:val="24"/>
        </w:rPr>
        <w:t>orces will offer a worthwhile and rewarding career for all ethnic groups, both for men and women</w:t>
      </w:r>
      <w:r w:rsidR="007F5316">
        <w:rPr>
          <w:rFonts w:ascii="Arial" w:hAnsi="Arial" w:cs="Arial"/>
          <w:sz w:val="24"/>
          <w:szCs w:val="24"/>
        </w:rPr>
        <w:t>”</w:t>
      </w:r>
      <w:r w:rsidR="007F5316">
        <w:rPr>
          <w:rStyle w:val="FootnoteReference"/>
          <w:rFonts w:ascii="Arial" w:hAnsi="Arial" w:cs="Arial"/>
          <w:sz w:val="24"/>
          <w:szCs w:val="24"/>
        </w:rPr>
        <w:footnoteReference w:id="49"/>
      </w:r>
      <w:r w:rsidR="007F5316">
        <w:rPr>
          <w:rFonts w:ascii="Arial" w:hAnsi="Arial" w:cs="Arial"/>
          <w:sz w:val="24"/>
          <w:szCs w:val="24"/>
        </w:rPr>
        <w:t>. Furthermore “[w]</w:t>
      </w:r>
      <w:r w:rsidR="007F5316" w:rsidRPr="007F5316">
        <w:rPr>
          <w:rFonts w:ascii="Arial" w:hAnsi="Arial" w:cs="Arial"/>
          <w:sz w:val="24"/>
          <w:szCs w:val="24"/>
        </w:rPr>
        <w:t xml:space="preserve">e </w:t>
      </w:r>
      <w:proofErr w:type="gramStart"/>
      <w:r w:rsidR="007F5316" w:rsidRPr="007F5316">
        <w:rPr>
          <w:rFonts w:ascii="Arial" w:hAnsi="Arial" w:cs="Arial"/>
          <w:sz w:val="24"/>
          <w:szCs w:val="24"/>
        </w:rPr>
        <w:t>need</w:t>
      </w:r>
      <w:proofErr w:type="gramEnd"/>
      <w:r w:rsidR="007F5316" w:rsidRPr="007F5316">
        <w:rPr>
          <w:rFonts w:ascii="Arial" w:hAnsi="Arial" w:cs="Arial"/>
          <w:sz w:val="24"/>
          <w:szCs w:val="24"/>
        </w:rPr>
        <w:t xml:space="preserve"> to recruit high quality adaptable people in a rapidly changing society. We will be putting additional emphasis on recruiting and adapting our</w:t>
      </w:r>
      <w:r w:rsidR="007F5316">
        <w:rPr>
          <w:rFonts w:ascii="Arial" w:hAnsi="Arial" w:cs="Arial"/>
          <w:sz w:val="24"/>
          <w:szCs w:val="24"/>
        </w:rPr>
        <w:t xml:space="preserve"> </w:t>
      </w:r>
      <w:r w:rsidR="007F5316" w:rsidRPr="007F5316">
        <w:rPr>
          <w:rFonts w:ascii="Arial" w:hAnsi="Arial" w:cs="Arial"/>
          <w:sz w:val="24"/>
          <w:szCs w:val="24"/>
        </w:rPr>
        <w:t>approach to better reach all sections of the community. We are particularly anxious to recruit more from the ethnic minorities and more women, whose potential we have not fully tapped.</w:t>
      </w:r>
      <w:r w:rsidR="007F5316">
        <w:rPr>
          <w:rFonts w:ascii="Arial" w:hAnsi="Arial" w:cs="Arial"/>
          <w:sz w:val="24"/>
          <w:szCs w:val="24"/>
        </w:rPr>
        <w:t>”</w:t>
      </w:r>
      <w:r w:rsidR="007F5316">
        <w:rPr>
          <w:rStyle w:val="FootnoteReference"/>
          <w:rFonts w:ascii="Arial" w:hAnsi="Arial" w:cs="Arial"/>
          <w:sz w:val="24"/>
          <w:szCs w:val="24"/>
        </w:rPr>
        <w:footnoteReference w:id="50"/>
      </w:r>
      <w:r w:rsidR="007F5316">
        <w:rPr>
          <w:rFonts w:ascii="Arial" w:hAnsi="Arial" w:cs="Arial"/>
          <w:sz w:val="24"/>
          <w:szCs w:val="24"/>
        </w:rPr>
        <w:t xml:space="preserve"> Supporting Essay No 9 was more explicit as to the relationship between society and the military</w:t>
      </w:r>
      <w:r w:rsidR="00B627E2">
        <w:rPr>
          <w:rFonts w:ascii="Arial" w:hAnsi="Arial" w:cs="Arial"/>
          <w:sz w:val="24"/>
          <w:szCs w:val="24"/>
        </w:rPr>
        <w:t xml:space="preserve"> requiring the armed forces to “</w:t>
      </w:r>
      <w:r w:rsidR="00B627E2" w:rsidRPr="00B627E2">
        <w:rPr>
          <w:rFonts w:ascii="Arial" w:hAnsi="Arial" w:cs="Arial"/>
          <w:sz w:val="24"/>
          <w:szCs w:val="24"/>
        </w:rPr>
        <w:t>embrace all sections of the community,</w:t>
      </w:r>
      <w:r w:rsidR="00B627E2">
        <w:rPr>
          <w:rFonts w:ascii="Arial" w:hAnsi="Arial" w:cs="Arial"/>
          <w:sz w:val="24"/>
          <w:szCs w:val="24"/>
        </w:rPr>
        <w:t xml:space="preserve"> irrespective of gender or race”</w:t>
      </w:r>
      <w:r w:rsidR="00B627E2">
        <w:rPr>
          <w:rStyle w:val="FootnoteReference"/>
          <w:rFonts w:ascii="Arial" w:hAnsi="Arial" w:cs="Arial"/>
          <w:sz w:val="24"/>
          <w:szCs w:val="24"/>
        </w:rPr>
        <w:footnoteReference w:id="51"/>
      </w:r>
      <w:r w:rsidR="00B627E2">
        <w:rPr>
          <w:rFonts w:ascii="Arial" w:hAnsi="Arial" w:cs="Arial"/>
          <w:sz w:val="24"/>
          <w:szCs w:val="24"/>
        </w:rPr>
        <w:t>. For women the aim was to maximise opportunities in the armed forces</w:t>
      </w:r>
      <w:r w:rsidR="00B627E2">
        <w:rPr>
          <w:rStyle w:val="FootnoteReference"/>
          <w:rFonts w:ascii="Arial" w:hAnsi="Arial" w:cs="Arial"/>
          <w:sz w:val="24"/>
          <w:szCs w:val="24"/>
        </w:rPr>
        <w:footnoteReference w:id="52"/>
      </w:r>
      <w:r w:rsidR="00B627E2">
        <w:rPr>
          <w:rFonts w:ascii="Arial" w:hAnsi="Arial" w:cs="Arial"/>
          <w:sz w:val="24"/>
          <w:szCs w:val="24"/>
        </w:rPr>
        <w:t xml:space="preserve"> whilst the aim for ethnic minorities was to increase </w:t>
      </w:r>
      <w:r w:rsidR="009D033A">
        <w:rPr>
          <w:rFonts w:ascii="Arial" w:hAnsi="Arial" w:cs="Arial"/>
          <w:sz w:val="24"/>
          <w:szCs w:val="24"/>
        </w:rPr>
        <w:t xml:space="preserve">numbers </w:t>
      </w:r>
      <w:r w:rsidR="00B627E2">
        <w:rPr>
          <w:rFonts w:ascii="Arial" w:hAnsi="Arial" w:cs="Arial"/>
          <w:sz w:val="24"/>
          <w:szCs w:val="24"/>
        </w:rPr>
        <w:t>by 1% each year until eventually the composition of the armed forces reflected that of the population as a whole</w:t>
      </w:r>
      <w:r w:rsidR="00B627E2">
        <w:rPr>
          <w:rStyle w:val="FootnoteReference"/>
          <w:rFonts w:ascii="Arial" w:hAnsi="Arial" w:cs="Arial"/>
          <w:sz w:val="24"/>
          <w:szCs w:val="24"/>
        </w:rPr>
        <w:footnoteReference w:id="53"/>
      </w:r>
      <w:r w:rsidR="00B627E2">
        <w:rPr>
          <w:rFonts w:ascii="Arial" w:hAnsi="Arial" w:cs="Arial"/>
          <w:sz w:val="24"/>
          <w:szCs w:val="24"/>
        </w:rPr>
        <w:t>. Finally the strategy was underlined by an overarching goal “</w:t>
      </w:r>
      <w:r w:rsidR="00B627E2" w:rsidRPr="00B627E2">
        <w:rPr>
          <w:rFonts w:ascii="Arial" w:hAnsi="Arial" w:cs="Arial"/>
          <w:sz w:val="24"/>
          <w:szCs w:val="24"/>
        </w:rPr>
        <w:t xml:space="preserve">to put in place modern and fair </w:t>
      </w:r>
      <w:r w:rsidR="00B627E2">
        <w:rPr>
          <w:rFonts w:ascii="Arial" w:hAnsi="Arial" w:cs="Arial"/>
          <w:sz w:val="24"/>
          <w:szCs w:val="24"/>
        </w:rPr>
        <w:t>policies which ensure that the a</w:t>
      </w:r>
      <w:r w:rsidR="00B627E2" w:rsidRPr="00B627E2">
        <w:rPr>
          <w:rFonts w:ascii="Arial" w:hAnsi="Arial" w:cs="Arial"/>
          <w:sz w:val="24"/>
          <w:szCs w:val="24"/>
        </w:rPr>
        <w:t xml:space="preserve">rmed </w:t>
      </w:r>
      <w:r w:rsidR="00B627E2">
        <w:rPr>
          <w:rFonts w:ascii="Arial" w:hAnsi="Arial" w:cs="Arial"/>
          <w:sz w:val="24"/>
          <w:szCs w:val="24"/>
        </w:rPr>
        <w:t>f</w:t>
      </w:r>
      <w:r w:rsidR="00B627E2" w:rsidRPr="00B627E2">
        <w:rPr>
          <w:rFonts w:ascii="Arial" w:hAnsi="Arial" w:cs="Arial"/>
          <w:sz w:val="24"/>
          <w:szCs w:val="24"/>
        </w:rPr>
        <w:t>orces and the MOD attract and retain the right people and truly reflect the society they serve.</w:t>
      </w:r>
      <w:r w:rsidR="00B627E2">
        <w:rPr>
          <w:rFonts w:ascii="Arial" w:hAnsi="Arial" w:cs="Arial"/>
          <w:sz w:val="24"/>
          <w:szCs w:val="24"/>
        </w:rPr>
        <w:t>”</w:t>
      </w:r>
      <w:r w:rsidR="00B627E2">
        <w:rPr>
          <w:rStyle w:val="FootnoteReference"/>
          <w:rFonts w:ascii="Arial" w:hAnsi="Arial" w:cs="Arial"/>
          <w:sz w:val="24"/>
          <w:szCs w:val="24"/>
        </w:rPr>
        <w:footnoteReference w:id="54"/>
      </w:r>
    </w:p>
    <w:p w:rsidR="00B627E2" w:rsidRDefault="00B627E2" w:rsidP="00B627E2">
      <w:pPr>
        <w:spacing w:line="360" w:lineRule="auto"/>
        <w:jc w:val="both"/>
        <w:rPr>
          <w:rFonts w:ascii="Arial" w:hAnsi="Arial" w:cs="Arial"/>
          <w:sz w:val="24"/>
          <w:szCs w:val="24"/>
        </w:rPr>
      </w:pPr>
    </w:p>
    <w:p w:rsidR="00922138" w:rsidRPr="00922138" w:rsidRDefault="00B627E2" w:rsidP="007F5316">
      <w:pPr>
        <w:spacing w:line="360" w:lineRule="auto"/>
        <w:jc w:val="both"/>
        <w:rPr>
          <w:rFonts w:ascii="Arial" w:hAnsi="Arial" w:cs="Arial"/>
          <w:sz w:val="24"/>
          <w:szCs w:val="24"/>
        </w:rPr>
      </w:pPr>
      <w:r>
        <w:rPr>
          <w:rFonts w:ascii="Arial" w:hAnsi="Arial" w:cs="Arial"/>
          <w:sz w:val="24"/>
          <w:szCs w:val="24"/>
        </w:rPr>
        <w:t>To help achieve these goals the MoD</w:t>
      </w:r>
      <w:r w:rsidR="007F7156">
        <w:rPr>
          <w:rFonts w:ascii="Arial" w:hAnsi="Arial" w:cs="Arial"/>
          <w:sz w:val="24"/>
          <w:szCs w:val="24"/>
        </w:rPr>
        <w:t xml:space="preserve"> set in place three year Equality Schemes first published in 2002 </w:t>
      </w:r>
      <w:r w:rsidR="00361049">
        <w:rPr>
          <w:rFonts w:ascii="Arial" w:hAnsi="Arial" w:cs="Arial"/>
          <w:sz w:val="24"/>
          <w:szCs w:val="24"/>
        </w:rPr>
        <w:t xml:space="preserve">(only for race) </w:t>
      </w:r>
      <w:r w:rsidR="007F7156">
        <w:rPr>
          <w:rFonts w:ascii="Arial" w:hAnsi="Arial" w:cs="Arial"/>
          <w:sz w:val="24"/>
          <w:szCs w:val="24"/>
        </w:rPr>
        <w:t>for 2002-2005</w:t>
      </w:r>
      <w:r w:rsidR="007F7156">
        <w:rPr>
          <w:rStyle w:val="FootnoteReference"/>
          <w:rFonts w:ascii="Arial" w:hAnsi="Arial" w:cs="Arial"/>
          <w:sz w:val="24"/>
          <w:szCs w:val="24"/>
        </w:rPr>
        <w:footnoteReference w:id="55"/>
      </w:r>
      <w:r w:rsidR="007F7156">
        <w:rPr>
          <w:rFonts w:ascii="Arial" w:hAnsi="Arial" w:cs="Arial"/>
          <w:sz w:val="24"/>
          <w:szCs w:val="24"/>
        </w:rPr>
        <w:t>, then 2006-2009</w:t>
      </w:r>
      <w:r w:rsidR="007F7156">
        <w:rPr>
          <w:rStyle w:val="FootnoteReference"/>
          <w:rFonts w:ascii="Arial" w:hAnsi="Arial" w:cs="Arial"/>
          <w:sz w:val="24"/>
          <w:szCs w:val="24"/>
        </w:rPr>
        <w:footnoteReference w:id="56"/>
      </w:r>
      <w:r w:rsidR="007F7156">
        <w:rPr>
          <w:rFonts w:ascii="Arial" w:hAnsi="Arial" w:cs="Arial"/>
          <w:sz w:val="24"/>
          <w:szCs w:val="24"/>
        </w:rPr>
        <w:t>, that was superseded by the scheme for 2008-2011</w:t>
      </w:r>
      <w:r w:rsidR="007F7156">
        <w:rPr>
          <w:rStyle w:val="FootnoteReference"/>
          <w:rFonts w:ascii="Arial" w:hAnsi="Arial" w:cs="Arial"/>
          <w:sz w:val="24"/>
          <w:szCs w:val="24"/>
        </w:rPr>
        <w:footnoteReference w:id="57"/>
      </w:r>
      <w:r w:rsidR="007F7156">
        <w:rPr>
          <w:rFonts w:ascii="Arial" w:hAnsi="Arial" w:cs="Arial"/>
          <w:sz w:val="24"/>
          <w:szCs w:val="24"/>
        </w:rPr>
        <w:t>. Furthermore Annual Reports are published with policy aims and objectives and detailed statistics</w:t>
      </w:r>
      <w:r w:rsidR="007F7156">
        <w:rPr>
          <w:rStyle w:val="FootnoteReference"/>
          <w:rFonts w:ascii="Arial" w:hAnsi="Arial" w:cs="Arial"/>
          <w:sz w:val="24"/>
          <w:szCs w:val="24"/>
        </w:rPr>
        <w:footnoteReference w:id="58"/>
      </w:r>
      <w:r w:rsidR="00361049">
        <w:rPr>
          <w:rFonts w:ascii="Arial" w:hAnsi="Arial" w:cs="Arial"/>
          <w:sz w:val="24"/>
          <w:szCs w:val="24"/>
        </w:rPr>
        <w:t>.</w:t>
      </w:r>
    </w:p>
    <w:p w:rsidR="00922138" w:rsidRDefault="00922138" w:rsidP="00A73E21">
      <w:pPr>
        <w:spacing w:line="360" w:lineRule="auto"/>
        <w:jc w:val="both"/>
        <w:rPr>
          <w:rFonts w:ascii="Arial" w:hAnsi="Arial" w:cs="Arial"/>
          <w:sz w:val="24"/>
          <w:szCs w:val="24"/>
          <w:u w:val="single"/>
        </w:rPr>
      </w:pPr>
    </w:p>
    <w:p w:rsidR="000D05D4" w:rsidRDefault="00D3120D" w:rsidP="00A73E21">
      <w:pPr>
        <w:spacing w:line="360" w:lineRule="auto"/>
        <w:jc w:val="both"/>
        <w:rPr>
          <w:rFonts w:ascii="Arial" w:hAnsi="Arial" w:cs="Arial"/>
          <w:sz w:val="24"/>
          <w:szCs w:val="24"/>
        </w:rPr>
      </w:pPr>
      <w:r>
        <w:rPr>
          <w:rFonts w:ascii="Arial" w:hAnsi="Arial" w:cs="Arial"/>
          <w:sz w:val="24"/>
          <w:szCs w:val="24"/>
          <w:u w:val="single"/>
        </w:rPr>
        <w:t>WOME</w:t>
      </w:r>
      <w:r w:rsidR="00F51581">
        <w:rPr>
          <w:rFonts w:ascii="Arial" w:hAnsi="Arial" w:cs="Arial"/>
          <w:sz w:val="24"/>
          <w:szCs w:val="24"/>
          <w:u w:val="single"/>
        </w:rPr>
        <w:t xml:space="preserve">N AND </w:t>
      </w:r>
      <w:r w:rsidR="000D05D4">
        <w:rPr>
          <w:rFonts w:ascii="Arial" w:hAnsi="Arial" w:cs="Arial"/>
          <w:sz w:val="24"/>
          <w:szCs w:val="24"/>
          <w:u w:val="single"/>
        </w:rPr>
        <w:t>THE ARMED FORCES</w:t>
      </w:r>
    </w:p>
    <w:p w:rsidR="000D05D4" w:rsidRDefault="000D05D4" w:rsidP="00A73E21">
      <w:pPr>
        <w:spacing w:line="360" w:lineRule="auto"/>
        <w:jc w:val="both"/>
        <w:rPr>
          <w:rFonts w:ascii="Arial" w:hAnsi="Arial" w:cs="Arial"/>
          <w:sz w:val="24"/>
          <w:szCs w:val="24"/>
        </w:rPr>
      </w:pPr>
    </w:p>
    <w:p w:rsidR="006A6A75" w:rsidRDefault="00DB3A11" w:rsidP="00A73E21">
      <w:pPr>
        <w:spacing w:line="360" w:lineRule="auto"/>
        <w:jc w:val="both"/>
        <w:rPr>
          <w:rFonts w:ascii="Arial" w:hAnsi="Arial" w:cs="Arial"/>
          <w:sz w:val="24"/>
          <w:szCs w:val="24"/>
        </w:rPr>
      </w:pPr>
      <w:r>
        <w:rPr>
          <w:rFonts w:ascii="Arial" w:hAnsi="Arial" w:cs="Arial"/>
          <w:sz w:val="24"/>
          <w:szCs w:val="24"/>
        </w:rPr>
        <w:t xml:space="preserve">Women have served in the UK armed forces for </w:t>
      </w:r>
      <w:r w:rsidR="007726EF">
        <w:rPr>
          <w:rFonts w:ascii="Arial" w:hAnsi="Arial" w:cs="Arial"/>
          <w:sz w:val="24"/>
          <w:szCs w:val="24"/>
        </w:rPr>
        <w:t xml:space="preserve">many years but the “Women’s Services” </w:t>
      </w:r>
      <w:r w:rsidR="002F1E3D">
        <w:rPr>
          <w:rFonts w:ascii="Arial" w:hAnsi="Arial" w:cs="Arial"/>
          <w:sz w:val="24"/>
          <w:szCs w:val="24"/>
        </w:rPr>
        <w:t xml:space="preserve">only </w:t>
      </w:r>
      <w:r w:rsidR="006570E9">
        <w:rPr>
          <w:rFonts w:ascii="Arial" w:hAnsi="Arial" w:cs="Arial"/>
          <w:sz w:val="24"/>
          <w:szCs w:val="24"/>
        </w:rPr>
        <w:t xml:space="preserve">became </w:t>
      </w:r>
      <w:r w:rsidR="007726EF">
        <w:rPr>
          <w:rFonts w:ascii="Arial" w:hAnsi="Arial" w:cs="Arial"/>
          <w:sz w:val="24"/>
          <w:szCs w:val="24"/>
        </w:rPr>
        <w:t>permanently established after World War II</w:t>
      </w:r>
      <w:r w:rsidR="002F1E3D">
        <w:rPr>
          <w:rStyle w:val="FootnoteReference"/>
          <w:rFonts w:ascii="Arial" w:hAnsi="Arial" w:cs="Arial"/>
          <w:sz w:val="24"/>
          <w:szCs w:val="24"/>
        </w:rPr>
        <w:footnoteReference w:id="59"/>
      </w:r>
      <w:r w:rsidR="007726EF">
        <w:rPr>
          <w:rFonts w:ascii="Arial" w:hAnsi="Arial" w:cs="Arial"/>
          <w:sz w:val="24"/>
          <w:szCs w:val="24"/>
        </w:rPr>
        <w:t xml:space="preserve">. These services, as can be gathered by their name, meant that women served separately to men </w:t>
      </w:r>
      <w:r w:rsidR="00670B1D">
        <w:rPr>
          <w:rFonts w:ascii="Arial" w:hAnsi="Arial" w:cs="Arial"/>
          <w:sz w:val="24"/>
          <w:szCs w:val="24"/>
        </w:rPr>
        <w:t>in</w:t>
      </w:r>
      <w:r w:rsidR="007726EF">
        <w:rPr>
          <w:rFonts w:ascii="Arial" w:hAnsi="Arial" w:cs="Arial"/>
          <w:sz w:val="24"/>
          <w:szCs w:val="24"/>
        </w:rPr>
        <w:t xml:space="preserve"> highly limited and “safe” capacities. In the early 1990s a m</w:t>
      </w:r>
      <w:r w:rsidR="002F1E3D">
        <w:rPr>
          <w:rFonts w:ascii="Arial" w:hAnsi="Arial" w:cs="Arial"/>
          <w:sz w:val="24"/>
          <w:szCs w:val="24"/>
        </w:rPr>
        <w:t xml:space="preserve">ajor change occurred with the Women’s Services being disbanded in 1994 and </w:t>
      </w:r>
      <w:r w:rsidR="00670B1D">
        <w:rPr>
          <w:rFonts w:ascii="Arial" w:hAnsi="Arial" w:cs="Arial"/>
          <w:sz w:val="24"/>
          <w:szCs w:val="24"/>
        </w:rPr>
        <w:t xml:space="preserve">women becoming fully integrated in the Navy, Army and RAF. In 1997 the Secretary of State </w:t>
      </w:r>
      <w:r w:rsidR="006570E9">
        <w:rPr>
          <w:rFonts w:ascii="Arial" w:hAnsi="Arial" w:cs="Arial"/>
          <w:sz w:val="24"/>
          <w:szCs w:val="24"/>
        </w:rPr>
        <w:t xml:space="preserve">for Defence </w:t>
      </w:r>
      <w:r w:rsidR="00670B1D">
        <w:rPr>
          <w:rFonts w:ascii="Arial" w:hAnsi="Arial" w:cs="Arial"/>
          <w:sz w:val="24"/>
          <w:szCs w:val="24"/>
        </w:rPr>
        <w:t>announced the opening up of job opportun</w:t>
      </w:r>
      <w:r w:rsidR="00CD0C18">
        <w:rPr>
          <w:rFonts w:ascii="Arial" w:hAnsi="Arial" w:cs="Arial"/>
          <w:sz w:val="24"/>
          <w:szCs w:val="24"/>
        </w:rPr>
        <w:t>ities for women so that today 73</w:t>
      </w:r>
      <w:r w:rsidR="00670B1D">
        <w:rPr>
          <w:rFonts w:ascii="Arial" w:hAnsi="Arial" w:cs="Arial"/>
          <w:sz w:val="24"/>
          <w:szCs w:val="24"/>
        </w:rPr>
        <w:t>% of jobs are open to women in the Navy</w:t>
      </w:r>
      <w:r w:rsidR="00CD0C18">
        <w:rPr>
          <w:rFonts w:ascii="Arial" w:hAnsi="Arial" w:cs="Arial"/>
          <w:sz w:val="24"/>
          <w:szCs w:val="24"/>
        </w:rPr>
        <w:t>,</w:t>
      </w:r>
      <w:r w:rsidR="00670B1D">
        <w:rPr>
          <w:rFonts w:ascii="Arial" w:hAnsi="Arial" w:cs="Arial"/>
          <w:sz w:val="24"/>
          <w:szCs w:val="24"/>
        </w:rPr>
        <w:t xml:space="preserve"> </w:t>
      </w:r>
      <w:r w:rsidR="00CD0C18">
        <w:rPr>
          <w:rFonts w:ascii="Arial" w:hAnsi="Arial" w:cs="Arial"/>
          <w:sz w:val="24"/>
          <w:szCs w:val="24"/>
        </w:rPr>
        <w:t>70% in the</w:t>
      </w:r>
      <w:r w:rsidR="00670B1D">
        <w:rPr>
          <w:rFonts w:ascii="Arial" w:hAnsi="Arial" w:cs="Arial"/>
          <w:sz w:val="24"/>
          <w:szCs w:val="24"/>
        </w:rPr>
        <w:t xml:space="preserve"> Army and 96% in the RAF. </w:t>
      </w:r>
      <w:r w:rsidR="006A6A75">
        <w:rPr>
          <w:rFonts w:ascii="Arial" w:hAnsi="Arial" w:cs="Arial"/>
          <w:sz w:val="24"/>
          <w:szCs w:val="24"/>
        </w:rPr>
        <w:t>The most recent figures for the percentage of women serving in the military are 9.4% in 2008 and 9.5% in 2009, a long way from fairly 50-50 split of men and women in UK society in general.</w:t>
      </w:r>
    </w:p>
    <w:p w:rsidR="006A6A75" w:rsidRDefault="006A6A75" w:rsidP="00A73E21">
      <w:pPr>
        <w:spacing w:line="360" w:lineRule="auto"/>
        <w:jc w:val="both"/>
        <w:rPr>
          <w:rFonts w:ascii="Arial" w:hAnsi="Arial" w:cs="Arial"/>
          <w:sz w:val="24"/>
          <w:szCs w:val="24"/>
        </w:rPr>
      </w:pPr>
    </w:p>
    <w:p w:rsidR="00BE29DF" w:rsidRPr="00024002" w:rsidRDefault="00BE29DF" w:rsidP="00A73E21">
      <w:pPr>
        <w:spacing w:line="360" w:lineRule="auto"/>
        <w:jc w:val="both"/>
        <w:rPr>
          <w:rFonts w:ascii="Arial" w:hAnsi="Arial" w:cs="Arial"/>
          <w:sz w:val="24"/>
          <w:szCs w:val="24"/>
        </w:rPr>
      </w:pPr>
      <w:r>
        <w:rPr>
          <w:rFonts w:ascii="Arial" w:hAnsi="Arial" w:cs="Arial"/>
          <w:sz w:val="24"/>
          <w:szCs w:val="24"/>
        </w:rPr>
        <w:t>The military experienced a number of difficulties with the Sex Discrimination Act 1975. The first emerged over the treatment of pregnant servicewomen</w:t>
      </w:r>
      <w:r w:rsidR="00F9410D">
        <w:rPr>
          <w:rStyle w:val="FootnoteReference"/>
          <w:rFonts w:ascii="Arial" w:hAnsi="Arial" w:cs="Arial"/>
          <w:sz w:val="24"/>
          <w:szCs w:val="24"/>
        </w:rPr>
        <w:footnoteReference w:id="60"/>
      </w:r>
      <w:r>
        <w:rPr>
          <w:rFonts w:ascii="Arial" w:hAnsi="Arial" w:cs="Arial"/>
          <w:sz w:val="24"/>
          <w:szCs w:val="24"/>
        </w:rPr>
        <w:t>. The original SDA75 contained a provision, s 85(4</w:t>
      </w:r>
      <w:proofErr w:type="gramStart"/>
      <w:r>
        <w:rPr>
          <w:rFonts w:ascii="Arial" w:hAnsi="Arial" w:cs="Arial"/>
          <w:sz w:val="24"/>
          <w:szCs w:val="24"/>
        </w:rPr>
        <w:t>), that</w:t>
      </w:r>
      <w:proofErr w:type="gramEnd"/>
      <w:r>
        <w:rPr>
          <w:rFonts w:ascii="Arial" w:hAnsi="Arial" w:cs="Arial"/>
          <w:sz w:val="24"/>
          <w:szCs w:val="24"/>
        </w:rPr>
        <w:t xml:space="preserve"> excluded from the scope of the Act “service in...</w:t>
      </w:r>
      <w:proofErr w:type="gramStart"/>
      <w:r>
        <w:rPr>
          <w:rFonts w:ascii="Arial" w:hAnsi="Arial" w:cs="Arial"/>
          <w:sz w:val="24"/>
          <w:szCs w:val="24"/>
        </w:rPr>
        <w:t>the</w:t>
      </w:r>
      <w:proofErr w:type="gramEnd"/>
      <w:r>
        <w:rPr>
          <w:rFonts w:ascii="Arial" w:hAnsi="Arial" w:cs="Arial"/>
          <w:sz w:val="24"/>
          <w:szCs w:val="24"/>
        </w:rPr>
        <w:t xml:space="preserve"> naval, military and air forces of the Crown”. Unfortunately no such exception existed in the </w:t>
      </w:r>
      <w:r w:rsidR="009F7D38">
        <w:rPr>
          <w:rFonts w:ascii="Arial" w:hAnsi="Arial" w:cs="Arial"/>
          <w:sz w:val="24"/>
          <w:szCs w:val="24"/>
        </w:rPr>
        <w:t>European Union’s Equal Treatment Directive</w:t>
      </w:r>
      <w:r w:rsidR="009F7D38">
        <w:rPr>
          <w:rStyle w:val="FootnoteReference"/>
          <w:rFonts w:ascii="Arial" w:hAnsi="Arial" w:cs="Arial"/>
          <w:sz w:val="24"/>
          <w:szCs w:val="24"/>
        </w:rPr>
        <w:footnoteReference w:id="61"/>
      </w:r>
      <w:r w:rsidR="009F7D38">
        <w:rPr>
          <w:rFonts w:ascii="Arial" w:hAnsi="Arial" w:cs="Arial"/>
          <w:sz w:val="24"/>
          <w:szCs w:val="24"/>
        </w:rPr>
        <w:t xml:space="preserve"> </w:t>
      </w:r>
      <w:r w:rsidR="00CD0C18">
        <w:rPr>
          <w:rFonts w:ascii="Arial" w:hAnsi="Arial" w:cs="Arial"/>
          <w:sz w:val="24"/>
          <w:szCs w:val="24"/>
        </w:rPr>
        <w:t>with</w:t>
      </w:r>
      <w:r w:rsidR="009F7D38">
        <w:rPr>
          <w:rFonts w:ascii="Arial" w:hAnsi="Arial" w:cs="Arial"/>
          <w:sz w:val="24"/>
          <w:szCs w:val="24"/>
        </w:rPr>
        <w:t xml:space="preserve"> A</w:t>
      </w:r>
      <w:r w:rsidR="00CD0C18">
        <w:rPr>
          <w:rFonts w:ascii="Arial" w:hAnsi="Arial" w:cs="Arial"/>
          <w:sz w:val="24"/>
          <w:szCs w:val="24"/>
        </w:rPr>
        <w:t>rticle 5(1) prohibiting</w:t>
      </w:r>
      <w:r w:rsidR="009F7D38">
        <w:rPr>
          <w:rFonts w:ascii="Arial" w:hAnsi="Arial" w:cs="Arial"/>
          <w:sz w:val="24"/>
          <w:szCs w:val="24"/>
        </w:rPr>
        <w:t xml:space="preserve"> discrimination on grounds of sex with regard to working conditions </w:t>
      </w:r>
      <w:r w:rsidR="009F7D38">
        <w:rPr>
          <w:rFonts w:ascii="Arial" w:hAnsi="Arial" w:cs="Arial"/>
          <w:sz w:val="24"/>
          <w:szCs w:val="24"/>
        </w:rPr>
        <w:lastRenderedPageBreak/>
        <w:t xml:space="preserve">and the conditions governing dismissal. In </w:t>
      </w:r>
      <w:r w:rsidR="009F7D38">
        <w:rPr>
          <w:rFonts w:ascii="Arial" w:hAnsi="Arial" w:cs="Arial"/>
          <w:sz w:val="24"/>
          <w:szCs w:val="24"/>
          <w:u w:val="single"/>
        </w:rPr>
        <w:t>Marshall I</w:t>
      </w:r>
      <w:r w:rsidR="009F7D38" w:rsidRPr="009F7D38">
        <w:rPr>
          <w:rStyle w:val="FootnoteReference"/>
          <w:rFonts w:ascii="Arial" w:hAnsi="Arial" w:cs="Arial"/>
          <w:sz w:val="24"/>
          <w:szCs w:val="24"/>
        </w:rPr>
        <w:footnoteReference w:id="62"/>
      </w:r>
      <w:r w:rsidR="009F7D38">
        <w:rPr>
          <w:rFonts w:ascii="Arial" w:hAnsi="Arial" w:cs="Arial"/>
          <w:sz w:val="24"/>
          <w:szCs w:val="24"/>
        </w:rPr>
        <w:t xml:space="preserve"> the ECJ held that Article 5(1) could be relied upon by an individual in a national court to avoid a national provision that was inconsistent with it and denied the right that flowed from it</w:t>
      </w:r>
      <w:r w:rsidR="00CB6E0A">
        <w:rPr>
          <w:rFonts w:ascii="Arial" w:hAnsi="Arial" w:cs="Arial"/>
          <w:sz w:val="24"/>
          <w:szCs w:val="24"/>
        </w:rPr>
        <w:t xml:space="preserve">. Furthermore in </w:t>
      </w:r>
      <w:r w:rsidR="00CB6E0A">
        <w:rPr>
          <w:rFonts w:ascii="Arial" w:hAnsi="Arial" w:cs="Arial"/>
          <w:sz w:val="24"/>
          <w:szCs w:val="24"/>
          <w:u w:val="single"/>
        </w:rPr>
        <w:t>Hertz</w:t>
      </w:r>
      <w:r w:rsidR="00CB6E0A" w:rsidRPr="00CB6E0A">
        <w:rPr>
          <w:rStyle w:val="FootnoteReference"/>
          <w:rFonts w:ascii="Arial" w:hAnsi="Arial" w:cs="Arial"/>
          <w:sz w:val="24"/>
          <w:szCs w:val="24"/>
        </w:rPr>
        <w:footnoteReference w:id="63"/>
      </w:r>
      <w:r w:rsidR="00CB6E0A">
        <w:rPr>
          <w:rFonts w:ascii="Arial" w:hAnsi="Arial" w:cs="Arial"/>
          <w:sz w:val="24"/>
          <w:szCs w:val="24"/>
        </w:rPr>
        <w:t xml:space="preserve"> the Court found “that the dismissal of a female worker on account of pregnancy constitutes direct discrimination on grounds of sex, as is a refusal to appoint a pregnant woman”. Therefore it was now clear that SDA75 s 85(4) was irreconcilable with the Equal Treatment Directive and that the armed forces were vulnerable to a legal challenge. In 1991 two judicial review applications were brought with the backing of the Equal Opportunities Commi</w:t>
      </w:r>
      <w:r w:rsidR="009442B8">
        <w:rPr>
          <w:rFonts w:ascii="Arial" w:hAnsi="Arial" w:cs="Arial"/>
          <w:sz w:val="24"/>
          <w:szCs w:val="24"/>
        </w:rPr>
        <w:t>ssion challenging the military’s</w:t>
      </w:r>
      <w:r w:rsidR="00CB6E0A">
        <w:rPr>
          <w:rFonts w:ascii="Arial" w:hAnsi="Arial" w:cs="Arial"/>
          <w:sz w:val="24"/>
          <w:szCs w:val="24"/>
        </w:rPr>
        <w:t xml:space="preserve"> policy to sack pregnant servicewomen</w:t>
      </w:r>
      <w:r w:rsidR="009442B8">
        <w:rPr>
          <w:rStyle w:val="FootnoteReference"/>
          <w:rFonts w:ascii="Arial" w:hAnsi="Arial" w:cs="Arial"/>
          <w:sz w:val="24"/>
          <w:szCs w:val="24"/>
        </w:rPr>
        <w:footnoteReference w:id="64"/>
      </w:r>
      <w:r w:rsidR="00CB6E0A">
        <w:rPr>
          <w:rFonts w:ascii="Arial" w:hAnsi="Arial" w:cs="Arial"/>
          <w:sz w:val="24"/>
          <w:szCs w:val="24"/>
        </w:rPr>
        <w:t xml:space="preserve">. Before the case came to court the Secretary of State for Defence conceded that the policy was </w:t>
      </w:r>
      <w:r w:rsidR="00950A47">
        <w:rPr>
          <w:rFonts w:ascii="Arial" w:hAnsi="Arial" w:cs="Arial"/>
          <w:sz w:val="24"/>
          <w:szCs w:val="24"/>
        </w:rPr>
        <w:t xml:space="preserve">incompatible with the legal rights in the Equal Treatment Directive and that compensation claims could be heard before Industrial Tribunals. Two further ECJ cases created further problems for the Ministry of Defence. First in </w:t>
      </w:r>
      <w:r w:rsidR="00950A47">
        <w:rPr>
          <w:rFonts w:ascii="Arial" w:hAnsi="Arial" w:cs="Arial"/>
          <w:sz w:val="24"/>
          <w:szCs w:val="24"/>
          <w:u w:val="single"/>
        </w:rPr>
        <w:t>Marshall II</w:t>
      </w:r>
      <w:r w:rsidR="00950A47" w:rsidRPr="00950A47">
        <w:rPr>
          <w:rStyle w:val="FootnoteReference"/>
          <w:rFonts w:ascii="Arial" w:hAnsi="Arial" w:cs="Arial"/>
          <w:sz w:val="24"/>
          <w:szCs w:val="24"/>
        </w:rPr>
        <w:footnoteReference w:id="65"/>
      </w:r>
      <w:r w:rsidR="00950A47">
        <w:rPr>
          <w:rFonts w:ascii="Arial" w:hAnsi="Arial" w:cs="Arial"/>
          <w:sz w:val="24"/>
          <w:szCs w:val="24"/>
        </w:rPr>
        <w:t xml:space="preserve"> Article 6 of the Equal Treatment Directive required Member States measures to be “such as to guarantee real and effective judicial protection and have a real deterrent effect on the employer”. It went on to conclude that an upper compensation limit was inconsistent with Article 6 “since it limits the amount of compensation </w:t>
      </w:r>
      <w:r w:rsidR="00950A47">
        <w:rPr>
          <w:rFonts w:ascii="Arial" w:hAnsi="Arial" w:cs="Arial"/>
          <w:i/>
          <w:sz w:val="24"/>
          <w:szCs w:val="24"/>
        </w:rPr>
        <w:t>a priori</w:t>
      </w:r>
      <w:r w:rsidR="00950A47">
        <w:rPr>
          <w:rFonts w:ascii="Arial" w:hAnsi="Arial" w:cs="Arial"/>
          <w:sz w:val="24"/>
          <w:szCs w:val="24"/>
        </w:rPr>
        <w:t xml:space="preserve"> which is not necessarily consistent with the requirement of ensuring</w:t>
      </w:r>
      <w:r w:rsidR="009442B8">
        <w:rPr>
          <w:rFonts w:ascii="Arial" w:hAnsi="Arial" w:cs="Arial"/>
          <w:sz w:val="24"/>
          <w:szCs w:val="24"/>
        </w:rPr>
        <w:t xml:space="preserve"> real equality of opportunity through adequate reparation for the loss and damage sustained as a result of discriminatory dismissal”</w:t>
      </w:r>
      <w:r w:rsidR="009442B8">
        <w:rPr>
          <w:rStyle w:val="FootnoteReference"/>
          <w:rFonts w:ascii="Arial" w:hAnsi="Arial" w:cs="Arial"/>
          <w:sz w:val="24"/>
          <w:szCs w:val="24"/>
        </w:rPr>
        <w:footnoteReference w:id="66"/>
      </w:r>
      <w:r w:rsidR="009442B8">
        <w:rPr>
          <w:rFonts w:ascii="Arial" w:hAnsi="Arial" w:cs="Arial"/>
          <w:sz w:val="24"/>
          <w:szCs w:val="24"/>
        </w:rPr>
        <w:t xml:space="preserve">. Second in </w:t>
      </w:r>
      <w:proofErr w:type="spellStart"/>
      <w:r w:rsidR="009442B8">
        <w:rPr>
          <w:rFonts w:ascii="Arial" w:hAnsi="Arial" w:cs="Arial"/>
          <w:sz w:val="24"/>
          <w:szCs w:val="24"/>
          <w:u w:val="single"/>
        </w:rPr>
        <w:t>Emmott</w:t>
      </w:r>
      <w:proofErr w:type="spellEnd"/>
      <w:r w:rsidR="009442B8" w:rsidRPr="009442B8">
        <w:rPr>
          <w:rStyle w:val="FootnoteReference"/>
          <w:rFonts w:ascii="Arial" w:hAnsi="Arial" w:cs="Arial"/>
          <w:sz w:val="24"/>
          <w:szCs w:val="24"/>
        </w:rPr>
        <w:footnoteReference w:id="67"/>
      </w:r>
      <w:r w:rsidR="009442B8">
        <w:rPr>
          <w:rFonts w:ascii="Arial" w:hAnsi="Arial" w:cs="Arial"/>
          <w:sz w:val="24"/>
          <w:szCs w:val="24"/>
        </w:rPr>
        <w:t xml:space="preserve"> it was held that a time limit could not start to run until the Directive had been correctly transposed into domestic law. Therefore the Ministry of Defence was exposed to damages actions from ex-servicewomen dismissed on the basis of their pregnancy from the transposition date of the Directive, August 1978, and the summer of 1990 when maternity leave was introduced for servicewomen.</w:t>
      </w:r>
      <w:r w:rsidR="00F9410D">
        <w:rPr>
          <w:rFonts w:ascii="Arial" w:hAnsi="Arial" w:cs="Arial"/>
          <w:sz w:val="24"/>
          <w:szCs w:val="24"/>
        </w:rPr>
        <w:t xml:space="preserve"> Many claims were brought f</w:t>
      </w:r>
      <w:r w:rsidR="00024002">
        <w:rPr>
          <w:rFonts w:ascii="Arial" w:hAnsi="Arial" w:cs="Arial"/>
          <w:sz w:val="24"/>
          <w:szCs w:val="24"/>
        </w:rPr>
        <w:t xml:space="preserve">or damages that were dealt with inconsistently by the courts. Eventually seven test cases were selected in </w:t>
      </w:r>
      <w:r w:rsidR="00024002">
        <w:rPr>
          <w:rFonts w:ascii="Arial" w:hAnsi="Arial" w:cs="Arial"/>
          <w:sz w:val="24"/>
          <w:szCs w:val="24"/>
          <w:u w:val="single"/>
        </w:rPr>
        <w:t>Ministry of Defence v Cannock and others</w:t>
      </w:r>
      <w:r w:rsidR="00024002" w:rsidRPr="00024002">
        <w:rPr>
          <w:rStyle w:val="FootnoteReference"/>
          <w:rFonts w:ascii="Arial" w:hAnsi="Arial" w:cs="Arial"/>
          <w:sz w:val="24"/>
          <w:szCs w:val="24"/>
        </w:rPr>
        <w:footnoteReference w:id="68"/>
      </w:r>
      <w:r w:rsidR="00024002">
        <w:rPr>
          <w:rFonts w:ascii="Arial" w:hAnsi="Arial" w:cs="Arial"/>
          <w:sz w:val="24"/>
          <w:szCs w:val="24"/>
        </w:rPr>
        <w:t xml:space="preserve"> for an appeal before the Employment </w:t>
      </w:r>
      <w:r w:rsidR="00024002">
        <w:rPr>
          <w:rFonts w:ascii="Arial" w:hAnsi="Arial" w:cs="Arial"/>
          <w:sz w:val="24"/>
          <w:szCs w:val="24"/>
        </w:rPr>
        <w:lastRenderedPageBreak/>
        <w:t xml:space="preserve">Appeal Tribunal </w:t>
      </w:r>
      <w:r w:rsidR="00705E2F">
        <w:rPr>
          <w:rFonts w:ascii="Arial" w:hAnsi="Arial" w:cs="Arial"/>
          <w:sz w:val="24"/>
          <w:szCs w:val="24"/>
        </w:rPr>
        <w:t>(EAT)</w:t>
      </w:r>
      <w:r w:rsidR="00024002">
        <w:rPr>
          <w:rFonts w:ascii="Arial" w:hAnsi="Arial" w:cs="Arial"/>
          <w:sz w:val="24"/>
          <w:szCs w:val="24"/>
        </w:rPr>
        <w:t xml:space="preserve"> so that guidelines could be provided for industrial tribunals to apply in future compensation cases.</w:t>
      </w:r>
    </w:p>
    <w:p w:rsidR="00BE29DF" w:rsidRDefault="00BE29DF" w:rsidP="00A73E21">
      <w:pPr>
        <w:spacing w:line="360" w:lineRule="auto"/>
        <w:jc w:val="both"/>
        <w:rPr>
          <w:rFonts w:ascii="Arial" w:hAnsi="Arial" w:cs="Arial"/>
          <w:sz w:val="24"/>
          <w:szCs w:val="24"/>
        </w:rPr>
      </w:pPr>
    </w:p>
    <w:p w:rsidR="00D3120D" w:rsidRDefault="006570E9" w:rsidP="00A73E21">
      <w:pPr>
        <w:spacing w:line="360" w:lineRule="auto"/>
        <w:jc w:val="both"/>
        <w:rPr>
          <w:rFonts w:ascii="Arial" w:hAnsi="Arial" w:cs="Arial"/>
          <w:sz w:val="24"/>
          <w:szCs w:val="24"/>
        </w:rPr>
      </w:pPr>
      <w:proofErr w:type="gramStart"/>
      <w:r>
        <w:rPr>
          <w:rFonts w:ascii="Arial" w:hAnsi="Arial" w:cs="Arial"/>
          <w:sz w:val="24"/>
          <w:szCs w:val="24"/>
        </w:rPr>
        <w:t>The Sex Discrimination Act 1975 (after amendment by the Sex</w:t>
      </w:r>
      <w:r w:rsidR="00BE29DF">
        <w:rPr>
          <w:rFonts w:ascii="Arial" w:hAnsi="Arial" w:cs="Arial"/>
          <w:sz w:val="24"/>
          <w:szCs w:val="24"/>
        </w:rPr>
        <w:t xml:space="preserve"> Discrimination Act 1975 (Application to Armed Forces etc.)</w:t>
      </w:r>
      <w:proofErr w:type="gramEnd"/>
      <w:r w:rsidR="00BE29DF">
        <w:rPr>
          <w:rFonts w:ascii="Arial" w:hAnsi="Arial" w:cs="Arial"/>
          <w:sz w:val="24"/>
          <w:szCs w:val="24"/>
        </w:rPr>
        <w:t xml:space="preserve"> Regulations 1994</w:t>
      </w:r>
      <w:r w:rsidR="00BE29DF">
        <w:rPr>
          <w:rStyle w:val="FootnoteReference"/>
          <w:rFonts w:ascii="Arial" w:hAnsi="Arial" w:cs="Arial"/>
          <w:sz w:val="24"/>
          <w:szCs w:val="24"/>
        </w:rPr>
        <w:footnoteReference w:id="69"/>
      </w:r>
      <w:r w:rsidR="00BE29DF">
        <w:rPr>
          <w:rFonts w:ascii="Arial" w:hAnsi="Arial" w:cs="Arial"/>
          <w:sz w:val="24"/>
          <w:szCs w:val="24"/>
        </w:rPr>
        <w:t xml:space="preserve"> amended </w:t>
      </w:r>
      <w:r w:rsidR="00F9410D">
        <w:rPr>
          <w:rFonts w:ascii="Arial" w:hAnsi="Arial" w:cs="Arial"/>
          <w:sz w:val="24"/>
          <w:szCs w:val="24"/>
        </w:rPr>
        <w:t>s 85(4) of the SDA75</w:t>
      </w:r>
      <w:r w:rsidR="00BE29DF">
        <w:rPr>
          <w:rFonts w:ascii="Arial" w:hAnsi="Arial" w:cs="Arial"/>
          <w:sz w:val="24"/>
          <w:szCs w:val="24"/>
        </w:rPr>
        <w:t xml:space="preserve"> so that “[n]</w:t>
      </w:r>
      <w:proofErr w:type="spellStart"/>
      <w:r w:rsidR="00BE29DF">
        <w:rPr>
          <w:rFonts w:ascii="Arial" w:hAnsi="Arial" w:cs="Arial"/>
          <w:sz w:val="24"/>
          <w:szCs w:val="24"/>
        </w:rPr>
        <w:t>othing</w:t>
      </w:r>
      <w:proofErr w:type="spellEnd"/>
      <w:r w:rsidR="00BE29DF">
        <w:rPr>
          <w:rFonts w:ascii="Arial" w:hAnsi="Arial" w:cs="Arial"/>
          <w:sz w:val="24"/>
          <w:szCs w:val="24"/>
        </w:rPr>
        <w:t xml:space="preserve"> in this Act shall render unlawful an act done for the purpose of ensuring the combat effectiveness of the naval, military or air forces of the Crown.”</w:t>
      </w:r>
      <w:r w:rsidR="00024002">
        <w:rPr>
          <w:rFonts w:ascii="Arial" w:hAnsi="Arial" w:cs="Arial"/>
          <w:sz w:val="24"/>
          <w:szCs w:val="24"/>
        </w:rPr>
        <w:t xml:space="preserve"> This combat effectiveness exclusion has been utilised by the armed forces to continue to limit full integration of women in the military ensuring that women cannot serve in front line army units, the RAF Regiment, the Royal Marines and submarines</w:t>
      </w:r>
      <w:r w:rsidR="007326E7">
        <w:rPr>
          <w:rStyle w:val="FootnoteReference"/>
          <w:rFonts w:ascii="Arial" w:hAnsi="Arial" w:cs="Arial"/>
          <w:sz w:val="24"/>
          <w:szCs w:val="24"/>
        </w:rPr>
        <w:footnoteReference w:id="70"/>
      </w:r>
      <w:r w:rsidR="00024002">
        <w:rPr>
          <w:rFonts w:ascii="Arial" w:hAnsi="Arial" w:cs="Arial"/>
          <w:sz w:val="24"/>
          <w:szCs w:val="24"/>
        </w:rPr>
        <w:t>. As Arnull</w:t>
      </w:r>
      <w:r w:rsidR="006B4570">
        <w:rPr>
          <w:rStyle w:val="FootnoteReference"/>
          <w:rFonts w:ascii="Arial" w:hAnsi="Arial" w:cs="Arial"/>
          <w:sz w:val="24"/>
          <w:szCs w:val="24"/>
        </w:rPr>
        <w:footnoteReference w:id="71"/>
      </w:r>
      <w:r w:rsidR="00024002">
        <w:rPr>
          <w:rFonts w:ascii="Arial" w:hAnsi="Arial" w:cs="Arial"/>
          <w:sz w:val="24"/>
          <w:szCs w:val="24"/>
        </w:rPr>
        <w:t xml:space="preserve"> points out this combat effectiveness restriction is not included in Article 2(2) of the Equal Treatment Directive </w:t>
      </w:r>
      <w:r w:rsidR="006B4570">
        <w:rPr>
          <w:rFonts w:ascii="Arial" w:hAnsi="Arial" w:cs="Arial"/>
          <w:sz w:val="24"/>
          <w:szCs w:val="24"/>
        </w:rPr>
        <w:t>that</w:t>
      </w:r>
      <w:r w:rsidR="00024002">
        <w:rPr>
          <w:rFonts w:ascii="Arial" w:hAnsi="Arial" w:cs="Arial"/>
          <w:sz w:val="24"/>
          <w:szCs w:val="24"/>
        </w:rPr>
        <w:t xml:space="preserve"> excludes from the scope activities where the sex of the worker constitutes a determining factor, transposed into </w:t>
      </w:r>
      <w:r w:rsidR="006B4570">
        <w:rPr>
          <w:rFonts w:ascii="Arial" w:hAnsi="Arial" w:cs="Arial"/>
          <w:sz w:val="24"/>
          <w:szCs w:val="24"/>
        </w:rPr>
        <w:t>national law by the catalogue of situations in SDA75 s 7 and which is now applicable to the armed forces. He further notes</w:t>
      </w:r>
      <w:r w:rsidR="006B4570">
        <w:rPr>
          <w:rStyle w:val="FootnoteReference"/>
          <w:rFonts w:ascii="Arial" w:hAnsi="Arial" w:cs="Arial"/>
          <w:sz w:val="24"/>
          <w:szCs w:val="24"/>
        </w:rPr>
        <w:footnoteReference w:id="72"/>
      </w:r>
      <w:r w:rsidR="006B4570">
        <w:rPr>
          <w:rFonts w:ascii="Arial" w:hAnsi="Arial" w:cs="Arial"/>
          <w:sz w:val="24"/>
          <w:szCs w:val="24"/>
        </w:rPr>
        <w:t xml:space="preserve"> that the effect of the new s 85(4) was to create an exclusion of the armed forces on the basis of combat effectiveness where the sex of the worker is not a genuine occupational qualification for the job.</w:t>
      </w:r>
    </w:p>
    <w:p w:rsidR="006B4570" w:rsidRDefault="006B4570" w:rsidP="00A73E21">
      <w:pPr>
        <w:spacing w:line="360" w:lineRule="auto"/>
        <w:jc w:val="both"/>
        <w:rPr>
          <w:rFonts w:ascii="Arial" w:hAnsi="Arial" w:cs="Arial"/>
          <w:sz w:val="24"/>
          <w:szCs w:val="24"/>
        </w:rPr>
      </w:pPr>
    </w:p>
    <w:p w:rsidR="006B4570" w:rsidRDefault="0020100D" w:rsidP="0020100D">
      <w:pPr>
        <w:spacing w:line="360" w:lineRule="auto"/>
        <w:jc w:val="both"/>
        <w:rPr>
          <w:rFonts w:ascii="Arial" w:hAnsi="Arial" w:cs="Arial"/>
          <w:sz w:val="24"/>
          <w:szCs w:val="24"/>
        </w:rPr>
      </w:pPr>
      <w:r>
        <w:rPr>
          <w:rFonts w:ascii="Arial" w:hAnsi="Arial" w:cs="Arial"/>
          <w:sz w:val="24"/>
          <w:szCs w:val="24"/>
        </w:rPr>
        <w:t>Another aspect of women serving in the armed forces that has raised concerns is that of sexual h</w:t>
      </w:r>
      <w:r w:rsidR="006B4570">
        <w:rPr>
          <w:rFonts w:ascii="Arial" w:hAnsi="Arial" w:cs="Arial"/>
          <w:sz w:val="24"/>
          <w:szCs w:val="24"/>
        </w:rPr>
        <w:t>arassment</w:t>
      </w:r>
      <w:r>
        <w:rPr>
          <w:rFonts w:ascii="Arial" w:hAnsi="Arial" w:cs="Arial"/>
          <w:sz w:val="24"/>
          <w:szCs w:val="24"/>
        </w:rPr>
        <w:t>. In 2002 the EU adopted Directive 2002/73</w:t>
      </w:r>
      <w:r w:rsidR="004A4649">
        <w:rPr>
          <w:rStyle w:val="FootnoteReference"/>
          <w:rFonts w:ascii="Arial" w:hAnsi="Arial" w:cs="Arial"/>
          <w:sz w:val="24"/>
          <w:szCs w:val="24"/>
        </w:rPr>
        <w:footnoteReference w:id="73"/>
      </w:r>
      <w:r>
        <w:rPr>
          <w:rFonts w:ascii="Arial" w:hAnsi="Arial" w:cs="Arial"/>
          <w:sz w:val="24"/>
          <w:szCs w:val="24"/>
        </w:rPr>
        <w:t xml:space="preserve"> that amended the original Equal Treatment Directive. A new Article 2 was introduced that defined harassment as “</w:t>
      </w:r>
      <w:r w:rsidRPr="0020100D">
        <w:rPr>
          <w:rFonts w:ascii="Arial" w:hAnsi="Arial" w:cs="Arial"/>
          <w:sz w:val="24"/>
          <w:szCs w:val="24"/>
        </w:rPr>
        <w:t>where an unwanted conduct related to the</w:t>
      </w:r>
      <w:r>
        <w:rPr>
          <w:rFonts w:ascii="Arial" w:hAnsi="Arial" w:cs="Arial"/>
          <w:sz w:val="24"/>
          <w:szCs w:val="24"/>
        </w:rPr>
        <w:t xml:space="preserve"> </w:t>
      </w:r>
      <w:r w:rsidRPr="0020100D">
        <w:rPr>
          <w:rFonts w:ascii="Arial" w:hAnsi="Arial" w:cs="Arial"/>
          <w:sz w:val="24"/>
          <w:szCs w:val="24"/>
        </w:rPr>
        <w:t>sex of a person occurs with the purpose or effect of</w:t>
      </w:r>
      <w:r>
        <w:rPr>
          <w:rFonts w:ascii="Arial" w:hAnsi="Arial" w:cs="Arial"/>
          <w:sz w:val="24"/>
          <w:szCs w:val="24"/>
        </w:rPr>
        <w:t xml:space="preserve"> </w:t>
      </w:r>
      <w:r w:rsidRPr="0020100D">
        <w:rPr>
          <w:rFonts w:ascii="Arial" w:hAnsi="Arial" w:cs="Arial"/>
          <w:sz w:val="24"/>
          <w:szCs w:val="24"/>
        </w:rPr>
        <w:t>violating the dignity of a person, and of creating an</w:t>
      </w:r>
      <w:r>
        <w:rPr>
          <w:rFonts w:ascii="Arial" w:hAnsi="Arial" w:cs="Arial"/>
          <w:sz w:val="24"/>
          <w:szCs w:val="24"/>
        </w:rPr>
        <w:t xml:space="preserve"> </w:t>
      </w:r>
      <w:r w:rsidRPr="0020100D">
        <w:rPr>
          <w:rFonts w:ascii="Arial" w:hAnsi="Arial" w:cs="Arial"/>
          <w:sz w:val="24"/>
          <w:szCs w:val="24"/>
        </w:rPr>
        <w:t>intimidating, hostile, degrading, humiliating or offensive</w:t>
      </w:r>
      <w:r>
        <w:rPr>
          <w:rFonts w:ascii="Arial" w:hAnsi="Arial" w:cs="Arial"/>
          <w:sz w:val="24"/>
          <w:szCs w:val="24"/>
        </w:rPr>
        <w:t xml:space="preserve"> </w:t>
      </w:r>
      <w:r w:rsidRPr="0020100D">
        <w:rPr>
          <w:rFonts w:ascii="Arial" w:hAnsi="Arial" w:cs="Arial"/>
          <w:sz w:val="24"/>
          <w:szCs w:val="24"/>
        </w:rPr>
        <w:t>environment</w:t>
      </w:r>
      <w:r>
        <w:rPr>
          <w:rFonts w:ascii="Arial" w:hAnsi="Arial" w:cs="Arial"/>
          <w:sz w:val="24"/>
          <w:szCs w:val="24"/>
        </w:rPr>
        <w:t>” and sexual harassment as “</w:t>
      </w:r>
      <w:r w:rsidRPr="0020100D">
        <w:rPr>
          <w:rFonts w:ascii="Arial" w:hAnsi="Arial" w:cs="Arial"/>
          <w:sz w:val="24"/>
          <w:szCs w:val="24"/>
        </w:rPr>
        <w:t>where any form of unwanted verbal,</w:t>
      </w:r>
      <w:r>
        <w:rPr>
          <w:rFonts w:ascii="Arial" w:hAnsi="Arial" w:cs="Arial"/>
          <w:sz w:val="24"/>
          <w:szCs w:val="24"/>
        </w:rPr>
        <w:t xml:space="preserve"> </w:t>
      </w:r>
      <w:r w:rsidRPr="0020100D">
        <w:rPr>
          <w:rFonts w:ascii="Arial" w:hAnsi="Arial" w:cs="Arial"/>
          <w:sz w:val="24"/>
          <w:szCs w:val="24"/>
        </w:rPr>
        <w:t>non-verbal or physical conduct of a sexual nature</w:t>
      </w:r>
      <w:r>
        <w:rPr>
          <w:rFonts w:ascii="Arial" w:hAnsi="Arial" w:cs="Arial"/>
          <w:sz w:val="24"/>
          <w:szCs w:val="24"/>
        </w:rPr>
        <w:t xml:space="preserve"> </w:t>
      </w:r>
      <w:r w:rsidRPr="0020100D">
        <w:rPr>
          <w:rFonts w:ascii="Arial" w:hAnsi="Arial" w:cs="Arial"/>
          <w:sz w:val="24"/>
          <w:szCs w:val="24"/>
        </w:rPr>
        <w:t>occurs, with the purpose or effect of violating the</w:t>
      </w:r>
      <w:r>
        <w:rPr>
          <w:rFonts w:ascii="Arial" w:hAnsi="Arial" w:cs="Arial"/>
          <w:sz w:val="24"/>
          <w:szCs w:val="24"/>
        </w:rPr>
        <w:t xml:space="preserve"> </w:t>
      </w:r>
      <w:r w:rsidRPr="0020100D">
        <w:rPr>
          <w:rFonts w:ascii="Arial" w:hAnsi="Arial" w:cs="Arial"/>
          <w:sz w:val="24"/>
          <w:szCs w:val="24"/>
        </w:rPr>
        <w:t xml:space="preserve">dignity of a </w:t>
      </w:r>
      <w:r w:rsidRPr="0020100D">
        <w:rPr>
          <w:rFonts w:ascii="Arial" w:hAnsi="Arial" w:cs="Arial"/>
          <w:sz w:val="24"/>
          <w:szCs w:val="24"/>
        </w:rPr>
        <w:lastRenderedPageBreak/>
        <w:t>person, in particular when creating an intimidating,</w:t>
      </w:r>
      <w:r>
        <w:rPr>
          <w:rFonts w:ascii="Arial" w:hAnsi="Arial" w:cs="Arial"/>
          <w:sz w:val="24"/>
          <w:szCs w:val="24"/>
        </w:rPr>
        <w:t xml:space="preserve"> </w:t>
      </w:r>
      <w:r w:rsidRPr="0020100D">
        <w:rPr>
          <w:rFonts w:ascii="Arial" w:hAnsi="Arial" w:cs="Arial"/>
          <w:sz w:val="24"/>
          <w:szCs w:val="24"/>
        </w:rPr>
        <w:t>hostile, degrading, humiliating or offensive</w:t>
      </w:r>
      <w:r>
        <w:rPr>
          <w:rFonts w:ascii="Arial" w:hAnsi="Arial" w:cs="Arial"/>
          <w:sz w:val="24"/>
          <w:szCs w:val="24"/>
        </w:rPr>
        <w:t xml:space="preserve"> </w:t>
      </w:r>
      <w:r w:rsidRPr="0020100D">
        <w:rPr>
          <w:rFonts w:ascii="Arial" w:hAnsi="Arial" w:cs="Arial"/>
          <w:sz w:val="24"/>
          <w:szCs w:val="24"/>
        </w:rPr>
        <w:t>environment</w:t>
      </w:r>
      <w:r>
        <w:rPr>
          <w:rFonts w:ascii="Arial" w:hAnsi="Arial" w:cs="Arial"/>
          <w:sz w:val="24"/>
          <w:szCs w:val="24"/>
        </w:rPr>
        <w:t xml:space="preserve">”. Such harassment and sexual harassment was </w:t>
      </w:r>
      <w:r w:rsidR="004A4649">
        <w:rPr>
          <w:rFonts w:ascii="Arial" w:hAnsi="Arial" w:cs="Arial"/>
          <w:sz w:val="24"/>
          <w:szCs w:val="24"/>
        </w:rPr>
        <w:t xml:space="preserve">considered to be discriminatory and thus prohibited. Sexual harassment was transposed as SDA75 s </w:t>
      </w:r>
      <w:proofErr w:type="gramStart"/>
      <w:r w:rsidR="004A4649">
        <w:rPr>
          <w:rFonts w:ascii="Arial" w:hAnsi="Arial" w:cs="Arial"/>
          <w:sz w:val="24"/>
          <w:szCs w:val="24"/>
        </w:rPr>
        <w:t>4A(</w:t>
      </w:r>
      <w:proofErr w:type="gramEnd"/>
      <w:r w:rsidR="004A4649">
        <w:rPr>
          <w:rFonts w:ascii="Arial" w:hAnsi="Arial" w:cs="Arial"/>
          <w:sz w:val="24"/>
          <w:szCs w:val="24"/>
        </w:rPr>
        <w:t>1)(b) by the Employment Equality (Sex Discrimination) Regulations 2005</w:t>
      </w:r>
      <w:r w:rsidR="004A4649">
        <w:rPr>
          <w:rStyle w:val="FootnoteReference"/>
          <w:rFonts w:ascii="Arial" w:hAnsi="Arial" w:cs="Arial"/>
          <w:sz w:val="24"/>
          <w:szCs w:val="24"/>
        </w:rPr>
        <w:footnoteReference w:id="74"/>
      </w:r>
      <w:r w:rsidR="004A4649">
        <w:rPr>
          <w:rFonts w:ascii="Arial" w:hAnsi="Arial" w:cs="Arial"/>
          <w:sz w:val="24"/>
          <w:szCs w:val="24"/>
        </w:rPr>
        <w:t xml:space="preserve">. </w:t>
      </w:r>
      <w:r w:rsidR="009F0F87">
        <w:rPr>
          <w:rFonts w:ascii="Arial" w:hAnsi="Arial" w:cs="Arial"/>
          <w:sz w:val="24"/>
          <w:szCs w:val="24"/>
        </w:rPr>
        <w:t>In 2004 the EOC wrote to the Ministry of Defence expressing concern over the frequency and persistence of sexual harassment of servicewomen by their male colleagues. The EOC</w:t>
      </w:r>
      <w:r w:rsidR="002327FE">
        <w:rPr>
          <w:rStyle w:val="FootnoteReference"/>
          <w:rFonts w:ascii="Arial" w:hAnsi="Arial" w:cs="Arial"/>
          <w:sz w:val="24"/>
          <w:szCs w:val="24"/>
        </w:rPr>
        <w:footnoteReference w:id="75"/>
      </w:r>
      <w:r w:rsidR="009F0F87">
        <w:rPr>
          <w:rFonts w:ascii="Arial" w:hAnsi="Arial" w:cs="Arial"/>
          <w:sz w:val="24"/>
          <w:szCs w:val="24"/>
        </w:rPr>
        <w:t xml:space="preserve"> began and then immediately suspended a formal investigation when negotiations were entered into between the MoD and EOC for an action plan to prevent and deal effectively with sexual harassment in the armed forces. This was signed on 23 June 2005</w:t>
      </w:r>
      <w:r w:rsidR="009F0F87">
        <w:rPr>
          <w:rStyle w:val="FootnoteReference"/>
          <w:rFonts w:ascii="Arial" w:hAnsi="Arial" w:cs="Arial"/>
          <w:sz w:val="24"/>
          <w:szCs w:val="24"/>
        </w:rPr>
        <w:footnoteReference w:id="76"/>
      </w:r>
      <w:r w:rsidR="00C236FD">
        <w:rPr>
          <w:rFonts w:ascii="Arial" w:hAnsi="Arial" w:cs="Arial"/>
          <w:sz w:val="24"/>
          <w:szCs w:val="24"/>
        </w:rPr>
        <w:t>. The action plan consisted of three phases: empirical research through surveys, focus groups and assessment of policy; a revue of the findings; and, implementation of measures for leadership, complaint handling, and monitoring and research</w:t>
      </w:r>
      <w:r w:rsidR="00C236FD">
        <w:rPr>
          <w:rStyle w:val="FootnoteReference"/>
          <w:rFonts w:ascii="Arial" w:hAnsi="Arial" w:cs="Arial"/>
          <w:sz w:val="24"/>
          <w:szCs w:val="24"/>
        </w:rPr>
        <w:footnoteReference w:id="77"/>
      </w:r>
      <w:r w:rsidR="00C236FD">
        <w:rPr>
          <w:rFonts w:ascii="Arial" w:hAnsi="Arial" w:cs="Arial"/>
          <w:sz w:val="24"/>
          <w:szCs w:val="24"/>
        </w:rPr>
        <w:t>. The result of the successful implementation of this action plan was for the EOC to permanently suspend any investigation unless the MoD and the Armed Forces materially failed to achieve the objectives and actions in the action plan</w:t>
      </w:r>
      <w:r w:rsidR="00C236FD">
        <w:rPr>
          <w:rStyle w:val="FootnoteReference"/>
          <w:rFonts w:ascii="Arial" w:hAnsi="Arial" w:cs="Arial"/>
          <w:sz w:val="24"/>
          <w:szCs w:val="24"/>
        </w:rPr>
        <w:footnoteReference w:id="78"/>
      </w:r>
      <w:r w:rsidR="007326E7">
        <w:rPr>
          <w:rFonts w:ascii="Arial" w:hAnsi="Arial" w:cs="Arial"/>
          <w:sz w:val="24"/>
          <w:szCs w:val="24"/>
        </w:rPr>
        <w:t>.</w:t>
      </w:r>
    </w:p>
    <w:p w:rsidR="006B4570" w:rsidRDefault="006B4570" w:rsidP="00A73E21">
      <w:pPr>
        <w:spacing w:line="360" w:lineRule="auto"/>
        <w:jc w:val="both"/>
        <w:rPr>
          <w:rFonts w:ascii="Arial" w:hAnsi="Arial" w:cs="Arial"/>
          <w:sz w:val="24"/>
          <w:szCs w:val="24"/>
        </w:rPr>
      </w:pPr>
    </w:p>
    <w:p w:rsidR="000D05D4" w:rsidRDefault="00A75F5B" w:rsidP="00A73E21">
      <w:pPr>
        <w:spacing w:line="360" w:lineRule="auto"/>
        <w:jc w:val="both"/>
        <w:rPr>
          <w:rFonts w:ascii="Arial" w:hAnsi="Arial" w:cs="Arial"/>
          <w:sz w:val="24"/>
          <w:szCs w:val="24"/>
        </w:rPr>
      </w:pPr>
      <w:r>
        <w:rPr>
          <w:rFonts w:ascii="Arial" w:hAnsi="Arial" w:cs="Arial"/>
          <w:sz w:val="24"/>
          <w:szCs w:val="24"/>
        </w:rPr>
        <w:t xml:space="preserve">Since then the </w:t>
      </w:r>
      <w:r w:rsidR="0068495E">
        <w:rPr>
          <w:rFonts w:ascii="Arial" w:hAnsi="Arial" w:cs="Arial"/>
          <w:sz w:val="24"/>
          <w:szCs w:val="24"/>
        </w:rPr>
        <w:t>EU has recast and combined the Equal Treatment and Equal Pay Directive</w:t>
      </w:r>
      <w:r w:rsidR="0068495E">
        <w:rPr>
          <w:rStyle w:val="FootnoteReference"/>
          <w:rFonts w:ascii="Arial" w:hAnsi="Arial" w:cs="Arial"/>
          <w:sz w:val="24"/>
          <w:szCs w:val="24"/>
        </w:rPr>
        <w:footnoteReference w:id="79"/>
      </w:r>
      <w:r w:rsidR="0068495E">
        <w:rPr>
          <w:rFonts w:ascii="Arial" w:hAnsi="Arial" w:cs="Arial"/>
          <w:sz w:val="24"/>
          <w:szCs w:val="24"/>
        </w:rPr>
        <w:t xml:space="preserve"> into the Equality Directive 2006/54</w:t>
      </w:r>
      <w:r w:rsidR="0068495E">
        <w:rPr>
          <w:rStyle w:val="FootnoteReference"/>
          <w:rFonts w:ascii="Arial" w:hAnsi="Arial" w:cs="Arial"/>
          <w:sz w:val="24"/>
          <w:szCs w:val="24"/>
        </w:rPr>
        <w:footnoteReference w:id="80"/>
      </w:r>
      <w:r w:rsidR="0068495E">
        <w:rPr>
          <w:rFonts w:ascii="Arial" w:hAnsi="Arial" w:cs="Arial"/>
          <w:sz w:val="24"/>
          <w:szCs w:val="24"/>
        </w:rPr>
        <w:t xml:space="preserve"> but still does not include an exception for the armed forces on the basis of combat effectiveness.</w:t>
      </w:r>
      <w:r w:rsidR="00CD0C18">
        <w:rPr>
          <w:rFonts w:ascii="Arial" w:hAnsi="Arial" w:cs="Arial"/>
          <w:sz w:val="24"/>
          <w:szCs w:val="24"/>
        </w:rPr>
        <w:t xml:space="preserve"> T</w:t>
      </w:r>
      <w:r w:rsidR="004763A9">
        <w:rPr>
          <w:rFonts w:ascii="Arial" w:hAnsi="Arial" w:cs="Arial"/>
          <w:sz w:val="24"/>
          <w:szCs w:val="24"/>
        </w:rPr>
        <w:t xml:space="preserve">he ECJ has held that the Member States have competence to take decisions on the organisation </w:t>
      </w:r>
      <w:r w:rsidR="004763A9">
        <w:rPr>
          <w:rFonts w:ascii="Arial" w:hAnsi="Arial" w:cs="Arial"/>
          <w:sz w:val="24"/>
          <w:szCs w:val="24"/>
        </w:rPr>
        <w:lastRenderedPageBreak/>
        <w:t>of their armed forces in order to ensure their security</w:t>
      </w:r>
      <w:r w:rsidR="00F72617">
        <w:rPr>
          <w:rStyle w:val="FootnoteReference"/>
          <w:rFonts w:ascii="Arial" w:hAnsi="Arial" w:cs="Arial"/>
          <w:sz w:val="24"/>
          <w:szCs w:val="24"/>
        </w:rPr>
        <w:footnoteReference w:id="81"/>
      </w:r>
      <w:r w:rsidR="004763A9">
        <w:rPr>
          <w:rFonts w:ascii="Arial" w:hAnsi="Arial" w:cs="Arial"/>
          <w:sz w:val="24"/>
          <w:szCs w:val="24"/>
        </w:rPr>
        <w:t>. However, this competence has to be exercised with the genuine aim of guaranteeing public security whilst being appropriate and necessary to achieve this aim</w:t>
      </w:r>
      <w:r w:rsidR="00913502">
        <w:rPr>
          <w:rStyle w:val="FootnoteReference"/>
          <w:rFonts w:ascii="Arial" w:hAnsi="Arial" w:cs="Arial"/>
          <w:sz w:val="24"/>
          <w:szCs w:val="24"/>
        </w:rPr>
        <w:footnoteReference w:id="82"/>
      </w:r>
      <w:r w:rsidR="004763A9">
        <w:rPr>
          <w:rFonts w:ascii="Arial" w:hAnsi="Arial" w:cs="Arial"/>
          <w:sz w:val="24"/>
          <w:szCs w:val="24"/>
        </w:rPr>
        <w:t>. A blanket ban on women serving in the armed forces on the basis of combat effectiveness would be unjustified</w:t>
      </w:r>
      <w:r w:rsidR="00913502">
        <w:rPr>
          <w:rStyle w:val="FootnoteReference"/>
          <w:rFonts w:ascii="Arial" w:hAnsi="Arial" w:cs="Arial"/>
          <w:sz w:val="24"/>
          <w:szCs w:val="24"/>
        </w:rPr>
        <w:footnoteReference w:id="83"/>
      </w:r>
      <w:r w:rsidR="004763A9">
        <w:rPr>
          <w:rFonts w:ascii="Arial" w:hAnsi="Arial" w:cs="Arial"/>
          <w:sz w:val="24"/>
          <w:szCs w:val="24"/>
        </w:rPr>
        <w:t>, whilst a ban on women serving in the Royal Marines would be justified</w:t>
      </w:r>
      <w:r w:rsidR="00913502">
        <w:rPr>
          <w:rStyle w:val="FootnoteReference"/>
          <w:rFonts w:ascii="Arial" w:hAnsi="Arial" w:cs="Arial"/>
          <w:sz w:val="24"/>
          <w:szCs w:val="24"/>
        </w:rPr>
        <w:footnoteReference w:id="84"/>
      </w:r>
      <w:r w:rsidR="004763A9">
        <w:rPr>
          <w:rFonts w:ascii="Arial" w:hAnsi="Arial" w:cs="Arial"/>
          <w:sz w:val="24"/>
          <w:szCs w:val="24"/>
        </w:rPr>
        <w:t xml:space="preserve"> as it </w:t>
      </w:r>
      <w:r w:rsidR="00F72617">
        <w:rPr>
          <w:rFonts w:ascii="Arial" w:hAnsi="Arial" w:cs="Arial"/>
          <w:sz w:val="24"/>
          <w:szCs w:val="24"/>
        </w:rPr>
        <w:t>would be</w:t>
      </w:r>
      <w:r w:rsidR="004763A9">
        <w:rPr>
          <w:rFonts w:ascii="Arial" w:hAnsi="Arial" w:cs="Arial"/>
          <w:sz w:val="24"/>
          <w:szCs w:val="24"/>
        </w:rPr>
        <w:t xml:space="preserve"> confined to a small force and applied to the principle of inter-operability</w:t>
      </w:r>
      <w:r w:rsidR="00F72617">
        <w:rPr>
          <w:rFonts w:ascii="Arial" w:hAnsi="Arial" w:cs="Arial"/>
          <w:sz w:val="24"/>
          <w:szCs w:val="24"/>
        </w:rPr>
        <w:t>, a requirement that all personnel would have to carry out a wide range of tasks and front-line fighting</w:t>
      </w:r>
      <w:r w:rsidR="00583EA6">
        <w:rPr>
          <w:rStyle w:val="FootnoteReference"/>
          <w:rFonts w:ascii="Arial" w:hAnsi="Arial" w:cs="Arial"/>
          <w:sz w:val="24"/>
          <w:szCs w:val="24"/>
        </w:rPr>
        <w:footnoteReference w:id="85"/>
      </w:r>
      <w:r w:rsidR="00F72617">
        <w:rPr>
          <w:rFonts w:ascii="Arial" w:hAnsi="Arial" w:cs="Arial"/>
          <w:sz w:val="24"/>
          <w:szCs w:val="24"/>
        </w:rPr>
        <w:t>.</w:t>
      </w:r>
      <w:r w:rsidR="00583EA6">
        <w:rPr>
          <w:rFonts w:ascii="Arial" w:hAnsi="Arial" w:cs="Arial"/>
          <w:sz w:val="24"/>
          <w:szCs w:val="24"/>
        </w:rPr>
        <w:t xml:space="preserve"> This year a further report on Women in the Armed Forces is due to be published with </w:t>
      </w:r>
      <w:r w:rsidR="006A2E46">
        <w:rPr>
          <w:rFonts w:ascii="Arial" w:hAnsi="Arial" w:cs="Arial"/>
          <w:sz w:val="24"/>
          <w:szCs w:val="24"/>
        </w:rPr>
        <w:t xml:space="preserve">considerable media speculation at the start of the year that the submarine service of the Royal Navy would be opened up to women. The report is awaited with considerable anticipation with </w:t>
      </w:r>
      <w:r w:rsidR="00CD0C18">
        <w:rPr>
          <w:rFonts w:ascii="Arial" w:hAnsi="Arial" w:cs="Arial"/>
          <w:sz w:val="24"/>
          <w:szCs w:val="24"/>
        </w:rPr>
        <w:t>the possibility of the EA10 having</w:t>
      </w:r>
      <w:r w:rsidR="006A2E46">
        <w:rPr>
          <w:rFonts w:ascii="Arial" w:hAnsi="Arial" w:cs="Arial"/>
          <w:sz w:val="24"/>
          <w:szCs w:val="24"/>
        </w:rPr>
        <w:t xml:space="preserve"> a significant impact</w:t>
      </w:r>
      <w:r w:rsidR="00576F63">
        <w:rPr>
          <w:rFonts w:ascii="Arial" w:hAnsi="Arial" w:cs="Arial"/>
          <w:sz w:val="24"/>
          <w:szCs w:val="24"/>
        </w:rPr>
        <w:t>, especially if the claims by Basham</w:t>
      </w:r>
      <w:r w:rsidR="00576F63">
        <w:rPr>
          <w:rStyle w:val="FootnoteReference"/>
          <w:rFonts w:ascii="Arial" w:hAnsi="Arial" w:cs="Arial"/>
          <w:sz w:val="24"/>
          <w:szCs w:val="24"/>
        </w:rPr>
        <w:footnoteReference w:id="86"/>
      </w:r>
      <w:r w:rsidR="00576F63">
        <w:rPr>
          <w:rFonts w:ascii="Arial" w:hAnsi="Arial" w:cs="Arial"/>
          <w:sz w:val="24"/>
          <w:szCs w:val="24"/>
        </w:rPr>
        <w:t xml:space="preserve"> that arguments of social cohesion behind the concept of combat effectiveness lead to situations of harassment for women and homosexuals are upheld</w:t>
      </w:r>
      <w:r w:rsidR="006A2E46">
        <w:rPr>
          <w:rFonts w:ascii="Arial" w:hAnsi="Arial" w:cs="Arial"/>
          <w:sz w:val="24"/>
          <w:szCs w:val="24"/>
        </w:rPr>
        <w:t>.</w:t>
      </w:r>
    </w:p>
    <w:p w:rsidR="006570E9" w:rsidRDefault="006570E9" w:rsidP="00A73E21">
      <w:pPr>
        <w:spacing w:line="360" w:lineRule="auto"/>
        <w:jc w:val="both"/>
        <w:rPr>
          <w:rFonts w:ascii="Arial" w:hAnsi="Arial" w:cs="Arial"/>
          <w:sz w:val="24"/>
          <w:szCs w:val="24"/>
        </w:rPr>
      </w:pPr>
    </w:p>
    <w:p w:rsidR="006570E9" w:rsidRDefault="006570E9" w:rsidP="00A73E21">
      <w:pPr>
        <w:spacing w:line="360" w:lineRule="auto"/>
        <w:jc w:val="both"/>
        <w:rPr>
          <w:rFonts w:ascii="Arial" w:hAnsi="Arial" w:cs="Arial"/>
          <w:sz w:val="24"/>
          <w:szCs w:val="24"/>
        </w:rPr>
      </w:pPr>
      <w:r>
        <w:rPr>
          <w:rFonts w:ascii="Arial" w:hAnsi="Arial" w:cs="Arial"/>
          <w:sz w:val="24"/>
          <w:szCs w:val="24"/>
          <w:u w:val="single"/>
        </w:rPr>
        <w:t>HOMOSEXUALS AND THE ARMED FORCES</w:t>
      </w:r>
    </w:p>
    <w:p w:rsidR="006570E9" w:rsidRDefault="006570E9" w:rsidP="00A73E21">
      <w:pPr>
        <w:spacing w:line="360" w:lineRule="auto"/>
        <w:jc w:val="both"/>
        <w:rPr>
          <w:rFonts w:ascii="Arial" w:hAnsi="Arial" w:cs="Arial"/>
          <w:sz w:val="24"/>
          <w:szCs w:val="24"/>
        </w:rPr>
      </w:pPr>
    </w:p>
    <w:p w:rsidR="006570E9" w:rsidRDefault="006B4570" w:rsidP="00A73E21">
      <w:pPr>
        <w:spacing w:line="360" w:lineRule="auto"/>
        <w:jc w:val="both"/>
        <w:rPr>
          <w:rFonts w:ascii="Arial" w:hAnsi="Arial" w:cs="Arial"/>
          <w:sz w:val="24"/>
          <w:szCs w:val="24"/>
        </w:rPr>
      </w:pPr>
      <w:r>
        <w:rPr>
          <w:rFonts w:ascii="Arial" w:hAnsi="Arial" w:cs="Arial"/>
          <w:sz w:val="24"/>
          <w:szCs w:val="24"/>
        </w:rPr>
        <w:t>The policy towards homosexuals serving in the armed forces undertook incremental changes before the ban was lifted in January 2000. After the civilian decriminalisation of homosexual acts by the Sexual Offence Act 1967</w:t>
      </w:r>
      <w:r w:rsidR="00BB651F">
        <w:rPr>
          <w:rFonts w:ascii="Arial" w:hAnsi="Arial" w:cs="Arial"/>
          <w:sz w:val="24"/>
          <w:szCs w:val="24"/>
        </w:rPr>
        <w:t>,</w:t>
      </w:r>
      <w:r>
        <w:rPr>
          <w:rFonts w:ascii="Arial" w:hAnsi="Arial" w:cs="Arial"/>
          <w:sz w:val="24"/>
          <w:szCs w:val="24"/>
        </w:rPr>
        <w:t xml:space="preserve"> homosexuality was still a criminal offen</w:t>
      </w:r>
      <w:r w:rsidR="00BB651F">
        <w:rPr>
          <w:rFonts w:ascii="Arial" w:hAnsi="Arial" w:cs="Arial"/>
          <w:sz w:val="24"/>
          <w:szCs w:val="24"/>
        </w:rPr>
        <w:t xml:space="preserve">ce in the military. This continued until 1992 when a statement was made by the responsible minister in the House of Commons to the effect that in future individuals who engaged in homosexual acts would not be prosecuted under military law. This was only given legal effect in 1994 with the </w:t>
      </w:r>
      <w:r w:rsidR="00BB651F">
        <w:rPr>
          <w:rFonts w:ascii="Arial" w:hAnsi="Arial" w:cs="Arial"/>
          <w:sz w:val="24"/>
          <w:szCs w:val="24"/>
        </w:rPr>
        <w:lastRenderedPageBreak/>
        <w:t>passing of s 146(1) of the Criminal Justice and Public Order Act 1994. However, s 146(4) provided that a homosexual act could continue to constitute a ground for discharge from military service. This policy was challenged in a judicial review action by four ex-service personnel</w:t>
      </w:r>
      <w:r w:rsidR="00B75B25">
        <w:rPr>
          <w:rStyle w:val="FootnoteReference"/>
          <w:rFonts w:ascii="Arial" w:hAnsi="Arial" w:cs="Arial"/>
          <w:sz w:val="24"/>
          <w:szCs w:val="24"/>
        </w:rPr>
        <w:footnoteReference w:id="87"/>
      </w:r>
      <w:r w:rsidR="00BB651F">
        <w:rPr>
          <w:rFonts w:ascii="Arial" w:hAnsi="Arial" w:cs="Arial"/>
          <w:sz w:val="24"/>
          <w:szCs w:val="24"/>
        </w:rPr>
        <w:t xml:space="preserve"> who had been discharged from the services for their homosexuality. In the Court of Appeal</w:t>
      </w:r>
      <w:r w:rsidR="00B75B25">
        <w:rPr>
          <w:rStyle w:val="FootnoteReference"/>
          <w:rFonts w:ascii="Arial" w:hAnsi="Arial" w:cs="Arial"/>
          <w:sz w:val="24"/>
          <w:szCs w:val="24"/>
        </w:rPr>
        <w:footnoteReference w:id="88"/>
      </w:r>
      <w:r w:rsidR="00BB651F">
        <w:rPr>
          <w:rFonts w:ascii="Arial" w:hAnsi="Arial" w:cs="Arial"/>
          <w:sz w:val="24"/>
          <w:szCs w:val="24"/>
        </w:rPr>
        <w:t xml:space="preserve"> the challenge was rejected as the Ministry of Defence policy did not meet the high threshold requirement of irrationality</w:t>
      </w:r>
      <w:r w:rsidR="00B75B25">
        <w:rPr>
          <w:rFonts w:ascii="Arial" w:hAnsi="Arial" w:cs="Arial"/>
          <w:sz w:val="24"/>
          <w:szCs w:val="24"/>
        </w:rPr>
        <w:t>, the only ground of judicial review available. Furthermore it was held that as the ECHR was not part of UK law then Article 8, the right to private life, was not applicable and that there was nothing in EU Law that could be used to overrule the policy.</w:t>
      </w:r>
      <w:r w:rsidR="00C2481C">
        <w:rPr>
          <w:rFonts w:ascii="Arial" w:hAnsi="Arial" w:cs="Arial"/>
          <w:sz w:val="24"/>
          <w:szCs w:val="24"/>
        </w:rPr>
        <w:t xml:space="preserve"> The four former service personnel continued with their legal action after their request for a House of Lords hearing was dismissed and took their cases to the ECtHR in 1999</w:t>
      </w:r>
      <w:r w:rsidR="001B2B84">
        <w:rPr>
          <w:rStyle w:val="FootnoteReference"/>
          <w:rFonts w:ascii="Arial" w:hAnsi="Arial" w:cs="Arial"/>
          <w:sz w:val="24"/>
          <w:szCs w:val="24"/>
        </w:rPr>
        <w:footnoteReference w:id="89"/>
      </w:r>
      <w:r w:rsidR="00C2481C">
        <w:rPr>
          <w:rFonts w:ascii="Arial" w:hAnsi="Arial" w:cs="Arial"/>
          <w:sz w:val="24"/>
          <w:szCs w:val="24"/>
        </w:rPr>
        <w:t>. Here the judges ruled that the MoD policy was incompatible with the claimants’ right to privacy and private life under Article 8ECHR. The result was the lifting of the ban</w:t>
      </w:r>
      <w:r w:rsidR="001B2B84">
        <w:rPr>
          <w:rFonts w:ascii="Arial" w:hAnsi="Arial" w:cs="Arial"/>
          <w:sz w:val="24"/>
          <w:szCs w:val="24"/>
        </w:rPr>
        <w:t xml:space="preserve"> and the adoption of an Armed Forces Code of Social Conduct</w:t>
      </w:r>
      <w:r w:rsidR="001B2B84">
        <w:rPr>
          <w:rStyle w:val="FootnoteReference"/>
          <w:rFonts w:ascii="Arial" w:hAnsi="Arial" w:cs="Arial"/>
          <w:sz w:val="24"/>
          <w:szCs w:val="24"/>
        </w:rPr>
        <w:footnoteReference w:id="90"/>
      </w:r>
      <w:r w:rsidR="001B2B84">
        <w:rPr>
          <w:rFonts w:ascii="Arial" w:hAnsi="Arial" w:cs="Arial"/>
          <w:sz w:val="24"/>
          <w:szCs w:val="24"/>
        </w:rPr>
        <w:t xml:space="preserve"> that applied generally across all personnel</w:t>
      </w:r>
      <w:r w:rsidR="00C2481C">
        <w:rPr>
          <w:rFonts w:ascii="Arial" w:hAnsi="Arial" w:cs="Arial"/>
          <w:sz w:val="24"/>
          <w:szCs w:val="24"/>
        </w:rPr>
        <w:t>.</w:t>
      </w:r>
    </w:p>
    <w:p w:rsidR="00C2481C" w:rsidRDefault="00C2481C" w:rsidP="00A73E21">
      <w:pPr>
        <w:spacing w:line="360" w:lineRule="auto"/>
        <w:jc w:val="both"/>
        <w:rPr>
          <w:rFonts w:ascii="Arial" w:hAnsi="Arial" w:cs="Arial"/>
          <w:sz w:val="24"/>
          <w:szCs w:val="24"/>
        </w:rPr>
      </w:pPr>
    </w:p>
    <w:p w:rsidR="00C2481C" w:rsidRDefault="00C2481C" w:rsidP="00A73E21">
      <w:pPr>
        <w:spacing w:line="360" w:lineRule="auto"/>
        <w:jc w:val="both"/>
        <w:rPr>
          <w:rFonts w:ascii="Arial" w:hAnsi="Arial" w:cs="Arial"/>
          <w:sz w:val="24"/>
          <w:szCs w:val="24"/>
        </w:rPr>
      </w:pPr>
      <w:r>
        <w:rPr>
          <w:rFonts w:ascii="Arial" w:hAnsi="Arial" w:cs="Arial"/>
          <w:sz w:val="24"/>
          <w:szCs w:val="24"/>
        </w:rPr>
        <w:t>Since then there have been two reviews of the abolition of the ban on homosexuals serving in the military, first in October 2000</w:t>
      </w:r>
      <w:r w:rsidR="006A2E46">
        <w:rPr>
          <w:rStyle w:val="FootnoteReference"/>
          <w:rFonts w:ascii="Arial" w:hAnsi="Arial" w:cs="Arial"/>
          <w:sz w:val="24"/>
          <w:szCs w:val="24"/>
        </w:rPr>
        <w:footnoteReference w:id="91"/>
      </w:r>
      <w:r>
        <w:rPr>
          <w:rFonts w:ascii="Arial" w:hAnsi="Arial" w:cs="Arial"/>
          <w:sz w:val="24"/>
          <w:szCs w:val="24"/>
        </w:rPr>
        <w:t xml:space="preserve"> and then in 2002</w:t>
      </w:r>
      <w:r w:rsidR="006A2E46">
        <w:rPr>
          <w:rStyle w:val="FootnoteReference"/>
          <w:rFonts w:ascii="Arial" w:hAnsi="Arial" w:cs="Arial"/>
          <w:sz w:val="24"/>
          <w:szCs w:val="24"/>
        </w:rPr>
        <w:footnoteReference w:id="92"/>
      </w:r>
      <w:r>
        <w:rPr>
          <w:rFonts w:ascii="Arial" w:hAnsi="Arial" w:cs="Arial"/>
          <w:sz w:val="24"/>
          <w:szCs w:val="24"/>
        </w:rPr>
        <w:t>. Neither reported significant problems with the application of the new rules. Unfortunately the military now consider homosexuality to be a non-issue and so no empirical research has been carried out since the lifting of the ban to determine the number of homosexuals serving or to investigate their experiences.</w:t>
      </w:r>
      <w:r w:rsidR="006A2E46">
        <w:rPr>
          <w:rFonts w:ascii="Arial" w:hAnsi="Arial" w:cs="Arial"/>
          <w:sz w:val="24"/>
          <w:szCs w:val="24"/>
        </w:rPr>
        <w:t xml:space="preserve"> </w:t>
      </w:r>
      <w:r w:rsidR="001B2B84">
        <w:rPr>
          <w:rFonts w:ascii="Arial" w:hAnsi="Arial" w:cs="Arial"/>
          <w:sz w:val="24"/>
          <w:szCs w:val="24"/>
        </w:rPr>
        <w:t>This failure to monitor and evaluate this issue may possibly lead to a challenge being brought against the military under the public sector equality duty of the EA10 (s 149(1))</w:t>
      </w:r>
      <w:r w:rsidR="00576F63">
        <w:rPr>
          <w:rFonts w:ascii="Arial" w:hAnsi="Arial" w:cs="Arial"/>
          <w:sz w:val="24"/>
          <w:szCs w:val="24"/>
        </w:rPr>
        <w:t xml:space="preserve">, especially if the claims of </w:t>
      </w:r>
      <w:r w:rsidR="00576F63">
        <w:rPr>
          <w:rFonts w:ascii="Arial" w:hAnsi="Arial" w:cs="Arial"/>
          <w:sz w:val="24"/>
          <w:szCs w:val="24"/>
        </w:rPr>
        <w:lastRenderedPageBreak/>
        <w:t>Basham</w:t>
      </w:r>
      <w:r w:rsidR="00576F63">
        <w:rPr>
          <w:rStyle w:val="FootnoteReference"/>
          <w:rFonts w:ascii="Arial" w:hAnsi="Arial" w:cs="Arial"/>
          <w:sz w:val="24"/>
          <w:szCs w:val="24"/>
        </w:rPr>
        <w:footnoteReference w:id="93"/>
      </w:r>
      <w:r w:rsidR="00576F63">
        <w:rPr>
          <w:rFonts w:ascii="Arial" w:hAnsi="Arial" w:cs="Arial"/>
          <w:sz w:val="24"/>
          <w:szCs w:val="24"/>
        </w:rPr>
        <w:t xml:space="preserve"> that arguments of social cohesion behind the concept of combat effectiveness lead to situations of harassment for women and homosexuals are upheld.</w:t>
      </w:r>
    </w:p>
    <w:p w:rsidR="006570E9" w:rsidRDefault="006570E9" w:rsidP="00A73E21">
      <w:pPr>
        <w:spacing w:line="360" w:lineRule="auto"/>
        <w:jc w:val="both"/>
        <w:rPr>
          <w:rFonts w:ascii="Arial" w:hAnsi="Arial" w:cs="Arial"/>
          <w:sz w:val="24"/>
          <w:szCs w:val="24"/>
        </w:rPr>
      </w:pPr>
    </w:p>
    <w:p w:rsidR="00576F63" w:rsidRDefault="00A91982" w:rsidP="00A73E21">
      <w:pPr>
        <w:spacing w:line="360" w:lineRule="auto"/>
        <w:jc w:val="both"/>
        <w:rPr>
          <w:rFonts w:ascii="Arial" w:hAnsi="Arial" w:cs="Arial"/>
          <w:sz w:val="24"/>
          <w:szCs w:val="24"/>
        </w:rPr>
      </w:pPr>
      <w:r>
        <w:rPr>
          <w:rFonts w:ascii="Arial" w:hAnsi="Arial" w:cs="Arial"/>
          <w:sz w:val="24"/>
          <w:szCs w:val="24"/>
        </w:rPr>
        <w:t xml:space="preserve">The opportunities for homosexual ex-servicemen and women to obtain compensation for sex discrimination on the grounds of their dismissal on the basis of their homosexuality were severely curtailed in the case of </w:t>
      </w:r>
      <w:r w:rsidRPr="00A91982">
        <w:rPr>
          <w:rFonts w:ascii="Arial" w:hAnsi="Arial" w:cs="Arial"/>
          <w:sz w:val="24"/>
          <w:szCs w:val="24"/>
          <w:u w:val="single"/>
        </w:rPr>
        <w:t>MacDonald</w:t>
      </w:r>
      <w:r w:rsidRPr="00A91982">
        <w:rPr>
          <w:rStyle w:val="FootnoteReference"/>
          <w:rFonts w:ascii="Arial" w:hAnsi="Arial" w:cs="Arial"/>
          <w:sz w:val="24"/>
          <w:szCs w:val="24"/>
        </w:rPr>
        <w:footnoteReference w:id="94"/>
      </w:r>
      <w:r w:rsidRPr="00A91982">
        <w:rPr>
          <w:rFonts w:ascii="Arial" w:hAnsi="Arial" w:cs="Arial"/>
          <w:sz w:val="24"/>
          <w:szCs w:val="24"/>
        </w:rPr>
        <w:t xml:space="preserve"> </w:t>
      </w:r>
      <w:r>
        <w:rPr>
          <w:rFonts w:ascii="Arial" w:hAnsi="Arial" w:cs="Arial"/>
          <w:sz w:val="24"/>
          <w:szCs w:val="24"/>
        </w:rPr>
        <w:t>before the House of Lords</w:t>
      </w:r>
      <w:r w:rsidR="00FE5421">
        <w:rPr>
          <w:rFonts w:ascii="Arial" w:hAnsi="Arial" w:cs="Arial"/>
          <w:sz w:val="24"/>
          <w:szCs w:val="24"/>
        </w:rPr>
        <w:t>. The SDA75 required a real comparator to be used to determine discriminatory treatment. MacDonald was dismissed from the RAF because he was attracted to men and so it was argued that the comparator to be used should be a woman who was attracted to men, i.e. a heterosexual woman. The Lords disagreed and concluded that the real comparator had to be a woman who was attracted to the same sex, i.e. a lesbian. As the armed forces had the same policy towards lesbians as they did to homosexual men then there was no discrimination.</w:t>
      </w:r>
      <w:r w:rsidR="00C360DA">
        <w:rPr>
          <w:rFonts w:ascii="Arial" w:hAnsi="Arial" w:cs="Arial"/>
          <w:sz w:val="24"/>
          <w:szCs w:val="24"/>
        </w:rPr>
        <w:t xml:space="preserve"> The EA10 has now removed the requirement of a real comparator for the determination of a sex discrimination case and as such the outcome could well be different now.</w:t>
      </w:r>
    </w:p>
    <w:p w:rsidR="00C360DA" w:rsidRDefault="00C360DA" w:rsidP="00A73E21">
      <w:pPr>
        <w:spacing w:line="360" w:lineRule="auto"/>
        <w:jc w:val="both"/>
        <w:rPr>
          <w:rFonts w:ascii="Arial" w:hAnsi="Arial" w:cs="Arial"/>
          <w:sz w:val="24"/>
          <w:szCs w:val="24"/>
        </w:rPr>
      </w:pPr>
    </w:p>
    <w:p w:rsidR="00C360DA" w:rsidRDefault="00C360DA" w:rsidP="00A73E21">
      <w:pPr>
        <w:spacing w:line="360" w:lineRule="auto"/>
        <w:jc w:val="both"/>
        <w:rPr>
          <w:rFonts w:ascii="Arial" w:hAnsi="Arial" w:cs="Arial"/>
          <w:sz w:val="24"/>
          <w:szCs w:val="24"/>
        </w:rPr>
      </w:pPr>
      <w:r>
        <w:rPr>
          <w:rFonts w:ascii="Arial" w:hAnsi="Arial" w:cs="Arial"/>
          <w:sz w:val="24"/>
          <w:szCs w:val="24"/>
        </w:rPr>
        <w:t>The final point to note on the development of the law on homosexuals and the armed forces is the effect of the Civil Partnership Act 2004</w:t>
      </w:r>
      <w:r w:rsidR="007545B9">
        <w:rPr>
          <w:rStyle w:val="FootnoteReference"/>
          <w:rFonts w:ascii="Arial" w:hAnsi="Arial" w:cs="Arial"/>
          <w:sz w:val="24"/>
          <w:szCs w:val="24"/>
        </w:rPr>
        <w:footnoteReference w:id="95"/>
      </w:r>
      <w:r>
        <w:rPr>
          <w:rFonts w:ascii="Arial" w:hAnsi="Arial" w:cs="Arial"/>
          <w:sz w:val="24"/>
          <w:szCs w:val="24"/>
        </w:rPr>
        <w:t xml:space="preserve">. </w:t>
      </w:r>
      <w:r w:rsidR="007545B9">
        <w:rPr>
          <w:rFonts w:ascii="Arial" w:hAnsi="Arial" w:cs="Arial"/>
          <w:sz w:val="24"/>
          <w:szCs w:val="24"/>
        </w:rPr>
        <w:t>This opened the way to service personnel being able to register their civil partnerships and having access to the same welfare benefits and service allowances as married heterosexual personnel (e.g. access to Service Family Accommodation, pension rights, travel benefits etc.).</w:t>
      </w:r>
    </w:p>
    <w:p w:rsidR="007545B9" w:rsidRDefault="007545B9" w:rsidP="00A73E21">
      <w:pPr>
        <w:spacing w:line="360" w:lineRule="auto"/>
        <w:jc w:val="both"/>
        <w:rPr>
          <w:rFonts w:ascii="Arial" w:hAnsi="Arial" w:cs="Arial"/>
          <w:sz w:val="24"/>
          <w:szCs w:val="24"/>
        </w:rPr>
      </w:pPr>
    </w:p>
    <w:p w:rsidR="006570E9" w:rsidRDefault="006570E9" w:rsidP="00A73E21">
      <w:pPr>
        <w:spacing w:line="360" w:lineRule="auto"/>
        <w:jc w:val="both"/>
        <w:rPr>
          <w:rFonts w:ascii="Arial" w:hAnsi="Arial" w:cs="Arial"/>
          <w:sz w:val="24"/>
          <w:szCs w:val="24"/>
        </w:rPr>
      </w:pPr>
      <w:r>
        <w:rPr>
          <w:rFonts w:ascii="Arial" w:hAnsi="Arial" w:cs="Arial"/>
          <w:sz w:val="24"/>
          <w:szCs w:val="24"/>
          <w:u w:val="single"/>
        </w:rPr>
        <w:t>RACIAL MINORITIES AND THE ARMED FORCES</w:t>
      </w:r>
    </w:p>
    <w:p w:rsidR="006570E9" w:rsidRDefault="006570E9" w:rsidP="00A73E21">
      <w:pPr>
        <w:spacing w:line="360" w:lineRule="auto"/>
        <w:jc w:val="both"/>
        <w:rPr>
          <w:rFonts w:ascii="Arial" w:hAnsi="Arial" w:cs="Arial"/>
          <w:sz w:val="24"/>
          <w:szCs w:val="24"/>
        </w:rPr>
      </w:pPr>
    </w:p>
    <w:p w:rsidR="006570E9" w:rsidRDefault="009D6795" w:rsidP="00A73E21">
      <w:pPr>
        <w:spacing w:line="360" w:lineRule="auto"/>
        <w:jc w:val="both"/>
        <w:rPr>
          <w:rFonts w:ascii="Arial" w:hAnsi="Arial" w:cs="Arial"/>
          <w:sz w:val="24"/>
          <w:szCs w:val="24"/>
        </w:rPr>
      </w:pPr>
      <w:r>
        <w:rPr>
          <w:rFonts w:ascii="Arial" w:hAnsi="Arial" w:cs="Arial"/>
          <w:sz w:val="24"/>
          <w:szCs w:val="24"/>
        </w:rPr>
        <w:lastRenderedPageBreak/>
        <w:t>The position of racial minorities within the military has been curious with few complaints from within the armed forces and disquiet from the ci</w:t>
      </w:r>
      <w:r w:rsidR="00CA40CA">
        <w:rPr>
          <w:rFonts w:ascii="Arial" w:hAnsi="Arial" w:cs="Arial"/>
          <w:sz w:val="24"/>
          <w:szCs w:val="24"/>
        </w:rPr>
        <w:t xml:space="preserve">vilian world. This has centred </w:t>
      </w:r>
      <w:r>
        <w:rPr>
          <w:rFonts w:ascii="Arial" w:hAnsi="Arial" w:cs="Arial"/>
          <w:sz w:val="24"/>
          <w:szCs w:val="24"/>
        </w:rPr>
        <w:t>round the number of racial minorities employed by the military and the ability to recruit and retain such personnel in numbers that reflect the racial make-up of the country</w:t>
      </w:r>
      <w:r w:rsidR="00CA40CA">
        <w:rPr>
          <w:rFonts w:ascii="Arial" w:hAnsi="Arial" w:cs="Arial"/>
          <w:sz w:val="24"/>
          <w:szCs w:val="24"/>
        </w:rPr>
        <w:t>, even though racial minorities have served for many years</w:t>
      </w:r>
      <w:r w:rsidR="00CA40CA">
        <w:rPr>
          <w:rStyle w:val="FootnoteReference"/>
          <w:rFonts w:ascii="Arial" w:hAnsi="Arial" w:cs="Arial"/>
          <w:sz w:val="24"/>
          <w:szCs w:val="24"/>
        </w:rPr>
        <w:footnoteReference w:id="96"/>
      </w:r>
      <w:r>
        <w:rPr>
          <w:rFonts w:ascii="Arial" w:hAnsi="Arial" w:cs="Arial"/>
          <w:sz w:val="24"/>
          <w:szCs w:val="24"/>
        </w:rPr>
        <w:t xml:space="preserve">. </w:t>
      </w:r>
      <w:r w:rsidR="0034065A">
        <w:rPr>
          <w:rFonts w:ascii="Arial" w:hAnsi="Arial" w:cs="Arial"/>
          <w:sz w:val="24"/>
          <w:szCs w:val="24"/>
        </w:rPr>
        <w:t>Since the Race Relations Act 1976</w:t>
      </w:r>
      <w:r w:rsidR="00CD0C18">
        <w:rPr>
          <w:rStyle w:val="FootnoteReference"/>
          <w:rFonts w:ascii="Arial" w:hAnsi="Arial" w:cs="Arial"/>
          <w:sz w:val="24"/>
          <w:szCs w:val="24"/>
        </w:rPr>
        <w:footnoteReference w:id="97"/>
      </w:r>
      <w:r w:rsidR="0034065A">
        <w:rPr>
          <w:rFonts w:ascii="Arial" w:hAnsi="Arial" w:cs="Arial"/>
          <w:sz w:val="24"/>
          <w:szCs w:val="24"/>
        </w:rPr>
        <w:t>, the British military have been under a duty not to discriminate against individuals on the basis of their race. Concerns grew through the 1980s and 1990s over reports of racial bullying</w:t>
      </w:r>
      <w:r w:rsidR="00B0666A">
        <w:rPr>
          <w:rStyle w:val="FootnoteReference"/>
          <w:rFonts w:ascii="Arial" w:hAnsi="Arial" w:cs="Arial"/>
          <w:sz w:val="24"/>
          <w:szCs w:val="24"/>
        </w:rPr>
        <w:footnoteReference w:id="98"/>
      </w:r>
      <w:r w:rsidR="0034065A">
        <w:rPr>
          <w:rFonts w:ascii="Arial" w:hAnsi="Arial" w:cs="Arial"/>
          <w:sz w:val="24"/>
          <w:szCs w:val="24"/>
        </w:rPr>
        <w:t xml:space="preserve">, evidenced by </w:t>
      </w:r>
      <w:r w:rsidR="00D4038F">
        <w:rPr>
          <w:rFonts w:ascii="Arial" w:hAnsi="Arial" w:cs="Arial"/>
          <w:sz w:val="24"/>
          <w:szCs w:val="24"/>
        </w:rPr>
        <w:t>the Commission for Racial Equality</w:t>
      </w:r>
      <w:r w:rsidR="00802E8A">
        <w:rPr>
          <w:rFonts w:ascii="Arial" w:hAnsi="Arial" w:cs="Arial"/>
          <w:sz w:val="24"/>
          <w:szCs w:val="24"/>
        </w:rPr>
        <w:t>’s critical</w:t>
      </w:r>
      <w:r w:rsidR="00D4038F">
        <w:rPr>
          <w:rFonts w:ascii="Arial" w:hAnsi="Arial" w:cs="Arial"/>
          <w:sz w:val="24"/>
          <w:szCs w:val="24"/>
        </w:rPr>
        <w:t xml:space="preserve"> investigation into the Household Cavalry</w:t>
      </w:r>
      <w:r w:rsidR="00802E8A">
        <w:rPr>
          <w:rStyle w:val="FootnoteReference"/>
          <w:rFonts w:ascii="Arial" w:hAnsi="Arial" w:cs="Arial"/>
          <w:sz w:val="24"/>
          <w:szCs w:val="24"/>
        </w:rPr>
        <w:footnoteReference w:id="99"/>
      </w:r>
      <w:r w:rsidR="00D4038F">
        <w:rPr>
          <w:rFonts w:ascii="Arial" w:hAnsi="Arial" w:cs="Arial"/>
          <w:sz w:val="24"/>
          <w:szCs w:val="24"/>
        </w:rPr>
        <w:t xml:space="preserve"> and a</w:t>
      </w:r>
      <w:r w:rsidR="00CA40CA">
        <w:rPr>
          <w:rFonts w:ascii="Arial" w:hAnsi="Arial" w:cs="Arial"/>
          <w:sz w:val="24"/>
          <w:szCs w:val="24"/>
        </w:rPr>
        <w:t xml:space="preserve"> </w:t>
      </w:r>
      <w:r w:rsidR="0034065A">
        <w:rPr>
          <w:rFonts w:ascii="Arial" w:hAnsi="Arial" w:cs="Arial"/>
          <w:sz w:val="24"/>
          <w:szCs w:val="24"/>
        </w:rPr>
        <w:t>number of cases</w:t>
      </w:r>
      <w:r w:rsidR="0034065A">
        <w:rPr>
          <w:rStyle w:val="FootnoteReference"/>
          <w:rFonts w:ascii="Arial" w:hAnsi="Arial" w:cs="Arial"/>
          <w:sz w:val="24"/>
          <w:szCs w:val="24"/>
        </w:rPr>
        <w:footnoteReference w:id="100"/>
      </w:r>
      <w:r w:rsidR="0034065A">
        <w:rPr>
          <w:rFonts w:ascii="Arial" w:hAnsi="Arial" w:cs="Arial"/>
          <w:sz w:val="24"/>
          <w:szCs w:val="24"/>
        </w:rPr>
        <w:t>. The result was an adoption first by the Defence Council of a Code of Practice on Race Relations in 1993</w:t>
      </w:r>
      <w:r w:rsidR="00802E8A">
        <w:rPr>
          <w:rFonts w:ascii="Arial" w:hAnsi="Arial" w:cs="Arial"/>
          <w:sz w:val="24"/>
          <w:szCs w:val="24"/>
        </w:rPr>
        <w:t xml:space="preserve">, a partnership agreement between the MOD and the CRE in 1998 </w:t>
      </w:r>
      <w:r w:rsidR="0034065A">
        <w:rPr>
          <w:rFonts w:ascii="Arial" w:hAnsi="Arial" w:cs="Arial"/>
          <w:sz w:val="24"/>
          <w:szCs w:val="24"/>
        </w:rPr>
        <w:t>and the</w:t>
      </w:r>
      <w:r w:rsidR="00802E8A">
        <w:rPr>
          <w:rFonts w:ascii="Arial" w:hAnsi="Arial" w:cs="Arial"/>
          <w:sz w:val="24"/>
          <w:szCs w:val="24"/>
        </w:rPr>
        <w:t xml:space="preserve"> setting of ethnic minority recruitment goals for the first time in </w:t>
      </w:r>
      <w:r w:rsidR="0084342F">
        <w:rPr>
          <w:rFonts w:ascii="Arial" w:hAnsi="Arial" w:cs="Arial"/>
          <w:sz w:val="24"/>
          <w:szCs w:val="24"/>
        </w:rPr>
        <w:t xml:space="preserve">the Strategic Defence Review in </w:t>
      </w:r>
      <w:r w:rsidR="00802E8A">
        <w:rPr>
          <w:rFonts w:ascii="Arial" w:hAnsi="Arial" w:cs="Arial"/>
          <w:sz w:val="24"/>
          <w:szCs w:val="24"/>
        </w:rPr>
        <w:t>1998</w:t>
      </w:r>
      <w:r w:rsidR="0034065A">
        <w:rPr>
          <w:rFonts w:ascii="Arial" w:hAnsi="Arial" w:cs="Arial"/>
          <w:sz w:val="24"/>
          <w:szCs w:val="24"/>
        </w:rPr>
        <w:t>. By the turn of the 21</w:t>
      </w:r>
      <w:r w:rsidR="0034065A" w:rsidRPr="0034065A">
        <w:rPr>
          <w:rFonts w:ascii="Arial" w:hAnsi="Arial" w:cs="Arial"/>
          <w:sz w:val="24"/>
          <w:szCs w:val="24"/>
          <w:vertAlign w:val="superscript"/>
        </w:rPr>
        <w:t>st</w:t>
      </w:r>
      <w:r w:rsidR="0034065A">
        <w:rPr>
          <w:rFonts w:ascii="Arial" w:hAnsi="Arial" w:cs="Arial"/>
          <w:sz w:val="24"/>
          <w:szCs w:val="24"/>
        </w:rPr>
        <w:t xml:space="preserve"> Century the policy had evolved from the Ministry of Defence from one of equal opportunities to one of diversity.</w:t>
      </w:r>
      <w:r w:rsidR="00CA40CA">
        <w:rPr>
          <w:rFonts w:ascii="Arial" w:hAnsi="Arial" w:cs="Arial"/>
          <w:sz w:val="24"/>
          <w:szCs w:val="24"/>
        </w:rPr>
        <w:t xml:space="preserve"> In the early 2000s Dandeker and Mason</w:t>
      </w:r>
      <w:r w:rsidR="00CA40CA">
        <w:rPr>
          <w:rStyle w:val="FootnoteReference"/>
          <w:rFonts w:ascii="Arial" w:hAnsi="Arial" w:cs="Arial"/>
          <w:sz w:val="24"/>
          <w:szCs w:val="24"/>
        </w:rPr>
        <w:footnoteReference w:id="101"/>
      </w:r>
      <w:r w:rsidR="00CA40CA">
        <w:rPr>
          <w:rFonts w:ascii="Arial" w:hAnsi="Arial" w:cs="Arial"/>
          <w:sz w:val="24"/>
          <w:szCs w:val="24"/>
        </w:rPr>
        <w:t xml:space="preserve"> considered the situation of race and the military whilst Hussain and Ishaq</w:t>
      </w:r>
      <w:r w:rsidR="00CA40CA">
        <w:rPr>
          <w:rStyle w:val="FootnoteReference"/>
          <w:rFonts w:ascii="Arial" w:hAnsi="Arial" w:cs="Arial"/>
          <w:sz w:val="24"/>
          <w:szCs w:val="24"/>
        </w:rPr>
        <w:footnoteReference w:id="102"/>
      </w:r>
      <w:r w:rsidR="00CA40CA">
        <w:rPr>
          <w:rFonts w:ascii="Arial" w:hAnsi="Arial" w:cs="Arial"/>
          <w:sz w:val="24"/>
          <w:szCs w:val="24"/>
        </w:rPr>
        <w:t xml:space="preserve"> conducted empirical research into attitudes of civilian racial minorities towards the armed forces</w:t>
      </w:r>
      <w:r w:rsidR="0084342F">
        <w:rPr>
          <w:rFonts w:ascii="Arial" w:hAnsi="Arial" w:cs="Arial"/>
          <w:sz w:val="24"/>
          <w:szCs w:val="24"/>
        </w:rPr>
        <w:t xml:space="preserve"> and found reasons against joining the military included: perceived racism in the armed forces; the nature of a military career; a tendency to prioritise further and higher education over a service career; and religious and cultural considerations</w:t>
      </w:r>
      <w:r w:rsidR="00A3181C">
        <w:rPr>
          <w:rFonts w:ascii="Arial" w:hAnsi="Arial" w:cs="Arial"/>
          <w:sz w:val="24"/>
          <w:szCs w:val="24"/>
        </w:rPr>
        <w:t>. It should be noted that the latter research was conducted with a small stat</w:t>
      </w:r>
      <w:r w:rsidR="00B0666A">
        <w:rPr>
          <w:rFonts w:ascii="Arial" w:hAnsi="Arial" w:cs="Arial"/>
          <w:sz w:val="24"/>
          <w:szCs w:val="24"/>
        </w:rPr>
        <w:t>istical sample and</w:t>
      </w:r>
      <w:r w:rsidR="00A3181C">
        <w:rPr>
          <w:rFonts w:ascii="Arial" w:hAnsi="Arial" w:cs="Arial"/>
          <w:sz w:val="24"/>
          <w:szCs w:val="24"/>
        </w:rPr>
        <w:t xml:space="preserve"> before the 9/11 or 7/7 terrorist attacks.</w:t>
      </w:r>
    </w:p>
    <w:p w:rsidR="00A3181C" w:rsidRDefault="00A3181C" w:rsidP="00A73E21">
      <w:pPr>
        <w:spacing w:line="360" w:lineRule="auto"/>
        <w:jc w:val="both"/>
        <w:rPr>
          <w:rFonts w:ascii="Arial" w:hAnsi="Arial" w:cs="Arial"/>
          <w:sz w:val="24"/>
          <w:szCs w:val="24"/>
        </w:rPr>
      </w:pPr>
    </w:p>
    <w:p w:rsidR="00A3181C" w:rsidRDefault="00A3181C" w:rsidP="00A73E21">
      <w:pPr>
        <w:spacing w:line="360" w:lineRule="auto"/>
        <w:jc w:val="both"/>
        <w:rPr>
          <w:rFonts w:ascii="Arial" w:hAnsi="Arial" w:cs="Arial"/>
          <w:sz w:val="24"/>
          <w:szCs w:val="24"/>
        </w:rPr>
      </w:pPr>
      <w:r>
        <w:rPr>
          <w:rFonts w:ascii="Arial" w:hAnsi="Arial" w:cs="Arial"/>
          <w:sz w:val="24"/>
          <w:szCs w:val="24"/>
        </w:rPr>
        <w:t xml:space="preserve">The MoD reports on Equality and Diversity point out the increasing percentage of racial minority representation, </w:t>
      </w:r>
      <w:r w:rsidR="0084342F">
        <w:rPr>
          <w:rFonts w:ascii="Arial" w:hAnsi="Arial" w:cs="Arial"/>
          <w:sz w:val="24"/>
          <w:szCs w:val="24"/>
        </w:rPr>
        <w:t>from 1% in 1999 to 6.5% in 2009 (3.3% for the Royal Navy, 9.4% for the Army and 2.2% for the RAF)</w:t>
      </w:r>
      <w:r>
        <w:rPr>
          <w:rFonts w:ascii="Arial" w:hAnsi="Arial" w:cs="Arial"/>
          <w:sz w:val="24"/>
          <w:szCs w:val="24"/>
        </w:rPr>
        <w:t>. However, it should</w:t>
      </w:r>
      <w:r w:rsidR="00C2481C">
        <w:rPr>
          <w:rFonts w:ascii="Arial" w:hAnsi="Arial" w:cs="Arial"/>
          <w:sz w:val="24"/>
          <w:szCs w:val="24"/>
        </w:rPr>
        <w:t xml:space="preserve"> also be noted that much of this recruitment is made up of individuals from Commonwealth countries rather than recruitment</w:t>
      </w:r>
      <w:r w:rsidR="0084342F">
        <w:rPr>
          <w:rFonts w:ascii="Arial" w:hAnsi="Arial" w:cs="Arial"/>
          <w:sz w:val="24"/>
          <w:szCs w:val="24"/>
        </w:rPr>
        <w:t xml:space="preserve"> from British racial minorities, with 6.3% of the Army’s 9.4% coming from Foreign and Commonwealth countries. Therefore the actual percentage of UK racial minorities in the Army is 3.1%.</w:t>
      </w:r>
    </w:p>
    <w:p w:rsidR="0084342F" w:rsidRDefault="0084342F" w:rsidP="00A73E21">
      <w:pPr>
        <w:spacing w:line="360" w:lineRule="auto"/>
        <w:jc w:val="both"/>
        <w:rPr>
          <w:rFonts w:ascii="Arial" w:hAnsi="Arial" w:cs="Arial"/>
          <w:sz w:val="24"/>
          <w:szCs w:val="24"/>
        </w:rPr>
      </w:pPr>
    </w:p>
    <w:p w:rsidR="0084342F" w:rsidRPr="0084342F" w:rsidRDefault="0084342F" w:rsidP="00A73E21">
      <w:pPr>
        <w:spacing w:line="360" w:lineRule="auto"/>
        <w:jc w:val="both"/>
        <w:rPr>
          <w:rFonts w:ascii="Arial" w:hAnsi="Arial" w:cs="Arial"/>
          <w:sz w:val="24"/>
          <w:szCs w:val="24"/>
        </w:rPr>
      </w:pPr>
      <w:r>
        <w:rPr>
          <w:rFonts w:ascii="Arial" w:hAnsi="Arial" w:cs="Arial"/>
          <w:sz w:val="24"/>
          <w:szCs w:val="24"/>
        </w:rPr>
        <w:t xml:space="preserve">It is submitted that all three services have a long way to go before they achieve the aim of 8% of UK racial minorities employed within the military as the recent case of </w:t>
      </w:r>
      <w:r>
        <w:rPr>
          <w:rFonts w:ascii="Arial" w:hAnsi="Arial" w:cs="Arial"/>
          <w:sz w:val="24"/>
          <w:szCs w:val="24"/>
          <w:u w:val="single"/>
        </w:rPr>
        <w:t>DeBique</w:t>
      </w:r>
      <w:r w:rsidRPr="0084342F">
        <w:rPr>
          <w:rStyle w:val="FootnoteReference"/>
          <w:rFonts w:ascii="Arial" w:hAnsi="Arial" w:cs="Arial"/>
          <w:sz w:val="24"/>
          <w:szCs w:val="24"/>
        </w:rPr>
        <w:footnoteReference w:id="103"/>
      </w:r>
      <w:r>
        <w:rPr>
          <w:rFonts w:ascii="Arial" w:hAnsi="Arial" w:cs="Arial"/>
          <w:sz w:val="24"/>
          <w:szCs w:val="24"/>
        </w:rPr>
        <w:t xml:space="preserve"> demonstrates.</w:t>
      </w:r>
    </w:p>
    <w:p w:rsidR="006570E9" w:rsidRDefault="006570E9" w:rsidP="00A73E21">
      <w:pPr>
        <w:spacing w:line="360" w:lineRule="auto"/>
        <w:jc w:val="both"/>
        <w:rPr>
          <w:rFonts w:ascii="Arial" w:hAnsi="Arial" w:cs="Arial"/>
          <w:sz w:val="24"/>
          <w:szCs w:val="24"/>
        </w:rPr>
      </w:pPr>
    </w:p>
    <w:p w:rsidR="006570E9" w:rsidRDefault="006570E9" w:rsidP="00A73E21">
      <w:pPr>
        <w:spacing w:line="360" w:lineRule="auto"/>
        <w:jc w:val="both"/>
        <w:rPr>
          <w:rFonts w:ascii="Arial" w:hAnsi="Arial" w:cs="Arial"/>
          <w:sz w:val="24"/>
          <w:szCs w:val="24"/>
        </w:rPr>
      </w:pPr>
      <w:r w:rsidRPr="006570E9">
        <w:rPr>
          <w:rFonts w:ascii="Arial" w:hAnsi="Arial" w:cs="Arial"/>
          <w:sz w:val="24"/>
          <w:szCs w:val="24"/>
          <w:u w:val="single"/>
        </w:rPr>
        <w:t>AGE AND THE ARMED FORCES</w:t>
      </w:r>
    </w:p>
    <w:p w:rsidR="006570E9" w:rsidRDefault="006570E9" w:rsidP="00A73E21">
      <w:pPr>
        <w:spacing w:line="360" w:lineRule="auto"/>
        <w:jc w:val="both"/>
        <w:rPr>
          <w:rFonts w:ascii="Arial" w:hAnsi="Arial" w:cs="Arial"/>
          <w:sz w:val="24"/>
          <w:szCs w:val="24"/>
        </w:rPr>
      </w:pPr>
    </w:p>
    <w:p w:rsidR="006570E9" w:rsidRPr="00F72CE0" w:rsidRDefault="00B0666A" w:rsidP="00A73E21">
      <w:pPr>
        <w:spacing w:line="360" w:lineRule="auto"/>
        <w:jc w:val="both"/>
        <w:rPr>
          <w:rFonts w:ascii="Arial" w:hAnsi="Arial" w:cs="Arial"/>
          <w:sz w:val="24"/>
          <w:szCs w:val="24"/>
        </w:rPr>
      </w:pPr>
      <w:r>
        <w:rPr>
          <w:rFonts w:ascii="Arial" w:hAnsi="Arial" w:cs="Arial"/>
          <w:sz w:val="24"/>
          <w:szCs w:val="24"/>
        </w:rPr>
        <w:t xml:space="preserve">The EU </w:t>
      </w:r>
      <w:r w:rsidR="000943B6">
        <w:rPr>
          <w:rFonts w:ascii="Arial" w:hAnsi="Arial" w:cs="Arial"/>
          <w:sz w:val="24"/>
          <w:szCs w:val="24"/>
        </w:rPr>
        <w:t xml:space="preserve">Framework </w:t>
      </w:r>
      <w:r>
        <w:rPr>
          <w:rFonts w:ascii="Arial" w:hAnsi="Arial" w:cs="Arial"/>
          <w:sz w:val="24"/>
          <w:szCs w:val="24"/>
        </w:rPr>
        <w:t xml:space="preserve">Directive on </w:t>
      </w:r>
      <w:r w:rsidR="000943B6">
        <w:rPr>
          <w:rFonts w:ascii="Arial" w:hAnsi="Arial" w:cs="Arial"/>
          <w:sz w:val="24"/>
          <w:szCs w:val="24"/>
        </w:rPr>
        <w:t>Equal Treatment in Employment, Directive 2000/78</w:t>
      </w:r>
      <w:r w:rsidR="000943B6">
        <w:rPr>
          <w:rStyle w:val="FootnoteReference"/>
          <w:rFonts w:ascii="Arial" w:hAnsi="Arial" w:cs="Arial"/>
          <w:sz w:val="24"/>
          <w:szCs w:val="24"/>
        </w:rPr>
        <w:footnoteReference w:id="104"/>
      </w:r>
      <w:r w:rsidR="000943B6">
        <w:rPr>
          <w:rFonts w:ascii="Arial" w:hAnsi="Arial" w:cs="Arial"/>
          <w:sz w:val="24"/>
          <w:szCs w:val="24"/>
        </w:rPr>
        <w:t xml:space="preserve"> provides for the prohibition of discrimination on, </w:t>
      </w:r>
      <w:proofErr w:type="gramStart"/>
      <w:r w:rsidR="000943B6">
        <w:rPr>
          <w:rFonts w:ascii="Arial" w:hAnsi="Arial" w:cs="Arial"/>
          <w:i/>
          <w:sz w:val="24"/>
          <w:szCs w:val="24"/>
        </w:rPr>
        <w:t>inter</w:t>
      </w:r>
      <w:proofErr w:type="gramEnd"/>
      <w:r w:rsidR="000943B6">
        <w:rPr>
          <w:rFonts w:ascii="Arial" w:hAnsi="Arial" w:cs="Arial"/>
          <w:i/>
          <w:sz w:val="24"/>
          <w:szCs w:val="24"/>
        </w:rPr>
        <w:t xml:space="preserve"> alia</w:t>
      </w:r>
      <w:r w:rsidR="000943B6">
        <w:rPr>
          <w:rFonts w:ascii="Arial" w:hAnsi="Arial" w:cs="Arial"/>
          <w:sz w:val="24"/>
          <w:szCs w:val="24"/>
        </w:rPr>
        <w:t xml:space="preserve">, the grounds of age (Article 1). However, Article 3(4) enables Member States may derogate from the Directive on the grounds of age for the armed forces. The UK, as we have seen in the EA10, has taken advantage of this derogation. There is a danger here though in a line of case law from the ECJ. In </w:t>
      </w:r>
      <w:r w:rsidR="000943B6">
        <w:rPr>
          <w:rFonts w:ascii="Arial" w:hAnsi="Arial" w:cs="Arial"/>
          <w:sz w:val="24"/>
          <w:szCs w:val="24"/>
          <w:u w:val="single"/>
        </w:rPr>
        <w:t>Mangold</w:t>
      </w:r>
      <w:r w:rsidR="00F72CE0" w:rsidRPr="00F72CE0">
        <w:rPr>
          <w:rStyle w:val="FootnoteReference"/>
          <w:rFonts w:ascii="Arial" w:hAnsi="Arial" w:cs="Arial"/>
          <w:sz w:val="24"/>
          <w:szCs w:val="24"/>
        </w:rPr>
        <w:footnoteReference w:id="105"/>
      </w:r>
      <w:r w:rsidR="000943B6">
        <w:rPr>
          <w:rFonts w:ascii="Arial" w:hAnsi="Arial" w:cs="Arial"/>
          <w:sz w:val="24"/>
          <w:szCs w:val="24"/>
        </w:rPr>
        <w:t xml:space="preserve"> the Court held that although the Directive could not apply discrimination on the basis of age was a general principle of EU Law and as such existed prior to the entry into force of the Directive. This has been further entrenched and extended in the case of </w:t>
      </w:r>
      <w:r w:rsidR="00F72CE0">
        <w:rPr>
          <w:rFonts w:ascii="Arial" w:hAnsi="Arial" w:cs="Arial"/>
          <w:sz w:val="24"/>
          <w:szCs w:val="24"/>
          <w:u w:val="single"/>
        </w:rPr>
        <w:t>Kücükdeveci</w:t>
      </w:r>
      <w:r w:rsidR="00F72CE0" w:rsidRPr="00F72CE0">
        <w:rPr>
          <w:rStyle w:val="FootnoteReference"/>
          <w:rFonts w:ascii="Arial" w:hAnsi="Arial" w:cs="Arial"/>
          <w:sz w:val="24"/>
          <w:szCs w:val="24"/>
        </w:rPr>
        <w:footnoteReference w:id="106"/>
      </w:r>
      <w:r w:rsidR="00F72CE0" w:rsidRPr="00F72CE0">
        <w:rPr>
          <w:rFonts w:ascii="Arial" w:hAnsi="Arial" w:cs="Arial"/>
          <w:sz w:val="24"/>
          <w:szCs w:val="24"/>
        </w:rPr>
        <w:t xml:space="preserve"> </w:t>
      </w:r>
      <w:r w:rsidR="00F72CE0">
        <w:rPr>
          <w:rFonts w:ascii="Arial" w:hAnsi="Arial" w:cs="Arial"/>
          <w:sz w:val="24"/>
          <w:szCs w:val="24"/>
        </w:rPr>
        <w:t>where the ECJ held that this fundamental right could be enforced by an individual in a national court.</w:t>
      </w:r>
    </w:p>
    <w:p w:rsidR="006570E9" w:rsidRDefault="006570E9" w:rsidP="00A73E21">
      <w:pPr>
        <w:spacing w:line="360" w:lineRule="auto"/>
        <w:jc w:val="both"/>
        <w:rPr>
          <w:rFonts w:ascii="Arial" w:hAnsi="Arial" w:cs="Arial"/>
          <w:sz w:val="24"/>
          <w:szCs w:val="24"/>
        </w:rPr>
      </w:pPr>
    </w:p>
    <w:p w:rsidR="006570E9" w:rsidRDefault="006570E9" w:rsidP="00A73E21">
      <w:pPr>
        <w:spacing w:line="360" w:lineRule="auto"/>
        <w:jc w:val="both"/>
        <w:rPr>
          <w:rFonts w:ascii="Arial" w:hAnsi="Arial" w:cs="Arial"/>
          <w:sz w:val="24"/>
          <w:szCs w:val="24"/>
        </w:rPr>
      </w:pPr>
      <w:r>
        <w:rPr>
          <w:rFonts w:ascii="Arial" w:hAnsi="Arial" w:cs="Arial"/>
          <w:sz w:val="24"/>
          <w:szCs w:val="24"/>
          <w:u w:val="single"/>
        </w:rPr>
        <w:lastRenderedPageBreak/>
        <w:t>CONCLUSION</w:t>
      </w:r>
    </w:p>
    <w:p w:rsidR="00F72CE0" w:rsidRDefault="00F72CE0" w:rsidP="00A73E21">
      <w:pPr>
        <w:spacing w:line="360" w:lineRule="auto"/>
        <w:jc w:val="both"/>
        <w:rPr>
          <w:rFonts w:ascii="Arial" w:hAnsi="Arial" w:cs="Arial"/>
          <w:sz w:val="24"/>
          <w:szCs w:val="24"/>
        </w:rPr>
      </w:pPr>
    </w:p>
    <w:p w:rsidR="00F72CE0" w:rsidRPr="00A74790" w:rsidRDefault="00F72CE0" w:rsidP="00A73E21">
      <w:pPr>
        <w:spacing w:line="360" w:lineRule="auto"/>
        <w:jc w:val="both"/>
        <w:rPr>
          <w:rFonts w:ascii="Arial" w:hAnsi="Arial" w:cs="Arial"/>
          <w:sz w:val="24"/>
          <w:szCs w:val="24"/>
        </w:rPr>
      </w:pPr>
      <w:r>
        <w:rPr>
          <w:rFonts w:ascii="Arial" w:hAnsi="Arial" w:cs="Arial"/>
          <w:sz w:val="24"/>
          <w:szCs w:val="24"/>
        </w:rPr>
        <w:t xml:space="preserve">The armed forces have come a considerable way in a short space of time. The </w:t>
      </w:r>
      <w:r w:rsidR="00A74790">
        <w:rPr>
          <w:rFonts w:ascii="Arial" w:hAnsi="Arial" w:cs="Arial"/>
          <w:sz w:val="24"/>
          <w:szCs w:val="24"/>
        </w:rPr>
        <w:t xml:space="preserve">basis of the </w:t>
      </w:r>
      <w:r>
        <w:rPr>
          <w:rFonts w:ascii="Arial" w:hAnsi="Arial" w:cs="Arial"/>
          <w:sz w:val="24"/>
          <w:szCs w:val="24"/>
        </w:rPr>
        <w:t xml:space="preserve">civil-military relationship in the UK </w:t>
      </w:r>
      <w:r w:rsidR="00A74790">
        <w:rPr>
          <w:rFonts w:ascii="Arial" w:hAnsi="Arial" w:cs="Arial"/>
          <w:sz w:val="24"/>
          <w:szCs w:val="24"/>
        </w:rPr>
        <w:t>was positively</w:t>
      </w:r>
      <w:r>
        <w:rPr>
          <w:rFonts w:ascii="Arial" w:hAnsi="Arial" w:cs="Arial"/>
          <w:sz w:val="24"/>
          <w:szCs w:val="24"/>
        </w:rPr>
        <w:t xml:space="preserve"> established </w:t>
      </w:r>
      <w:r w:rsidR="00A74790">
        <w:rPr>
          <w:rFonts w:ascii="Arial" w:hAnsi="Arial" w:cs="Arial"/>
          <w:sz w:val="24"/>
          <w:szCs w:val="24"/>
        </w:rPr>
        <w:t xml:space="preserve">in the Strategic Defence Review of 1998 </w:t>
      </w:r>
      <w:r>
        <w:rPr>
          <w:rFonts w:ascii="Arial" w:hAnsi="Arial" w:cs="Arial"/>
          <w:sz w:val="24"/>
          <w:szCs w:val="24"/>
        </w:rPr>
        <w:t>and then clarified by the law. The aim of the military is now recognised as attempting to reflect society as closely as possible</w:t>
      </w:r>
      <w:r w:rsidR="006A6A75">
        <w:rPr>
          <w:rFonts w:ascii="Arial" w:hAnsi="Arial" w:cs="Arial"/>
          <w:sz w:val="24"/>
          <w:szCs w:val="24"/>
        </w:rPr>
        <w:t xml:space="preserve"> and mainstreaming equality and diversity is part of the military set up, as evidenced by the Joint Equality and Diversity Training Centre attached to the Defence College at </w:t>
      </w:r>
      <w:proofErr w:type="spellStart"/>
      <w:r w:rsidR="006A6A75">
        <w:rPr>
          <w:rFonts w:ascii="Arial" w:hAnsi="Arial" w:cs="Arial"/>
          <w:sz w:val="24"/>
          <w:szCs w:val="24"/>
        </w:rPr>
        <w:t>Shrivenham</w:t>
      </w:r>
      <w:proofErr w:type="spellEnd"/>
      <w:r>
        <w:rPr>
          <w:rFonts w:ascii="Arial" w:hAnsi="Arial" w:cs="Arial"/>
          <w:sz w:val="24"/>
          <w:szCs w:val="24"/>
        </w:rPr>
        <w:t xml:space="preserve">. This is readily seen in the development of non-discrimination and equality in what is traditionally seen as an unequal and hierarchical </w:t>
      </w:r>
      <w:r w:rsidR="000E707F">
        <w:rPr>
          <w:rFonts w:ascii="Arial" w:hAnsi="Arial" w:cs="Arial"/>
          <w:sz w:val="24"/>
          <w:szCs w:val="24"/>
        </w:rPr>
        <w:t>organisation. The result is a modern and forward thinking military, able to reach out to the societies it serves and offer examples of best practice to other countries’ armed forces.</w:t>
      </w:r>
      <w:r w:rsidR="00A74790">
        <w:rPr>
          <w:rFonts w:ascii="Arial" w:hAnsi="Arial" w:cs="Arial"/>
          <w:sz w:val="24"/>
          <w:szCs w:val="24"/>
        </w:rPr>
        <w:t xml:space="preserve"> However, there are challenges that remain for the military with the issue of combat effectiveness as an exclusion retained within the EA10 yet to be tested before the ECJ, the case of </w:t>
      </w:r>
      <w:r w:rsidR="00A74790">
        <w:rPr>
          <w:rFonts w:ascii="Arial" w:hAnsi="Arial" w:cs="Arial"/>
          <w:sz w:val="24"/>
          <w:szCs w:val="24"/>
          <w:u w:val="single"/>
        </w:rPr>
        <w:t>DeBique</w:t>
      </w:r>
      <w:r w:rsidR="00A74790">
        <w:rPr>
          <w:rFonts w:ascii="Arial" w:hAnsi="Arial" w:cs="Arial"/>
          <w:sz w:val="24"/>
          <w:szCs w:val="24"/>
        </w:rPr>
        <w:t xml:space="preserve">, the inability to recruit satisfactory numbers of racial minorities from the UK population and the possible </w:t>
      </w:r>
      <w:r w:rsidR="006A6A75">
        <w:rPr>
          <w:rFonts w:ascii="Arial" w:hAnsi="Arial" w:cs="Arial"/>
          <w:sz w:val="24"/>
          <w:szCs w:val="24"/>
        </w:rPr>
        <w:t xml:space="preserve">problems with age discrimination protected by general principles in EU Law. As a consequence despite the best efforts of the MoD and </w:t>
      </w:r>
      <w:proofErr w:type="gramStart"/>
      <w:r w:rsidR="006A6A75">
        <w:rPr>
          <w:rFonts w:ascii="Arial" w:hAnsi="Arial" w:cs="Arial"/>
          <w:sz w:val="24"/>
          <w:szCs w:val="24"/>
        </w:rPr>
        <w:t>the  military</w:t>
      </w:r>
      <w:proofErr w:type="gramEnd"/>
      <w:r w:rsidR="006A6A75">
        <w:rPr>
          <w:rFonts w:ascii="Arial" w:hAnsi="Arial" w:cs="Arial"/>
          <w:sz w:val="24"/>
          <w:szCs w:val="24"/>
        </w:rPr>
        <w:t>, the UK armed forces continue to be a very white and male environment with aspirations for greater diversity.</w:t>
      </w:r>
    </w:p>
    <w:sectPr w:rsidR="00F72CE0" w:rsidRPr="00A74790" w:rsidSect="00AE08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39B" w:rsidRDefault="0024539B" w:rsidP="00E45D87">
      <w:pPr>
        <w:spacing w:after="0" w:line="240" w:lineRule="auto"/>
      </w:pPr>
      <w:r>
        <w:separator/>
      </w:r>
    </w:p>
  </w:endnote>
  <w:endnote w:type="continuationSeparator" w:id="0">
    <w:p w:rsidR="0024539B" w:rsidRDefault="0024539B" w:rsidP="00E4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AntiquaParliamentar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07301"/>
      <w:docPartObj>
        <w:docPartGallery w:val="Page Numbers (Bottom of Page)"/>
        <w:docPartUnique/>
      </w:docPartObj>
    </w:sdtPr>
    <w:sdtEndPr>
      <w:rPr>
        <w:noProof/>
      </w:rPr>
    </w:sdtEndPr>
    <w:sdtContent>
      <w:p w:rsidR="00C669C5" w:rsidRDefault="00C669C5">
        <w:pPr>
          <w:pStyle w:val="Footer"/>
          <w:jc w:val="right"/>
        </w:pPr>
        <w:r>
          <w:fldChar w:fldCharType="begin"/>
        </w:r>
        <w:r>
          <w:instrText xml:space="preserve"> PAGE   \* MERGEFORMAT </w:instrText>
        </w:r>
        <w:r>
          <w:fldChar w:fldCharType="separate"/>
        </w:r>
        <w:r w:rsidR="005301F9">
          <w:rPr>
            <w:noProof/>
          </w:rPr>
          <w:t>1</w:t>
        </w:r>
        <w:r>
          <w:rPr>
            <w:noProof/>
          </w:rPr>
          <w:fldChar w:fldCharType="end"/>
        </w:r>
      </w:p>
    </w:sdtContent>
  </w:sdt>
  <w:p w:rsidR="00C669C5" w:rsidRDefault="00C66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39B" w:rsidRDefault="0024539B" w:rsidP="00E45D87">
      <w:pPr>
        <w:spacing w:after="0" w:line="240" w:lineRule="auto"/>
      </w:pPr>
      <w:r>
        <w:separator/>
      </w:r>
    </w:p>
  </w:footnote>
  <w:footnote w:type="continuationSeparator" w:id="0">
    <w:p w:rsidR="0024539B" w:rsidRDefault="0024539B" w:rsidP="00E45D87">
      <w:pPr>
        <w:spacing w:after="0" w:line="240" w:lineRule="auto"/>
      </w:pPr>
      <w:r>
        <w:continuationSeparator/>
      </w:r>
    </w:p>
  </w:footnote>
  <w:footnote w:id="1">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HRA98 s22(3) and the </w:t>
      </w:r>
      <w:r w:rsidRPr="005301F9">
        <w:rPr>
          <w:rStyle w:val="apple-style-span"/>
          <w:rFonts w:ascii="Arial" w:hAnsi="Arial" w:cs="Arial"/>
          <w:color w:val="000000"/>
        </w:rPr>
        <w:t>Human Rights Act 1998 (Commencement</w:t>
      </w:r>
      <w:r w:rsidRPr="005301F9">
        <w:rPr>
          <w:rStyle w:val="apple-converted-space"/>
          <w:rFonts w:ascii="Arial" w:hAnsi="Arial" w:cs="Arial"/>
          <w:color w:val="000000"/>
        </w:rPr>
        <w:t> </w:t>
      </w:r>
      <w:r w:rsidRPr="005301F9">
        <w:rPr>
          <w:rStyle w:val="apple-style-span"/>
          <w:rFonts w:ascii="Arial" w:hAnsi="Arial" w:cs="Arial"/>
          <w:color w:val="000000"/>
        </w:rPr>
        <w:t>No.</w:t>
      </w:r>
      <w:r w:rsidRPr="005301F9">
        <w:rPr>
          <w:rStyle w:val="apple-converted-space"/>
          <w:rFonts w:ascii="Arial" w:hAnsi="Arial" w:cs="Arial"/>
          <w:color w:val="000000"/>
        </w:rPr>
        <w:t> </w:t>
      </w:r>
      <w:r w:rsidRPr="005301F9">
        <w:rPr>
          <w:rStyle w:val="apple-style-span"/>
          <w:rFonts w:ascii="Arial" w:hAnsi="Arial" w:cs="Arial"/>
          <w:color w:val="000000"/>
        </w:rPr>
        <w:t>2) Order 2000, SI 2000/1851</w:t>
      </w:r>
    </w:p>
  </w:footnote>
  <w:footnote w:id="2">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Right Hon Geoff </w:t>
      </w:r>
      <w:proofErr w:type="spellStart"/>
      <w:r w:rsidRPr="005301F9">
        <w:rPr>
          <w:rFonts w:ascii="Arial" w:hAnsi="Arial" w:cs="Arial"/>
        </w:rPr>
        <w:t>Hoon</w:t>
      </w:r>
      <w:proofErr w:type="spellEnd"/>
      <w:r w:rsidRPr="005301F9">
        <w:rPr>
          <w:rFonts w:ascii="Arial" w:hAnsi="Arial" w:cs="Arial"/>
        </w:rPr>
        <w:t xml:space="preserve"> MP, Secretary of State for Defence, </w:t>
      </w:r>
      <w:proofErr w:type="spellStart"/>
      <w:r w:rsidRPr="005301F9">
        <w:rPr>
          <w:rFonts w:ascii="Arial" w:hAnsi="Arial" w:cs="Arial"/>
          <w:i/>
          <w:iCs/>
        </w:rPr>
        <w:t>Hansard</w:t>
      </w:r>
      <w:proofErr w:type="spellEnd"/>
      <w:r w:rsidRPr="005301F9">
        <w:rPr>
          <w:rFonts w:ascii="Arial" w:hAnsi="Arial" w:cs="Arial"/>
          <w:i/>
          <w:iCs/>
        </w:rPr>
        <w:t>, HC Debates</w:t>
      </w:r>
      <w:r w:rsidRPr="005301F9">
        <w:rPr>
          <w:rFonts w:ascii="Arial" w:hAnsi="Arial" w:cs="Arial"/>
        </w:rPr>
        <w:t>, 12 January 2000,</w:t>
      </w:r>
    </w:p>
    <w:p w:rsidR="000943B6" w:rsidRPr="005301F9" w:rsidRDefault="000943B6" w:rsidP="005301F9">
      <w:pPr>
        <w:pStyle w:val="FootnoteText"/>
        <w:jc w:val="both"/>
        <w:rPr>
          <w:rFonts w:ascii="Arial" w:hAnsi="Arial" w:cs="Arial"/>
        </w:rPr>
      </w:pPr>
      <w:r w:rsidRPr="005301F9">
        <w:rPr>
          <w:rFonts w:ascii="Arial" w:hAnsi="Arial" w:cs="Arial"/>
        </w:rPr>
        <w:t>columns 287-88</w:t>
      </w:r>
    </w:p>
  </w:footnote>
  <w:footnote w:id="3">
    <w:p w:rsid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See L Cohn, ‘The Evolution of the Civil-Military “Gap” Debate’</w:t>
      </w:r>
    </w:p>
    <w:p w:rsidR="000943B6" w:rsidRDefault="000943B6" w:rsidP="005301F9">
      <w:pPr>
        <w:pStyle w:val="FootnoteText"/>
        <w:jc w:val="both"/>
      </w:pPr>
      <w:bookmarkStart w:id="0" w:name="_GoBack"/>
      <w:bookmarkEnd w:id="0"/>
      <w:r w:rsidRPr="005301F9">
        <w:rPr>
          <w:rFonts w:ascii="Arial" w:hAnsi="Arial" w:cs="Arial"/>
        </w:rPr>
        <w:t xml:space="preserve"> </w:t>
      </w:r>
      <w:hyperlink r:id="rId1" w:history="1">
        <w:r w:rsidRPr="005301F9">
          <w:rPr>
            <w:rStyle w:val="Hyperlink"/>
            <w:rFonts w:ascii="Arial" w:hAnsi="Arial" w:cs="Arial"/>
          </w:rPr>
          <w:t>http://www.poli.duke.edu/civmil/cohn_literature_review.pdf</w:t>
        </w:r>
      </w:hyperlink>
      <w:r w:rsidRPr="005301F9">
        <w:rPr>
          <w:rFonts w:ascii="Arial" w:hAnsi="Arial" w:cs="Arial"/>
        </w:rPr>
        <w:t>, paper prepared for the TISS Project on the Gap Between the Military and Civilian Society, 1999 for a comprehensive analysis of the literature up to 1999</w:t>
      </w:r>
    </w:p>
  </w:footnote>
  <w:footnote w:id="4">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SP Huntington, </w:t>
      </w:r>
      <w:r w:rsidRPr="005301F9">
        <w:rPr>
          <w:rFonts w:ascii="Arial" w:hAnsi="Arial" w:cs="Arial"/>
          <w:i/>
        </w:rPr>
        <w:t>The Soldier and the State: The Theory and Politics of Civil-Military Relations</w:t>
      </w:r>
      <w:r w:rsidRPr="005301F9">
        <w:rPr>
          <w:rFonts w:ascii="Arial" w:hAnsi="Arial" w:cs="Arial"/>
        </w:rPr>
        <w:t xml:space="preserve"> (Belknap Press, Cambridge 1957)</w:t>
      </w:r>
    </w:p>
  </w:footnote>
  <w:footnote w:id="5">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PD Feaver, </w:t>
      </w:r>
      <w:r w:rsidRPr="005301F9">
        <w:rPr>
          <w:rFonts w:ascii="Arial" w:hAnsi="Arial" w:cs="Arial"/>
          <w:i/>
        </w:rPr>
        <w:t>Armed Servants: Agency, Oversight, and Civil-Military Relations</w:t>
      </w:r>
      <w:r w:rsidRPr="005301F9">
        <w:rPr>
          <w:rFonts w:ascii="Arial" w:hAnsi="Arial" w:cs="Arial"/>
        </w:rPr>
        <w:t xml:space="preserve"> (Harvard University Press, Cambridge 2003)</w:t>
      </w:r>
    </w:p>
  </w:footnote>
  <w:footnote w:id="6">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Ibid. at 80</w:t>
      </w:r>
    </w:p>
  </w:footnote>
  <w:footnote w:id="7">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Ibid. at 83</w:t>
      </w:r>
    </w:p>
  </w:footnote>
  <w:footnote w:id="8">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B Boëne, ‘How “Unique” Should the Military Be? A Review of Representative Literature &amp; Outline of a Synthetic Formulation’ (1990) 31 European Journal of Sociology 3 at 15</w:t>
      </w:r>
    </w:p>
  </w:footnote>
  <w:footnote w:id="9">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Op. cit. n.5 chapter 3</w:t>
      </w:r>
    </w:p>
  </w:footnote>
  <w:footnote w:id="10">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Ibid. at 75</w:t>
      </w:r>
    </w:p>
  </w:footnote>
  <w:footnote w:id="11">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Ibid. at 87</w:t>
      </w:r>
    </w:p>
  </w:footnote>
  <w:footnote w:id="12">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J Burk, ‘Theories of Democratic Civil-Military Relations’ (2002) 29 Armed Forces and Society 7 at 22</w:t>
      </w:r>
    </w:p>
  </w:footnote>
  <w:footnote w:id="13">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M Janowitz, </w:t>
      </w:r>
      <w:r w:rsidRPr="005301F9">
        <w:rPr>
          <w:rFonts w:ascii="Arial" w:hAnsi="Arial" w:cs="Arial"/>
          <w:i/>
        </w:rPr>
        <w:t>The Professional Soldier: A Social and Political Portrait</w:t>
      </w:r>
      <w:r w:rsidRPr="005301F9">
        <w:rPr>
          <w:rFonts w:ascii="Arial" w:hAnsi="Arial" w:cs="Arial"/>
        </w:rPr>
        <w:t xml:space="preserve"> (Free Press, New York 1964)</w:t>
      </w:r>
    </w:p>
  </w:footnote>
  <w:footnote w:id="14">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CC Moskos, ‘From Institution to Occupation: Trends in Military Organization’ (1977) 4 Armed Forces and Society 41; CC Moskos, ‘Institutional/Occupational Trends in Armed Forces: An Update’ (1986) 12 Armed Forces and Society 377</w:t>
      </w:r>
    </w:p>
  </w:footnote>
  <w:footnote w:id="15">
    <w:p w:rsidR="000943B6" w:rsidRDefault="000943B6" w:rsidP="005301F9">
      <w:pPr>
        <w:pStyle w:val="FootnoteText"/>
        <w:jc w:val="both"/>
      </w:pPr>
      <w:r w:rsidRPr="005301F9">
        <w:rPr>
          <w:rStyle w:val="FootnoteReference"/>
          <w:rFonts w:ascii="Arial" w:hAnsi="Arial" w:cs="Arial"/>
        </w:rPr>
        <w:footnoteRef/>
      </w:r>
      <w:r w:rsidRPr="005301F9">
        <w:rPr>
          <w:rFonts w:ascii="Arial" w:hAnsi="Arial" w:cs="Arial"/>
        </w:rPr>
        <w:t xml:space="preserve"> Op. cit. n.13 chapter 20</w:t>
      </w:r>
    </w:p>
  </w:footnote>
  <w:footnote w:id="16">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at 440</w:t>
      </w:r>
    </w:p>
  </w:footnote>
  <w:footnote w:id="17">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Op. Cit. n.14</w:t>
      </w:r>
    </w:p>
  </w:footnote>
  <w:footnote w:id="18">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RL Schiff, ‘Civil-Military Relations Reconsidered: A Theory of Concordance’ (1995) 22 Armed Forces and Society 7; RL Schiff, </w:t>
      </w:r>
      <w:r w:rsidRPr="00F56165">
        <w:rPr>
          <w:rFonts w:ascii="Arial" w:hAnsi="Arial" w:cs="Arial"/>
          <w:i/>
        </w:rPr>
        <w:t>The Military and Domestic Politics: A Concordance Theory of Civil-Military Relations</w:t>
      </w:r>
      <w:r w:rsidRPr="00F56165">
        <w:rPr>
          <w:rFonts w:ascii="Arial" w:hAnsi="Arial" w:cs="Arial"/>
        </w:rPr>
        <w:t xml:space="preserve"> (Routledge, London 2009)</w:t>
      </w:r>
    </w:p>
  </w:footnote>
  <w:footnote w:id="19">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H Strachan, ‘The Civil-Military “Gap” in Britain’ (2003) 26 Journal of Strategic Studies 43</w:t>
      </w:r>
    </w:p>
  </w:footnote>
  <w:footnote w:id="20">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J Woo, ‘Administration of War’ (2009) 58 Duke LJ 2277</w:t>
      </w:r>
    </w:p>
  </w:footnote>
  <w:footnote w:id="2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GR Rubin, ‘United Kingdom Military Law: Autonomy, Civilianisation, Juridification’ (2002) 65 MLR 36</w:t>
      </w:r>
    </w:p>
  </w:footnote>
  <w:footnote w:id="22">
    <w:p w:rsidR="000943B6" w:rsidRPr="008E5B7A"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C von Clausewitz (Edited &amp; Translated by M Howard &amp; P </w:t>
      </w:r>
      <w:proofErr w:type="spellStart"/>
      <w:r w:rsidRPr="00F56165">
        <w:rPr>
          <w:rFonts w:ascii="Arial" w:hAnsi="Arial" w:cs="Arial"/>
        </w:rPr>
        <w:t>Paret</w:t>
      </w:r>
      <w:proofErr w:type="spellEnd"/>
      <w:r w:rsidRPr="00F56165">
        <w:rPr>
          <w:rFonts w:ascii="Arial" w:hAnsi="Arial" w:cs="Arial"/>
        </w:rPr>
        <w:t xml:space="preserve">), </w:t>
      </w:r>
      <w:r w:rsidRPr="00F56165">
        <w:rPr>
          <w:rFonts w:ascii="Arial" w:hAnsi="Arial" w:cs="Arial"/>
          <w:i/>
        </w:rPr>
        <w:t>On War</w:t>
      </w:r>
      <w:r w:rsidRPr="00F56165">
        <w:rPr>
          <w:rFonts w:ascii="Arial" w:hAnsi="Arial" w:cs="Arial"/>
        </w:rPr>
        <w:t xml:space="preserve"> (Princeton University Press, Princeton 1976) at 87</w:t>
      </w:r>
    </w:p>
  </w:footnote>
  <w:footnote w:id="23">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D Held, </w:t>
      </w:r>
      <w:r w:rsidRPr="00F56165">
        <w:rPr>
          <w:rFonts w:ascii="Arial" w:hAnsi="Arial" w:cs="Arial"/>
          <w:i/>
        </w:rPr>
        <w:t>Models of Democracy</w:t>
      </w:r>
      <w:r w:rsidRPr="00F56165">
        <w:rPr>
          <w:rFonts w:ascii="Arial" w:hAnsi="Arial" w:cs="Arial"/>
        </w:rPr>
        <w:t xml:space="preserve"> (2</w:t>
      </w:r>
      <w:r w:rsidRPr="00F56165">
        <w:rPr>
          <w:rFonts w:ascii="Arial" w:hAnsi="Arial" w:cs="Arial"/>
          <w:vertAlign w:val="superscript"/>
        </w:rPr>
        <w:t>nd</w:t>
      </w:r>
      <w:r w:rsidRPr="00F56165">
        <w:rPr>
          <w:rFonts w:ascii="Arial" w:hAnsi="Arial" w:cs="Arial"/>
        </w:rPr>
        <w:t xml:space="preserve"> Edn. Polity, London 1996) at 309</w:t>
      </w:r>
    </w:p>
  </w:footnote>
  <w:footnote w:id="2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LL Fuller, </w:t>
      </w:r>
      <w:r w:rsidRPr="00F56165">
        <w:rPr>
          <w:rFonts w:ascii="Arial" w:hAnsi="Arial" w:cs="Arial"/>
          <w:i/>
        </w:rPr>
        <w:t>The Morality of Law</w:t>
      </w:r>
      <w:r w:rsidRPr="00F56165">
        <w:rPr>
          <w:rFonts w:ascii="Arial" w:hAnsi="Arial" w:cs="Arial"/>
        </w:rPr>
        <w:t xml:space="preserve"> (Yale University Press, New Haven 1969) at 96</w:t>
      </w:r>
    </w:p>
  </w:footnote>
  <w:footnote w:id="25">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D </w:t>
      </w:r>
      <w:proofErr w:type="spellStart"/>
      <w:r w:rsidRPr="00F56165">
        <w:rPr>
          <w:rFonts w:ascii="Arial" w:hAnsi="Arial" w:cs="Arial"/>
        </w:rPr>
        <w:t>Beyleveld</w:t>
      </w:r>
      <w:proofErr w:type="spellEnd"/>
      <w:r w:rsidRPr="00F56165">
        <w:rPr>
          <w:rFonts w:ascii="Arial" w:hAnsi="Arial" w:cs="Arial"/>
        </w:rPr>
        <w:t xml:space="preserve">, R Brownsword, </w:t>
      </w:r>
      <w:r w:rsidRPr="00F56165">
        <w:rPr>
          <w:rFonts w:ascii="Arial" w:hAnsi="Arial" w:cs="Arial"/>
          <w:i/>
        </w:rPr>
        <w:t>Law as a Moral Judgment</w:t>
      </w:r>
      <w:r w:rsidRPr="00F56165">
        <w:rPr>
          <w:rFonts w:ascii="Arial" w:hAnsi="Arial" w:cs="Arial"/>
        </w:rPr>
        <w:t xml:space="preserve"> (Sweet &amp; Maxwell, London 1986) at 2</w:t>
      </w:r>
    </w:p>
  </w:footnote>
  <w:footnote w:id="26">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Committee on Homosexual Offences and Prostitution, </w:t>
      </w:r>
      <w:r w:rsidRPr="00F56165">
        <w:rPr>
          <w:rFonts w:ascii="Arial" w:hAnsi="Arial" w:cs="Arial"/>
          <w:i/>
          <w:iCs/>
        </w:rPr>
        <w:t>Report of the Committee on Homosexual Offences and Prostitution</w:t>
      </w:r>
      <w:r w:rsidRPr="00F56165">
        <w:rPr>
          <w:rFonts w:ascii="Arial" w:hAnsi="Arial" w:cs="Arial"/>
          <w:iCs/>
        </w:rPr>
        <w:t xml:space="preserve"> (HMSO, London 1957)</w:t>
      </w:r>
    </w:p>
  </w:footnote>
  <w:footnote w:id="27">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Homosexual and heterosexual age of consent was eventually equalised at 16 by the Sexual Offences (Amendment) Act 2000 s1 following </w:t>
      </w:r>
    </w:p>
  </w:footnote>
  <w:footnote w:id="28">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Sexual Offences Act 1967 s 1(1): “with no other person present”. This requirement was repealed with the passage of the Sexual Offences Act 2003</w:t>
      </w:r>
    </w:p>
  </w:footnote>
  <w:footnote w:id="29">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Sexual Offences Act 1967 s 1(5)</w:t>
      </w:r>
    </w:p>
  </w:footnote>
  <w:footnote w:id="30">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Sex Discrimination Act 1975 s </w:t>
      </w:r>
      <w:r w:rsidR="00F56165" w:rsidRPr="00F56165">
        <w:rPr>
          <w:rFonts w:ascii="Arial" w:hAnsi="Arial" w:cs="Arial"/>
        </w:rPr>
        <w:t>85(4)</w:t>
      </w:r>
    </w:p>
  </w:footnote>
  <w:footnote w:id="31">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00F56165">
        <w:rPr>
          <w:rFonts w:ascii="Arial" w:hAnsi="Arial" w:cs="Arial"/>
        </w:rPr>
        <w:t xml:space="preserve"> P Westen, ‘The Empty I</w:t>
      </w:r>
      <w:r w:rsidRPr="00F56165">
        <w:rPr>
          <w:rFonts w:ascii="Arial" w:hAnsi="Arial" w:cs="Arial"/>
        </w:rPr>
        <w:t>dea of Equality’ (1982) 95 HLR 537. See also CJ Peters, ‘Equality Revisited’ (1997) 110 HLR 1211</w:t>
      </w:r>
    </w:p>
  </w:footnote>
  <w:footnote w:id="32">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Aristotle, </w:t>
      </w:r>
      <w:proofErr w:type="spellStart"/>
      <w:r w:rsidRPr="00F56165">
        <w:rPr>
          <w:rFonts w:ascii="Arial" w:hAnsi="Arial" w:cs="Arial"/>
          <w:i/>
        </w:rPr>
        <w:t>Ethica</w:t>
      </w:r>
      <w:proofErr w:type="spellEnd"/>
      <w:r w:rsidRPr="00F56165">
        <w:rPr>
          <w:rFonts w:ascii="Arial" w:hAnsi="Arial" w:cs="Arial"/>
          <w:i/>
        </w:rPr>
        <w:t xml:space="preserve"> </w:t>
      </w:r>
      <w:proofErr w:type="spellStart"/>
      <w:r w:rsidRPr="00F56165">
        <w:rPr>
          <w:rFonts w:ascii="Arial" w:hAnsi="Arial" w:cs="Arial"/>
          <w:i/>
        </w:rPr>
        <w:t>Nicomachea</w:t>
      </w:r>
      <w:proofErr w:type="spellEnd"/>
      <w:r w:rsidRPr="00F56165">
        <w:rPr>
          <w:rFonts w:ascii="Arial" w:hAnsi="Arial" w:cs="Arial"/>
        </w:rPr>
        <w:t xml:space="preserve"> V.3.1131a-1131b (Ross W., trans., 1925), cited in Ibid. n.18 at 543</w:t>
      </w:r>
    </w:p>
  </w:footnote>
  <w:footnote w:id="33">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Aristotle, </w:t>
      </w:r>
      <w:proofErr w:type="spellStart"/>
      <w:r w:rsidRPr="00F56165">
        <w:rPr>
          <w:rFonts w:ascii="Arial" w:hAnsi="Arial" w:cs="Arial"/>
          <w:i/>
        </w:rPr>
        <w:t>Ethica</w:t>
      </w:r>
      <w:proofErr w:type="spellEnd"/>
      <w:r w:rsidRPr="00F56165">
        <w:rPr>
          <w:rFonts w:ascii="Arial" w:hAnsi="Arial" w:cs="Arial"/>
          <w:i/>
        </w:rPr>
        <w:t xml:space="preserve"> </w:t>
      </w:r>
      <w:proofErr w:type="spellStart"/>
      <w:r w:rsidRPr="00F56165">
        <w:rPr>
          <w:rFonts w:ascii="Arial" w:hAnsi="Arial" w:cs="Arial"/>
          <w:i/>
        </w:rPr>
        <w:t>Eudemia</w:t>
      </w:r>
      <w:proofErr w:type="spellEnd"/>
      <w:r w:rsidRPr="00F56165">
        <w:rPr>
          <w:rFonts w:ascii="Arial" w:hAnsi="Arial" w:cs="Arial"/>
        </w:rPr>
        <w:t xml:space="preserve"> VII.9.1241b (Ross W., trans., 1925), cited in Op. Cit. n.18 at 543</w:t>
      </w:r>
    </w:p>
  </w:footnote>
  <w:footnote w:id="34">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Op. Cit. n.31 at 547</w:t>
      </w:r>
    </w:p>
  </w:footnote>
  <w:footnote w:id="35">
    <w:p w:rsidR="000943B6" w:rsidRDefault="000943B6" w:rsidP="00A73E21">
      <w:pPr>
        <w:pStyle w:val="FootnoteText"/>
        <w:jc w:val="both"/>
      </w:pPr>
      <w:r w:rsidRPr="00F56165">
        <w:rPr>
          <w:rStyle w:val="FootnoteReference"/>
          <w:rFonts w:ascii="Arial" w:hAnsi="Arial" w:cs="Arial"/>
        </w:rPr>
        <w:footnoteRef/>
      </w:r>
      <w:r w:rsidRPr="00F56165">
        <w:rPr>
          <w:rFonts w:ascii="Arial" w:hAnsi="Arial" w:cs="Arial"/>
        </w:rPr>
        <w:t xml:space="preserve"> Ibid. at 557</w:t>
      </w:r>
    </w:p>
  </w:footnote>
  <w:footnote w:id="36">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proofErr w:type="gramStart"/>
      <w:r w:rsidRPr="00F56165">
        <w:rPr>
          <w:rFonts w:ascii="Arial" w:hAnsi="Arial" w:cs="Arial"/>
        </w:rPr>
        <w:t>KW Simons, ‘Equality as a Comparative Right’ (1985) 65 Boston University L Rev 387.</w:t>
      </w:r>
      <w:proofErr w:type="gramEnd"/>
      <w:r w:rsidRPr="00F56165">
        <w:rPr>
          <w:rFonts w:ascii="Arial" w:hAnsi="Arial" w:cs="Arial"/>
        </w:rPr>
        <w:t xml:space="preserve"> See also KL Karst, ‘Why Equality Matters’ (1983) 17 Georgia L Rev 245 and K </w:t>
      </w:r>
      <w:proofErr w:type="spellStart"/>
      <w:r w:rsidRPr="00F56165">
        <w:rPr>
          <w:rFonts w:ascii="Arial" w:hAnsi="Arial" w:cs="Arial"/>
        </w:rPr>
        <w:t>Greenawalt</w:t>
      </w:r>
      <w:proofErr w:type="spellEnd"/>
      <w:r w:rsidRPr="00F56165">
        <w:rPr>
          <w:rFonts w:ascii="Arial" w:hAnsi="Arial" w:cs="Arial"/>
        </w:rPr>
        <w:t>, ‘How Empty is the Idea of Equality?’ (1983) 83 Columbia Law Rev 1167</w:t>
      </w:r>
    </w:p>
  </w:footnote>
  <w:footnote w:id="37">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at 389</w:t>
      </w:r>
    </w:p>
  </w:footnote>
  <w:footnote w:id="38">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at 479</w:t>
      </w:r>
    </w:p>
  </w:footnote>
  <w:footnote w:id="39">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at 482</w:t>
      </w:r>
    </w:p>
  </w:footnote>
  <w:footnote w:id="40">
    <w:p w:rsidR="000943B6" w:rsidRDefault="000943B6" w:rsidP="00A73E21">
      <w:pPr>
        <w:pStyle w:val="FootnoteText"/>
        <w:jc w:val="both"/>
      </w:pPr>
      <w:r w:rsidRPr="00F56165">
        <w:rPr>
          <w:rStyle w:val="FootnoteReference"/>
          <w:rFonts w:ascii="Arial" w:hAnsi="Arial" w:cs="Arial"/>
        </w:rPr>
        <w:footnoteRef/>
      </w:r>
      <w:r w:rsidRPr="00F56165">
        <w:rPr>
          <w:rFonts w:ascii="Arial" w:hAnsi="Arial" w:cs="Arial"/>
        </w:rPr>
        <w:t xml:space="preserve"> C Barnard, ‘</w:t>
      </w:r>
      <w:proofErr w:type="gramStart"/>
      <w:r w:rsidRPr="00F56165">
        <w:rPr>
          <w:rFonts w:ascii="Arial" w:hAnsi="Arial" w:cs="Arial"/>
        </w:rPr>
        <w:t>The</w:t>
      </w:r>
      <w:proofErr w:type="gramEnd"/>
      <w:r w:rsidRPr="00F56165">
        <w:rPr>
          <w:rFonts w:ascii="Arial" w:hAnsi="Arial" w:cs="Arial"/>
        </w:rPr>
        <w:t xml:space="preserve"> Principle of Equality in the Community Context: P, Grant, </w:t>
      </w:r>
      <w:proofErr w:type="spellStart"/>
      <w:r w:rsidRPr="00F56165">
        <w:rPr>
          <w:rFonts w:ascii="Arial" w:hAnsi="Arial" w:cs="Arial"/>
        </w:rPr>
        <w:t>Kalanke</w:t>
      </w:r>
      <w:proofErr w:type="spellEnd"/>
      <w:r w:rsidRPr="00F56165">
        <w:rPr>
          <w:rFonts w:ascii="Arial" w:hAnsi="Arial" w:cs="Arial"/>
        </w:rPr>
        <w:t xml:space="preserve"> and </w:t>
      </w:r>
      <w:proofErr w:type="spellStart"/>
      <w:r w:rsidRPr="00F56165">
        <w:rPr>
          <w:rFonts w:ascii="Arial" w:hAnsi="Arial" w:cs="Arial"/>
        </w:rPr>
        <w:t>Marschall</w:t>
      </w:r>
      <w:proofErr w:type="spellEnd"/>
      <w:r w:rsidRPr="00F56165">
        <w:rPr>
          <w:rFonts w:ascii="Arial" w:hAnsi="Arial" w:cs="Arial"/>
        </w:rPr>
        <w:t xml:space="preserve">: Four Uneasy Bedfellows?’ (198) 57 CLJ 352; C Barnard, ‘Gender Equality in the EU: A Balance Sheet’ in P Alston, </w:t>
      </w:r>
      <w:r w:rsidRPr="00F56165">
        <w:rPr>
          <w:rFonts w:ascii="Arial" w:hAnsi="Arial" w:cs="Arial"/>
          <w:i/>
        </w:rPr>
        <w:t>The EU and Human Rights</w:t>
      </w:r>
      <w:r w:rsidRPr="00F56165">
        <w:rPr>
          <w:rFonts w:ascii="Arial" w:hAnsi="Arial" w:cs="Arial"/>
        </w:rPr>
        <w:t xml:space="preserve"> (OUP, London 1999) 215 at 223</w:t>
      </w:r>
    </w:p>
  </w:footnote>
  <w:footnote w:id="4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J Jowell, ‘Is Equality a Constitutional Principle?’ </w:t>
      </w:r>
      <w:proofErr w:type="gramStart"/>
      <w:r w:rsidRPr="00F56165">
        <w:rPr>
          <w:rFonts w:ascii="Arial" w:hAnsi="Arial" w:cs="Arial"/>
        </w:rPr>
        <w:t>(1994) 47 Current Legal Problems 1.</w:t>
      </w:r>
      <w:proofErr w:type="gramEnd"/>
      <w:r w:rsidRPr="00F56165">
        <w:rPr>
          <w:rFonts w:ascii="Arial" w:hAnsi="Arial" w:cs="Arial"/>
        </w:rPr>
        <w:t xml:space="preserve"> See also J Stanton-Ife, ‘Should Equality Be a Constitutional Principle?’ (2000) 11 KCLJ 133 opposing Jowell’s argument</w:t>
      </w:r>
    </w:p>
  </w:footnote>
  <w:footnote w:id="42">
    <w:p w:rsidR="009D033A" w:rsidRDefault="009D033A" w:rsidP="00F56165">
      <w:pPr>
        <w:pStyle w:val="FootnoteText"/>
        <w:jc w:val="both"/>
      </w:pPr>
      <w:r w:rsidRPr="00F56165">
        <w:rPr>
          <w:rStyle w:val="FootnoteReference"/>
          <w:rFonts w:ascii="Arial" w:hAnsi="Arial" w:cs="Arial"/>
        </w:rPr>
        <w:footnoteRef/>
      </w:r>
      <w:r w:rsidRPr="00F56165">
        <w:rPr>
          <w:rFonts w:ascii="Arial" w:hAnsi="Arial" w:cs="Arial"/>
        </w:rPr>
        <w:t xml:space="preserve"> S Fredman, ‘Positive Duties and Socio-Economic Disadvantage: Bringing Disadvantage Onto the Equality Agenda’ [2010] EHRLR 290 at 297</w:t>
      </w:r>
    </w:p>
  </w:footnote>
  <w:footnote w:id="43">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See P </w:t>
      </w:r>
      <w:proofErr w:type="spellStart"/>
      <w:r w:rsidRPr="00F56165">
        <w:rPr>
          <w:rFonts w:ascii="Arial" w:hAnsi="Arial" w:cs="Arial"/>
        </w:rPr>
        <w:t>Uccellari</w:t>
      </w:r>
      <w:proofErr w:type="spellEnd"/>
      <w:r w:rsidRPr="00F56165">
        <w:rPr>
          <w:rFonts w:ascii="Arial" w:hAnsi="Arial" w:cs="Arial"/>
        </w:rPr>
        <w:t xml:space="preserve">, ‘Multiple Discrimination: How Law can Reflect Reality’ (2008) 1 Equal Rights Review 24 and S </w:t>
      </w:r>
      <w:proofErr w:type="spellStart"/>
      <w:r w:rsidRPr="00F56165">
        <w:rPr>
          <w:rFonts w:ascii="Arial" w:hAnsi="Arial" w:cs="Arial"/>
        </w:rPr>
        <w:t>Barri</w:t>
      </w:r>
      <w:proofErr w:type="spellEnd"/>
      <w:r w:rsidRPr="00F56165">
        <w:rPr>
          <w:rFonts w:ascii="Arial" w:hAnsi="Arial" w:cs="Arial"/>
        </w:rPr>
        <w:t xml:space="preserve">, D </w:t>
      </w:r>
      <w:proofErr w:type="spellStart"/>
      <w:r w:rsidRPr="00F56165">
        <w:rPr>
          <w:rFonts w:ascii="Arial" w:hAnsi="Arial" w:cs="Arial"/>
        </w:rPr>
        <w:t>Sciek</w:t>
      </w:r>
      <w:proofErr w:type="spellEnd"/>
      <w:r w:rsidRPr="00F56165">
        <w:rPr>
          <w:rFonts w:ascii="Arial" w:hAnsi="Arial" w:cs="Arial"/>
        </w:rPr>
        <w:t xml:space="preserve">, </w:t>
      </w:r>
      <w:r w:rsidRPr="00F56165">
        <w:rPr>
          <w:rFonts w:ascii="Arial" w:hAnsi="Arial" w:cs="Arial"/>
          <w:i/>
        </w:rPr>
        <w:t>Multiple Discrimination in EU Law: Opportunities for Legal Responses to Intersectional Gender Discrimination?</w:t>
      </w:r>
      <w:r w:rsidRPr="00F56165">
        <w:rPr>
          <w:rFonts w:ascii="Arial" w:hAnsi="Arial" w:cs="Arial"/>
        </w:rPr>
        <w:t xml:space="preserve"> (European Commission, Brussels 2009) for discussions about multiple discrimination</w:t>
      </w:r>
    </w:p>
  </w:footnote>
  <w:footnote w:id="4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GP Fletcher, ‘In God’s Image: The Religious Imperative of Equality under Law’ (1999) 99 Columbia Law Rev 1608 at 1611</w:t>
      </w:r>
    </w:p>
  </w:footnote>
  <w:footnote w:id="45">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 </w:t>
      </w:r>
      <w:proofErr w:type="spellStart"/>
      <w:r w:rsidRPr="00F56165">
        <w:rPr>
          <w:rFonts w:ascii="Arial" w:hAnsi="Arial" w:cs="Arial"/>
        </w:rPr>
        <w:t>Darity</w:t>
      </w:r>
      <w:proofErr w:type="spellEnd"/>
      <w:r w:rsidRPr="00F56165">
        <w:rPr>
          <w:rFonts w:ascii="Arial" w:hAnsi="Arial" w:cs="Arial"/>
        </w:rPr>
        <w:t>, ‘Equal Opportunity, Equal results, and Social Hierarchy’ (1987) 7 Praxis International 174 at 181</w:t>
      </w:r>
    </w:p>
  </w:footnote>
  <w:footnote w:id="46">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See D Feldman, ‘Human Dignity as a Legal Value – Part 1’ [1999] PL 682; D </w:t>
      </w:r>
      <w:proofErr w:type="spellStart"/>
      <w:r w:rsidRPr="00F56165">
        <w:rPr>
          <w:rFonts w:ascii="Arial" w:hAnsi="Arial" w:cs="Arial"/>
        </w:rPr>
        <w:t>Beyleveld</w:t>
      </w:r>
      <w:proofErr w:type="spellEnd"/>
      <w:r w:rsidRPr="00F56165">
        <w:rPr>
          <w:rFonts w:ascii="Arial" w:hAnsi="Arial" w:cs="Arial"/>
        </w:rPr>
        <w:t>, R Brownsword, ‘Human Dignity, Human Rights, and Human Genetics’ (1998) 61 MLR 661; G Moon, R Allen, ‘Dignity Discourse in Discrimination Law: A Better Route to Equality?’ [2006] EHRLR 610</w:t>
      </w:r>
    </w:p>
  </w:footnote>
  <w:footnote w:id="47">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 Gewirth, </w:t>
      </w:r>
      <w:r w:rsidRPr="00F56165">
        <w:rPr>
          <w:rFonts w:ascii="Arial" w:hAnsi="Arial" w:cs="Arial"/>
          <w:i/>
        </w:rPr>
        <w:t>Self-Fulfilment</w:t>
      </w:r>
      <w:r w:rsidRPr="00F56165">
        <w:rPr>
          <w:rFonts w:ascii="Arial" w:hAnsi="Arial" w:cs="Arial"/>
        </w:rPr>
        <w:t xml:space="preserve"> (Princeton University Press, Princeton 1998) at 159-174</w:t>
      </w:r>
    </w:p>
  </w:footnote>
  <w:footnote w:id="48">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B Hepple, ‘The Aims of Equality Law’ (2008) 61 CLP 1 at 3</w:t>
      </w:r>
    </w:p>
  </w:footnote>
  <w:footnote w:id="49">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w:t>
      </w:r>
      <w:r w:rsidRPr="00F56165">
        <w:rPr>
          <w:rFonts w:ascii="Arial" w:hAnsi="Arial" w:cs="Arial"/>
          <w:i/>
        </w:rPr>
        <w:t>Strategic Defence Review, Cm 3999 White Paper</w:t>
      </w:r>
      <w:r w:rsidRPr="00F56165">
        <w:rPr>
          <w:rFonts w:ascii="Arial" w:hAnsi="Arial" w:cs="Arial"/>
        </w:rPr>
        <w:t xml:space="preserve"> (MoD, London 1998) para 121</w:t>
      </w:r>
    </w:p>
  </w:footnote>
  <w:footnote w:id="50">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para 127</w:t>
      </w:r>
    </w:p>
  </w:footnote>
  <w:footnote w:id="5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6A6A75" w:rsidRPr="00F56165">
        <w:rPr>
          <w:rFonts w:ascii="Arial" w:hAnsi="Arial" w:cs="Arial"/>
        </w:rPr>
        <w:t xml:space="preserve">Ibid. </w:t>
      </w:r>
      <w:r w:rsidRPr="00F56165">
        <w:rPr>
          <w:rFonts w:ascii="Arial" w:hAnsi="Arial" w:cs="Arial"/>
        </w:rPr>
        <w:t>Essay 9 para 18</w:t>
      </w:r>
    </w:p>
  </w:footnote>
  <w:footnote w:id="52">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6A6A75" w:rsidRPr="00F56165">
        <w:rPr>
          <w:rFonts w:ascii="Arial" w:hAnsi="Arial" w:cs="Arial"/>
        </w:rPr>
        <w:t xml:space="preserve">Ibid. Essay 9 </w:t>
      </w:r>
      <w:r w:rsidRPr="00F56165">
        <w:rPr>
          <w:rFonts w:ascii="Arial" w:hAnsi="Arial" w:cs="Arial"/>
        </w:rPr>
        <w:t>para 39</w:t>
      </w:r>
    </w:p>
  </w:footnote>
  <w:footnote w:id="53">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6A6A75" w:rsidRPr="00F56165">
        <w:rPr>
          <w:rFonts w:ascii="Arial" w:hAnsi="Arial" w:cs="Arial"/>
        </w:rPr>
        <w:t>Ibid. Essay 9</w:t>
      </w:r>
      <w:r w:rsidR="006A6A75" w:rsidRPr="00F56165">
        <w:rPr>
          <w:rFonts w:ascii="Arial" w:hAnsi="Arial" w:cs="Arial"/>
        </w:rPr>
        <w:t xml:space="preserve"> </w:t>
      </w:r>
      <w:r w:rsidRPr="00F56165">
        <w:rPr>
          <w:rFonts w:ascii="Arial" w:hAnsi="Arial" w:cs="Arial"/>
        </w:rPr>
        <w:t>para 41</w:t>
      </w:r>
    </w:p>
  </w:footnote>
  <w:footnote w:id="5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6A6A75" w:rsidRPr="00F56165">
        <w:rPr>
          <w:rFonts w:ascii="Arial" w:hAnsi="Arial" w:cs="Arial"/>
        </w:rPr>
        <w:t>Ibid. Essay 9</w:t>
      </w:r>
      <w:r w:rsidR="006A6A75" w:rsidRPr="00F56165">
        <w:rPr>
          <w:rFonts w:ascii="Arial" w:hAnsi="Arial" w:cs="Arial"/>
        </w:rPr>
        <w:t xml:space="preserve"> </w:t>
      </w:r>
      <w:r w:rsidRPr="00F56165">
        <w:rPr>
          <w:rFonts w:ascii="Arial" w:hAnsi="Arial" w:cs="Arial"/>
        </w:rPr>
        <w:t>para 80</w:t>
      </w:r>
    </w:p>
  </w:footnote>
  <w:footnote w:id="55">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w:t>
      </w:r>
      <w:r w:rsidRPr="00F56165">
        <w:rPr>
          <w:rFonts w:ascii="Arial" w:hAnsi="Arial" w:cs="Arial"/>
          <w:i/>
        </w:rPr>
        <w:t>Race Equality Scheme 2002-2005 for the Ministry of Defence: Armed Forces, Civil Servants and Ministry of Defence Police</w:t>
      </w:r>
      <w:r w:rsidRPr="00F56165">
        <w:rPr>
          <w:rFonts w:ascii="Arial" w:hAnsi="Arial" w:cs="Arial"/>
        </w:rPr>
        <w:t xml:space="preserve"> (MoD, London 2002) accessed at </w:t>
      </w:r>
      <w:hyperlink r:id="rId2" w:history="1">
        <w:r w:rsidRPr="00F56165">
          <w:rPr>
            <w:rStyle w:val="Hyperlink"/>
            <w:rFonts w:ascii="Arial" w:hAnsi="Arial" w:cs="Arial"/>
          </w:rPr>
          <w:t>http://webarchive.nationalarchives.gov.uk/tna/+/http://www.mod.uk/issues/racial_equality/index.html</w:t>
        </w:r>
      </w:hyperlink>
      <w:r w:rsidRPr="00F56165">
        <w:rPr>
          <w:rFonts w:ascii="Arial" w:hAnsi="Arial" w:cs="Arial"/>
        </w:rPr>
        <w:t xml:space="preserve"> </w:t>
      </w:r>
    </w:p>
  </w:footnote>
  <w:footnote w:id="56">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Ministry of Defence, </w:t>
      </w:r>
      <w:r w:rsidRPr="00F56165">
        <w:rPr>
          <w:rFonts w:ascii="Arial" w:hAnsi="Arial" w:cs="Arial"/>
          <w:i/>
        </w:rPr>
        <w:t>Equality and Diversity Scheme 2006-2095</w:t>
      </w:r>
      <w:r w:rsidRPr="00F56165">
        <w:rPr>
          <w:rFonts w:ascii="Arial" w:hAnsi="Arial" w:cs="Arial"/>
        </w:rPr>
        <w:t xml:space="preserve"> (MoD, London 2002) accessed at </w:t>
      </w:r>
      <w:hyperlink r:id="rId3" w:history="1">
        <w:r w:rsidRPr="00F56165">
          <w:rPr>
            <w:rStyle w:val="Hyperlink"/>
            <w:rFonts w:ascii="Arial" w:hAnsi="Arial" w:cs="Arial"/>
          </w:rPr>
          <w:t>http://www.mod.uk/NR/rdonlyres/6D31D11A-8764-4DD8-9788-D20B5B14CA6D/0/eqdiversity_scheme2006_2009_ver1april06.pdf</w:t>
        </w:r>
      </w:hyperlink>
      <w:r>
        <w:t xml:space="preserve"> </w:t>
      </w:r>
    </w:p>
  </w:footnote>
  <w:footnote w:id="57">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w:t>
      </w:r>
      <w:r w:rsidRPr="00F56165">
        <w:rPr>
          <w:rFonts w:ascii="Arial" w:hAnsi="Arial" w:cs="Arial"/>
          <w:i/>
        </w:rPr>
        <w:t>Equality and Diversity Scheme 2008-2011</w:t>
      </w:r>
      <w:r w:rsidRPr="00F56165">
        <w:rPr>
          <w:rFonts w:ascii="Arial" w:hAnsi="Arial" w:cs="Arial"/>
        </w:rPr>
        <w:t xml:space="preserve"> (MoD, London 2002) accessed at </w:t>
      </w:r>
      <w:hyperlink r:id="rId4" w:history="1">
        <w:r w:rsidRPr="00F56165">
          <w:rPr>
            <w:rStyle w:val="Hyperlink"/>
            <w:rFonts w:ascii="Arial" w:hAnsi="Arial" w:cs="Arial"/>
          </w:rPr>
          <w:t>http://www.mod.uk/NR/rdonlyres/98E4EAB6-CE02-4F39-9EF2-17DD054C5905/0/eqdivschemes20082011.p</w:t>
        </w:r>
      </w:hyperlink>
      <w:r w:rsidRPr="00F56165">
        <w:rPr>
          <w:rFonts w:ascii="Arial" w:hAnsi="Arial" w:cs="Arial"/>
        </w:rPr>
        <w:t xml:space="preserve"> </w:t>
      </w:r>
    </w:p>
  </w:footnote>
  <w:footnote w:id="58">
    <w:p w:rsid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Race Equality Scheme Progress Reports were published for 2003, 2004 and 2005. Equality and Diversity Scheme Reports have been published for 2006-2007 (accessed at</w:t>
      </w:r>
    </w:p>
    <w:p w:rsidR="00F56165" w:rsidRDefault="000943B6" w:rsidP="00F56165">
      <w:pPr>
        <w:pStyle w:val="FootnoteText"/>
        <w:jc w:val="both"/>
        <w:rPr>
          <w:rFonts w:ascii="Arial" w:hAnsi="Arial" w:cs="Arial"/>
        </w:rPr>
      </w:pPr>
      <w:r w:rsidRPr="00F56165">
        <w:rPr>
          <w:rFonts w:ascii="Arial" w:hAnsi="Arial" w:cs="Arial"/>
        </w:rPr>
        <w:t xml:space="preserve"> </w:t>
      </w:r>
      <w:hyperlink r:id="rId5" w:history="1">
        <w:r w:rsidRPr="00F56165">
          <w:rPr>
            <w:rStyle w:val="Hyperlink"/>
            <w:rFonts w:ascii="Arial" w:hAnsi="Arial" w:cs="Arial"/>
          </w:rPr>
          <w:t>http://www.mod.uk/NR/rdonlyres/190B0D7E-83AB-4EDF-B845-0C310EE070C0/0/annrpt_eds0607.pdf</w:t>
        </w:r>
      </w:hyperlink>
      <w:r w:rsidRPr="00F56165">
        <w:rPr>
          <w:rFonts w:ascii="Arial" w:hAnsi="Arial" w:cs="Arial"/>
        </w:rPr>
        <w:t xml:space="preserve">), 2007-2008 (accessed at  </w:t>
      </w:r>
    </w:p>
    <w:p w:rsidR="00F56165" w:rsidRDefault="0024539B" w:rsidP="00F56165">
      <w:pPr>
        <w:pStyle w:val="FootnoteText"/>
        <w:jc w:val="both"/>
        <w:rPr>
          <w:rFonts w:ascii="Arial" w:hAnsi="Arial" w:cs="Arial"/>
        </w:rPr>
      </w:pPr>
      <w:hyperlink r:id="rId6" w:history="1">
        <w:r w:rsidR="000943B6" w:rsidRPr="00F56165">
          <w:rPr>
            <w:rStyle w:val="Hyperlink"/>
            <w:rFonts w:ascii="Arial" w:hAnsi="Arial" w:cs="Arial"/>
          </w:rPr>
          <w:t>http://www.mod.uk/NR/rdonlyres/190B0D7E-83AB-4EDF-B845-0C310EE070C0/0/annrpt_eds0607.pdf</w:t>
        </w:r>
      </w:hyperlink>
      <w:r w:rsidR="000943B6" w:rsidRPr="00F56165">
        <w:rPr>
          <w:rFonts w:ascii="Arial" w:hAnsi="Arial" w:cs="Arial"/>
        </w:rPr>
        <w:t xml:space="preserve">) and 2008-2009 (accessed at  </w:t>
      </w:r>
    </w:p>
    <w:p w:rsidR="000943B6" w:rsidRPr="00F56165" w:rsidRDefault="0024539B" w:rsidP="00F56165">
      <w:pPr>
        <w:pStyle w:val="FootnoteText"/>
        <w:jc w:val="both"/>
        <w:rPr>
          <w:rFonts w:ascii="Arial" w:hAnsi="Arial" w:cs="Arial"/>
        </w:rPr>
      </w:pPr>
      <w:hyperlink r:id="rId7" w:history="1">
        <w:r w:rsidR="000943B6" w:rsidRPr="00F56165">
          <w:rPr>
            <w:rStyle w:val="Hyperlink"/>
            <w:rFonts w:ascii="Arial" w:hAnsi="Arial" w:cs="Arial"/>
          </w:rPr>
          <w:t>http://www.mod.uk/NR/rdonlyres/4C3078BC-DB83-4F88-AE68-4DE231C7003D/0/edsreport_200809.pdf</w:t>
        </w:r>
      </w:hyperlink>
      <w:r w:rsidR="000943B6" w:rsidRPr="00F56165">
        <w:rPr>
          <w:rFonts w:ascii="Arial" w:hAnsi="Arial" w:cs="Arial"/>
        </w:rPr>
        <w:t xml:space="preserve">) </w:t>
      </w:r>
    </w:p>
  </w:footnote>
  <w:footnote w:id="59">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Women’s Royal Army Corps formed on 1 February 1949 (taking over from the Auxiliary Territorial Service that had been formed in 1938); Women’s Royal Naval Service formed in 1917, disbanded in 1919, reformed in 1939 and retained after the Second World War; Women’s Royal Air Force formed in 1918, disbanded in 1920 and reformed on 1 February 1949 (taking over from the Women’s Auxiliary Air Force that had been formed in 1939).</w:t>
      </w:r>
    </w:p>
  </w:footnote>
  <w:footnote w:id="60">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See A Arnull, ‘EC Law and the Dismissal of Pregnant Servicewomen’ (1995) 24 ILJ 215 for a full account of this episode</w:t>
      </w:r>
    </w:p>
  </w:footnote>
  <w:footnote w:id="6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Directive 76/207/EEC on the implementation of the principle of equal treatment </w:t>
      </w:r>
      <w:proofErr w:type="spellStart"/>
      <w:r w:rsidRPr="00F56165">
        <w:rPr>
          <w:rFonts w:ascii="Arial" w:hAnsi="Arial" w:cs="Arial"/>
        </w:rPr>
        <w:t>fro</w:t>
      </w:r>
      <w:proofErr w:type="spellEnd"/>
      <w:r w:rsidRPr="00F56165">
        <w:rPr>
          <w:rFonts w:ascii="Arial" w:hAnsi="Arial" w:cs="Arial"/>
        </w:rPr>
        <w:t xml:space="preserve"> mean and women as regards access to employment, vocational training and promotion, and working conditions, OJ 1976 L39/40</w:t>
      </w:r>
    </w:p>
  </w:footnote>
  <w:footnote w:id="62">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152/84 </w:t>
      </w:r>
      <w:r w:rsidRPr="00F56165">
        <w:rPr>
          <w:rFonts w:ascii="Arial" w:hAnsi="Arial" w:cs="Arial"/>
          <w:u w:val="single"/>
        </w:rPr>
        <w:t>Marshall v Southampton and South-West Hampshire AHA</w:t>
      </w:r>
      <w:r w:rsidRPr="00F56165">
        <w:rPr>
          <w:rFonts w:ascii="Arial" w:hAnsi="Arial" w:cs="Arial"/>
        </w:rPr>
        <w:t xml:space="preserve"> [1986] ECR 723</w:t>
      </w:r>
    </w:p>
  </w:footnote>
  <w:footnote w:id="63">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C-179/88 </w:t>
      </w:r>
      <w:proofErr w:type="spellStart"/>
      <w:r w:rsidRPr="00F56165">
        <w:rPr>
          <w:rFonts w:ascii="Arial" w:hAnsi="Arial" w:cs="Arial"/>
          <w:u w:val="single"/>
        </w:rPr>
        <w:t>Handels-og</w:t>
      </w:r>
      <w:proofErr w:type="spellEnd"/>
      <w:r w:rsidRPr="00F56165">
        <w:rPr>
          <w:rFonts w:ascii="Arial" w:hAnsi="Arial" w:cs="Arial"/>
          <w:u w:val="single"/>
        </w:rPr>
        <w:t xml:space="preserve"> </w:t>
      </w:r>
      <w:proofErr w:type="spellStart"/>
      <w:r w:rsidRPr="00F56165">
        <w:rPr>
          <w:rFonts w:ascii="Arial" w:hAnsi="Arial" w:cs="Arial"/>
          <w:u w:val="single"/>
        </w:rPr>
        <w:t>Kontorfunktionoerernes</w:t>
      </w:r>
      <w:proofErr w:type="spellEnd"/>
      <w:r w:rsidRPr="00F56165">
        <w:rPr>
          <w:rFonts w:ascii="Arial" w:hAnsi="Arial" w:cs="Arial"/>
          <w:u w:val="single"/>
        </w:rPr>
        <w:t xml:space="preserve"> </w:t>
      </w:r>
      <w:proofErr w:type="spellStart"/>
      <w:r w:rsidRPr="00F56165">
        <w:rPr>
          <w:rFonts w:ascii="Arial" w:hAnsi="Arial" w:cs="Arial"/>
          <w:u w:val="single"/>
        </w:rPr>
        <w:t>Forbund</w:t>
      </w:r>
      <w:proofErr w:type="spellEnd"/>
      <w:r w:rsidRPr="00F56165">
        <w:rPr>
          <w:rFonts w:ascii="Arial" w:hAnsi="Arial" w:cs="Arial"/>
        </w:rPr>
        <w:t xml:space="preserve"> [1990] ECR I-3979 para 13</w:t>
      </w:r>
    </w:p>
  </w:footnote>
  <w:footnote w:id="6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 xml:space="preserve">R v Secretary of State for Defence, </w:t>
      </w:r>
      <w:r w:rsidRPr="00F56165">
        <w:rPr>
          <w:rFonts w:ascii="Arial" w:hAnsi="Arial" w:cs="Arial"/>
          <w:i/>
          <w:u w:val="single"/>
        </w:rPr>
        <w:t>ex parte</w:t>
      </w:r>
      <w:r w:rsidRPr="00F56165">
        <w:rPr>
          <w:rFonts w:ascii="Arial" w:hAnsi="Arial" w:cs="Arial"/>
          <w:u w:val="single"/>
        </w:rPr>
        <w:t xml:space="preserve"> </w:t>
      </w:r>
      <w:proofErr w:type="spellStart"/>
      <w:r w:rsidRPr="00F56165">
        <w:rPr>
          <w:rFonts w:ascii="Arial" w:hAnsi="Arial" w:cs="Arial"/>
          <w:u w:val="single"/>
        </w:rPr>
        <w:t>Leale</w:t>
      </w:r>
      <w:proofErr w:type="spellEnd"/>
      <w:r w:rsidRPr="00F56165">
        <w:rPr>
          <w:rFonts w:ascii="Arial" w:hAnsi="Arial" w:cs="Arial"/>
          <w:u w:val="single"/>
        </w:rPr>
        <w:t>, Lane and EOC</w:t>
      </w:r>
      <w:r w:rsidRPr="00F56165">
        <w:rPr>
          <w:rFonts w:ascii="Arial" w:hAnsi="Arial" w:cs="Arial"/>
        </w:rPr>
        <w:t>, unreported</w:t>
      </w:r>
    </w:p>
  </w:footnote>
  <w:footnote w:id="65">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C-271/91 </w:t>
      </w:r>
      <w:r w:rsidRPr="00F56165">
        <w:rPr>
          <w:rFonts w:ascii="Arial" w:hAnsi="Arial" w:cs="Arial"/>
          <w:u w:val="single"/>
        </w:rPr>
        <w:t>Marshall v Southampton and South-West Hampshire AHA</w:t>
      </w:r>
      <w:r w:rsidRPr="00F56165">
        <w:rPr>
          <w:rFonts w:ascii="Arial" w:hAnsi="Arial" w:cs="Arial"/>
        </w:rPr>
        <w:t xml:space="preserve"> [1993] ECR I-4367 para 24</w:t>
      </w:r>
    </w:p>
  </w:footnote>
  <w:footnote w:id="66">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at para 30</w:t>
      </w:r>
    </w:p>
  </w:footnote>
  <w:footnote w:id="67">
    <w:p w:rsidR="000943B6" w:rsidRPr="009442B8"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Case C-208/90 </w:t>
      </w:r>
      <w:proofErr w:type="spellStart"/>
      <w:r w:rsidRPr="00F56165">
        <w:rPr>
          <w:rFonts w:ascii="Arial" w:hAnsi="Arial" w:cs="Arial"/>
          <w:u w:val="single"/>
        </w:rPr>
        <w:t>Emmott</w:t>
      </w:r>
      <w:proofErr w:type="spellEnd"/>
      <w:r w:rsidRPr="00F56165">
        <w:rPr>
          <w:rFonts w:ascii="Arial" w:hAnsi="Arial" w:cs="Arial"/>
        </w:rPr>
        <w:t xml:space="preserve"> [1991} ECR I-4269</w:t>
      </w:r>
    </w:p>
  </w:footnote>
  <w:footnote w:id="68">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Ministry of Defence v Cannock and others</w:t>
      </w:r>
      <w:r w:rsidRPr="00F56165">
        <w:rPr>
          <w:rFonts w:ascii="Arial" w:hAnsi="Arial" w:cs="Arial"/>
        </w:rPr>
        <w:t xml:space="preserve"> [1994] IRLR 509</w:t>
      </w:r>
    </w:p>
  </w:footnote>
  <w:footnote w:id="69">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SI 1994/3276</w:t>
      </w:r>
    </w:p>
  </w:footnote>
  <w:footnote w:id="70">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‘Women in the Armed Forces’, report by the Employment of Women in the Armed Forces Steering Group, May 2002, accessed at </w:t>
      </w:r>
      <w:hyperlink r:id="rId8" w:history="1">
        <w:r w:rsidRPr="00F56165">
          <w:rPr>
            <w:rStyle w:val="Hyperlink"/>
            <w:rFonts w:ascii="Arial" w:hAnsi="Arial" w:cs="Arial"/>
          </w:rPr>
          <w:t>http://www.mod.uk/NR/rdonlyres/A9925990-82C2-420F-AB04-7003768CEC02/0/womenaf_fullreport.pdf</w:t>
        </w:r>
      </w:hyperlink>
      <w:r w:rsidRPr="00F56165">
        <w:rPr>
          <w:rFonts w:ascii="Arial" w:hAnsi="Arial" w:cs="Arial"/>
        </w:rPr>
        <w:t xml:space="preserve"> </w:t>
      </w:r>
    </w:p>
  </w:footnote>
  <w:footnote w:id="7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Op. Cit. n.</w:t>
      </w:r>
      <w:r w:rsidR="00F56165" w:rsidRPr="00F56165">
        <w:rPr>
          <w:rFonts w:ascii="Arial" w:hAnsi="Arial" w:cs="Arial"/>
        </w:rPr>
        <w:t>50</w:t>
      </w:r>
      <w:r w:rsidRPr="00F56165">
        <w:rPr>
          <w:rFonts w:ascii="Arial" w:hAnsi="Arial" w:cs="Arial"/>
        </w:rPr>
        <w:t xml:space="preserve"> at 233</w:t>
      </w:r>
    </w:p>
  </w:footnote>
  <w:footnote w:id="72">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w:t>
      </w:r>
    </w:p>
  </w:footnote>
  <w:footnote w:id="73">
    <w:p w:rsidR="000943B6" w:rsidRPr="004A4649"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European Parliament and Council Directive 2002/73/EC </w:t>
      </w:r>
      <w:r w:rsidRPr="00F56165">
        <w:rPr>
          <w:rFonts w:ascii="Arial" w:hAnsi="Arial" w:cs="Arial"/>
          <w:bCs/>
        </w:rPr>
        <w:t>amending Council Directive 76/207/EEC on the implementation of the principle of equal treatment for men and women as regards access to employment, vocational training and promotion, and working conditions, OJ 2002 L269/15</w:t>
      </w:r>
    </w:p>
  </w:footnote>
  <w:footnote w:id="7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SI 2005/2467</w:t>
      </w:r>
    </w:p>
  </w:footnote>
  <w:footnote w:id="75">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 Rutherford, R Schneider, A Walmsley, ‘Quantitative &amp; Qualitative Research into Sexual Harassment in the Armed Forces, Schneider-Ross Ltd report 22 March 2006, accessed at </w:t>
      </w:r>
      <w:hyperlink r:id="rId9" w:history="1">
        <w:r w:rsidRPr="00F56165">
          <w:rPr>
            <w:rStyle w:val="Hyperlink"/>
            <w:rFonts w:ascii="Arial" w:hAnsi="Arial" w:cs="Arial"/>
          </w:rPr>
          <w:t>http://www.mod.uk/NR/rdonlyres/538E55EE-9CA4-4177-9A0B-6853A431B283/0/20060522SRReport.pdf</w:t>
        </w:r>
      </w:hyperlink>
      <w:r w:rsidRPr="00F56165">
        <w:rPr>
          <w:rFonts w:ascii="Arial" w:hAnsi="Arial" w:cs="Arial"/>
        </w:rPr>
        <w:t xml:space="preserve"> at 5</w:t>
      </w:r>
    </w:p>
  </w:footnote>
  <w:footnote w:id="76">
    <w:p w:rsid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Agreement Between the Ministry of Defence and the Equal Opportunities Commission on an Action Plan to Prevent and Deal Effectively with Sexual Harassment in the Armed Forces, 22 June 2005, accessed at</w:t>
      </w:r>
    </w:p>
    <w:p w:rsidR="000943B6" w:rsidRPr="00F56165" w:rsidRDefault="000943B6" w:rsidP="00F56165">
      <w:pPr>
        <w:pStyle w:val="FootnoteText"/>
        <w:jc w:val="both"/>
        <w:rPr>
          <w:rFonts w:ascii="Arial" w:hAnsi="Arial" w:cs="Arial"/>
        </w:rPr>
      </w:pPr>
      <w:r w:rsidRPr="00F56165">
        <w:rPr>
          <w:rFonts w:ascii="Arial" w:hAnsi="Arial" w:cs="Arial"/>
        </w:rPr>
        <w:t xml:space="preserve"> </w:t>
      </w:r>
      <w:hyperlink r:id="rId10" w:history="1">
        <w:r w:rsidRPr="00F56165">
          <w:rPr>
            <w:rStyle w:val="Hyperlink"/>
            <w:rFonts w:ascii="Arial" w:hAnsi="Arial" w:cs="Arial"/>
          </w:rPr>
          <w:t>http://www.mod.uk/NR/rdonlyres/13856EA1-1D13-4872-A5EF-797D8EA3E025/0/mod_eoc_agreement.pdf</w:t>
        </w:r>
      </w:hyperlink>
      <w:r w:rsidRPr="00F56165">
        <w:rPr>
          <w:rFonts w:ascii="Arial" w:hAnsi="Arial" w:cs="Arial"/>
        </w:rPr>
        <w:t xml:space="preserve"> </w:t>
      </w:r>
    </w:p>
  </w:footnote>
  <w:footnote w:id="77">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Agreement Between the Ministry of Defence and the Equal Opportunities Commission on an Action Plan to Prevent and Deal Effectively with Sexual Harassment in the Armed Forces: Progress Report and Phase Three Action Plan, accessed at </w:t>
      </w:r>
      <w:hyperlink r:id="rId11" w:history="1">
        <w:r w:rsidRPr="00F56165">
          <w:rPr>
            <w:rStyle w:val="Hyperlink"/>
            <w:rFonts w:ascii="Arial" w:hAnsi="Arial" w:cs="Arial"/>
          </w:rPr>
          <w:t>http://www.mod.uk/NR/rdonlyres/1B43BA95-6D58-4DA0-8E59-57C1B2734ABB/0/out.html</w:t>
        </w:r>
      </w:hyperlink>
      <w:r w:rsidRPr="00F56165">
        <w:rPr>
          <w:rFonts w:ascii="Arial" w:hAnsi="Arial" w:cs="Arial"/>
        </w:rPr>
        <w:t xml:space="preserve"> at Annex B</w:t>
      </w:r>
    </w:p>
  </w:footnote>
  <w:footnote w:id="78">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at 1</w:t>
      </w:r>
    </w:p>
  </w:footnote>
  <w:footnote w:id="79">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Council Directive 75/117EEC </w:t>
      </w:r>
      <w:r w:rsidRPr="00F56165">
        <w:rPr>
          <w:rFonts w:ascii="Arial" w:hAnsi="Arial" w:cs="Arial"/>
          <w:bCs/>
        </w:rPr>
        <w:t>on the approximation of the laws of the Member States relating to the application of the principle of equal pay for men and women, OJ 1975 L45/19</w:t>
      </w:r>
    </w:p>
  </w:footnote>
  <w:footnote w:id="80">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European Parliament and Council Directive 2006/54/EC on the implementation of the principle of equal opportunities and equal treatment of men and women in matters of employment and occupation (recast), OJ 2006 L204/23</w:t>
      </w:r>
    </w:p>
  </w:footnote>
  <w:footnote w:id="8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C-273/97 </w:t>
      </w:r>
      <w:r w:rsidRPr="00F56165">
        <w:rPr>
          <w:rFonts w:ascii="Arial" w:hAnsi="Arial" w:cs="Arial"/>
          <w:u w:val="single"/>
        </w:rPr>
        <w:t>Sirdar v The Army Board &amp; The Secretary of State for Defence</w:t>
      </w:r>
      <w:r w:rsidRPr="00F56165">
        <w:rPr>
          <w:rFonts w:ascii="Arial" w:hAnsi="Arial" w:cs="Arial"/>
        </w:rPr>
        <w:t xml:space="preserve"> [1999] ECR I-7403 para 15</w:t>
      </w:r>
    </w:p>
  </w:footnote>
  <w:footnote w:id="82">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para 28</w:t>
      </w:r>
    </w:p>
  </w:footnote>
  <w:footnote w:id="83">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C-285/98 </w:t>
      </w:r>
      <w:r w:rsidRPr="00F56165">
        <w:rPr>
          <w:rFonts w:ascii="Arial" w:hAnsi="Arial" w:cs="Arial"/>
          <w:u w:val="single"/>
        </w:rPr>
        <w:t>Kreil v Bundersrepublik Deutschland</w:t>
      </w:r>
      <w:r w:rsidRPr="00F56165">
        <w:rPr>
          <w:rFonts w:ascii="Arial" w:hAnsi="Arial" w:cs="Arial"/>
        </w:rPr>
        <w:t xml:space="preserve"> [2000] ECR I-69</w:t>
      </w:r>
    </w:p>
  </w:footnote>
  <w:footnote w:id="8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00F56165" w:rsidRPr="00F56165">
        <w:rPr>
          <w:rFonts w:ascii="Arial" w:hAnsi="Arial" w:cs="Arial"/>
        </w:rPr>
        <w:t xml:space="preserve"> Op. Cit. n.71</w:t>
      </w:r>
    </w:p>
  </w:footnote>
  <w:footnote w:id="85">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For commentary see P Koutrakos, ‘Community Law and Equal Treatment in the Armed Forces’ (2000) 25 ELR 433; M Trybus, ‘Case Note’ (2000) 37 CMLRev 1433; P Koutrakos, ‘How Far is Far Enough? EC Law and the Organisation of the Armed Forces after Dory’ (2003) 66 MLR 759; and, M Trybus, ‘Sisters in Arms: European Community Law and Sex Equality in the Armed Forces’ (2003) 9 ELJ 631</w:t>
      </w:r>
    </w:p>
  </w:footnote>
  <w:footnote w:id="86">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V Basham, ‘Effecting Discrimination: Operational Effectiveness and Harassment in the British Armed Forces’ (2009) 35 AF&amp;S 728</w:t>
      </w:r>
    </w:p>
  </w:footnote>
  <w:footnote w:id="87">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The four were Jeanette Smith, Graeme Grady, Duncan Lustig-Prean and John Beckett</w:t>
      </w:r>
    </w:p>
  </w:footnote>
  <w:footnote w:id="88">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 xml:space="preserve">R v Ministry of Defence, </w:t>
      </w:r>
      <w:r w:rsidRPr="00F56165">
        <w:rPr>
          <w:rFonts w:ascii="Arial" w:hAnsi="Arial" w:cs="Arial"/>
          <w:i/>
          <w:u w:val="single"/>
        </w:rPr>
        <w:t>ex parte</w:t>
      </w:r>
      <w:r w:rsidRPr="00F56165">
        <w:rPr>
          <w:rFonts w:ascii="Arial" w:hAnsi="Arial" w:cs="Arial"/>
          <w:u w:val="single"/>
        </w:rPr>
        <w:t xml:space="preserve"> Smith and others</w:t>
      </w:r>
      <w:r w:rsidRPr="00F56165">
        <w:rPr>
          <w:rFonts w:ascii="Arial" w:hAnsi="Arial" w:cs="Arial"/>
        </w:rPr>
        <w:t xml:space="preserve"> [1996] 1 All ER 257; see M Norris, ‘Ex parte Smith: Irrationality and Human Rights’ [1996] PL 590</w:t>
      </w:r>
    </w:p>
  </w:footnote>
  <w:footnote w:id="89">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Lustig-Prean and Beckett v United Kingdom</w:t>
      </w:r>
      <w:r w:rsidRPr="00F56165">
        <w:rPr>
          <w:rFonts w:ascii="Arial" w:hAnsi="Arial" w:cs="Arial"/>
        </w:rPr>
        <w:t xml:space="preserve"> [1999] ECHR 71 and </w:t>
      </w:r>
      <w:r w:rsidRPr="00F56165">
        <w:rPr>
          <w:rFonts w:ascii="Arial" w:hAnsi="Arial" w:cs="Arial"/>
          <w:u w:val="single"/>
        </w:rPr>
        <w:t>Smith and Grady v United Kingdom</w:t>
      </w:r>
      <w:r w:rsidRPr="00F56165">
        <w:rPr>
          <w:rFonts w:ascii="Arial" w:hAnsi="Arial" w:cs="Arial"/>
        </w:rPr>
        <w:t xml:space="preserve"> [1999] ECHR 72</w:t>
      </w:r>
    </w:p>
  </w:footnote>
  <w:footnote w:id="90">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‘Armed Forces Code of Social Conduct: Policy Statement’ accessed at </w:t>
      </w:r>
      <w:hyperlink r:id="rId12" w:history="1">
        <w:r w:rsidRPr="00F56165">
          <w:rPr>
            <w:rStyle w:val="Hyperlink"/>
            <w:rFonts w:ascii="Arial" w:hAnsi="Arial" w:cs="Arial"/>
          </w:rPr>
          <w:t>http://www.mod.uk/DefenceInternet/AboutDefence/WhatWeDo/Personnel/EqualityAndDiversity/ArmedForcesCodeOfSocialConductPolicyStatement.htm</w:t>
        </w:r>
      </w:hyperlink>
      <w:r w:rsidRPr="00F56165">
        <w:rPr>
          <w:rFonts w:ascii="Arial" w:hAnsi="Arial" w:cs="Arial"/>
        </w:rPr>
        <w:t xml:space="preserve"> </w:t>
      </w:r>
    </w:p>
  </w:footnote>
  <w:footnote w:id="9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‘MOD Policy on Homosexuality; A Review on the Armed Forces Policy on Homosexuality’ accessed at </w:t>
      </w:r>
      <w:hyperlink r:id="rId13" w:history="1">
        <w:r w:rsidRPr="00F56165">
          <w:rPr>
            <w:rStyle w:val="Hyperlink"/>
            <w:rFonts w:ascii="Arial" w:hAnsi="Arial" w:cs="Arial"/>
          </w:rPr>
          <w:t>http://www.proud2serve.net/military/2000modupdate.htm</w:t>
        </w:r>
      </w:hyperlink>
      <w:r w:rsidRPr="00F56165">
        <w:rPr>
          <w:rFonts w:ascii="Arial" w:hAnsi="Arial" w:cs="Arial"/>
        </w:rPr>
        <w:t xml:space="preserve"> </w:t>
      </w:r>
    </w:p>
  </w:footnote>
  <w:footnote w:id="92">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Service Personnel Board, ‘</w:t>
      </w:r>
      <w:r w:rsidRPr="00F56165">
        <w:rPr>
          <w:rFonts w:ascii="Arial" w:hAnsi="Arial" w:cs="Arial"/>
          <w:iCs/>
        </w:rPr>
        <w:t xml:space="preserve">Tri-Service Review of the Armed Forces’ Policy on Homosexuality and Code of Social Conduct Paper 12/02’ accessed at </w:t>
      </w:r>
      <w:hyperlink r:id="rId14" w:history="1">
        <w:r w:rsidRPr="00F56165">
          <w:rPr>
            <w:rStyle w:val="Hyperlink"/>
            <w:rFonts w:ascii="Arial" w:hAnsi="Arial" w:cs="Arial"/>
            <w:iCs/>
          </w:rPr>
          <w:t>http://www.mod.uk/NR/rdonlyres/ACED4F62-2C04-4B19-AC50-E49552732385/0/impact_studies_homosexuality.pdf</w:t>
        </w:r>
      </w:hyperlink>
      <w:r w:rsidRPr="00F56165">
        <w:rPr>
          <w:rFonts w:ascii="Arial" w:hAnsi="Arial" w:cs="Arial"/>
          <w:iCs/>
        </w:rPr>
        <w:t xml:space="preserve"> </w:t>
      </w:r>
    </w:p>
  </w:footnote>
  <w:footnote w:id="93">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Op. C</w:t>
      </w:r>
      <w:r w:rsidR="00F56165" w:rsidRPr="00F56165">
        <w:rPr>
          <w:rFonts w:ascii="Arial" w:hAnsi="Arial" w:cs="Arial"/>
        </w:rPr>
        <w:t>it. n.76</w:t>
      </w:r>
    </w:p>
  </w:footnote>
  <w:footnote w:id="9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MacDonald v Advocate General for Scotland</w:t>
      </w:r>
      <w:r w:rsidRPr="00F56165">
        <w:rPr>
          <w:rFonts w:ascii="Arial" w:hAnsi="Arial" w:cs="Arial"/>
        </w:rPr>
        <w:t xml:space="preserve"> and </w:t>
      </w:r>
      <w:r w:rsidRPr="00F56165">
        <w:rPr>
          <w:rFonts w:ascii="Arial" w:hAnsi="Arial" w:cs="Arial"/>
          <w:u w:val="single"/>
        </w:rPr>
        <w:t>Pearce v Governing Body of Mayfield School</w:t>
      </w:r>
      <w:r w:rsidRPr="00F56165">
        <w:rPr>
          <w:rFonts w:ascii="Arial" w:hAnsi="Arial" w:cs="Arial"/>
        </w:rPr>
        <w:t xml:space="preserve"> [2003] ICR 937; see E Fry, S Buckley, ‘Pearce, MacDonald and the New Legislation – Three Steps Forward, Two Steps Back?’ (2003) 8 Journal of Civil Liberties 67; P Roberts, ‘Case Note’ (2003) 25 Journal of Social Welfare and Family Law 383; and, R Wintemute, ‘Sex Discrimination in MacDonald and Pearce: Why the Law Lords Chose the Wrong Comparators’ (2003) 14 KCLJ 267</w:t>
      </w:r>
    </w:p>
  </w:footnote>
  <w:footnote w:id="95">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See M Bell, ‘Employment Law Consequences of the Civil Partnership Act 2004’ (2006) 35 ILJ 179</w:t>
      </w:r>
    </w:p>
  </w:footnote>
  <w:footnote w:id="96">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SW Crawford, ‘Racial Integration in the Army – A Historical Perspective’ (1995) 111 British Army Review 24</w:t>
      </w:r>
    </w:p>
  </w:footnote>
  <w:footnote w:id="97">
    <w:p w:rsidR="00CD0C18" w:rsidRPr="00F56165" w:rsidRDefault="00CD0C18"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AW Bradley, ‘Racial Discrimination and the Public Sector’ [1991] PL 317 – the Race Relations Act 1965 exempted any act by the Crown or on Crown premises</w:t>
      </w:r>
    </w:p>
  </w:footnote>
  <w:footnote w:id="98">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JK Wither, ‘Battling Bullying in the British Army 1987-2004’ (2004) 1 Journal of Power Institutions in Post-Soviet Societies</w:t>
      </w:r>
    </w:p>
  </w:footnote>
  <w:footnote w:id="99">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Commission for Racial Equality, </w:t>
      </w:r>
      <w:r w:rsidRPr="00F56165">
        <w:rPr>
          <w:rFonts w:ascii="Arial" w:hAnsi="Arial" w:cs="Arial"/>
          <w:i/>
        </w:rPr>
        <w:t>Report of a Formal Investigation into the Ministry of Defence (Household Cavalry)</w:t>
      </w:r>
      <w:r w:rsidRPr="00F56165">
        <w:rPr>
          <w:rFonts w:ascii="Arial" w:hAnsi="Arial" w:cs="Arial"/>
        </w:rPr>
        <w:t xml:space="preserve"> (CRE, London 1996)</w:t>
      </w:r>
    </w:p>
  </w:footnote>
  <w:footnote w:id="100">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 xml:space="preserve">R v Army Board of the Defence Council </w:t>
      </w:r>
      <w:r w:rsidRPr="00F56165">
        <w:rPr>
          <w:rFonts w:ascii="Arial" w:hAnsi="Arial" w:cs="Arial"/>
          <w:i/>
          <w:u w:val="single"/>
        </w:rPr>
        <w:t>ex parte</w:t>
      </w:r>
      <w:r w:rsidRPr="00F56165">
        <w:rPr>
          <w:rFonts w:ascii="Arial" w:hAnsi="Arial" w:cs="Arial"/>
          <w:u w:val="single"/>
        </w:rPr>
        <w:t xml:space="preserve"> Anderson</w:t>
      </w:r>
      <w:r w:rsidRPr="00F56165">
        <w:rPr>
          <w:rFonts w:ascii="Arial" w:hAnsi="Arial" w:cs="Arial"/>
        </w:rPr>
        <w:t xml:space="preserve"> [1991] ICR 537</w:t>
      </w:r>
    </w:p>
  </w:footnote>
  <w:footnote w:id="10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 Dandeker, D Mason, ‘</w:t>
      </w:r>
      <w:proofErr w:type="gramStart"/>
      <w:r w:rsidRPr="00F56165">
        <w:rPr>
          <w:rFonts w:ascii="Arial" w:hAnsi="Arial" w:cs="Arial"/>
        </w:rPr>
        <w:t>The</w:t>
      </w:r>
      <w:proofErr w:type="gramEnd"/>
      <w:r w:rsidRPr="00F56165">
        <w:rPr>
          <w:rFonts w:ascii="Arial" w:hAnsi="Arial" w:cs="Arial"/>
        </w:rPr>
        <w:t xml:space="preserve"> British Armed Services and the Participation of Minority Ethnic Communities: From Equal Opportunities to Diversity?’ </w:t>
      </w:r>
      <w:proofErr w:type="gramStart"/>
      <w:r w:rsidRPr="00F56165">
        <w:rPr>
          <w:rFonts w:ascii="Arial" w:hAnsi="Arial" w:cs="Arial"/>
        </w:rPr>
        <w:t>(2001) 49 Sociological Review 219; C Dandeker, D Mason, ‘Diversifying the Uniform?</w:t>
      </w:r>
      <w:proofErr w:type="gramEnd"/>
      <w:r w:rsidRPr="00F56165">
        <w:rPr>
          <w:rFonts w:ascii="Arial" w:hAnsi="Arial" w:cs="Arial"/>
        </w:rPr>
        <w:t xml:space="preserve"> The Participation of Minority Ethnic Personnel in the British Armed Service’ (2003) 29 AF&amp;S 481</w:t>
      </w:r>
    </w:p>
  </w:footnote>
  <w:footnote w:id="102">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A Hussain, M Ishaq, ‘Scottish Pakistani Muslims’ Perceptions of the Armed Forces’ (2002) 38 Scottish Affairs; A Hussain, M Ishaq, ‘British Pakistani Muslims’ Perceptions of the Armed Forces’ (2002) 28 AF&amp;S 601; M Ishaq, A Hussein, ‘British Ethnic Minority Communities and the Armed Forces’ (2002) 31 Personnel Review 722; A Hussain, M Ishaq, ‘Promoting Equality of Opportunity in the British Armed Forces’ (2003) 3 Defence Studies 87; A Hussein, ‘Careers in the British Armed Forces: A Black African Caribbean Viewpoint’ (2003) </w:t>
      </w:r>
      <w:r w:rsidR="00F56165" w:rsidRPr="00F56165">
        <w:rPr>
          <w:rFonts w:ascii="Arial" w:hAnsi="Arial" w:cs="Arial"/>
        </w:rPr>
        <w:t>33 Journal of Black Studies 312</w:t>
      </w:r>
    </w:p>
  </w:footnote>
  <w:footnote w:id="103">
    <w:p w:rsidR="0084342F" w:rsidRPr="00F56165" w:rsidRDefault="0084342F"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A74790" w:rsidRPr="00F56165">
        <w:rPr>
          <w:rFonts w:ascii="Arial" w:hAnsi="Arial" w:cs="Arial"/>
          <w:u w:val="single"/>
        </w:rPr>
        <w:t>Ministry of Defence v DeBique</w:t>
      </w:r>
      <w:r w:rsidR="00A74790" w:rsidRPr="00F56165">
        <w:rPr>
          <w:rFonts w:ascii="Arial" w:hAnsi="Arial" w:cs="Arial"/>
        </w:rPr>
        <w:t xml:space="preserve"> </w:t>
      </w:r>
      <w:r w:rsidR="00F56165" w:rsidRPr="00F56165">
        <w:rPr>
          <w:rFonts w:ascii="Arial" w:hAnsi="Arial" w:cs="Arial"/>
        </w:rPr>
        <w:t>[2010] I</w:t>
      </w:r>
      <w:r w:rsidR="00A74790" w:rsidRPr="00F56165">
        <w:rPr>
          <w:rFonts w:ascii="Arial" w:hAnsi="Arial" w:cs="Arial"/>
        </w:rPr>
        <w:t>RLR 471</w:t>
      </w:r>
    </w:p>
  </w:footnote>
  <w:footnote w:id="10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Council Directive 2000/78/EC establishing a general framework for equal treatment in employment and occupation, OJ 2000 L303/16</w:t>
      </w:r>
    </w:p>
  </w:footnote>
  <w:footnote w:id="105">
    <w:p w:rsidR="00F72CE0" w:rsidRDefault="00F72CE0" w:rsidP="00F56165">
      <w:pPr>
        <w:pStyle w:val="FootnoteText"/>
        <w:jc w:val="both"/>
      </w:pPr>
      <w:r w:rsidRPr="00F56165">
        <w:rPr>
          <w:rStyle w:val="FootnoteReference"/>
          <w:rFonts w:ascii="Arial" w:hAnsi="Arial" w:cs="Arial"/>
        </w:rPr>
        <w:footnoteRef/>
      </w:r>
      <w:r w:rsidRPr="00F56165">
        <w:rPr>
          <w:rFonts w:ascii="Arial" w:hAnsi="Arial" w:cs="Arial"/>
        </w:rPr>
        <w:t xml:space="preserve"> Case C-144/04 </w:t>
      </w:r>
      <w:r w:rsidRPr="00F56165">
        <w:rPr>
          <w:rFonts w:ascii="Arial" w:hAnsi="Arial" w:cs="Arial"/>
          <w:u w:val="single"/>
        </w:rPr>
        <w:t>Mangold v Helm</w:t>
      </w:r>
      <w:r w:rsidRPr="00F56165">
        <w:rPr>
          <w:rFonts w:ascii="Arial" w:hAnsi="Arial" w:cs="Arial"/>
        </w:rPr>
        <w:t xml:space="preserve"> [2005] ECR I-9981</w:t>
      </w:r>
    </w:p>
  </w:footnote>
  <w:footnote w:id="106">
    <w:p w:rsidR="00F72CE0" w:rsidRPr="00F56165" w:rsidRDefault="00F72CE0"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C-555/07 </w:t>
      </w:r>
      <w:r w:rsidRPr="00F56165">
        <w:rPr>
          <w:rFonts w:ascii="Arial" w:hAnsi="Arial" w:cs="Arial"/>
          <w:u w:val="single"/>
        </w:rPr>
        <w:t>Kücükdeveci v Swedex</w:t>
      </w:r>
      <w:r w:rsidRPr="00F56165">
        <w:rPr>
          <w:rFonts w:ascii="Arial" w:hAnsi="Arial" w:cs="Arial"/>
        </w:rPr>
        <w:t>, judgment of 19 January 2010, nyr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60BA"/>
    <w:rsid w:val="000235D5"/>
    <w:rsid w:val="00024002"/>
    <w:rsid w:val="00051D33"/>
    <w:rsid w:val="0005242C"/>
    <w:rsid w:val="00073ADC"/>
    <w:rsid w:val="000943B6"/>
    <w:rsid w:val="000B4E69"/>
    <w:rsid w:val="000C07D4"/>
    <w:rsid w:val="000D05D4"/>
    <w:rsid w:val="000E707F"/>
    <w:rsid w:val="000E77A8"/>
    <w:rsid w:val="00103AE5"/>
    <w:rsid w:val="0011544A"/>
    <w:rsid w:val="00157316"/>
    <w:rsid w:val="00194556"/>
    <w:rsid w:val="001A0BC2"/>
    <w:rsid w:val="001A758F"/>
    <w:rsid w:val="001B2B84"/>
    <w:rsid w:val="0020100D"/>
    <w:rsid w:val="00224C0F"/>
    <w:rsid w:val="002327FE"/>
    <w:rsid w:val="0024539B"/>
    <w:rsid w:val="00252BC6"/>
    <w:rsid w:val="002C537A"/>
    <w:rsid w:val="002D4D3D"/>
    <w:rsid w:val="002F1E3D"/>
    <w:rsid w:val="0030016C"/>
    <w:rsid w:val="003074C3"/>
    <w:rsid w:val="00313018"/>
    <w:rsid w:val="003160BA"/>
    <w:rsid w:val="00325B80"/>
    <w:rsid w:val="003328D1"/>
    <w:rsid w:val="0034065A"/>
    <w:rsid w:val="00343615"/>
    <w:rsid w:val="00361049"/>
    <w:rsid w:val="0036455A"/>
    <w:rsid w:val="003B1F8E"/>
    <w:rsid w:val="004031CA"/>
    <w:rsid w:val="004169BD"/>
    <w:rsid w:val="004763A9"/>
    <w:rsid w:val="004A130B"/>
    <w:rsid w:val="004A4649"/>
    <w:rsid w:val="004C00AB"/>
    <w:rsid w:val="00515F1A"/>
    <w:rsid w:val="00520F1B"/>
    <w:rsid w:val="005301F9"/>
    <w:rsid w:val="00576F63"/>
    <w:rsid w:val="00583EA6"/>
    <w:rsid w:val="00592FF8"/>
    <w:rsid w:val="00600C55"/>
    <w:rsid w:val="006327CC"/>
    <w:rsid w:val="00633658"/>
    <w:rsid w:val="00653B6E"/>
    <w:rsid w:val="006570E9"/>
    <w:rsid w:val="00670B1D"/>
    <w:rsid w:val="0068495E"/>
    <w:rsid w:val="006A2E46"/>
    <w:rsid w:val="006A6A75"/>
    <w:rsid w:val="006B4570"/>
    <w:rsid w:val="006D1A4A"/>
    <w:rsid w:val="006F4F42"/>
    <w:rsid w:val="00705E2F"/>
    <w:rsid w:val="007326E7"/>
    <w:rsid w:val="007545B9"/>
    <w:rsid w:val="00756D2B"/>
    <w:rsid w:val="007651B1"/>
    <w:rsid w:val="007726EF"/>
    <w:rsid w:val="00775189"/>
    <w:rsid w:val="00791B67"/>
    <w:rsid w:val="007B2286"/>
    <w:rsid w:val="007D5B4B"/>
    <w:rsid w:val="007F5316"/>
    <w:rsid w:val="007F7156"/>
    <w:rsid w:val="00800F9E"/>
    <w:rsid w:val="00802E8A"/>
    <w:rsid w:val="00832087"/>
    <w:rsid w:val="0084342F"/>
    <w:rsid w:val="00846640"/>
    <w:rsid w:val="0087358D"/>
    <w:rsid w:val="008748A4"/>
    <w:rsid w:val="00876295"/>
    <w:rsid w:val="00895DB8"/>
    <w:rsid w:val="008D049A"/>
    <w:rsid w:val="008E5B7A"/>
    <w:rsid w:val="008F7568"/>
    <w:rsid w:val="00904C32"/>
    <w:rsid w:val="00904F8E"/>
    <w:rsid w:val="00913502"/>
    <w:rsid w:val="00914B2C"/>
    <w:rsid w:val="00922138"/>
    <w:rsid w:val="00941954"/>
    <w:rsid w:val="009442B8"/>
    <w:rsid w:val="00950A47"/>
    <w:rsid w:val="00955F43"/>
    <w:rsid w:val="00973430"/>
    <w:rsid w:val="009B2390"/>
    <w:rsid w:val="009C48B9"/>
    <w:rsid w:val="009C7FE1"/>
    <w:rsid w:val="009D033A"/>
    <w:rsid w:val="009D6795"/>
    <w:rsid w:val="009E3821"/>
    <w:rsid w:val="009F0F87"/>
    <w:rsid w:val="009F4EAD"/>
    <w:rsid w:val="009F5BB5"/>
    <w:rsid w:val="009F7945"/>
    <w:rsid w:val="009F7D38"/>
    <w:rsid w:val="00A2466B"/>
    <w:rsid w:val="00A3181C"/>
    <w:rsid w:val="00A47EEA"/>
    <w:rsid w:val="00A57D79"/>
    <w:rsid w:val="00A73E21"/>
    <w:rsid w:val="00A74790"/>
    <w:rsid w:val="00A75F5B"/>
    <w:rsid w:val="00A91982"/>
    <w:rsid w:val="00AA76DD"/>
    <w:rsid w:val="00AB14E8"/>
    <w:rsid w:val="00AE0800"/>
    <w:rsid w:val="00B0666A"/>
    <w:rsid w:val="00B3793F"/>
    <w:rsid w:val="00B40297"/>
    <w:rsid w:val="00B57025"/>
    <w:rsid w:val="00B627E2"/>
    <w:rsid w:val="00B75B25"/>
    <w:rsid w:val="00B813F5"/>
    <w:rsid w:val="00B855F7"/>
    <w:rsid w:val="00B91E7E"/>
    <w:rsid w:val="00BA1625"/>
    <w:rsid w:val="00BB651F"/>
    <w:rsid w:val="00BE29DF"/>
    <w:rsid w:val="00C236FD"/>
    <w:rsid w:val="00C2481C"/>
    <w:rsid w:val="00C360DA"/>
    <w:rsid w:val="00C669C5"/>
    <w:rsid w:val="00CA40CA"/>
    <w:rsid w:val="00CB6E0A"/>
    <w:rsid w:val="00CC1D62"/>
    <w:rsid w:val="00CC380F"/>
    <w:rsid w:val="00CD0C18"/>
    <w:rsid w:val="00CD4B5F"/>
    <w:rsid w:val="00CD4DB5"/>
    <w:rsid w:val="00CE283B"/>
    <w:rsid w:val="00D03656"/>
    <w:rsid w:val="00D10C8A"/>
    <w:rsid w:val="00D3120D"/>
    <w:rsid w:val="00D4038F"/>
    <w:rsid w:val="00D54EFD"/>
    <w:rsid w:val="00DB3A11"/>
    <w:rsid w:val="00DF492F"/>
    <w:rsid w:val="00E040FA"/>
    <w:rsid w:val="00E27BCB"/>
    <w:rsid w:val="00E42649"/>
    <w:rsid w:val="00E45D87"/>
    <w:rsid w:val="00E900A1"/>
    <w:rsid w:val="00EA4B11"/>
    <w:rsid w:val="00EB29F8"/>
    <w:rsid w:val="00EF29A3"/>
    <w:rsid w:val="00F33FB2"/>
    <w:rsid w:val="00F357F3"/>
    <w:rsid w:val="00F51581"/>
    <w:rsid w:val="00F56165"/>
    <w:rsid w:val="00F72617"/>
    <w:rsid w:val="00F72CE0"/>
    <w:rsid w:val="00F73CD4"/>
    <w:rsid w:val="00F8784A"/>
    <w:rsid w:val="00F933A3"/>
    <w:rsid w:val="00F934A5"/>
    <w:rsid w:val="00F9410D"/>
    <w:rsid w:val="00FC5E7A"/>
    <w:rsid w:val="00FE5421"/>
    <w:rsid w:val="00FF2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D87"/>
    <w:rPr>
      <w:lang w:eastAsia="en-US"/>
    </w:rPr>
  </w:style>
  <w:style w:type="character" w:styleId="FootnoteReference">
    <w:name w:val="footnote reference"/>
    <w:basedOn w:val="DefaultParagraphFont"/>
    <w:semiHidden/>
    <w:unhideWhenUsed/>
    <w:rsid w:val="00E45D87"/>
    <w:rPr>
      <w:vertAlign w:val="superscript"/>
    </w:rPr>
  </w:style>
  <w:style w:type="character" w:customStyle="1" w:styleId="apple-style-span">
    <w:name w:val="apple-style-span"/>
    <w:basedOn w:val="DefaultParagraphFont"/>
    <w:rsid w:val="007651B1"/>
  </w:style>
  <w:style w:type="character" w:customStyle="1" w:styleId="apple-converted-space">
    <w:name w:val="apple-converted-space"/>
    <w:basedOn w:val="DefaultParagraphFont"/>
    <w:rsid w:val="007651B1"/>
  </w:style>
  <w:style w:type="character" w:styleId="Hyperlink">
    <w:name w:val="Hyperlink"/>
    <w:basedOn w:val="DefaultParagraphFont"/>
    <w:uiPriority w:val="99"/>
    <w:unhideWhenUsed/>
    <w:rsid w:val="00AA76DD"/>
    <w:rPr>
      <w:color w:val="0000FF" w:themeColor="hyperlink"/>
      <w:u w:val="single"/>
    </w:rPr>
  </w:style>
  <w:style w:type="paragraph" w:styleId="Header">
    <w:name w:val="header"/>
    <w:basedOn w:val="Normal"/>
    <w:link w:val="HeaderChar"/>
    <w:uiPriority w:val="99"/>
    <w:unhideWhenUsed/>
    <w:rsid w:val="00C6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C5"/>
    <w:rPr>
      <w:sz w:val="22"/>
      <w:szCs w:val="22"/>
      <w:lang w:eastAsia="en-US"/>
    </w:rPr>
  </w:style>
  <w:style w:type="paragraph" w:styleId="Footer">
    <w:name w:val="footer"/>
    <w:basedOn w:val="Normal"/>
    <w:link w:val="FooterChar"/>
    <w:uiPriority w:val="99"/>
    <w:unhideWhenUsed/>
    <w:rsid w:val="00C66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od.uk/NR/rdonlyres/A9925990-82C2-420F-AB04-7003768CEC02/0/womenaf_fullreport.pdf" TargetMode="External"/><Relationship Id="rId13" Type="http://schemas.openxmlformats.org/officeDocument/2006/relationships/hyperlink" Target="http://www.proud2serve.net/military/2000modupdate.htm" TargetMode="External"/><Relationship Id="rId3" Type="http://schemas.openxmlformats.org/officeDocument/2006/relationships/hyperlink" Target="http://www.mod.uk/NR/rdonlyres/6D31D11A-8764-4DD8-9788-D20B5B14CA6D/0/eqdiversity_scheme2006_2009_ver1april06.pdf" TargetMode="External"/><Relationship Id="rId7" Type="http://schemas.openxmlformats.org/officeDocument/2006/relationships/hyperlink" Target="http://www.mod.uk/NR/rdonlyres/4C3078BC-DB83-4F88-AE68-4DE231C7003D/0/edsreport_200809.pdf" TargetMode="External"/><Relationship Id="rId12" Type="http://schemas.openxmlformats.org/officeDocument/2006/relationships/hyperlink" Target="http://www.mod.uk/DefenceInternet/AboutDefence/WhatWeDo/Personnel/EqualityAndDiversity/ArmedForcesCodeOfSocialConductPolicyStatement.htm" TargetMode="External"/><Relationship Id="rId2" Type="http://schemas.openxmlformats.org/officeDocument/2006/relationships/hyperlink" Target="http://webarchive.nationalarchives.gov.uk/tna/+/http://www.mod.uk/issues/racial_equality/index.html" TargetMode="External"/><Relationship Id="rId1" Type="http://schemas.openxmlformats.org/officeDocument/2006/relationships/hyperlink" Target="http://www.poli.duke.edu/civmil/cohn_literature_review.pdf" TargetMode="External"/><Relationship Id="rId6" Type="http://schemas.openxmlformats.org/officeDocument/2006/relationships/hyperlink" Target="http://www.mod.uk/NR/rdonlyres/190B0D7E-83AB-4EDF-B845-0C310EE070C0/0/annrpt_eds0607.pdf" TargetMode="External"/><Relationship Id="rId11" Type="http://schemas.openxmlformats.org/officeDocument/2006/relationships/hyperlink" Target="http://www.mod.uk/NR/rdonlyres/1B43BA95-6D58-4DA0-8E59-57C1B2734ABB/0/out.html" TargetMode="External"/><Relationship Id="rId5" Type="http://schemas.openxmlformats.org/officeDocument/2006/relationships/hyperlink" Target="http://www.mod.uk/NR/rdonlyres/190B0D7E-83AB-4EDF-B845-0C310EE070C0/0/annrpt_eds0607.pdf" TargetMode="External"/><Relationship Id="rId10" Type="http://schemas.openxmlformats.org/officeDocument/2006/relationships/hyperlink" Target="http://www.mod.uk/NR/rdonlyres/13856EA1-1D13-4872-A5EF-797D8EA3E025/0/mod_eoc_agreement.pdf" TargetMode="External"/><Relationship Id="rId4" Type="http://schemas.openxmlformats.org/officeDocument/2006/relationships/hyperlink" Target="http://www.mod.uk/NR/rdonlyres/98E4EAB6-CE02-4F39-9EF2-17DD054C5905/0/eqdivschemes20082011.p" TargetMode="External"/><Relationship Id="rId9" Type="http://schemas.openxmlformats.org/officeDocument/2006/relationships/hyperlink" Target="http://www.mod.uk/NR/rdonlyres/538E55EE-9CA4-4177-9A0B-6853A431B283/0/20060522SRReport.pdf" TargetMode="External"/><Relationship Id="rId14" Type="http://schemas.openxmlformats.org/officeDocument/2006/relationships/hyperlink" Target="http://www.mod.uk/NR/rdonlyres/ACED4F62-2C04-4B19-AC50-E49552732385/0/impact_studies_homosexua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D77C-E72C-4C88-807C-306C2AB1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21</Pages>
  <Words>5664</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16</cp:revision>
  <dcterms:created xsi:type="dcterms:W3CDTF">2010-08-31T06:46:00Z</dcterms:created>
  <dcterms:modified xsi:type="dcterms:W3CDTF">2010-09-17T16:29:00Z</dcterms:modified>
</cp:coreProperties>
</file>