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166" w:rsidRPr="00865B96" w:rsidRDefault="00973166" w:rsidP="00865B96">
      <w:pPr>
        <w:pStyle w:val="arialbodytextdouble"/>
        <w:pBdr>
          <w:bottom w:val="single" w:sz="4" w:space="1" w:color="auto"/>
        </w:pBdr>
        <w:rPr>
          <w:b/>
          <w:sz w:val="28"/>
          <w:szCs w:val="28"/>
        </w:rPr>
      </w:pPr>
      <w:r w:rsidRPr="00865B96">
        <w:rPr>
          <w:b/>
          <w:sz w:val="28"/>
          <w:szCs w:val="28"/>
        </w:rPr>
        <w:t>Chapter 1</w:t>
      </w:r>
    </w:p>
    <w:p w:rsidR="002758D3" w:rsidRPr="00865B96" w:rsidRDefault="00973166" w:rsidP="00865B96">
      <w:pPr>
        <w:pStyle w:val="arialbodytextdouble"/>
        <w:pBdr>
          <w:bottom w:val="single" w:sz="4" w:space="1" w:color="auto"/>
        </w:pBdr>
        <w:rPr>
          <w:b/>
          <w:sz w:val="28"/>
          <w:szCs w:val="28"/>
        </w:rPr>
      </w:pPr>
      <w:r w:rsidRPr="00865B96">
        <w:rPr>
          <w:b/>
          <w:sz w:val="28"/>
          <w:szCs w:val="28"/>
        </w:rPr>
        <w:t>Introduction</w:t>
      </w:r>
    </w:p>
    <w:p w:rsidR="00865B96" w:rsidRDefault="00865B96" w:rsidP="00973166">
      <w:pPr>
        <w:pStyle w:val="arialbodytextsingle"/>
      </w:pPr>
    </w:p>
    <w:p w:rsidR="00973166" w:rsidRPr="00865B96" w:rsidRDefault="00973166" w:rsidP="00973166">
      <w:pPr>
        <w:pStyle w:val="arialbodytextsingle"/>
        <w:rPr>
          <w:b/>
        </w:rPr>
      </w:pPr>
      <w:r w:rsidRPr="00865B96">
        <w:rPr>
          <w:b/>
        </w:rPr>
        <w:t>Ann-Marie Bathmaker</w:t>
      </w:r>
    </w:p>
    <w:p w:rsidR="002B601F" w:rsidRDefault="002B601F" w:rsidP="005763DE">
      <w:pPr>
        <w:pStyle w:val="arialbodytextsingle"/>
      </w:pPr>
    </w:p>
    <w:p w:rsidR="009B0911" w:rsidRDefault="009B0911" w:rsidP="009B0911">
      <w:pPr>
        <w:pStyle w:val="arialbodytextdouble"/>
      </w:pPr>
    </w:p>
    <w:p w:rsidR="009B0911" w:rsidRDefault="009B0911" w:rsidP="009B0911">
      <w:pPr>
        <w:pStyle w:val="arialbodytextdouble"/>
      </w:pPr>
      <w:r>
        <w:t xml:space="preserve">Source: </w:t>
      </w:r>
      <w:r w:rsidRPr="000D1172">
        <w:t>Bathmaker</w:t>
      </w:r>
      <w:r>
        <w:t xml:space="preserve">, A.M. (2010) Introduction IN A.M. and Harnett, P. (eds) </w:t>
      </w:r>
      <w:r w:rsidRPr="009B0911">
        <w:rPr>
          <w:i/>
        </w:rPr>
        <w:t>Exploring Learning, Identity and Power through Life History and Narrative Research</w:t>
      </w:r>
      <w:r w:rsidRPr="00B56300">
        <w:t>,</w:t>
      </w:r>
      <w:r>
        <w:t xml:space="preserve"> </w:t>
      </w:r>
      <w:smartTag w:uri="urn:schemas-microsoft-com:office:smarttags" w:element="City">
        <w:smartTag w:uri="urn:schemas-microsoft-com:office:smarttags" w:element="place">
          <w:r>
            <w:t>London</w:t>
          </w:r>
        </w:smartTag>
      </w:smartTag>
      <w:r>
        <w:t>: Routledge: 1-10.</w:t>
      </w:r>
    </w:p>
    <w:p w:rsidR="009B0911" w:rsidRDefault="009B0911" w:rsidP="00865B96">
      <w:pPr>
        <w:pStyle w:val="arialbodytextdouble"/>
      </w:pPr>
    </w:p>
    <w:p w:rsidR="009B0911" w:rsidRDefault="009B0911" w:rsidP="00865B96">
      <w:pPr>
        <w:pStyle w:val="arialbodytextdouble"/>
      </w:pPr>
    </w:p>
    <w:p w:rsidR="005763DE" w:rsidRDefault="00973166" w:rsidP="00865B96">
      <w:pPr>
        <w:pStyle w:val="arialbodytextdouble"/>
      </w:pPr>
      <w:r>
        <w:t xml:space="preserve">What </w:t>
      </w:r>
      <w:r w:rsidR="00B10AC6">
        <w:t>stories</w:t>
      </w:r>
      <w:r>
        <w:t xml:space="preserve"> can we tell of ourselves </w:t>
      </w:r>
      <w:r w:rsidR="007B5926">
        <w:t xml:space="preserve">and others </w:t>
      </w:r>
      <w:r>
        <w:t>at the beginning of the twenty first century and why should they be of interest to others?</w:t>
      </w:r>
      <w:r w:rsidR="0089358D">
        <w:t xml:space="preserve"> This collection </w:t>
      </w:r>
      <w:r w:rsidR="003C3D6E">
        <w:t>of narrative and life history research responds to these questions by offering a range of examples from diverse</w:t>
      </w:r>
      <w:r w:rsidR="003C3D6E" w:rsidRPr="00176B95">
        <w:t xml:space="preserve"> educational </w:t>
      </w:r>
      <w:r w:rsidR="003C3D6E">
        <w:t xml:space="preserve">and </w:t>
      </w:r>
      <w:r w:rsidR="00581D91">
        <w:t>social</w:t>
      </w:r>
      <w:r w:rsidR="003C3D6E">
        <w:t xml:space="preserve"> </w:t>
      </w:r>
      <w:r w:rsidR="003C3D6E" w:rsidRPr="00176B95">
        <w:t>contexts</w:t>
      </w:r>
      <w:r w:rsidR="003C3D6E">
        <w:t>.</w:t>
      </w:r>
      <w:r w:rsidR="005763DE">
        <w:t xml:space="preserve"> What we offer here are narratives, which illuminate what ‘troubles’ us. Writing these narratives has enabled us, as educators and researchers who are concerned with learning, and with what it means to have opportunities to engage in learning, to explore how that is bound up with </w:t>
      </w:r>
      <w:r w:rsidR="00137509">
        <w:t xml:space="preserve">identity and </w:t>
      </w:r>
      <w:r w:rsidR="005763DE">
        <w:t xml:space="preserve">power, </w:t>
      </w:r>
      <w:r w:rsidR="00137509">
        <w:t xml:space="preserve">and with the relation between individual agency and social </w:t>
      </w:r>
      <w:r w:rsidR="005763DE">
        <w:t>structure. Narratives have helped us to do what C. Wright Mills (1970: 248) would refer to as linking ‘personal troubles’ to ‘public issues’.</w:t>
      </w:r>
    </w:p>
    <w:p w:rsidR="00865B96" w:rsidRDefault="00865B96" w:rsidP="00865B96">
      <w:pPr>
        <w:pStyle w:val="arialbodytextdouble"/>
      </w:pPr>
    </w:p>
    <w:p w:rsidR="00B10AC6" w:rsidRDefault="004A4E0F" w:rsidP="00865B96">
      <w:pPr>
        <w:pStyle w:val="arialbodytextdouble"/>
      </w:pPr>
      <w:r>
        <w:t xml:space="preserve">How the connections between personal and public concerns </w:t>
      </w:r>
      <w:r w:rsidR="00B10AC6">
        <w:t>may</w:t>
      </w:r>
      <w:r>
        <w:t xml:space="preserve"> be understood</w:t>
      </w:r>
      <w:r w:rsidR="00D33BEA">
        <w:t xml:space="preserve"> and interpreted</w:t>
      </w:r>
      <w:r w:rsidR="00B10AC6">
        <w:t xml:space="preserve"> </w:t>
      </w:r>
      <w:r w:rsidR="00D33BEA">
        <w:t xml:space="preserve">are important questions for narrative and </w:t>
      </w:r>
      <w:r w:rsidR="00BA0B4E">
        <w:t xml:space="preserve">life history </w:t>
      </w:r>
      <w:r w:rsidR="00A8501A">
        <w:t>research</w:t>
      </w:r>
      <w:r w:rsidR="00100759">
        <w:t xml:space="preserve">. This is </w:t>
      </w:r>
      <w:r w:rsidR="00D33BEA">
        <w:t xml:space="preserve">particularly </w:t>
      </w:r>
      <w:r w:rsidR="00100759">
        <w:t xml:space="preserve">so </w:t>
      </w:r>
      <w:r w:rsidR="00D33BEA">
        <w:t>at a time when such research is</w:t>
      </w:r>
      <w:r w:rsidR="00A8501A">
        <w:t xml:space="preserve"> </w:t>
      </w:r>
      <w:r w:rsidR="00A8501A">
        <w:lastRenderedPageBreak/>
        <w:t>shaped by ‘the ubiquity of personal narratives in contemporary Weste</w:t>
      </w:r>
      <w:r w:rsidR="00811769">
        <w:t>rn culture and politics’ (Chase</w:t>
      </w:r>
      <w:r w:rsidR="00A8501A">
        <w:t xml:space="preserve"> 2005: 669)</w:t>
      </w:r>
      <w:r w:rsidR="00745C93">
        <w:t xml:space="preserve">. </w:t>
      </w:r>
      <w:r w:rsidR="00665251">
        <w:t xml:space="preserve">Our news is filled with personal stories of success and despair, our television is </w:t>
      </w:r>
      <w:r w:rsidR="00904342">
        <w:t>saturated</w:t>
      </w:r>
      <w:r w:rsidR="00665251">
        <w:t xml:space="preserve"> with the melodrama of the ‘real’ lives of ‘ordinary’ individuals staged on TV through contrived scenarios, produced for entertainment, focusing on the personal and the spectacular (</w:t>
      </w:r>
      <w:r w:rsidR="00924A75">
        <w:t xml:space="preserve">Wood and </w:t>
      </w:r>
      <w:r w:rsidR="00811769">
        <w:t>Skeggs</w:t>
      </w:r>
      <w:r w:rsidR="00665251">
        <w:t xml:space="preserve"> </w:t>
      </w:r>
      <w:r w:rsidR="00924A75">
        <w:t>2008</w:t>
      </w:r>
      <w:r w:rsidR="00665251">
        <w:t>)</w:t>
      </w:r>
      <w:r w:rsidR="00CE57B2">
        <w:t xml:space="preserve">, and our policymakers use individual narrative vignettes to promote their causes. </w:t>
      </w:r>
      <w:r w:rsidR="00BA0B4E">
        <w:t xml:space="preserve">As Chase cautions, we need to be </w:t>
      </w:r>
      <w:r w:rsidR="006634D6">
        <w:t xml:space="preserve">wary </w:t>
      </w:r>
      <w:r w:rsidR="00BA0B4E">
        <w:t>of ‘the extraordinary self-conscious fascination with story telling th</w:t>
      </w:r>
      <w:r w:rsidR="00811769">
        <w:t>at prevails at present.’ (Chase</w:t>
      </w:r>
      <w:r w:rsidR="00BA0B4E">
        <w:t xml:space="preserve"> 2005: 212) </w:t>
      </w:r>
      <w:r w:rsidR="007C4E74">
        <w:t xml:space="preserve">The creation of what </w:t>
      </w:r>
      <w:r w:rsidR="0040609D">
        <w:t xml:space="preserve">Berlant </w:t>
      </w:r>
      <w:r w:rsidR="001A64E0">
        <w:t xml:space="preserve">(2008) calls ‘intimate publics’ </w:t>
      </w:r>
      <w:r w:rsidR="00B544A5">
        <w:t>through such story telling</w:t>
      </w:r>
      <w:r w:rsidR="0040609D">
        <w:t xml:space="preserve"> links to </w:t>
      </w:r>
      <w:r w:rsidR="00665251">
        <w:t>political processes that work at the level of sensati</w:t>
      </w:r>
      <w:r w:rsidR="00811769">
        <w:t>on and emotion (Wood and Skeggs</w:t>
      </w:r>
      <w:r w:rsidR="00665251">
        <w:t xml:space="preserve"> </w:t>
      </w:r>
      <w:r w:rsidR="00924A75">
        <w:t>2008</w:t>
      </w:r>
      <w:r w:rsidR="00665251">
        <w:t>)</w:t>
      </w:r>
      <w:r w:rsidR="00852CA7">
        <w:t xml:space="preserve">. </w:t>
      </w:r>
      <w:r w:rsidR="00B10AC6">
        <w:t>In educati</w:t>
      </w:r>
      <w:r w:rsidR="00746DBF">
        <w:t>onal contexts, Ecclestone (2004; 2007</w:t>
      </w:r>
      <w:r w:rsidR="00B10AC6">
        <w:t>) has raised concerns about what she describes as a therapeutic turn, where students are encouraged to tell their personal stories and explore their emotions in the public space of schools. Though not intended for sensation and spectacle, Ecclestone argues that such practices diminish individuals and provide</w:t>
      </w:r>
      <w:r w:rsidR="00B10AC6" w:rsidRPr="008333DA">
        <w:t xml:space="preserve"> the state with new opportunities for surveillance and control.</w:t>
      </w:r>
    </w:p>
    <w:p w:rsidR="00865B96" w:rsidRDefault="00865B96" w:rsidP="00865B96">
      <w:pPr>
        <w:pStyle w:val="arialbodytextdouble"/>
      </w:pPr>
    </w:p>
    <w:p w:rsidR="009F0301" w:rsidRDefault="00B544A5" w:rsidP="00865B96">
      <w:pPr>
        <w:pStyle w:val="arialbodytextdouble"/>
      </w:pPr>
      <w:r>
        <w:t xml:space="preserve">Narrative and life history research </w:t>
      </w:r>
      <w:r w:rsidR="008D0A8D">
        <w:t xml:space="preserve">face </w:t>
      </w:r>
      <w:r w:rsidR="00137509">
        <w:t xml:space="preserve">the challenge that they too </w:t>
      </w:r>
      <w:r w:rsidR="009B7E12">
        <w:t>may open up personal liv</w:t>
      </w:r>
      <w:r w:rsidR="00C37D58">
        <w:t xml:space="preserve">es and experience for scrutiny, </w:t>
      </w:r>
      <w:r w:rsidR="003716CC">
        <w:t>but do</w:t>
      </w:r>
      <w:r w:rsidR="00C37D58">
        <w:t xml:space="preserve"> no more than satisfy </w:t>
      </w:r>
      <w:r w:rsidR="00B8391E">
        <w:t xml:space="preserve">the </w:t>
      </w:r>
      <w:r w:rsidR="00C37D58">
        <w:t>curiosity</w:t>
      </w:r>
      <w:r w:rsidR="00B8391E">
        <w:t xml:space="preserve"> of a wider audience</w:t>
      </w:r>
      <w:r w:rsidR="003716CC">
        <w:t>, if this</w:t>
      </w:r>
      <w:r w:rsidR="00C37D58">
        <w:t xml:space="preserve"> is not linked to what Lincoln and Denzin (2005: 1117) call ‘an engaged social science’. </w:t>
      </w:r>
      <w:r w:rsidR="00353C86">
        <w:t xml:space="preserve">This is what </w:t>
      </w:r>
      <w:r w:rsidR="00DD229D">
        <w:t xml:space="preserve">Goodson </w:t>
      </w:r>
      <w:r w:rsidR="009F0301">
        <w:t xml:space="preserve">and Sikes (2001) mean when they make </w:t>
      </w:r>
      <w:r w:rsidR="00DD229D">
        <w:t xml:space="preserve">the distinction between life story and life history. </w:t>
      </w:r>
      <w:r w:rsidR="00AE099F">
        <w:t xml:space="preserve">Life stories </w:t>
      </w:r>
      <w:r w:rsidR="006E0FE4">
        <w:t>may be a starting point, the initial exploration of a life as lived, but l</w:t>
      </w:r>
      <w:r w:rsidR="00DD229D">
        <w:t xml:space="preserve">ife history </w:t>
      </w:r>
      <w:r w:rsidR="00BE2DBB">
        <w:t xml:space="preserve">grounds </w:t>
      </w:r>
      <w:r w:rsidR="006E0FE4">
        <w:t>these stories of personal experience</w:t>
      </w:r>
      <w:r w:rsidR="00BE2DBB">
        <w:t xml:space="preserve"> in the</w:t>
      </w:r>
      <w:r w:rsidR="009F0301">
        <w:t>ir</w:t>
      </w:r>
      <w:r w:rsidR="00BE2DBB">
        <w:t xml:space="preserve"> </w:t>
      </w:r>
      <w:r w:rsidR="00BE2DBB">
        <w:lastRenderedPageBreak/>
        <w:t>wider social and historical context, and pays</w:t>
      </w:r>
      <w:r w:rsidR="00DD229D">
        <w:t xml:space="preserve"> attention to social relations of power. </w:t>
      </w:r>
    </w:p>
    <w:p w:rsidR="00865B96" w:rsidRDefault="00865B96" w:rsidP="00865B96">
      <w:pPr>
        <w:pStyle w:val="arialbodytextdouble"/>
      </w:pPr>
    </w:p>
    <w:p w:rsidR="008121AF" w:rsidRDefault="008121AF" w:rsidP="00865B96">
      <w:pPr>
        <w:pStyle w:val="arialbodytextdouble"/>
      </w:pPr>
      <w:r w:rsidRPr="008121AF">
        <w:t xml:space="preserve">The distinction above hints at the multiple layering of </w:t>
      </w:r>
      <w:r>
        <w:t>narrative research.</w:t>
      </w:r>
      <w:r w:rsidR="00BA587F">
        <w:t xml:space="preserve"> An important recognition in narrative inquiry is that narratives are </w:t>
      </w:r>
      <w:r w:rsidR="00C77998">
        <w:t xml:space="preserve">collaborative </w:t>
      </w:r>
      <w:r w:rsidR="00BA587F">
        <w:t xml:space="preserve">constructions, </w:t>
      </w:r>
      <w:r w:rsidR="0036775C">
        <w:t>and involve</w:t>
      </w:r>
      <w:r w:rsidR="00BA587F">
        <w:t xml:space="preserve"> different participants in their construction. These include the subjects of the inquiry (who might be termed the ‘respondents’ in other forms of research), the researchers (who might also be the ‘subject’ of the research), others who bec</w:t>
      </w:r>
      <w:r w:rsidR="006C19A0">
        <w:t>ome involved in the inquiry (</w:t>
      </w:r>
      <w:r w:rsidR="00BA587F">
        <w:t xml:space="preserve">such as </w:t>
      </w:r>
      <w:r w:rsidR="006C19A0">
        <w:t xml:space="preserve">the bi-lingual </w:t>
      </w:r>
      <w:r w:rsidR="00BA587F">
        <w:t>interpreter in Jane Andrews’ chapter in this volume</w:t>
      </w:r>
      <w:r w:rsidR="006C19A0">
        <w:t>)</w:t>
      </w:r>
      <w:r w:rsidR="00BA587F">
        <w:t>, as well as the reader</w:t>
      </w:r>
      <w:r w:rsidR="004C015D">
        <w:t>s</w:t>
      </w:r>
      <w:r w:rsidR="00BA587F">
        <w:t xml:space="preserve">, who will </w:t>
      </w:r>
      <w:r w:rsidR="00443D24">
        <w:t>form</w:t>
      </w:r>
      <w:r w:rsidR="00BA587F">
        <w:t xml:space="preserve"> their own construction of the text that is presented.</w:t>
      </w:r>
    </w:p>
    <w:p w:rsidR="00865B96" w:rsidRDefault="00865B96" w:rsidP="00865B96">
      <w:pPr>
        <w:pStyle w:val="arialbodytextdouble"/>
      </w:pPr>
    </w:p>
    <w:p w:rsidR="006C19A0" w:rsidRDefault="006C19A0" w:rsidP="006C19A0">
      <w:pPr>
        <w:pStyle w:val="Heading3"/>
      </w:pPr>
      <w:r>
        <w:t>What work can our narratives do?</w:t>
      </w:r>
    </w:p>
    <w:p w:rsidR="00865B96" w:rsidRDefault="00865B96" w:rsidP="00865B96">
      <w:pPr>
        <w:pStyle w:val="arialbodytextdouble"/>
      </w:pPr>
    </w:p>
    <w:p w:rsidR="00A94557" w:rsidRDefault="00571348" w:rsidP="00865B96">
      <w:pPr>
        <w:pStyle w:val="arialbodytextdouble"/>
      </w:pPr>
      <w:r>
        <w:t xml:space="preserve">But we are still </w:t>
      </w:r>
      <w:r w:rsidR="00E1435C">
        <w:t>faced</w:t>
      </w:r>
      <w:r w:rsidR="006539D2">
        <w:t xml:space="preserve"> with questions of </w:t>
      </w:r>
      <w:r w:rsidR="008D0A8D">
        <w:t xml:space="preserve">what work </w:t>
      </w:r>
      <w:r w:rsidR="006539D2">
        <w:t>narratives</w:t>
      </w:r>
      <w:r w:rsidR="008D0A8D">
        <w:t xml:space="preserve"> can do, what insights a study of individual </w:t>
      </w:r>
      <w:r w:rsidR="00DD229D">
        <w:t xml:space="preserve">accounts </w:t>
      </w:r>
      <w:r w:rsidR="008D0A8D">
        <w:t>can give us, and how we can learn from a study of the singular.</w:t>
      </w:r>
      <w:r w:rsidR="004E20F7">
        <w:t xml:space="preserve"> </w:t>
      </w:r>
      <w:r w:rsidR="00E25550">
        <w:t xml:space="preserve">An essential aspect </w:t>
      </w:r>
      <w:r w:rsidR="008F4CD9">
        <w:t xml:space="preserve">of </w:t>
      </w:r>
      <w:r w:rsidR="00E25550" w:rsidRPr="00492A10">
        <w:t>data relating to the singular and particular rather than to large samples and statistical generalisability</w:t>
      </w:r>
      <w:r w:rsidR="00E25550">
        <w:t xml:space="preserve"> is that </w:t>
      </w:r>
      <w:r w:rsidR="00E500E6">
        <w:t>‘good narratives typically approach the complexities and contradictions of real life.’ (</w:t>
      </w:r>
      <w:r w:rsidR="00811769">
        <w:t>Flyvbjerg</w:t>
      </w:r>
      <w:r w:rsidR="00E25550">
        <w:t xml:space="preserve"> </w:t>
      </w:r>
      <w:r w:rsidR="00E500E6">
        <w:t xml:space="preserve">2006: 237) They reveal ambiguity rather than tidy it away. </w:t>
      </w:r>
      <w:r w:rsidR="00E25550">
        <w:t xml:space="preserve">In Hodkinson and Hodkinson’s words (2001: 4), individual cases ‘retain more of the “noise” of real life than many other types of research.’ Indeed, </w:t>
      </w:r>
      <w:r w:rsidR="00443D24">
        <w:t xml:space="preserve">as they argue, </w:t>
      </w:r>
      <w:r w:rsidR="00E25550">
        <w:t>other forms of research aim to exclude noise, yet ‘the excluded noise may be a highly significant part of the story.’</w:t>
      </w:r>
      <w:r w:rsidR="00AE62FE">
        <w:t xml:space="preserve"> </w:t>
      </w:r>
      <w:r>
        <w:t xml:space="preserve">This emphasis on context-dependent knowledge </w:t>
      </w:r>
      <w:r w:rsidR="00F9366B">
        <w:t xml:space="preserve">makes it possible to develop </w:t>
      </w:r>
      <w:r w:rsidR="00F9366B">
        <w:lastRenderedPageBreak/>
        <w:t>a nuanced view of reality, including the view that human behaviour is not simply about rule-governed acts</w:t>
      </w:r>
      <w:r w:rsidR="004C025B">
        <w:t xml:space="preserve"> (Flyv</w:t>
      </w:r>
      <w:r w:rsidR="00811769">
        <w:t>bjerg</w:t>
      </w:r>
      <w:r w:rsidR="00E25550">
        <w:t xml:space="preserve"> 2006)</w:t>
      </w:r>
      <w:r w:rsidR="00F9366B">
        <w:t xml:space="preserve">. </w:t>
      </w:r>
      <w:r w:rsidR="008F4CD9">
        <w:t xml:space="preserve">Individual cases and narratives can </w:t>
      </w:r>
      <w:r w:rsidR="00513C77">
        <w:t xml:space="preserve">in this way </w:t>
      </w:r>
      <w:r w:rsidR="008F4CD9">
        <w:t>help us to understand complex inter-relatio</w:t>
      </w:r>
      <w:r w:rsidR="00811769">
        <w:t>nships (Hodkinson and Hodkinson</w:t>
      </w:r>
      <w:r w:rsidR="008F4CD9">
        <w:t xml:space="preserve"> 2001).</w:t>
      </w:r>
      <w:r w:rsidR="004C025B">
        <w:t xml:space="preserve"> </w:t>
      </w:r>
    </w:p>
    <w:p w:rsidR="00865B96" w:rsidRDefault="00865B96" w:rsidP="00865B96">
      <w:pPr>
        <w:pStyle w:val="arialbodytextdouble"/>
      </w:pPr>
    </w:p>
    <w:p w:rsidR="00B87D5E" w:rsidRDefault="00973AD8" w:rsidP="00865B96">
      <w:pPr>
        <w:pStyle w:val="arialbodytextdouble"/>
      </w:pPr>
      <w:r>
        <w:t>I</w:t>
      </w:r>
      <w:r w:rsidR="00353C86">
        <w:t>n writing the chapters in this book,</w:t>
      </w:r>
      <w:r w:rsidR="002D017C">
        <w:t xml:space="preserve"> it is</w:t>
      </w:r>
      <w:r w:rsidR="00353C86">
        <w:t xml:space="preserve"> </w:t>
      </w:r>
      <w:r w:rsidR="00443D24">
        <w:t xml:space="preserve">the detail </w:t>
      </w:r>
      <w:r w:rsidR="002D017C">
        <w:t xml:space="preserve">of everyday </w:t>
      </w:r>
      <w:r w:rsidR="002D017C" w:rsidRPr="002D017C">
        <w:t>life that</w:t>
      </w:r>
      <w:r w:rsidR="00443D24">
        <w:t xml:space="preserve"> we</w:t>
      </w:r>
      <w:r w:rsidR="002D017C">
        <w:t xml:space="preserve"> have</w:t>
      </w:r>
      <w:r w:rsidR="00443D24">
        <w:t xml:space="preserve"> aimed to explore</w:t>
      </w:r>
      <w:r w:rsidR="00353C86">
        <w:t xml:space="preserve">. The title of this volume, </w:t>
      </w:r>
      <w:r w:rsidR="00353C86" w:rsidRPr="00656E8C">
        <w:rPr>
          <w:i/>
        </w:rPr>
        <w:t>Exploring learning, identity and power through life history and narrative research</w:t>
      </w:r>
      <w:r w:rsidR="00353C86">
        <w:rPr>
          <w:i/>
        </w:rPr>
        <w:t xml:space="preserve">, </w:t>
      </w:r>
      <w:r w:rsidR="00353C86">
        <w:t xml:space="preserve">identifies the key threads that run through the chapters. All of the chapters are concerned with learning, sometimes, but not always, in formal educational contexts. Questions of identity and power weave in and out of the chapters, offering a diversity of insights into the constructions of identity, and the workings of power, and also showing the spaces and limitations for the taking of power through individual agency. </w:t>
      </w:r>
      <w:r w:rsidR="003D1B66">
        <w:t>While the</w:t>
      </w:r>
      <w:r w:rsidR="00B125A9">
        <w:t xml:space="preserve"> authors of each chapter</w:t>
      </w:r>
      <w:r w:rsidR="003D1B66">
        <w:t xml:space="preserve"> offer their own answers to </w:t>
      </w:r>
      <w:r w:rsidR="00B125A9">
        <w:t>th</w:t>
      </w:r>
      <w:r w:rsidR="00353C86">
        <w:t xml:space="preserve">e question of the purposes of their narratives, </w:t>
      </w:r>
      <w:r w:rsidR="00B125A9">
        <w:t>I want</w:t>
      </w:r>
      <w:r w:rsidR="000D4E6C">
        <w:t xml:space="preserve"> here to </w:t>
      </w:r>
      <w:r w:rsidR="00FD530B">
        <w:t xml:space="preserve">emphasise what is crucial to me, </w:t>
      </w:r>
      <w:r w:rsidR="00AE62FE">
        <w:t xml:space="preserve">which is the possibility that </w:t>
      </w:r>
      <w:r w:rsidR="00B87D5E">
        <w:t>narrative a</w:t>
      </w:r>
      <w:r w:rsidR="00AD570D">
        <w:t>nd life history research might ‘</w:t>
      </w:r>
      <w:r w:rsidR="00B87D5E">
        <w:t xml:space="preserve">speak </w:t>
      </w:r>
      <w:r w:rsidR="00AD570D">
        <w:t>truth to power’</w:t>
      </w:r>
      <w:r w:rsidR="00811769">
        <w:t xml:space="preserve"> (Coffield</w:t>
      </w:r>
      <w:r w:rsidR="00B87D5E">
        <w:t xml:space="preserve"> </w:t>
      </w:r>
      <w:r w:rsidR="00AD570D">
        <w:t>1999</w:t>
      </w:r>
      <w:r w:rsidR="008018F2">
        <w:t>; Watts 2008)</w:t>
      </w:r>
      <w:r w:rsidR="00A541B3">
        <w:t xml:space="preserve">. By this, I mean the ways in which narrative inquiry, </w:t>
      </w:r>
      <w:r w:rsidR="00640589">
        <w:t xml:space="preserve">through rich accounts of the </w:t>
      </w:r>
      <w:r w:rsidR="00640589" w:rsidRPr="00A541B3">
        <w:t>complexities</w:t>
      </w:r>
      <w:r w:rsidR="00327372">
        <w:t xml:space="preserve"> </w:t>
      </w:r>
      <w:r w:rsidR="00640589">
        <w:t>of real life</w:t>
      </w:r>
      <w:r w:rsidR="00A541B3">
        <w:t xml:space="preserve"> and an emphasis on the particular, may call into question dominant narratives that do not match the experience of life as lived.</w:t>
      </w:r>
    </w:p>
    <w:p w:rsidR="00A541B3" w:rsidRDefault="00A541B3" w:rsidP="00865B96">
      <w:pPr>
        <w:pStyle w:val="arialbodytextdouble"/>
      </w:pPr>
    </w:p>
    <w:p w:rsidR="0012357E" w:rsidRDefault="00FC4515" w:rsidP="00865B96">
      <w:pPr>
        <w:pStyle w:val="arialbodytextdouble"/>
      </w:pPr>
      <w:r>
        <w:t xml:space="preserve">A significant and important feature of narrative and life history research is that they </w:t>
      </w:r>
      <w:r w:rsidR="007910F9">
        <w:t>provide</w:t>
      </w:r>
      <w:r w:rsidR="00C65522">
        <w:t xml:space="preserve"> a means of getting closer to the experience of those whose lives </w:t>
      </w:r>
      <w:r w:rsidR="00EF19CE">
        <w:t xml:space="preserve">and </w:t>
      </w:r>
      <w:r w:rsidR="00C65522">
        <w:t>histories go unheard, unseen, undocumented - ordinary, marginalised and silenced live</w:t>
      </w:r>
      <w:r w:rsidR="00811769">
        <w:t>s (Riessman</w:t>
      </w:r>
      <w:r w:rsidR="0070024E">
        <w:t xml:space="preserve"> 2008). </w:t>
      </w:r>
      <w:r w:rsidR="00EF19CE">
        <w:t xml:space="preserve">Riessman </w:t>
      </w:r>
      <w:r w:rsidR="007910F9">
        <w:t xml:space="preserve">emphasises how </w:t>
      </w:r>
      <w:r w:rsidR="00B125A9">
        <w:t xml:space="preserve">‘Narratives </w:t>
      </w:r>
      <w:r w:rsidR="00B125A9">
        <w:lastRenderedPageBreak/>
        <w:t xml:space="preserve">invite us as listeners, readers, and viewers to enter the perspective of the </w:t>
      </w:r>
      <w:r w:rsidR="00EF19CE">
        <w:t xml:space="preserve">narrator’ (2008: 9), that is, the person who is telling their own story to the researcher. This is very different to the way that reality TV encourages us to become voyeurs in the spectacle of the lives of others. </w:t>
      </w:r>
      <w:r w:rsidR="0012357E">
        <w:t xml:space="preserve">Narrative research respects individuals as subjects, with both histories and intentions. </w:t>
      </w:r>
      <w:r w:rsidR="00865B96">
        <w:t xml:space="preserve"> </w:t>
      </w:r>
    </w:p>
    <w:p w:rsidR="00865B96" w:rsidRDefault="00865B96" w:rsidP="00865B96">
      <w:pPr>
        <w:pStyle w:val="arialbodytextdouble"/>
      </w:pPr>
    </w:p>
    <w:p w:rsidR="00443D24" w:rsidRDefault="00443D24" w:rsidP="00443D24">
      <w:pPr>
        <w:pStyle w:val="Heading3"/>
      </w:pPr>
      <w:r>
        <w:t>Exploring identity/ies</w:t>
      </w:r>
    </w:p>
    <w:p w:rsidR="00865B96" w:rsidRDefault="00865B96" w:rsidP="004E0E6C">
      <w:pPr>
        <w:pStyle w:val="arialbodytextsingle"/>
      </w:pPr>
    </w:p>
    <w:p w:rsidR="004E0E6C" w:rsidRDefault="000130C5" w:rsidP="00865B96">
      <w:pPr>
        <w:pStyle w:val="arialbodytextdouble"/>
      </w:pPr>
      <w:r>
        <w:t>In focusing on the detail of individual lives, a major concern in narrative inquiry is the construction and enacting of identity/ies.</w:t>
      </w:r>
      <w:r w:rsidR="00FC4515">
        <w:t xml:space="preserve"> </w:t>
      </w:r>
      <w:r>
        <w:t xml:space="preserve">Why does identity matter, and why does it matter now? </w:t>
      </w:r>
      <w:r w:rsidR="002442A2">
        <w:t xml:space="preserve">McCarthey and Moje </w:t>
      </w:r>
      <w:r>
        <w:t xml:space="preserve">(2002) </w:t>
      </w:r>
      <w:r w:rsidR="004B0A27">
        <w:t>argue</w:t>
      </w:r>
      <w:r>
        <w:t xml:space="preserve"> that identity matters, both because identiti</w:t>
      </w:r>
      <w:r w:rsidR="00FC4515">
        <w:t xml:space="preserve">es shape people’s practices and </w:t>
      </w:r>
      <w:r w:rsidR="004E0E6C">
        <w:t>‘because people can be understood by others in particular ways, and people act toward one another depending on such understandings and positio</w:t>
      </w:r>
      <w:r w:rsidR="002442A2">
        <w:t>nings.’ (McCarth</w:t>
      </w:r>
      <w:r w:rsidR="00811769">
        <w:t>ey and Moje</w:t>
      </w:r>
      <w:r w:rsidR="004E0E6C">
        <w:t xml:space="preserve"> 228-9)</w:t>
      </w:r>
    </w:p>
    <w:p w:rsidR="00865B96" w:rsidRDefault="00865B96" w:rsidP="00865B96">
      <w:pPr>
        <w:pStyle w:val="arialbodytextdouble"/>
      </w:pPr>
    </w:p>
    <w:p w:rsidR="00A8501A" w:rsidRDefault="00FC4515" w:rsidP="00865B96">
      <w:pPr>
        <w:pStyle w:val="arialbodytextdouble"/>
      </w:pPr>
      <w:r>
        <w:t xml:space="preserve">At the present time, the significance of identity is heightened by </w:t>
      </w:r>
      <w:r w:rsidR="00E460AF">
        <w:t xml:space="preserve">analyses </w:t>
      </w:r>
      <w:r w:rsidR="00DD229D">
        <w:t>that</w:t>
      </w:r>
      <w:r w:rsidR="00E460AF">
        <w:t xml:space="preserve"> point to the breakdown of </w:t>
      </w:r>
      <w:r w:rsidR="00DD229D">
        <w:t xml:space="preserve">the </w:t>
      </w:r>
      <w:r w:rsidR="00E460AF">
        <w:t>set ‘trajectories’ for people’s lives</w:t>
      </w:r>
      <w:r w:rsidR="00521602">
        <w:t xml:space="preserve">. These trajectories </w:t>
      </w:r>
      <w:r w:rsidR="00E460AF">
        <w:t>may have formed a common experience according to class, gender and ethnic origin in the past (</w:t>
      </w:r>
      <w:r w:rsidR="00811769">
        <w:t>Beck</w:t>
      </w:r>
      <w:r w:rsidR="001A64E0">
        <w:t xml:space="preserve"> 1992; Giddens 1991</w:t>
      </w:r>
      <w:r w:rsidR="00521602">
        <w:t>), but t</w:t>
      </w:r>
      <w:r w:rsidR="00E460AF">
        <w:t>here is no longer a script that can be lived out in a relatively prescribed way. We are forced to cobble together a biography in Beck’s (</w:t>
      </w:r>
      <w:r w:rsidR="0036775C">
        <w:t>1992</w:t>
      </w:r>
      <w:r w:rsidR="00E460AF">
        <w:t xml:space="preserve">) words, to construct our identities, rather than just live out a predetermined path through life. The implication is that it is no longer possible </w:t>
      </w:r>
      <w:r w:rsidR="00E460AF" w:rsidRPr="001B7D98">
        <w:rPr>
          <w:i/>
        </w:rPr>
        <w:t>not</w:t>
      </w:r>
      <w:r w:rsidR="00E460AF">
        <w:t xml:space="preserve"> to work on the self.</w:t>
      </w:r>
      <w:r w:rsidR="00A42017">
        <w:t xml:space="preserve"> </w:t>
      </w:r>
    </w:p>
    <w:p w:rsidR="00865B96" w:rsidRDefault="00865B96" w:rsidP="00865B96">
      <w:pPr>
        <w:pStyle w:val="arialbodytextdouble"/>
      </w:pPr>
    </w:p>
    <w:p w:rsidR="004C7291" w:rsidRDefault="00A42017" w:rsidP="00865B96">
      <w:pPr>
        <w:pStyle w:val="arialbodytextdouble"/>
      </w:pPr>
      <w:r>
        <w:lastRenderedPageBreak/>
        <w:t xml:space="preserve">Narrative research is </w:t>
      </w:r>
      <w:r w:rsidR="004B0A27">
        <w:t xml:space="preserve">therefore </w:t>
      </w:r>
      <w:r>
        <w:t>seen as providing opportunities and spaces for research participants as well as researchers. Riessman (2008) suggests that encouraging</w:t>
      </w:r>
      <w:r w:rsidR="00C84F20">
        <w:t xml:space="preserve"> and allowing people to tell their narratives to us as researchers allows </w:t>
      </w:r>
      <w:r w:rsidR="00E460AF">
        <w:t>participants to negotiate their identities and</w:t>
      </w:r>
      <w:r w:rsidR="00C84F20">
        <w:t xml:space="preserve"> to m</w:t>
      </w:r>
      <w:r w:rsidR="00E460AF">
        <w:t>a</w:t>
      </w:r>
      <w:r w:rsidR="00100BAA">
        <w:t>ke meaning of their experience,</w:t>
      </w:r>
      <w:r w:rsidR="003566D6">
        <w:t xml:space="preserve"> </w:t>
      </w:r>
      <w:r w:rsidR="004B0A27">
        <w:t xml:space="preserve">and Lieblich et al (1998: 7) comment similarly: ‘We know or discover ourselves, and reveal ourselves to others, by the stories we tell.’ </w:t>
      </w:r>
    </w:p>
    <w:p w:rsidR="00865B96" w:rsidRDefault="00865B96" w:rsidP="00865B96">
      <w:pPr>
        <w:pStyle w:val="arialbodytextdouble"/>
      </w:pPr>
    </w:p>
    <w:p w:rsidR="00EF65BF" w:rsidRDefault="004C7291" w:rsidP="00865B96">
      <w:pPr>
        <w:pStyle w:val="arialbodytextdouble"/>
      </w:pPr>
      <w:r>
        <w:t>In this respect, n</w:t>
      </w:r>
      <w:r w:rsidR="008A398D" w:rsidRPr="00955C49">
        <w:t xml:space="preserve">arrative and life history research are strongly associated with moves to restore individual agency, that is, to focus on the ways in which individuals may choose to shape their own lives, and a shift away from </w:t>
      </w:r>
      <w:r w:rsidR="008A398D">
        <w:t xml:space="preserve">what Plummer (2001: 4) describes as ‘the big stories of the recent past’ such as Marxism and earlier forms of feminism, </w:t>
      </w:r>
      <w:r w:rsidR="008A398D" w:rsidRPr="00955C49">
        <w:t xml:space="preserve">which tend to emphasise how social </w:t>
      </w:r>
      <w:r w:rsidR="003D0876">
        <w:t xml:space="preserve">and economic </w:t>
      </w:r>
      <w:r w:rsidR="008A398D" w:rsidRPr="00955C49">
        <w:t xml:space="preserve">structures determine individuals’ lives. </w:t>
      </w:r>
      <w:r w:rsidR="00EF65BF">
        <w:t>At the same time, various life history and narrative researchers emphasise that it is</w:t>
      </w:r>
      <w:r>
        <w:t xml:space="preserve"> important to understand individual lives and identities as constructed in the context of particular social structures and material c</w:t>
      </w:r>
      <w:r w:rsidR="0052656F">
        <w:t>onditions, which lock people in</w:t>
      </w:r>
      <w:r>
        <w:t>to various forms of subjectivity (Alvesson and Sk</w:t>
      </w:r>
      <w:r>
        <w:rPr>
          <w:rFonts w:cs="Arial"/>
        </w:rPr>
        <w:t>ö</w:t>
      </w:r>
      <w:r>
        <w:t>ldberg 2000).</w:t>
      </w:r>
      <w:r w:rsidR="00EF65BF">
        <w:t xml:space="preserve"> </w:t>
      </w:r>
    </w:p>
    <w:p w:rsidR="00865B96" w:rsidRDefault="00865B96" w:rsidP="00865B96">
      <w:pPr>
        <w:pStyle w:val="arialbodytextdouble"/>
      </w:pPr>
    </w:p>
    <w:p w:rsidR="00904342" w:rsidRDefault="00521602" w:rsidP="00904342">
      <w:pPr>
        <w:pStyle w:val="Heading3"/>
      </w:pPr>
      <w:r>
        <w:t>Making sense of life as lived</w:t>
      </w:r>
    </w:p>
    <w:p w:rsidR="00865B96" w:rsidRDefault="00865B96" w:rsidP="008A398D">
      <w:pPr>
        <w:pStyle w:val="arialbodytextsingle"/>
      </w:pPr>
    </w:p>
    <w:p w:rsidR="008A398D" w:rsidRDefault="00EF65BF" w:rsidP="00865B96">
      <w:pPr>
        <w:pStyle w:val="arialbodytextdouble"/>
      </w:pPr>
      <w:r>
        <w:t xml:space="preserve">The role of the researcher in interpreting the stories that are told is therefore a significant one. </w:t>
      </w:r>
      <w:r w:rsidR="00373A9B">
        <w:t xml:space="preserve">Biesta, Hodkinson and Goodson </w:t>
      </w:r>
      <w:r w:rsidR="001A64E0">
        <w:t>(2005</w:t>
      </w:r>
      <w:r w:rsidR="00D73FBB">
        <w:t xml:space="preserve">) make this point very clearly when they argue that life history research is more than </w:t>
      </w:r>
      <w:r w:rsidR="008A398D">
        <w:t>the collection of stories about individuals’ lives:</w:t>
      </w:r>
    </w:p>
    <w:p w:rsidR="008A398D" w:rsidRDefault="008A398D" w:rsidP="005120F1">
      <w:pPr>
        <w:pStyle w:val="arialindentedquote"/>
        <w:spacing w:line="480" w:lineRule="auto"/>
      </w:pPr>
      <w:r>
        <w:lastRenderedPageBreak/>
        <w:t>Although the collection of such stories is a crucial first step in life-history research, and although such research is fundamentally interested in the ways in which people ‘story’ or narrate their own lives, life-history research aims to understand those stories against the background of wider socio-political and hist</w:t>
      </w:r>
      <w:r w:rsidR="00D73FBB">
        <w:t>orical context and processes.</w:t>
      </w:r>
      <w:r w:rsidR="00811769">
        <w:t xml:space="preserve"> (Biesta et al</w:t>
      </w:r>
      <w:r>
        <w:t xml:space="preserve"> 200</w:t>
      </w:r>
      <w:r w:rsidR="001A64E0">
        <w:t>5</w:t>
      </w:r>
      <w:r>
        <w:t>: 4)</w:t>
      </w:r>
    </w:p>
    <w:p w:rsidR="00865B96" w:rsidRDefault="00865B96" w:rsidP="0052656F">
      <w:pPr>
        <w:pStyle w:val="arialbodytextsingle"/>
      </w:pPr>
    </w:p>
    <w:p w:rsidR="0052656F" w:rsidRDefault="0052656F" w:rsidP="005120F1">
      <w:pPr>
        <w:pStyle w:val="arialbodytextdouble"/>
      </w:pPr>
      <w:r>
        <w:t xml:space="preserve">Goodson (2005) </w:t>
      </w:r>
      <w:r w:rsidR="00EF65BF">
        <w:t xml:space="preserve">also </w:t>
      </w:r>
      <w:r>
        <w:t>argues that a pre-occupation with the individual life history and its analysis is not enough. This tips into individualism, and a ‘fiction’ of an isolated, self-sufficient individual. What is central is the relationship between the individual and wider structures –</w:t>
      </w:r>
      <w:r w:rsidR="00100BAA">
        <w:t xml:space="preserve"> </w:t>
      </w:r>
      <w:r>
        <w:t xml:space="preserve">in </w:t>
      </w:r>
      <w:r w:rsidR="00100BAA">
        <w:t>the words of C. Wright Mills (1970), how smaller milieux and larger structures interact</w:t>
      </w:r>
      <w:r>
        <w:t xml:space="preserve">. </w:t>
      </w:r>
    </w:p>
    <w:p w:rsidR="00865B96" w:rsidRDefault="00865B96" w:rsidP="005120F1">
      <w:pPr>
        <w:pStyle w:val="arialbodytextdouble"/>
      </w:pPr>
    </w:p>
    <w:p w:rsidR="008A398D" w:rsidRDefault="008A398D" w:rsidP="005120F1">
      <w:pPr>
        <w:pStyle w:val="arialbodytextdouble"/>
      </w:pPr>
      <w:r>
        <w:t xml:space="preserve">Narrative inquiry </w:t>
      </w:r>
      <w:r w:rsidR="00D73FBB">
        <w:t>therefore</w:t>
      </w:r>
      <w:r>
        <w:t>, goes beyond the telling of stories and involves trying to make sense of life a</w:t>
      </w:r>
      <w:r w:rsidR="00811769">
        <w:t>s lived (Clandinin and Connelly</w:t>
      </w:r>
      <w:r>
        <w:t xml:space="preserve"> 2000). In particular, narrative research</w:t>
      </w:r>
      <w:r w:rsidR="0052656F">
        <w:t xml:space="preserve"> can</w:t>
      </w:r>
      <w:r>
        <w:t xml:space="preserve"> help to make visible taken-for-granted practices, and structural and cultural features of our everyday social worlds (Chase 2005). Chase argues that such work may reveal the stranglehold of oppressive metanarratives, that establish rules of truth, legitimacy and identity.</w:t>
      </w:r>
    </w:p>
    <w:p w:rsidR="00865B96" w:rsidRDefault="00865B96" w:rsidP="008A398D">
      <w:pPr>
        <w:pStyle w:val="arialbodytextsingle"/>
      </w:pPr>
    </w:p>
    <w:p w:rsidR="00F041D4" w:rsidRDefault="00F041D4" w:rsidP="00F041D4">
      <w:pPr>
        <w:pStyle w:val="Heading3"/>
      </w:pPr>
      <w:r>
        <w:t>Engaging in ‘little science’</w:t>
      </w:r>
    </w:p>
    <w:p w:rsidR="00865B96" w:rsidRDefault="00865B96" w:rsidP="004C1BE8">
      <w:pPr>
        <w:pStyle w:val="arialbodytextsingle"/>
      </w:pPr>
    </w:p>
    <w:p w:rsidR="004C1BE8" w:rsidRDefault="009E0EA6" w:rsidP="005120F1">
      <w:pPr>
        <w:pStyle w:val="arialbodytextdouble"/>
      </w:pPr>
      <w:r>
        <w:t xml:space="preserve">This </w:t>
      </w:r>
      <w:r w:rsidR="00DB1195">
        <w:t xml:space="preserve">returns to the question that challenges narrative and life history researchers, including the authors in this book. What is the purpose of our </w:t>
      </w:r>
      <w:r w:rsidR="00DB1195">
        <w:lastRenderedPageBreak/>
        <w:t>narratives? What work is it we hope they will do?</w:t>
      </w:r>
      <w:r w:rsidR="009323B0">
        <w:t xml:space="preserve"> </w:t>
      </w:r>
      <w:r w:rsidR="00F339E4">
        <w:t xml:space="preserve">It is here that I find the words of </w:t>
      </w:r>
      <w:r w:rsidR="004C1BE8">
        <w:t>C. Wrigh</w:t>
      </w:r>
      <w:r w:rsidR="00F339E4">
        <w:t>t Mills helpful, who says:</w:t>
      </w:r>
      <w:r w:rsidR="004C1BE8">
        <w:t xml:space="preserve"> </w:t>
      </w:r>
    </w:p>
    <w:p w:rsidR="004C1BE8" w:rsidRDefault="004C1BE8" w:rsidP="005120F1">
      <w:pPr>
        <w:pStyle w:val="arialindentedquote"/>
        <w:spacing w:line="480" w:lineRule="auto"/>
      </w:pPr>
      <w:r>
        <w:t>Know that many personal troubles cannot be solved merely as troubles, but must be understood in terms of public issues – and in terms of the problems of h</w:t>
      </w:r>
      <w:r w:rsidR="00B47D96">
        <w:t>istory-making. (</w:t>
      </w:r>
      <w:r w:rsidR="00811769">
        <w:t>Mills</w:t>
      </w:r>
      <w:r>
        <w:t xml:space="preserve"> 1959: 248)</w:t>
      </w:r>
    </w:p>
    <w:p w:rsidR="004C1BE8" w:rsidRDefault="004C1BE8" w:rsidP="005120F1">
      <w:pPr>
        <w:pStyle w:val="arialbodytextdouble"/>
      </w:pPr>
      <w:r>
        <w:t>This is what he call</w:t>
      </w:r>
      <w:r w:rsidR="00F339E4">
        <w:t>s the sociological imagination, explaining</w:t>
      </w:r>
      <w:r>
        <w:t>:</w:t>
      </w:r>
      <w:r w:rsidR="00F339E4">
        <w:t xml:space="preserve"> </w:t>
      </w:r>
      <w:r>
        <w:t>‘The sociological imagination enables us to grasp history and biography and the relations between the two within society.</w:t>
      </w:r>
      <w:r w:rsidR="00A37F5A">
        <w:t>’</w:t>
      </w:r>
      <w:r w:rsidR="00B47D96">
        <w:t xml:space="preserve"> (</w:t>
      </w:r>
      <w:r w:rsidR="00811769">
        <w:t>Mills</w:t>
      </w:r>
      <w:r>
        <w:t xml:space="preserve"> 1959: 12)</w:t>
      </w:r>
    </w:p>
    <w:p w:rsidR="005120F1" w:rsidRDefault="005120F1" w:rsidP="005120F1">
      <w:pPr>
        <w:pStyle w:val="arialbodytextdouble"/>
      </w:pPr>
    </w:p>
    <w:p w:rsidR="006F1D28" w:rsidRDefault="00A37F5A" w:rsidP="005120F1">
      <w:pPr>
        <w:pStyle w:val="arialbodytextdouble"/>
      </w:pPr>
      <w:r>
        <w:t xml:space="preserve">However, whilst </w:t>
      </w:r>
      <w:r w:rsidR="006E2901">
        <w:t>the connections he makes between biography, history and society are a</w:t>
      </w:r>
      <w:r w:rsidR="008F092B">
        <w:t>n important touchstone, which is shared by</w:t>
      </w:r>
      <w:r w:rsidR="006E2901">
        <w:t xml:space="preserve"> numerous narrative and life histo</w:t>
      </w:r>
      <w:r w:rsidR="006F1D28">
        <w:t>ry researchers (for example Chase</w:t>
      </w:r>
      <w:r w:rsidR="00811769">
        <w:t xml:space="preserve"> 2005; Goodson 2007; Plummer</w:t>
      </w:r>
      <w:r w:rsidR="00746DBF">
        <w:t xml:space="preserve"> 2001; and Waller and </w:t>
      </w:r>
      <w:r w:rsidR="006F1D28">
        <w:t xml:space="preserve">Brine in this volume), a key aspect of narrative inquiry is also that it is concerned with what Denzin (2008) calls ‘little science’. It concerns itself with the small, the local, the </w:t>
      </w:r>
      <w:r w:rsidR="00BE2DBB">
        <w:t>fragmented, historically emergent</w:t>
      </w:r>
      <w:r w:rsidR="006F1D28">
        <w:t>, contradictory and accidental.</w:t>
      </w:r>
    </w:p>
    <w:p w:rsidR="005120F1" w:rsidRDefault="005120F1" w:rsidP="005120F1">
      <w:pPr>
        <w:pStyle w:val="arialbodytextdouble"/>
      </w:pPr>
    </w:p>
    <w:p w:rsidR="00A73D18" w:rsidRDefault="000644F7" w:rsidP="005120F1">
      <w:pPr>
        <w:pStyle w:val="arialbodytextdouble"/>
      </w:pPr>
      <w:r>
        <w:t>While s</w:t>
      </w:r>
      <w:r w:rsidR="008F092B">
        <w:t xml:space="preserve">peaking truth to power may </w:t>
      </w:r>
      <w:r w:rsidR="00A73D18">
        <w:t xml:space="preserve">therefore </w:t>
      </w:r>
      <w:r w:rsidR="008F092B">
        <w:t xml:space="preserve">include finding ways to make narrative inquiry heard by national and international policymakers, it may also involve what Casey </w:t>
      </w:r>
      <w:r w:rsidR="00A73D18">
        <w:t>(1995) describes as</w:t>
      </w:r>
      <w:r w:rsidR="005120F1">
        <w:t>:</w:t>
      </w:r>
      <w:r w:rsidR="00A73D18">
        <w:t xml:space="preserve"> </w:t>
      </w:r>
    </w:p>
    <w:p w:rsidR="008F092B" w:rsidRDefault="008F092B" w:rsidP="005120F1">
      <w:pPr>
        <w:pStyle w:val="arialindentedquote"/>
        <w:spacing w:line="480" w:lineRule="auto"/>
      </w:pPr>
      <w:r>
        <w:t>a reconceptualization of what it means to be “political”. Central to this definition is the recognition that the personal is political and, further, that power is exercised in all relationships, not jus</w:t>
      </w:r>
      <w:r w:rsidR="00443D24">
        <w:t>t those connected to the state.</w:t>
      </w:r>
      <w:r>
        <w:t xml:space="preserve"> (Ca</w:t>
      </w:r>
      <w:r w:rsidR="00811769">
        <w:t>sey</w:t>
      </w:r>
      <w:r>
        <w:t xml:space="preserve"> 1995: 223/224)</w:t>
      </w:r>
    </w:p>
    <w:p w:rsidR="005120F1" w:rsidRDefault="005120F1" w:rsidP="004C1BE8">
      <w:pPr>
        <w:pStyle w:val="arialbodytextsingle"/>
      </w:pPr>
    </w:p>
    <w:p w:rsidR="004656DC" w:rsidRDefault="00B2529C" w:rsidP="005120F1">
      <w:pPr>
        <w:pStyle w:val="arialbodytextdouble"/>
      </w:pPr>
      <w:r>
        <w:t xml:space="preserve">In the chapters that follow, </w:t>
      </w:r>
      <w:r w:rsidR="00460A77">
        <w:t xml:space="preserve">what stands out clearly, is that </w:t>
      </w:r>
      <w:r w:rsidR="000644F7">
        <w:t>possibilities for social change need</w:t>
      </w:r>
      <w:r w:rsidR="00443D24">
        <w:t>, at least in part,</w:t>
      </w:r>
      <w:r w:rsidR="00460A77">
        <w:t xml:space="preserve"> to be understood and conceived of </w:t>
      </w:r>
      <w:r w:rsidR="000644F7">
        <w:t xml:space="preserve">through </w:t>
      </w:r>
      <w:r w:rsidR="00460A77">
        <w:t>the small everyday acts o</w:t>
      </w:r>
      <w:r w:rsidR="000644F7">
        <w:t>f individuals</w:t>
      </w:r>
      <w:r w:rsidR="00C12F9F">
        <w:t>, and the histories that have brought them to their present place</w:t>
      </w:r>
      <w:r w:rsidR="000644F7">
        <w:t>. It is the narratives such as those presented here</w:t>
      </w:r>
      <w:r w:rsidR="00C12F9F">
        <w:t xml:space="preserve">, that get behind the nowness of current policy-making, and </w:t>
      </w:r>
      <w:r w:rsidR="000644F7">
        <w:t xml:space="preserve">offer </w:t>
      </w:r>
      <w:r w:rsidR="00C12F9F">
        <w:t xml:space="preserve">not just </w:t>
      </w:r>
      <w:r w:rsidR="000644F7">
        <w:t>some sense-making of</w:t>
      </w:r>
      <w:r w:rsidR="00C12F9F">
        <w:t xml:space="preserve"> our increasingly complex lives, but glimpses of the possibilities that are realised in the everyday.</w:t>
      </w:r>
    </w:p>
    <w:p w:rsidR="005120F1" w:rsidRDefault="005120F1" w:rsidP="004C1BE8">
      <w:pPr>
        <w:pStyle w:val="arialbodytextsingle"/>
      </w:pPr>
    </w:p>
    <w:p w:rsidR="00E92512" w:rsidRDefault="00443D24" w:rsidP="00443D24">
      <w:pPr>
        <w:pStyle w:val="Heading3"/>
      </w:pPr>
      <w:r>
        <w:t>The chapters in this book</w:t>
      </w:r>
    </w:p>
    <w:p w:rsidR="007F0EB5" w:rsidRDefault="007F0EB5" w:rsidP="005120F1">
      <w:pPr>
        <w:pStyle w:val="arialbodytextdouble"/>
      </w:pPr>
    </w:p>
    <w:p w:rsidR="0050636C" w:rsidRDefault="006C19A0" w:rsidP="005120F1">
      <w:pPr>
        <w:pStyle w:val="arialbodytextdouble"/>
      </w:pPr>
      <w:r>
        <w:t xml:space="preserve">This volume starts with a chapter </w:t>
      </w:r>
      <w:r w:rsidR="009139F6">
        <w:t xml:space="preserve">by Pat Sikes which addresses a major concern in narrative inquiry at the present time – the ethics of writing life histories and narratives. </w:t>
      </w:r>
      <w:r>
        <w:t xml:space="preserve">Sikes emphasises the responsibilities involved in narrating others’ lives </w:t>
      </w:r>
      <w:r w:rsidR="009139F6">
        <w:t xml:space="preserve">– the ‘heavy ethical burden’ involved - </w:t>
      </w:r>
      <w:r>
        <w:t>and asks ‘what constitutes ethical research and writing practice?’</w:t>
      </w:r>
      <w:r w:rsidR="009139F6">
        <w:t xml:space="preserve"> In particular she stresses </w:t>
      </w:r>
      <w:r w:rsidR="0050636C">
        <w:t xml:space="preserve">the power that is invested in the researcher-writer who creates a particular version of reality, and </w:t>
      </w:r>
      <w:r w:rsidR="009139F6">
        <w:t xml:space="preserve">how our own lives, beliefs and values are implicated in </w:t>
      </w:r>
      <w:r w:rsidR="0050636C">
        <w:t>our practices, so that we have a duty to explain our positionality in the context of the research.</w:t>
      </w:r>
    </w:p>
    <w:p w:rsidR="005120F1" w:rsidRDefault="005120F1" w:rsidP="005120F1">
      <w:pPr>
        <w:pStyle w:val="arialbodytextdouble"/>
      </w:pPr>
    </w:p>
    <w:p w:rsidR="0029357C" w:rsidRDefault="0050636C" w:rsidP="005120F1">
      <w:pPr>
        <w:pStyle w:val="arialbodytextdouble"/>
      </w:pPr>
      <w:r>
        <w:t>T</w:t>
      </w:r>
      <w:r w:rsidR="009139F6">
        <w:t>his point is taken up by the authors of the subsequent chapters.</w:t>
      </w:r>
      <w:r>
        <w:t xml:space="preserve"> </w:t>
      </w:r>
      <w:r w:rsidR="0029357C">
        <w:t xml:space="preserve">Each </w:t>
      </w:r>
      <w:r w:rsidR="00BE2DBB">
        <w:t xml:space="preserve">of the </w:t>
      </w:r>
      <w:r w:rsidR="0029357C">
        <w:t>chapter</w:t>
      </w:r>
      <w:r w:rsidR="00BE2DBB">
        <w:t>s</w:t>
      </w:r>
      <w:r w:rsidR="0029357C">
        <w:t xml:space="preserve"> starts with a re</w:t>
      </w:r>
      <w:r w:rsidR="0029357C" w:rsidRPr="00A81638">
        <w:t>flexive introduction</w:t>
      </w:r>
      <w:r w:rsidR="0029357C">
        <w:t xml:space="preserve">, where the </w:t>
      </w:r>
      <w:r w:rsidR="00F041D4">
        <w:t>writers</w:t>
      </w:r>
      <w:r w:rsidR="0029357C">
        <w:t xml:space="preserve"> talk about their </w:t>
      </w:r>
      <w:r w:rsidR="0029357C" w:rsidRPr="007E6BFF">
        <w:t>own life histories and identities and how they came to write th</w:t>
      </w:r>
      <w:r w:rsidR="0029357C">
        <w:t>eir</w:t>
      </w:r>
      <w:r w:rsidR="0029357C" w:rsidRPr="007E6BFF">
        <w:t xml:space="preserve"> chapter</w:t>
      </w:r>
      <w:r w:rsidR="0029357C">
        <w:t>, providing a personal contextualisation for the narrative/</w:t>
      </w:r>
      <w:r w:rsidR="0029357C" w:rsidRPr="00A81638">
        <w:t>life history</w:t>
      </w:r>
      <w:r w:rsidR="0029357C">
        <w:t xml:space="preserve"> which follows. At the end of each chapter, the authors reflect on the </w:t>
      </w:r>
      <w:r w:rsidR="0029357C" w:rsidRPr="00A81638">
        <w:t xml:space="preserve">professional and </w:t>
      </w:r>
      <w:r w:rsidR="0029357C" w:rsidRPr="00A81638">
        <w:lastRenderedPageBreak/>
        <w:t>research im</w:t>
      </w:r>
      <w:r w:rsidR="0029357C">
        <w:t xml:space="preserve">plications of the narratives they have presented. But this does not mean that the authors all approach life history and narrative research in the same way. The various chapters deliberately offer diversity rather than uniformity. The authors focus on different subjects and they ‘do’ narrative research in different ways. The </w:t>
      </w:r>
      <w:r w:rsidR="0029357C" w:rsidRPr="00C92C0B">
        <w:t>chapters may be read as individual case studies</w:t>
      </w:r>
      <w:r w:rsidR="0029357C">
        <w:t>, but they also share common threads in their concern with learning, identity and the workings of power, and how these may be explored through life history and narrative research.</w:t>
      </w:r>
    </w:p>
    <w:p w:rsidR="005120F1" w:rsidRDefault="005120F1" w:rsidP="005120F1">
      <w:pPr>
        <w:pStyle w:val="arialbodytextdouble"/>
      </w:pPr>
    </w:p>
    <w:p w:rsidR="00502277" w:rsidRPr="00B028CF" w:rsidRDefault="00443D24" w:rsidP="005120F1">
      <w:pPr>
        <w:pStyle w:val="arialbodytextdouble"/>
      </w:pPr>
      <w:r>
        <w:t xml:space="preserve">In chapter three, </w:t>
      </w:r>
      <w:r w:rsidR="005C71E5">
        <w:t>Chris Halse</w:t>
      </w:r>
      <w:r w:rsidR="00801E5A">
        <w:t xml:space="preserve"> explore</w:t>
      </w:r>
      <w:r w:rsidR="00BE2DBB">
        <w:t>s</w:t>
      </w:r>
      <w:r w:rsidR="00801E5A">
        <w:t xml:space="preserve"> processes of </w:t>
      </w:r>
      <w:r w:rsidR="00BE2DBB">
        <w:t>‘</w:t>
      </w:r>
      <w:r w:rsidR="00801E5A">
        <w:t>un</w:t>
      </w:r>
      <w:r w:rsidR="00E74350">
        <w:t>/</w:t>
      </w:r>
      <w:r w:rsidR="00801E5A">
        <w:t>becoming</w:t>
      </w:r>
      <w:r w:rsidR="00BE2DBB">
        <w:t>’</w:t>
      </w:r>
      <w:r w:rsidR="00801E5A">
        <w:t xml:space="preserve"> in the negotiation of teacher identity. </w:t>
      </w:r>
      <w:r w:rsidR="00F041D4">
        <w:t>She</w:t>
      </w:r>
      <w:r w:rsidR="00502277" w:rsidRPr="00B028CF">
        <w:t xml:space="preserve"> focuses on the experiences of </w:t>
      </w:r>
      <w:r w:rsidR="00502277">
        <w:t>Sue,</w:t>
      </w:r>
      <w:r w:rsidR="00502277" w:rsidRPr="00B028CF">
        <w:t xml:space="preserve"> </w:t>
      </w:r>
      <w:r w:rsidR="00801E5A">
        <w:t xml:space="preserve">an </w:t>
      </w:r>
      <w:r w:rsidR="00502277" w:rsidRPr="00B028CF">
        <w:t xml:space="preserve">elementary school teacher in </w:t>
      </w:r>
      <w:smartTag w:uri="urn:schemas-microsoft-com:office:smarttags" w:element="country-region">
        <w:smartTag w:uri="urn:schemas-microsoft-com:office:smarttags" w:element="place">
          <w:r w:rsidR="00502277" w:rsidRPr="00B028CF">
            <w:t>Australia</w:t>
          </w:r>
        </w:smartTag>
      </w:smartTag>
      <w:r w:rsidR="00502277" w:rsidRPr="00B028CF">
        <w:t xml:space="preserve">, and </w:t>
      </w:r>
      <w:r w:rsidR="00F041D4">
        <w:t xml:space="preserve">Sue’s </w:t>
      </w:r>
      <w:r w:rsidR="00502277" w:rsidRPr="00B028CF">
        <w:t xml:space="preserve">involvement in introducing an anti-racist Studies of Asia curriculum in her school. The chapter </w:t>
      </w:r>
      <w:r w:rsidR="00801E5A">
        <w:t xml:space="preserve">follows Sue as she </w:t>
      </w:r>
      <w:r w:rsidR="00502277" w:rsidRPr="00B028CF">
        <w:t xml:space="preserve">engages in the challenges of trying to work towards her vision and ideals for </w:t>
      </w:r>
      <w:r w:rsidR="00801E5A">
        <w:t xml:space="preserve">the </w:t>
      </w:r>
      <w:r w:rsidR="00502277" w:rsidRPr="00B028CF">
        <w:t xml:space="preserve">curriculum, within </w:t>
      </w:r>
      <w:r w:rsidR="00502277">
        <w:t xml:space="preserve">a </w:t>
      </w:r>
      <w:r w:rsidR="00502277" w:rsidRPr="00B028CF">
        <w:t xml:space="preserve">context where her enthusiasm is not automatically shared. As </w:t>
      </w:r>
      <w:r w:rsidR="00801E5A">
        <w:t>Halse</w:t>
      </w:r>
      <w:r w:rsidR="00502277" w:rsidRPr="00B028CF">
        <w:t xml:space="preserve"> explains, this account of the life and work of one particular teacher allows her to take up questions of identity and social justice that are central to the broader agenda of life history. She asks: How is ‘self’ mediated by others? What is the subjective experience of engaging with issues of racial and cultural difference? What historical and personal resources empower or shackle efforts to bring about educational change for social justice? What are the implications for self-formation and the political possibilities of challenging normative ways of seeing and doing?</w:t>
      </w:r>
    </w:p>
    <w:p w:rsidR="005120F1" w:rsidRDefault="005120F1" w:rsidP="005120F1">
      <w:pPr>
        <w:pStyle w:val="arialbodytextdouble"/>
      </w:pPr>
    </w:p>
    <w:p w:rsidR="000642EE" w:rsidRDefault="00502277" w:rsidP="005120F1">
      <w:pPr>
        <w:pStyle w:val="arialbodytextdouble"/>
      </w:pPr>
      <w:r>
        <w:lastRenderedPageBreak/>
        <w:t>Elizabeth Newman’s chapter</w:t>
      </w:r>
      <w:r w:rsidR="00BC3B2A">
        <w:t xml:space="preserve"> </w:t>
      </w:r>
      <w:r w:rsidR="00BE2DBB">
        <w:t xml:space="preserve">also explores the </w:t>
      </w:r>
      <w:r w:rsidR="00BC3B2A">
        <w:t>negotiation o</w:t>
      </w:r>
      <w:r w:rsidR="00BE2DBB">
        <w:t>f professional identity, through the life history of</w:t>
      </w:r>
      <w:r w:rsidR="00BC3B2A">
        <w:t xml:space="preserve"> Ed, a gay m</w:t>
      </w:r>
      <w:r w:rsidR="009721EB">
        <w:t xml:space="preserve">ale primary teacher in </w:t>
      </w:r>
      <w:smartTag w:uri="urn:schemas-microsoft-com:office:smarttags" w:element="country-region">
        <w:smartTag w:uri="urn:schemas-microsoft-com:office:smarttags" w:element="place">
          <w:r w:rsidR="009721EB">
            <w:t>England</w:t>
          </w:r>
        </w:smartTag>
      </w:smartTag>
      <w:r w:rsidR="00BE2DBB">
        <w:t xml:space="preserve">. This narrative of ‘otherness’ shows </w:t>
      </w:r>
      <w:r w:rsidR="008D6418">
        <w:t xml:space="preserve">how institutional and organizational settings shape </w:t>
      </w:r>
      <w:r w:rsidR="00E74350">
        <w:t>‘the selves we live by’</w:t>
      </w:r>
      <w:r w:rsidR="00811769">
        <w:t xml:space="preserve"> (Chase</w:t>
      </w:r>
      <w:r w:rsidR="008D6418">
        <w:t xml:space="preserve"> 2005: 659), and how difficult it is to construct a viable identity if you fall outside the norm.</w:t>
      </w:r>
      <w:r w:rsidR="00BE2DBB">
        <w:t xml:space="preserve"> Ed’s account acts as a mirror to normative assumptions that shape the construction of teachers’ lives. While Ed eventually finds a way to construct a viable ide</w:t>
      </w:r>
      <w:r w:rsidR="00FC0672">
        <w:t>ntity, we, as readers, are made</w:t>
      </w:r>
      <w:r w:rsidR="00BE2DBB">
        <w:t xml:space="preserve"> to recognise how taken-for-granted assumptions about who can be a ‘teacher’, can quickly serve to exclude those who do not conform to the</w:t>
      </w:r>
      <w:r w:rsidR="008D6418">
        <w:t>se assumptions</w:t>
      </w:r>
      <w:r w:rsidR="00BE2DBB">
        <w:t>.</w:t>
      </w:r>
      <w:r w:rsidR="009721EB">
        <w:t xml:space="preserve"> </w:t>
      </w:r>
    </w:p>
    <w:p w:rsidR="005120F1" w:rsidRDefault="005120F1" w:rsidP="005120F1">
      <w:pPr>
        <w:pStyle w:val="arialbodytextdouble"/>
      </w:pPr>
    </w:p>
    <w:p w:rsidR="008D6418" w:rsidRDefault="008D6418" w:rsidP="005120F1">
      <w:pPr>
        <w:pStyle w:val="arialbodytextdouble"/>
      </w:pPr>
      <w:r>
        <w:t xml:space="preserve">Richard Waller’s chapter </w:t>
      </w:r>
      <w:r w:rsidR="00AF341F">
        <w:t xml:space="preserve">uses his own life history alongside the </w:t>
      </w:r>
      <w:r>
        <w:t xml:space="preserve">accounts of two students taking Access to Higher Education courses in </w:t>
      </w:r>
      <w:smartTag w:uri="urn:schemas-microsoft-com:office:smarttags" w:element="country-region">
        <w:smartTag w:uri="urn:schemas-microsoft-com:office:smarttags" w:element="place">
          <w:r>
            <w:t>England</w:t>
          </w:r>
        </w:smartTag>
      </w:smartTag>
      <w:r>
        <w:t xml:space="preserve"> </w:t>
      </w:r>
      <w:r w:rsidR="00AF341F">
        <w:t xml:space="preserve">to show how a biographical approach can reveal the ways in which individual experience is inflected differently by class, gender, and historical moment. </w:t>
      </w:r>
      <w:r w:rsidR="004A5B82">
        <w:t>He explores how his research participants</w:t>
      </w:r>
      <w:r>
        <w:t xml:space="preserve"> review and reconstruct their identities as they move through the Access course and on to higher education. Waller emphasises how a life history approach enabled him to uncover how these individual experiences cannot be understood if divorced from social context.</w:t>
      </w:r>
      <w:r w:rsidR="00F041D4">
        <w:t xml:space="preserve"> </w:t>
      </w:r>
      <w:r w:rsidR="00443D24">
        <w:t>W</w:t>
      </w:r>
      <w:r>
        <w:t xml:space="preserve">aller’s use of a life history approach therefore </w:t>
      </w:r>
      <w:r w:rsidR="00F041D4">
        <w:t xml:space="preserve">highlights </w:t>
      </w:r>
      <w:r>
        <w:t>the ways in which structure and agency may interact in the playing out of individual lives, and the possibilities and constraints that this entails.</w:t>
      </w:r>
    </w:p>
    <w:p w:rsidR="005120F1" w:rsidRDefault="005120F1" w:rsidP="005120F1">
      <w:pPr>
        <w:pStyle w:val="arialbodytextdouble"/>
      </w:pPr>
    </w:p>
    <w:p w:rsidR="002532F2" w:rsidRPr="002532F2" w:rsidRDefault="00601D30" w:rsidP="005120F1">
      <w:pPr>
        <w:pStyle w:val="arialbodytextdouble"/>
      </w:pPr>
      <w:r>
        <w:t>A different approach to the preceding chapters is adopted by Shekar Bheenuck</w:t>
      </w:r>
      <w:r w:rsidR="00FD1411">
        <w:t xml:space="preserve">. He undertakes an analysis of ten narrative accounts, exploring the </w:t>
      </w:r>
      <w:r w:rsidR="00FD1411">
        <w:lastRenderedPageBreak/>
        <w:t>similarities and differences in the experience of nurses who</w:t>
      </w:r>
      <w:r w:rsidR="00373A9B">
        <w:t>, like himself,</w:t>
      </w:r>
      <w:r w:rsidR="00FD1411">
        <w:t xml:space="preserve"> came to </w:t>
      </w:r>
      <w:smartTag w:uri="urn:schemas-microsoft-com:office:smarttags" w:element="country-region">
        <w:smartTag w:uri="urn:schemas-microsoft-com:office:smarttags" w:element="place">
          <w:r w:rsidR="00FD1411">
            <w:t>Britain</w:t>
          </w:r>
        </w:smartTag>
      </w:smartTag>
      <w:r w:rsidR="00FD1411">
        <w:t xml:space="preserve"> in the 1960s and 1970s to train and work</w:t>
      </w:r>
      <w:r w:rsidR="00373A9B">
        <w:t xml:space="preserve"> in the National Health Service</w:t>
      </w:r>
      <w:r w:rsidR="00FD1411">
        <w:t xml:space="preserve">. </w:t>
      </w:r>
      <w:r w:rsidR="00A276BB">
        <w:t xml:space="preserve">On the one hand, theirs are stories of migration and the construction of </w:t>
      </w:r>
      <w:r w:rsidR="00830C34">
        <w:t>new or revised</w:t>
      </w:r>
      <w:r w:rsidR="00A276BB">
        <w:t xml:space="preserve"> identities when they came to </w:t>
      </w:r>
      <w:smartTag w:uri="urn:schemas-microsoft-com:office:smarttags" w:element="country-region">
        <w:smartTag w:uri="urn:schemas-microsoft-com:office:smarttags" w:element="place">
          <w:r w:rsidR="00A276BB">
            <w:t>Britain</w:t>
          </w:r>
        </w:smartTag>
      </w:smartTag>
      <w:r w:rsidR="00A276BB">
        <w:t>. On the other, t</w:t>
      </w:r>
      <w:r w:rsidR="00FD1411">
        <w:t xml:space="preserve">he analysis of their </w:t>
      </w:r>
      <w:r w:rsidR="006E3DB9">
        <w:t xml:space="preserve">accounts </w:t>
      </w:r>
      <w:r w:rsidR="00FD1411">
        <w:t xml:space="preserve">reveals the shared experience of </w:t>
      </w:r>
      <w:r w:rsidR="00A276BB">
        <w:t xml:space="preserve">discriminatory practices by the white indigenous population, experienced both in their professional and private lives. </w:t>
      </w:r>
      <w:r w:rsidR="002532F2">
        <w:t xml:space="preserve">Bheenuck’s chapter provides an alternative and unheard account of overseas nurses’ experience of coming to </w:t>
      </w:r>
      <w:smartTag w:uri="urn:schemas-microsoft-com:office:smarttags" w:element="country-region">
        <w:smartTag w:uri="urn:schemas-microsoft-com:office:smarttags" w:element="place">
          <w:r w:rsidR="002532F2">
            <w:t>Britain</w:t>
          </w:r>
        </w:smartTag>
      </w:smartTag>
      <w:r w:rsidR="002532F2">
        <w:t xml:space="preserve"> to work. However, as he emphasises at the end of his chapter, these narratives have a wider purpose than to fill a gap in our historical knowledge; they are told with the view that the present and future can and must be different.</w:t>
      </w:r>
    </w:p>
    <w:p w:rsidR="005120F1" w:rsidRDefault="005120F1" w:rsidP="005120F1">
      <w:pPr>
        <w:pStyle w:val="arialbodytextdouble"/>
      </w:pPr>
    </w:p>
    <w:p w:rsidR="0017366D" w:rsidRDefault="0017366D" w:rsidP="005120F1">
      <w:pPr>
        <w:pStyle w:val="arialbodytextdouble"/>
      </w:pPr>
      <w:r>
        <w:t xml:space="preserve">Jane Andrews’ chapter </w:t>
      </w:r>
      <w:r w:rsidR="00461D1D">
        <w:t>shifts the focus onto</w:t>
      </w:r>
      <w:r>
        <w:t xml:space="preserve"> the relationship between the researcher and research participants and the significance of such relationships in the construction of narrative research. Her work on a study of in and out of school learning amongst primary school children in </w:t>
      </w:r>
      <w:smartTag w:uri="urn:schemas-microsoft-com:office:smarttags" w:element="country-region">
        <w:smartTag w:uri="urn:schemas-microsoft-com:office:smarttags" w:element="place">
          <w:r>
            <w:t>England</w:t>
          </w:r>
        </w:smartTag>
      </w:smartTag>
      <w:r>
        <w:t xml:space="preserve"> provides a rich resource for considering the ways in which narratives are shaped by the context of their telling. She discusses in depth the complexities of her positioning in the research process, as she went about gathering the narratives of Saqib, a 10 year old boy from a Pakistani background, and his mother, Farah. She visited them in the family home, and as Farah did not speak English, Andrews first talked to Farah through her son Saqib, and then used an interpreter, adding a further layer or contributor to the narrative. Andrews questions her position as a white, English-speaking researcher, and </w:t>
      </w:r>
      <w:r>
        <w:lastRenderedPageBreak/>
        <w:t>the relations of power that this entails in relation to Farah and her son, describing herself as an ‘intercultural intruder’. At the same time, she emphasizes the insights that she has been able to gain about the role of learning and school in this family’s life, which remain hidden from view in the more formal interactions between home and school.</w:t>
      </w:r>
    </w:p>
    <w:p w:rsidR="005120F1" w:rsidRDefault="005120F1" w:rsidP="005120F1">
      <w:pPr>
        <w:pStyle w:val="arialbodytextdouble"/>
      </w:pPr>
    </w:p>
    <w:p w:rsidR="007B38DE" w:rsidRDefault="0017366D" w:rsidP="005120F1">
      <w:pPr>
        <w:pStyle w:val="arialbodytextdouble"/>
      </w:pPr>
      <w:r w:rsidRPr="0017366D">
        <w:t>Dean Smart</w:t>
      </w:r>
      <w:r w:rsidR="00443D24">
        <w:t xml:space="preserve"> uses his own life narrative to</w:t>
      </w:r>
      <w:r w:rsidRPr="0017366D">
        <w:t xml:space="preserve"> </w:t>
      </w:r>
      <w:r w:rsidR="00461D1D">
        <w:t xml:space="preserve">explore how incidents in his past have shaped his values and practice now. His </w:t>
      </w:r>
      <w:r w:rsidR="000639A2">
        <w:t xml:space="preserve">chapter </w:t>
      </w:r>
      <w:r w:rsidR="002B42B3">
        <w:t>centres around the question ‘Wher</w:t>
      </w:r>
      <w:r w:rsidR="00461D1D">
        <w:t>e are we in this story?’ This was</w:t>
      </w:r>
      <w:r w:rsidR="002B42B3">
        <w:t xml:space="preserve"> the question asked of him by minority ethnic pupils in his history lessons in an inner-city school in </w:t>
      </w:r>
      <w:smartTag w:uri="urn:schemas-microsoft-com:office:smarttags" w:element="City">
        <w:smartTag w:uri="urn:schemas-microsoft-com:office:smarttags" w:element="place">
          <w:r w:rsidR="002B42B3">
            <w:t>Bristol</w:t>
          </w:r>
        </w:smartTag>
      </w:smartTag>
      <w:r w:rsidR="002B42B3">
        <w:t xml:space="preserve">. The chapter concerns narrative on two levels. Firstly, it is an account of his own life history, and how that </w:t>
      </w:r>
      <w:r w:rsidR="007B38DE">
        <w:t xml:space="preserve">has </w:t>
      </w:r>
      <w:r w:rsidR="002B42B3">
        <w:t xml:space="preserve">shaped his positioning in an increasingly diverse and multi-ethnic society. Secondly, it is an exploration of the presence and absence of the narratives of peoples from ethnic minorities, and people of colour, from school history in </w:t>
      </w:r>
      <w:smartTag w:uri="urn:schemas-microsoft-com:office:smarttags" w:element="country-region">
        <w:smartTag w:uri="urn:schemas-microsoft-com:office:smarttags" w:element="place">
          <w:r w:rsidR="002B42B3">
            <w:t>England</w:t>
          </w:r>
        </w:smartTag>
      </w:smartTag>
      <w:r w:rsidR="002B42B3">
        <w:t xml:space="preserve">. His detailed analysis of </w:t>
      </w:r>
      <w:r w:rsidR="00B37F92">
        <w:t xml:space="preserve">the </w:t>
      </w:r>
      <w:r w:rsidR="002B42B3">
        <w:t xml:space="preserve">accounts that are told and </w:t>
      </w:r>
      <w:r w:rsidR="00B37F92">
        <w:t>those that remain un</w:t>
      </w:r>
      <w:r w:rsidR="002B42B3">
        <w:t>told are used to raise questions</w:t>
      </w:r>
      <w:r w:rsidR="00B37F92">
        <w:t xml:space="preserve"> about the power of historical narratives to shape our understandings of both the past and the present. His </w:t>
      </w:r>
      <w:r w:rsidR="007B38DE">
        <w:t>auto/biographical narrative is used alongside this</w:t>
      </w:r>
      <w:r w:rsidR="00B37F92">
        <w:t xml:space="preserve"> to raise questions abou</w:t>
      </w:r>
      <w:r w:rsidR="007B38DE">
        <w:t>t how things might be different, and how that requires the engagement of teachers to enact change.</w:t>
      </w:r>
    </w:p>
    <w:p w:rsidR="005120F1" w:rsidRDefault="005120F1" w:rsidP="005120F1">
      <w:pPr>
        <w:pStyle w:val="arialbodytextdouble"/>
      </w:pPr>
    </w:p>
    <w:p w:rsidR="00F25FFC" w:rsidRDefault="00461D1D" w:rsidP="005120F1">
      <w:pPr>
        <w:pStyle w:val="arialbodytextdouble"/>
      </w:pPr>
      <w:r w:rsidRPr="0017366D">
        <w:t>Nick Clough’s chapter</w:t>
      </w:r>
      <w:r>
        <w:t xml:space="preserve"> also explore the intertwining of </w:t>
      </w:r>
      <w:r w:rsidRPr="0017366D">
        <w:t xml:space="preserve">personal experience with professional commitments. </w:t>
      </w:r>
      <w:r w:rsidR="005B0FA5">
        <w:t xml:space="preserve">In examining his own biography, and interweaving this with discussion of his professional practice as an educator, he aims to identify power relations and identify crises that lie at the roots of his </w:t>
      </w:r>
      <w:r w:rsidR="005B0FA5">
        <w:lastRenderedPageBreak/>
        <w:t>own lifelong learning.</w:t>
      </w:r>
      <w:r w:rsidR="003241BD">
        <w:t xml:space="preserve"> He describes events and experiences that have shaped his understandings and valu</w:t>
      </w:r>
      <w:r w:rsidR="007B38DE">
        <w:t xml:space="preserve">es around work on </w:t>
      </w:r>
      <w:r w:rsidR="003241BD">
        <w:t xml:space="preserve">sustainability, and </w:t>
      </w:r>
      <w:r w:rsidR="007B38DE">
        <w:t xml:space="preserve">explains </w:t>
      </w:r>
      <w:r w:rsidR="003241BD">
        <w:t>how he</w:t>
      </w:r>
      <w:r w:rsidR="005B0FA5">
        <w:t xml:space="preserve"> uses a series of photographs of ‘Myself with the Wider World’</w:t>
      </w:r>
      <w:r w:rsidR="003241BD">
        <w:t xml:space="preserve"> to develop a similar approach with others. </w:t>
      </w:r>
      <w:r w:rsidR="007B38DE">
        <w:t xml:space="preserve">He shows how the interaction of different people’s lives can shift and change power relations. Through his own </w:t>
      </w:r>
      <w:r>
        <w:t xml:space="preserve">life history </w:t>
      </w:r>
      <w:r w:rsidR="007B38DE">
        <w:t xml:space="preserve">he </w:t>
      </w:r>
      <w:r w:rsidR="00373A9B">
        <w:t xml:space="preserve">suggests that </w:t>
      </w:r>
      <w:r>
        <w:t xml:space="preserve">identities are </w:t>
      </w:r>
      <w:r w:rsidR="0088576A">
        <w:t xml:space="preserve">always in process, </w:t>
      </w:r>
      <w:r w:rsidR="005E1BEF">
        <w:t xml:space="preserve">and therefore always </w:t>
      </w:r>
      <w:r>
        <w:t xml:space="preserve">open to </w:t>
      </w:r>
      <w:r w:rsidR="00F25FFC">
        <w:t>development and change.</w:t>
      </w:r>
    </w:p>
    <w:p w:rsidR="005120F1" w:rsidRDefault="005120F1" w:rsidP="005120F1">
      <w:pPr>
        <w:pStyle w:val="arialbodytextdouble"/>
      </w:pPr>
    </w:p>
    <w:p w:rsidR="00B657B8" w:rsidRDefault="00E74350" w:rsidP="005120F1">
      <w:pPr>
        <w:pStyle w:val="arialbodytextdouble"/>
      </w:pPr>
      <w:r>
        <w:t xml:space="preserve">The lasting memories of attending secondary school in 1960s </w:t>
      </w:r>
      <w:smartTag w:uri="urn:schemas-microsoft-com:office:smarttags" w:element="place">
        <w:smartTag w:uri="urn:schemas-microsoft-com:office:smarttags" w:element="country-region">
          <w:r>
            <w:t>England</w:t>
          </w:r>
        </w:smartTag>
      </w:smartTag>
      <w:r>
        <w:t xml:space="preserve"> form the basis of Jacky Brine’s </w:t>
      </w:r>
      <w:r w:rsidR="00B657B8">
        <w:t xml:space="preserve">chapter. </w:t>
      </w:r>
      <w:r>
        <w:t xml:space="preserve">Her chapter is a moving auto/biographical account of her own and her contemporaries’ recollections of attending ‘bilateral’ (grammar/secondary modern) schools in </w:t>
      </w:r>
      <w:smartTag w:uri="urn:schemas-microsoft-com:office:smarttags" w:element="City">
        <w:smartTag w:uri="urn:schemas-microsoft-com:office:smarttags" w:element="place">
          <w:r>
            <w:t>Bristol</w:t>
          </w:r>
        </w:smartTag>
      </w:smartTag>
      <w:r w:rsidR="00B657B8">
        <w:t>, interwoven with Brine’s commentary on the impact of education policy on individual lives and identities. The tension between individual biography and a shared history of time, place and class is at the core of her chapter. Despite the strength of feeling engendered by the memories of the bilateral school, which Brine describes as ‘a powerful, pernicious class practice that remains deep inside’, she stresses now, looking back, that such experiences are not completely determining. To varying extents and in different ways she and her contemporaries also engaged in the construction of their selves.</w:t>
      </w:r>
      <w:r w:rsidR="002D6A90">
        <w:t xml:space="preserve"> At the end of her chapter, Brine also </w:t>
      </w:r>
      <w:r w:rsidR="008D73C7">
        <w:t>suggests that living</w:t>
      </w:r>
      <w:r w:rsidR="002D6A90">
        <w:t xml:space="preserve"> an unsettled identity</w:t>
      </w:r>
      <w:r w:rsidR="008D73C7">
        <w:t xml:space="preserve"> can be positive, a constant </w:t>
      </w:r>
      <w:r w:rsidR="0019674B">
        <w:t xml:space="preserve">challenge to the </w:t>
      </w:r>
      <w:r w:rsidR="008D73C7">
        <w:t xml:space="preserve">protective screen that </w:t>
      </w:r>
      <w:r w:rsidR="0019674B">
        <w:t>may surround the academic researcher.</w:t>
      </w:r>
    </w:p>
    <w:p w:rsidR="005120F1" w:rsidRDefault="005120F1" w:rsidP="005120F1">
      <w:pPr>
        <w:pStyle w:val="arialbodytextdouble"/>
      </w:pPr>
    </w:p>
    <w:p w:rsidR="00C77998" w:rsidRDefault="00E85E73" w:rsidP="005120F1">
      <w:pPr>
        <w:pStyle w:val="arialbodytextdouble"/>
      </w:pPr>
      <w:r>
        <w:lastRenderedPageBreak/>
        <w:t>The penultim</w:t>
      </w:r>
      <w:r w:rsidR="00EA3030">
        <w:t>ate chapter in this collection positions</w:t>
      </w:r>
      <w:r>
        <w:t xml:space="preserve"> narrative inquiry firmly as an arts-based research practice</w:t>
      </w:r>
      <w:r w:rsidR="00EA3030">
        <w:t>, both in what it says, and its</w:t>
      </w:r>
      <w:r w:rsidR="00252A9B">
        <w:t xml:space="preserve"> form of telling. James Rolling describes the writing of his chapter as ‘a rite of passage into the uncertainty of now’. </w:t>
      </w:r>
      <w:r w:rsidR="005C2EC8">
        <w:t>At one level, the chapter is an exploration</w:t>
      </w:r>
      <w:r w:rsidR="00D438B4">
        <w:t xml:space="preserve"> and re-writing</w:t>
      </w:r>
      <w:r w:rsidR="005C2EC8">
        <w:t xml:space="preserve"> of </w:t>
      </w:r>
      <w:r w:rsidR="00252A9B">
        <w:t>his own biography, particularly his relationship to his father</w:t>
      </w:r>
      <w:r w:rsidR="005C2EC8">
        <w:t>,</w:t>
      </w:r>
      <w:r w:rsidR="00252A9B">
        <w:t xml:space="preserve"> through a multilayered narrative. </w:t>
      </w:r>
      <w:r w:rsidR="00D438B4">
        <w:t>At another level, the chapter</w:t>
      </w:r>
      <w:r w:rsidR="0000061D">
        <w:t xml:space="preserve"> performs </w:t>
      </w:r>
      <w:r w:rsidR="005C2EC8">
        <w:t>narrative inquiry</w:t>
      </w:r>
      <w:r w:rsidR="00256033">
        <w:t xml:space="preserve"> </w:t>
      </w:r>
      <w:r w:rsidR="0000061D">
        <w:t xml:space="preserve">in a lyrical and discursive manner that </w:t>
      </w:r>
      <w:r w:rsidR="00FC0672">
        <w:t>invites</w:t>
      </w:r>
      <w:r w:rsidR="0000061D">
        <w:t xml:space="preserve"> us to rethink the boundaries within which we research and write. </w:t>
      </w:r>
      <w:r w:rsidR="00E23EFF">
        <w:t xml:space="preserve">The poem which he includes in the chapter, to convey the ‘felt part of the story best’, provides an example of the power of different forms of re-presenting ideas. </w:t>
      </w:r>
      <w:r w:rsidR="00252A9B">
        <w:t>Narrative inquiry, he says, should seek to proliferate</w:t>
      </w:r>
      <w:r w:rsidR="0000061D">
        <w:t xml:space="preserve"> new tellings, not redeem facts, and as an arts-based practice, should </w:t>
      </w:r>
      <w:r>
        <w:t>aim to rearrange the known order from time to time as a test of what is possible and as a catalyst for change.</w:t>
      </w:r>
      <w:r w:rsidR="00E23EFF">
        <w:t xml:space="preserve"> </w:t>
      </w:r>
      <w:r w:rsidR="00D438B4">
        <w:t xml:space="preserve"> </w:t>
      </w:r>
    </w:p>
    <w:p w:rsidR="005120F1" w:rsidRDefault="005120F1" w:rsidP="005120F1">
      <w:pPr>
        <w:pStyle w:val="arialbodytextdouble"/>
      </w:pPr>
    </w:p>
    <w:p w:rsidR="000B2B3C" w:rsidRDefault="0050636C" w:rsidP="005120F1">
      <w:pPr>
        <w:pStyle w:val="arialbodytextdouble"/>
      </w:pPr>
      <w:r>
        <w:t xml:space="preserve">The volume </w:t>
      </w:r>
      <w:r w:rsidR="00204D24">
        <w:t xml:space="preserve">concludes </w:t>
      </w:r>
      <w:r w:rsidR="00323E98">
        <w:t xml:space="preserve">by revisiting the purposes and value of life history and narrative research </w:t>
      </w:r>
      <w:r>
        <w:t xml:space="preserve">by </w:t>
      </w:r>
      <w:r w:rsidR="00904342">
        <w:t>Penelope Harnett</w:t>
      </w:r>
      <w:r w:rsidR="00323E98">
        <w:t xml:space="preserve">. She draws on her background as a historian to connect the narratives presented in this book to ideas and work that span a broader historical context and time frame. </w:t>
      </w:r>
      <w:r w:rsidR="000B2B3C">
        <w:t>Her</w:t>
      </w:r>
      <w:r w:rsidR="00323E98">
        <w:t xml:space="preserve"> exploration of the understandings that she developed through reading different chapters in this volume, indicate the relevance of the unfamiliar as well as the familiar in moving our thinking and our practices forward. </w:t>
      </w:r>
      <w:r w:rsidR="000B2B3C">
        <w:t>As this final chapter shows, the richness of narrative inquiry can encourage a revisiting of deeply held beliefs and ideas and a challenging of taken-for-granted assumptions.</w:t>
      </w:r>
    </w:p>
    <w:p w:rsidR="005120F1" w:rsidRDefault="005120F1" w:rsidP="005120F1">
      <w:pPr>
        <w:pStyle w:val="arialbodytextdouble"/>
      </w:pPr>
    </w:p>
    <w:p w:rsidR="00135EF6" w:rsidRDefault="0068369B" w:rsidP="005120F1">
      <w:pPr>
        <w:pStyle w:val="arialbodytextdouble"/>
      </w:pPr>
      <w:r>
        <w:lastRenderedPageBreak/>
        <w:t xml:space="preserve">We </w:t>
      </w:r>
      <w:r w:rsidR="000F5A6C">
        <w:t xml:space="preserve">hope that the narratives </w:t>
      </w:r>
      <w:r>
        <w:t>presented here will</w:t>
      </w:r>
      <w:r w:rsidR="000F5A6C">
        <w:t xml:space="preserve"> provide insights that </w:t>
      </w:r>
      <w:r w:rsidR="00984504">
        <w:t xml:space="preserve">connect what troubles us with wider concerns about the shaping and construction </w:t>
      </w:r>
      <w:r w:rsidR="00373A9B">
        <w:t xml:space="preserve">of </w:t>
      </w:r>
      <w:r w:rsidR="00984504">
        <w:t>what</w:t>
      </w:r>
      <w:r w:rsidR="002B601F">
        <w:t xml:space="preserve"> Riessman (2008: 10) calls the ‘</w:t>
      </w:r>
      <w:r w:rsidR="00984504">
        <w:t>deep structures</w:t>
      </w:r>
      <w:r w:rsidR="002B601F">
        <w:t>’</w:t>
      </w:r>
      <w:r w:rsidR="00984504">
        <w:t xml:space="preserve"> </w:t>
      </w:r>
      <w:r w:rsidR="003A318B">
        <w:t>concerning</w:t>
      </w:r>
      <w:r w:rsidR="00984504">
        <w:t xml:space="preserve"> the nature of life in a particular culture. </w:t>
      </w:r>
      <w:r w:rsidR="00135EF6">
        <w:t xml:space="preserve">For novice researchers, we hope that through this book, you will gain an insight into why we chose to create the narratives that appear here, and what work we see our narratives doing. If you are embarking on your own research you may find this helpful in thinking about the possibilities of constructing narratives of your own. </w:t>
      </w:r>
    </w:p>
    <w:p w:rsidR="005120F1" w:rsidRDefault="005120F1" w:rsidP="005120F1">
      <w:pPr>
        <w:pStyle w:val="arialbodytextdouble"/>
      </w:pPr>
    </w:p>
    <w:p w:rsidR="005A7D4E" w:rsidRDefault="001A02C7" w:rsidP="005120F1">
      <w:pPr>
        <w:pStyle w:val="arialbodytextdouble"/>
      </w:pPr>
      <w:r>
        <w:t>As editor</w:t>
      </w:r>
      <w:r w:rsidR="007B38DE">
        <w:t xml:space="preserve"> alongside Penelope Harnett</w:t>
      </w:r>
      <w:r>
        <w:t xml:space="preserve">, what strikes me forcefully is that the chapters in this book </w:t>
      </w:r>
      <w:r w:rsidR="003A318B">
        <w:t>demonstrate</w:t>
      </w:r>
      <w:r>
        <w:t xml:space="preserve"> that</w:t>
      </w:r>
      <w:r w:rsidR="005A7D4E">
        <w:t xml:space="preserve"> n</w:t>
      </w:r>
      <w:r>
        <w:t xml:space="preserve">arrative inquiry is not simply one amongst a range of </w:t>
      </w:r>
      <w:r w:rsidR="005A7D4E">
        <w:t xml:space="preserve">means of </w:t>
      </w:r>
      <w:r>
        <w:t xml:space="preserve">doing and </w:t>
      </w:r>
      <w:r w:rsidR="005A7D4E">
        <w:t xml:space="preserve">reporting research. Engaging </w:t>
      </w:r>
      <w:r w:rsidR="00206686">
        <w:t xml:space="preserve">in </w:t>
      </w:r>
      <w:r w:rsidR="005A7D4E">
        <w:t>narrative and life history research involves an investment of the self, a commitment to the issu</w:t>
      </w:r>
      <w:r w:rsidR="00206686">
        <w:t xml:space="preserve">es being addressed, and a desire to create </w:t>
      </w:r>
      <w:r w:rsidR="00670A60">
        <w:t xml:space="preserve">re-presentations that </w:t>
      </w:r>
      <w:r w:rsidR="00D227C9">
        <w:t>reflect our own commitments. I end this introduction with a fleeting glimpse of that commitment, from an email sent with one of the chapters in this book. It could stand for all of us:</w:t>
      </w:r>
    </w:p>
    <w:p w:rsidR="00135EF6" w:rsidRDefault="00135EF6" w:rsidP="005120F1">
      <w:pPr>
        <w:pStyle w:val="arialbodytextdouble"/>
      </w:pPr>
      <w:r w:rsidRPr="005120F1">
        <w:rPr>
          <w:i/>
        </w:rPr>
        <w:t>One last edit! Sorry, to keep tinkering but this one is special to me. No more wordsmithing for now.</w:t>
      </w:r>
      <w:r>
        <w:t xml:space="preserve"> (James Rolling, email</w:t>
      </w:r>
      <w:r w:rsidR="00EE7908">
        <w:t>,</w:t>
      </w:r>
      <w:r>
        <w:t xml:space="preserve"> 17 April 2009)</w:t>
      </w:r>
    </w:p>
    <w:p w:rsidR="00135EF6" w:rsidRDefault="00135EF6" w:rsidP="00827726">
      <w:pPr>
        <w:pStyle w:val="arialbodytextsingle"/>
      </w:pPr>
    </w:p>
    <w:p w:rsidR="00827726" w:rsidRDefault="00827726" w:rsidP="00827726">
      <w:pPr>
        <w:pStyle w:val="Heading3"/>
      </w:pPr>
      <w:r>
        <w:t>References</w:t>
      </w:r>
    </w:p>
    <w:p w:rsidR="007F0EB5" w:rsidRDefault="007F0EB5" w:rsidP="00172587">
      <w:pPr>
        <w:pStyle w:val="arialbibldoubleandindent"/>
      </w:pPr>
    </w:p>
    <w:p w:rsidR="00746DBF" w:rsidRPr="00617935" w:rsidRDefault="00746DBF" w:rsidP="00172587">
      <w:pPr>
        <w:pStyle w:val="arialbibldoubleandindent"/>
      </w:pPr>
      <w:r w:rsidRPr="00617935">
        <w:t>Alvesson, M. and Sk</w:t>
      </w:r>
      <w:r w:rsidRPr="00617935">
        <w:rPr>
          <w:rFonts w:cs="Arial"/>
        </w:rPr>
        <w:t>ö</w:t>
      </w:r>
      <w:r w:rsidRPr="00617935">
        <w:t xml:space="preserve">ldberg, K. (2000) </w:t>
      </w:r>
      <w:r w:rsidRPr="00172587">
        <w:rPr>
          <w:i/>
        </w:rPr>
        <w:t>Reflexive Methodology. New Vistas for Qualitative Research,</w:t>
      </w:r>
      <w:r w:rsidRPr="00617935">
        <w:t xml:space="preserve"> </w:t>
      </w:r>
      <w:smartTag w:uri="urn:schemas-microsoft-com:office:smarttags" w:element="place">
        <w:smartTag w:uri="urn:schemas-microsoft-com:office:smarttags" w:element="City">
          <w:r w:rsidRPr="00617935">
            <w:t>London</w:t>
          </w:r>
        </w:smartTag>
      </w:smartTag>
      <w:r w:rsidRPr="00617935">
        <w:t>: Sage.</w:t>
      </w:r>
    </w:p>
    <w:p w:rsidR="002A6955" w:rsidRDefault="002A6955" w:rsidP="00172587">
      <w:pPr>
        <w:pStyle w:val="arialbibldoubleandindent"/>
      </w:pPr>
      <w:r>
        <w:t xml:space="preserve">Beck, U. (1992) </w:t>
      </w:r>
      <w:r w:rsidRPr="00172587">
        <w:rPr>
          <w:i/>
        </w:rPr>
        <w:t>Risk Society: Towards a New Modernity,</w:t>
      </w:r>
      <w:r>
        <w:t xml:space="preserve"> </w:t>
      </w:r>
      <w:smartTag w:uri="urn:schemas-microsoft-com:office:smarttags" w:element="place">
        <w:smartTag w:uri="urn:schemas-microsoft-com:office:smarttags" w:element="City">
          <w:r>
            <w:t>London</w:t>
          </w:r>
        </w:smartTag>
      </w:smartTag>
      <w:r>
        <w:t>: Sage.</w:t>
      </w:r>
    </w:p>
    <w:p w:rsidR="002A6955" w:rsidRDefault="002A6955" w:rsidP="00172587">
      <w:pPr>
        <w:pStyle w:val="arialbibldoubleandindent"/>
      </w:pPr>
      <w:r>
        <w:lastRenderedPageBreak/>
        <w:t xml:space="preserve">Berlant, L. (2008) </w:t>
      </w:r>
      <w:r w:rsidRPr="00172587">
        <w:rPr>
          <w:i/>
        </w:rPr>
        <w:t>The Female Complaint: The Unfinished Business of Sentimentality in American Culture,</w:t>
      </w:r>
      <w:r>
        <w:t xml:space="preserve"> </w:t>
      </w:r>
      <w:smartTag w:uri="urn:schemas-microsoft-com:office:smarttags" w:element="place">
        <w:smartTag w:uri="urn:schemas-microsoft-com:office:smarttags" w:element="City">
          <w:r>
            <w:t>Durham</w:t>
          </w:r>
        </w:smartTag>
        <w:r>
          <w:t xml:space="preserve">, </w:t>
        </w:r>
        <w:smartTag w:uri="urn:schemas-microsoft-com:office:smarttags" w:element="State">
          <w:r>
            <w:t>NC</w:t>
          </w:r>
        </w:smartTag>
      </w:smartTag>
      <w:r>
        <w:t>: Duke University Press.</w:t>
      </w:r>
    </w:p>
    <w:p w:rsidR="002A6955" w:rsidRDefault="002A6955" w:rsidP="00172587">
      <w:pPr>
        <w:pStyle w:val="arialbibldoubleandindent"/>
      </w:pPr>
      <w:r>
        <w:t xml:space="preserve">Biesta, G., Hodkinson, P. and Goodson, I. (2005) Combining life history and life-course approaches in researching lifelong learning: some methodological observations from the ‘Learning Lives’ project. Paper presented at the TLRP Research Capacity Building Network Methods and Methodologies in Teaching and Learning Research in </w:t>
      </w:r>
      <w:smartTag w:uri="urn:schemas-microsoft-com:office:smarttags" w:element="City">
        <w:smartTag w:uri="urn:schemas-microsoft-com:office:smarttags" w:element="place">
          <w:r>
            <w:t>Cardiff</w:t>
          </w:r>
        </w:smartTag>
      </w:smartTag>
      <w:r>
        <w:t>, 22 February 2005.</w:t>
      </w:r>
      <w:r w:rsidR="00AA0B0F">
        <w:t xml:space="preserve"> </w:t>
      </w:r>
      <w:hyperlink r:id="rId7" w:history="1">
        <w:r w:rsidR="00AA0B0F" w:rsidRPr="00F639BE">
          <w:rPr>
            <w:rStyle w:val="Hyperlink"/>
            <w:lang w:val="en-IE"/>
          </w:rPr>
          <w:t>http://www.tlrp.org/dpace/retrieve/1369/EX_GB_PH_IG_TLRP+conference+Cardiff_Feb_2005+paper.doc</w:t>
        </w:r>
      </w:hyperlink>
      <w:r w:rsidR="00AA0B0F">
        <w:rPr>
          <w:lang w:val="en-IE"/>
        </w:rPr>
        <w:t xml:space="preserve"> Accessed 15/03/2007</w:t>
      </w:r>
    </w:p>
    <w:p w:rsidR="002A6955" w:rsidRDefault="002A6955" w:rsidP="00172587">
      <w:pPr>
        <w:pStyle w:val="arialbibldoubleandindent"/>
        <w:rPr>
          <w:rFonts w:cs="Arial"/>
        </w:rPr>
      </w:pPr>
      <w:r>
        <w:rPr>
          <w:rFonts w:cs="Arial"/>
        </w:rPr>
        <w:t xml:space="preserve">Casey, K. (1995) The New Narrative Research in Education, </w:t>
      </w:r>
      <w:r w:rsidRPr="00172587">
        <w:rPr>
          <w:rFonts w:cs="Arial"/>
          <w:i/>
          <w:iCs/>
        </w:rPr>
        <w:t>Review of Research in Education,</w:t>
      </w:r>
      <w:r>
        <w:rPr>
          <w:rFonts w:cs="Arial"/>
        </w:rPr>
        <w:t xml:space="preserve"> 21, 1: 211-253.</w:t>
      </w:r>
    </w:p>
    <w:p w:rsidR="002A6955" w:rsidRDefault="002A6955" w:rsidP="00172587">
      <w:pPr>
        <w:pStyle w:val="arialbibldoubleandindent"/>
      </w:pPr>
      <w:r>
        <w:t xml:space="preserve">Chase, S. E. (2005) Narrative Inquiry. Multiple Lenses, Approaches, Voices, in Denzin, N. K. and Lincoln, Y. S. (eds) </w:t>
      </w:r>
      <w:r w:rsidRPr="00172587">
        <w:rPr>
          <w:i/>
        </w:rPr>
        <w:t>The Sage Handbook of Qualitative Research</w:t>
      </w:r>
      <w:r>
        <w:t xml:space="preserve"> (3</w:t>
      </w:r>
      <w:r w:rsidRPr="0054677E">
        <w:rPr>
          <w:vertAlign w:val="superscript"/>
        </w:rPr>
        <w:t>rd</w:t>
      </w:r>
      <w:r>
        <w:t xml:space="preserve"> ed), </w:t>
      </w:r>
      <w:smartTag w:uri="urn:schemas-microsoft-com:office:smarttags" w:element="place">
        <w:smartTag w:uri="urn:schemas-microsoft-com:office:smarttags" w:element="City">
          <w:r>
            <w:t>London</w:t>
          </w:r>
        </w:smartTag>
      </w:smartTag>
      <w:r w:rsidR="00172587">
        <w:t>: Sage, 651-680.</w:t>
      </w:r>
    </w:p>
    <w:p w:rsidR="002A6955" w:rsidRPr="001B2408" w:rsidRDefault="002A6955" w:rsidP="00172587">
      <w:pPr>
        <w:pStyle w:val="arialbibldoubleandindent"/>
      </w:pPr>
      <w:r>
        <w:t xml:space="preserve">Clandinin, D.J. and Connelly, F.M. (2000) </w:t>
      </w:r>
      <w:r w:rsidRPr="00172587">
        <w:rPr>
          <w:i/>
        </w:rPr>
        <w:t>Narrative Inquiry: Experience and Story in Qualitative Research,</w:t>
      </w:r>
      <w:r>
        <w:t xml:space="preserve"> </w:t>
      </w:r>
      <w:smartTag w:uri="urn:schemas-microsoft-com:office:smarttags" w:element="place">
        <w:smartTag w:uri="urn:schemas-microsoft-com:office:smarttags" w:element="City">
          <w:r w:rsidRPr="001B2408">
            <w:t>San Fransisco</w:t>
          </w:r>
        </w:smartTag>
        <w:r w:rsidRPr="001B2408">
          <w:t xml:space="preserve">, </w:t>
        </w:r>
        <w:smartTag w:uri="urn:schemas-microsoft-com:office:smarttags" w:element="State">
          <w:r w:rsidRPr="001B2408">
            <w:t>California</w:t>
          </w:r>
        </w:smartTag>
      </w:smartTag>
      <w:r w:rsidRPr="001B2408">
        <w:t>: Jossey-Bass.</w:t>
      </w:r>
    </w:p>
    <w:p w:rsidR="002A6955" w:rsidRDefault="002A6955" w:rsidP="00172587">
      <w:pPr>
        <w:pStyle w:val="arialbibldoubleandindent"/>
      </w:pPr>
      <w:r>
        <w:t xml:space="preserve">Coffield, F. (ed) (1999) </w:t>
      </w:r>
      <w:r w:rsidRPr="00172587">
        <w:rPr>
          <w:i/>
        </w:rPr>
        <w:t>Speaking Truth to Power. Research and Policy on Lifelong Learning,</w:t>
      </w:r>
      <w:r>
        <w:t xml:space="preserve"> </w:t>
      </w:r>
      <w:smartTag w:uri="urn:schemas-microsoft-com:office:smarttags" w:element="place">
        <w:smartTag w:uri="urn:schemas-microsoft-com:office:smarttags" w:element="City">
          <w:r>
            <w:t>Bristol</w:t>
          </w:r>
        </w:smartTag>
      </w:smartTag>
      <w:r>
        <w:t>: Policy Press.</w:t>
      </w:r>
    </w:p>
    <w:p w:rsidR="002A6955" w:rsidRDefault="002A6955" w:rsidP="00172587">
      <w:pPr>
        <w:pStyle w:val="arialbibldoubleandindent"/>
      </w:pPr>
      <w:r>
        <w:t xml:space="preserve">Denzin, N. K. (2008) The Elephant in the Living Room: or extending the conversation about the politics of evidence, </w:t>
      </w:r>
      <w:r w:rsidR="00172587">
        <w:t xml:space="preserve">in </w:t>
      </w:r>
      <w:r>
        <w:t xml:space="preserve">J. Satherthwaite, M. Watts and H. Piper (eds) </w:t>
      </w:r>
      <w:r w:rsidRPr="00E44EAF">
        <w:rPr>
          <w:i/>
          <w:iCs/>
        </w:rPr>
        <w:t>Talking Truth, Confronting Power</w:t>
      </w:r>
      <w:r w:rsidRPr="00E44EAF">
        <w:rPr>
          <w:i/>
        </w:rPr>
        <w:t>,</w:t>
      </w:r>
      <w:r>
        <w:t xml:space="preserve"> Stoke on </w:t>
      </w:r>
      <w:smartTag w:uri="urn:schemas-microsoft-com:office:smarttags" w:element="place">
        <w:smartTag w:uri="urn:schemas-microsoft-com:office:smarttags" w:element="City">
          <w:r>
            <w:t>Trent</w:t>
          </w:r>
        </w:smartTag>
      </w:smartTag>
      <w:r>
        <w:t>: Trentham,</w:t>
      </w:r>
      <w:r>
        <w:rPr>
          <w:b/>
          <w:bCs/>
        </w:rPr>
        <w:t xml:space="preserve"> </w:t>
      </w:r>
      <w:r>
        <w:t>1-16.</w:t>
      </w:r>
    </w:p>
    <w:p w:rsidR="00746DBF" w:rsidRPr="00AB19CC" w:rsidRDefault="00746DBF" w:rsidP="00172587">
      <w:pPr>
        <w:pStyle w:val="arialbibldoubleandindent"/>
      </w:pPr>
      <w:r>
        <w:lastRenderedPageBreak/>
        <w:t>Ecclestone, K. (2004</w:t>
      </w:r>
      <w:r w:rsidRPr="00AB19CC">
        <w:t xml:space="preserve">) From Freire to fear: the rise of therapeutic pedagogy in post-16 education, </w:t>
      </w:r>
      <w:r w:rsidR="00E44EAF">
        <w:t>i</w:t>
      </w:r>
      <w:r w:rsidRPr="00AB19CC">
        <w:t>n J. Satterthwai</w:t>
      </w:r>
      <w:r>
        <w:t>te, E. Atkinson and W. Martin (eds)</w:t>
      </w:r>
      <w:r w:rsidRPr="00AB19CC">
        <w:t xml:space="preserve"> </w:t>
      </w:r>
      <w:r w:rsidRPr="00E44EAF">
        <w:rPr>
          <w:i/>
        </w:rPr>
        <w:t>The disciplining of education, new languages of power and resistance,</w:t>
      </w:r>
      <w:r w:rsidRPr="00AB19CC">
        <w:t xml:space="preserve"> Stoke on </w:t>
      </w:r>
      <w:smartTag w:uri="urn:schemas-microsoft-com:office:smarttags" w:element="place">
        <w:smartTag w:uri="urn:schemas-microsoft-com:office:smarttags" w:element="City">
          <w:r w:rsidRPr="00AB19CC">
            <w:t>Trent</w:t>
          </w:r>
        </w:smartTag>
      </w:smartTag>
      <w:r w:rsidRPr="00AB19CC">
        <w:t>: Trentham</w:t>
      </w:r>
      <w:r w:rsidR="00172587">
        <w:t xml:space="preserve">, </w:t>
      </w:r>
      <w:r>
        <w:t>117-136.</w:t>
      </w:r>
    </w:p>
    <w:p w:rsidR="00746DBF" w:rsidRPr="00AB19CC" w:rsidRDefault="00746DBF" w:rsidP="00172587">
      <w:pPr>
        <w:pStyle w:val="arialbibldoubleandindent"/>
      </w:pPr>
      <w:r w:rsidRPr="00AB19CC">
        <w:t xml:space="preserve">Ecclestone, K. (2007) Resisting images of the 'diminished self': the implications of emotional well-being and emotional engagement in education policy, </w:t>
      </w:r>
      <w:r w:rsidRPr="00E44EAF">
        <w:rPr>
          <w:i/>
        </w:rPr>
        <w:t>Journal of Education Policy,</w:t>
      </w:r>
      <w:r w:rsidRPr="00AB19CC">
        <w:t xml:space="preserve"> 22, 4, 455-470</w:t>
      </w:r>
      <w:r>
        <w:t>.</w:t>
      </w:r>
    </w:p>
    <w:p w:rsidR="00746DBF" w:rsidRDefault="00746DBF" w:rsidP="00172587">
      <w:pPr>
        <w:pStyle w:val="arialbibldoubleandindent"/>
      </w:pPr>
      <w:r w:rsidRPr="00BF010D">
        <w:rPr>
          <w:bCs/>
        </w:rPr>
        <w:t>Flyvbjerg</w:t>
      </w:r>
      <w:r w:rsidRPr="00BF010D">
        <w:t>, B. (</w:t>
      </w:r>
      <w:r w:rsidRPr="00BF010D">
        <w:rPr>
          <w:bCs/>
        </w:rPr>
        <w:t>2006</w:t>
      </w:r>
      <w:r w:rsidRPr="00BF010D">
        <w:t>)</w:t>
      </w:r>
      <w:r>
        <w:t xml:space="preserve"> Five misunderstandings a</w:t>
      </w:r>
      <w:r w:rsidRPr="00BF010D">
        <w:t xml:space="preserve">bout </w:t>
      </w:r>
      <w:r>
        <w:t>c</w:t>
      </w:r>
      <w:r w:rsidRPr="00BF010D">
        <w:rPr>
          <w:bCs/>
        </w:rPr>
        <w:t>ase</w:t>
      </w:r>
      <w:r w:rsidRPr="00BF010D">
        <w:t>-</w:t>
      </w:r>
      <w:r>
        <w:rPr>
          <w:bCs/>
        </w:rPr>
        <w:t>s</w:t>
      </w:r>
      <w:r w:rsidRPr="00BF010D">
        <w:rPr>
          <w:bCs/>
        </w:rPr>
        <w:t xml:space="preserve">tudy </w:t>
      </w:r>
      <w:r>
        <w:rPr>
          <w:bCs/>
        </w:rPr>
        <w:t>r</w:t>
      </w:r>
      <w:r w:rsidRPr="00BF010D">
        <w:rPr>
          <w:bCs/>
        </w:rPr>
        <w:t>esearch</w:t>
      </w:r>
      <w:r w:rsidRPr="00BF010D">
        <w:t xml:space="preserve">, </w:t>
      </w:r>
      <w:r w:rsidRPr="00E44EAF">
        <w:rPr>
          <w:i/>
        </w:rPr>
        <w:t>Qualitative Inquiry,</w:t>
      </w:r>
      <w:r w:rsidRPr="00BF010D">
        <w:t xml:space="preserve"> 12</w:t>
      </w:r>
      <w:r>
        <w:t xml:space="preserve">, </w:t>
      </w:r>
      <w:r w:rsidRPr="00BF010D">
        <w:t>2</w:t>
      </w:r>
      <w:r>
        <w:t>:</w:t>
      </w:r>
      <w:r w:rsidRPr="00BF010D">
        <w:t xml:space="preserve"> 219-245</w:t>
      </w:r>
      <w:r>
        <w:t>.</w:t>
      </w:r>
    </w:p>
    <w:p w:rsidR="002A6955" w:rsidRDefault="002A6955" w:rsidP="00172587">
      <w:pPr>
        <w:pStyle w:val="arialbibldoubleandindent"/>
      </w:pPr>
      <w:r>
        <w:t xml:space="preserve">Giddens, A. (1991) </w:t>
      </w:r>
      <w:r w:rsidRPr="00E44EAF">
        <w:rPr>
          <w:i/>
        </w:rPr>
        <w:t>Modernity and Self-Identity: Self and Identity in the Late Modern Age,</w:t>
      </w:r>
      <w:r>
        <w:t xml:space="preserve"> </w:t>
      </w:r>
      <w:smartTag w:uri="urn:schemas-microsoft-com:office:smarttags" w:element="place">
        <w:smartTag w:uri="urn:schemas-microsoft-com:office:smarttags" w:element="City">
          <w:r>
            <w:t>Oxford</w:t>
          </w:r>
        </w:smartTag>
      </w:smartTag>
      <w:r>
        <w:t>: Polity.</w:t>
      </w:r>
    </w:p>
    <w:p w:rsidR="002A6955" w:rsidRPr="00021B54" w:rsidRDefault="002A6955" w:rsidP="00172587">
      <w:pPr>
        <w:pStyle w:val="arialbibldoubleandindent"/>
      </w:pPr>
      <w:r>
        <w:t xml:space="preserve">Goodson, I. (2005) </w:t>
      </w:r>
      <w:r w:rsidRPr="00E44EAF">
        <w:rPr>
          <w:i/>
        </w:rPr>
        <w:t>Learning, Curriculum and Life Politics,</w:t>
      </w:r>
      <w:r>
        <w:t xml:space="preserve"> </w:t>
      </w:r>
      <w:smartTag w:uri="urn:schemas-microsoft-com:office:smarttags" w:element="place">
        <w:smartTag w:uri="urn:schemas-microsoft-com:office:smarttags" w:element="City">
          <w:r>
            <w:t>London</w:t>
          </w:r>
        </w:smartTag>
      </w:smartTag>
      <w:r>
        <w:t>: Routledge.</w:t>
      </w:r>
    </w:p>
    <w:p w:rsidR="002A6955" w:rsidRDefault="002A6955" w:rsidP="00172587">
      <w:pPr>
        <w:pStyle w:val="arialbibldoubleandindent"/>
      </w:pPr>
      <w:r>
        <w:t xml:space="preserve">Goodson, </w:t>
      </w:r>
      <w:smartTag w:uri="urn:schemas-microsoft-com:office:smarttags" w:element="place">
        <w:r>
          <w:t>I.</w:t>
        </w:r>
      </w:smartTag>
      <w:r>
        <w:t xml:space="preserve"> (2007) All the lonely people: the struggle for private meaning and public purpose in education, </w:t>
      </w:r>
      <w:r w:rsidRPr="00E44EAF">
        <w:rPr>
          <w:i/>
          <w:iCs/>
        </w:rPr>
        <w:t>Critical Studies in Education,</w:t>
      </w:r>
      <w:r>
        <w:t xml:space="preserve"> </w:t>
      </w:r>
      <w:r w:rsidRPr="002A6955">
        <w:rPr>
          <w:bCs/>
        </w:rPr>
        <w:t>48</w:t>
      </w:r>
      <w:r w:rsidRPr="002A6955">
        <w:t>,</w:t>
      </w:r>
      <w:r>
        <w:t xml:space="preserve"> 1: 131-148.</w:t>
      </w:r>
    </w:p>
    <w:p w:rsidR="009F0301" w:rsidRDefault="009F0301" w:rsidP="00172587">
      <w:pPr>
        <w:pStyle w:val="arialbibldoubleandindent"/>
      </w:pPr>
      <w:r>
        <w:t xml:space="preserve">Goodson, I. &amp; Sikes, P. (2001) </w:t>
      </w:r>
      <w:r>
        <w:rPr>
          <w:rStyle w:val="Emphasis"/>
        </w:rPr>
        <w:t>Life History Research in Educational Settings: Learning From Lives</w:t>
      </w:r>
      <w:r>
        <w:t xml:space="preserve"> Buckingham, Open University Press</w:t>
      </w:r>
      <w:r w:rsidR="00E44EAF">
        <w:t>.</w:t>
      </w:r>
    </w:p>
    <w:p w:rsidR="00465D4F" w:rsidRDefault="00465D4F" w:rsidP="00172587">
      <w:pPr>
        <w:pStyle w:val="arialbibldoubleandindent"/>
      </w:pPr>
      <w:r>
        <w:t xml:space="preserve">Hodkinson, P. and Hodkinson, H. (2001) The Strengths and Limitations of Case Study Research. Paper presented at the Learning and Skills Development Agency Conference at </w:t>
      </w:r>
      <w:smartTag w:uri="urn:schemas-microsoft-com:office:smarttags" w:element="City">
        <w:smartTag w:uri="urn:schemas-microsoft-com:office:smarttags" w:element="place">
          <w:r>
            <w:t>Cambridge</w:t>
          </w:r>
        </w:smartTag>
      </w:smartTag>
      <w:r>
        <w:t>, 5-7 December, 2001.</w:t>
      </w:r>
    </w:p>
    <w:p w:rsidR="0022437E" w:rsidRDefault="0022437E" w:rsidP="00172587">
      <w:pPr>
        <w:pStyle w:val="arialbibldoubleandindent"/>
        <w:rPr>
          <w:rFonts w:cs="Arial"/>
        </w:rPr>
      </w:pPr>
      <w:r>
        <w:rPr>
          <w:rFonts w:cs="Arial"/>
        </w:rPr>
        <w:t xml:space="preserve">Lieblich, A., Tuval-Maschiach, R. and Tamar, Z. (1998) </w:t>
      </w:r>
      <w:r w:rsidRPr="00E44EAF">
        <w:rPr>
          <w:rFonts w:cs="Arial"/>
          <w:i/>
          <w:iCs/>
        </w:rPr>
        <w:t xml:space="preserve">Narrative Research. </w:t>
      </w:r>
      <w:smartTag w:uri="urn:schemas-microsoft-com:office:smarttags" w:element="City">
        <w:r w:rsidRPr="00E44EAF">
          <w:rPr>
            <w:rFonts w:cs="Arial"/>
            <w:i/>
            <w:iCs/>
          </w:rPr>
          <w:t>Reading</w:t>
        </w:r>
      </w:smartTag>
      <w:r w:rsidRPr="00E44EAF">
        <w:rPr>
          <w:rFonts w:cs="Arial"/>
          <w:i/>
          <w:iCs/>
        </w:rPr>
        <w:t>, Analysis and Interpretation</w:t>
      </w:r>
      <w:r w:rsidRPr="00E44EAF">
        <w:rPr>
          <w:rFonts w:cs="Arial"/>
          <w:i/>
        </w:rPr>
        <w:t>,</w:t>
      </w:r>
      <w:r>
        <w:rPr>
          <w:rFonts w:cs="Arial"/>
        </w:rPr>
        <w:t xml:space="preserve"> </w:t>
      </w:r>
      <w:smartTag w:uri="urn:schemas-microsoft-com:office:smarttags" w:element="City">
        <w:r>
          <w:rPr>
            <w:rFonts w:cs="Arial"/>
          </w:rPr>
          <w:t>Thousand Oaks</w:t>
        </w:r>
      </w:smartTag>
      <w:r>
        <w:rPr>
          <w:rFonts w:cs="Arial"/>
        </w:rPr>
        <w:t xml:space="preserve">, Ca and </w:t>
      </w:r>
      <w:smartTag w:uri="urn:schemas-microsoft-com:office:smarttags" w:element="place">
        <w:smartTag w:uri="urn:schemas-microsoft-com:office:smarttags" w:element="City">
          <w:r>
            <w:rPr>
              <w:rFonts w:cs="Arial"/>
            </w:rPr>
            <w:t>London</w:t>
          </w:r>
        </w:smartTag>
      </w:smartTag>
      <w:r>
        <w:rPr>
          <w:rFonts w:cs="Arial"/>
        </w:rPr>
        <w:t>: Sage.</w:t>
      </w:r>
    </w:p>
    <w:p w:rsidR="0022437E" w:rsidRDefault="0022437E" w:rsidP="00172587">
      <w:pPr>
        <w:pStyle w:val="arialbibldoubleandindent"/>
      </w:pPr>
      <w:smartTag w:uri="urn:schemas-microsoft-com:office:smarttags" w:element="City">
        <w:r>
          <w:lastRenderedPageBreak/>
          <w:t>Lincoln</w:t>
        </w:r>
      </w:smartTag>
      <w:r>
        <w:t xml:space="preserve">, Y.S. and Denzin, N.K. (2005) Epilogue: the eight and ninth moments – qualitative research in/and the fracture future, in Denzin, N.K. and </w:t>
      </w:r>
      <w:smartTag w:uri="urn:schemas-microsoft-com:office:smarttags" w:element="City">
        <w:r>
          <w:t>Lincoln</w:t>
        </w:r>
      </w:smartTag>
      <w:r>
        <w:t xml:space="preserve">, Y.S. (eds) </w:t>
      </w:r>
      <w:r w:rsidRPr="00E44EAF">
        <w:rPr>
          <w:i/>
          <w:iCs/>
        </w:rPr>
        <w:t>The Sage Handbook of Qualitative Research</w:t>
      </w:r>
      <w:r>
        <w:rPr>
          <w:iCs/>
        </w:rPr>
        <w:t xml:space="preserve"> (3rd ed)</w:t>
      </w:r>
      <w:r>
        <w:t xml:space="preserve">, </w:t>
      </w:r>
      <w:smartTag w:uri="urn:schemas-microsoft-com:office:smarttags" w:element="place">
        <w:smartTag w:uri="urn:schemas-microsoft-com:office:smarttags" w:element="City">
          <w:r>
            <w:t>Thousand Oaks</w:t>
          </w:r>
        </w:smartTag>
      </w:smartTag>
      <w:r>
        <w:t>, Ca: Sage:</w:t>
      </w:r>
      <w:r>
        <w:rPr>
          <w:bCs/>
        </w:rPr>
        <w:t xml:space="preserve"> 1115-1126.</w:t>
      </w:r>
    </w:p>
    <w:p w:rsidR="002A6955" w:rsidRDefault="002A6955" w:rsidP="00172587">
      <w:pPr>
        <w:pStyle w:val="arialbibldoubleandindent"/>
      </w:pPr>
      <w:r>
        <w:t xml:space="preserve">McCarthey, S.J. and Moje, E.B. (2002) Identity matters, </w:t>
      </w:r>
      <w:r w:rsidRPr="00E44EAF">
        <w:rPr>
          <w:i/>
        </w:rPr>
        <w:t>Reading Research Quarterly,</w:t>
      </w:r>
      <w:r>
        <w:t xml:space="preserve"> 37, 2: 228-238.</w:t>
      </w:r>
    </w:p>
    <w:p w:rsidR="002A6955" w:rsidRDefault="002A6955" w:rsidP="00172587">
      <w:pPr>
        <w:pStyle w:val="arialbibldoubleandindent"/>
      </w:pPr>
      <w:r>
        <w:t xml:space="preserve">Plummer, K. (2001) </w:t>
      </w:r>
      <w:r>
        <w:rPr>
          <w:rStyle w:val="Emphasis"/>
        </w:rPr>
        <w:t>Documents of Life 2: An Invitation to a Critical Humanism</w:t>
      </w:r>
      <w:r>
        <w:t xml:space="preserve"> </w:t>
      </w:r>
      <w:smartTag w:uri="urn:schemas-microsoft-com:office:smarttags" w:element="City">
        <w:smartTag w:uri="urn:schemas-microsoft-com:office:smarttags" w:element="place">
          <w:r>
            <w:t>London</w:t>
          </w:r>
        </w:smartTag>
      </w:smartTag>
      <w:r>
        <w:t>, Sage.</w:t>
      </w:r>
    </w:p>
    <w:p w:rsidR="002A6955" w:rsidRDefault="002A6955" w:rsidP="00172587">
      <w:pPr>
        <w:pStyle w:val="arialbibldoubleandindent"/>
      </w:pPr>
      <w:r>
        <w:t xml:space="preserve">Riessman, C. K. (2008) </w:t>
      </w:r>
      <w:r w:rsidRPr="00E44EAF">
        <w:rPr>
          <w:i/>
        </w:rPr>
        <w:t>Narrative Methods for the Human Sciences,</w:t>
      </w:r>
      <w:r>
        <w:t xml:space="preserve"> </w:t>
      </w:r>
      <w:smartTag w:uri="urn:schemas-microsoft-com:office:smarttags" w:element="place">
        <w:smartTag w:uri="urn:schemas-microsoft-com:office:smarttags" w:element="City">
          <w:r>
            <w:t>Los Angeles</w:t>
          </w:r>
        </w:smartTag>
      </w:smartTag>
      <w:r>
        <w:t>: Sage.</w:t>
      </w:r>
    </w:p>
    <w:p w:rsidR="002A6955" w:rsidRDefault="002A6955" w:rsidP="00172587">
      <w:pPr>
        <w:pStyle w:val="arialbibliography"/>
        <w:ind w:left="720" w:hanging="720"/>
      </w:pPr>
      <w:r>
        <w:t>Watts, M. (2008)</w:t>
      </w:r>
      <w:r w:rsidR="00746DBF">
        <w:t xml:space="preserve"> Narrative research, narrative capital, narrative capability, </w:t>
      </w:r>
      <w:r w:rsidR="00E44EAF">
        <w:t>in</w:t>
      </w:r>
      <w:r>
        <w:t xml:space="preserve"> Satterthwaite, J., Watts, M. and Piper, H. (eds) </w:t>
      </w:r>
      <w:r w:rsidRPr="00990360">
        <w:rPr>
          <w:i/>
        </w:rPr>
        <w:t>Talking Truth, Confronting Power,</w:t>
      </w:r>
      <w:r>
        <w:t xml:space="preserve"> Stoke on </w:t>
      </w:r>
      <w:smartTag w:uri="urn:schemas-microsoft-com:office:smarttags" w:element="place">
        <w:smartTag w:uri="urn:schemas-microsoft-com:office:smarttags" w:element="City">
          <w:r>
            <w:t>Trent</w:t>
          </w:r>
        </w:smartTag>
      </w:smartTag>
      <w:r w:rsidR="00746DBF">
        <w:t>: Trentham, pp.99-112.</w:t>
      </w:r>
    </w:p>
    <w:p w:rsidR="00DC7D8B" w:rsidRPr="001864C6" w:rsidRDefault="002A6955" w:rsidP="00172587">
      <w:pPr>
        <w:pStyle w:val="arialbibldoubleandindent"/>
      </w:pPr>
      <w:r>
        <w:t>Wood</w:t>
      </w:r>
      <w:r w:rsidR="00465D4F">
        <w:t>, H.</w:t>
      </w:r>
      <w:r>
        <w:t xml:space="preserve"> and Skeggs</w:t>
      </w:r>
      <w:r w:rsidR="00465D4F">
        <w:t xml:space="preserve">, B. </w:t>
      </w:r>
      <w:r w:rsidR="00607800">
        <w:t xml:space="preserve">(2008) </w:t>
      </w:r>
      <w:r w:rsidR="00465D4F">
        <w:t>Spectacular Morality: ‘Reality’ television, individualisation and the re-ma</w:t>
      </w:r>
      <w:r w:rsidR="00E44EAF">
        <w:t>king of the working class, in</w:t>
      </w:r>
      <w:r w:rsidR="00DC7D8B">
        <w:t xml:space="preserve"> </w:t>
      </w:r>
      <w:r w:rsidR="00DC7D8B" w:rsidRPr="001864C6">
        <w:t xml:space="preserve">D. Hesmonhalgh and J.Toynbee (eds) </w:t>
      </w:r>
      <w:r w:rsidR="00DC7D8B" w:rsidRPr="00DC7D8B">
        <w:rPr>
          <w:i/>
        </w:rPr>
        <w:t>Media and Social Theory,</w:t>
      </w:r>
      <w:r w:rsidR="00DC7D8B">
        <w:t xml:space="preserve"> </w:t>
      </w:r>
      <w:smartTag w:uri="urn:schemas-microsoft-com:office:smarttags" w:element="City">
        <w:r w:rsidR="00DC7D8B">
          <w:t>Lon</w:t>
        </w:r>
        <w:r w:rsidR="00E44EAF">
          <w:t>don</w:t>
        </w:r>
      </w:smartTag>
      <w:r w:rsidR="00E44EAF">
        <w:t xml:space="preserve"> and </w:t>
      </w:r>
      <w:smartTag w:uri="urn:schemas-microsoft-com:office:smarttags" w:element="place">
        <w:smartTag w:uri="urn:schemas-microsoft-com:office:smarttags" w:element="State">
          <w:r w:rsidR="00E44EAF">
            <w:t>New York</w:t>
          </w:r>
        </w:smartTag>
      </w:smartTag>
      <w:r w:rsidR="00E44EAF">
        <w:t xml:space="preserve">: Routledge, </w:t>
      </w:r>
      <w:r w:rsidR="00DC7D8B">
        <w:t>177-194.</w:t>
      </w:r>
    </w:p>
    <w:p w:rsidR="00BB3CCF" w:rsidRDefault="002A6955" w:rsidP="00172587">
      <w:pPr>
        <w:pStyle w:val="arialbibldoubleandindent"/>
      </w:pPr>
      <w:r>
        <w:t xml:space="preserve">Wright Mills, C. (1970 [1959]) </w:t>
      </w:r>
      <w:r w:rsidRPr="00E4124C">
        <w:rPr>
          <w:i/>
        </w:rPr>
        <w:t>The Sociological Imagination,</w:t>
      </w:r>
      <w:r>
        <w:t xml:space="preserve"> Harmondsworth: Penguin.</w:t>
      </w:r>
    </w:p>
    <w:sectPr w:rsidR="00BB3CCF">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F42" w:rsidRDefault="000E1F42">
      <w:r>
        <w:separator/>
      </w:r>
    </w:p>
  </w:endnote>
  <w:endnote w:type="continuationSeparator" w:id="0">
    <w:p w:rsidR="000E1F42" w:rsidRDefault="000E1F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7C" w:rsidRDefault="00CF6E7C" w:rsidP="006A26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CF6E7C" w:rsidRDefault="00CF6E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7C" w:rsidRDefault="00CF6E7C" w:rsidP="006A26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4291">
      <w:rPr>
        <w:rStyle w:val="PageNumber"/>
        <w:noProof/>
      </w:rPr>
      <w:t>1</w:t>
    </w:r>
    <w:r>
      <w:rPr>
        <w:rStyle w:val="PageNumber"/>
      </w:rPr>
      <w:fldChar w:fldCharType="end"/>
    </w:r>
  </w:p>
  <w:p w:rsidR="00CF6E7C" w:rsidRDefault="00CF6E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F42" w:rsidRDefault="000E1F42">
      <w:r>
        <w:separator/>
      </w:r>
    </w:p>
  </w:footnote>
  <w:footnote w:type="continuationSeparator" w:id="0">
    <w:p w:rsidR="000E1F42" w:rsidRDefault="000E1F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64F68"/>
    <w:multiLevelType w:val="singleLevel"/>
    <w:tmpl w:val="F93ABCD2"/>
    <w:lvl w:ilvl="0">
      <w:start w:val="1"/>
      <w:numFmt w:val="decimal"/>
      <w:lvlText w:val="%1)"/>
      <w:lvlJc w:val="left"/>
      <w:pPr>
        <w:tabs>
          <w:tab w:val="num" w:pos="360"/>
        </w:tabs>
        <w:ind w:left="360" w:hanging="360"/>
      </w:pPr>
      <w:rPr>
        <w:rFonts w:hint="default"/>
        <w:i/>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58D3"/>
    <w:rsid w:val="0000061D"/>
    <w:rsid w:val="000046D9"/>
    <w:rsid w:val="000130C5"/>
    <w:rsid w:val="000145B1"/>
    <w:rsid w:val="0002014B"/>
    <w:rsid w:val="000639A2"/>
    <w:rsid w:val="000642EE"/>
    <w:rsid w:val="000644F7"/>
    <w:rsid w:val="0009268E"/>
    <w:rsid w:val="000B0F1B"/>
    <w:rsid w:val="000B2B3C"/>
    <w:rsid w:val="000B2D66"/>
    <w:rsid w:val="000B5E83"/>
    <w:rsid w:val="000C0495"/>
    <w:rsid w:val="000C6DDA"/>
    <w:rsid w:val="000D4E6C"/>
    <w:rsid w:val="000D6361"/>
    <w:rsid w:val="000E1F42"/>
    <w:rsid w:val="000F17FE"/>
    <w:rsid w:val="000F5A6C"/>
    <w:rsid w:val="00100759"/>
    <w:rsid w:val="00100BAA"/>
    <w:rsid w:val="00113C14"/>
    <w:rsid w:val="0012357E"/>
    <w:rsid w:val="00124DEB"/>
    <w:rsid w:val="0013570C"/>
    <w:rsid w:val="00135EF6"/>
    <w:rsid w:val="00137509"/>
    <w:rsid w:val="00141711"/>
    <w:rsid w:val="001476A3"/>
    <w:rsid w:val="00153ABD"/>
    <w:rsid w:val="001579EA"/>
    <w:rsid w:val="00172587"/>
    <w:rsid w:val="0017366D"/>
    <w:rsid w:val="00180D2F"/>
    <w:rsid w:val="00187409"/>
    <w:rsid w:val="001914DD"/>
    <w:rsid w:val="00193D2F"/>
    <w:rsid w:val="0019674B"/>
    <w:rsid w:val="001A02C7"/>
    <w:rsid w:val="001A64E0"/>
    <w:rsid w:val="001B0F6B"/>
    <w:rsid w:val="00204D24"/>
    <w:rsid w:val="00206686"/>
    <w:rsid w:val="00211A16"/>
    <w:rsid w:val="00217578"/>
    <w:rsid w:val="00221C8E"/>
    <w:rsid w:val="0022437E"/>
    <w:rsid w:val="00230EC0"/>
    <w:rsid w:val="00242183"/>
    <w:rsid w:val="002442A2"/>
    <w:rsid w:val="00252A9B"/>
    <w:rsid w:val="002532F2"/>
    <w:rsid w:val="00256033"/>
    <w:rsid w:val="00273A37"/>
    <w:rsid w:val="00275446"/>
    <w:rsid w:val="002758D3"/>
    <w:rsid w:val="00281013"/>
    <w:rsid w:val="002861AA"/>
    <w:rsid w:val="002878E1"/>
    <w:rsid w:val="0029357C"/>
    <w:rsid w:val="00297BDB"/>
    <w:rsid w:val="002A0742"/>
    <w:rsid w:val="002A0C68"/>
    <w:rsid w:val="002A6955"/>
    <w:rsid w:val="002B1529"/>
    <w:rsid w:val="002B42B3"/>
    <w:rsid w:val="002B601F"/>
    <w:rsid w:val="002D017C"/>
    <w:rsid w:val="002D6A90"/>
    <w:rsid w:val="002D6DB6"/>
    <w:rsid w:val="002F57B2"/>
    <w:rsid w:val="0030675D"/>
    <w:rsid w:val="00323E98"/>
    <w:rsid w:val="003241BD"/>
    <w:rsid w:val="00327372"/>
    <w:rsid w:val="00353C86"/>
    <w:rsid w:val="003566D6"/>
    <w:rsid w:val="003646C6"/>
    <w:rsid w:val="0036775C"/>
    <w:rsid w:val="003716CC"/>
    <w:rsid w:val="00372D94"/>
    <w:rsid w:val="00373A9B"/>
    <w:rsid w:val="0038145B"/>
    <w:rsid w:val="003A318B"/>
    <w:rsid w:val="003C3D6E"/>
    <w:rsid w:val="003D0876"/>
    <w:rsid w:val="003D1B66"/>
    <w:rsid w:val="0040595B"/>
    <w:rsid w:val="0040609D"/>
    <w:rsid w:val="00406F3C"/>
    <w:rsid w:val="004076E2"/>
    <w:rsid w:val="00415048"/>
    <w:rsid w:val="00443D24"/>
    <w:rsid w:val="00460A77"/>
    <w:rsid w:val="00461D1D"/>
    <w:rsid w:val="004656DC"/>
    <w:rsid w:val="00465D4F"/>
    <w:rsid w:val="00492A10"/>
    <w:rsid w:val="00494ABA"/>
    <w:rsid w:val="004A4E0F"/>
    <w:rsid w:val="004A5B82"/>
    <w:rsid w:val="004B0A27"/>
    <w:rsid w:val="004C015D"/>
    <w:rsid w:val="004C025B"/>
    <w:rsid w:val="004C1BE8"/>
    <w:rsid w:val="004C520F"/>
    <w:rsid w:val="004C7291"/>
    <w:rsid w:val="004E0E6C"/>
    <w:rsid w:val="004E20F7"/>
    <w:rsid w:val="004E4614"/>
    <w:rsid w:val="004E678F"/>
    <w:rsid w:val="00502277"/>
    <w:rsid w:val="0050636C"/>
    <w:rsid w:val="005120F1"/>
    <w:rsid w:val="00513C77"/>
    <w:rsid w:val="00514EF1"/>
    <w:rsid w:val="00521602"/>
    <w:rsid w:val="0052656F"/>
    <w:rsid w:val="005508E8"/>
    <w:rsid w:val="00571348"/>
    <w:rsid w:val="005763DE"/>
    <w:rsid w:val="00581D91"/>
    <w:rsid w:val="0058306A"/>
    <w:rsid w:val="005A7D4E"/>
    <w:rsid w:val="005B0FA5"/>
    <w:rsid w:val="005C2EC8"/>
    <w:rsid w:val="005C71E5"/>
    <w:rsid w:val="005D3530"/>
    <w:rsid w:val="005E1BEF"/>
    <w:rsid w:val="005F16F1"/>
    <w:rsid w:val="00601D30"/>
    <w:rsid w:val="006028B8"/>
    <w:rsid w:val="00607800"/>
    <w:rsid w:val="00611765"/>
    <w:rsid w:val="006144EA"/>
    <w:rsid w:val="006341F0"/>
    <w:rsid w:val="00640589"/>
    <w:rsid w:val="006520E0"/>
    <w:rsid w:val="006539D2"/>
    <w:rsid w:val="00656E8C"/>
    <w:rsid w:val="006634D6"/>
    <w:rsid w:val="00665251"/>
    <w:rsid w:val="00665F1A"/>
    <w:rsid w:val="00670A60"/>
    <w:rsid w:val="0067270B"/>
    <w:rsid w:val="0068369B"/>
    <w:rsid w:val="00687AA4"/>
    <w:rsid w:val="006A2621"/>
    <w:rsid w:val="006C19A0"/>
    <w:rsid w:val="006E0FE4"/>
    <w:rsid w:val="006E2901"/>
    <w:rsid w:val="006E3DB9"/>
    <w:rsid w:val="006F1D28"/>
    <w:rsid w:val="0070024E"/>
    <w:rsid w:val="007209E3"/>
    <w:rsid w:val="00745C93"/>
    <w:rsid w:val="00746DBF"/>
    <w:rsid w:val="00754752"/>
    <w:rsid w:val="0077535F"/>
    <w:rsid w:val="00781B65"/>
    <w:rsid w:val="007866C8"/>
    <w:rsid w:val="007877C7"/>
    <w:rsid w:val="007909F6"/>
    <w:rsid w:val="007910F9"/>
    <w:rsid w:val="00791CFC"/>
    <w:rsid w:val="00793A04"/>
    <w:rsid w:val="007945CF"/>
    <w:rsid w:val="007B38DE"/>
    <w:rsid w:val="007B5926"/>
    <w:rsid w:val="007B6403"/>
    <w:rsid w:val="007C4E74"/>
    <w:rsid w:val="007C78FE"/>
    <w:rsid w:val="007E5082"/>
    <w:rsid w:val="007E73CE"/>
    <w:rsid w:val="007F0EB5"/>
    <w:rsid w:val="007F4A27"/>
    <w:rsid w:val="008018F2"/>
    <w:rsid w:val="00801E5A"/>
    <w:rsid w:val="00811769"/>
    <w:rsid w:val="008121AF"/>
    <w:rsid w:val="00817F4F"/>
    <w:rsid w:val="00827726"/>
    <w:rsid w:val="00830C34"/>
    <w:rsid w:val="0085013A"/>
    <w:rsid w:val="0085100E"/>
    <w:rsid w:val="00852CA7"/>
    <w:rsid w:val="00853EF2"/>
    <w:rsid w:val="00865B96"/>
    <w:rsid w:val="00876A8A"/>
    <w:rsid w:val="0088576A"/>
    <w:rsid w:val="0089358D"/>
    <w:rsid w:val="008A398D"/>
    <w:rsid w:val="008D0A8D"/>
    <w:rsid w:val="008D60DD"/>
    <w:rsid w:val="008D6418"/>
    <w:rsid w:val="008D73C7"/>
    <w:rsid w:val="008F092B"/>
    <w:rsid w:val="008F4CD9"/>
    <w:rsid w:val="008F67BB"/>
    <w:rsid w:val="00904342"/>
    <w:rsid w:val="009137D7"/>
    <w:rsid w:val="009139F6"/>
    <w:rsid w:val="00915126"/>
    <w:rsid w:val="00924A75"/>
    <w:rsid w:val="009323B0"/>
    <w:rsid w:val="0094279C"/>
    <w:rsid w:val="00945555"/>
    <w:rsid w:val="00963F2F"/>
    <w:rsid w:val="009650C4"/>
    <w:rsid w:val="0097014A"/>
    <w:rsid w:val="009721EB"/>
    <w:rsid w:val="00973166"/>
    <w:rsid w:val="00973AD8"/>
    <w:rsid w:val="009762A1"/>
    <w:rsid w:val="00984504"/>
    <w:rsid w:val="009B0911"/>
    <w:rsid w:val="009B22CC"/>
    <w:rsid w:val="009B7E12"/>
    <w:rsid w:val="009C0063"/>
    <w:rsid w:val="009E04E3"/>
    <w:rsid w:val="009E0EA6"/>
    <w:rsid w:val="009F0301"/>
    <w:rsid w:val="00A276BB"/>
    <w:rsid w:val="00A316F7"/>
    <w:rsid w:val="00A37F5A"/>
    <w:rsid w:val="00A42017"/>
    <w:rsid w:val="00A541B3"/>
    <w:rsid w:val="00A73D18"/>
    <w:rsid w:val="00A84B25"/>
    <w:rsid w:val="00A8501A"/>
    <w:rsid w:val="00A94557"/>
    <w:rsid w:val="00AA0B0F"/>
    <w:rsid w:val="00AD570D"/>
    <w:rsid w:val="00AD73BF"/>
    <w:rsid w:val="00AE099F"/>
    <w:rsid w:val="00AE62FE"/>
    <w:rsid w:val="00AF341F"/>
    <w:rsid w:val="00B10AC6"/>
    <w:rsid w:val="00B125A9"/>
    <w:rsid w:val="00B20DB8"/>
    <w:rsid w:val="00B2529C"/>
    <w:rsid w:val="00B37F92"/>
    <w:rsid w:val="00B47D96"/>
    <w:rsid w:val="00B544A5"/>
    <w:rsid w:val="00B54E6B"/>
    <w:rsid w:val="00B657B8"/>
    <w:rsid w:val="00B75545"/>
    <w:rsid w:val="00B75AB1"/>
    <w:rsid w:val="00B82CC8"/>
    <w:rsid w:val="00B8391E"/>
    <w:rsid w:val="00B87D5E"/>
    <w:rsid w:val="00BA0B4E"/>
    <w:rsid w:val="00BA22C3"/>
    <w:rsid w:val="00BA587F"/>
    <w:rsid w:val="00BB3CCF"/>
    <w:rsid w:val="00BB3D4C"/>
    <w:rsid w:val="00BC3B2A"/>
    <w:rsid w:val="00BD6FFA"/>
    <w:rsid w:val="00BE2DBB"/>
    <w:rsid w:val="00BE6BC1"/>
    <w:rsid w:val="00BF010D"/>
    <w:rsid w:val="00C12F9F"/>
    <w:rsid w:val="00C34924"/>
    <w:rsid w:val="00C37D58"/>
    <w:rsid w:val="00C425E6"/>
    <w:rsid w:val="00C432A4"/>
    <w:rsid w:val="00C65522"/>
    <w:rsid w:val="00C666BF"/>
    <w:rsid w:val="00C70FE2"/>
    <w:rsid w:val="00C77998"/>
    <w:rsid w:val="00C84F20"/>
    <w:rsid w:val="00CD25A3"/>
    <w:rsid w:val="00CD4FA6"/>
    <w:rsid w:val="00CE57B2"/>
    <w:rsid w:val="00CF2509"/>
    <w:rsid w:val="00CF6E7C"/>
    <w:rsid w:val="00D1566F"/>
    <w:rsid w:val="00D227C9"/>
    <w:rsid w:val="00D33BEA"/>
    <w:rsid w:val="00D438B4"/>
    <w:rsid w:val="00D45AEA"/>
    <w:rsid w:val="00D51B28"/>
    <w:rsid w:val="00D73FBB"/>
    <w:rsid w:val="00DA6900"/>
    <w:rsid w:val="00DB1195"/>
    <w:rsid w:val="00DB1B2D"/>
    <w:rsid w:val="00DB70B9"/>
    <w:rsid w:val="00DC7D8B"/>
    <w:rsid w:val="00DD229D"/>
    <w:rsid w:val="00DD4291"/>
    <w:rsid w:val="00E1435C"/>
    <w:rsid w:val="00E2273A"/>
    <w:rsid w:val="00E23EFF"/>
    <w:rsid w:val="00E25550"/>
    <w:rsid w:val="00E44EAF"/>
    <w:rsid w:val="00E460AF"/>
    <w:rsid w:val="00E500E6"/>
    <w:rsid w:val="00E61D1C"/>
    <w:rsid w:val="00E65963"/>
    <w:rsid w:val="00E74350"/>
    <w:rsid w:val="00E7592D"/>
    <w:rsid w:val="00E85E73"/>
    <w:rsid w:val="00E8649B"/>
    <w:rsid w:val="00E873A8"/>
    <w:rsid w:val="00E92512"/>
    <w:rsid w:val="00E964F2"/>
    <w:rsid w:val="00EA3030"/>
    <w:rsid w:val="00EC53CD"/>
    <w:rsid w:val="00EE7908"/>
    <w:rsid w:val="00EF19CE"/>
    <w:rsid w:val="00EF65BF"/>
    <w:rsid w:val="00F041D4"/>
    <w:rsid w:val="00F05CF9"/>
    <w:rsid w:val="00F10542"/>
    <w:rsid w:val="00F25FFC"/>
    <w:rsid w:val="00F339E4"/>
    <w:rsid w:val="00F507B0"/>
    <w:rsid w:val="00F63FBB"/>
    <w:rsid w:val="00F722C2"/>
    <w:rsid w:val="00F9366B"/>
    <w:rsid w:val="00FC0672"/>
    <w:rsid w:val="00FC4515"/>
    <w:rsid w:val="00FD1411"/>
    <w:rsid w:val="00FD530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C432A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145B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87AA4"/>
    <w:pPr>
      <w:keepNext/>
      <w:spacing w:before="240" w:after="60"/>
      <w:outlineLvl w:val="2"/>
    </w:pPr>
    <w:rPr>
      <w:rFonts w:ascii="Arial" w:hAnsi="Arial" w:cs="Arial"/>
      <w:b/>
      <w:bCs/>
      <w:sz w:val="26"/>
      <w:szCs w:val="26"/>
    </w:rPr>
  </w:style>
  <w:style w:type="paragraph" w:styleId="Heading4">
    <w:name w:val="heading 4"/>
    <w:basedOn w:val="Normal"/>
    <w:next w:val="Normal"/>
    <w:qFormat/>
    <w:rsid w:val="000145B1"/>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rialbodytextsingle">
    <w:name w:val="arial body text single"/>
    <w:basedOn w:val="BodyText"/>
    <w:link w:val="arialbodytextsingleCharChar"/>
    <w:rsid w:val="00C432A4"/>
    <w:rPr>
      <w:rFonts w:ascii="Arial" w:hAnsi="Arial"/>
    </w:rPr>
  </w:style>
  <w:style w:type="character" w:customStyle="1" w:styleId="arialbodytextsingleCharChar">
    <w:name w:val="arial body text single Char Char"/>
    <w:basedOn w:val="DefaultParagraphFont"/>
    <w:link w:val="arialbodytextsingle"/>
    <w:rsid w:val="00C432A4"/>
    <w:rPr>
      <w:rFonts w:ascii="Arial" w:hAnsi="Arial"/>
      <w:sz w:val="24"/>
      <w:szCs w:val="24"/>
      <w:lang w:val="en-GB" w:eastAsia="en-GB" w:bidi="ar-SA"/>
    </w:rPr>
  </w:style>
  <w:style w:type="paragraph" w:styleId="BodyText">
    <w:name w:val="Body Text"/>
    <w:basedOn w:val="Normal"/>
    <w:rsid w:val="00C432A4"/>
    <w:pPr>
      <w:spacing w:after="120"/>
    </w:pPr>
  </w:style>
  <w:style w:type="paragraph" w:customStyle="1" w:styleId="arialindentedquote">
    <w:name w:val="arial indented quote"/>
    <w:basedOn w:val="arialbodytextsingle"/>
    <w:rsid w:val="000F17FE"/>
    <w:pPr>
      <w:spacing w:before="120"/>
      <w:ind w:left="567" w:right="567"/>
    </w:pPr>
    <w:rPr>
      <w:szCs w:val="18"/>
    </w:rPr>
  </w:style>
  <w:style w:type="paragraph" w:customStyle="1" w:styleId="authors">
    <w:name w:val="authors"/>
    <w:basedOn w:val="Normal"/>
    <w:rsid w:val="000145B1"/>
    <w:pPr>
      <w:spacing w:before="100" w:beforeAutospacing="1" w:after="100" w:afterAutospacing="1"/>
    </w:pPr>
  </w:style>
  <w:style w:type="character" w:styleId="Strong">
    <w:name w:val="Strong"/>
    <w:basedOn w:val="DefaultParagraphFont"/>
    <w:qFormat/>
    <w:rsid w:val="000145B1"/>
    <w:rPr>
      <w:b/>
      <w:bCs/>
    </w:rPr>
  </w:style>
  <w:style w:type="paragraph" w:customStyle="1" w:styleId="bibliography">
    <w:name w:val="bibliography"/>
    <w:basedOn w:val="Normal"/>
    <w:link w:val="bibliographyChar"/>
    <w:rsid w:val="00973166"/>
    <w:pPr>
      <w:spacing w:before="60" w:after="120"/>
    </w:pPr>
    <w:rPr>
      <w:rFonts w:ascii="Book Antiqua" w:hAnsi="Book Antiqua"/>
      <w:szCs w:val="20"/>
      <w:lang w:eastAsia="en-US"/>
    </w:rPr>
  </w:style>
  <w:style w:type="character" w:customStyle="1" w:styleId="bibliographyChar">
    <w:name w:val="bibliography Char"/>
    <w:basedOn w:val="DefaultParagraphFont"/>
    <w:link w:val="bibliography"/>
    <w:rsid w:val="00973166"/>
    <w:rPr>
      <w:rFonts w:ascii="Book Antiqua" w:hAnsi="Book Antiqua"/>
      <w:sz w:val="24"/>
      <w:lang w:val="en-GB" w:eastAsia="en-US" w:bidi="ar-SA"/>
    </w:rPr>
  </w:style>
  <w:style w:type="character" w:customStyle="1" w:styleId="Heading3Char">
    <w:name w:val="Heading 3 Char"/>
    <w:basedOn w:val="DefaultParagraphFont"/>
    <w:link w:val="Heading3"/>
    <w:rsid w:val="00221C8E"/>
    <w:rPr>
      <w:rFonts w:ascii="Arial" w:hAnsi="Arial" w:cs="Arial"/>
      <w:b/>
      <w:bCs/>
      <w:sz w:val="26"/>
      <w:szCs w:val="26"/>
      <w:lang w:val="en-GB" w:eastAsia="en-GB" w:bidi="ar-SA"/>
    </w:rPr>
  </w:style>
  <w:style w:type="character" w:styleId="Emphasis">
    <w:name w:val="Emphasis"/>
    <w:basedOn w:val="DefaultParagraphFont"/>
    <w:qFormat/>
    <w:rsid w:val="00E92512"/>
    <w:rPr>
      <w:i/>
      <w:iCs/>
    </w:rPr>
  </w:style>
  <w:style w:type="paragraph" w:customStyle="1" w:styleId="bodytextarialsingle">
    <w:name w:val="body text arial single"/>
    <w:basedOn w:val="BodyText"/>
    <w:link w:val="bodytextarialsingleCharChar"/>
    <w:rsid w:val="00A8501A"/>
    <w:rPr>
      <w:rFonts w:ascii="Arial" w:hAnsi="Arial"/>
    </w:rPr>
  </w:style>
  <w:style w:type="character" w:customStyle="1" w:styleId="bodytextarialsingleCharChar">
    <w:name w:val="body text arial single Char Char"/>
    <w:basedOn w:val="DefaultParagraphFont"/>
    <w:link w:val="bodytextarialsingle"/>
    <w:rsid w:val="00A8501A"/>
    <w:rPr>
      <w:rFonts w:ascii="Arial" w:hAnsi="Arial"/>
      <w:sz w:val="24"/>
      <w:szCs w:val="24"/>
      <w:lang w:val="en-GB" w:eastAsia="en-GB" w:bidi="ar-SA"/>
    </w:rPr>
  </w:style>
  <w:style w:type="paragraph" w:customStyle="1" w:styleId="arialbibliography">
    <w:name w:val="arial bibliography"/>
    <w:basedOn w:val="Normal"/>
    <w:link w:val="arialbibliographyCharChar"/>
    <w:rsid w:val="00827726"/>
    <w:pPr>
      <w:spacing w:before="60" w:after="120"/>
    </w:pPr>
    <w:rPr>
      <w:rFonts w:ascii="Arial" w:hAnsi="Arial"/>
      <w:szCs w:val="20"/>
      <w:lang w:eastAsia="en-US"/>
    </w:rPr>
  </w:style>
  <w:style w:type="character" w:customStyle="1" w:styleId="arialbibliographyCharChar">
    <w:name w:val="arial bibliography Char Char"/>
    <w:basedOn w:val="DefaultParagraphFont"/>
    <w:link w:val="arialbibliography"/>
    <w:rsid w:val="00827726"/>
    <w:rPr>
      <w:rFonts w:ascii="Arial" w:hAnsi="Arial"/>
      <w:sz w:val="24"/>
      <w:lang w:val="en-GB" w:eastAsia="en-US" w:bidi="ar-SA"/>
    </w:rPr>
  </w:style>
  <w:style w:type="character" w:styleId="Hyperlink">
    <w:name w:val="Hyperlink"/>
    <w:basedOn w:val="DefaultParagraphFont"/>
    <w:rsid w:val="00827726"/>
    <w:rPr>
      <w:color w:val="0000FF"/>
      <w:u w:val="single"/>
    </w:rPr>
  </w:style>
  <w:style w:type="paragraph" w:styleId="Footer">
    <w:name w:val="footer"/>
    <w:basedOn w:val="Normal"/>
    <w:rsid w:val="000C6DDA"/>
    <w:pPr>
      <w:tabs>
        <w:tab w:val="center" w:pos="4153"/>
        <w:tab w:val="right" w:pos="8306"/>
      </w:tabs>
    </w:pPr>
  </w:style>
  <w:style w:type="character" w:styleId="PageNumber">
    <w:name w:val="page number"/>
    <w:basedOn w:val="DefaultParagraphFont"/>
    <w:rsid w:val="000C6DDA"/>
  </w:style>
  <w:style w:type="paragraph" w:styleId="BalloonText">
    <w:name w:val="Balloon Text"/>
    <w:basedOn w:val="Normal"/>
    <w:semiHidden/>
    <w:rsid w:val="00FC4515"/>
    <w:rPr>
      <w:rFonts w:ascii="Tahoma" w:hAnsi="Tahoma" w:cs="Tahoma"/>
      <w:sz w:val="16"/>
      <w:szCs w:val="16"/>
    </w:rPr>
  </w:style>
  <w:style w:type="character" w:styleId="CommentReference">
    <w:name w:val="annotation reference"/>
    <w:basedOn w:val="DefaultParagraphFont"/>
    <w:semiHidden/>
    <w:rsid w:val="00781B65"/>
    <w:rPr>
      <w:sz w:val="16"/>
      <w:szCs w:val="16"/>
    </w:rPr>
  </w:style>
  <w:style w:type="paragraph" w:styleId="CommentText">
    <w:name w:val="annotation text"/>
    <w:basedOn w:val="Normal"/>
    <w:semiHidden/>
    <w:rsid w:val="00781B65"/>
    <w:rPr>
      <w:sz w:val="20"/>
      <w:szCs w:val="20"/>
    </w:rPr>
  </w:style>
  <w:style w:type="paragraph" w:styleId="CommentSubject">
    <w:name w:val="annotation subject"/>
    <w:basedOn w:val="CommentText"/>
    <w:next w:val="CommentText"/>
    <w:semiHidden/>
    <w:rsid w:val="00781B65"/>
    <w:rPr>
      <w:b/>
      <w:bCs/>
    </w:rPr>
  </w:style>
  <w:style w:type="paragraph" w:customStyle="1" w:styleId="arialbibldoubleandindent">
    <w:name w:val="arial bibl double and indent"/>
    <w:basedOn w:val="arialbibliography"/>
    <w:rsid w:val="00172587"/>
    <w:pPr>
      <w:spacing w:line="480" w:lineRule="auto"/>
      <w:ind w:left="720" w:hanging="720"/>
    </w:pPr>
  </w:style>
  <w:style w:type="paragraph" w:customStyle="1" w:styleId="arialbodytextdouble">
    <w:name w:val="arial body text double"/>
    <w:basedOn w:val="arialbodytextsingle"/>
    <w:rsid w:val="00865B96"/>
    <w:pPr>
      <w:spacing w:after="0" w:line="480" w:lineRule="auto"/>
    </w:pPr>
  </w:style>
  <w:style w:type="character" w:styleId="FollowedHyperlink">
    <w:name w:val="FollowedHyperlink"/>
    <w:basedOn w:val="DefaultParagraphFont"/>
    <w:rsid w:val="00A541B3"/>
    <w:rPr>
      <w:color w:val="800080"/>
      <w:u w:val="single"/>
    </w:rPr>
  </w:style>
</w:styles>
</file>

<file path=word/webSettings.xml><?xml version="1.0" encoding="utf-8"?>
<w:webSettings xmlns:r="http://schemas.openxmlformats.org/officeDocument/2006/relationships" xmlns:w="http://schemas.openxmlformats.org/wordprocessingml/2006/main">
  <w:divs>
    <w:div w:id="187063851">
      <w:bodyDiv w:val="1"/>
      <w:marLeft w:val="0"/>
      <w:marRight w:val="0"/>
      <w:marTop w:val="0"/>
      <w:marBottom w:val="0"/>
      <w:divBdr>
        <w:top w:val="none" w:sz="0" w:space="0" w:color="auto"/>
        <w:left w:val="none" w:sz="0" w:space="0" w:color="auto"/>
        <w:bottom w:val="none" w:sz="0" w:space="0" w:color="auto"/>
        <w:right w:val="none" w:sz="0" w:space="0" w:color="auto"/>
      </w:divBdr>
    </w:div>
    <w:div w:id="707797305">
      <w:bodyDiv w:val="1"/>
      <w:marLeft w:val="0"/>
      <w:marRight w:val="0"/>
      <w:marTop w:val="0"/>
      <w:marBottom w:val="0"/>
      <w:divBdr>
        <w:top w:val="none" w:sz="0" w:space="0" w:color="auto"/>
        <w:left w:val="none" w:sz="0" w:space="0" w:color="auto"/>
        <w:bottom w:val="none" w:sz="0" w:space="0" w:color="auto"/>
        <w:right w:val="none" w:sz="0" w:space="0" w:color="auto"/>
      </w:divBdr>
      <w:divsChild>
        <w:div w:id="64037324">
          <w:marLeft w:val="0"/>
          <w:marRight w:val="0"/>
          <w:marTop w:val="0"/>
          <w:marBottom w:val="0"/>
          <w:divBdr>
            <w:top w:val="none" w:sz="0" w:space="0" w:color="auto"/>
            <w:left w:val="none" w:sz="0" w:space="0" w:color="auto"/>
            <w:bottom w:val="none" w:sz="0" w:space="0" w:color="auto"/>
            <w:right w:val="none" w:sz="0" w:space="0" w:color="auto"/>
          </w:divBdr>
        </w:div>
        <w:div w:id="459342696">
          <w:marLeft w:val="0"/>
          <w:marRight w:val="0"/>
          <w:marTop w:val="0"/>
          <w:marBottom w:val="0"/>
          <w:divBdr>
            <w:top w:val="none" w:sz="0" w:space="0" w:color="auto"/>
            <w:left w:val="none" w:sz="0" w:space="0" w:color="auto"/>
            <w:bottom w:val="none" w:sz="0" w:space="0" w:color="auto"/>
            <w:right w:val="none" w:sz="0" w:space="0" w:color="auto"/>
          </w:divBdr>
        </w:div>
        <w:div w:id="597905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lrp.org/dpace/retrieve/1369/EX_GB_PH_IG_TLRP+conference+Cardiff_Feb_2005+paper.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4357</Words>
  <Characters>24837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Narrative book chapter 1</vt:lpstr>
    </vt:vector>
  </TitlesOfParts>
  <Company>University of Birmingham</Company>
  <LinksUpToDate>false</LinksUpToDate>
  <CharactersWithSpaces>29136</CharactersWithSpaces>
  <SharedDoc>false</SharedDoc>
  <HLinks>
    <vt:vector size="6" baseType="variant">
      <vt:variant>
        <vt:i4>7077923</vt:i4>
      </vt:variant>
      <vt:variant>
        <vt:i4>0</vt:i4>
      </vt:variant>
      <vt:variant>
        <vt:i4>0</vt:i4>
      </vt:variant>
      <vt:variant>
        <vt:i4>5</vt:i4>
      </vt:variant>
      <vt:variant>
        <vt:lpwstr>http://www.tlrp.org/dpace/retrieve/1369/EX_GB_PH_IG_TLRP+conference+Cardiff_Feb_2005+paper.doc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Narrative book chapter 1</dc:title>
  <dc:subject/>
  <dc:creator>Ann-Marie</dc:creator>
  <cp:keywords/>
  <dc:description/>
  <cp:lastModifiedBy>Anna Lawson</cp:lastModifiedBy>
  <cp:revision>2</cp:revision>
  <cp:lastPrinted>2010-09-29T15:39:00Z</cp:lastPrinted>
  <dcterms:created xsi:type="dcterms:W3CDTF">2010-09-29T15:40:00Z</dcterms:created>
  <dcterms:modified xsi:type="dcterms:W3CDTF">2010-09-29T15:40:00Z</dcterms:modified>
</cp:coreProperties>
</file>