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B38" w:rsidRPr="007458E2" w:rsidRDefault="002E2ECB" w:rsidP="007458E2">
      <w:pPr>
        <w:pStyle w:val="Title"/>
      </w:pPr>
      <w:r w:rsidRPr="007458E2">
        <w:t>Deliberate Self-harm</w:t>
      </w:r>
      <w:r w:rsidR="00494E78" w:rsidRPr="007458E2">
        <w:t xml:space="preserve"> </w:t>
      </w:r>
      <w:r w:rsidR="008E34C1" w:rsidRPr="007458E2">
        <w:t>in the South West: Setting a</w:t>
      </w:r>
      <w:r w:rsidR="005F468C" w:rsidRPr="007458E2">
        <w:t xml:space="preserve"> Research Agenda</w:t>
      </w:r>
    </w:p>
    <w:p w:rsidR="004D0B38" w:rsidRPr="007458E2" w:rsidRDefault="004D0B38">
      <w:pPr>
        <w:rPr>
          <w:rFonts w:asciiTheme="minorHAnsi" w:hAnsiTheme="minorHAnsi"/>
        </w:rPr>
      </w:pPr>
      <w:r w:rsidRPr="007458E2">
        <w:rPr>
          <w:rFonts w:asciiTheme="minorHAnsi" w:hAnsiTheme="minorHAnsi"/>
        </w:rPr>
        <w:t>Yvette Morey</w:t>
      </w:r>
      <w:r w:rsidR="00053ADA" w:rsidRPr="007458E2">
        <w:rPr>
          <w:rFonts w:asciiTheme="minorHAnsi" w:hAnsiTheme="minorHAnsi"/>
          <w:vertAlign w:val="superscript"/>
        </w:rPr>
        <w:t>1</w:t>
      </w:r>
      <w:r w:rsidR="00494E78" w:rsidRPr="007458E2">
        <w:rPr>
          <w:rFonts w:asciiTheme="minorHAnsi" w:hAnsiTheme="minorHAnsi"/>
        </w:rPr>
        <w:t>,</w:t>
      </w:r>
      <w:r w:rsidRPr="007458E2">
        <w:rPr>
          <w:rFonts w:asciiTheme="minorHAnsi" w:hAnsiTheme="minorHAnsi"/>
        </w:rPr>
        <w:t xml:space="preserve"> Lynne Eagle</w:t>
      </w:r>
      <w:r w:rsidR="00053ADA" w:rsidRPr="007458E2">
        <w:rPr>
          <w:rFonts w:asciiTheme="minorHAnsi" w:hAnsiTheme="minorHAnsi"/>
          <w:vertAlign w:val="superscript"/>
        </w:rPr>
        <w:t>1</w:t>
      </w:r>
      <w:r w:rsidR="00236BAC" w:rsidRPr="007458E2">
        <w:rPr>
          <w:rFonts w:asciiTheme="minorHAnsi" w:hAnsiTheme="minorHAnsi"/>
        </w:rPr>
        <w:t xml:space="preserve">, </w:t>
      </w:r>
      <w:r w:rsidR="008E34C1" w:rsidRPr="007458E2">
        <w:rPr>
          <w:rFonts w:asciiTheme="minorHAnsi" w:hAnsiTheme="minorHAnsi"/>
        </w:rPr>
        <w:t>Julia Verne</w:t>
      </w:r>
      <w:r w:rsidR="008E34C1" w:rsidRPr="007458E2">
        <w:rPr>
          <w:rFonts w:asciiTheme="minorHAnsi" w:hAnsiTheme="minorHAnsi"/>
          <w:vertAlign w:val="superscript"/>
        </w:rPr>
        <w:t>2</w:t>
      </w:r>
      <w:r w:rsidR="008E34C1" w:rsidRPr="007458E2">
        <w:rPr>
          <w:rFonts w:asciiTheme="minorHAnsi" w:hAnsiTheme="minorHAnsi"/>
        </w:rPr>
        <w:t xml:space="preserve"> </w:t>
      </w:r>
      <w:r w:rsidR="00236BAC" w:rsidRPr="007458E2">
        <w:rPr>
          <w:rFonts w:asciiTheme="minorHAnsi" w:hAnsiTheme="minorHAnsi"/>
        </w:rPr>
        <w:t>&amp; Helen Cook</w:t>
      </w:r>
      <w:r w:rsidR="00236BAC" w:rsidRPr="007458E2">
        <w:rPr>
          <w:rFonts w:asciiTheme="minorHAnsi" w:hAnsiTheme="minorHAnsi"/>
          <w:vertAlign w:val="superscript"/>
        </w:rPr>
        <w:t>2</w:t>
      </w:r>
      <w:r w:rsidR="00236BAC" w:rsidRPr="007458E2">
        <w:rPr>
          <w:rFonts w:asciiTheme="minorHAnsi" w:hAnsiTheme="minorHAnsi"/>
        </w:rPr>
        <w:t xml:space="preserve"> </w:t>
      </w:r>
    </w:p>
    <w:p w:rsidR="00053ADA" w:rsidRPr="007458E2" w:rsidRDefault="00053ADA" w:rsidP="00053ADA">
      <w:pPr>
        <w:rPr>
          <w:rFonts w:asciiTheme="minorHAnsi" w:hAnsiTheme="minorHAnsi"/>
          <w:vertAlign w:val="superscript"/>
        </w:rPr>
      </w:pPr>
    </w:p>
    <w:p w:rsidR="00053ADA" w:rsidRPr="007458E2" w:rsidRDefault="00053ADA" w:rsidP="00053ADA">
      <w:pPr>
        <w:rPr>
          <w:rFonts w:asciiTheme="minorHAnsi" w:hAnsiTheme="minorHAnsi"/>
        </w:rPr>
      </w:pPr>
      <w:r w:rsidRPr="007458E2">
        <w:rPr>
          <w:rFonts w:asciiTheme="minorHAnsi" w:hAnsiTheme="minorHAnsi"/>
          <w:vertAlign w:val="superscript"/>
        </w:rPr>
        <w:t>1</w:t>
      </w:r>
      <w:r w:rsidRPr="007458E2">
        <w:rPr>
          <w:rFonts w:asciiTheme="minorHAnsi" w:hAnsiTheme="minorHAnsi"/>
        </w:rPr>
        <w:t>Bristol Social Marketing Centre,</w:t>
      </w:r>
    </w:p>
    <w:p w:rsidR="00053ADA" w:rsidRPr="007458E2" w:rsidRDefault="00053ADA" w:rsidP="00053ADA">
      <w:pPr>
        <w:rPr>
          <w:rFonts w:asciiTheme="minorHAnsi" w:hAnsiTheme="minorHAnsi"/>
        </w:rPr>
      </w:pPr>
      <w:r w:rsidRPr="007458E2">
        <w:rPr>
          <w:rFonts w:asciiTheme="minorHAnsi" w:hAnsiTheme="minorHAnsi"/>
        </w:rPr>
        <w:t>University of the West of England</w:t>
      </w:r>
    </w:p>
    <w:p w:rsidR="00053ADA" w:rsidRPr="007458E2" w:rsidRDefault="00053ADA" w:rsidP="00053ADA">
      <w:pPr>
        <w:rPr>
          <w:rFonts w:asciiTheme="minorHAnsi" w:hAnsiTheme="minorHAnsi"/>
        </w:rPr>
      </w:pPr>
      <w:r w:rsidRPr="007458E2">
        <w:rPr>
          <w:rFonts w:asciiTheme="minorHAnsi" w:hAnsiTheme="minorHAnsi"/>
        </w:rPr>
        <w:t>Coldharbour Lane</w:t>
      </w:r>
    </w:p>
    <w:p w:rsidR="00053ADA" w:rsidRPr="007458E2" w:rsidRDefault="00053ADA" w:rsidP="00053ADA">
      <w:pPr>
        <w:rPr>
          <w:rFonts w:asciiTheme="minorHAnsi" w:hAnsiTheme="minorHAnsi"/>
        </w:rPr>
      </w:pPr>
      <w:r w:rsidRPr="007458E2">
        <w:rPr>
          <w:rFonts w:asciiTheme="minorHAnsi" w:hAnsiTheme="minorHAnsi"/>
        </w:rPr>
        <w:t>Bristol BS 16 1QY</w:t>
      </w:r>
    </w:p>
    <w:p w:rsidR="00053ADA" w:rsidRPr="007458E2" w:rsidRDefault="00053ADA" w:rsidP="00053ADA">
      <w:pPr>
        <w:rPr>
          <w:rFonts w:asciiTheme="minorHAnsi" w:hAnsiTheme="minorHAnsi"/>
        </w:rPr>
      </w:pPr>
    </w:p>
    <w:p w:rsidR="00053ADA" w:rsidRPr="007458E2" w:rsidRDefault="00053ADA" w:rsidP="00053ADA">
      <w:pPr>
        <w:rPr>
          <w:rFonts w:asciiTheme="minorHAnsi" w:hAnsiTheme="minorHAnsi"/>
          <w:lang w:val="en-NZ"/>
        </w:rPr>
      </w:pPr>
      <w:r w:rsidRPr="007458E2">
        <w:rPr>
          <w:rFonts w:asciiTheme="minorHAnsi" w:hAnsiTheme="minorHAnsi"/>
          <w:vertAlign w:val="superscript"/>
        </w:rPr>
        <w:t>2</w:t>
      </w:r>
      <w:r w:rsidRPr="007458E2">
        <w:rPr>
          <w:rFonts w:asciiTheme="minorHAnsi" w:hAnsiTheme="minorHAnsi"/>
          <w:lang w:val="en-NZ"/>
        </w:rPr>
        <w:t>South West Public Health Observatory</w:t>
      </w:r>
    </w:p>
    <w:p w:rsidR="00053ADA" w:rsidRPr="007458E2" w:rsidRDefault="00053ADA" w:rsidP="00053ADA">
      <w:pPr>
        <w:rPr>
          <w:rFonts w:asciiTheme="minorHAnsi" w:hAnsiTheme="minorHAnsi"/>
          <w:lang w:val="en-NZ"/>
        </w:rPr>
      </w:pPr>
      <w:r w:rsidRPr="007458E2">
        <w:rPr>
          <w:rFonts w:asciiTheme="minorHAnsi" w:hAnsiTheme="minorHAnsi"/>
          <w:lang w:val="en-NZ"/>
        </w:rPr>
        <w:t>Grosvenor House</w:t>
      </w:r>
    </w:p>
    <w:p w:rsidR="00053ADA" w:rsidRPr="007458E2" w:rsidRDefault="00053ADA" w:rsidP="00053ADA">
      <w:pPr>
        <w:rPr>
          <w:rFonts w:asciiTheme="minorHAnsi" w:hAnsiTheme="minorHAnsi"/>
          <w:lang w:val="en-NZ"/>
        </w:rPr>
      </w:pPr>
      <w:r w:rsidRPr="007458E2">
        <w:rPr>
          <w:rFonts w:asciiTheme="minorHAnsi" w:hAnsiTheme="minorHAnsi"/>
          <w:lang w:val="en-NZ"/>
        </w:rPr>
        <w:t>149 Whiteladies Road</w:t>
      </w:r>
    </w:p>
    <w:p w:rsidR="00053ADA" w:rsidRPr="007458E2" w:rsidRDefault="00053ADA" w:rsidP="00053ADA">
      <w:pPr>
        <w:rPr>
          <w:rFonts w:asciiTheme="minorHAnsi" w:hAnsiTheme="minorHAnsi"/>
          <w:lang w:val="en-NZ"/>
        </w:rPr>
      </w:pPr>
      <w:r w:rsidRPr="007458E2">
        <w:rPr>
          <w:rFonts w:asciiTheme="minorHAnsi" w:hAnsiTheme="minorHAnsi"/>
          <w:lang w:val="en-NZ"/>
        </w:rPr>
        <w:t>Clifton</w:t>
      </w:r>
    </w:p>
    <w:p w:rsidR="00053ADA" w:rsidRPr="007458E2" w:rsidRDefault="00053ADA" w:rsidP="00053ADA">
      <w:pPr>
        <w:rPr>
          <w:rFonts w:asciiTheme="minorHAnsi" w:hAnsiTheme="minorHAnsi"/>
          <w:lang w:val="en-NZ"/>
        </w:rPr>
      </w:pPr>
      <w:r w:rsidRPr="007458E2">
        <w:rPr>
          <w:rFonts w:asciiTheme="minorHAnsi" w:hAnsiTheme="minorHAnsi"/>
          <w:lang w:val="en-NZ"/>
        </w:rPr>
        <w:t>Bristol BS8 2RA</w:t>
      </w:r>
    </w:p>
    <w:p w:rsidR="00053ADA" w:rsidRPr="007458E2" w:rsidRDefault="00053ADA" w:rsidP="00053ADA">
      <w:pPr>
        <w:rPr>
          <w:rFonts w:asciiTheme="minorHAnsi" w:hAnsiTheme="minorHAnsi"/>
          <w:b/>
          <w:lang w:val="en-NZ"/>
        </w:rPr>
      </w:pPr>
    </w:p>
    <w:p w:rsidR="00D913E6" w:rsidRDefault="005B7B29" w:rsidP="0030145A">
      <w:pPr>
        <w:jc w:val="both"/>
        <w:rPr>
          <w:rFonts w:asciiTheme="minorHAnsi" w:hAnsiTheme="minorHAnsi"/>
        </w:rPr>
      </w:pPr>
      <w:r w:rsidRPr="007458E2">
        <w:rPr>
          <w:rFonts w:asciiTheme="minorHAnsi" w:hAnsiTheme="minorHAnsi"/>
        </w:rPr>
        <w:t>This report addresses</w:t>
      </w:r>
      <w:r w:rsidR="00080BCB" w:rsidRPr="007458E2">
        <w:rPr>
          <w:rFonts w:asciiTheme="minorHAnsi" w:hAnsiTheme="minorHAnsi"/>
        </w:rPr>
        <w:t xml:space="preserve"> </w:t>
      </w:r>
      <w:r w:rsidRPr="007458E2">
        <w:rPr>
          <w:rFonts w:asciiTheme="minorHAnsi" w:hAnsiTheme="minorHAnsi"/>
        </w:rPr>
        <w:t>the</w:t>
      </w:r>
      <w:r w:rsidR="00080BCB" w:rsidRPr="007458E2">
        <w:rPr>
          <w:rFonts w:asciiTheme="minorHAnsi" w:hAnsiTheme="minorHAnsi"/>
        </w:rPr>
        <w:t xml:space="preserve"> r</w:t>
      </w:r>
      <w:r w:rsidRPr="007458E2">
        <w:rPr>
          <w:rFonts w:asciiTheme="minorHAnsi" w:hAnsiTheme="minorHAnsi"/>
        </w:rPr>
        <w:t>apid increase</w:t>
      </w:r>
      <w:r w:rsidR="00C36802" w:rsidRPr="007458E2">
        <w:rPr>
          <w:rFonts w:asciiTheme="minorHAnsi" w:hAnsiTheme="minorHAnsi"/>
        </w:rPr>
        <w:t xml:space="preserve"> </w:t>
      </w:r>
      <w:r w:rsidRPr="007458E2">
        <w:rPr>
          <w:rFonts w:asciiTheme="minorHAnsi" w:hAnsiTheme="minorHAnsi"/>
        </w:rPr>
        <w:t xml:space="preserve">in </w:t>
      </w:r>
      <w:r w:rsidR="00C36802" w:rsidRPr="007458E2">
        <w:rPr>
          <w:rFonts w:asciiTheme="minorHAnsi" w:hAnsiTheme="minorHAnsi"/>
        </w:rPr>
        <w:t xml:space="preserve">rates of </w:t>
      </w:r>
      <w:r w:rsidR="00AA72ED" w:rsidRPr="007458E2">
        <w:rPr>
          <w:rFonts w:asciiTheme="minorHAnsi" w:hAnsiTheme="minorHAnsi"/>
        </w:rPr>
        <w:t xml:space="preserve">deliberate </w:t>
      </w:r>
      <w:r w:rsidR="00C36802" w:rsidRPr="007458E2">
        <w:rPr>
          <w:rFonts w:asciiTheme="minorHAnsi" w:hAnsiTheme="minorHAnsi"/>
        </w:rPr>
        <w:t>self-</w:t>
      </w:r>
      <w:r w:rsidR="00080BCB" w:rsidRPr="007458E2">
        <w:rPr>
          <w:rFonts w:asciiTheme="minorHAnsi" w:hAnsiTheme="minorHAnsi"/>
        </w:rPr>
        <w:t>harm</w:t>
      </w:r>
      <w:r w:rsidR="00AA72ED" w:rsidRPr="007458E2">
        <w:rPr>
          <w:rFonts w:asciiTheme="minorHAnsi" w:hAnsiTheme="minorHAnsi"/>
        </w:rPr>
        <w:t xml:space="preserve"> (DSH)</w:t>
      </w:r>
      <w:r w:rsidR="00E44549" w:rsidRPr="007458E2">
        <w:rPr>
          <w:rFonts w:asciiTheme="minorHAnsi" w:hAnsiTheme="minorHAnsi"/>
        </w:rPr>
        <w:t xml:space="preserve">, particularly amongst young people, in the South West of England. We discuss a </w:t>
      </w:r>
      <w:r w:rsidR="00080BCB" w:rsidRPr="007458E2">
        <w:rPr>
          <w:rFonts w:asciiTheme="minorHAnsi" w:hAnsiTheme="minorHAnsi"/>
        </w:rPr>
        <w:t>r</w:t>
      </w:r>
      <w:r w:rsidR="00C36802" w:rsidRPr="007458E2">
        <w:rPr>
          <w:rFonts w:asciiTheme="minorHAnsi" w:hAnsiTheme="minorHAnsi"/>
        </w:rPr>
        <w:t>ecent audit of suicide and self-</w:t>
      </w:r>
      <w:r w:rsidR="00080BCB" w:rsidRPr="007458E2">
        <w:rPr>
          <w:rFonts w:asciiTheme="minorHAnsi" w:hAnsiTheme="minorHAnsi"/>
        </w:rPr>
        <w:t>harm</w:t>
      </w:r>
      <w:r w:rsidR="00E44549" w:rsidRPr="007458E2">
        <w:rPr>
          <w:rFonts w:asciiTheme="minorHAnsi" w:hAnsiTheme="minorHAnsi"/>
        </w:rPr>
        <w:t xml:space="preserve"> figures</w:t>
      </w:r>
      <w:r w:rsidRPr="007458E2">
        <w:rPr>
          <w:rFonts w:asciiTheme="minorHAnsi" w:hAnsiTheme="minorHAnsi"/>
        </w:rPr>
        <w:t xml:space="preserve"> </w:t>
      </w:r>
      <w:r w:rsidR="00080BCB" w:rsidRPr="007458E2">
        <w:rPr>
          <w:rFonts w:asciiTheme="minorHAnsi" w:hAnsiTheme="minorHAnsi"/>
        </w:rPr>
        <w:t>released by the South W</w:t>
      </w:r>
      <w:r w:rsidR="008E34C1" w:rsidRPr="007458E2">
        <w:rPr>
          <w:rFonts w:asciiTheme="minorHAnsi" w:hAnsiTheme="minorHAnsi"/>
        </w:rPr>
        <w:t>est Public Health Observatory (2010</w:t>
      </w:r>
      <w:r w:rsidR="00080BCB" w:rsidRPr="007458E2">
        <w:rPr>
          <w:rFonts w:asciiTheme="minorHAnsi" w:hAnsiTheme="minorHAnsi"/>
        </w:rPr>
        <w:t>)</w:t>
      </w:r>
      <w:fldSimple w:instr=" NOTEREF _Ref289187096 \h  \* MERGEFORMAT ">
        <w:r w:rsidR="00A934FC" w:rsidRPr="00A934FC">
          <w:rPr>
            <w:rFonts w:asciiTheme="minorHAnsi" w:hAnsiTheme="minorHAnsi"/>
            <w:vertAlign w:val="superscript"/>
          </w:rPr>
          <w:t>12</w:t>
        </w:r>
      </w:fldSimple>
      <w:r w:rsidR="00E44549" w:rsidRPr="007458E2">
        <w:rPr>
          <w:rFonts w:asciiTheme="minorHAnsi" w:hAnsiTheme="minorHAnsi"/>
        </w:rPr>
        <w:t xml:space="preserve"> in relation to the extant literature on </w:t>
      </w:r>
      <w:r w:rsidR="00117B5A" w:rsidRPr="007458E2">
        <w:rPr>
          <w:rFonts w:asciiTheme="minorHAnsi" w:hAnsiTheme="minorHAnsi"/>
        </w:rPr>
        <w:t>DSH</w:t>
      </w:r>
      <w:r w:rsidR="00A413A1" w:rsidRPr="007458E2">
        <w:rPr>
          <w:rFonts w:asciiTheme="minorHAnsi" w:hAnsiTheme="minorHAnsi"/>
        </w:rPr>
        <w:t>.</w:t>
      </w:r>
      <w:r w:rsidR="00E44549" w:rsidRPr="007458E2">
        <w:rPr>
          <w:rFonts w:asciiTheme="minorHAnsi" w:hAnsiTheme="minorHAnsi"/>
        </w:rPr>
        <w:t xml:space="preserve"> </w:t>
      </w:r>
      <w:r w:rsidR="00D93751">
        <w:rPr>
          <w:rFonts w:asciiTheme="minorHAnsi" w:hAnsiTheme="minorHAnsi"/>
        </w:rPr>
        <w:t xml:space="preserve">Much of this literature is dominated by a medical model, and is characterised by a diverse range of terminologies, definitions, categories, approaches and understandings about DSH, however a small but growing body of sociological, social psychological and ethnographic work also exists. A </w:t>
      </w:r>
      <w:r w:rsidR="00AB1EE0" w:rsidRPr="007458E2">
        <w:rPr>
          <w:rFonts w:asciiTheme="minorHAnsi" w:hAnsiTheme="minorHAnsi"/>
        </w:rPr>
        <w:t xml:space="preserve">number of interventions have been proposed </w:t>
      </w:r>
      <w:r w:rsidR="0030145A" w:rsidRPr="007458E2">
        <w:rPr>
          <w:rFonts w:asciiTheme="minorHAnsi" w:hAnsiTheme="minorHAnsi"/>
        </w:rPr>
        <w:t>or trialled</w:t>
      </w:r>
      <w:r w:rsidR="00AB1EE0" w:rsidRPr="007458E2">
        <w:rPr>
          <w:rFonts w:asciiTheme="minorHAnsi" w:hAnsiTheme="minorHAnsi"/>
        </w:rPr>
        <w:t xml:space="preserve"> in recent years</w:t>
      </w:r>
      <w:r w:rsidR="0030145A" w:rsidRPr="007458E2">
        <w:rPr>
          <w:rFonts w:asciiTheme="minorHAnsi" w:hAnsiTheme="minorHAnsi"/>
        </w:rPr>
        <w:t xml:space="preserve">; </w:t>
      </w:r>
      <w:r w:rsidRPr="007458E2">
        <w:rPr>
          <w:rFonts w:asciiTheme="minorHAnsi" w:hAnsiTheme="minorHAnsi"/>
        </w:rPr>
        <w:t xml:space="preserve">however </w:t>
      </w:r>
      <w:r w:rsidR="0030145A" w:rsidRPr="007458E2">
        <w:rPr>
          <w:rFonts w:asciiTheme="minorHAnsi" w:hAnsiTheme="minorHAnsi"/>
        </w:rPr>
        <w:t xml:space="preserve">these have been largely </w:t>
      </w:r>
      <w:r w:rsidR="00AB1EE0" w:rsidRPr="007458E2">
        <w:rPr>
          <w:rFonts w:asciiTheme="minorHAnsi" w:hAnsiTheme="minorHAnsi"/>
        </w:rPr>
        <w:t xml:space="preserve">led by health </w:t>
      </w:r>
      <w:r w:rsidR="0030145A" w:rsidRPr="007458E2">
        <w:rPr>
          <w:rFonts w:asciiTheme="minorHAnsi" w:hAnsiTheme="minorHAnsi"/>
        </w:rPr>
        <w:t>provider</w:t>
      </w:r>
      <w:r w:rsidR="00AB1EE0" w:rsidRPr="007458E2">
        <w:rPr>
          <w:rFonts w:asciiTheme="minorHAnsi" w:hAnsiTheme="minorHAnsi"/>
        </w:rPr>
        <w:t xml:space="preserve">s rather than </w:t>
      </w:r>
      <w:r w:rsidR="0030145A" w:rsidRPr="007458E2">
        <w:rPr>
          <w:rFonts w:asciiTheme="minorHAnsi" w:hAnsiTheme="minorHAnsi"/>
        </w:rPr>
        <w:t>target</w:t>
      </w:r>
      <w:r w:rsidR="00AB1EE0" w:rsidRPr="007458E2">
        <w:rPr>
          <w:rFonts w:asciiTheme="minorHAnsi" w:hAnsiTheme="minorHAnsi"/>
        </w:rPr>
        <w:t xml:space="preserve"> populations. </w:t>
      </w:r>
      <w:r w:rsidR="00D913E6">
        <w:rPr>
          <w:rFonts w:asciiTheme="minorHAnsi" w:hAnsiTheme="minorHAnsi"/>
        </w:rPr>
        <w:t xml:space="preserve">We argue that the self-harm reduction agenda would benefit from an investigation of the attitudes and beliefs of those at risk of, or actively self-harming, and furthermore, that this calls for a research strategy that combines both quantitative and qualitative approaches. This should be coupled with a focus on determining the information needs and support mechanisms preferred by specific segments of self-harmers. </w:t>
      </w:r>
    </w:p>
    <w:p w:rsidR="004D0B38" w:rsidRPr="007458E2" w:rsidRDefault="004D0B38" w:rsidP="00CC5108">
      <w:pPr>
        <w:pStyle w:val="Heading1"/>
      </w:pPr>
      <w:r w:rsidRPr="007458E2">
        <w:t>Introduction</w:t>
      </w:r>
    </w:p>
    <w:p w:rsidR="00F70C09" w:rsidRPr="007458E2" w:rsidRDefault="00F70C09" w:rsidP="00370AB6">
      <w:pPr>
        <w:jc w:val="both"/>
        <w:rPr>
          <w:rFonts w:asciiTheme="minorHAnsi" w:hAnsiTheme="minorHAnsi"/>
        </w:rPr>
      </w:pPr>
    </w:p>
    <w:p w:rsidR="00F70C09" w:rsidRPr="007458E2" w:rsidRDefault="00F70C09" w:rsidP="00F70C09">
      <w:pPr>
        <w:ind w:left="720"/>
        <w:jc w:val="both"/>
        <w:rPr>
          <w:rFonts w:asciiTheme="minorHAnsi" w:hAnsiTheme="minorHAnsi"/>
          <w:i/>
        </w:rPr>
      </w:pPr>
      <w:r w:rsidRPr="007458E2">
        <w:rPr>
          <w:rFonts w:asciiTheme="minorHAnsi" w:hAnsiTheme="minorHAnsi"/>
          <w:i/>
        </w:rPr>
        <w:t>Self-mutilation has been trivialised (wrist-cutting), misidentified (suicide attempt), regarded merely as a symptom (borderline personality disorder), and misreported by the media a</w:t>
      </w:r>
      <w:r w:rsidR="009E2FE4">
        <w:rPr>
          <w:rFonts w:asciiTheme="minorHAnsi" w:hAnsiTheme="minorHAnsi"/>
          <w:i/>
        </w:rPr>
        <w:t>nd the public</w:t>
      </w:r>
      <w:bookmarkStart w:id="0" w:name="_Ref289182048"/>
      <w:r w:rsidR="009E2FE4" w:rsidRPr="009E2FE4">
        <w:rPr>
          <w:rStyle w:val="EndnoteReference"/>
          <w:rFonts w:asciiTheme="minorHAnsi" w:hAnsiTheme="minorHAnsi"/>
          <w:i/>
        </w:rPr>
        <w:endnoteReference w:id="1"/>
      </w:r>
      <w:bookmarkEnd w:id="0"/>
      <w:r w:rsidR="009E2FE4" w:rsidRPr="009E2FE4">
        <w:rPr>
          <w:rFonts w:asciiTheme="minorHAnsi" w:hAnsiTheme="minorHAnsi"/>
          <w:i/>
          <w:vertAlign w:val="superscript"/>
        </w:rPr>
        <w:t>:xii</w:t>
      </w:r>
      <w:r w:rsidR="009E2FE4">
        <w:rPr>
          <w:rFonts w:asciiTheme="minorHAnsi" w:hAnsiTheme="minorHAnsi"/>
          <w:i/>
        </w:rPr>
        <w:t>.</w:t>
      </w:r>
    </w:p>
    <w:p w:rsidR="00F70C09" w:rsidRPr="007458E2" w:rsidRDefault="00F70C09" w:rsidP="00370AB6">
      <w:pPr>
        <w:jc w:val="both"/>
        <w:rPr>
          <w:rFonts w:asciiTheme="minorHAnsi" w:hAnsiTheme="minorHAnsi"/>
        </w:rPr>
      </w:pPr>
    </w:p>
    <w:p w:rsidR="001F357A" w:rsidRPr="007458E2" w:rsidRDefault="00EA196A" w:rsidP="00370AB6">
      <w:pPr>
        <w:jc w:val="both"/>
        <w:rPr>
          <w:rFonts w:asciiTheme="minorHAnsi" w:hAnsiTheme="minorHAnsi"/>
        </w:rPr>
      </w:pPr>
      <w:r w:rsidRPr="007458E2">
        <w:rPr>
          <w:rFonts w:asciiTheme="minorHAnsi" w:hAnsiTheme="minorHAnsi"/>
        </w:rPr>
        <w:t>A range of terms have been used to refer to deliberate self-harm behaviour</w:t>
      </w:r>
      <w:r w:rsidR="004C0FC7" w:rsidRPr="007458E2">
        <w:rPr>
          <w:rFonts w:asciiTheme="minorHAnsi" w:hAnsiTheme="minorHAnsi"/>
        </w:rPr>
        <w:t>s</w:t>
      </w:r>
      <w:r w:rsidRPr="007458E2">
        <w:rPr>
          <w:rFonts w:asciiTheme="minorHAnsi" w:hAnsiTheme="minorHAnsi"/>
        </w:rPr>
        <w:t xml:space="preserve"> including: “self-injury, self-mutilation, self-harm, self-abuse, auto-aggression, </w:t>
      </w:r>
      <w:r w:rsidR="001715D2" w:rsidRPr="007458E2">
        <w:rPr>
          <w:rFonts w:asciiTheme="minorHAnsi" w:hAnsiTheme="minorHAnsi"/>
        </w:rPr>
        <w:t xml:space="preserve">and </w:t>
      </w:r>
      <w:r w:rsidRPr="007458E2">
        <w:rPr>
          <w:rFonts w:asciiTheme="minorHAnsi" w:hAnsiTheme="minorHAnsi"/>
        </w:rPr>
        <w:t>self-inflicted violence</w:t>
      </w:r>
      <w:r w:rsidR="009E2FE4">
        <w:rPr>
          <w:rFonts w:asciiTheme="minorHAnsi" w:hAnsiTheme="minorHAnsi"/>
        </w:rPr>
        <w:t>”</w:t>
      </w:r>
      <w:fldSimple w:instr=" NOTEREF _Ref289182048 \h  \* MERGEFORMAT ">
        <w:r w:rsidR="00A934FC" w:rsidRPr="00A934FC">
          <w:rPr>
            <w:rFonts w:asciiTheme="minorHAnsi" w:hAnsiTheme="minorHAnsi"/>
            <w:vertAlign w:val="superscript"/>
          </w:rPr>
          <w:t>1</w:t>
        </w:r>
      </w:fldSimple>
      <w:r w:rsidR="009E2FE4">
        <w:rPr>
          <w:rFonts w:asciiTheme="minorHAnsi" w:hAnsiTheme="minorHAnsi"/>
          <w:vertAlign w:val="superscript"/>
        </w:rPr>
        <w:t>:xvii</w:t>
      </w:r>
      <w:r w:rsidR="009E2FE4">
        <w:rPr>
          <w:rFonts w:asciiTheme="minorHAnsi" w:hAnsiTheme="minorHAnsi"/>
        </w:rPr>
        <w:t xml:space="preserve"> amongst others</w:t>
      </w:r>
      <w:r w:rsidR="001715D2" w:rsidRPr="007458E2">
        <w:rPr>
          <w:rFonts w:asciiTheme="minorHAnsi" w:hAnsiTheme="minorHAnsi"/>
        </w:rPr>
        <w:t>.</w:t>
      </w:r>
      <w:r w:rsidRPr="007458E2">
        <w:rPr>
          <w:rFonts w:asciiTheme="minorHAnsi" w:hAnsiTheme="minorHAnsi"/>
        </w:rPr>
        <w:t xml:space="preserve"> </w:t>
      </w:r>
      <w:r w:rsidR="00092C25" w:rsidRPr="007458E2">
        <w:rPr>
          <w:rFonts w:asciiTheme="minorHAnsi" w:hAnsiTheme="minorHAnsi"/>
        </w:rPr>
        <w:t xml:space="preserve">In addition to this </w:t>
      </w:r>
      <w:r w:rsidR="007508CF" w:rsidRPr="007458E2">
        <w:rPr>
          <w:rFonts w:asciiTheme="minorHAnsi" w:hAnsiTheme="minorHAnsi"/>
        </w:rPr>
        <w:t xml:space="preserve">there is little agreement </w:t>
      </w:r>
      <w:r w:rsidR="001F357A" w:rsidRPr="007458E2">
        <w:rPr>
          <w:rFonts w:asciiTheme="minorHAnsi" w:hAnsiTheme="minorHAnsi"/>
        </w:rPr>
        <w:t xml:space="preserve">in the extant literature </w:t>
      </w:r>
      <w:r w:rsidR="007508CF" w:rsidRPr="007458E2">
        <w:rPr>
          <w:rFonts w:asciiTheme="minorHAnsi" w:hAnsiTheme="minorHAnsi"/>
        </w:rPr>
        <w:t>on</w:t>
      </w:r>
      <w:r w:rsidR="00C41407" w:rsidRPr="007458E2">
        <w:rPr>
          <w:rFonts w:asciiTheme="minorHAnsi" w:hAnsiTheme="minorHAnsi"/>
        </w:rPr>
        <w:t xml:space="preserve"> the</w:t>
      </w:r>
      <w:r w:rsidR="001F357A" w:rsidRPr="007458E2">
        <w:rPr>
          <w:rFonts w:asciiTheme="minorHAnsi" w:hAnsiTheme="minorHAnsi"/>
        </w:rPr>
        <w:t xml:space="preserve"> informing</w:t>
      </w:r>
      <w:r w:rsidR="00092C25" w:rsidRPr="007458E2">
        <w:rPr>
          <w:rFonts w:asciiTheme="minorHAnsi" w:hAnsiTheme="minorHAnsi"/>
        </w:rPr>
        <w:t xml:space="preserve"> </w:t>
      </w:r>
      <w:r w:rsidR="001F357A" w:rsidRPr="007458E2">
        <w:rPr>
          <w:rFonts w:asciiTheme="minorHAnsi" w:hAnsiTheme="minorHAnsi"/>
        </w:rPr>
        <w:t xml:space="preserve">intentions and </w:t>
      </w:r>
      <w:r w:rsidR="007508CF" w:rsidRPr="007458E2">
        <w:rPr>
          <w:rFonts w:asciiTheme="minorHAnsi" w:hAnsiTheme="minorHAnsi"/>
        </w:rPr>
        <w:t>actions</w:t>
      </w:r>
      <w:r w:rsidR="001F357A" w:rsidRPr="007458E2">
        <w:rPr>
          <w:rFonts w:asciiTheme="minorHAnsi" w:hAnsiTheme="minorHAnsi"/>
        </w:rPr>
        <w:t xml:space="preserve"> – the types – </w:t>
      </w:r>
      <w:r w:rsidR="007508CF" w:rsidRPr="007458E2">
        <w:rPr>
          <w:rFonts w:asciiTheme="minorHAnsi" w:hAnsiTheme="minorHAnsi"/>
        </w:rPr>
        <w:t>self-harm behaviour</w:t>
      </w:r>
      <w:fldSimple w:instr=" NOTEREF _Ref289182048 \h  \* MERGEFORMAT ">
        <w:r w:rsidR="00A934FC" w:rsidRPr="00A934FC">
          <w:rPr>
            <w:rFonts w:asciiTheme="minorHAnsi" w:hAnsiTheme="minorHAnsi"/>
            <w:vertAlign w:val="superscript"/>
          </w:rPr>
          <w:t>1</w:t>
        </w:r>
      </w:fldSimple>
      <w:r w:rsidR="004C0FC7" w:rsidRPr="007458E2">
        <w:rPr>
          <w:rFonts w:asciiTheme="minorHAnsi" w:hAnsiTheme="minorHAnsi"/>
        </w:rPr>
        <w:t xml:space="preserve">. </w:t>
      </w:r>
    </w:p>
    <w:p w:rsidR="001F357A" w:rsidRPr="007458E2" w:rsidRDefault="001F357A" w:rsidP="00370AB6">
      <w:pPr>
        <w:jc w:val="both"/>
        <w:rPr>
          <w:rFonts w:asciiTheme="minorHAnsi" w:hAnsiTheme="minorHAnsi"/>
        </w:rPr>
      </w:pPr>
    </w:p>
    <w:p w:rsidR="001F357A" w:rsidRPr="007458E2" w:rsidRDefault="001F357A" w:rsidP="001F357A">
      <w:pPr>
        <w:jc w:val="both"/>
        <w:rPr>
          <w:rFonts w:asciiTheme="minorHAnsi" w:hAnsiTheme="minorHAnsi"/>
        </w:rPr>
      </w:pPr>
      <w:r w:rsidRPr="007458E2">
        <w:rPr>
          <w:rFonts w:asciiTheme="minorHAnsi" w:hAnsiTheme="minorHAnsi"/>
        </w:rPr>
        <w:lastRenderedPageBreak/>
        <w:t>We adopt both the following definitions in order to acknowledge the broad spectrum of DSH behaviours and categories:</w:t>
      </w:r>
    </w:p>
    <w:p w:rsidR="001F357A" w:rsidRPr="007458E2" w:rsidRDefault="001F357A" w:rsidP="001F357A">
      <w:pPr>
        <w:jc w:val="both"/>
        <w:rPr>
          <w:rFonts w:asciiTheme="minorHAnsi" w:hAnsiTheme="minorHAnsi"/>
        </w:rPr>
      </w:pPr>
    </w:p>
    <w:p w:rsidR="001F357A" w:rsidRPr="007458E2" w:rsidRDefault="001F357A" w:rsidP="001F357A">
      <w:pPr>
        <w:ind w:left="284" w:right="284"/>
        <w:rPr>
          <w:rFonts w:asciiTheme="minorHAnsi" w:hAnsiTheme="minorHAnsi"/>
        </w:rPr>
      </w:pPr>
      <w:r w:rsidRPr="007458E2">
        <w:rPr>
          <w:rFonts w:asciiTheme="minorHAnsi" w:hAnsiTheme="minorHAnsi"/>
          <w:i/>
        </w:rPr>
        <w:t>“self-harm (self-poisoning and self-injury) is broadly characterised as any act intended to harm one’s own body, without a conscious intent to die</w:t>
      </w:r>
      <w:r w:rsidR="00DD36A1">
        <w:rPr>
          <w:rFonts w:asciiTheme="minorHAnsi" w:hAnsiTheme="minorHAnsi"/>
          <w:i/>
        </w:rPr>
        <w:t>”</w:t>
      </w:r>
      <w:fldSimple w:instr=" NOTEREF _Ref289182048 \h  \* MERGEFORMAT ">
        <w:r w:rsidR="00A934FC" w:rsidRPr="00A934FC">
          <w:rPr>
            <w:rFonts w:asciiTheme="minorHAnsi" w:hAnsiTheme="minorHAnsi"/>
            <w:i/>
            <w:vertAlign w:val="superscript"/>
          </w:rPr>
          <w:t>1</w:t>
        </w:r>
      </w:fldSimple>
      <w:r w:rsidR="009E2FE4" w:rsidRPr="00DD36A1">
        <w:rPr>
          <w:rFonts w:asciiTheme="minorHAnsi" w:hAnsiTheme="minorHAnsi"/>
          <w:i/>
          <w:vertAlign w:val="superscript"/>
        </w:rPr>
        <w:t>:</w:t>
      </w:r>
      <w:r w:rsidRPr="00DD36A1">
        <w:rPr>
          <w:rFonts w:asciiTheme="minorHAnsi" w:hAnsiTheme="minorHAnsi"/>
          <w:i/>
          <w:vertAlign w:val="superscript"/>
        </w:rPr>
        <w:t xml:space="preserve"> 122</w:t>
      </w:r>
      <w:r w:rsidRPr="007458E2">
        <w:rPr>
          <w:rFonts w:asciiTheme="minorHAnsi" w:hAnsiTheme="minorHAnsi"/>
        </w:rPr>
        <w:t xml:space="preserve">.  </w:t>
      </w:r>
    </w:p>
    <w:p w:rsidR="001F357A" w:rsidRPr="007458E2" w:rsidRDefault="001F357A" w:rsidP="001F357A">
      <w:pPr>
        <w:jc w:val="both"/>
        <w:rPr>
          <w:rFonts w:asciiTheme="minorHAnsi" w:hAnsiTheme="minorHAnsi"/>
        </w:rPr>
      </w:pPr>
    </w:p>
    <w:p w:rsidR="001F357A" w:rsidRPr="007458E2" w:rsidRDefault="001F357A" w:rsidP="001F357A">
      <w:pPr>
        <w:ind w:left="284"/>
        <w:rPr>
          <w:rFonts w:asciiTheme="minorHAnsi" w:hAnsiTheme="minorHAnsi"/>
        </w:rPr>
      </w:pPr>
      <w:r w:rsidRPr="007458E2">
        <w:rPr>
          <w:rFonts w:asciiTheme="minorHAnsi" w:hAnsiTheme="minorHAnsi"/>
          <w:i/>
        </w:rPr>
        <w:t xml:space="preserve">“the deliberate, direct, nonsuicidal destruction or alteration of one’s body tissue” </w:t>
      </w:r>
      <w:r w:rsidRPr="007458E2">
        <w:rPr>
          <w:rFonts w:asciiTheme="minorHAnsi" w:hAnsiTheme="minorHAnsi"/>
        </w:rPr>
        <w:t>(Favazza, in Strong</w:t>
      </w:r>
      <w:r w:rsidR="00942356">
        <w:rPr>
          <w:rFonts w:asciiTheme="minorHAnsi" w:hAnsiTheme="minorHAnsi"/>
        </w:rPr>
        <w:t>)</w:t>
      </w:r>
      <w:fldSimple w:instr=" NOTEREF _Ref289182048 \h  \* MERGEFORMAT ">
        <w:r w:rsidR="00A934FC" w:rsidRPr="00A934FC">
          <w:rPr>
            <w:rFonts w:asciiTheme="minorHAnsi" w:hAnsiTheme="minorHAnsi"/>
            <w:vertAlign w:val="superscript"/>
          </w:rPr>
          <w:t>1</w:t>
        </w:r>
      </w:fldSimple>
      <w:r w:rsidR="00942356" w:rsidRPr="00942356">
        <w:rPr>
          <w:rFonts w:asciiTheme="minorHAnsi" w:hAnsiTheme="minorHAnsi"/>
          <w:vertAlign w:val="superscript"/>
        </w:rPr>
        <w:t>: x</w:t>
      </w:r>
    </w:p>
    <w:p w:rsidR="001F357A" w:rsidRPr="007458E2" w:rsidRDefault="001F357A" w:rsidP="001F357A">
      <w:pPr>
        <w:jc w:val="both"/>
        <w:rPr>
          <w:rFonts w:asciiTheme="minorHAnsi" w:hAnsiTheme="minorHAnsi"/>
        </w:rPr>
      </w:pPr>
    </w:p>
    <w:p w:rsidR="001F357A" w:rsidRPr="007458E2" w:rsidRDefault="00DD569A" w:rsidP="001F357A">
      <w:pPr>
        <w:jc w:val="both"/>
        <w:rPr>
          <w:rFonts w:asciiTheme="minorHAnsi" w:hAnsiTheme="minorHAnsi"/>
        </w:rPr>
      </w:pPr>
      <w:r w:rsidRPr="007458E2">
        <w:rPr>
          <w:rFonts w:asciiTheme="minorHAnsi" w:hAnsiTheme="minorHAnsi"/>
        </w:rPr>
        <w:t xml:space="preserve">Here the latter definition </w:t>
      </w:r>
      <w:r w:rsidR="001F357A" w:rsidRPr="007458E2">
        <w:rPr>
          <w:rFonts w:asciiTheme="minorHAnsi" w:hAnsiTheme="minorHAnsi"/>
        </w:rPr>
        <w:t xml:space="preserve">points to a significant distinction – between </w:t>
      </w:r>
      <w:r w:rsidRPr="007458E2">
        <w:rPr>
          <w:rFonts w:asciiTheme="minorHAnsi" w:hAnsiTheme="minorHAnsi"/>
        </w:rPr>
        <w:t xml:space="preserve">DSH </w:t>
      </w:r>
      <w:r w:rsidR="001F357A" w:rsidRPr="007458E2">
        <w:rPr>
          <w:rFonts w:asciiTheme="minorHAnsi" w:hAnsiTheme="minorHAnsi"/>
        </w:rPr>
        <w:t xml:space="preserve">that is inflicted on the body in general and, more specifically, </w:t>
      </w:r>
      <w:r w:rsidRPr="007458E2">
        <w:rPr>
          <w:rFonts w:asciiTheme="minorHAnsi" w:hAnsiTheme="minorHAnsi"/>
        </w:rPr>
        <w:t xml:space="preserve">DSH </w:t>
      </w:r>
      <w:r w:rsidR="001F357A" w:rsidRPr="007458E2">
        <w:rPr>
          <w:rFonts w:asciiTheme="minorHAnsi" w:hAnsiTheme="minorHAnsi"/>
        </w:rPr>
        <w:t xml:space="preserve">that </w:t>
      </w:r>
      <w:r w:rsidRPr="007458E2">
        <w:rPr>
          <w:rFonts w:asciiTheme="minorHAnsi" w:hAnsiTheme="minorHAnsi"/>
        </w:rPr>
        <w:t xml:space="preserve">directly </w:t>
      </w:r>
      <w:r w:rsidR="001F357A" w:rsidRPr="007458E2">
        <w:rPr>
          <w:rFonts w:asciiTheme="minorHAnsi" w:hAnsiTheme="minorHAnsi"/>
        </w:rPr>
        <w:t>alters bodily tissue. This distinction points to the potential differences in the functions and meanings of differen</w:t>
      </w:r>
      <w:r w:rsidRPr="007458E2">
        <w:rPr>
          <w:rFonts w:asciiTheme="minorHAnsi" w:hAnsiTheme="minorHAnsi"/>
        </w:rPr>
        <w:t xml:space="preserve">t types of self-harm behaviours and is further addressed later in the report. </w:t>
      </w:r>
      <w:r w:rsidR="001F357A" w:rsidRPr="007458E2">
        <w:rPr>
          <w:rFonts w:asciiTheme="minorHAnsi" w:hAnsiTheme="minorHAnsi"/>
        </w:rPr>
        <w:t xml:space="preserve"> </w:t>
      </w:r>
    </w:p>
    <w:p w:rsidR="00CC5F2D" w:rsidRPr="007458E2" w:rsidRDefault="00CC5F2D" w:rsidP="001F357A">
      <w:pPr>
        <w:jc w:val="both"/>
        <w:rPr>
          <w:rFonts w:asciiTheme="minorHAnsi" w:hAnsiTheme="minorHAnsi"/>
        </w:rPr>
      </w:pPr>
    </w:p>
    <w:p w:rsidR="00CC5F2D" w:rsidRPr="007458E2" w:rsidRDefault="00CC5F2D" w:rsidP="00CC5F2D">
      <w:pPr>
        <w:rPr>
          <w:rFonts w:asciiTheme="minorHAnsi" w:hAnsiTheme="minorHAnsi"/>
        </w:rPr>
      </w:pPr>
      <w:r w:rsidRPr="007458E2">
        <w:rPr>
          <w:rFonts w:asciiTheme="minorHAnsi" w:hAnsiTheme="minorHAnsi"/>
        </w:rPr>
        <w:t xml:space="preserve">Using both the definitions provided above DSH behaviours may therefore incorporate the following: </w:t>
      </w:r>
    </w:p>
    <w:p w:rsidR="00CC5F2D" w:rsidRPr="007458E2" w:rsidRDefault="00CC5F2D" w:rsidP="00CC5F2D">
      <w:pPr>
        <w:rPr>
          <w:rFonts w:asciiTheme="minorHAnsi" w:hAnsiTheme="minorHAnsi"/>
        </w:rPr>
      </w:pPr>
    </w:p>
    <w:p w:rsidR="00CC5F2D" w:rsidRPr="007458E2" w:rsidRDefault="00CC5F2D" w:rsidP="00CC5F2D">
      <w:pPr>
        <w:pStyle w:val="ListParagraph"/>
        <w:numPr>
          <w:ilvl w:val="0"/>
          <w:numId w:val="1"/>
        </w:numPr>
        <w:ind w:right="284"/>
        <w:jc w:val="both"/>
        <w:rPr>
          <w:rFonts w:asciiTheme="minorHAnsi" w:hAnsiTheme="minorHAnsi"/>
        </w:rPr>
      </w:pPr>
      <w:r w:rsidRPr="007458E2">
        <w:rPr>
          <w:rFonts w:asciiTheme="minorHAnsi" w:hAnsiTheme="minorHAnsi"/>
        </w:rPr>
        <w:t>Self starvation</w:t>
      </w:r>
    </w:p>
    <w:p w:rsidR="00CC5F2D" w:rsidRPr="007458E2" w:rsidRDefault="00CC5F2D" w:rsidP="00CC5F2D">
      <w:pPr>
        <w:pStyle w:val="ListParagraph"/>
        <w:numPr>
          <w:ilvl w:val="0"/>
          <w:numId w:val="1"/>
        </w:numPr>
        <w:ind w:right="284"/>
        <w:jc w:val="both"/>
        <w:rPr>
          <w:rFonts w:asciiTheme="minorHAnsi" w:hAnsiTheme="minorHAnsi"/>
        </w:rPr>
      </w:pPr>
      <w:r w:rsidRPr="007458E2">
        <w:rPr>
          <w:rFonts w:asciiTheme="minorHAnsi" w:hAnsiTheme="minorHAnsi"/>
        </w:rPr>
        <w:t>Alcohol and illicit drug abuse</w:t>
      </w:r>
    </w:p>
    <w:p w:rsidR="00CC5F2D" w:rsidRPr="007458E2" w:rsidRDefault="00CC5F2D" w:rsidP="00CC5F2D">
      <w:pPr>
        <w:pStyle w:val="ListParagraph"/>
        <w:numPr>
          <w:ilvl w:val="0"/>
          <w:numId w:val="1"/>
        </w:numPr>
        <w:ind w:right="284"/>
        <w:jc w:val="both"/>
        <w:rPr>
          <w:rFonts w:asciiTheme="minorHAnsi" w:hAnsiTheme="minorHAnsi"/>
        </w:rPr>
      </w:pPr>
      <w:r w:rsidRPr="007458E2">
        <w:rPr>
          <w:rFonts w:asciiTheme="minorHAnsi" w:hAnsiTheme="minorHAnsi"/>
        </w:rPr>
        <w:t>Self poisoning including known poisons and unsafe quantities of prescription and non-prescription drugs</w:t>
      </w:r>
    </w:p>
    <w:p w:rsidR="00CC5F2D" w:rsidRPr="007458E2" w:rsidRDefault="00CC5F2D" w:rsidP="00CC5F2D">
      <w:pPr>
        <w:pStyle w:val="ListParagraph"/>
        <w:numPr>
          <w:ilvl w:val="0"/>
          <w:numId w:val="1"/>
        </w:numPr>
        <w:ind w:right="284"/>
        <w:jc w:val="both"/>
        <w:rPr>
          <w:rFonts w:asciiTheme="minorHAnsi" w:hAnsiTheme="minorHAnsi"/>
        </w:rPr>
      </w:pPr>
      <w:r w:rsidRPr="007458E2">
        <w:rPr>
          <w:rFonts w:asciiTheme="minorHAnsi" w:hAnsiTheme="minorHAnsi"/>
        </w:rPr>
        <w:t>Deliberate recklessness (e.g. involving cars, trains, heights etc)</w:t>
      </w:r>
    </w:p>
    <w:p w:rsidR="00CC5F2D" w:rsidRPr="007458E2" w:rsidRDefault="00CC5F2D" w:rsidP="00CC5F2D">
      <w:pPr>
        <w:pStyle w:val="ListParagraph"/>
        <w:numPr>
          <w:ilvl w:val="0"/>
          <w:numId w:val="1"/>
        </w:numPr>
        <w:ind w:right="284"/>
        <w:jc w:val="both"/>
        <w:rPr>
          <w:rFonts w:asciiTheme="minorHAnsi" w:hAnsiTheme="minorHAnsi"/>
        </w:rPr>
      </w:pPr>
      <w:r w:rsidRPr="007458E2">
        <w:rPr>
          <w:rFonts w:asciiTheme="minorHAnsi" w:hAnsiTheme="minorHAnsi"/>
        </w:rPr>
        <w:t>Self laceration (including cutting, piercing, biting, burning)</w:t>
      </w:r>
    </w:p>
    <w:p w:rsidR="00CC5F2D" w:rsidRPr="007458E2" w:rsidRDefault="00CC5F2D" w:rsidP="00CC5F2D">
      <w:pPr>
        <w:pStyle w:val="ListParagraph"/>
        <w:numPr>
          <w:ilvl w:val="0"/>
          <w:numId w:val="1"/>
        </w:numPr>
        <w:ind w:right="284"/>
        <w:jc w:val="both"/>
        <w:rPr>
          <w:rFonts w:asciiTheme="minorHAnsi" w:hAnsiTheme="minorHAnsi"/>
        </w:rPr>
      </w:pPr>
      <w:r w:rsidRPr="007458E2">
        <w:rPr>
          <w:rFonts w:asciiTheme="minorHAnsi" w:hAnsiTheme="minorHAnsi"/>
        </w:rPr>
        <w:t>Self battery (head banging)</w:t>
      </w:r>
    </w:p>
    <w:p w:rsidR="00CC5F2D" w:rsidRPr="007458E2" w:rsidRDefault="00CC5F2D" w:rsidP="00CC5F2D">
      <w:pPr>
        <w:pStyle w:val="ListParagraph"/>
        <w:numPr>
          <w:ilvl w:val="0"/>
          <w:numId w:val="1"/>
        </w:numPr>
        <w:ind w:right="284"/>
        <w:jc w:val="both"/>
        <w:rPr>
          <w:rFonts w:asciiTheme="minorHAnsi" w:hAnsiTheme="minorHAnsi"/>
        </w:rPr>
      </w:pPr>
      <w:r w:rsidRPr="007458E2">
        <w:rPr>
          <w:rFonts w:asciiTheme="minorHAnsi" w:hAnsiTheme="minorHAnsi"/>
        </w:rPr>
        <w:t>Omission (e.g. sleep deprivation, or failure to seek appropriate medical treatment)</w:t>
      </w:r>
    </w:p>
    <w:p w:rsidR="001F357A" w:rsidRPr="007458E2" w:rsidRDefault="001F357A" w:rsidP="00370AB6">
      <w:pPr>
        <w:jc w:val="both"/>
        <w:rPr>
          <w:rFonts w:asciiTheme="minorHAnsi" w:hAnsiTheme="minorHAnsi"/>
        </w:rPr>
      </w:pPr>
    </w:p>
    <w:p w:rsidR="00110FC3" w:rsidRPr="007458E2" w:rsidRDefault="007508CF" w:rsidP="00370AB6">
      <w:pPr>
        <w:jc w:val="both"/>
        <w:rPr>
          <w:rFonts w:asciiTheme="minorHAnsi" w:hAnsiTheme="minorHAnsi"/>
        </w:rPr>
      </w:pPr>
      <w:r w:rsidRPr="007458E2">
        <w:rPr>
          <w:rFonts w:asciiTheme="minorHAnsi" w:hAnsiTheme="minorHAnsi"/>
        </w:rPr>
        <w:t xml:space="preserve">One contentious issue is the </w:t>
      </w:r>
      <w:r w:rsidR="00AA72ED" w:rsidRPr="007458E2">
        <w:rPr>
          <w:rFonts w:asciiTheme="minorHAnsi" w:hAnsiTheme="minorHAnsi"/>
        </w:rPr>
        <w:t xml:space="preserve">conflation of </w:t>
      </w:r>
      <w:r w:rsidR="006D6302" w:rsidRPr="007458E2">
        <w:rPr>
          <w:rFonts w:asciiTheme="minorHAnsi" w:hAnsiTheme="minorHAnsi"/>
        </w:rPr>
        <w:t xml:space="preserve">deliberate </w:t>
      </w:r>
      <w:r w:rsidR="00AA72ED" w:rsidRPr="007458E2">
        <w:rPr>
          <w:rFonts w:asciiTheme="minorHAnsi" w:hAnsiTheme="minorHAnsi"/>
        </w:rPr>
        <w:t xml:space="preserve">self-harm </w:t>
      </w:r>
      <w:r w:rsidR="006D6302" w:rsidRPr="007458E2">
        <w:rPr>
          <w:rFonts w:asciiTheme="minorHAnsi" w:hAnsiTheme="minorHAnsi"/>
        </w:rPr>
        <w:t>with actual or attempted acts of suicid</w:t>
      </w:r>
      <w:bookmarkStart w:id="1" w:name="_Ref286755600"/>
      <w:r w:rsidR="006D6302" w:rsidRPr="007458E2">
        <w:rPr>
          <w:rFonts w:asciiTheme="minorHAnsi" w:hAnsiTheme="minorHAnsi"/>
        </w:rPr>
        <w:t>e</w:t>
      </w:r>
      <w:bookmarkEnd w:id="1"/>
      <w:r w:rsidR="00457281" w:rsidRPr="00DD36A1">
        <w:rPr>
          <w:vertAlign w:val="superscript"/>
        </w:rPr>
        <w:fldChar w:fldCharType="begin"/>
      </w:r>
      <w:r w:rsidR="00DD36A1" w:rsidRPr="00DD36A1">
        <w:rPr>
          <w:rFonts w:asciiTheme="minorHAnsi" w:hAnsiTheme="minorHAnsi"/>
          <w:vertAlign w:val="superscript"/>
        </w:rPr>
        <w:instrText xml:space="preserve"> NOTEREF _Ref289182048 \h </w:instrText>
      </w:r>
      <w:r w:rsidR="00DD36A1">
        <w:rPr>
          <w:vertAlign w:val="superscript"/>
        </w:rPr>
        <w:instrText xml:space="preserve"> \* MERGEFORMAT </w:instrText>
      </w:r>
      <w:r w:rsidR="00457281" w:rsidRPr="00DD36A1">
        <w:rPr>
          <w:vertAlign w:val="superscript"/>
        </w:rPr>
      </w:r>
      <w:r w:rsidR="00457281" w:rsidRPr="00DD36A1">
        <w:rPr>
          <w:vertAlign w:val="superscript"/>
        </w:rPr>
        <w:fldChar w:fldCharType="separate"/>
      </w:r>
      <w:r w:rsidR="00A934FC">
        <w:rPr>
          <w:rFonts w:asciiTheme="minorHAnsi" w:hAnsiTheme="minorHAnsi"/>
          <w:vertAlign w:val="superscript"/>
        </w:rPr>
        <w:t>1</w:t>
      </w:r>
      <w:r w:rsidR="00457281" w:rsidRPr="00DD36A1">
        <w:rPr>
          <w:vertAlign w:val="superscript"/>
        </w:rPr>
        <w:fldChar w:fldCharType="end"/>
      </w:r>
      <w:r w:rsidRPr="007458E2">
        <w:rPr>
          <w:rFonts w:asciiTheme="minorHAnsi" w:hAnsiTheme="minorHAnsi"/>
        </w:rPr>
        <w:t xml:space="preserve">. </w:t>
      </w:r>
      <w:r w:rsidR="00E94580" w:rsidRPr="007458E2">
        <w:rPr>
          <w:rFonts w:asciiTheme="minorHAnsi" w:hAnsiTheme="minorHAnsi"/>
        </w:rPr>
        <w:t xml:space="preserve">As understandings of DSH have evolved many researchers now </w:t>
      </w:r>
      <w:r w:rsidR="00052AE4" w:rsidRPr="007458E2">
        <w:rPr>
          <w:rFonts w:asciiTheme="minorHAnsi" w:hAnsiTheme="minorHAnsi"/>
        </w:rPr>
        <w:t xml:space="preserve">strongly </w:t>
      </w:r>
      <w:r w:rsidR="00E94580" w:rsidRPr="007458E2">
        <w:rPr>
          <w:rFonts w:asciiTheme="minorHAnsi" w:hAnsiTheme="minorHAnsi"/>
        </w:rPr>
        <w:t xml:space="preserve">argue that </w:t>
      </w:r>
      <w:r w:rsidR="00052AE4" w:rsidRPr="007458E2">
        <w:rPr>
          <w:rFonts w:asciiTheme="minorHAnsi" w:hAnsiTheme="minorHAnsi"/>
        </w:rPr>
        <w:t xml:space="preserve">DSH does not represent a desire to die, but rather </w:t>
      </w:r>
      <w:r w:rsidR="00BD5FF4" w:rsidRPr="007458E2">
        <w:rPr>
          <w:rFonts w:asciiTheme="minorHAnsi" w:hAnsiTheme="minorHAnsi"/>
        </w:rPr>
        <w:t xml:space="preserve">a </w:t>
      </w:r>
      <w:r w:rsidR="00942356">
        <w:rPr>
          <w:rFonts w:asciiTheme="minorHAnsi" w:hAnsiTheme="minorHAnsi"/>
        </w:rPr>
        <w:t>“</w:t>
      </w:r>
      <w:r w:rsidR="00BD5FF4" w:rsidRPr="007458E2">
        <w:rPr>
          <w:rFonts w:asciiTheme="minorHAnsi" w:hAnsiTheme="minorHAnsi"/>
        </w:rPr>
        <w:t>morbid form of self-help</w:t>
      </w:r>
      <w:r w:rsidR="00942356">
        <w:rPr>
          <w:rFonts w:asciiTheme="minorHAnsi" w:hAnsiTheme="minorHAnsi"/>
        </w:rPr>
        <w:t>”</w:t>
      </w:r>
      <w:r w:rsidR="00DD36A1">
        <w:rPr>
          <w:rFonts w:asciiTheme="minorHAnsi" w:hAnsiTheme="minorHAnsi"/>
          <w:vertAlign w:val="superscript"/>
        </w:rPr>
        <w:t>1</w:t>
      </w:r>
      <w:r w:rsidR="00942356" w:rsidRPr="00942356">
        <w:rPr>
          <w:rFonts w:asciiTheme="minorHAnsi" w:hAnsiTheme="minorHAnsi"/>
          <w:vertAlign w:val="superscript"/>
        </w:rPr>
        <w:t>: xi-xii</w:t>
      </w:r>
      <w:r w:rsidR="00DD36A1">
        <w:rPr>
          <w:rFonts w:asciiTheme="minorHAnsi" w:hAnsiTheme="minorHAnsi"/>
          <w:vertAlign w:val="superscript"/>
        </w:rPr>
        <w:t xml:space="preserve"> </w:t>
      </w:r>
      <w:r w:rsidR="00BD5FF4" w:rsidRPr="007458E2">
        <w:rPr>
          <w:rFonts w:asciiTheme="minorHAnsi" w:hAnsiTheme="minorHAnsi"/>
        </w:rPr>
        <w:t xml:space="preserve">and a “functional alternative to </w:t>
      </w:r>
      <w:r w:rsidR="00B76E79" w:rsidRPr="007458E2">
        <w:rPr>
          <w:rFonts w:asciiTheme="minorHAnsi" w:hAnsiTheme="minorHAnsi"/>
        </w:rPr>
        <w:t>suicide”</w:t>
      </w:r>
      <w:bookmarkStart w:id="2" w:name="_Ref289187346"/>
      <w:r w:rsidR="00942356" w:rsidRPr="00E90DDF">
        <w:rPr>
          <w:rStyle w:val="EndnoteReference"/>
          <w:rFonts w:asciiTheme="minorHAnsi" w:hAnsiTheme="minorHAnsi"/>
        </w:rPr>
        <w:endnoteReference w:id="2"/>
      </w:r>
      <w:bookmarkEnd w:id="2"/>
      <w:r w:rsidR="00E90DDF" w:rsidRPr="00E90DDF">
        <w:rPr>
          <w:rFonts w:asciiTheme="minorHAnsi" w:hAnsiTheme="minorHAnsi"/>
          <w:vertAlign w:val="superscript"/>
        </w:rPr>
        <w:t>: 3</w:t>
      </w:r>
      <w:r w:rsidR="00B76E79" w:rsidRPr="007458E2">
        <w:rPr>
          <w:rFonts w:asciiTheme="minorHAnsi" w:hAnsiTheme="minorHAnsi"/>
        </w:rPr>
        <w:t xml:space="preserve">. This is not to say that there are no links between self-harm and suicide </w:t>
      </w:r>
      <w:r w:rsidR="00052AE4" w:rsidRPr="007458E2">
        <w:rPr>
          <w:rFonts w:asciiTheme="minorHAnsi" w:hAnsiTheme="minorHAnsi"/>
        </w:rPr>
        <w:t>–</w:t>
      </w:r>
      <w:r w:rsidR="00B76E79" w:rsidRPr="007458E2">
        <w:rPr>
          <w:rFonts w:asciiTheme="minorHAnsi" w:hAnsiTheme="minorHAnsi"/>
        </w:rPr>
        <w:t xml:space="preserve"> some </w:t>
      </w:r>
      <w:r w:rsidRPr="007458E2">
        <w:rPr>
          <w:rFonts w:asciiTheme="minorHAnsi" w:hAnsiTheme="minorHAnsi"/>
        </w:rPr>
        <w:t xml:space="preserve">repetitive self-harmers </w:t>
      </w:r>
      <w:r w:rsidR="00B76E79" w:rsidRPr="007458E2">
        <w:rPr>
          <w:rFonts w:asciiTheme="minorHAnsi" w:hAnsiTheme="minorHAnsi"/>
        </w:rPr>
        <w:t xml:space="preserve">may </w:t>
      </w:r>
      <w:r w:rsidRPr="007458E2">
        <w:rPr>
          <w:rFonts w:asciiTheme="minorHAnsi" w:hAnsiTheme="minorHAnsi"/>
        </w:rPr>
        <w:t>become suicidal, demoralised and depressed because they feel unable to relinquish self-harm</w:t>
      </w:r>
      <w:r w:rsidR="00C41407" w:rsidRPr="007458E2">
        <w:rPr>
          <w:rFonts w:asciiTheme="minorHAnsi" w:hAnsiTheme="minorHAnsi"/>
        </w:rPr>
        <w:t>ing</w:t>
      </w:r>
      <w:r w:rsidR="00B76E79" w:rsidRPr="007458E2">
        <w:rPr>
          <w:rFonts w:asciiTheme="minorHAnsi" w:hAnsiTheme="minorHAnsi"/>
        </w:rPr>
        <w:t>,</w:t>
      </w:r>
      <w:r w:rsidRPr="007458E2">
        <w:rPr>
          <w:rFonts w:asciiTheme="minorHAnsi" w:hAnsiTheme="minorHAnsi"/>
        </w:rPr>
        <w:t xml:space="preserve"> or feel that it has gotten out of control</w:t>
      </w:r>
      <w:r w:rsidR="00A24BCF">
        <w:rPr>
          <w:rFonts w:asciiTheme="minorHAnsi" w:hAnsiTheme="minorHAnsi"/>
          <w:vertAlign w:val="superscript"/>
        </w:rPr>
        <w:t>1</w:t>
      </w:r>
      <w:r w:rsidR="00B76E79" w:rsidRPr="007458E2">
        <w:rPr>
          <w:rFonts w:asciiTheme="minorHAnsi" w:hAnsiTheme="minorHAnsi"/>
        </w:rPr>
        <w:t xml:space="preserve"> – however, it is not the overriding intention behind, or function of, most</w:t>
      </w:r>
      <w:r w:rsidR="00052AE4" w:rsidRPr="007458E2">
        <w:rPr>
          <w:rFonts w:asciiTheme="minorHAnsi" w:hAnsiTheme="minorHAnsi"/>
        </w:rPr>
        <w:t xml:space="preserve"> acts of</w:t>
      </w:r>
      <w:r w:rsidR="00B76E79" w:rsidRPr="007458E2">
        <w:rPr>
          <w:rFonts w:asciiTheme="minorHAnsi" w:hAnsiTheme="minorHAnsi"/>
        </w:rPr>
        <w:t xml:space="preserve"> deliberate self-harm. </w:t>
      </w:r>
    </w:p>
    <w:p w:rsidR="00110FC3" w:rsidRPr="007458E2" w:rsidRDefault="00110FC3" w:rsidP="00370AB6">
      <w:pPr>
        <w:jc w:val="both"/>
        <w:rPr>
          <w:rFonts w:asciiTheme="minorHAnsi" w:hAnsiTheme="minorHAnsi"/>
        </w:rPr>
      </w:pPr>
    </w:p>
    <w:p w:rsidR="00B10EC8" w:rsidRPr="007458E2" w:rsidRDefault="002E2ECB" w:rsidP="00C865F3">
      <w:pPr>
        <w:ind w:right="-58"/>
        <w:jc w:val="both"/>
        <w:rPr>
          <w:rFonts w:asciiTheme="minorHAnsi" w:hAnsiTheme="minorHAnsi"/>
        </w:rPr>
      </w:pPr>
      <w:r w:rsidRPr="007458E2">
        <w:rPr>
          <w:rFonts w:asciiTheme="minorHAnsi" w:hAnsiTheme="minorHAnsi"/>
        </w:rPr>
        <w:t>DSH</w:t>
      </w:r>
      <w:r w:rsidR="00B10EC8" w:rsidRPr="007458E2">
        <w:rPr>
          <w:rFonts w:asciiTheme="minorHAnsi" w:hAnsiTheme="minorHAnsi"/>
        </w:rPr>
        <w:t>ing occur</w:t>
      </w:r>
      <w:r w:rsidR="00C865F3" w:rsidRPr="007458E2">
        <w:rPr>
          <w:rFonts w:asciiTheme="minorHAnsi" w:hAnsiTheme="minorHAnsi"/>
        </w:rPr>
        <w:t>s</w:t>
      </w:r>
      <w:r w:rsidR="00B10EC8" w:rsidRPr="007458E2">
        <w:rPr>
          <w:rFonts w:asciiTheme="minorHAnsi" w:hAnsiTheme="minorHAnsi"/>
        </w:rPr>
        <w:t xml:space="preserve"> </w:t>
      </w:r>
      <w:r w:rsidRPr="007458E2">
        <w:rPr>
          <w:rFonts w:asciiTheme="minorHAnsi" w:hAnsiTheme="minorHAnsi"/>
        </w:rPr>
        <w:t>across a</w:t>
      </w:r>
      <w:r w:rsidR="00B10EC8" w:rsidRPr="007458E2">
        <w:rPr>
          <w:rFonts w:asciiTheme="minorHAnsi" w:hAnsiTheme="minorHAnsi"/>
        </w:rPr>
        <w:t xml:space="preserve"> diverse range of people, including those with or without mental illness, </w:t>
      </w:r>
      <w:r w:rsidR="000C3D0C" w:rsidRPr="007458E2">
        <w:rPr>
          <w:rFonts w:asciiTheme="minorHAnsi" w:hAnsiTheme="minorHAnsi"/>
        </w:rPr>
        <w:t xml:space="preserve">those that have suffered sexual abuse, </w:t>
      </w:r>
      <w:r w:rsidR="00D86B9B" w:rsidRPr="007458E2">
        <w:rPr>
          <w:rFonts w:asciiTheme="minorHAnsi" w:hAnsiTheme="minorHAnsi"/>
        </w:rPr>
        <w:t xml:space="preserve">those with a history of substance abuse, </w:t>
      </w:r>
      <w:r w:rsidR="00B10EC8" w:rsidRPr="007458E2">
        <w:rPr>
          <w:rFonts w:asciiTheme="minorHAnsi" w:hAnsiTheme="minorHAnsi"/>
        </w:rPr>
        <w:t>those with a range of psychosocial problems,</w:t>
      </w:r>
      <w:r w:rsidR="000C3D0C" w:rsidRPr="007458E2">
        <w:rPr>
          <w:rFonts w:asciiTheme="minorHAnsi" w:hAnsiTheme="minorHAnsi"/>
        </w:rPr>
        <w:t xml:space="preserve"> those who have been victims of bullying</w:t>
      </w:r>
      <w:bookmarkStart w:id="3" w:name="_Ref286757121"/>
      <w:r w:rsidR="000C3D0C" w:rsidRPr="007458E2">
        <w:rPr>
          <w:rStyle w:val="EndnoteReference"/>
          <w:rFonts w:asciiTheme="minorHAnsi" w:hAnsiTheme="minorHAnsi"/>
        </w:rPr>
        <w:endnoteReference w:id="3"/>
      </w:r>
      <w:bookmarkEnd w:id="3"/>
      <w:r w:rsidR="000C3D0C" w:rsidRPr="007458E2">
        <w:rPr>
          <w:rFonts w:asciiTheme="minorHAnsi" w:hAnsiTheme="minorHAnsi"/>
        </w:rPr>
        <w:t xml:space="preserve">, </w:t>
      </w:r>
      <w:r w:rsidR="00D86B9B" w:rsidRPr="007458E2">
        <w:rPr>
          <w:rFonts w:asciiTheme="minorHAnsi" w:hAnsiTheme="minorHAnsi"/>
        </w:rPr>
        <w:t>and members of the lesbian, gay, bisexual and transgender community</w:t>
      </w:r>
      <w:r w:rsidR="00CB0DF4">
        <w:rPr>
          <w:rStyle w:val="EndnoteReference"/>
          <w:rFonts w:asciiTheme="minorHAnsi" w:hAnsiTheme="minorHAnsi"/>
        </w:rPr>
        <w:endnoteReference w:id="4"/>
      </w:r>
      <w:r w:rsidR="00D86B9B" w:rsidRPr="007458E2">
        <w:rPr>
          <w:rFonts w:asciiTheme="minorHAnsi" w:hAnsiTheme="minorHAnsi"/>
        </w:rPr>
        <w:t xml:space="preserve">. </w:t>
      </w:r>
    </w:p>
    <w:p w:rsidR="006B7734" w:rsidRPr="007458E2" w:rsidRDefault="006B7734" w:rsidP="00C865F3">
      <w:pPr>
        <w:ind w:right="284"/>
        <w:jc w:val="both"/>
        <w:rPr>
          <w:rFonts w:asciiTheme="minorHAnsi" w:hAnsiTheme="minorHAnsi"/>
        </w:rPr>
      </w:pPr>
    </w:p>
    <w:p w:rsidR="00AB499C" w:rsidRPr="007458E2" w:rsidRDefault="00AB499C" w:rsidP="00C865F3">
      <w:pPr>
        <w:ind w:right="-58"/>
        <w:jc w:val="both"/>
        <w:rPr>
          <w:rFonts w:asciiTheme="minorHAnsi" w:hAnsiTheme="minorHAnsi"/>
        </w:rPr>
      </w:pPr>
      <w:r w:rsidRPr="007458E2">
        <w:rPr>
          <w:rFonts w:asciiTheme="minorHAnsi" w:hAnsiTheme="minorHAnsi"/>
        </w:rPr>
        <w:t>There appear to be gender differences in both the motivations for and functions of self harming behaviour, at least among adolescents.  For example, a study of 13 – 18 year olds found the following</w:t>
      </w:r>
      <w:r w:rsidRPr="007458E2">
        <w:rPr>
          <w:rStyle w:val="EndnoteReference"/>
          <w:rFonts w:asciiTheme="minorHAnsi" w:hAnsiTheme="minorHAnsi"/>
        </w:rPr>
        <w:endnoteReference w:id="5"/>
      </w:r>
      <w:r w:rsidRPr="007458E2">
        <w:rPr>
          <w:rFonts w:asciiTheme="minorHAnsi" w:hAnsiTheme="minorHAnsi"/>
        </w:rPr>
        <w:t>:</w:t>
      </w:r>
    </w:p>
    <w:p w:rsidR="006B7734" w:rsidRPr="007458E2" w:rsidRDefault="006B7734" w:rsidP="00AB499C">
      <w:pPr>
        <w:ind w:right="284"/>
        <w:jc w:val="both"/>
        <w:rPr>
          <w:rFonts w:asciiTheme="minorHAnsi" w:hAnsiTheme="minorHAnsi"/>
        </w:rPr>
      </w:pPr>
    </w:p>
    <w:tbl>
      <w:tblPr>
        <w:tblStyle w:val="TableGrid"/>
        <w:tblW w:w="0" w:type="auto"/>
        <w:tblLook w:val="04A0"/>
      </w:tblPr>
      <w:tblGrid>
        <w:gridCol w:w="4261"/>
        <w:gridCol w:w="4261"/>
      </w:tblGrid>
      <w:tr w:rsidR="00AB499C" w:rsidRPr="007458E2" w:rsidTr="00AD0B82">
        <w:tc>
          <w:tcPr>
            <w:tcW w:w="4261" w:type="dxa"/>
          </w:tcPr>
          <w:p w:rsidR="00AB499C" w:rsidRPr="007458E2" w:rsidRDefault="00AB499C" w:rsidP="00AD0B82">
            <w:pPr>
              <w:ind w:right="284"/>
              <w:jc w:val="both"/>
              <w:rPr>
                <w:rFonts w:asciiTheme="minorHAnsi" w:hAnsiTheme="minorHAnsi"/>
              </w:rPr>
            </w:pPr>
            <w:r w:rsidRPr="007458E2">
              <w:rPr>
                <w:rFonts w:asciiTheme="minorHAnsi" w:hAnsiTheme="minorHAnsi"/>
              </w:rPr>
              <w:t>Girls</w:t>
            </w:r>
          </w:p>
        </w:tc>
        <w:tc>
          <w:tcPr>
            <w:tcW w:w="4261" w:type="dxa"/>
          </w:tcPr>
          <w:p w:rsidR="00AB499C" w:rsidRPr="007458E2" w:rsidRDefault="00AB499C" w:rsidP="00AD0B82">
            <w:pPr>
              <w:ind w:right="284"/>
              <w:jc w:val="both"/>
              <w:rPr>
                <w:rFonts w:asciiTheme="minorHAnsi" w:hAnsiTheme="minorHAnsi"/>
              </w:rPr>
            </w:pPr>
            <w:r w:rsidRPr="007458E2">
              <w:rPr>
                <w:rFonts w:asciiTheme="minorHAnsi" w:hAnsiTheme="minorHAnsi"/>
              </w:rPr>
              <w:t>Boys</w:t>
            </w:r>
          </w:p>
        </w:tc>
      </w:tr>
      <w:tr w:rsidR="00AB499C" w:rsidRPr="007458E2" w:rsidTr="00AD0B82">
        <w:tc>
          <w:tcPr>
            <w:tcW w:w="4261" w:type="dxa"/>
          </w:tcPr>
          <w:p w:rsidR="00AB499C" w:rsidRPr="007458E2" w:rsidRDefault="00AB499C" w:rsidP="00AD0B82">
            <w:pPr>
              <w:ind w:right="284"/>
              <w:jc w:val="both"/>
              <w:rPr>
                <w:rFonts w:asciiTheme="minorHAnsi" w:hAnsiTheme="minorHAnsi"/>
              </w:rPr>
            </w:pPr>
            <w:r w:rsidRPr="007458E2">
              <w:rPr>
                <w:rFonts w:asciiTheme="minorHAnsi" w:hAnsiTheme="minorHAnsi"/>
              </w:rPr>
              <w:t>Harm behaviour occurs alone for the following motives:</w:t>
            </w:r>
          </w:p>
          <w:p w:rsidR="00AB499C" w:rsidRPr="007458E2" w:rsidRDefault="00AB499C" w:rsidP="00AD0B82">
            <w:pPr>
              <w:pStyle w:val="ListParagraph"/>
              <w:numPr>
                <w:ilvl w:val="0"/>
                <w:numId w:val="2"/>
              </w:numPr>
              <w:ind w:right="284"/>
              <w:jc w:val="both"/>
              <w:rPr>
                <w:rFonts w:asciiTheme="minorHAnsi" w:hAnsiTheme="minorHAnsi"/>
              </w:rPr>
            </w:pPr>
            <w:r w:rsidRPr="007458E2">
              <w:rPr>
                <w:rFonts w:asciiTheme="minorHAnsi" w:hAnsiTheme="minorHAnsi"/>
              </w:rPr>
              <w:t>Self hatred</w:t>
            </w:r>
          </w:p>
          <w:p w:rsidR="00AB499C" w:rsidRPr="007458E2" w:rsidRDefault="00AB499C" w:rsidP="00AD0B82">
            <w:pPr>
              <w:pStyle w:val="ListParagraph"/>
              <w:numPr>
                <w:ilvl w:val="0"/>
                <w:numId w:val="2"/>
              </w:numPr>
              <w:ind w:right="284"/>
              <w:jc w:val="both"/>
              <w:rPr>
                <w:rFonts w:asciiTheme="minorHAnsi" w:hAnsiTheme="minorHAnsi"/>
              </w:rPr>
            </w:pPr>
            <w:r w:rsidRPr="007458E2">
              <w:rPr>
                <w:rFonts w:asciiTheme="minorHAnsi" w:hAnsiTheme="minorHAnsi"/>
              </w:rPr>
              <w:t>Self punishment</w:t>
            </w:r>
          </w:p>
          <w:p w:rsidR="00AB499C" w:rsidRPr="007458E2" w:rsidRDefault="00AB499C" w:rsidP="00AD0B82">
            <w:pPr>
              <w:pStyle w:val="ListParagraph"/>
              <w:numPr>
                <w:ilvl w:val="0"/>
                <w:numId w:val="2"/>
              </w:numPr>
              <w:ind w:right="284"/>
              <w:jc w:val="both"/>
              <w:rPr>
                <w:rFonts w:asciiTheme="minorHAnsi" w:hAnsiTheme="minorHAnsi"/>
              </w:rPr>
            </w:pPr>
            <w:r w:rsidRPr="007458E2">
              <w:rPr>
                <w:rFonts w:asciiTheme="minorHAnsi" w:hAnsiTheme="minorHAnsi"/>
              </w:rPr>
              <w:t>Depression</w:t>
            </w:r>
          </w:p>
          <w:p w:rsidR="00AB499C" w:rsidRPr="007458E2" w:rsidRDefault="00AB499C" w:rsidP="00AD0B82">
            <w:pPr>
              <w:pStyle w:val="ListParagraph"/>
              <w:numPr>
                <w:ilvl w:val="0"/>
                <w:numId w:val="2"/>
              </w:numPr>
              <w:ind w:right="284"/>
              <w:jc w:val="both"/>
              <w:rPr>
                <w:rFonts w:asciiTheme="minorHAnsi" w:hAnsiTheme="minorHAnsi"/>
              </w:rPr>
            </w:pPr>
            <w:r w:rsidRPr="007458E2">
              <w:rPr>
                <w:rFonts w:asciiTheme="minorHAnsi" w:hAnsiTheme="minorHAnsi"/>
              </w:rPr>
              <w:t>Loneliness</w:t>
            </w:r>
          </w:p>
        </w:tc>
        <w:tc>
          <w:tcPr>
            <w:tcW w:w="4261" w:type="dxa"/>
          </w:tcPr>
          <w:p w:rsidR="00AB499C" w:rsidRPr="007458E2" w:rsidRDefault="00AB499C" w:rsidP="00AD0B82">
            <w:pPr>
              <w:ind w:right="284"/>
              <w:jc w:val="both"/>
              <w:rPr>
                <w:rFonts w:asciiTheme="minorHAnsi" w:hAnsiTheme="minorHAnsi"/>
              </w:rPr>
            </w:pPr>
            <w:r w:rsidRPr="007458E2">
              <w:rPr>
                <w:rFonts w:asciiTheme="minorHAnsi" w:hAnsiTheme="minorHAnsi"/>
              </w:rPr>
              <w:t>Harm behaviour occurs alone or with peers for the following motives:</w:t>
            </w:r>
          </w:p>
          <w:p w:rsidR="00AB499C" w:rsidRPr="007458E2" w:rsidRDefault="00AB499C" w:rsidP="00AD0B82">
            <w:pPr>
              <w:pStyle w:val="ListParagraph"/>
              <w:numPr>
                <w:ilvl w:val="0"/>
                <w:numId w:val="3"/>
              </w:numPr>
              <w:ind w:right="284"/>
              <w:jc w:val="both"/>
              <w:rPr>
                <w:rFonts w:asciiTheme="minorHAnsi" w:hAnsiTheme="minorHAnsi"/>
              </w:rPr>
            </w:pPr>
            <w:r w:rsidRPr="007458E2">
              <w:rPr>
                <w:rFonts w:asciiTheme="minorHAnsi" w:hAnsiTheme="minorHAnsi"/>
              </w:rPr>
              <w:t>Communication with</w:t>
            </w:r>
            <w:r w:rsidR="0014692A" w:rsidRPr="007458E2">
              <w:rPr>
                <w:rFonts w:asciiTheme="minorHAnsi" w:hAnsiTheme="minorHAnsi"/>
              </w:rPr>
              <w:t>/</w:t>
            </w:r>
            <w:r w:rsidRPr="007458E2">
              <w:rPr>
                <w:rFonts w:asciiTheme="minorHAnsi" w:hAnsiTheme="minorHAnsi"/>
              </w:rPr>
              <w:t>influence of others</w:t>
            </w:r>
          </w:p>
          <w:p w:rsidR="00AB499C" w:rsidRPr="007458E2" w:rsidRDefault="00AB499C" w:rsidP="00AD0B82">
            <w:pPr>
              <w:pStyle w:val="ListParagraph"/>
              <w:numPr>
                <w:ilvl w:val="0"/>
                <w:numId w:val="3"/>
              </w:numPr>
              <w:ind w:right="284"/>
              <w:jc w:val="both"/>
              <w:rPr>
                <w:rFonts w:asciiTheme="minorHAnsi" w:hAnsiTheme="minorHAnsi"/>
              </w:rPr>
            </w:pPr>
            <w:r w:rsidRPr="007458E2">
              <w:rPr>
                <w:rFonts w:asciiTheme="minorHAnsi" w:hAnsiTheme="minorHAnsi"/>
              </w:rPr>
              <w:t>Boredom</w:t>
            </w:r>
          </w:p>
        </w:tc>
      </w:tr>
    </w:tbl>
    <w:p w:rsidR="00AB499C" w:rsidRPr="007458E2" w:rsidRDefault="00AB499C" w:rsidP="00AB499C">
      <w:pPr>
        <w:ind w:right="284"/>
        <w:jc w:val="both"/>
        <w:rPr>
          <w:rFonts w:asciiTheme="minorHAnsi" w:hAnsiTheme="minorHAnsi"/>
        </w:rPr>
      </w:pPr>
    </w:p>
    <w:p w:rsidR="00AB499C" w:rsidRPr="007458E2" w:rsidRDefault="00246A22" w:rsidP="00D23E55">
      <w:pPr>
        <w:ind w:right="-58"/>
        <w:jc w:val="both"/>
        <w:rPr>
          <w:rFonts w:asciiTheme="minorHAnsi" w:hAnsiTheme="minorHAnsi"/>
        </w:rPr>
      </w:pPr>
      <w:r w:rsidRPr="007458E2">
        <w:rPr>
          <w:rFonts w:asciiTheme="minorHAnsi" w:hAnsiTheme="minorHAnsi"/>
        </w:rPr>
        <w:t xml:space="preserve">Women </w:t>
      </w:r>
      <w:r w:rsidR="00AB499C" w:rsidRPr="007458E2">
        <w:rPr>
          <w:rFonts w:asciiTheme="minorHAnsi" w:hAnsiTheme="minorHAnsi"/>
        </w:rPr>
        <w:t xml:space="preserve">are 3 – 4 times more likely than </w:t>
      </w:r>
      <w:r w:rsidRPr="007458E2">
        <w:rPr>
          <w:rFonts w:asciiTheme="minorHAnsi" w:hAnsiTheme="minorHAnsi"/>
        </w:rPr>
        <w:t xml:space="preserve">men </w:t>
      </w:r>
      <w:r w:rsidR="00AB499C" w:rsidRPr="007458E2">
        <w:rPr>
          <w:rFonts w:asciiTheme="minorHAnsi" w:hAnsiTheme="minorHAnsi"/>
        </w:rPr>
        <w:t>to report DSH</w:t>
      </w:r>
      <w:bookmarkStart w:id="4" w:name="_Ref286758553"/>
      <w:r w:rsidR="00AB499C" w:rsidRPr="007458E2">
        <w:rPr>
          <w:rStyle w:val="EndnoteReference"/>
          <w:rFonts w:asciiTheme="minorHAnsi" w:hAnsiTheme="minorHAnsi"/>
        </w:rPr>
        <w:endnoteReference w:id="6"/>
      </w:r>
      <w:bookmarkEnd w:id="4"/>
      <w:r w:rsidR="00AB499C" w:rsidRPr="007458E2">
        <w:rPr>
          <w:rFonts w:asciiTheme="minorHAnsi" w:hAnsiTheme="minorHAnsi"/>
        </w:rPr>
        <w:t xml:space="preserve"> but it is not known if this ratio applies to non-reported self harm incidents as </w:t>
      </w:r>
      <w:r w:rsidRPr="007458E2">
        <w:rPr>
          <w:rFonts w:asciiTheme="minorHAnsi" w:hAnsiTheme="minorHAnsi"/>
        </w:rPr>
        <w:t xml:space="preserve">young women </w:t>
      </w:r>
      <w:r w:rsidR="00AB499C" w:rsidRPr="007458E2">
        <w:rPr>
          <w:rFonts w:asciiTheme="minorHAnsi" w:hAnsiTheme="minorHAnsi"/>
        </w:rPr>
        <w:t>are also 70% more likely to seek help before DSHing</w:t>
      </w:r>
      <w:r w:rsidR="00AB499C" w:rsidRPr="007458E2">
        <w:rPr>
          <w:rStyle w:val="EndnoteReference"/>
          <w:rFonts w:asciiTheme="minorHAnsi" w:hAnsiTheme="minorHAnsi"/>
        </w:rPr>
        <w:endnoteReference w:id="7"/>
      </w:r>
      <w:r w:rsidR="00AB499C" w:rsidRPr="007458E2">
        <w:rPr>
          <w:rFonts w:asciiTheme="minorHAnsi" w:hAnsiTheme="minorHAnsi"/>
        </w:rPr>
        <w:t>.</w:t>
      </w:r>
      <w:r w:rsidR="006B7734" w:rsidRPr="007458E2">
        <w:rPr>
          <w:rFonts w:asciiTheme="minorHAnsi" w:hAnsiTheme="minorHAnsi"/>
        </w:rPr>
        <w:t xml:space="preserve"> </w:t>
      </w:r>
      <w:r w:rsidRPr="007458E2">
        <w:rPr>
          <w:rFonts w:asciiTheme="minorHAnsi" w:hAnsiTheme="minorHAnsi"/>
        </w:rPr>
        <w:t xml:space="preserve">Men </w:t>
      </w:r>
      <w:r w:rsidR="00AB499C" w:rsidRPr="007458E2">
        <w:rPr>
          <w:rFonts w:asciiTheme="minorHAnsi" w:hAnsiTheme="minorHAnsi"/>
        </w:rPr>
        <w:t>may now be deliberately self-harm</w:t>
      </w:r>
      <w:r w:rsidRPr="007458E2">
        <w:rPr>
          <w:rFonts w:asciiTheme="minorHAnsi" w:hAnsiTheme="minorHAnsi"/>
        </w:rPr>
        <w:t>ing at a rate as high as women</w:t>
      </w:r>
      <w:r w:rsidR="00AB499C" w:rsidRPr="007458E2">
        <w:rPr>
          <w:rFonts w:asciiTheme="minorHAnsi" w:hAnsiTheme="minorHAnsi"/>
        </w:rPr>
        <w:t>, possibly due to increased identification of past abuse as a trigger for DSH coupled with social encouragement of emotional awareness</w:t>
      </w:r>
      <w:r w:rsidR="00AB499C" w:rsidRPr="007458E2">
        <w:rPr>
          <w:rStyle w:val="EndnoteReference"/>
          <w:rFonts w:asciiTheme="minorHAnsi" w:hAnsiTheme="minorHAnsi"/>
        </w:rPr>
        <w:endnoteReference w:id="8"/>
      </w:r>
      <w:r w:rsidR="00AB499C" w:rsidRPr="007458E2">
        <w:rPr>
          <w:rFonts w:asciiTheme="minorHAnsi" w:hAnsiTheme="minorHAnsi"/>
          <w:vertAlign w:val="superscript"/>
        </w:rPr>
        <w:t xml:space="preserve">, </w:t>
      </w:r>
      <w:fldSimple w:instr=" NOTEREF _Ref287423719 \h  \* MERGEFORMAT ">
        <w:r w:rsidR="00A934FC" w:rsidRPr="00A934FC">
          <w:rPr>
            <w:rFonts w:asciiTheme="minorHAnsi" w:hAnsiTheme="minorHAnsi"/>
            <w:vertAlign w:val="superscript"/>
          </w:rPr>
          <w:t>16</w:t>
        </w:r>
      </w:fldSimple>
      <w:r w:rsidR="00AB499C" w:rsidRPr="007458E2">
        <w:rPr>
          <w:rFonts w:asciiTheme="minorHAnsi" w:hAnsiTheme="minorHAnsi"/>
        </w:rPr>
        <w:t>.</w:t>
      </w:r>
      <w:r w:rsidRPr="007458E2">
        <w:rPr>
          <w:rFonts w:asciiTheme="minorHAnsi" w:hAnsiTheme="minorHAnsi"/>
        </w:rPr>
        <w:t xml:space="preserve"> It is therefore </w:t>
      </w:r>
      <w:r w:rsidR="006B7734" w:rsidRPr="007458E2">
        <w:rPr>
          <w:rFonts w:asciiTheme="minorHAnsi" w:hAnsiTheme="minorHAnsi"/>
        </w:rPr>
        <w:t>worth noting, as Adler &amp; Adler</w:t>
      </w:r>
      <w:r w:rsidR="00EB5CC4">
        <w:rPr>
          <w:rFonts w:asciiTheme="minorHAnsi" w:hAnsiTheme="minorHAnsi"/>
        </w:rPr>
        <w:t xml:space="preserve"> </w:t>
      </w:r>
      <w:r w:rsidR="00EB5CC4" w:rsidRPr="00EB5CC4">
        <w:rPr>
          <w:rFonts w:asciiTheme="minorHAnsi" w:hAnsiTheme="minorHAnsi"/>
        </w:rPr>
        <w:t>do</w:t>
      </w:r>
      <w:r w:rsidR="006B7734" w:rsidRPr="007458E2">
        <w:rPr>
          <w:rFonts w:asciiTheme="minorHAnsi" w:hAnsiTheme="minorHAnsi"/>
        </w:rPr>
        <w:t>, that previous assumptions that self-harm is confined to white, wealthy girls, have been overturned by increasing rates of self-harm among “boys, men, people of colour and those of lower socio-economic status</w:t>
      </w:r>
      <w:bookmarkStart w:id="5" w:name="_Ref289191191"/>
      <w:r w:rsidR="00AF7BF6">
        <w:rPr>
          <w:rFonts w:asciiTheme="minorHAnsi" w:hAnsiTheme="minorHAnsi"/>
          <w:vertAlign w:val="superscript"/>
        </w:rPr>
        <w:t>”</w:t>
      </w:r>
      <w:r w:rsidR="00991A40">
        <w:rPr>
          <w:rStyle w:val="EndnoteReference"/>
          <w:rFonts w:asciiTheme="minorHAnsi" w:hAnsiTheme="minorHAnsi"/>
        </w:rPr>
        <w:endnoteReference w:id="9"/>
      </w:r>
      <w:bookmarkEnd w:id="5"/>
      <w:r w:rsidR="00F95A48">
        <w:rPr>
          <w:rFonts w:asciiTheme="minorHAnsi" w:hAnsiTheme="minorHAnsi"/>
          <w:vertAlign w:val="superscript"/>
        </w:rPr>
        <w:t>:</w:t>
      </w:r>
      <w:r w:rsidR="00EB5CC4">
        <w:rPr>
          <w:rFonts w:asciiTheme="minorHAnsi" w:hAnsiTheme="minorHAnsi"/>
          <w:vertAlign w:val="superscript"/>
        </w:rPr>
        <w:t>544</w:t>
      </w:r>
      <w:r w:rsidR="006B7734" w:rsidRPr="007458E2">
        <w:rPr>
          <w:rFonts w:asciiTheme="minorHAnsi" w:hAnsiTheme="minorHAnsi"/>
        </w:rPr>
        <w:t xml:space="preserve">. </w:t>
      </w:r>
    </w:p>
    <w:p w:rsidR="00AB499C" w:rsidRPr="007458E2" w:rsidRDefault="00AB499C" w:rsidP="00D23E55">
      <w:pPr>
        <w:ind w:right="-58"/>
        <w:rPr>
          <w:rFonts w:asciiTheme="minorHAnsi" w:hAnsiTheme="minorHAnsi"/>
        </w:rPr>
      </w:pPr>
    </w:p>
    <w:p w:rsidR="00332098" w:rsidRPr="0008652E" w:rsidRDefault="00731087" w:rsidP="00D23E55">
      <w:pPr>
        <w:ind w:right="-58"/>
        <w:jc w:val="both"/>
      </w:pPr>
      <w:r w:rsidRPr="007458E2">
        <w:rPr>
          <w:rFonts w:asciiTheme="minorHAnsi" w:hAnsiTheme="minorHAnsi"/>
        </w:rPr>
        <w:t xml:space="preserve">The functions fulfilled by DSH appear to be </w:t>
      </w:r>
      <w:r w:rsidR="005E6570" w:rsidRPr="007458E2">
        <w:rPr>
          <w:rFonts w:asciiTheme="minorHAnsi" w:hAnsiTheme="minorHAnsi"/>
        </w:rPr>
        <w:t xml:space="preserve">as diverse as the forms of </w:t>
      </w:r>
      <w:r w:rsidR="002E2ECB" w:rsidRPr="007458E2">
        <w:rPr>
          <w:rFonts w:asciiTheme="minorHAnsi" w:hAnsiTheme="minorHAnsi"/>
        </w:rPr>
        <w:t>DSH</w:t>
      </w:r>
      <w:r w:rsidR="005E6570" w:rsidRPr="007458E2">
        <w:rPr>
          <w:rFonts w:asciiTheme="minorHAnsi" w:hAnsiTheme="minorHAnsi"/>
        </w:rPr>
        <w:t xml:space="preserve"> itself, but </w:t>
      </w:r>
      <w:r w:rsidRPr="007458E2">
        <w:rPr>
          <w:rFonts w:asciiTheme="minorHAnsi" w:hAnsiTheme="minorHAnsi"/>
        </w:rPr>
        <w:t xml:space="preserve">on the whole these can be characterised as a mechanism </w:t>
      </w:r>
      <w:r w:rsidR="00740FFE" w:rsidRPr="007458E2">
        <w:rPr>
          <w:rFonts w:asciiTheme="minorHAnsi" w:hAnsiTheme="minorHAnsi"/>
        </w:rPr>
        <w:t>for coping</w:t>
      </w:r>
      <w:r w:rsidR="005E6570" w:rsidRPr="007458E2">
        <w:rPr>
          <w:rFonts w:asciiTheme="minorHAnsi" w:hAnsiTheme="minorHAnsi"/>
        </w:rPr>
        <w:t xml:space="preserve"> with </w:t>
      </w:r>
      <w:r w:rsidR="00B10EC8" w:rsidRPr="007458E2">
        <w:rPr>
          <w:rFonts w:asciiTheme="minorHAnsi" w:hAnsiTheme="minorHAnsi"/>
        </w:rPr>
        <w:t xml:space="preserve">stress, </w:t>
      </w:r>
      <w:r w:rsidR="005E6570" w:rsidRPr="007458E2">
        <w:rPr>
          <w:rFonts w:asciiTheme="minorHAnsi" w:hAnsiTheme="minorHAnsi"/>
        </w:rPr>
        <w:t>distress, painful</w:t>
      </w:r>
      <w:r w:rsidR="00740FFE" w:rsidRPr="007458E2">
        <w:rPr>
          <w:rFonts w:asciiTheme="minorHAnsi" w:hAnsiTheme="minorHAnsi"/>
        </w:rPr>
        <w:t xml:space="preserve"> thoughts and</w:t>
      </w:r>
      <w:r w:rsidR="005E6570" w:rsidRPr="007458E2">
        <w:rPr>
          <w:rFonts w:asciiTheme="minorHAnsi" w:hAnsiTheme="minorHAnsi"/>
        </w:rPr>
        <w:t xml:space="preserve"> memories</w:t>
      </w:r>
      <w:r w:rsidR="00740FFE" w:rsidRPr="007458E2">
        <w:rPr>
          <w:rFonts w:asciiTheme="minorHAnsi" w:hAnsiTheme="minorHAnsi"/>
        </w:rPr>
        <w:t>,</w:t>
      </w:r>
      <w:r w:rsidR="005E6570" w:rsidRPr="007458E2">
        <w:rPr>
          <w:rFonts w:asciiTheme="minorHAnsi" w:hAnsiTheme="minorHAnsi"/>
        </w:rPr>
        <w:t xml:space="preserve"> </w:t>
      </w:r>
      <w:r w:rsidR="00740FFE" w:rsidRPr="007458E2">
        <w:rPr>
          <w:rFonts w:asciiTheme="minorHAnsi" w:hAnsiTheme="minorHAnsi"/>
        </w:rPr>
        <w:t>and depersonalisation or numbness</w:t>
      </w:r>
      <w:fldSimple w:instr=" NOTEREF _Ref286756140 \h  \* MERGEFORMAT ">
        <w:r w:rsidR="00A934FC" w:rsidRPr="00A934FC">
          <w:rPr>
            <w:rFonts w:asciiTheme="minorHAnsi" w:hAnsiTheme="minorHAnsi"/>
            <w:vertAlign w:val="superscript"/>
          </w:rPr>
          <w:t>17</w:t>
        </w:r>
      </w:fldSimple>
      <w:r w:rsidR="0008652E">
        <w:rPr>
          <w:rFonts w:asciiTheme="minorHAnsi" w:hAnsiTheme="minorHAnsi"/>
        </w:rPr>
        <w:t xml:space="preserve">.  </w:t>
      </w:r>
      <w:r w:rsidR="002C1216" w:rsidRPr="007458E2">
        <w:rPr>
          <w:rFonts w:asciiTheme="minorHAnsi" w:hAnsiTheme="minorHAnsi"/>
        </w:rPr>
        <w:t>It is in this regard the distinction pointed out</w:t>
      </w:r>
      <w:r w:rsidR="00D21B38" w:rsidRPr="007458E2">
        <w:rPr>
          <w:rFonts w:asciiTheme="minorHAnsi" w:hAnsiTheme="minorHAnsi"/>
        </w:rPr>
        <w:t xml:space="preserve"> earlier</w:t>
      </w:r>
      <w:r w:rsidR="002C1216" w:rsidRPr="007458E2">
        <w:rPr>
          <w:rFonts w:asciiTheme="minorHAnsi" w:hAnsiTheme="minorHAnsi"/>
        </w:rPr>
        <w:t xml:space="preserve"> becomes salient – much of the work</w:t>
      </w:r>
      <w:r w:rsidR="00D21B38" w:rsidRPr="007458E2">
        <w:rPr>
          <w:rFonts w:asciiTheme="minorHAnsi" w:hAnsiTheme="minorHAnsi"/>
        </w:rPr>
        <w:t xml:space="preserve"> that touches</w:t>
      </w:r>
      <w:r w:rsidR="002C1216" w:rsidRPr="007458E2">
        <w:rPr>
          <w:rFonts w:asciiTheme="minorHAnsi" w:hAnsiTheme="minorHAnsi"/>
        </w:rPr>
        <w:t xml:space="preserve"> on the functions of self-harm </w:t>
      </w:r>
      <w:r w:rsidR="00D21B38" w:rsidRPr="007458E2">
        <w:rPr>
          <w:rFonts w:asciiTheme="minorHAnsi" w:hAnsiTheme="minorHAnsi"/>
        </w:rPr>
        <w:t>refers to behaviours such as cutting and burning</w:t>
      </w:r>
      <w:r w:rsidR="002C1216" w:rsidRPr="007458E2">
        <w:rPr>
          <w:rFonts w:asciiTheme="minorHAnsi" w:hAnsiTheme="minorHAnsi"/>
        </w:rPr>
        <w:t xml:space="preserve"> as the forced externalisation of an internal emotional state, which then results in a restored equilibrium between inner and outer or, in the case of depersonalisation, a restored sense of reality</w:t>
      </w:r>
      <w:r w:rsidR="00B76E79" w:rsidRPr="007458E2">
        <w:rPr>
          <w:rFonts w:asciiTheme="minorHAnsi" w:hAnsiTheme="minorHAnsi"/>
        </w:rPr>
        <w:t>.  T</w:t>
      </w:r>
      <w:r w:rsidR="002C1216" w:rsidRPr="007458E2">
        <w:rPr>
          <w:rFonts w:asciiTheme="minorHAnsi" w:hAnsiTheme="minorHAnsi"/>
        </w:rPr>
        <w:t xml:space="preserve">his would accord with the definition of self-harm as an alteration of body tissue but does not seem representative of self harm behaviours that include self-starvation (this might represent the restoration of control), or alcohol and illicit drug abuse or self-poisoning, and which are more in keeping with the first, more general definition of harm done to the body.  </w:t>
      </w:r>
    </w:p>
    <w:p w:rsidR="00545ED7" w:rsidRPr="00D913E6" w:rsidRDefault="00545ED7" w:rsidP="00D913E6">
      <w:pPr>
        <w:pStyle w:val="Heading1"/>
        <w:rPr>
          <w:rFonts w:asciiTheme="minorHAnsi" w:hAnsiTheme="minorHAnsi"/>
        </w:rPr>
      </w:pPr>
      <w:r w:rsidRPr="00CC5108">
        <w:t>Self Harm Prevalence and Trends</w:t>
      </w:r>
    </w:p>
    <w:p w:rsidR="00BD2DCE" w:rsidRPr="007458E2" w:rsidRDefault="00545ED7" w:rsidP="00BD2DCE">
      <w:pPr>
        <w:jc w:val="both"/>
        <w:rPr>
          <w:rFonts w:asciiTheme="minorHAnsi" w:hAnsiTheme="minorHAnsi"/>
        </w:rPr>
      </w:pPr>
      <w:r w:rsidRPr="007458E2">
        <w:rPr>
          <w:rFonts w:asciiTheme="minorHAnsi" w:hAnsiTheme="minorHAnsi"/>
        </w:rPr>
        <w:t>DSHers, particularly those who repeatedly DSH use substantial health and social care resources</w:t>
      </w:r>
      <w:r w:rsidRPr="007458E2">
        <w:rPr>
          <w:rStyle w:val="EndnoteReference"/>
          <w:rFonts w:asciiTheme="minorHAnsi" w:hAnsiTheme="minorHAnsi"/>
        </w:rPr>
        <w:endnoteReference w:id="10"/>
      </w:r>
      <w:r w:rsidR="00BD2DCE" w:rsidRPr="007458E2">
        <w:rPr>
          <w:rFonts w:asciiTheme="minorHAnsi" w:hAnsiTheme="minorHAnsi"/>
        </w:rPr>
        <w:t>.</w:t>
      </w:r>
      <w:r w:rsidRPr="007458E2">
        <w:rPr>
          <w:rFonts w:asciiTheme="minorHAnsi" w:hAnsiTheme="minorHAnsi"/>
        </w:rPr>
        <w:t xml:space="preserve"> </w:t>
      </w:r>
      <w:r w:rsidR="00BD2DCE" w:rsidRPr="007458E2">
        <w:rPr>
          <w:rFonts w:asciiTheme="minorHAnsi" w:hAnsiTheme="minorHAnsi"/>
        </w:rPr>
        <w:t>Between 2001 and 2008 there were 71,740 admissions of South West residents to hospitals for self harm. Of these 68,197 were 15 years or over, but 61 with unattributable postcodes were removed. Therefore 68,138 admissions were analysed, 27,217 men and 40,921 women. In the same period 46,821 individual patients resident in the South West were admitted for self harm. However, some of these patients were admitted more than once, and a few moved local authority.   The convention is that patients are counted for the first admission in a local authority each year. Counted in this way 57,452 patients were treated; 54,366 were 15 years or over, but 57 with unattributable postcodes were removed.  Therefore 54,309 were analysed: 22,257 were men and 31,752 were women</w:t>
      </w:r>
      <w:fldSimple w:instr=" NOTEREF _Ref289187096 \h  \* MERGEFORMAT ">
        <w:r w:rsidR="00A934FC" w:rsidRPr="00A934FC">
          <w:rPr>
            <w:rFonts w:asciiTheme="minorHAnsi" w:hAnsiTheme="minorHAnsi"/>
            <w:vertAlign w:val="superscript"/>
          </w:rPr>
          <w:t>12</w:t>
        </w:r>
      </w:fldSimple>
      <w:r w:rsidR="00BD2DCE" w:rsidRPr="007458E2">
        <w:rPr>
          <w:rFonts w:asciiTheme="minorHAnsi" w:hAnsiTheme="minorHAnsi"/>
        </w:rPr>
        <w:t xml:space="preserve">. </w:t>
      </w:r>
    </w:p>
    <w:p w:rsidR="00BD2DCE" w:rsidRPr="007458E2" w:rsidRDefault="00BD2DCE" w:rsidP="00BD2DCE">
      <w:pPr>
        <w:jc w:val="both"/>
        <w:rPr>
          <w:rFonts w:asciiTheme="minorHAnsi" w:hAnsiTheme="minorHAnsi"/>
        </w:rPr>
      </w:pPr>
    </w:p>
    <w:p w:rsidR="004E6CBF" w:rsidRPr="007458E2" w:rsidRDefault="00BD2DCE" w:rsidP="00BD2DCE">
      <w:pPr>
        <w:jc w:val="both"/>
        <w:rPr>
          <w:rFonts w:asciiTheme="minorHAnsi" w:hAnsiTheme="minorHAnsi"/>
        </w:rPr>
      </w:pPr>
      <w:r w:rsidRPr="007458E2">
        <w:rPr>
          <w:rFonts w:asciiTheme="minorHAnsi" w:hAnsiTheme="minorHAnsi"/>
        </w:rPr>
        <w:lastRenderedPageBreak/>
        <w:t>As shown in Figure 1</w:t>
      </w:r>
      <w:r w:rsidR="005C09DB" w:rsidRPr="007458E2">
        <w:rPr>
          <w:rFonts w:asciiTheme="minorHAnsi" w:hAnsiTheme="minorHAnsi"/>
        </w:rPr>
        <w:t xml:space="preserve">, </w:t>
      </w:r>
      <w:r w:rsidRPr="007458E2">
        <w:rPr>
          <w:rFonts w:asciiTheme="minorHAnsi" w:hAnsiTheme="minorHAnsi"/>
        </w:rPr>
        <w:t>numbers of admissions and patients rose rapidly between 2002/3 and 2005/6, followed by a period of stabilisation. However since 2008/0 the numbers have again been on the increase with the fastest rise occurring in young women aged 15-19 and 20-24.</w:t>
      </w:r>
    </w:p>
    <w:p w:rsidR="005C09DB" w:rsidRPr="007458E2" w:rsidRDefault="005C09DB" w:rsidP="00BD2DCE">
      <w:pPr>
        <w:jc w:val="both"/>
        <w:rPr>
          <w:rFonts w:asciiTheme="minorHAnsi" w:hAnsiTheme="minorHAnsi"/>
        </w:rPr>
      </w:pPr>
    </w:p>
    <w:p w:rsidR="005C09DB" w:rsidRPr="00EB5CC4" w:rsidRDefault="005C09DB" w:rsidP="005C09DB">
      <w:pPr>
        <w:keepNext/>
        <w:rPr>
          <w:rFonts w:asciiTheme="minorHAnsi" w:hAnsiTheme="minorHAnsi" w:cs="Arial"/>
          <w:b/>
        </w:rPr>
      </w:pPr>
      <w:r w:rsidRPr="007458E2">
        <w:rPr>
          <w:rFonts w:asciiTheme="minorHAnsi" w:hAnsiTheme="minorHAnsi" w:cs="Arial"/>
          <w:b/>
          <w:i/>
        </w:rPr>
        <w:t>Figure 1: Trends in admissions and patients aged 15 years and over admitted for self harm in South West 2001/2 to 2008/9</w:t>
      </w:r>
      <w:fldSimple w:instr=" NOTEREF _Ref289187096 \h  \* MERGEFORMAT ">
        <w:r w:rsidR="00A934FC" w:rsidRPr="00A934FC">
          <w:rPr>
            <w:rFonts w:asciiTheme="minorHAnsi" w:hAnsiTheme="minorHAnsi" w:cs="Arial"/>
            <w:b/>
            <w:i/>
            <w:vertAlign w:val="superscript"/>
          </w:rPr>
          <w:t>12</w:t>
        </w:r>
      </w:fldSimple>
    </w:p>
    <w:p w:rsidR="005C09DB" w:rsidRPr="007458E2" w:rsidRDefault="005C09DB" w:rsidP="005C09DB">
      <w:pPr>
        <w:keepNext/>
        <w:rPr>
          <w:rFonts w:asciiTheme="minorHAnsi" w:hAnsiTheme="minorHAnsi"/>
        </w:rPr>
      </w:pPr>
    </w:p>
    <w:p w:rsidR="005C09DB" w:rsidRPr="007458E2" w:rsidRDefault="005C09DB" w:rsidP="00BD2DCE">
      <w:pPr>
        <w:jc w:val="both"/>
        <w:rPr>
          <w:rFonts w:asciiTheme="minorHAnsi" w:hAnsiTheme="minorHAnsi"/>
        </w:rPr>
      </w:pPr>
      <w:r w:rsidRPr="007458E2">
        <w:rPr>
          <w:rFonts w:asciiTheme="minorHAnsi" w:hAnsiTheme="minorHAnsi"/>
          <w:noProof/>
        </w:rPr>
        <w:drawing>
          <wp:inline distT="0" distB="0" distL="0" distR="0">
            <wp:extent cx="5274310" cy="3051100"/>
            <wp:effectExtent l="19050" t="0" r="254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4310" cy="3051100"/>
                    </a:xfrm>
                    <a:prstGeom prst="rect">
                      <a:avLst/>
                    </a:prstGeom>
                    <a:noFill/>
                    <a:ln w="9525">
                      <a:noFill/>
                      <a:miter lim="800000"/>
                      <a:headEnd/>
                      <a:tailEnd/>
                    </a:ln>
                  </pic:spPr>
                </pic:pic>
              </a:graphicData>
            </a:graphic>
          </wp:inline>
        </w:drawing>
      </w:r>
    </w:p>
    <w:p w:rsidR="005C09DB" w:rsidRPr="007458E2" w:rsidRDefault="005C09DB" w:rsidP="00BD2DCE">
      <w:pPr>
        <w:jc w:val="both"/>
        <w:rPr>
          <w:rFonts w:asciiTheme="minorHAnsi" w:hAnsiTheme="minorHAnsi"/>
        </w:rPr>
      </w:pPr>
    </w:p>
    <w:p w:rsidR="00545ED7" w:rsidRPr="007458E2" w:rsidRDefault="00166BD2" w:rsidP="00545ED7">
      <w:pPr>
        <w:jc w:val="both"/>
        <w:rPr>
          <w:rFonts w:asciiTheme="minorHAnsi" w:hAnsiTheme="minorHAnsi"/>
        </w:rPr>
      </w:pPr>
      <w:r w:rsidRPr="007458E2">
        <w:rPr>
          <w:rFonts w:asciiTheme="minorHAnsi" w:hAnsiTheme="minorHAnsi"/>
        </w:rPr>
        <w:t xml:space="preserve">Rates of DSH by teenagers in the UK are </w:t>
      </w:r>
      <w:r w:rsidR="00545ED7" w:rsidRPr="007458E2">
        <w:rPr>
          <w:rFonts w:asciiTheme="minorHAnsi" w:hAnsiTheme="minorHAnsi"/>
        </w:rPr>
        <w:t>recognised as among the highest in Europe</w:t>
      </w:r>
      <w:r w:rsidR="00545ED7" w:rsidRPr="007458E2">
        <w:rPr>
          <w:rStyle w:val="EndnoteReference"/>
          <w:rFonts w:asciiTheme="minorHAnsi" w:hAnsiTheme="minorHAnsi"/>
        </w:rPr>
        <w:endnoteReference w:id="11"/>
      </w:r>
      <w:r w:rsidR="00EA202D" w:rsidRPr="007458E2">
        <w:rPr>
          <w:rFonts w:asciiTheme="minorHAnsi" w:hAnsiTheme="minorHAnsi"/>
        </w:rPr>
        <w:t xml:space="preserve">. </w:t>
      </w:r>
      <w:r w:rsidR="00545ED7" w:rsidRPr="007458E2">
        <w:rPr>
          <w:rFonts w:asciiTheme="minorHAnsi" w:hAnsiTheme="minorHAnsi"/>
        </w:rPr>
        <w:t>In England, hospital admissions for DSH have risen by 41% from</w:t>
      </w:r>
      <w:r w:rsidR="00EA202D" w:rsidRPr="007458E2">
        <w:rPr>
          <w:rFonts w:asciiTheme="minorHAnsi" w:hAnsiTheme="minorHAnsi"/>
        </w:rPr>
        <w:t xml:space="preserve"> 2001/2</w:t>
      </w:r>
      <w:r w:rsidRPr="007458E2">
        <w:rPr>
          <w:rFonts w:asciiTheme="minorHAnsi" w:hAnsiTheme="minorHAnsi"/>
        </w:rPr>
        <w:t xml:space="preserve"> </w:t>
      </w:r>
      <w:r w:rsidR="00EA202D" w:rsidRPr="007458E2">
        <w:rPr>
          <w:rFonts w:asciiTheme="minorHAnsi" w:hAnsiTheme="minorHAnsi"/>
        </w:rPr>
        <w:t>to 2008/9.  Within the South West r</w:t>
      </w:r>
      <w:r w:rsidR="00545ED7" w:rsidRPr="007458E2">
        <w:rPr>
          <w:rFonts w:asciiTheme="minorHAnsi" w:hAnsiTheme="minorHAnsi"/>
        </w:rPr>
        <w:t>egion of England, hospital admissions have risen by 73% over this period</w:t>
      </w:r>
      <w:bookmarkStart w:id="6" w:name="_Ref289187096"/>
      <w:r w:rsidR="00545ED7" w:rsidRPr="007458E2">
        <w:rPr>
          <w:rStyle w:val="EndnoteReference"/>
          <w:rFonts w:asciiTheme="minorHAnsi" w:hAnsiTheme="minorHAnsi"/>
        </w:rPr>
        <w:endnoteReference w:id="12"/>
      </w:r>
      <w:bookmarkEnd w:id="6"/>
      <w:r w:rsidR="00545ED7" w:rsidRPr="007458E2">
        <w:rPr>
          <w:rFonts w:asciiTheme="minorHAnsi" w:hAnsiTheme="minorHAnsi"/>
        </w:rPr>
        <w:t>.  These figures are likely to significantly underestimate the overall number of cases:  it is suggested that only 1 in 6 – 7 cases of deliberate self harm result in formal medical treatment</w:t>
      </w:r>
      <w:r w:rsidR="00545ED7" w:rsidRPr="007458E2">
        <w:rPr>
          <w:rStyle w:val="EndnoteReference"/>
          <w:rFonts w:asciiTheme="minorHAnsi" w:hAnsiTheme="minorHAnsi"/>
        </w:rPr>
        <w:endnoteReference w:id="13"/>
      </w:r>
      <w:r w:rsidR="00545ED7" w:rsidRPr="007458E2">
        <w:rPr>
          <w:rFonts w:asciiTheme="minorHAnsi" w:hAnsiTheme="minorHAnsi"/>
        </w:rPr>
        <w:t>. Only 12.6% of a community sample of adolescents had been hosp</w:t>
      </w:r>
      <w:r w:rsidR="00EA202D" w:rsidRPr="007458E2">
        <w:rPr>
          <w:rFonts w:asciiTheme="minorHAnsi" w:hAnsiTheme="minorHAnsi"/>
        </w:rPr>
        <w:t>i</w:t>
      </w:r>
      <w:r w:rsidR="00545ED7" w:rsidRPr="007458E2">
        <w:rPr>
          <w:rFonts w:asciiTheme="minorHAnsi" w:hAnsiTheme="minorHAnsi"/>
        </w:rPr>
        <w:t>talised</w:t>
      </w:r>
      <w:bookmarkStart w:id="7" w:name="_Ref289188548"/>
      <w:r w:rsidR="00545ED7" w:rsidRPr="007458E2">
        <w:rPr>
          <w:rStyle w:val="EndnoteReference"/>
          <w:rFonts w:asciiTheme="minorHAnsi" w:hAnsiTheme="minorHAnsi"/>
        </w:rPr>
        <w:endnoteReference w:id="14"/>
      </w:r>
      <w:bookmarkEnd w:id="7"/>
      <w:r w:rsidR="00EA202D" w:rsidRPr="007458E2">
        <w:rPr>
          <w:rFonts w:asciiTheme="minorHAnsi" w:hAnsiTheme="minorHAnsi"/>
        </w:rPr>
        <w:t>.</w:t>
      </w:r>
      <w:r w:rsidR="00545ED7" w:rsidRPr="007458E2">
        <w:rPr>
          <w:rFonts w:asciiTheme="minorHAnsi" w:hAnsiTheme="minorHAnsi"/>
        </w:rPr>
        <w:t xml:space="preserve"> Prevalence rates of adolescent self harm appear to range from 5 – 15% depending on the actual definition used</w:t>
      </w:r>
      <w:r w:rsidR="00545ED7" w:rsidRPr="007458E2">
        <w:rPr>
          <w:rStyle w:val="EndnoteReference"/>
          <w:rFonts w:asciiTheme="minorHAnsi" w:hAnsiTheme="minorHAnsi"/>
        </w:rPr>
        <w:endnoteReference w:id="15"/>
      </w:r>
      <w:r w:rsidR="00545ED7" w:rsidRPr="007458E2">
        <w:rPr>
          <w:rFonts w:asciiTheme="minorHAnsi" w:hAnsiTheme="minorHAnsi"/>
        </w:rPr>
        <w:t>.  In studies where young people have been asked to self-define self-harm, the rates appear to be considerably higher, ranging from 25% to over 40</w:t>
      </w:r>
      <w:bookmarkStart w:id="8" w:name="_Ref287423719"/>
      <w:r w:rsidR="00EA202D" w:rsidRPr="007458E2">
        <w:rPr>
          <w:rFonts w:asciiTheme="minorHAnsi" w:hAnsiTheme="minorHAnsi"/>
        </w:rPr>
        <w:t>%</w:t>
      </w:r>
      <w:r w:rsidR="00545ED7" w:rsidRPr="007458E2">
        <w:rPr>
          <w:rStyle w:val="EndnoteReference"/>
          <w:rFonts w:asciiTheme="minorHAnsi" w:hAnsiTheme="minorHAnsi"/>
        </w:rPr>
        <w:endnoteReference w:id="16"/>
      </w:r>
      <w:bookmarkEnd w:id="8"/>
      <w:r w:rsidR="00EA202D" w:rsidRPr="007458E2">
        <w:rPr>
          <w:rFonts w:asciiTheme="minorHAnsi" w:hAnsiTheme="minorHAnsi"/>
        </w:rPr>
        <w:t xml:space="preserve">. </w:t>
      </w:r>
      <w:r w:rsidR="00545ED7" w:rsidRPr="007458E2">
        <w:rPr>
          <w:rFonts w:asciiTheme="minorHAnsi" w:hAnsiTheme="minorHAnsi"/>
        </w:rPr>
        <w:t>The reasons for the significant increases are not known, however there is some evidence that DSH involving young people is beginning earlier in life</w:t>
      </w:r>
      <w:bookmarkStart w:id="9" w:name="_Ref286756140"/>
      <w:r w:rsidR="00545ED7" w:rsidRPr="007458E2">
        <w:rPr>
          <w:rStyle w:val="EndnoteReference"/>
          <w:rFonts w:asciiTheme="minorHAnsi" w:hAnsiTheme="minorHAnsi"/>
        </w:rPr>
        <w:endnoteReference w:id="17"/>
      </w:r>
      <w:bookmarkEnd w:id="9"/>
      <w:r w:rsidR="00545ED7" w:rsidRPr="007458E2">
        <w:rPr>
          <w:rFonts w:asciiTheme="minorHAnsi" w:hAnsiTheme="minorHAnsi"/>
        </w:rPr>
        <w:t>.  In non-clinical groups, DSH generally begins in adolescence, peaks by the mid 20s and declines or ceases by the 30s independent of formal medical attention</w:t>
      </w:r>
      <w:fldSimple w:instr=" NOTEREF _Ref287423719 \h  \* MERGEFORMAT ">
        <w:r w:rsidR="00A934FC" w:rsidRPr="00A934FC">
          <w:rPr>
            <w:rFonts w:asciiTheme="minorHAnsi" w:hAnsiTheme="minorHAnsi"/>
            <w:vertAlign w:val="superscript"/>
          </w:rPr>
          <w:t>16</w:t>
        </w:r>
      </w:fldSimple>
      <w:r w:rsidR="00545ED7" w:rsidRPr="007458E2">
        <w:rPr>
          <w:rFonts w:asciiTheme="minorHAnsi" w:hAnsiTheme="minorHAnsi"/>
        </w:rPr>
        <w:t>.  However there is also evidence to suggest an additional trend whereby self-harm begins in early childhood and persists through adulthood</w:t>
      </w:r>
      <w:fldSimple w:instr=" NOTEREF _Ref289187346 \h  \* MERGEFORMAT ">
        <w:r w:rsidR="00A934FC" w:rsidRPr="00A934FC">
          <w:rPr>
            <w:rFonts w:asciiTheme="minorHAnsi" w:hAnsiTheme="minorHAnsi"/>
            <w:vertAlign w:val="superscript"/>
          </w:rPr>
          <w:t>2</w:t>
        </w:r>
      </w:fldSimple>
      <w:r w:rsidR="00545ED7" w:rsidRPr="007458E2">
        <w:rPr>
          <w:rFonts w:asciiTheme="minorHAnsi" w:hAnsiTheme="minorHAnsi"/>
        </w:rPr>
        <w:t xml:space="preserve">. </w:t>
      </w:r>
    </w:p>
    <w:p w:rsidR="00D21B38" w:rsidRPr="007458E2" w:rsidRDefault="00D21B38" w:rsidP="00D23E55">
      <w:pPr>
        <w:ind w:right="-58"/>
        <w:jc w:val="both"/>
        <w:rPr>
          <w:rFonts w:asciiTheme="minorHAnsi" w:hAnsiTheme="minorHAnsi"/>
        </w:rPr>
      </w:pPr>
    </w:p>
    <w:p w:rsidR="002B6392" w:rsidRPr="007458E2" w:rsidRDefault="002B6392" w:rsidP="002B6392">
      <w:pPr>
        <w:jc w:val="both"/>
        <w:rPr>
          <w:rFonts w:asciiTheme="minorHAnsi" w:hAnsiTheme="minorHAnsi"/>
        </w:rPr>
      </w:pPr>
      <w:r w:rsidRPr="007458E2">
        <w:rPr>
          <w:rFonts w:asciiTheme="minorHAnsi" w:hAnsiTheme="minorHAnsi"/>
        </w:rPr>
        <w:t>Several key questions arise in relation to the above:</w:t>
      </w:r>
    </w:p>
    <w:p w:rsidR="002B6392" w:rsidRPr="007458E2" w:rsidRDefault="002B6392" w:rsidP="002B6392">
      <w:pPr>
        <w:pStyle w:val="ListParagraph"/>
        <w:numPr>
          <w:ilvl w:val="0"/>
          <w:numId w:val="10"/>
        </w:numPr>
        <w:jc w:val="both"/>
        <w:rPr>
          <w:rFonts w:asciiTheme="minorHAnsi" w:hAnsiTheme="minorHAnsi"/>
        </w:rPr>
      </w:pPr>
      <w:r w:rsidRPr="007458E2">
        <w:rPr>
          <w:rFonts w:asciiTheme="minorHAnsi" w:hAnsiTheme="minorHAnsi"/>
        </w:rPr>
        <w:t xml:space="preserve">What percentage of deliberate self-harmers follow this cycle? </w:t>
      </w:r>
    </w:p>
    <w:p w:rsidR="002B6392" w:rsidRPr="007458E2" w:rsidRDefault="002B6392" w:rsidP="002B6392">
      <w:pPr>
        <w:pStyle w:val="ListParagraph"/>
        <w:numPr>
          <w:ilvl w:val="0"/>
          <w:numId w:val="10"/>
        </w:numPr>
        <w:jc w:val="both"/>
        <w:rPr>
          <w:rFonts w:asciiTheme="minorHAnsi" w:hAnsiTheme="minorHAnsi"/>
        </w:rPr>
      </w:pPr>
      <w:r w:rsidRPr="007458E2">
        <w:rPr>
          <w:rFonts w:asciiTheme="minorHAnsi" w:hAnsiTheme="minorHAnsi"/>
        </w:rPr>
        <w:t>Did their behaviour leave long-term physical or emotional damage?</w:t>
      </w:r>
    </w:p>
    <w:p w:rsidR="002B6392" w:rsidRPr="007458E2" w:rsidRDefault="002B6392" w:rsidP="002B6392">
      <w:pPr>
        <w:pStyle w:val="ListParagraph"/>
        <w:numPr>
          <w:ilvl w:val="0"/>
          <w:numId w:val="10"/>
        </w:numPr>
        <w:jc w:val="both"/>
        <w:rPr>
          <w:rFonts w:asciiTheme="minorHAnsi" w:hAnsiTheme="minorHAnsi"/>
        </w:rPr>
      </w:pPr>
      <w:r w:rsidRPr="007458E2">
        <w:rPr>
          <w:rFonts w:asciiTheme="minorHAnsi" w:hAnsiTheme="minorHAnsi"/>
        </w:rPr>
        <w:t>How and why did they ‘emerge’ from DSH behaviour cycles?</w:t>
      </w:r>
    </w:p>
    <w:p w:rsidR="002B6392" w:rsidRPr="007458E2" w:rsidRDefault="002B6392" w:rsidP="002B6392">
      <w:pPr>
        <w:pStyle w:val="ListParagraph"/>
        <w:numPr>
          <w:ilvl w:val="0"/>
          <w:numId w:val="10"/>
        </w:numPr>
        <w:jc w:val="both"/>
        <w:rPr>
          <w:rFonts w:asciiTheme="minorHAnsi" w:hAnsiTheme="minorHAnsi"/>
        </w:rPr>
      </w:pPr>
      <w:r w:rsidRPr="007458E2">
        <w:rPr>
          <w:rFonts w:asciiTheme="minorHAnsi" w:hAnsiTheme="minorHAnsi"/>
        </w:rPr>
        <w:t>What sources of formal or informal help did they seek, use or value?</w:t>
      </w:r>
    </w:p>
    <w:p w:rsidR="002B6392" w:rsidRPr="007458E2" w:rsidRDefault="002B6392" w:rsidP="002B6392">
      <w:pPr>
        <w:pStyle w:val="ListParagraph"/>
        <w:numPr>
          <w:ilvl w:val="0"/>
          <w:numId w:val="10"/>
        </w:numPr>
        <w:jc w:val="both"/>
        <w:rPr>
          <w:rFonts w:asciiTheme="minorHAnsi" w:hAnsiTheme="minorHAnsi"/>
        </w:rPr>
      </w:pPr>
      <w:r w:rsidRPr="007458E2">
        <w:rPr>
          <w:rFonts w:asciiTheme="minorHAnsi" w:hAnsiTheme="minorHAnsi"/>
        </w:rPr>
        <w:lastRenderedPageBreak/>
        <w:t>What support do they recommend for others?</w:t>
      </w:r>
    </w:p>
    <w:p w:rsidR="002B6392" w:rsidRPr="007458E2" w:rsidRDefault="002B6392" w:rsidP="00D23E55">
      <w:pPr>
        <w:ind w:right="-58"/>
        <w:jc w:val="both"/>
        <w:rPr>
          <w:rFonts w:asciiTheme="minorHAnsi" w:hAnsiTheme="minorHAnsi"/>
        </w:rPr>
      </w:pPr>
    </w:p>
    <w:p w:rsidR="00BB4F98" w:rsidRPr="007458E2" w:rsidRDefault="002B6392" w:rsidP="00BB4F98">
      <w:pPr>
        <w:ind w:right="-58"/>
        <w:jc w:val="both"/>
        <w:rPr>
          <w:rFonts w:asciiTheme="minorHAnsi" w:hAnsiTheme="minorHAnsi"/>
        </w:rPr>
      </w:pPr>
      <w:r w:rsidRPr="007458E2">
        <w:rPr>
          <w:rFonts w:asciiTheme="minorHAnsi" w:hAnsiTheme="minorHAnsi"/>
        </w:rPr>
        <w:t xml:space="preserve">As a cautionary note, </w:t>
      </w:r>
      <w:r w:rsidR="00BB4F98" w:rsidRPr="007458E2">
        <w:rPr>
          <w:rFonts w:asciiTheme="minorHAnsi" w:hAnsiTheme="minorHAnsi"/>
        </w:rPr>
        <w:t>Murray &amp; Fox</w:t>
      </w:r>
      <w:bookmarkStart w:id="10" w:name="_Ref289187534"/>
      <w:r w:rsidR="00FD1199">
        <w:rPr>
          <w:rStyle w:val="EndnoteReference"/>
          <w:rFonts w:asciiTheme="minorHAnsi" w:hAnsiTheme="minorHAnsi"/>
        </w:rPr>
        <w:endnoteReference w:id="18"/>
      </w:r>
      <w:bookmarkEnd w:id="10"/>
      <w:r w:rsidR="00BB4F98" w:rsidRPr="007458E2">
        <w:rPr>
          <w:rFonts w:asciiTheme="minorHAnsi" w:hAnsiTheme="minorHAnsi"/>
        </w:rPr>
        <w:t xml:space="preserve"> (2006) </w:t>
      </w:r>
      <w:r w:rsidRPr="007458E2">
        <w:rPr>
          <w:rFonts w:asciiTheme="minorHAnsi" w:hAnsiTheme="minorHAnsi"/>
        </w:rPr>
        <w:t>warn</w:t>
      </w:r>
      <w:r w:rsidR="00BB4F98" w:rsidRPr="007458E2">
        <w:rPr>
          <w:rFonts w:asciiTheme="minorHAnsi" w:hAnsiTheme="minorHAnsi"/>
        </w:rPr>
        <w:t xml:space="preserve"> against the identification of prevalent trends in types of self-harm based</w:t>
      </w:r>
      <w:r w:rsidRPr="007458E2">
        <w:rPr>
          <w:rFonts w:asciiTheme="minorHAnsi" w:hAnsiTheme="minorHAnsi"/>
        </w:rPr>
        <w:t xml:space="preserve"> solely</w:t>
      </w:r>
      <w:r w:rsidR="00BB4F98" w:rsidRPr="007458E2">
        <w:rPr>
          <w:rFonts w:asciiTheme="minorHAnsi" w:hAnsiTheme="minorHAnsi"/>
        </w:rPr>
        <w:t xml:space="preserve"> on samples gained from medical settings, such as Accident &amp; Emergency admissions. They argue that particular forms of </w:t>
      </w:r>
      <w:r w:rsidRPr="007458E2">
        <w:rPr>
          <w:rFonts w:asciiTheme="minorHAnsi" w:hAnsiTheme="minorHAnsi"/>
        </w:rPr>
        <w:t>DSH</w:t>
      </w:r>
      <w:r w:rsidR="00BB4F98" w:rsidRPr="007458E2">
        <w:rPr>
          <w:rFonts w:asciiTheme="minorHAnsi" w:hAnsiTheme="minorHAnsi"/>
        </w:rPr>
        <w:t>, such as self-poisoning, can be over-represented in these samples, while behaviours such as cutting and burning are under-represented and more prevalent</w:t>
      </w:r>
      <w:r w:rsidR="00771BD9" w:rsidRPr="007458E2">
        <w:rPr>
          <w:rFonts w:asciiTheme="minorHAnsi" w:hAnsiTheme="minorHAnsi"/>
        </w:rPr>
        <w:t xml:space="preserve"> in actuality</w:t>
      </w:r>
      <w:fldSimple w:instr=" NOTEREF _Ref289187534 \h  \* MERGEFORMAT ">
        <w:r w:rsidR="00A934FC" w:rsidRPr="00A934FC">
          <w:rPr>
            <w:rFonts w:asciiTheme="minorHAnsi" w:hAnsiTheme="minorHAnsi"/>
            <w:vertAlign w:val="superscript"/>
          </w:rPr>
          <w:t>18</w:t>
        </w:r>
      </w:fldSimple>
      <w:r w:rsidR="00BB4F98" w:rsidRPr="007458E2">
        <w:rPr>
          <w:rFonts w:asciiTheme="minorHAnsi" w:hAnsiTheme="minorHAnsi"/>
        </w:rPr>
        <w:t>. Furthermore, while instances of self-harm that end up in A&amp;E are more likely to be life-threatening forms of self-harm, other instances involving cutting and burning are less lik</w:t>
      </w:r>
      <w:r w:rsidRPr="007458E2">
        <w:rPr>
          <w:rFonts w:asciiTheme="minorHAnsi" w:hAnsiTheme="minorHAnsi"/>
        </w:rPr>
        <w:t xml:space="preserve">ely to require hospitalisation. </w:t>
      </w:r>
      <w:r w:rsidR="00BB4F98" w:rsidRPr="007458E2">
        <w:rPr>
          <w:rFonts w:asciiTheme="minorHAnsi" w:hAnsiTheme="minorHAnsi"/>
        </w:rPr>
        <w:t>Adler</w:t>
      </w:r>
      <w:r w:rsidR="009174DA">
        <w:rPr>
          <w:rFonts w:asciiTheme="minorHAnsi" w:hAnsiTheme="minorHAnsi"/>
        </w:rPr>
        <w:t xml:space="preserve"> &amp; Adler</w:t>
      </w:r>
      <w:fldSimple w:instr=" NOTEREF _Ref289191191 \h  \* MERGEFORMAT ">
        <w:r w:rsidR="00A934FC" w:rsidRPr="00A934FC">
          <w:rPr>
            <w:rFonts w:asciiTheme="minorHAnsi" w:hAnsiTheme="minorHAnsi"/>
            <w:vertAlign w:val="superscript"/>
          </w:rPr>
          <w:t>9</w:t>
        </w:r>
      </w:fldSimple>
      <w:r w:rsidR="009174DA">
        <w:rPr>
          <w:rFonts w:asciiTheme="minorHAnsi" w:hAnsiTheme="minorHAnsi"/>
        </w:rPr>
        <w:t xml:space="preserve"> </w:t>
      </w:r>
      <w:r w:rsidR="00BB4F98" w:rsidRPr="007458E2">
        <w:rPr>
          <w:rFonts w:asciiTheme="minorHAnsi" w:hAnsiTheme="minorHAnsi"/>
        </w:rPr>
        <w:t>call for the demedicalisation of self-injury, stating that many self-harmers never seek help from mental health professionals and a large percentage of self-harm never receives medical attention</w:t>
      </w:r>
      <w:r w:rsidR="009174DA">
        <w:rPr>
          <w:rStyle w:val="EndnoteReference"/>
          <w:rFonts w:asciiTheme="minorHAnsi" w:hAnsiTheme="minorHAnsi"/>
        </w:rPr>
        <w:endnoteReference w:id="19"/>
      </w:r>
      <w:r w:rsidRPr="007458E2">
        <w:rPr>
          <w:rFonts w:asciiTheme="minorHAnsi" w:hAnsiTheme="minorHAnsi"/>
        </w:rPr>
        <w:t xml:space="preserve">. </w:t>
      </w:r>
      <w:r w:rsidR="00BB4F98" w:rsidRPr="007458E2">
        <w:rPr>
          <w:rFonts w:asciiTheme="minorHAnsi" w:hAnsiTheme="minorHAnsi"/>
        </w:rPr>
        <w:t xml:space="preserve">There is therefore </w:t>
      </w:r>
      <w:r w:rsidRPr="007458E2">
        <w:rPr>
          <w:rFonts w:asciiTheme="minorHAnsi" w:hAnsiTheme="minorHAnsi"/>
        </w:rPr>
        <w:t xml:space="preserve">also </w:t>
      </w:r>
      <w:r w:rsidR="00BB4F98" w:rsidRPr="007458E2">
        <w:rPr>
          <w:rFonts w:asciiTheme="minorHAnsi" w:hAnsiTheme="minorHAnsi"/>
        </w:rPr>
        <w:t>a need to access under-researched self-harm populations such as “long-term chronic [self-harmers], youthful participants who remain outside of treatment and people who feel positive about self-inju</w:t>
      </w:r>
      <w:r w:rsidR="009A16E3">
        <w:rPr>
          <w:rFonts w:asciiTheme="minorHAnsi" w:hAnsiTheme="minorHAnsi"/>
        </w:rPr>
        <w:t>ry”</w:t>
      </w:r>
      <w:fldSimple w:instr=" NOTEREF _Ref289191191 \h  \* MERGEFORMAT ">
        <w:r w:rsidR="009A16E3" w:rsidRPr="009A16E3">
          <w:rPr>
            <w:rFonts w:asciiTheme="minorHAnsi" w:hAnsiTheme="minorHAnsi"/>
            <w:vertAlign w:val="superscript"/>
          </w:rPr>
          <w:t>9</w:t>
        </w:r>
      </w:fldSimple>
      <w:r w:rsidR="00B35B79" w:rsidRPr="00B35B79">
        <w:rPr>
          <w:rFonts w:asciiTheme="minorHAnsi" w:hAnsiTheme="minorHAnsi"/>
          <w:vertAlign w:val="superscript"/>
        </w:rPr>
        <w:t>: 538</w:t>
      </w:r>
      <w:r w:rsidR="00BB4F98" w:rsidRPr="007458E2">
        <w:rPr>
          <w:rFonts w:asciiTheme="minorHAnsi" w:hAnsiTheme="minorHAnsi"/>
        </w:rPr>
        <w:t xml:space="preserve">. </w:t>
      </w:r>
    </w:p>
    <w:p w:rsidR="00BB4F98" w:rsidRPr="007458E2" w:rsidRDefault="00BB4F98" w:rsidP="00BB4F98">
      <w:pPr>
        <w:rPr>
          <w:rFonts w:asciiTheme="minorHAnsi" w:hAnsiTheme="minorHAnsi"/>
        </w:rPr>
      </w:pPr>
    </w:p>
    <w:p w:rsidR="004D0B38" w:rsidRPr="007458E2" w:rsidRDefault="00B23977" w:rsidP="00A1365B">
      <w:pPr>
        <w:jc w:val="both"/>
        <w:rPr>
          <w:rFonts w:asciiTheme="minorHAnsi" w:hAnsiTheme="minorHAnsi"/>
        </w:rPr>
      </w:pPr>
      <w:r w:rsidRPr="007458E2">
        <w:rPr>
          <w:rFonts w:asciiTheme="minorHAnsi" w:hAnsiTheme="minorHAnsi"/>
        </w:rPr>
        <w:t xml:space="preserve">While official statistics do not break down </w:t>
      </w:r>
      <w:r w:rsidR="002E2ECB" w:rsidRPr="007458E2">
        <w:rPr>
          <w:rFonts w:asciiTheme="minorHAnsi" w:hAnsiTheme="minorHAnsi"/>
        </w:rPr>
        <w:t>DSH</w:t>
      </w:r>
      <w:r w:rsidRPr="007458E2">
        <w:rPr>
          <w:rFonts w:asciiTheme="minorHAnsi" w:hAnsiTheme="minorHAnsi"/>
        </w:rPr>
        <w:t xml:space="preserve"> severity, it is suggested that an additional layer of analysis based on a continuum of </w:t>
      </w:r>
      <w:r w:rsidR="002E2ECB" w:rsidRPr="007458E2">
        <w:rPr>
          <w:rFonts w:asciiTheme="minorHAnsi" w:hAnsiTheme="minorHAnsi"/>
        </w:rPr>
        <w:t>DSH</w:t>
      </w:r>
      <w:r w:rsidRPr="007458E2">
        <w:rPr>
          <w:rFonts w:asciiTheme="minorHAnsi" w:hAnsiTheme="minorHAnsi"/>
        </w:rPr>
        <w:t xml:space="preserve"> would improve knowledge</w:t>
      </w:r>
      <w:r w:rsidRPr="007458E2">
        <w:rPr>
          <w:rStyle w:val="EndnoteReference"/>
          <w:rFonts w:asciiTheme="minorHAnsi" w:hAnsiTheme="minorHAnsi"/>
        </w:rPr>
        <w:endnoteReference w:id="20"/>
      </w:r>
      <w:r w:rsidRPr="007458E2">
        <w:rPr>
          <w:rFonts w:asciiTheme="minorHAnsi" w:hAnsiTheme="minorHAnsi"/>
        </w:rPr>
        <w:t>.  This continuum is proposed as ranging from:</w:t>
      </w:r>
    </w:p>
    <w:p w:rsidR="00B23977" w:rsidRPr="007458E2" w:rsidRDefault="00B23977" w:rsidP="00A1365B">
      <w:pPr>
        <w:jc w:val="both"/>
        <w:rPr>
          <w:rFonts w:asciiTheme="minorHAnsi" w:hAnsiTheme="minorHAnsi"/>
        </w:rPr>
      </w:pPr>
    </w:p>
    <w:p w:rsidR="00B23977" w:rsidRPr="007458E2" w:rsidRDefault="00B23977" w:rsidP="00976D7E">
      <w:pPr>
        <w:pStyle w:val="ListParagraph"/>
        <w:numPr>
          <w:ilvl w:val="0"/>
          <w:numId w:val="4"/>
        </w:numPr>
        <w:jc w:val="both"/>
        <w:rPr>
          <w:rFonts w:asciiTheme="minorHAnsi" w:hAnsiTheme="minorHAnsi"/>
        </w:rPr>
      </w:pPr>
      <w:r w:rsidRPr="007458E2">
        <w:rPr>
          <w:rFonts w:asciiTheme="minorHAnsi" w:hAnsiTheme="minorHAnsi"/>
        </w:rPr>
        <w:t>Good enough self-care</w:t>
      </w:r>
    </w:p>
    <w:p w:rsidR="00B23977" w:rsidRPr="007458E2" w:rsidRDefault="00B23977" w:rsidP="00976D7E">
      <w:pPr>
        <w:pStyle w:val="ListParagraph"/>
        <w:numPr>
          <w:ilvl w:val="0"/>
          <w:numId w:val="4"/>
        </w:numPr>
        <w:jc w:val="both"/>
        <w:rPr>
          <w:rFonts w:asciiTheme="minorHAnsi" w:hAnsiTheme="minorHAnsi"/>
        </w:rPr>
      </w:pPr>
      <w:r w:rsidRPr="007458E2">
        <w:rPr>
          <w:rFonts w:asciiTheme="minorHAnsi" w:hAnsiTheme="minorHAnsi"/>
        </w:rPr>
        <w:t>Compromised self-care</w:t>
      </w:r>
    </w:p>
    <w:p w:rsidR="00B23977" w:rsidRPr="007458E2" w:rsidRDefault="00B23977" w:rsidP="00976D7E">
      <w:pPr>
        <w:pStyle w:val="ListParagraph"/>
        <w:numPr>
          <w:ilvl w:val="0"/>
          <w:numId w:val="4"/>
        </w:numPr>
        <w:jc w:val="both"/>
        <w:rPr>
          <w:rFonts w:asciiTheme="minorHAnsi" w:hAnsiTheme="minorHAnsi"/>
        </w:rPr>
      </w:pPr>
      <w:r w:rsidRPr="007458E2">
        <w:rPr>
          <w:rFonts w:asciiTheme="minorHAnsi" w:hAnsiTheme="minorHAnsi"/>
        </w:rPr>
        <w:t>Mild self harm</w:t>
      </w:r>
    </w:p>
    <w:p w:rsidR="00B23977" w:rsidRPr="007458E2" w:rsidRDefault="00B23977" w:rsidP="00976D7E">
      <w:pPr>
        <w:pStyle w:val="ListParagraph"/>
        <w:numPr>
          <w:ilvl w:val="0"/>
          <w:numId w:val="4"/>
        </w:numPr>
        <w:jc w:val="both"/>
        <w:rPr>
          <w:rFonts w:asciiTheme="minorHAnsi" w:hAnsiTheme="minorHAnsi"/>
        </w:rPr>
      </w:pPr>
      <w:r w:rsidRPr="007458E2">
        <w:rPr>
          <w:rFonts w:asciiTheme="minorHAnsi" w:hAnsiTheme="minorHAnsi"/>
        </w:rPr>
        <w:t>Moderate self harm</w:t>
      </w:r>
    </w:p>
    <w:p w:rsidR="00B23977" w:rsidRPr="007458E2" w:rsidRDefault="00B23977" w:rsidP="00976D7E">
      <w:pPr>
        <w:pStyle w:val="ListParagraph"/>
        <w:numPr>
          <w:ilvl w:val="0"/>
          <w:numId w:val="4"/>
        </w:numPr>
        <w:jc w:val="both"/>
        <w:rPr>
          <w:rFonts w:asciiTheme="minorHAnsi" w:hAnsiTheme="minorHAnsi"/>
        </w:rPr>
      </w:pPr>
      <w:r w:rsidRPr="007458E2">
        <w:rPr>
          <w:rFonts w:asciiTheme="minorHAnsi" w:hAnsiTheme="minorHAnsi"/>
        </w:rPr>
        <w:t>Severe self harm.</w:t>
      </w:r>
    </w:p>
    <w:p w:rsidR="00A64DA1" w:rsidRPr="007458E2" w:rsidRDefault="00A64DA1" w:rsidP="00A1365B">
      <w:pPr>
        <w:jc w:val="both"/>
        <w:rPr>
          <w:rFonts w:asciiTheme="minorHAnsi" w:hAnsiTheme="minorHAnsi"/>
        </w:rPr>
      </w:pPr>
    </w:p>
    <w:p w:rsidR="004D0B38" w:rsidRPr="007458E2" w:rsidRDefault="00B23977" w:rsidP="00A1365B">
      <w:pPr>
        <w:jc w:val="both"/>
        <w:rPr>
          <w:rFonts w:asciiTheme="minorHAnsi" w:hAnsiTheme="minorHAnsi"/>
        </w:rPr>
      </w:pPr>
      <w:r w:rsidRPr="007458E2">
        <w:rPr>
          <w:rFonts w:asciiTheme="minorHAnsi" w:hAnsiTheme="minorHAnsi"/>
        </w:rPr>
        <w:t xml:space="preserve">No statistics are available to support this proposal, however if verified, it could indicate </w:t>
      </w:r>
      <w:r w:rsidR="00D05730" w:rsidRPr="007458E2">
        <w:rPr>
          <w:rFonts w:asciiTheme="minorHAnsi" w:hAnsiTheme="minorHAnsi"/>
        </w:rPr>
        <w:t>a range of different interventions, particularly as there appear to be several different segments of deliberate self-harmers, some of whom will require specialist medical treatment, often as in-patients, and some for whom effective assistance may be able to be delivered in community settings.  Possible segmentation and the implications of this are discussed in the following sections.</w:t>
      </w:r>
    </w:p>
    <w:p w:rsidR="004D0B38" w:rsidRPr="007458E2" w:rsidRDefault="004D0B38" w:rsidP="00CC5108">
      <w:pPr>
        <w:pStyle w:val="Heading1"/>
      </w:pPr>
      <w:r w:rsidRPr="007458E2">
        <w:t>Past Intervention Effectiveness</w:t>
      </w:r>
    </w:p>
    <w:p w:rsidR="00A1365B" w:rsidRPr="007458E2" w:rsidRDefault="00EB508A" w:rsidP="00A1365B">
      <w:pPr>
        <w:jc w:val="both"/>
        <w:rPr>
          <w:rFonts w:asciiTheme="minorHAnsi" w:hAnsiTheme="minorHAnsi"/>
        </w:rPr>
      </w:pPr>
      <w:r w:rsidRPr="007458E2">
        <w:rPr>
          <w:rFonts w:asciiTheme="minorHAnsi" w:hAnsiTheme="minorHAnsi"/>
        </w:rPr>
        <w:t xml:space="preserve">A challenge to understanding the diverse segments of deliberate self-harmers is that most studies of motivations and treatments have been conducted with </w:t>
      </w:r>
      <w:r w:rsidR="00C16BB3" w:rsidRPr="007458E2">
        <w:rPr>
          <w:rFonts w:asciiTheme="minorHAnsi" w:hAnsiTheme="minorHAnsi"/>
        </w:rPr>
        <w:t xml:space="preserve">populations within the health-care system, and in particular, </w:t>
      </w:r>
      <w:r w:rsidRPr="007458E2">
        <w:rPr>
          <w:rFonts w:asciiTheme="minorHAnsi" w:hAnsiTheme="minorHAnsi"/>
        </w:rPr>
        <w:t>in-patients</w:t>
      </w:r>
      <w:bookmarkStart w:id="11" w:name="_Ref287427494"/>
      <w:r w:rsidRPr="007458E2">
        <w:rPr>
          <w:rStyle w:val="EndnoteReference"/>
          <w:rFonts w:asciiTheme="minorHAnsi" w:hAnsiTheme="minorHAnsi"/>
        </w:rPr>
        <w:endnoteReference w:id="21"/>
      </w:r>
      <w:bookmarkEnd w:id="11"/>
      <w:r w:rsidR="00C16BB3" w:rsidRPr="007458E2">
        <w:rPr>
          <w:rFonts w:asciiTheme="minorHAnsi" w:hAnsiTheme="minorHAnsi"/>
        </w:rPr>
        <w:t>.</w:t>
      </w:r>
      <w:r w:rsidRPr="007458E2">
        <w:rPr>
          <w:rFonts w:asciiTheme="minorHAnsi" w:hAnsiTheme="minorHAnsi"/>
        </w:rPr>
        <w:t xml:space="preserve"> </w:t>
      </w:r>
      <w:r w:rsidR="00C16BB3" w:rsidRPr="007458E2">
        <w:rPr>
          <w:rFonts w:asciiTheme="minorHAnsi" w:hAnsiTheme="minorHAnsi"/>
        </w:rPr>
        <w:t xml:space="preserve">Overall findings and the identification of needs from these studies are summarised here. </w:t>
      </w:r>
      <w:r w:rsidR="002E2ECB" w:rsidRPr="007458E2">
        <w:rPr>
          <w:rFonts w:asciiTheme="minorHAnsi" w:hAnsiTheme="minorHAnsi"/>
        </w:rPr>
        <w:t>DSH</w:t>
      </w:r>
      <w:r w:rsidR="00B10EC8" w:rsidRPr="007458E2">
        <w:rPr>
          <w:rFonts w:asciiTheme="minorHAnsi" w:hAnsiTheme="minorHAnsi"/>
        </w:rPr>
        <w:t>ers are known to have low rates of compliance with aftercare</w:t>
      </w:r>
      <w:r w:rsidR="00B10EC8" w:rsidRPr="007458E2">
        <w:rPr>
          <w:rStyle w:val="EndnoteReference"/>
          <w:rFonts w:asciiTheme="minorHAnsi" w:hAnsiTheme="minorHAnsi"/>
        </w:rPr>
        <w:endnoteReference w:id="22"/>
      </w:r>
      <w:r w:rsidR="00B10EC8" w:rsidRPr="007458E2">
        <w:rPr>
          <w:rFonts w:asciiTheme="minorHAnsi" w:hAnsiTheme="minorHAnsi"/>
        </w:rPr>
        <w:t xml:space="preserve"> and between 12 – 25% of patients will repeat </w:t>
      </w:r>
      <w:r w:rsidR="002E2ECB" w:rsidRPr="007458E2">
        <w:rPr>
          <w:rFonts w:asciiTheme="minorHAnsi" w:hAnsiTheme="minorHAnsi"/>
        </w:rPr>
        <w:t>DSH</w:t>
      </w:r>
      <w:r w:rsidR="00B10EC8" w:rsidRPr="007458E2">
        <w:rPr>
          <w:rFonts w:asciiTheme="minorHAnsi" w:hAnsiTheme="minorHAnsi"/>
        </w:rPr>
        <w:t xml:space="preserve"> and represent at hospital within a year</w:t>
      </w:r>
      <w:fldSimple w:instr=" NOTEREF _Ref286757121 \h  \* MERGEFORMAT ">
        <w:r w:rsidR="00A934FC" w:rsidRPr="00A934FC">
          <w:rPr>
            <w:rFonts w:asciiTheme="minorHAnsi" w:hAnsiTheme="minorHAnsi"/>
            <w:vertAlign w:val="superscript"/>
          </w:rPr>
          <w:t>3</w:t>
        </w:r>
      </w:fldSimple>
      <w:r w:rsidR="00B10EC8" w:rsidRPr="007458E2">
        <w:rPr>
          <w:rFonts w:asciiTheme="minorHAnsi" w:hAnsiTheme="minorHAnsi"/>
        </w:rPr>
        <w:t>.</w:t>
      </w:r>
      <w:r w:rsidR="00A1365B" w:rsidRPr="007458E2">
        <w:rPr>
          <w:rFonts w:asciiTheme="minorHAnsi" w:hAnsiTheme="minorHAnsi"/>
        </w:rPr>
        <w:t xml:space="preserve"> </w:t>
      </w:r>
      <w:r w:rsidRPr="007458E2">
        <w:rPr>
          <w:rFonts w:asciiTheme="minorHAnsi" w:hAnsiTheme="minorHAnsi"/>
        </w:rPr>
        <w:t xml:space="preserve">For some, provision of medication is seen as being ‘fobbed off’ rather than helping </w:t>
      </w:r>
      <w:r w:rsidR="00C16BB3" w:rsidRPr="007458E2">
        <w:rPr>
          <w:rFonts w:asciiTheme="minorHAnsi" w:hAnsiTheme="minorHAnsi"/>
        </w:rPr>
        <w:t xml:space="preserve">to </w:t>
      </w:r>
      <w:r w:rsidRPr="007458E2">
        <w:rPr>
          <w:rFonts w:asciiTheme="minorHAnsi" w:hAnsiTheme="minorHAnsi"/>
        </w:rPr>
        <w:t>address behavioural causes</w:t>
      </w:r>
      <w:r w:rsidRPr="007458E2">
        <w:rPr>
          <w:rStyle w:val="EndnoteReference"/>
          <w:rFonts w:asciiTheme="minorHAnsi" w:hAnsiTheme="minorHAnsi"/>
        </w:rPr>
        <w:endnoteReference w:id="23"/>
      </w:r>
      <w:r w:rsidR="00C16BB3" w:rsidRPr="007458E2">
        <w:rPr>
          <w:rFonts w:asciiTheme="minorHAnsi" w:hAnsiTheme="minorHAnsi"/>
        </w:rPr>
        <w:t>.</w:t>
      </w:r>
      <w:r w:rsidR="00A1365B" w:rsidRPr="007458E2">
        <w:rPr>
          <w:rFonts w:asciiTheme="minorHAnsi" w:hAnsiTheme="minorHAnsi"/>
        </w:rPr>
        <w:t xml:space="preserve"> This suggests that the needs of these vulnerable individuals may not be fully met by conventional health service provisions or interventions aimed at reducing </w:t>
      </w:r>
      <w:r w:rsidR="002E2ECB" w:rsidRPr="007458E2">
        <w:rPr>
          <w:rFonts w:asciiTheme="minorHAnsi" w:hAnsiTheme="minorHAnsi"/>
        </w:rPr>
        <w:t>DSH</w:t>
      </w:r>
      <w:r w:rsidR="00A1365B" w:rsidRPr="007458E2">
        <w:rPr>
          <w:rFonts w:asciiTheme="minorHAnsi" w:hAnsiTheme="minorHAnsi"/>
        </w:rPr>
        <w:t xml:space="preserve"> rates.</w:t>
      </w:r>
    </w:p>
    <w:p w:rsidR="00A1365B" w:rsidRPr="007458E2" w:rsidRDefault="00A1365B" w:rsidP="00A1365B">
      <w:pPr>
        <w:jc w:val="both"/>
        <w:rPr>
          <w:rFonts w:asciiTheme="minorHAnsi" w:hAnsiTheme="minorHAnsi"/>
        </w:rPr>
      </w:pPr>
    </w:p>
    <w:p w:rsidR="00B10EC8" w:rsidRPr="007458E2" w:rsidRDefault="00A1365B" w:rsidP="00A1365B">
      <w:pPr>
        <w:jc w:val="both"/>
        <w:rPr>
          <w:rFonts w:asciiTheme="minorHAnsi" w:hAnsiTheme="minorHAnsi"/>
        </w:rPr>
      </w:pPr>
      <w:r w:rsidRPr="007458E2">
        <w:rPr>
          <w:rFonts w:asciiTheme="minorHAnsi" w:hAnsiTheme="minorHAnsi"/>
        </w:rPr>
        <w:lastRenderedPageBreak/>
        <w:t>We do not suggest that the role of counsellors is in any way inadequate or negative, but reports of the value of their roles are based on perceptions of counsellors themselves rather than being compared and contrasted with the perceptions and preferences of their clients</w:t>
      </w:r>
      <w:r w:rsidRPr="007458E2">
        <w:rPr>
          <w:rStyle w:val="EndnoteReference"/>
          <w:rFonts w:asciiTheme="minorHAnsi" w:hAnsiTheme="minorHAnsi"/>
        </w:rPr>
        <w:endnoteReference w:id="24"/>
      </w:r>
      <w:r w:rsidRPr="007458E2">
        <w:rPr>
          <w:rFonts w:asciiTheme="minorHAnsi" w:hAnsiTheme="minorHAnsi"/>
        </w:rPr>
        <w:t xml:space="preserve">. It may be that some segments of </w:t>
      </w:r>
      <w:r w:rsidR="002E2ECB" w:rsidRPr="007458E2">
        <w:rPr>
          <w:rFonts w:asciiTheme="minorHAnsi" w:hAnsiTheme="minorHAnsi"/>
        </w:rPr>
        <w:t>DSH</w:t>
      </w:r>
      <w:r w:rsidRPr="007458E2">
        <w:rPr>
          <w:rFonts w:asciiTheme="minorHAnsi" w:hAnsiTheme="minorHAnsi"/>
        </w:rPr>
        <w:t>ers may prefer and benefit from a wider integrated range of support options including self help provided via electronic technologies as well as face-to-face options.  There is some evidence of a preference for specialist community-based rather than hospital-based support</w:t>
      </w:r>
      <w:r w:rsidRPr="007458E2">
        <w:rPr>
          <w:rStyle w:val="EndnoteReference"/>
          <w:rFonts w:asciiTheme="minorHAnsi" w:hAnsiTheme="minorHAnsi"/>
        </w:rPr>
        <w:endnoteReference w:id="25"/>
      </w:r>
      <w:r w:rsidRPr="007458E2">
        <w:rPr>
          <w:rFonts w:asciiTheme="minorHAnsi" w:hAnsiTheme="minorHAnsi"/>
        </w:rPr>
        <w:t>.</w:t>
      </w:r>
    </w:p>
    <w:p w:rsidR="00976D7E" w:rsidRPr="007458E2" w:rsidRDefault="00976D7E" w:rsidP="00A1365B">
      <w:pPr>
        <w:jc w:val="both"/>
        <w:rPr>
          <w:rFonts w:asciiTheme="minorHAnsi" w:hAnsiTheme="minorHAnsi"/>
        </w:rPr>
      </w:pPr>
    </w:p>
    <w:p w:rsidR="00976D7E" w:rsidRPr="007458E2" w:rsidRDefault="00976D7E" w:rsidP="00A1365B">
      <w:pPr>
        <w:jc w:val="both"/>
        <w:rPr>
          <w:rFonts w:asciiTheme="minorHAnsi" w:hAnsiTheme="minorHAnsi"/>
        </w:rPr>
      </w:pPr>
      <w:r w:rsidRPr="007458E2">
        <w:rPr>
          <w:rFonts w:asciiTheme="minorHAnsi" w:hAnsiTheme="minorHAnsi"/>
        </w:rPr>
        <w:t>There are calls for schools to play a central role by providing ‘emotional literacy’ training programmes</w:t>
      </w:r>
      <w:fldSimple w:instr=" NOTEREF _Ref286758553 \h  \* MERGEFORMAT ">
        <w:r w:rsidR="00A934FC" w:rsidRPr="00A934FC">
          <w:rPr>
            <w:rFonts w:asciiTheme="minorHAnsi" w:hAnsiTheme="minorHAnsi"/>
            <w:vertAlign w:val="superscript"/>
          </w:rPr>
          <w:t>6</w:t>
        </w:r>
      </w:fldSimple>
      <w:r w:rsidR="00C16BB3" w:rsidRPr="007458E2">
        <w:rPr>
          <w:rFonts w:asciiTheme="minorHAnsi" w:hAnsiTheme="minorHAnsi"/>
        </w:rPr>
        <w:t>.</w:t>
      </w:r>
      <w:r w:rsidRPr="007458E2">
        <w:rPr>
          <w:rFonts w:asciiTheme="minorHAnsi" w:hAnsiTheme="minorHAnsi"/>
          <w:vertAlign w:val="superscript"/>
        </w:rPr>
        <w:t xml:space="preserve">  </w:t>
      </w:r>
      <w:r w:rsidRPr="007458E2">
        <w:rPr>
          <w:rFonts w:asciiTheme="minorHAnsi" w:hAnsiTheme="minorHAnsi"/>
        </w:rPr>
        <w:t>This</w:t>
      </w:r>
      <w:r w:rsidR="003139AF" w:rsidRPr="007458E2">
        <w:rPr>
          <w:rFonts w:asciiTheme="minorHAnsi" w:hAnsiTheme="minorHAnsi"/>
        </w:rPr>
        <w:t xml:space="preserve"> may not be the most effective strategy as experiences </w:t>
      </w:r>
      <w:r w:rsidR="00C16BB3" w:rsidRPr="007458E2">
        <w:rPr>
          <w:rFonts w:asciiTheme="minorHAnsi" w:hAnsiTheme="minorHAnsi"/>
        </w:rPr>
        <w:t>from the</w:t>
      </w:r>
      <w:r w:rsidR="003139AF" w:rsidRPr="007458E2">
        <w:rPr>
          <w:rFonts w:asciiTheme="minorHAnsi" w:hAnsiTheme="minorHAnsi"/>
        </w:rPr>
        <w:t xml:space="preserve"> international Health Promoting Schools</w:t>
      </w:r>
      <w:r w:rsidR="00C16BB3" w:rsidRPr="007458E2">
        <w:rPr>
          <w:rFonts w:asciiTheme="minorHAnsi" w:hAnsiTheme="minorHAnsi"/>
        </w:rPr>
        <w:t xml:space="preserve"> (HPS)</w:t>
      </w:r>
      <w:r w:rsidR="003139AF" w:rsidRPr="007458E2">
        <w:rPr>
          <w:rFonts w:asciiTheme="minorHAnsi" w:hAnsiTheme="minorHAnsi"/>
        </w:rPr>
        <w:t xml:space="preserve"> programme</w:t>
      </w:r>
      <w:r w:rsidRPr="007458E2">
        <w:rPr>
          <w:rFonts w:asciiTheme="minorHAnsi" w:hAnsiTheme="minorHAnsi"/>
        </w:rPr>
        <w:t xml:space="preserve"> </w:t>
      </w:r>
      <w:r w:rsidR="003139AF" w:rsidRPr="007458E2">
        <w:rPr>
          <w:rFonts w:asciiTheme="minorHAnsi" w:hAnsiTheme="minorHAnsi"/>
        </w:rPr>
        <w:t xml:space="preserve">illustrate.  The HPS initiative </w:t>
      </w:r>
      <w:r w:rsidRPr="007458E2">
        <w:rPr>
          <w:rFonts w:asciiTheme="minorHAnsi" w:hAnsiTheme="minorHAnsi"/>
        </w:rPr>
        <w:t>is an international holistic, multi-factorial approach, targeting personal, cognitive and social skills in order to improve physical activity, health</w:t>
      </w:r>
      <w:r w:rsidR="003B1596">
        <w:rPr>
          <w:rFonts w:asciiTheme="minorHAnsi" w:hAnsiTheme="minorHAnsi"/>
        </w:rPr>
        <w:t xml:space="preserve">y eating and emotional health. </w:t>
      </w:r>
      <w:r w:rsidRPr="007458E2">
        <w:rPr>
          <w:rFonts w:asciiTheme="minorHAnsi" w:hAnsiTheme="minorHAnsi"/>
        </w:rPr>
        <w:t>Sustained improvements on these factors have been demonstrated in many countries in which the approach has been used</w:t>
      </w:r>
      <w:r w:rsidRPr="007458E2">
        <w:rPr>
          <w:rStyle w:val="EndnoteReference"/>
          <w:rFonts w:asciiTheme="minorHAnsi" w:eastAsiaTheme="majorEastAsia" w:hAnsiTheme="minorHAnsi"/>
        </w:rPr>
        <w:endnoteReference w:id="26"/>
      </w:r>
      <w:r w:rsidRPr="007458E2">
        <w:rPr>
          <w:rFonts w:asciiTheme="minorHAnsi" w:hAnsiTheme="minorHAnsi"/>
          <w:vertAlign w:val="superscript"/>
        </w:rPr>
        <w:t>,</w:t>
      </w:r>
      <w:r w:rsidR="00C16BB3" w:rsidRPr="007458E2">
        <w:rPr>
          <w:rFonts w:asciiTheme="minorHAnsi" w:hAnsiTheme="minorHAnsi"/>
          <w:vertAlign w:val="superscript"/>
        </w:rPr>
        <w:t xml:space="preserve"> </w:t>
      </w:r>
      <w:r w:rsidRPr="007458E2">
        <w:rPr>
          <w:rStyle w:val="EndnoteReference"/>
          <w:rFonts w:asciiTheme="minorHAnsi" w:eastAsiaTheme="majorEastAsia" w:hAnsiTheme="minorHAnsi"/>
        </w:rPr>
        <w:endnoteReference w:id="27"/>
      </w:r>
      <w:r w:rsidR="003139AF" w:rsidRPr="007458E2">
        <w:rPr>
          <w:rFonts w:asciiTheme="minorHAnsi" w:hAnsiTheme="minorHAnsi"/>
        </w:rPr>
        <w:t xml:space="preserve"> but</w:t>
      </w:r>
      <w:r w:rsidRPr="007458E2">
        <w:rPr>
          <w:rFonts w:asciiTheme="minorHAnsi" w:hAnsiTheme="minorHAnsi"/>
        </w:rPr>
        <w:t xml:space="preserve"> associated programmes aimed at decreasing illicit substance use and reducing suicide potential have been less successful</w:t>
      </w:r>
      <w:r w:rsidRPr="007458E2">
        <w:rPr>
          <w:rStyle w:val="EndnoteReference"/>
          <w:rFonts w:asciiTheme="minorHAnsi" w:eastAsiaTheme="majorEastAsia" w:hAnsiTheme="minorHAnsi"/>
        </w:rPr>
        <w:endnoteReference w:id="28"/>
      </w:r>
      <w:r w:rsidRPr="007458E2">
        <w:rPr>
          <w:rFonts w:asciiTheme="minorHAnsi" w:hAnsiTheme="minorHAnsi"/>
        </w:rPr>
        <w:t>.</w:t>
      </w:r>
    </w:p>
    <w:p w:rsidR="00BA4B3C" w:rsidRPr="007458E2" w:rsidRDefault="00BA4B3C" w:rsidP="00A1365B">
      <w:pPr>
        <w:jc w:val="both"/>
        <w:rPr>
          <w:rFonts w:asciiTheme="minorHAnsi" w:hAnsiTheme="minorHAnsi"/>
        </w:rPr>
      </w:pPr>
    </w:p>
    <w:p w:rsidR="004D0B38" w:rsidRPr="007458E2" w:rsidRDefault="00BA4B3C" w:rsidP="00A1365B">
      <w:pPr>
        <w:jc w:val="both"/>
        <w:rPr>
          <w:rFonts w:asciiTheme="minorHAnsi" w:hAnsiTheme="minorHAnsi"/>
        </w:rPr>
      </w:pPr>
      <w:r w:rsidRPr="007458E2">
        <w:rPr>
          <w:rFonts w:asciiTheme="minorHAnsi" w:hAnsiTheme="minorHAnsi"/>
        </w:rPr>
        <w:t xml:space="preserve">Not only is there a need to provide education and support for those in school environments who may identify potential </w:t>
      </w:r>
      <w:r w:rsidR="002E2ECB" w:rsidRPr="007458E2">
        <w:rPr>
          <w:rFonts w:asciiTheme="minorHAnsi" w:hAnsiTheme="minorHAnsi"/>
        </w:rPr>
        <w:t>DSH</w:t>
      </w:r>
      <w:r w:rsidRPr="007458E2">
        <w:rPr>
          <w:rFonts w:asciiTheme="minorHAnsi" w:hAnsiTheme="minorHAnsi"/>
        </w:rPr>
        <w:t xml:space="preserve">ers or who need to deal with actual  </w:t>
      </w:r>
      <w:r w:rsidR="002E2ECB" w:rsidRPr="007458E2">
        <w:rPr>
          <w:rFonts w:asciiTheme="minorHAnsi" w:hAnsiTheme="minorHAnsi"/>
        </w:rPr>
        <w:t>DSH</w:t>
      </w:r>
      <w:r w:rsidRPr="007458E2">
        <w:rPr>
          <w:rFonts w:asciiTheme="minorHAnsi" w:hAnsiTheme="minorHAnsi"/>
        </w:rPr>
        <w:t xml:space="preserve"> incidents and who may feel they are inadequately equipped to deal with the issues</w:t>
      </w:r>
      <w:r w:rsidR="00CB3D4A" w:rsidRPr="007458E2">
        <w:rPr>
          <w:rFonts w:asciiTheme="minorHAnsi" w:hAnsiTheme="minorHAnsi"/>
        </w:rPr>
        <w:t xml:space="preserve"> </w:t>
      </w:r>
      <w:fldSimple w:instr=" NOTEREF _Ref286756140 \h  \* MERGEFORMAT ">
        <w:r w:rsidR="00A934FC" w:rsidRPr="00A934FC">
          <w:rPr>
            <w:rFonts w:asciiTheme="minorHAnsi" w:hAnsiTheme="minorHAnsi"/>
            <w:vertAlign w:val="superscript"/>
          </w:rPr>
          <w:t>17</w:t>
        </w:r>
      </w:fldSimple>
      <w:r w:rsidRPr="007458E2">
        <w:rPr>
          <w:rFonts w:asciiTheme="minorHAnsi" w:hAnsiTheme="minorHAnsi"/>
        </w:rPr>
        <w:t xml:space="preserve">, additional training in the wider health service provision environment appears </w:t>
      </w:r>
      <w:r w:rsidR="00C16BB3" w:rsidRPr="007458E2">
        <w:rPr>
          <w:rFonts w:asciiTheme="minorHAnsi" w:hAnsiTheme="minorHAnsi"/>
        </w:rPr>
        <w:t xml:space="preserve">to be </w:t>
      </w:r>
      <w:r w:rsidRPr="007458E2">
        <w:rPr>
          <w:rFonts w:asciiTheme="minorHAnsi" w:hAnsiTheme="minorHAnsi"/>
        </w:rPr>
        <w:t xml:space="preserve">warranted.  Negative attitudes by health service providers towards repeat </w:t>
      </w:r>
      <w:r w:rsidR="002E2ECB" w:rsidRPr="007458E2">
        <w:rPr>
          <w:rFonts w:asciiTheme="minorHAnsi" w:hAnsiTheme="minorHAnsi"/>
        </w:rPr>
        <w:t>DSH</w:t>
      </w:r>
      <w:r w:rsidRPr="007458E2">
        <w:rPr>
          <w:rFonts w:asciiTheme="minorHAnsi" w:hAnsiTheme="minorHAnsi"/>
        </w:rPr>
        <w:t>ers is known to hinder the latter’s involvement with services</w:t>
      </w:r>
      <w:r w:rsidR="00522A7B" w:rsidRPr="007458E2">
        <w:rPr>
          <w:rStyle w:val="EndnoteReference"/>
          <w:rFonts w:asciiTheme="minorHAnsi" w:hAnsiTheme="minorHAnsi"/>
        </w:rPr>
        <w:endnoteReference w:id="29"/>
      </w:r>
      <w:r w:rsidR="00EB508A" w:rsidRPr="007458E2">
        <w:rPr>
          <w:rFonts w:asciiTheme="minorHAnsi" w:hAnsiTheme="minorHAnsi"/>
        </w:rPr>
        <w:t xml:space="preserve"> and even Accident and Emergency staff feel their training is inadequate, leading to concerns that they could make DSH situations worse </w:t>
      </w:r>
      <w:fldSimple w:instr=" NOTEREF _Ref287423719 \h  \* MERGEFORMAT ">
        <w:r w:rsidR="00A934FC" w:rsidRPr="00A934FC">
          <w:rPr>
            <w:rFonts w:asciiTheme="minorHAnsi" w:hAnsiTheme="minorHAnsi"/>
            <w:vertAlign w:val="superscript"/>
          </w:rPr>
          <w:t>16</w:t>
        </w:r>
      </w:fldSimple>
      <w:r w:rsidR="001869ED" w:rsidRPr="007458E2">
        <w:rPr>
          <w:rFonts w:asciiTheme="minorHAnsi" w:hAnsiTheme="minorHAnsi"/>
        </w:rPr>
        <w:t>.</w:t>
      </w:r>
    </w:p>
    <w:p w:rsidR="001869ED" w:rsidRPr="007458E2" w:rsidRDefault="001869ED" w:rsidP="00A1365B">
      <w:pPr>
        <w:jc w:val="both"/>
        <w:rPr>
          <w:rFonts w:asciiTheme="minorHAnsi" w:hAnsiTheme="minorHAnsi"/>
        </w:rPr>
      </w:pPr>
    </w:p>
    <w:p w:rsidR="001869ED" w:rsidRPr="007458E2" w:rsidRDefault="001869ED" w:rsidP="00FA1D5C">
      <w:pPr>
        <w:jc w:val="both"/>
        <w:rPr>
          <w:rFonts w:asciiTheme="minorHAnsi" w:hAnsiTheme="minorHAnsi"/>
        </w:rPr>
      </w:pPr>
      <w:r w:rsidRPr="007458E2">
        <w:rPr>
          <w:rFonts w:asciiTheme="minorHAnsi" w:hAnsiTheme="minorHAnsi"/>
        </w:rPr>
        <w:t xml:space="preserve">There is also a call for more resources to be made available to those working with </w:t>
      </w:r>
      <w:r w:rsidR="002E2ECB" w:rsidRPr="007458E2">
        <w:rPr>
          <w:rFonts w:asciiTheme="minorHAnsi" w:hAnsiTheme="minorHAnsi"/>
        </w:rPr>
        <w:t>DSH</w:t>
      </w:r>
      <w:r w:rsidRPr="007458E2">
        <w:rPr>
          <w:rFonts w:asciiTheme="minorHAnsi" w:hAnsiTheme="minorHAnsi"/>
        </w:rPr>
        <w:t>ing children and adolescents</w:t>
      </w:r>
      <w:fldSimple w:instr=" NOTEREF _Ref286756140 \h  \* MERGEFORMAT ">
        <w:r w:rsidR="00A934FC" w:rsidRPr="00A934FC">
          <w:rPr>
            <w:rFonts w:asciiTheme="minorHAnsi" w:hAnsiTheme="minorHAnsi"/>
            <w:vertAlign w:val="superscript"/>
          </w:rPr>
          <w:t>17</w:t>
        </w:r>
      </w:fldSimple>
      <w:r w:rsidRPr="007458E2">
        <w:rPr>
          <w:rFonts w:asciiTheme="minorHAnsi" w:hAnsiTheme="minorHAnsi"/>
        </w:rPr>
        <w:t xml:space="preserve">.  The nature and optimum use of existing and possible future resources are likely to be influenced by a greater understanding of the factors likely to motivate potential and actual </w:t>
      </w:r>
      <w:r w:rsidR="002E2ECB" w:rsidRPr="007458E2">
        <w:rPr>
          <w:rFonts w:asciiTheme="minorHAnsi" w:hAnsiTheme="minorHAnsi"/>
        </w:rPr>
        <w:t>DSH</w:t>
      </w:r>
      <w:r w:rsidRPr="007458E2">
        <w:rPr>
          <w:rFonts w:asciiTheme="minorHAnsi" w:hAnsiTheme="minorHAnsi"/>
        </w:rPr>
        <w:t>ers to change behaviours.</w:t>
      </w:r>
    </w:p>
    <w:p w:rsidR="00BA4B3C" w:rsidRPr="007458E2" w:rsidRDefault="00BA4B3C" w:rsidP="00A1365B">
      <w:pPr>
        <w:jc w:val="both"/>
        <w:rPr>
          <w:rFonts w:asciiTheme="minorHAnsi" w:hAnsiTheme="minorHAnsi"/>
        </w:rPr>
      </w:pPr>
    </w:p>
    <w:p w:rsidR="00502385" w:rsidRDefault="00EB508A" w:rsidP="00A1365B">
      <w:pPr>
        <w:jc w:val="both"/>
        <w:rPr>
          <w:rFonts w:asciiTheme="minorHAnsi" w:hAnsiTheme="minorHAnsi"/>
        </w:rPr>
      </w:pPr>
      <w:r w:rsidRPr="007458E2">
        <w:rPr>
          <w:rFonts w:asciiTheme="minorHAnsi" w:hAnsiTheme="minorHAnsi"/>
        </w:rPr>
        <w:t xml:space="preserve">Mass media awareness raising campaigns risk being seen as potentially normalising and generating </w:t>
      </w:r>
      <w:r w:rsidR="000168D8">
        <w:rPr>
          <w:rFonts w:asciiTheme="minorHAnsi" w:hAnsiTheme="minorHAnsi"/>
        </w:rPr>
        <w:t xml:space="preserve">an </w:t>
      </w:r>
      <w:r w:rsidRPr="007458E2">
        <w:rPr>
          <w:rFonts w:asciiTheme="minorHAnsi" w:hAnsiTheme="minorHAnsi"/>
        </w:rPr>
        <w:t>unhealthy interest in DSH</w:t>
      </w:r>
      <w:fldSimple w:instr=" NOTEREF _Ref287423719 \h  \* MERGEFORMAT ">
        <w:r w:rsidR="00A934FC" w:rsidRPr="00A934FC">
          <w:rPr>
            <w:rFonts w:asciiTheme="minorHAnsi" w:hAnsiTheme="minorHAnsi"/>
            <w:vertAlign w:val="superscript"/>
          </w:rPr>
          <w:t>16</w:t>
        </w:r>
      </w:fldSimple>
      <w:r w:rsidRPr="007458E2">
        <w:rPr>
          <w:rFonts w:asciiTheme="minorHAnsi" w:hAnsiTheme="minorHAnsi"/>
        </w:rPr>
        <w:t>.</w:t>
      </w:r>
      <w:r w:rsidR="003139AF" w:rsidRPr="007458E2">
        <w:rPr>
          <w:rFonts w:asciiTheme="minorHAnsi" w:hAnsiTheme="minorHAnsi"/>
        </w:rPr>
        <w:t xml:space="preserve"> </w:t>
      </w:r>
      <w:r w:rsidRPr="007458E2">
        <w:rPr>
          <w:rFonts w:asciiTheme="minorHAnsi" w:hAnsiTheme="minorHAnsi"/>
        </w:rPr>
        <w:t xml:space="preserve">Interventions undertaken in isolation are also unlikely to be effective. </w:t>
      </w:r>
      <w:r w:rsidR="003139AF" w:rsidRPr="007458E2">
        <w:rPr>
          <w:rFonts w:asciiTheme="minorHAnsi" w:hAnsiTheme="minorHAnsi"/>
        </w:rPr>
        <w:t xml:space="preserve">For example, an intervention in which postcards were sent at regular intervals over a twelve month period to </w:t>
      </w:r>
      <w:r w:rsidR="002E2ECB" w:rsidRPr="007458E2">
        <w:rPr>
          <w:rFonts w:asciiTheme="minorHAnsi" w:hAnsiTheme="minorHAnsi"/>
        </w:rPr>
        <w:t>DSH</w:t>
      </w:r>
      <w:r w:rsidR="003139AF" w:rsidRPr="007458E2">
        <w:rPr>
          <w:rFonts w:asciiTheme="minorHAnsi" w:hAnsiTheme="minorHAnsi"/>
        </w:rPr>
        <w:t>ers who had presented at a hospital emergency department did not reduce further self harm rates</w:t>
      </w:r>
      <w:r w:rsidR="003139AF" w:rsidRPr="007458E2">
        <w:rPr>
          <w:rStyle w:val="EndnoteReference"/>
          <w:rFonts w:asciiTheme="minorHAnsi" w:hAnsiTheme="minorHAnsi"/>
        </w:rPr>
        <w:endnoteReference w:id="30"/>
      </w:r>
      <w:r w:rsidR="003139AF" w:rsidRPr="007458E2">
        <w:rPr>
          <w:rFonts w:asciiTheme="minorHAnsi" w:hAnsiTheme="minorHAnsi"/>
        </w:rPr>
        <w:t>.  There are numerous possible reasons for this, including both the medium used and the messages contained therein.  There is a rich body of literature detailing the impact different forms of message framing, such as positive versus negative framing, and the use of rational versus emotional phrasing can have on behaviour</w:t>
      </w:r>
      <w:r w:rsidR="003139AF" w:rsidRPr="007458E2">
        <w:rPr>
          <w:rStyle w:val="EndnoteReference"/>
          <w:rFonts w:asciiTheme="minorHAnsi" w:hAnsiTheme="minorHAnsi"/>
        </w:rPr>
        <w:endnoteReference w:id="31"/>
      </w:r>
      <w:r w:rsidR="003139AF" w:rsidRPr="007458E2">
        <w:rPr>
          <w:rFonts w:asciiTheme="minorHAnsi" w:hAnsiTheme="minorHAnsi"/>
          <w:vertAlign w:val="superscript"/>
        </w:rPr>
        <w:t xml:space="preserve">, </w:t>
      </w:r>
      <w:r w:rsidR="003139AF" w:rsidRPr="007458E2">
        <w:rPr>
          <w:rStyle w:val="EndnoteReference"/>
          <w:rFonts w:asciiTheme="minorHAnsi" w:hAnsiTheme="minorHAnsi"/>
        </w:rPr>
        <w:endnoteReference w:id="32"/>
      </w:r>
      <w:r w:rsidR="00522A7B" w:rsidRPr="007458E2">
        <w:rPr>
          <w:rFonts w:asciiTheme="minorHAnsi" w:hAnsiTheme="minorHAnsi"/>
        </w:rPr>
        <w:t>.</w:t>
      </w:r>
      <w:r w:rsidR="003139AF" w:rsidRPr="007458E2">
        <w:rPr>
          <w:rFonts w:asciiTheme="minorHAnsi" w:hAnsiTheme="minorHAnsi"/>
        </w:rPr>
        <w:t xml:space="preserve"> </w:t>
      </w:r>
    </w:p>
    <w:p w:rsidR="00502385" w:rsidRDefault="00502385">
      <w:pPr>
        <w:rPr>
          <w:rFonts w:asciiTheme="minorHAnsi" w:hAnsiTheme="minorHAnsi"/>
        </w:rPr>
      </w:pPr>
      <w:r>
        <w:rPr>
          <w:rFonts w:asciiTheme="minorHAnsi" w:hAnsiTheme="minorHAnsi"/>
        </w:rPr>
        <w:br w:type="page"/>
      </w:r>
    </w:p>
    <w:p w:rsidR="00976D7E" w:rsidRPr="007458E2" w:rsidRDefault="00976D7E" w:rsidP="000168D8">
      <w:pPr>
        <w:pStyle w:val="Heading1"/>
      </w:pPr>
      <w:r w:rsidRPr="007458E2">
        <w:lastRenderedPageBreak/>
        <w:t xml:space="preserve">Relevance of </w:t>
      </w:r>
      <w:r w:rsidR="00411EBD" w:rsidRPr="007458E2">
        <w:t>the</w:t>
      </w:r>
      <w:r w:rsidRPr="007458E2">
        <w:t xml:space="preserve"> Social Marketing Approach</w:t>
      </w:r>
    </w:p>
    <w:p w:rsidR="00976D7E" w:rsidRPr="007458E2" w:rsidRDefault="00976D7E" w:rsidP="00976D7E">
      <w:pPr>
        <w:rPr>
          <w:rFonts w:asciiTheme="minorHAnsi" w:hAnsiTheme="minorHAnsi"/>
        </w:rPr>
      </w:pPr>
      <w:r w:rsidRPr="007458E2">
        <w:rPr>
          <w:rFonts w:asciiTheme="minorHAnsi" w:hAnsiTheme="minorHAnsi"/>
        </w:rPr>
        <w:t>The recent Health White Paper explicitly acknowledged that:</w:t>
      </w:r>
    </w:p>
    <w:p w:rsidR="00976D7E" w:rsidRPr="007458E2" w:rsidRDefault="00976D7E" w:rsidP="00976D7E">
      <w:pPr>
        <w:rPr>
          <w:rFonts w:asciiTheme="minorHAnsi" w:hAnsiTheme="minorHAnsi"/>
        </w:rPr>
      </w:pPr>
    </w:p>
    <w:p w:rsidR="00976D7E" w:rsidRPr="007458E2" w:rsidRDefault="00976D7E" w:rsidP="00976D7E">
      <w:pPr>
        <w:ind w:left="284" w:right="284"/>
        <w:rPr>
          <w:rFonts w:asciiTheme="minorHAnsi" w:hAnsiTheme="minorHAnsi"/>
          <w:i/>
        </w:rPr>
      </w:pPr>
      <w:r w:rsidRPr="007458E2">
        <w:rPr>
          <w:rFonts w:asciiTheme="minorHAnsi" w:hAnsiTheme="minorHAnsi"/>
          <w:i/>
        </w:rPr>
        <w:t>“Recent years have proved that one-size-fits-all solutions are no good when public health challenges vary from one neighbourhood to the next”</w:t>
      </w:r>
      <w:r w:rsidRPr="007458E2">
        <w:rPr>
          <w:rStyle w:val="EndnoteReference"/>
          <w:rFonts w:asciiTheme="minorHAnsi" w:hAnsiTheme="minorHAnsi"/>
          <w:i/>
        </w:rPr>
        <w:endnoteReference w:id="33"/>
      </w:r>
    </w:p>
    <w:p w:rsidR="00976D7E" w:rsidRPr="007458E2" w:rsidRDefault="00976D7E" w:rsidP="00976D7E">
      <w:pPr>
        <w:rPr>
          <w:rFonts w:asciiTheme="minorHAnsi" w:hAnsiTheme="minorHAnsi"/>
        </w:rPr>
      </w:pPr>
    </w:p>
    <w:p w:rsidR="00976D7E" w:rsidRPr="007458E2" w:rsidRDefault="00976D7E" w:rsidP="00976D7E">
      <w:pPr>
        <w:rPr>
          <w:rFonts w:asciiTheme="minorHAnsi" w:hAnsiTheme="minorHAnsi"/>
        </w:rPr>
      </w:pPr>
      <w:r w:rsidRPr="007458E2">
        <w:rPr>
          <w:rFonts w:asciiTheme="minorHAnsi" w:hAnsiTheme="minorHAnsi"/>
        </w:rPr>
        <w:t xml:space="preserve">In considering the complexity of factors impacting on </w:t>
      </w:r>
      <w:r w:rsidR="00080816" w:rsidRPr="007458E2">
        <w:rPr>
          <w:rFonts w:asciiTheme="minorHAnsi" w:hAnsiTheme="minorHAnsi"/>
        </w:rPr>
        <w:t>potential DSH interventions</w:t>
      </w:r>
      <w:r w:rsidRPr="007458E2">
        <w:rPr>
          <w:rFonts w:asciiTheme="minorHAnsi" w:hAnsiTheme="minorHAnsi"/>
        </w:rPr>
        <w:t xml:space="preserve">, we believe that </w:t>
      </w:r>
      <w:r w:rsidR="00080816" w:rsidRPr="007458E2">
        <w:rPr>
          <w:rFonts w:asciiTheme="minorHAnsi" w:hAnsiTheme="minorHAnsi"/>
        </w:rPr>
        <w:t>a</w:t>
      </w:r>
      <w:r w:rsidRPr="007458E2">
        <w:rPr>
          <w:rFonts w:asciiTheme="minorHAnsi" w:hAnsiTheme="minorHAnsi"/>
        </w:rPr>
        <w:t xml:space="preserve"> key question </w:t>
      </w:r>
      <w:r w:rsidR="00080816" w:rsidRPr="007458E2">
        <w:rPr>
          <w:rFonts w:asciiTheme="minorHAnsi" w:hAnsiTheme="minorHAnsi"/>
        </w:rPr>
        <w:t>is:</w:t>
      </w:r>
    </w:p>
    <w:p w:rsidR="00080816" w:rsidRPr="007458E2" w:rsidRDefault="00080816" w:rsidP="00976D7E">
      <w:pPr>
        <w:rPr>
          <w:rFonts w:asciiTheme="minorHAnsi" w:hAnsiTheme="minorHAnsi"/>
        </w:rPr>
      </w:pPr>
    </w:p>
    <w:p w:rsidR="00976D7E" w:rsidRPr="007458E2" w:rsidRDefault="00976D7E" w:rsidP="00976D7E">
      <w:pPr>
        <w:ind w:left="284" w:right="284"/>
        <w:rPr>
          <w:rFonts w:asciiTheme="minorHAnsi" w:hAnsiTheme="minorHAnsi"/>
          <w:i/>
        </w:rPr>
      </w:pPr>
      <w:r w:rsidRPr="007458E2">
        <w:rPr>
          <w:rFonts w:asciiTheme="minorHAnsi" w:hAnsiTheme="minorHAnsi"/>
          <w:i/>
        </w:rPr>
        <w:t xml:space="preserve">“What works, for whom, in what circumstances, and for how long” </w:t>
      </w:r>
      <w:bookmarkStart w:id="12" w:name="_Ref284832128"/>
      <w:r w:rsidRPr="007458E2">
        <w:rPr>
          <w:rStyle w:val="EndnoteReference"/>
          <w:rFonts w:asciiTheme="minorHAnsi" w:hAnsiTheme="minorHAnsi"/>
          <w:i/>
        </w:rPr>
        <w:endnoteReference w:id="34"/>
      </w:r>
      <w:bookmarkEnd w:id="12"/>
      <w:r w:rsidRPr="007458E2">
        <w:rPr>
          <w:rFonts w:asciiTheme="minorHAnsi" w:hAnsiTheme="minorHAnsi"/>
          <w:i/>
          <w:vertAlign w:val="superscript"/>
        </w:rPr>
        <w:t>, 264</w:t>
      </w:r>
      <w:r w:rsidRPr="007458E2">
        <w:rPr>
          <w:rFonts w:asciiTheme="minorHAnsi" w:hAnsiTheme="minorHAnsi"/>
          <w:i/>
        </w:rPr>
        <w:t>.</w:t>
      </w:r>
    </w:p>
    <w:p w:rsidR="00976D7E" w:rsidRPr="007458E2" w:rsidRDefault="00976D7E" w:rsidP="00976D7E">
      <w:pPr>
        <w:rPr>
          <w:rFonts w:asciiTheme="minorHAnsi" w:hAnsiTheme="minorHAnsi"/>
        </w:rPr>
      </w:pPr>
    </w:p>
    <w:p w:rsidR="00411EBD" w:rsidRPr="007458E2" w:rsidRDefault="00411EBD" w:rsidP="00411EBD">
      <w:pPr>
        <w:jc w:val="both"/>
        <w:rPr>
          <w:rFonts w:asciiTheme="minorHAnsi" w:hAnsiTheme="minorHAnsi"/>
        </w:rPr>
      </w:pPr>
      <w:r w:rsidRPr="007458E2">
        <w:rPr>
          <w:rFonts w:asciiTheme="minorHAnsi" w:hAnsiTheme="minorHAnsi"/>
        </w:rPr>
        <w:t xml:space="preserve">In the UK, a previous white paper </w:t>
      </w:r>
      <w:r w:rsidRPr="007458E2">
        <w:rPr>
          <w:rFonts w:asciiTheme="minorHAnsi" w:hAnsiTheme="minorHAnsi"/>
          <w:i/>
        </w:rPr>
        <w:t>Choosing Health</w:t>
      </w:r>
      <w:r w:rsidRPr="007458E2">
        <w:rPr>
          <w:rStyle w:val="EndnoteReference"/>
          <w:rFonts w:asciiTheme="minorHAnsi" w:hAnsiTheme="minorHAnsi"/>
          <w:i/>
        </w:rPr>
        <w:endnoteReference w:id="35"/>
      </w:r>
      <w:r w:rsidRPr="007458E2">
        <w:rPr>
          <w:rFonts w:asciiTheme="minorHAnsi" w:hAnsiTheme="minorHAnsi"/>
        </w:rPr>
        <w:t xml:space="preserve"> specifically advocated the adoption of the principles underpinning social marketing in order to more effectively promote public health issues, acknowledging that existing communication strategies were not effective. The centrality of social marketing in the dissemination of innovation in health promotion is also acknowledged in the academic literature</w:t>
      </w:r>
      <w:bookmarkStart w:id="13" w:name="_Ref284759937"/>
      <w:r w:rsidRPr="007458E2">
        <w:rPr>
          <w:rStyle w:val="EndnoteReference"/>
          <w:rFonts w:asciiTheme="minorHAnsi" w:hAnsiTheme="minorHAnsi"/>
        </w:rPr>
        <w:endnoteReference w:id="36"/>
      </w:r>
      <w:bookmarkEnd w:id="13"/>
      <w:r w:rsidRPr="007458E2">
        <w:rPr>
          <w:rFonts w:asciiTheme="minorHAnsi" w:hAnsiTheme="minorHAnsi"/>
        </w:rPr>
        <w:t>.</w:t>
      </w:r>
    </w:p>
    <w:p w:rsidR="00411EBD" w:rsidRPr="007458E2" w:rsidRDefault="00411EBD" w:rsidP="00411EBD">
      <w:pPr>
        <w:jc w:val="both"/>
        <w:rPr>
          <w:rFonts w:asciiTheme="minorHAnsi" w:hAnsiTheme="minorHAnsi"/>
        </w:rPr>
      </w:pPr>
    </w:p>
    <w:p w:rsidR="00411EBD" w:rsidRPr="007458E2" w:rsidRDefault="00411EBD" w:rsidP="00411EBD">
      <w:pPr>
        <w:jc w:val="both"/>
        <w:rPr>
          <w:rFonts w:asciiTheme="minorHAnsi" w:hAnsiTheme="minorHAnsi"/>
        </w:rPr>
      </w:pPr>
      <w:r w:rsidRPr="007458E2">
        <w:rPr>
          <w:rFonts w:asciiTheme="minorHAnsi" w:hAnsiTheme="minorHAnsi"/>
        </w:rPr>
        <w:t>Social marketing focuses on the generation of insights into attitudes, beliefs and values that underpin actual behaviours, thus helping to bridge intention-behaviour gaps.  It draws on many disciplines to bring about voluntary behaviour change as well as addressing ‘upstream’ factors such as supporting policy and environmental change</w:t>
      </w:r>
      <w:r w:rsidRPr="007458E2">
        <w:rPr>
          <w:rStyle w:val="EndnoteReference"/>
          <w:rFonts w:asciiTheme="minorHAnsi" w:hAnsiTheme="minorHAnsi"/>
        </w:rPr>
        <w:endnoteReference w:id="37"/>
      </w:r>
      <w:r w:rsidRPr="007458E2">
        <w:rPr>
          <w:rFonts w:asciiTheme="minorHAnsi" w:hAnsiTheme="minorHAnsi"/>
        </w:rPr>
        <w:t>.</w:t>
      </w:r>
    </w:p>
    <w:p w:rsidR="00411EBD" w:rsidRPr="007458E2" w:rsidRDefault="00411EBD" w:rsidP="00411EBD">
      <w:pPr>
        <w:rPr>
          <w:rFonts w:asciiTheme="minorHAnsi" w:hAnsiTheme="minorHAnsi"/>
        </w:rPr>
      </w:pPr>
    </w:p>
    <w:p w:rsidR="00CB3D4A" w:rsidRPr="007458E2" w:rsidRDefault="00411EBD" w:rsidP="00CB3D4A">
      <w:pPr>
        <w:rPr>
          <w:rFonts w:asciiTheme="minorHAnsi" w:hAnsiTheme="minorHAnsi"/>
        </w:rPr>
      </w:pPr>
      <w:r w:rsidRPr="007458E2">
        <w:rPr>
          <w:rFonts w:asciiTheme="minorHAnsi" w:hAnsiTheme="minorHAnsi"/>
        </w:rPr>
        <w:t>This approach is consistent with the Department of Health</w:t>
      </w:r>
      <w:r w:rsidR="00CB3D4A" w:rsidRPr="007458E2">
        <w:rPr>
          <w:rFonts w:asciiTheme="minorHAnsi" w:hAnsiTheme="minorHAnsi"/>
        </w:rPr>
        <w:t>’s 2006 recommendation</w:t>
      </w:r>
      <w:r w:rsidR="00CB3D4A" w:rsidRPr="007458E2">
        <w:rPr>
          <w:rStyle w:val="EndnoteReference"/>
          <w:rFonts w:asciiTheme="minorHAnsi" w:hAnsiTheme="minorHAnsi"/>
        </w:rPr>
        <w:endnoteReference w:id="38"/>
      </w:r>
      <w:r w:rsidR="00CB3D4A" w:rsidRPr="007458E2">
        <w:rPr>
          <w:rFonts w:asciiTheme="minorHAnsi" w:hAnsiTheme="minorHAnsi"/>
        </w:rPr>
        <w:t xml:space="preserve"> for a refocusing on behaviour change efforts to</w:t>
      </w:r>
      <w:r w:rsidRPr="007458E2">
        <w:rPr>
          <w:rFonts w:asciiTheme="minorHAnsi" w:hAnsiTheme="minorHAnsi"/>
        </w:rPr>
        <w:t xml:space="preserve"> </w:t>
      </w:r>
      <w:r w:rsidR="00CB3D4A" w:rsidRPr="007458E2">
        <w:rPr>
          <w:rFonts w:asciiTheme="minorHAnsi" w:hAnsiTheme="minorHAnsi"/>
        </w:rPr>
        <w:t xml:space="preserve">a patient / client-centred approach rather than an expert led approach:  </w:t>
      </w:r>
      <w:r w:rsidRPr="007458E2">
        <w:rPr>
          <w:rFonts w:asciiTheme="minorHAnsi" w:hAnsiTheme="minorHAnsi"/>
        </w:rPr>
        <w:t xml:space="preserve"> </w:t>
      </w:r>
    </w:p>
    <w:p w:rsidR="00CB3D4A" w:rsidRPr="007458E2" w:rsidRDefault="00CB3D4A" w:rsidP="00CB3D4A">
      <w:pPr>
        <w:rPr>
          <w:rFonts w:asciiTheme="minorHAnsi" w:hAnsiTheme="minorHAnsi"/>
        </w:rPr>
      </w:pPr>
    </w:p>
    <w:p w:rsidR="00CB3D4A" w:rsidRPr="007458E2" w:rsidRDefault="00CB3D4A" w:rsidP="00CB3D4A">
      <w:pPr>
        <w:ind w:left="284" w:right="284"/>
        <w:rPr>
          <w:rFonts w:asciiTheme="minorHAnsi" w:hAnsiTheme="minorHAnsi"/>
          <w:i/>
          <w:iCs/>
        </w:rPr>
      </w:pPr>
      <w:r w:rsidRPr="007458E2">
        <w:rPr>
          <w:rFonts w:asciiTheme="minorHAnsi" w:hAnsiTheme="minorHAnsi"/>
          <w:i/>
          <w:iCs/>
        </w:rPr>
        <w:t>“Tackling today’s threats to health means examining the way we live.  This is a challenge that we have to embrace; we have to see the world as it is.  We have to understand the reality of how people live their lives, not make assumptions about how things are.  We must be sensitive to people’s needs and work with them to make the changes that they can and want to.</w:t>
      </w:r>
      <w:r w:rsidRPr="007458E2">
        <w:rPr>
          <w:rFonts w:asciiTheme="minorHAnsi" w:eastAsia="+mn-ea" w:hAnsiTheme="minorHAnsi" w:cs="+mn-cs"/>
          <w:i/>
          <w:iCs/>
          <w:color w:val="000000"/>
        </w:rPr>
        <w:t xml:space="preserve"> </w:t>
      </w:r>
      <w:r w:rsidRPr="007458E2">
        <w:rPr>
          <w:rFonts w:asciiTheme="minorHAnsi" w:hAnsiTheme="minorHAnsi"/>
          <w:i/>
          <w:iCs/>
        </w:rPr>
        <w:t>Why?  Because once we do this, we really are better equipped to support people in changing their lifestyle for the better.  Without such a people-centred approach we are blind to the challenges people face and risk providing support that is inappropriate and ineffective”.</w:t>
      </w:r>
    </w:p>
    <w:p w:rsidR="004D329D" w:rsidRPr="007458E2" w:rsidRDefault="004D329D" w:rsidP="000168D8">
      <w:pPr>
        <w:pStyle w:val="Heading1"/>
      </w:pPr>
      <w:r w:rsidRPr="007458E2">
        <w:t>Trans-disciplinary Approach</w:t>
      </w:r>
    </w:p>
    <w:p w:rsidR="00EB508A" w:rsidRPr="007458E2" w:rsidRDefault="004D329D" w:rsidP="00EB508A">
      <w:pPr>
        <w:jc w:val="both"/>
        <w:rPr>
          <w:rFonts w:asciiTheme="minorHAnsi" w:hAnsiTheme="minorHAnsi"/>
        </w:rPr>
      </w:pPr>
      <w:r w:rsidRPr="007458E2">
        <w:rPr>
          <w:rFonts w:asciiTheme="minorHAnsi" w:hAnsiTheme="minorHAnsi"/>
        </w:rPr>
        <w:t>Within a social marketing behaviour change perspective, we suggest that a trans-disciplinary approach to investigating the factors underlying DSH behaviours for those segments not requiring in-patient treatment may be valuable, given the likely complex</w:t>
      </w:r>
      <w:r w:rsidR="00EB508A" w:rsidRPr="007458E2">
        <w:rPr>
          <w:rFonts w:asciiTheme="minorHAnsi" w:hAnsiTheme="minorHAnsi"/>
        </w:rPr>
        <w:t xml:space="preserve"> interaction between social, cultural and economic factors</w:t>
      </w:r>
      <w:r w:rsidR="00EB508A" w:rsidRPr="007458E2">
        <w:rPr>
          <w:rStyle w:val="EndnoteReference"/>
          <w:rFonts w:asciiTheme="minorHAnsi" w:hAnsiTheme="minorHAnsi"/>
        </w:rPr>
        <w:endnoteReference w:id="39"/>
      </w:r>
      <w:r w:rsidRPr="007458E2">
        <w:rPr>
          <w:rFonts w:asciiTheme="minorHAnsi" w:hAnsiTheme="minorHAnsi"/>
        </w:rPr>
        <w:t xml:space="preserve"> impacting on DSH behaviours.</w:t>
      </w:r>
      <w:r w:rsidR="00EB508A" w:rsidRPr="007458E2">
        <w:rPr>
          <w:rFonts w:asciiTheme="minorHAnsi" w:hAnsiTheme="minorHAnsi"/>
        </w:rPr>
        <w:t xml:space="preserve"> A trans-disciplinary approach can contribute to identifying, and developing strategies to overcome, obstacles to behaviour</w:t>
      </w:r>
      <w:r w:rsidRPr="007458E2">
        <w:rPr>
          <w:rFonts w:asciiTheme="minorHAnsi" w:hAnsiTheme="minorHAnsi"/>
        </w:rPr>
        <w:t xml:space="preserve"> change</w:t>
      </w:r>
      <w:r w:rsidR="00EB508A" w:rsidRPr="007458E2">
        <w:rPr>
          <w:rStyle w:val="EndnoteReference"/>
          <w:rFonts w:asciiTheme="minorHAnsi" w:hAnsiTheme="minorHAnsi"/>
        </w:rPr>
        <w:endnoteReference w:id="40"/>
      </w:r>
      <w:r w:rsidR="00EB508A" w:rsidRPr="007458E2">
        <w:rPr>
          <w:rFonts w:asciiTheme="minorHAnsi" w:hAnsiTheme="minorHAnsi"/>
        </w:rPr>
        <w:t xml:space="preserve">.  In addition, a trans-disciplinary approach can help policy makers to understand more </w:t>
      </w:r>
      <w:r w:rsidR="00EB508A" w:rsidRPr="007458E2">
        <w:rPr>
          <w:rFonts w:asciiTheme="minorHAnsi" w:hAnsiTheme="minorHAnsi"/>
        </w:rPr>
        <w:lastRenderedPageBreak/>
        <w:t xml:space="preserve">comprehensively the contributions of policies to improving or </w:t>
      </w:r>
      <w:r w:rsidRPr="007458E2">
        <w:rPr>
          <w:rFonts w:asciiTheme="minorHAnsi" w:hAnsiTheme="minorHAnsi"/>
        </w:rPr>
        <w:t>worsening</w:t>
      </w:r>
      <w:r w:rsidR="00EB508A" w:rsidRPr="007458E2">
        <w:rPr>
          <w:rFonts w:asciiTheme="minorHAnsi" w:hAnsiTheme="minorHAnsi"/>
        </w:rPr>
        <w:t xml:space="preserve"> health</w:t>
      </w:r>
      <w:r w:rsidRPr="007458E2">
        <w:rPr>
          <w:rFonts w:asciiTheme="minorHAnsi" w:hAnsiTheme="minorHAnsi"/>
        </w:rPr>
        <w:t>-related behaviour</w:t>
      </w:r>
      <w:r w:rsidR="00EB508A" w:rsidRPr="007458E2">
        <w:rPr>
          <w:rStyle w:val="EndnoteReference"/>
          <w:rFonts w:asciiTheme="minorHAnsi" w:hAnsiTheme="minorHAnsi"/>
        </w:rPr>
        <w:endnoteReference w:id="41"/>
      </w:r>
      <w:r w:rsidR="00EB508A" w:rsidRPr="007458E2">
        <w:rPr>
          <w:rFonts w:asciiTheme="minorHAnsi" w:hAnsiTheme="minorHAnsi"/>
        </w:rPr>
        <w:t>.</w:t>
      </w:r>
    </w:p>
    <w:p w:rsidR="00EB508A" w:rsidRPr="007458E2" w:rsidRDefault="00EB508A" w:rsidP="00EB508A">
      <w:pPr>
        <w:jc w:val="both"/>
        <w:rPr>
          <w:rFonts w:asciiTheme="minorHAnsi" w:hAnsiTheme="minorHAnsi"/>
        </w:rPr>
      </w:pPr>
    </w:p>
    <w:p w:rsidR="00EB508A" w:rsidRPr="007458E2" w:rsidRDefault="00EB508A" w:rsidP="00EB508A">
      <w:pPr>
        <w:jc w:val="both"/>
        <w:rPr>
          <w:rFonts w:asciiTheme="minorHAnsi" w:hAnsiTheme="minorHAnsi"/>
        </w:rPr>
      </w:pPr>
      <w:r w:rsidRPr="007458E2">
        <w:rPr>
          <w:rFonts w:asciiTheme="minorHAnsi" w:hAnsiTheme="minorHAnsi"/>
        </w:rPr>
        <w:t>There are three possible approaches to the combination of expertise from multiple disciplines: multi-disciplinary, inter-disciplinary and trans-disciplinary.  Multi-disciplinary approaches seek input from different disciplines but these are independent of each other and may create a mosaic of interventions. In Inter-disciplinary approaches, disciplines work together to provide input but individuals stay within their own disciplinary boundaries</w:t>
      </w:r>
      <w:r w:rsidRPr="007458E2">
        <w:rPr>
          <w:rStyle w:val="EndnoteReference"/>
          <w:rFonts w:asciiTheme="minorHAnsi" w:hAnsiTheme="minorHAnsi"/>
        </w:rPr>
        <w:endnoteReference w:id="42"/>
      </w:r>
      <w:r w:rsidRPr="007458E2">
        <w:rPr>
          <w:rFonts w:asciiTheme="minorHAnsi" w:hAnsiTheme="minorHAnsi"/>
        </w:rPr>
        <w:t xml:space="preserve">.   </w:t>
      </w:r>
    </w:p>
    <w:p w:rsidR="00EB508A" w:rsidRPr="007458E2" w:rsidRDefault="00EB508A" w:rsidP="00EB508A">
      <w:pPr>
        <w:jc w:val="both"/>
        <w:rPr>
          <w:rFonts w:asciiTheme="minorHAnsi" w:hAnsiTheme="minorHAnsi"/>
        </w:rPr>
      </w:pPr>
    </w:p>
    <w:p w:rsidR="00EB508A" w:rsidRPr="007458E2" w:rsidRDefault="00EB508A" w:rsidP="00EB508A">
      <w:pPr>
        <w:jc w:val="both"/>
        <w:rPr>
          <w:rFonts w:asciiTheme="minorHAnsi" w:hAnsiTheme="minorHAnsi"/>
        </w:rPr>
      </w:pPr>
      <w:r w:rsidRPr="007458E2">
        <w:rPr>
          <w:rFonts w:asciiTheme="minorHAnsi" w:hAnsiTheme="minorHAnsi"/>
        </w:rPr>
        <w:t>The trans-disciplinary approach is synergistic in that it uses concepts, theories, research approaches, analytical methods and strategies for the interpretation of findings to develop shared conceptual frameworks that integrate and transcend individual disciplines</w:t>
      </w:r>
      <w:r w:rsidRPr="007458E2">
        <w:rPr>
          <w:rStyle w:val="EndnoteReference"/>
          <w:rFonts w:asciiTheme="minorHAnsi" w:hAnsiTheme="minorHAnsi"/>
        </w:rPr>
        <w:endnoteReference w:id="43"/>
      </w:r>
      <w:r w:rsidRPr="007458E2">
        <w:rPr>
          <w:rFonts w:asciiTheme="minorHAnsi" w:hAnsiTheme="minorHAnsi"/>
          <w:vertAlign w:val="superscript"/>
        </w:rPr>
        <w:t xml:space="preserve">, </w:t>
      </w:r>
      <w:r w:rsidRPr="007458E2">
        <w:rPr>
          <w:rStyle w:val="EndnoteReference"/>
          <w:rFonts w:asciiTheme="minorHAnsi" w:hAnsiTheme="minorHAnsi"/>
        </w:rPr>
        <w:endnoteReference w:id="44"/>
      </w:r>
      <w:r w:rsidRPr="007458E2">
        <w:rPr>
          <w:rFonts w:asciiTheme="minorHAnsi" w:hAnsiTheme="minorHAnsi"/>
          <w:vertAlign w:val="superscript"/>
        </w:rPr>
        <w:t>,</w:t>
      </w:r>
      <w:r w:rsidRPr="007458E2">
        <w:rPr>
          <w:rFonts w:asciiTheme="minorHAnsi" w:hAnsiTheme="minorHAnsi"/>
        </w:rPr>
        <w:t xml:space="preserve"> </w:t>
      </w:r>
      <w:r w:rsidRPr="007458E2">
        <w:rPr>
          <w:rStyle w:val="EndnoteReference"/>
          <w:rFonts w:asciiTheme="minorHAnsi" w:hAnsiTheme="minorHAnsi"/>
        </w:rPr>
        <w:endnoteReference w:id="45"/>
      </w:r>
      <w:r w:rsidRPr="007458E2">
        <w:rPr>
          <w:rFonts w:asciiTheme="minorHAnsi" w:hAnsiTheme="minorHAnsi"/>
        </w:rPr>
        <w:t>.  Key features of this approach include recognition that no one group has a monopoly on knowledge and that collaborations must be created “not only between different academic disciplines but between researchers and non-academic groups with a stake in the problem under investigation”</w:t>
      </w:r>
      <w:r w:rsidRPr="007458E2">
        <w:rPr>
          <w:rStyle w:val="EndnoteReference"/>
          <w:rFonts w:asciiTheme="minorHAnsi" w:hAnsiTheme="minorHAnsi"/>
        </w:rPr>
        <w:endnoteReference w:id="46"/>
      </w:r>
      <w:r w:rsidRPr="007458E2">
        <w:rPr>
          <w:rFonts w:asciiTheme="minorHAnsi" w:hAnsiTheme="minorHAnsi"/>
          <w:vertAlign w:val="superscript"/>
        </w:rPr>
        <w:t>, 161</w:t>
      </w:r>
      <w:r w:rsidRPr="007458E2">
        <w:rPr>
          <w:rFonts w:asciiTheme="minorHAnsi" w:hAnsiTheme="minorHAnsi"/>
        </w:rPr>
        <w:t>.</w:t>
      </w:r>
    </w:p>
    <w:p w:rsidR="00EB508A" w:rsidRPr="007458E2" w:rsidRDefault="00EB508A" w:rsidP="00EB508A">
      <w:pPr>
        <w:jc w:val="both"/>
        <w:rPr>
          <w:rFonts w:asciiTheme="minorHAnsi" w:hAnsiTheme="minorHAnsi"/>
        </w:rPr>
      </w:pPr>
    </w:p>
    <w:p w:rsidR="00411EBD" w:rsidRPr="007458E2" w:rsidRDefault="00EB508A" w:rsidP="004D329D">
      <w:pPr>
        <w:jc w:val="both"/>
        <w:rPr>
          <w:rFonts w:asciiTheme="minorHAnsi" w:hAnsiTheme="minorHAnsi"/>
        </w:rPr>
      </w:pPr>
      <w:r w:rsidRPr="007458E2">
        <w:rPr>
          <w:rFonts w:asciiTheme="minorHAnsi" w:hAnsiTheme="minorHAnsi"/>
        </w:rPr>
        <w:t>Public health</w:t>
      </w:r>
      <w:r w:rsidR="004D329D" w:rsidRPr="007458E2">
        <w:rPr>
          <w:rFonts w:asciiTheme="minorHAnsi" w:hAnsiTheme="minorHAnsi"/>
        </w:rPr>
        <w:t xml:space="preserve"> issues such as DSH </w:t>
      </w:r>
      <w:r w:rsidRPr="007458E2">
        <w:rPr>
          <w:rFonts w:asciiTheme="minorHAnsi" w:hAnsiTheme="minorHAnsi"/>
        </w:rPr>
        <w:t xml:space="preserve"> </w:t>
      </w:r>
      <w:r w:rsidR="004D329D" w:rsidRPr="007458E2">
        <w:rPr>
          <w:rFonts w:asciiTheme="minorHAnsi" w:hAnsiTheme="minorHAnsi"/>
        </w:rPr>
        <w:t xml:space="preserve">are </w:t>
      </w:r>
      <w:r w:rsidRPr="007458E2">
        <w:rPr>
          <w:rFonts w:asciiTheme="minorHAnsi" w:hAnsiTheme="minorHAnsi"/>
        </w:rPr>
        <w:t>an ideal environment for trans-disciplinary approaches due to the influence of intrapersonal, interpersonal, organisational, community and societal influences and the multi-level interventions that will be required to address preventable causes of health problems</w:t>
      </w:r>
      <w:r w:rsidRPr="007458E2">
        <w:rPr>
          <w:rStyle w:val="EndnoteReference"/>
          <w:rFonts w:asciiTheme="minorHAnsi" w:hAnsiTheme="minorHAnsi"/>
        </w:rPr>
        <w:endnoteReference w:id="47"/>
      </w:r>
      <w:r w:rsidRPr="007458E2">
        <w:rPr>
          <w:rFonts w:asciiTheme="minorHAnsi" w:hAnsiTheme="minorHAnsi"/>
          <w:vertAlign w:val="superscript"/>
        </w:rPr>
        <w:t xml:space="preserve">, </w:t>
      </w:r>
      <w:r w:rsidRPr="007458E2">
        <w:rPr>
          <w:rStyle w:val="EndnoteReference"/>
          <w:rFonts w:asciiTheme="minorHAnsi" w:hAnsiTheme="minorHAnsi"/>
        </w:rPr>
        <w:endnoteReference w:id="48"/>
      </w:r>
      <w:r w:rsidRPr="007458E2">
        <w:rPr>
          <w:rFonts w:asciiTheme="minorHAnsi" w:hAnsiTheme="minorHAnsi"/>
        </w:rPr>
        <w:t>.</w:t>
      </w:r>
      <w:r w:rsidR="004D329D" w:rsidRPr="007458E2">
        <w:rPr>
          <w:rFonts w:asciiTheme="minorHAnsi" w:hAnsiTheme="minorHAnsi"/>
        </w:rPr>
        <w:t xml:space="preserve"> Benefits include a true integration of knowledge to address linkages between the factors influencing health </w:t>
      </w:r>
      <w:r w:rsidR="00370BB2" w:rsidRPr="007458E2">
        <w:rPr>
          <w:rFonts w:asciiTheme="minorHAnsi" w:hAnsiTheme="minorHAnsi"/>
        </w:rPr>
        <w:t>behaviours</w:t>
      </w:r>
      <w:r w:rsidR="004D329D" w:rsidRPr="007458E2">
        <w:rPr>
          <w:rStyle w:val="EndnoteReference"/>
          <w:rFonts w:asciiTheme="minorHAnsi" w:hAnsiTheme="minorHAnsi"/>
        </w:rPr>
        <w:endnoteReference w:id="49"/>
      </w:r>
      <w:r w:rsidR="004D329D" w:rsidRPr="007458E2">
        <w:rPr>
          <w:rFonts w:asciiTheme="minorHAnsi" w:hAnsiTheme="minorHAnsi"/>
        </w:rPr>
        <w:t>.</w:t>
      </w:r>
    </w:p>
    <w:p w:rsidR="00411EBD" w:rsidRPr="007458E2" w:rsidRDefault="00411EBD" w:rsidP="000168D8">
      <w:pPr>
        <w:pStyle w:val="Heading1"/>
      </w:pPr>
      <w:r w:rsidRPr="007458E2">
        <w:t>Relevance of Theory</w:t>
      </w:r>
    </w:p>
    <w:p w:rsidR="00411EBD" w:rsidRPr="007458E2" w:rsidRDefault="00411EBD" w:rsidP="00FA1D5C">
      <w:pPr>
        <w:jc w:val="both"/>
        <w:rPr>
          <w:rFonts w:asciiTheme="minorHAnsi" w:hAnsiTheme="minorHAnsi"/>
        </w:rPr>
      </w:pPr>
      <w:r w:rsidRPr="007458E2">
        <w:rPr>
          <w:rFonts w:asciiTheme="minorHAnsi" w:hAnsiTheme="minorHAnsi"/>
        </w:rPr>
        <w:t xml:space="preserve">No single theory is universally applicable to all behaviour change situations.  There is an extensive body of research testing the power of a range of theoretical concepts to explain the factors driving current behaviour and </w:t>
      </w:r>
      <w:r w:rsidR="00370BB2" w:rsidRPr="007458E2">
        <w:rPr>
          <w:rFonts w:asciiTheme="minorHAnsi" w:hAnsiTheme="minorHAnsi"/>
        </w:rPr>
        <w:t>to help</w:t>
      </w:r>
      <w:r w:rsidRPr="007458E2">
        <w:rPr>
          <w:rFonts w:asciiTheme="minorHAnsi" w:hAnsiTheme="minorHAnsi"/>
        </w:rPr>
        <w:t xml:space="preserve"> identify the relative strength of a range of factors in behaviour supporting or inhibiting behaviour change</w:t>
      </w:r>
      <w:r w:rsidR="00CB3D4A" w:rsidRPr="007458E2">
        <w:rPr>
          <w:rStyle w:val="EndnoteReference"/>
          <w:rFonts w:asciiTheme="minorHAnsi" w:hAnsiTheme="minorHAnsi"/>
        </w:rPr>
        <w:endnoteReference w:id="50"/>
      </w:r>
      <w:r w:rsidRPr="007458E2">
        <w:rPr>
          <w:rFonts w:asciiTheme="minorHAnsi" w:hAnsiTheme="minorHAnsi"/>
        </w:rPr>
        <w:t>.</w:t>
      </w:r>
    </w:p>
    <w:p w:rsidR="00411EBD" w:rsidRPr="007458E2" w:rsidRDefault="00411EBD" w:rsidP="00FA1D5C">
      <w:pPr>
        <w:jc w:val="both"/>
        <w:rPr>
          <w:rFonts w:asciiTheme="minorHAnsi" w:hAnsiTheme="minorHAnsi"/>
        </w:rPr>
      </w:pPr>
    </w:p>
    <w:p w:rsidR="00976D7E" w:rsidRPr="007458E2" w:rsidRDefault="00411EBD" w:rsidP="00FA1D5C">
      <w:pPr>
        <w:jc w:val="both"/>
        <w:rPr>
          <w:rFonts w:asciiTheme="minorHAnsi" w:hAnsiTheme="minorHAnsi"/>
        </w:rPr>
      </w:pPr>
      <w:r w:rsidRPr="007458E2">
        <w:rPr>
          <w:rFonts w:asciiTheme="minorHAnsi" w:hAnsiTheme="minorHAnsi"/>
        </w:rPr>
        <w:t>T</w:t>
      </w:r>
      <w:r w:rsidR="00976D7E" w:rsidRPr="007458E2">
        <w:rPr>
          <w:rFonts w:asciiTheme="minorHAnsi" w:hAnsiTheme="minorHAnsi"/>
        </w:rPr>
        <w:t xml:space="preserve">he selection of the most applicable theories to guide intervention development and implementation.  There is: </w:t>
      </w:r>
    </w:p>
    <w:p w:rsidR="00976D7E" w:rsidRPr="007458E2" w:rsidRDefault="00976D7E" w:rsidP="00FA1D5C">
      <w:pPr>
        <w:jc w:val="both"/>
        <w:rPr>
          <w:rFonts w:asciiTheme="minorHAnsi" w:hAnsiTheme="minorHAnsi"/>
        </w:rPr>
      </w:pPr>
    </w:p>
    <w:p w:rsidR="00976D7E" w:rsidRPr="007458E2" w:rsidRDefault="00976D7E" w:rsidP="00976D7E">
      <w:pPr>
        <w:ind w:left="284" w:right="284"/>
        <w:rPr>
          <w:rFonts w:asciiTheme="minorHAnsi" w:hAnsiTheme="minorHAnsi"/>
          <w:i/>
        </w:rPr>
      </w:pPr>
      <w:r w:rsidRPr="007458E2">
        <w:rPr>
          <w:rFonts w:asciiTheme="minorHAnsi" w:hAnsiTheme="minorHAnsi"/>
          <w:i/>
        </w:rPr>
        <w:t>“Increasing evidence suggests that public health and health-promotion interventions that are based on social and behavioural science theories are more effective than those lacking a theoretical base</w:t>
      </w:r>
      <w:r w:rsidRPr="007458E2">
        <w:rPr>
          <w:rFonts w:asciiTheme="minorHAnsi" w:hAnsiTheme="minorHAnsi"/>
          <w:i/>
          <w:vertAlign w:val="superscript"/>
        </w:rPr>
        <w:t>”</w:t>
      </w:r>
      <w:r w:rsidRPr="007458E2">
        <w:rPr>
          <w:rStyle w:val="EndnoteReference"/>
          <w:rFonts w:asciiTheme="minorHAnsi" w:hAnsiTheme="minorHAnsi"/>
          <w:i/>
        </w:rPr>
        <w:endnoteReference w:id="51"/>
      </w:r>
      <w:r w:rsidR="00370BB2" w:rsidRPr="007458E2">
        <w:rPr>
          <w:rFonts w:asciiTheme="minorHAnsi" w:hAnsiTheme="minorHAnsi"/>
          <w:i/>
          <w:vertAlign w:val="superscript"/>
        </w:rPr>
        <w:t>:</w:t>
      </w:r>
      <w:r w:rsidRPr="007458E2">
        <w:rPr>
          <w:rFonts w:asciiTheme="minorHAnsi" w:hAnsiTheme="minorHAnsi"/>
          <w:i/>
          <w:vertAlign w:val="superscript"/>
        </w:rPr>
        <w:t>399</w:t>
      </w:r>
      <w:r w:rsidRPr="007458E2">
        <w:rPr>
          <w:rFonts w:asciiTheme="minorHAnsi" w:hAnsiTheme="minorHAnsi"/>
          <w:i/>
        </w:rPr>
        <w:t>.</w:t>
      </w:r>
      <w:r w:rsidRPr="007458E2">
        <w:rPr>
          <w:rFonts w:asciiTheme="minorHAnsi" w:hAnsiTheme="minorHAnsi"/>
          <w:i/>
          <w:vertAlign w:val="superscript"/>
        </w:rPr>
        <w:t xml:space="preserve">  </w:t>
      </w:r>
    </w:p>
    <w:p w:rsidR="003139AF" w:rsidRPr="007458E2" w:rsidRDefault="003139AF" w:rsidP="00976D7E">
      <w:pPr>
        <w:jc w:val="both"/>
        <w:rPr>
          <w:rFonts w:asciiTheme="minorHAnsi" w:hAnsiTheme="minorHAnsi"/>
        </w:rPr>
      </w:pPr>
    </w:p>
    <w:p w:rsidR="004D329D" w:rsidRPr="007458E2" w:rsidRDefault="004D329D" w:rsidP="00FA1D5C">
      <w:pPr>
        <w:jc w:val="both"/>
        <w:rPr>
          <w:rFonts w:asciiTheme="minorHAnsi" w:hAnsiTheme="minorHAnsi"/>
        </w:rPr>
      </w:pPr>
      <w:r w:rsidRPr="007458E2">
        <w:rPr>
          <w:rFonts w:asciiTheme="minorHAnsi" w:hAnsiTheme="minorHAnsi"/>
        </w:rPr>
        <w:t>A notable gap in the self-harm literature relates to “a unifying, evidence-based, theoretical framework within which to understand the factors that control this behaviour”</w:t>
      </w:r>
      <w:bookmarkStart w:id="14" w:name="_Ref289188195"/>
      <w:r w:rsidRPr="007458E2">
        <w:rPr>
          <w:rStyle w:val="EndnoteReference"/>
          <w:rFonts w:asciiTheme="minorHAnsi" w:hAnsiTheme="minorHAnsi"/>
        </w:rPr>
        <w:endnoteReference w:id="52"/>
      </w:r>
      <w:bookmarkEnd w:id="14"/>
      <w:r w:rsidRPr="007458E2">
        <w:rPr>
          <w:rFonts w:asciiTheme="minorHAnsi" w:hAnsiTheme="minorHAnsi"/>
          <w:vertAlign w:val="superscript"/>
        </w:rPr>
        <w:t>, p. 371</w:t>
      </w:r>
      <w:r w:rsidRPr="007458E2">
        <w:rPr>
          <w:rFonts w:asciiTheme="minorHAnsi" w:hAnsiTheme="minorHAnsi"/>
        </w:rPr>
        <w:t>.   This may be due to several factors.  Firstly, the concepts and theories that have been proposed are predicated on the assumption of a homogenous set of trigger factors.  We believe that this assumption cannot be made and it is unlikely that a single theoretical framework will provide an overarching explanation.</w:t>
      </w:r>
    </w:p>
    <w:p w:rsidR="004D329D" w:rsidRPr="007458E2" w:rsidRDefault="004D329D" w:rsidP="00FA1D5C">
      <w:pPr>
        <w:jc w:val="both"/>
        <w:rPr>
          <w:rFonts w:asciiTheme="minorHAnsi" w:hAnsiTheme="minorHAnsi"/>
        </w:rPr>
      </w:pPr>
    </w:p>
    <w:p w:rsidR="004D329D" w:rsidRPr="007458E2" w:rsidRDefault="004D329D" w:rsidP="00FA1D5C">
      <w:pPr>
        <w:jc w:val="both"/>
        <w:rPr>
          <w:rFonts w:asciiTheme="minorHAnsi" w:hAnsiTheme="minorHAnsi"/>
        </w:rPr>
      </w:pPr>
      <w:r w:rsidRPr="007458E2">
        <w:rPr>
          <w:rFonts w:asciiTheme="minorHAnsi" w:hAnsiTheme="minorHAnsi"/>
        </w:rPr>
        <w:t>Theories are not blueprints to be followed without question – they do not provide concrete answers and may not suit complex questions, however they do provide some guidance to potential trigger points or barriers that can be leveraged</w:t>
      </w:r>
      <w:r w:rsidRPr="007458E2">
        <w:rPr>
          <w:rStyle w:val="EndnoteReference"/>
          <w:rFonts w:asciiTheme="minorHAnsi" w:hAnsiTheme="minorHAnsi"/>
        </w:rPr>
        <w:endnoteReference w:id="53"/>
      </w:r>
      <w:r w:rsidRPr="007458E2">
        <w:rPr>
          <w:rFonts w:asciiTheme="minorHAnsi" w:hAnsiTheme="minorHAnsi"/>
        </w:rPr>
        <w:t xml:space="preserve"> and can be of great value to the practicing social marketer.</w:t>
      </w:r>
      <w:r w:rsidR="00AA6050">
        <w:rPr>
          <w:rFonts w:asciiTheme="minorHAnsi" w:hAnsiTheme="minorHAnsi"/>
        </w:rPr>
        <w:t xml:space="preserve">  </w:t>
      </w:r>
      <w:r w:rsidRPr="007458E2">
        <w:rPr>
          <w:rFonts w:asciiTheme="minorHAnsi" w:hAnsiTheme="minorHAnsi"/>
        </w:rPr>
        <w:t>Many call for theories to be generalisable, but in the context of social marketing one could argue that segmentation calls for theories tuned to that particular segment or behaviour. There is also a need for testability</w:t>
      </w:r>
      <w:r w:rsidRPr="007458E2">
        <w:rPr>
          <w:rStyle w:val="EndnoteReference"/>
          <w:rFonts w:asciiTheme="minorHAnsi" w:hAnsiTheme="minorHAnsi"/>
        </w:rPr>
        <w:endnoteReference w:id="54"/>
      </w:r>
      <w:r w:rsidRPr="007458E2">
        <w:rPr>
          <w:rFonts w:asciiTheme="minorHAnsi" w:hAnsiTheme="minorHAnsi"/>
        </w:rPr>
        <w:t>, to demonstrate the theory’s aptness for the task.</w:t>
      </w:r>
    </w:p>
    <w:p w:rsidR="004D329D" w:rsidRPr="007458E2" w:rsidRDefault="004D329D" w:rsidP="00FA1D5C">
      <w:pPr>
        <w:jc w:val="both"/>
        <w:rPr>
          <w:rFonts w:asciiTheme="minorHAnsi" w:hAnsiTheme="minorHAnsi"/>
        </w:rPr>
      </w:pPr>
    </w:p>
    <w:p w:rsidR="004D329D" w:rsidRPr="007458E2" w:rsidRDefault="004D329D" w:rsidP="00FA1D5C">
      <w:pPr>
        <w:jc w:val="both"/>
        <w:rPr>
          <w:rFonts w:asciiTheme="minorHAnsi" w:hAnsiTheme="minorHAnsi"/>
        </w:rPr>
      </w:pPr>
      <w:r w:rsidRPr="007458E2">
        <w:rPr>
          <w:rFonts w:asciiTheme="minorHAnsi" w:hAnsiTheme="minorHAnsi"/>
        </w:rPr>
        <w:t>There are a number of different types of theories. One type is explanatory theories, or theory of the problem, which describe the problem and seek to explain why it exists. By breaking that problem down into the constructs that contribute to its existence, the factors that can be used to relieve or remove that problem can be identified. Change theories, or theories of action, are more orientated to problem solving to help develop interventions</w:t>
      </w:r>
      <w:r w:rsidRPr="007458E2">
        <w:rPr>
          <w:rStyle w:val="EndnoteReference"/>
          <w:rFonts w:asciiTheme="minorHAnsi" w:hAnsiTheme="minorHAnsi"/>
        </w:rPr>
        <w:endnoteReference w:id="55"/>
      </w:r>
      <w:r w:rsidR="00FA7F00">
        <w:rPr>
          <w:rFonts w:asciiTheme="minorHAnsi" w:hAnsiTheme="minorHAnsi"/>
        </w:rPr>
        <w:t xml:space="preserve">.  </w:t>
      </w:r>
      <w:r w:rsidRPr="007458E2">
        <w:rPr>
          <w:rFonts w:asciiTheme="minorHAnsi" w:hAnsiTheme="minorHAnsi"/>
        </w:rPr>
        <w:t>The self-harm concepts and models that have been proposed to date</w:t>
      </w:r>
      <w:r w:rsidR="00FA7F00">
        <w:rPr>
          <w:rFonts w:asciiTheme="minorHAnsi" w:hAnsiTheme="minorHAnsi"/>
        </w:rPr>
        <w:t xml:space="preserve"> are descriptive, as shown on the following page:</w:t>
      </w:r>
    </w:p>
    <w:p w:rsidR="007458E2" w:rsidRDefault="007458E2">
      <w:pPr>
        <w:rPr>
          <w:rFonts w:asciiTheme="minorHAnsi" w:hAnsiTheme="minorHAnsi"/>
        </w:rPr>
      </w:pPr>
      <w:r>
        <w:rPr>
          <w:rFonts w:asciiTheme="minorHAnsi" w:hAnsiTheme="minorHAnsi"/>
        </w:rPr>
        <w:br w:type="page"/>
      </w:r>
    </w:p>
    <w:p w:rsidR="00370BB2" w:rsidRPr="007458E2" w:rsidRDefault="00370BB2" w:rsidP="00FA1D5C">
      <w:pPr>
        <w:jc w:val="both"/>
        <w:rPr>
          <w:rFonts w:asciiTheme="minorHAnsi" w:hAnsiTheme="minorHAnsi"/>
        </w:rPr>
      </w:pPr>
    </w:p>
    <w:p w:rsidR="00370BB2" w:rsidRPr="00502385" w:rsidRDefault="00370BB2" w:rsidP="00370BB2">
      <w:pPr>
        <w:keepNext/>
        <w:rPr>
          <w:rFonts w:asciiTheme="minorHAnsi" w:hAnsiTheme="minorHAnsi" w:cs="Arial"/>
          <w:b/>
        </w:rPr>
      </w:pPr>
      <w:r w:rsidRPr="007458E2">
        <w:rPr>
          <w:rFonts w:asciiTheme="minorHAnsi" w:hAnsiTheme="minorHAnsi" w:cs="Arial"/>
          <w:b/>
          <w:i/>
        </w:rPr>
        <w:t>Figure 2: The Proposed Model of the Functions of Self-Harm</w:t>
      </w:r>
      <w:r w:rsidR="00502385" w:rsidRPr="00502385">
        <w:rPr>
          <w:rStyle w:val="EndnoteReference"/>
          <w:rFonts w:asciiTheme="minorHAnsi" w:hAnsiTheme="minorHAnsi" w:cs="Arial"/>
          <w:i/>
        </w:rPr>
        <w:endnoteReference w:id="56"/>
      </w:r>
      <w:r w:rsidR="00502385" w:rsidRPr="00502385">
        <w:rPr>
          <w:rFonts w:asciiTheme="minorHAnsi" w:hAnsiTheme="minorHAnsi" w:cs="Arial"/>
          <w:i/>
          <w:vertAlign w:val="superscript"/>
        </w:rPr>
        <w:t>:664</w:t>
      </w:r>
    </w:p>
    <w:p w:rsidR="00370BB2" w:rsidRPr="007458E2" w:rsidRDefault="00370BB2" w:rsidP="00FA1D5C">
      <w:pPr>
        <w:jc w:val="both"/>
        <w:rPr>
          <w:rFonts w:asciiTheme="minorHAnsi" w:hAnsiTheme="minorHAnsi"/>
        </w:rPr>
      </w:pPr>
    </w:p>
    <w:p w:rsidR="004D329D" w:rsidRPr="007458E2" w:rsidRDefault="00370BB2" w:rsidP="004D329D">
      <w:pPr>
        <w:rPr>
          <w:rFonts w:asciiTheme="minorHAnsi" w:hAnsiTheme="minorHAnsi"/>
        </w:rPr>
      </w:pPr>
      <w:r w:rsidRPr="007458E2">
        <w:rPr>
          <w:rFonts w:asciiTheme="minorHAnsi" w:hAnsiTheme="minorHAnsi"/>
          <w:noProof/>
        </w:rPr>
        <w:drawing>
          <wp:inline distT="0" distB="0" distL="0" distR="0">
            <wp:extent cx="4448175" cy="3918136"/>
            <wp:effectExtent l="19050" t="0" r="9525" b="0"/>
            <wp:docPr id="2" name="Picture 2" descr="D:\BSMC\selfharm\functions_selfharm_di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SMC\selfharm\functions_selfharm_diag.jpg"/>
                    <pic:cNvPicPr>
                      <a:picLocks noChangeAspect="1" noChangeArrowheads="1"/>
                    </pic:cNvPicPr>
                  </pic:nvPicPr>
                  <pic:blipFill>
                    <a:blip r:embed="rId9" cstate="print"/>
                    <a:srcRect l="10791" t="12178" r="12230"/>
                    <a:stretch>
                      <a:fillRect/>
                    </a:stretch>
                  </pic:blipFill>
                  <pic:spPr bwMode="auto">
                    <a:xfrm>
                      <a:off x="0" y="0"/>
                      <a:ext cx="4448175" cy="3918136"/>
                    </a:xfrm>
                    <a:prstGeom prst="rect">
                      <a:avLst/>
                    </a:prstGeom>
                    <a:noFill/>
                    <a:ln w="9525">
                      <a:noFill/>
                      <a:miter lim="800000"/>
                      <a:headEnd/>
                      <a:tailEnd/>
                    </a:ln>
                  </pic:spPr>
                </pic:pic>
              </a:graphicData>
            </a:graphic>
          </wp:inline>
        </w:drawing>
      </w:r>
    </w:p>
    <w:p w:rsidR="007458E2" w:rsidRDefault="007458E2" w:rsidP="007458E2">
      <w:pPr>
        <w:rPr>
          <w:rFonts w:asciiTheme="minorHAnsi" w:hAnsiTheme="minorHAnsi"/>
        </w:rPr>
      </w:pPr>
    </w:p>
    <w:p w:rsidR="000168D8" w:rsidRDefault="000168D8" w:rsidP="007458E2">
      <w:pPr>
        <w:rPr>
          <w:rFonts w:asciiTheme="minorHAnsi" w:hAnsiTheme="minorHAnsi"/>
        </w:rPr>
      </w:pPr>
    </w:p>
    <w:p w:rsidR="00370BB2" w:rsidRPr="00502385" w:rsidRDefault="00370BB2" w:rsidP="007458E2">
      <w:pPr>
        <w:rPr>
          <w:rFonts w:asciiTheme="minorHAnsi" w:hAnsiTheme="minorHAnsi" w:cs="Arial"/>
          <w:b/>
        </w:rPr>
      </w:pPr>
      <w:r w:rsidRPr="007458E2">
        <w:rPr>
          <w:rFonts w:asciiTheme="minorHAnsi" w:hAnsiTheme="minorHAnsi" w:cs="Arial"/>
          <w:b/>
          <w:i/>
        </w:rPr>
        <w:t>Figure 2: The Proposed Model of the Functions of Self-Harm</w:t>
      </w:r>
      <w:fldSimple w:instr=" NOTEREF _Ref289188195 \h  \* MERGEFORMAT ">
        <w:r w:rsidR="00A934FC" w:rsidRPr="00A934FC">
          <w:rPr>
            <w:rFonts w:asciiTheme="minorHAnsi" w:hAnsiTheme="minorHAnsi" w:cs="Arial"/>
            <w:i/>
            <w:vertAlign w:val="superscript"/>
          </w:rPr>
          <w:t>52</w:t>
        </w:r>
      </w:fldSimple>
      <w:r w:rsidR="00502385" w:rsidRPr="00502385">
        <w:rPr>
          <w:rFonts w:asciiTheme="minorHAnsi" w:hAnsiTheme="minorHAnsi" w:cs="Arial"/>
          <w:i/>
          <w:vertAlign w:val="superscript"/>
        </w:rPr>
        <w:t>:373</w:t>
      </w:r>
    </w:p>
    <w:p w:rsidR="00370BB2" w:rsidRPr="007458E2" w:rsidRDefault="00370BB2" w:rsidP="004D329D">
      <w:pPr>
        <w:rPr>
          <w:rFonts w:asciiTheme="minorHAnsi" w:hAnsiTheme="minorHAnsi"/>
          <w:highlight w:val="yellow"/>
        </w:rPr>
      </w:pPr>
    </w:p>
    <w:p w:rsidR="00370BB2" w:rsidRPr="007458E2" w:rsidRDefault="00370BB2" w:rsidP="004D329D">
      <w:pPr>
        <w:rPr>
          <w:rFonts w:asciiTheme="minorHAnsi" w:hAnsiTheme="minorHAnsi"/>
          <w:highlight w:val="yellow"/>
        </w:rPr>
      </w:pPr>
    </w:p>
    <w:p w:rsidR="00FA1D5C" w:rsidRPr="007458E2" w:rsidRDefault="00370BB2" w:rsidP="00370BB2">
      <w:pPr>
        <w:jc w:val="center"/>
        <w:rPr>
          <w:rFonts w:asciiTheme="minorHAnsi" w:hAnsiTheme="minorHAnsi"/>
          <w:highlight w:val="yellow"/>
        </w:rPr>
      </w:pPr>
      <w:r w:rsidRPr="007458E2">
        <w:rPr>
          <w:rFonts w:asciiTheme="minorHAnsi" w:hAnsiTheme="minorHAnsi"/>
          <w:noProof/>
        </w:rPr>
        <w:drawing>
          <wp:inline distT="0" distB="0" distL="0" distR="0">
            <wp:extent cx="4809910" cy="3429000"/>
            <wp:effectExtent l="19050" t="0" r="0" b="0"/>
            <wp:docPr id="3" name="Picture 3" descr="D:\BSMC\selfharm\EAM_selfharm_di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SMC\selfharm\EAM_selfharm_diag.jpg"/>
                    <pic:cNvPicPr>
                      <a:picLocks noChangeAspect="1" noChangeArrowheads="1"/>
                    </pic:cNvPicPr>
                  </pic:nvPicPr>
                  <pic:blipFill>
                    <a:blip r:embed="rId10" cstate="print"/>
                    <a:srcRect/>
                    <a:stretch>
                      <a:fillRect/>
                    </a:stretch>
                  </pic:blipFill>
                  <pic:spPr bwMode="auto">
                    <a:xfrm>
                      <a:off x="0" y="0"/>
                      <a:ext cx="4809963" cy="3429038"/>
                    </a:xfrm>
                    <a:prstGeom prst="rect">
                      <a:avLst/>
                    </a:prstGeom>
                    <a:noFill/>
                    <a:ln w="9525">
                      <a:noFill/>
                      <a:miter lim="800000"/>
                      <a:headEnd/>
                      <a:tailEnd/>
                    </a:ln>
                  </pic:spPr>
                </pic:pic>
              </a:graphicData>
            </a:graphic>
          </wp:inline>
        </w:drawing>
      </w:r>
    </w:p>
    <w:p w:rsidR="00D05730" w:rsidRPr="007458E2" w:rsidRDefault="00D05730" w:rsidP="000168D8">
      <w:pPr>
        <w:pStyle w:val="Heading1"/>
      </w:pPr>
      <w:r w:rsidRPr="007458E2">
        <w:lastRenderedPageBreak/>
        <w:t>Social Contagion</w:t>
      </w:r>
    </w:p>
    <w:p w:rsidR="00FA1D5C" w:rsidRPr="007458E2" w:rsidRDefault="003C6CDD" w:rsidP="003C6CDD">
      <w:pPr>
        <w:jc w:val="both"/>
        <w:rPr>
          <w:rFonts w:asciiTheme="minorHAnsi" w:hAnsiTheme="minorHAnsi"/>
        </w:rPr>
      </w:pPr>
      <w:r w:rsidRPr="007458E2">
        <w:rPr>
          <w:rFonts w:asciiTheme="minorHAnsi" w:hAnsiTheme="minorHAnsi"/>
        </w:rPr>
        <w:t>One reason for a lack of coherent theory may be because of an assumption of common motivations and therefore treatment paths across deliberate self-harmers.   We suggest that this assumption cannot be made and that some segments may be motivated by very different factors to other segments.    For example, o</w:t>
      </w:r>
      <w:r w:rsidR="00FA1D5C" w:rsidRPr="007458E2">
        <w:rPr>
          <w:rFonts w:asciiTheme="minorHAnsi" w:hAnsiTheme="minorHAnsi"/>
        </w:rPr>
        <w:t xml:space="preserve">ne segment of the self-harming population that is not well served by these models is </w:t>
      </w:r>
      <w:r w:rsidRPr="007458E2">
        <w:rPr>
          <w:rFonts w:asciiTheme="minorHAnsi" w:hAnsiTheme="minorHAnsi"/>
        </w:rPr>
        <w:t xml:space="preserve">the group who appear to be motivated by social contagion, i.e. </w:t>
      </w:r>
      <w:r w:rsidR="00D05730" w:rsidRPr="007458E2">
        <w:rPr>
          <w:rFonts w:asciiTheme="minorHAnsi" w:hAnsiTheme="minorHAnsi"/>
        </w:rPr>
        <w:t xml:space="preserve">‘copycat DSH in which DSH behaviours are done to gain attention and approval of social groups, to display their ability to endure pain or discomfort and thereby gain social status </w:t>
      </w:r>
      <w:r w:rsidR="00D05730" w:rsidRPr="007458E2">
        <w:rPr>
          <w:rStyle w:val="EndnoteReference"/>
          <w:rFonts w:asciiTheme="minorHAnsi" w:hAnsiTheme="minorHAnsi"/>
        </w:rPr>
        <w:endnoteReference w:id="57"/>
      </w:r>
      <w:r w:rsidR="00D05730" w:rsidRPr="007458E2">
        <w:rPr>
          <w:rFonts w:asciiTheme="minorHAnsi" w:hAnsiTheme="minorHAnsi"/>
          <w:vertAlign w:val="superscript"/>
        </w:rPr>
        <w:t>,</w:t>
      </w:r>
      <w:r w:rsidR="00D05730" w:rsidRPr="007458E2">
        <w:rPr>
          <w:rFonts w:asciiTheme="minorHAnsi" w:hAnsiTheme="minorHAnsi"/>
        </w:rPr>
        <w:t xml:space="preserve"> </w:t>
      </w:r>
      <w:r w:rsidRPr="007458E2">
        <w:rPr>
          <w:rStyle w:val="EndnoteReference"/>
          <w:rFonts w:asciiTheme="minorHAnsi" w:hAnsiTheme="minorHAnsi"/>
        </w:rPr>
        <w:endnoteReference w:id="58"/>
      </w:r>
      <w:r w:rsidR="00D05730" w:rsidRPr="007458E2">
        <w:rPr>
          <w:rFonts w:asciiTheme="minorHAnsi" w:hAnsiTheme="minorHAnsi"/>
        </w:rPr>
        <w:t>.</w:t>
      </w:r>
    </w:p>
    <w:p w:rsidR="00D05730" w:rsidRPr="007458E2" w:rsidRDefault="00D05730" w:rsidP="003C6CDD">
      <w:pPr>
        <w:jc w:val="both"/>
        <w:rPr>
          <w:rFonts w:asciiTheme="minorHAnsi" w:hAnsiTheme="minorHAnsi"/>
        </w:rPr>
      </w:pPr>
    </w:p>
    <w:p w:rsidR="00D05730" w:rsidRPr="007458E2" w:rsidRDefault="00D05730" w:rsidP="00D05730">
      <w:pPr>
        <w:jc w:val="both"/>
        <w:rPr>
          <w:rFonts w:asciiTheme="minorHAnsi" w:hAnsiTheme="minorHAnsi"/>
        </w:rPr>
      </w:pPr>
      <w:r w:rsidRPr="007458E2">
        <w:rPr>
          <w:rFonts w:asciiTheme="minorHAnsi" w:hAnsiTheme="minorHAnsi"/>
        </w:rPr>
        <w:t xml:space="preserve">It is suggested </w:t>
      </w:r>
      <w:fldSimple w:instr=" NOTEREF _Ref287427494 \h  \* MERGEFORMAT ">
        <w:r w:rsidR="00A934FC" w:rsidRPr="00A934FC">
          <w:rPr>
            <w:rFonts w:asciiTheme="minorHAnsi" w:hAnsiTheme="minorHAnsi"/>
            <w:vertAlign w:val="superscript"/>
          </w:rPr>
          <w:t>21</w:t>
        </w:r>
      </w:fldSimple>
      <w:r w:rsidRPr="007458E2">
        <w:rPr>
          <w:rFonts w:asciiTheme="minorHAnsi" w:hAnsiTheme="minorHAnsi"/>
          <w:vertAlign w:val="superscript"/>
        </w:rPr>
        <w:t xml:space="preserve"> </w:t>
      </w:r>
      <w:r w:rsidRPr="007458E2">
        <w:rPr>
          <w:rFonts w:asciiTheme="minorHAnsi" w:hAnsiTheme="minorHAnsi"/>
        </w:rPr>
        <w:t xml:space="preserve">that the behaviour of this sector of deliberate self-harmers can be explained by social </w:t>
      </w:r>
      <w:r w:rsidR="002C5107" w:rsidRPr="007458E2">
        <w:rPr>
          <w:rFonts w:asciiTheme="minorHAnsi" w:hAnsiTheme="minorHAnsi"/>
        </w:rPr>
        <w:t>cognitive</w:t>
      </w:r>
      <w:r w:rsidRPr="007458E2">
        <w:rPr>
          <w:rFonts w:asciiTheme="minorHAnsi" w:hAnsiTheme="minorHAnsi"/>
        </w:rPr>
        <w:t xml:space="preserve"> theory</w:t>
      </w:r>
      <w:r w:rsidRPr="007458E2">
        <w:rPr>
          <w:rStyle w:val="EndnoteReference"/>
          <w:rFonts w:asciiTheme="minorHAnsi" w:hAnsiTheme="minorHAnsi"/>
        </w:rPr>
        <w:endnoteReference w:id="59"/>
      </w:r>
      <w:r w:rsidRPr="007458E2">
        <w:rPr>
          <w:rFonts w:asciiTheme="minorHAnsi" w:hAnsiTheme="minorHAnsi"/>
          <w:vertAlign w:val="superscript"/>
        </w:rPr>
        <w:t>,</w:t>
      </w:r>
      <w:r w:rsidRPr="007458E2">
        <w:rPr>
          <w:rStyle w:val="EndnoteReference"/>
          <w:rFonts w:asciiTheme="minorHAnsi" w:hAnsiTheme="minorHAnsi"/>
        </w:rPr>
        <w:endnoteReference w:id="60"/>
      </w:r>
      <w:r w:rsidRPr="007458E2">
        <w:rPr>
          <w:rFonts w:asciiTheme="minorHAnsi" w:hAnsiTheme="minorHAnsi"/>
        </w:rPr>
        <w:t xml:space="preserve"> </w:t>
      </w:r>
      <w:r w:rsidR="002C5107" w:rsidRPr="007458E2">
        <w:rPr>
          <w:rFonts w:asciiTheme="minorHAnsi" w:hAnsiTheme="minorHAnsi"/>
        </w:rPr>
        <w:t xml:space="preserve"> which</w:t>
      </w:r>
      <w:r w:rsidRPr="007458E2">
        <w:rPr>
          <w:rFonts w:asciiTheme="minorHAnsi" w:hAnsiTheme="minorHAnsi"/>
        </w:rPr>
        <w:t xml:space="preserve"> proposes that behavioural, personal and environmental factors are reciprocal, interacting determinants of each other (reciprocal determinism), so changing one element has implications for the others </w:t>
      </w:r>
      <w:r w:rsidR="00361970">
        <w:rPr>
          <w:rFonts w:asciiTheme="minorHAnsi" w:hAnsiTheme="minorHAnsi"/>
        </w:rPr>
        <w:t xml:space="preserve">as shown in Figure 4 </w:t>
      </w:r>
      <w:r w:rsidR="002C5107" w:rsidRPr="007458E2">
        <w:rPr>
          <w:rFonts w:asciiTheme="minorHAnsi" w:hAnsiTheme="minorHAnsi"/>
        </w:rPr>
        <w:t>below</w:t>
      </w:r>
      <w:r w:rsidRPr="007458E2">
        <w:rPr>
          <w:rFonts w:asciiTheme="minorHAnsi" w:hAnsiTheme="minorHAnsi"/>
        </w:rPr>
        <w:t xml:space="preserve"> )</w:t>
      </w:r>
      <w:r w:rsidR="002C5107" w:rsidRPr="007458E2">
        <w:rPr>
          <w:rFonts w:asciiTheme="minorHAnsi" w:hAnsiTheme="minorHAnsi"/>
        </w:rPr>
        <w:t>.</w:t>
      </w:r>
      <w:r w:rsidRPr="007458E2">
        <w:rPr>
          <w:rFonts w:asciiTheme="minorHAnsi" w:hAnsiTheme="minorHAnsi"/>
        </w:rPr>
        <w:t xml:space="preserve"> </w:t>
      </w:r>
      <w:r w:rsidR="009C7F7C" w:rsidRPr="007458E2">
        <w:rPr>
          <w:rFonts w:asciiTheme="minorHAnsi" w:hAnsiTheme="minorHAnsi"/>
        </w:rPr>
        <w:t xml:space="preserve">  Thus engaging in behaviours that are modelled on others who are observed to be ‘rewarded’ by status or attention increases the appeal of imitating this type of behaviour.</w:t>
      </w:r>
    </w:p>
    <w:p w:rsidR="00FA1D5C" w:rsidRPr="007458E2" w:rsidRDefault="00FA1D5C" w:rsidP="003C6CDD">
      <w:pPr>
        <w:jc w:val="both"/>
        <w:rPr>
          <w:rFonts w:asciiTheme="minorHAnsi" w:hAnsiTheme="minorHAnsi"/>
          <w:highlight w:val="yellow"/>
        </w:rPr>
      </w:pPr>
    </w:p>
    <w:p w:rsidR="007458E2" w:rsidRDefault="007458E2" w:rsidP="003C6CDD">
      <w:pPr>
        <w:jc w:val="both"/>
        <w:rPr>
          <w:rFonts w:asciiTheme="minorHAnsi" w:hAnsiTheme="minorHAnsi"/>
          <w:b/>
          <w:i/>
        </w:rPr>
      </w:pPr>
    </w:p>
    <w:p w:rsidR="00080816" w:rsidRPr="007458E2" w:rsidRDefault="00080816" w:rsidP="003C6CDD">
      <w:pPr>
        <w:jc w:val="both"/>
        <w:rPr>
          <w:rFonts w:asciiTheme="minorHAnsi" w:hAnsiTheme="minorHAnsi"/>
          <w:b/>
          <w:i/>
        </w:rPr>
      </w:pPr>
      <w:r w:rsidRPr="007458E2">
        <w:rPr>
          <w:rFonts w:asciiTheme="minorHAnsi" w:hAnsiTheme="minorHAnsi"/>
          <w:b/>
          <w:i/>
        </w:rPr>
        <w:t xml:space="preserve">Figure </w:t>
      </w:r>
      <w:r w:rsidR="00CA009C" w:rsidRPr="007458E2">
        <w:rPr>
          <w:rFonts w:asciiTheme="minorHAnsi" w:hAnsiTheme="minorHAnsi"/>
          <w:b/>
          <w:i/>
        </w:rPr>
        <w:t>4:</w:t>
      </w:r>
      <w:r w:rsidRPr="007458E2">
        <w:rPr>
          <w:rFonts w:asciiTheme="minorHAnsi" w:hAnsiTheme="minorHAnsi"/>
          <w:b/>
          <w:i/>
        </w:rPr>
        <w:t xml:space="preserve"> Social Cognitive Theory</w:t>
      </w:r>
    </w:p>
    <w:p w:rsidR="002C5107" w:rsidRPr="007458E2" w:rsidRDefault="00457281" w:rsidP="002C5107">
      <w:pPr>
        <w:rPr>
          <w:rFonts w:asciiTheme="minorHAnsi" w:hAnsiTheme="minorHAnsi"/>
          <w:highlight w:val="yellow"/>
        </w:rPr>
      </w:pPr>
      <w:r>
        <w:rPr>
          <w:rFonts w:asciiTheme="minorHAnsi" w:hAnsiTheme="minorHAnsi"/>
          <w:noProof/>
        </w:rPr>
        <w:pict>
          <v:group id="_x0000_s1071" style="position:absolute;margin-left:30.75pt;margin-top:.8pt;width:340.5pt;height:168.7pt;z-index:251658240" coordorigin="2759,5959" coordsize="6660,3312">
            <v:shapetype id="_x0000_t202" coordsize="21600,21600" o:spt="202" path="m,l,21600r21600,l21600,xe">
              <v:stroke joinstyle="miter"/>
              <v:path gradientshapeok="t" o:connecttype="rect"/>
            </v:shapetype>
            <v:shape id="_x0000_s1072" type="#_x0000_t202" style="position:absolute;left:2759;top:6139;width:1980;height:360" fillcolor="#cff" strokecolor="teal">
              <v:textbox style="mso-next-textbox:#_x0000_s1072">
                <w:txbxContent>
                  <w:p w:rsidR="00FE1729" w:rsidRDefault="00FE1729" w:rsidP="002C5107">
                    <w:pPr>
                      <w:pStyle w:val="BodyText3"/>
                    </w:pPr>
                    <w:r>
                      <w:t>BEHAVIOUR</w:t>
                    </w:r>
                  </w:p>
                  <w:p w:rsidR="00FE1729" w:rsidRDefault="00FE1729" w:rsidP="002C5107"/>
                </w:txbxContent>
              </v:textbox>
            </v:shape>
            <v:shape id="_x0000_s1073" type="#_x0000_t202" style="position:absolute;left:4559;top:8551;width:1980;height:720" fillcolor="#cff" strokecolor="teal">
              <v:textbox style="mso-next-textbox:#_x0000_s1073">
                <w:txbxContent>
                  <w:p w:rsidR="00FE1729" w:rsidRDefault="00FE1729" w:rsidP="002C5107">
                    <w:pPr>
                      <w:pStyle w:val="BodyText3"/>
                    </w:pPr>
                    <w:r>
                      <w:t>EXTERNAL ENVIRONMENT</w:t>
                    </w:r>
                  </w:p>
                  <w:p w:rsidR="00FE1729" w:rsidRDefault="00FE1729" w:rsidP="002C5107"/>
                </w:txbxContent>
              </v:textbox>
            </v:shape>
            <v:shape id="_x0000_s1074" type="#_x0000_t202" style="position:absolute;left:6719;top:5959;width:2700;height:900" fillcolor="#cff" strokecolor="teal">
              <v:textbox style="mso-next-textbox:#_x0000_s1074">
                <w:txbxContent>
                  <w:p w:rsidR="00FE1729" w:rsidRDefault="00FE1729" w:rsidP="002C5107">
                    <w:pPr>
                      <w:pStyle w:val="BodyText3"/>
                    </w:pPr>
                    <w:r>
                      <w:t>COGNITIVE AND OTHER PERSONAL FACTORS</w:t>
                    </w:r>
                  </w:p>
                  <w:p w:rsidR="00FE1729" w:rsidRDefault="00FE1729" w:rsidP="002C5107"/>
                </w:txbxContent>
              </v:textbox>
            </v:shape>
            <v:line id="_x0000_s1075" style="position:absolute" from="4739,6319" to="6719,6319" strokecolor="teal">
              <v:stroke startarrow="block" endarrow="block"/>
            </v:line>
            <v:line id="_x0000_s1076" style="position:absolute;flip:y" from="6539,6859" to="7439,8552" strokecolor="teal">
              <v:stroke startarrow="block" endarrow="block"/>
            </v:line>
            <v:line id="_x0000_s1077" style="position:absolute" from="3659,6499" to="4559,8552" strokecolor="teal">
              <v:stroke startarrow="block" endarrow="block"/>
            </v:line>
            <w10:wrap type="square"/>
          </v:group>
        </w:pict>
      </w:r>
    </w:p>
    <w:p w:rsidR="002C5107" w:rsidRPr="007458E2" w:rsidRDefault="002C5107" w:rsidP="002C5107">
      <w:pPr>
        <w:rPr>
          <w:rFonts w:asciiTheme="minorHAnsi" w:hAnsiTheme="minorHAnsi"/>
          <w:highlight w:val="yellow"/>
        </w:rPr>
      </w:pPr>
    </w:p>
    <w:p w:rsidR="002C5107" w:rsidRPr="007458E2" w:rsidRDefault="002C5107" w:rsidP="002C5107">
      <w:pPr>
        <w:rPr>
          <w:rFonts w:asciiTheme="minorHAnsi" w:hAnsiTheme="minorHAnsi"/>
          <w:highlight w:val="yellow"/>
        </w:rPr>
      </w:pPr>
    </w:p>
    <w:p w:rsidR="002C5107" w:rsidRPr="007458E2" w:rsidRDefault="002C5107" w:rsidP="002C5107">
      <w:pPr>
        <w:rPr>
          <w:rFonts w:asciiTheme="minorHAnsi" w:hAnsiTheme="minorHAnsi"/>
          <w:highlight w:val="yellow"/>
        </w:rPr>
      </w:pPr>
    </w:p>
    <w:p w:rsidR="002C5107" w:rsidRPr="007458E2" w:rsidRDefault="002C5107" w:rsidP="002C5107">
      <w:pPr>
        <w:rPr>
          <w:rFonts w:asciiTheme="minorHAnsi" w:hAnsiTheme="minorHAnsi"/>
          <w:highlight w:val="yellow"/>
        </w:rPr>
      </w:pPr>
    </w:p>
    <w:p w:rsidR="002C5107" w:rsidRPr="007458E2" w:rsidRDefault="002C5107" w:rsidP="002C5107">
      <w:pPr>
        <w:rPr>
          <w:rFonts w:asciiTheme="minorHAnsi" w:hAnsiTheme="minorHAnsi"/>
          <w:highlight w:val="yellow"/>
        </w:rPr>
      </w:pPr>
    </w:p>
    <w:p w:rsidR="002C5107" w:rsidRPr="007458E2" w:rsidRDefault="002C5107" w:rsidP="002C5107">
      <w:pPr>
        <w:rPr>
          <w:rFonts w:asciiTheme="minorHAnsi" w:hAnsiTheme="minorHAnsi"/>
          <w:highlight w:val="yellow"/>
        </w:rPr>
      </w:pPr>
    </w:p>
    <w:p w:rsidR="002C5107" w:rsidRPr="007458E2" w:rsidRDefault="002C5107" w:rsidP="002C5107">
      <w:pPr>
        <w:rPr>
          <w:rFonts w:asciiTheme="minorHAnsi" w:hAnsiTheme="minorHAnsi"/>
          <w:highlight w:val="yellow"/>
        </w:rPr>
      </w:pPr>
    </w:p>
    <w:p w:rsidR="002C5107" w:rsidRPr="007458E2" w:rsidRDefault="002C5107" w:rsidP="002C5107">
      <w:pPr>
        <w:rPr>
          <w:rFonts w:asciiTheme="minorHAnsi" w:hAnsiTheme="minorHAnsi"/>
          <w:highlight w:val="yellow"/>
        </w:rPr>
      </w:pPr>
    </w:p>
    <w:p w:rsidR="002C5107" w:rsidRPr="007458E2" w:rsidRDefault="002C5107" w:rsidP="002C5107">
      <w:pPr>
        <w:rPr>
          <w:rFonts w:asciiTheme="minorHAnsi" w:hAnsiTheme="minorHAnsi"/>
          <w:highlight w:val="yellow"/>
        </w:rPr>
      </w:pPr>
    </w:p>
    <w:p w:rsidR="002C5107" w:rsidRPr="007458E2" w:rsidRDefault="002C5107" w:rsidP="002C5107">
      <w:pPr>
        <w:rPr>
          <w:rFonts w:asciiTheme="minorHAnsi" w:hAnsiTheme="minorHAnsi"/>
          <w:highlight w:val="yellow"/>
        </w:rPr>
      </w:pPr>
    </w:p>
    <w:p w:rsidR="002C5107" w:rsidRPr="007458E2" w:rsidRDefault="002C5107" w:rsidP="002C5107">
      <w:pPr>
        <w:rPr>
          <w:rFonts w:asciiTheme="minorHAnsi" w:hAnsiTheme="minorHAnsi"/>
          <w:highlight w:val="yellow"/>
        </w:rPr>
      </w:pPr>
    </w:p>
    <w:p w:rsidR="002C5107" w:rsidRPr="007458E2" w:rsidRDefault="002C5107" w:rsidP="002C5107">
      <w:pPr>
        <w:rPr>
          <w:rFonts w:asciiTheme="minorHAnsi" w:hAnsiTheme="minorHAnsi"/>
          <w:highlight w:val="yellow"/>
        </w:rPr>
      </w:pPr>
    </w:p>
    <w:p w:rsidR="002C5107" w:rsidRPr="007458E2" w:rsidRDefault="002C5107" w:rsidP="002C5107">
      <w:pPr>
        <w:rPr>
          <w:rFonts w:asciiTheme="minorHAnsi" w:hAnsiTheme="minorHAnsi"/>
          <w:highlight w:val="yellow"/>
        </w:rPr>
      </w:pPr>
    </w:p>
    <w:p w:rsidR="00E868DC" w:rsidRPr="007458E2" w:rsidRDefault="00E868DC" w:rsidP="009C7F7C">
      <w:pPr>
        <w:jc w:val="both"/>
        <w:rPr>
          <w:rFonts w:asciiTheme="minorHAnsi" w:hAnsiTheme="minorHAnsi"/>
        </w:rPr>
      </w:pPr>
      <w:r w:rsidRPr="007458E2">
        <w:rPr>
          <w:rFonts w:asciiTheme="minorHAnsi" w:hAnsiTheme="minorHAnsi"/>
        </w:rPr>
        <w:t>There is very little research, as opposed to speculation, regarding contagion effects in community settings versus those DSH patients formally treated at hospitals</w:t>
      </w:r>
      <w:r w:rsidR="009C7F7C" w:rsidRPr="007458E2">
        <w:rPr>
          <w:rFonts w:asciiTheme="minorHAnsi" w:hAnsiTheme="minorHAnsi"/>
        </w:rPr>
        <w:t xml:space="preserve"> and it is possible that there may be a number of counter forces operating.  For example, while there may be a wish to impress some social groups by DSH-related behaviours, there may also be a desire to avoid negative feedback, stigmatisation and potential ridiculing if DSH activity is disclosed to other groups. There is also a concern that attempts to curb DSH may result in its replacement by other maladaptive behaviours</w:t>
      </w:r>
      <w:fldSimple w:instr=" NOTEREF _Ref287423719 \h  \* MERGEFORMAT ">
        <w:r w:rsidR="00A934FC" w:rsidRPr="00A934FC">
          <w:rPr>
            <w:rFonts w:asciiTheme="minorHAnsi" w:hAnsiTheme="minorHAnsi"/>
            <w:vertAlign w:val="superscript"/>
          </w:rPr>
          <w:t>16</w:t>
        </w:r>
      </w:fldSimple>
      <w:r w:rsidR="009C7F7C" w:rsidRPr="007458E2">
        <w:rPr>
          <w:rFonts w:asciiTheme="minorHAnsi" w:hAnsiTheme="minorHAnsi"/>
        </w:rPr>
        <w:t>.</w:t>
      </w:r>
    </w:p>
    <w:p w:rsidR="00E868DC" w:rsidRPr="007458E2" w:rsidRDefault="00E868DC" w:rsidP="009C7F7C">
      <w:pPr>
        <w:jc w:val="both"/>
        <w:rPr>
          <w:rFonts w:asciiTheme="minorHAnsi" w:hAnsiTheme="minorHAnsi"/>
        </w:rPr>
      </w:pPr>
    </w:p>
    <w:p w:rsidR="00E868DC" w:rsidRPr="007458E2" w:rsidRDefault="00E868DC" w:rsidP="009C7F7C">
      <w:pPr>
        <w:jc w:val="both"/>
        <w:rPr>
          <w:rFonts w:asciiTheme="minorHAnsi" w:hAnsiTheme="minorHAnsi"/>
        </w:rPr>
      </w:pPr>
      <w:r w:rsidRPr="007458E2">
        <w:rPr>
          <w:rFonts w:asciiTheme="minorHAnsi" w:hAnsiTheme="minorHAnsi"/>
        </w:rPr>
        <w:t>Se</w:t>
      </w:r>
      <w:r w:rsidR="00CA009C" w:rsidRPr="007458E2">
        <w:rPr>
          <w:rFonts w:asciiTheme="minorHAnsi" w:hAnsiTheme="minorHAnsi"/>
        </w:rPr>
        <w:t xml:space="preserve">veral questions arise from the above, and these may also be </w:t>
      </w:r>
      <w:r w:rsidRPr="007458E2">
        <w:rPr>
          <w:rFonts w:asciiTheme="minorHAnsi" w:hAnsiTheme="minorHAnsi"/>
        </w:rPr>
        <w:t xml:space="preserve">related to those for whom </w:t>
      </w:r>
      <w:r w:rsidR="00CA009C" w:rsidRPr="007458E2">
        <w:rPr>
          <w:rFonts w:asciiTheme="minorHAnsi" w:hAnsiTheme="minorHAnsi"/>
        </w:rPr>
        <w:t>DSH</w:t>
      </w:r>
      <w:r w:rsidRPr="007458E2">
        <w:rPr>
          <w:rFonts w:asciiTheme="minorHAnsi" w:hAnsiTheme="minorHAnsi"/>
        </w:rPr>
        <w:t xml:space="preserve"> </w:t>
      </w:r>
      <w:r w:rsidR="00CA009C" w:rsidRPr="007458E2">
        <w:rPr>
          <w:rFonts w:asciiTheme="minorHAnsi" w:hAnsiTheme="minorHAnsi"/>
        </w:rPr>
        <w:t xml:space="preserve">behaviour is confined to </w:t>
      </w:r>
      <w:r w:rsidRPr="007458E2">
        <w:rPr>
          <w:rFonts w:asciiTheme="minorHAnsi" w:hAnsiTheme="minorHAnsi"/>
        </w:rPr>
        <w:t xml:space="preserve">a </w:t>
      </w:r>
      <w:r w:rsidR="00C41407" w:rsidRPr="007458E2">
        <w:rPr>
          <w:rFonts w:asciiTheme="minorHAnsi" w:hAnsiTheme="minorHAnsi"/>
        </w:rPr>
        <w:t>period of transient distress</w:t>
      </w:r>
      <w:fldSimple w:instr=" NOTEREF _Ref289188548 \h  \* MERGEFORMAT ">
        <w:r w:rsidR="00A934FC" w:rsidRPr="00A934FC">
          <w:rPr>
            <w:rFonts w:asciiTheme="minorHAnsi" w:hAnsiTheme="minorHAnsi"/>
            <w:vertAlign w:val="superscript"/>
          </w:rPr>
          <w:t>14</w:t>
        </w:r>
      </w:fldSimple>
      <w:r w:rsidR="00CB1252">
        <w:rPr>
          <w:rFonts w:asciiTheme="minorHAnsi" w:hAnsiTheme="minorHAnsi"/>
        </w:rPr>
        <w:t>.</w:t>
      </w:r>
    </w:p>
    <w:p w:rsidR="00CA009C" w:rsidRPr="007458E2" w:rsidRDefault="00E868DC" w:rsidP="00CA009C">
      <w:pPr>
        <w:pStyle w:val="ListParagraph"/>
        <w:numPr>
          <w:ilvl w:val="0"/>
          <w:numId w:val="11"/>
        </w:numPr>
        <w:jc w:val="both"/>
        <w:rPr>
          <w:rFonts w:asciiTheme="minorHAnsi" w:hAnsiTheme="minorHAnsi"/>
        </w:rPr>
      </w:pPr>
      <w:r w:rsidRPr="007458E2">
        <w:rPr>
          <w:rFonts w:asciiTheme="minorHAnsi" w:hAnsiTheme="minorHAnsi"/>
        </w:rPr>
        <w:t xml:space="preserve">How severe are injuries </w:t>
      </w:r>
      <w:r w:rsidR="00CA009C" w:rsidRPr="007458E2">
        <w:rPr>
          <w:rFonts w:asciiTheme="minorHAnsi" w:hAnsiTheme="minorHAnsi"/>
        </w:rPr>
        <w:t xml:space="preserve">arising from DSH associated with </w:t>
      </w:r>
      <w:r w:rsidRPr="007458E2">
        <w:rPr>
          <w:rFonts w:asciiTheme="minorHAnsi" w:hAnsiTheme="minorHAnsi"/>
        </w:rPr>
        <w:t>social-contagion</w:t>
      </w:r>
      <w:r w:rsidR="00CA009C" w:rsidRPr="007458E2">
        <w:rPr>
          <w:rFonts w:asciiTheme="minorHAnsi" w:hAnsiTheme="minorHAnsi"/>
        </w:rPr>
        <w:t>?</w:t>
      </w:r>
    </w:p>
    <w:p w:rsidR="00E868DC" w:rsidRPr="007458E2" w:rsidRDefault="00E868DC" w:rsidP="00CA009C">
      <w:pPr>
        <w:pStyle w:val="ListParagraph"/>
        <w:numPr>
          <w:ilvl w:val="0"/>
          <w:numId w:val="11"/>
        </w:numPr>
        <w:jc w:val="both"/>
        <w:rPr>
          <w:rFonts w:asciiTheme="minorHAnsi" w:hAnsiTheme="minorHAnsi"/>
        </w:rPr>
      </w:pPr>
      <w:r w:rsidRPr="007458E2">
        <w:rPr>
          <w:rFonts w:asciiTheme="minorHAnsi" w:hAnsiTheme="minorHAnsi"/>
        </w:rPr>
        <w:t>What percentage of these behaviours result in formal medical treatment?</w:t>
      </w:r>
    </w:p>
    <w:p w:rsidR="00E868DC" w:rsidRPr="007458E2" w:rsidRDefault="00E868DC" w:rsidP="009C7F7C">
      <w:pPr>
        <w:pStyle w:val="ListParagraph"/>
        <w:numPr>
          <w:ilvl w:val="0"/>
          <w:numId w:val="6"/>
        </w:numPr>
        <w:jc w:val="both"/>
        <w:rPr>
          <w:rFonts w:asciiTheme="minorHAnsi" w:hAnsiTheme="minorHAnsi"/>
        </w:rPr>
      </w:pPr>
      <w:r w:rsidRPr="007458E2">
        <w:rPr>
          <w:rFonts w:asciiTheme="minorHAnsi" w:hAnsiTheme="minorHAnsi"/>
        </w:rPr>
        <w:lastRenderedPageBreak/>
        <w:t>What are the consequences fo</w:t>
      </w:r>
      <w:r w:rsidR="00CA009C" w:rsidRPr="007458E2">
        <w:rPr>
          <w:rFonts w:asciiTheme="minorHAnsi" w:hAnsiTheme="minorHAnsi"/>
        </w:rPr>
        <w:t xml:space="preserve">r those who do not seek formal </w:t>
      </w:r>
      <w:r w:rsidRPr="007458E2">
        <w:rPr>
          <w:rFonts w:asciiTheme="minorHAnsi" w:hAnsiTheme="minorHAnsi"/>
        </w:rPr>
        <w:t xml:space="preserve">medical help? </w:t>
      </w:r>
    </w:p>
    <w:p w:rsidR="00E868DC" w:rsidRPr="007458E2" w:rsidRDefault="00CA009C" w:rsidP="009C7F7C">
      <w:pPr>
        <w:pStyle w:val="ListParagraph"/>
        <w:numPr>
          <w:ilvl w:val="0"/>
          <w:numId w:val="10"/>
        </w:numPr>
        <w:jc w:val="both"/>
        <w:rPr>
          <w:rFonts w:asciiTheme="minorHAnsi" w:hAnsiTheme="minorHAnsi"/>
        </w:rPr>
      </w:pPr>
      <w:r w:rsidRPr="007458E2">
        <w:rPr>
          <w:rFonts w:asciiTheme="minorHAnsi" w:hAnsiTheme="minorHAnsi"/>
        </w:rPr>
        <w:t>Do</w:t>
      </w:r>
      <w:r w:rsidR="00E868DC" w:rsidRPr="007458E2">
        <w:rPr>
          <w:rFonts w:asciiTheme="minorHAnsi" w:hAnsiTheme="minorHAnsi"/>
        </w:rPr>
        <w:t>e</w:t>
      </w:r>
      <w:r w:rsidRPr="007458E2">
        <w:rPr>
          <w:rFonts w:asciiTheme="minorHAnsi" w:hAnsiTheme="minorHAnsi"/>
        </w:rPr>
        <w:t>s</w:t>
      </w:r>
      <w:r w:rsidR="00E868DC" w:rsidRPr="007458E2">
        <w:rPr>
          <w:rFonts w:asciiTheme="minorHAnsi" w:hAnsiTheme="minorHAnsi"/>
        </w:rPr>
        <w:t xml:space="preserve"> their behaviour leave long-term physical or emotional damage?</w:t>
      </w:r>
    </w:p>
    <w:p w:rsidR="00E868DC" w:rsidRPr="007458E2" w:rsidRDefault="00E868DC" w:rsidP="009C7F7C">
      <w:pPr>
        <w:pStyle w:val="ListParagraph"/>
        <w:numPr>
          <w:ilvl w:val="0"/>
          <w:numId w:val="10"/>
        </w:numPr>
        <w:jc w:val="both"/>
        <w:rPr>
          <w:rFonts w:asciiTheme="minorHAnsi" w:hAnsiTheme="minorHAnsi"/>
        </w:rPr>
      </w:pPr>
      <w:r w:rsidRPr="007458E2">
        <w:rPr>
          <w:rFonts w:asciiTheme="minorHAnsi" w:hAnsiTheme="minorHAnsi"/>
        </w:rPr>
        <w:t xml:space="preserve">How and why do </w:t>
      </w:r>
      <w:r w:rsidR="00CA009C" w:rsidRPr="007458E2">
        <w:rPr>
          <w:rFonts w:asciiTheme="minorHAnsi" w:hAnsiTheme="minorHAnsi"/>
        </w:rPr>
        <w:t xml:space="preserve">DSHers influenced by </w:t>
      </w:r>
      <w:r w:rsidRPr="007458E2">
        <w:rPr>
          <w:rFonts w:asciiTheme="minorHAnsi" w:hAnsiTheme="minorHAnsi"/>
        </w:rPr>
        <w:t>social-contagion ‘emerge’ from DSH behaviour cycles?</w:t>
      </w:r>
    </w:p>
    <w:p w:rsidR="00E868DC" w:rsidRPr="007458E2" w:rsidRDefault="00E868DC" w:rsidP="009C7F7C">
      <w:pPr>
        <w:pStyle w:val="ListParagraph"/>
        <w:numPr>
          <w:ilvl w:val="0"/>
          <w:numId w:val="10"/>
        </w:numPr>
        <w:jc w:val="both"/>
        <w:rPr>
          <w:rFonts w:asciiTheme="minorHAnsi" w:hAnsiTheme="minorHAnsi"/>
        </w:rPr>
      </w:pPr>
      <w:r w:rsidRPr="007458E2">
        <w:rPr>
          <w:rFonts w:asciiTheme="minorHAnsi" w:hAnsiTheme="minorHAnsi"/>
        </w:rPr>
        <w:t>What sources of formal or informal help do they seek, use or value?</w:t>
      </w:r>
    </w:p>
    <w:p w:rsidR="00E868DC" w:rsidRPr="007458E2" w:rsidRDefault="00E868DC" w:rsidP="009C7F7C">
      <w:pPr>
        <w:pStyle w:val="ListParagraph"/>
        <w:numPr>
          <w:ilvl w:val="0"/>
          <w:numId w:val="10"/>
        </w:numPr>
        <w:jc w:val="both"/>
        <w:rPr>
          <w:rFonts w:asciiTheme="minorHAnsi" w:hAnsiTheme="minorHAnsi"/>
        </w:rPr>
      </w:pPr>
      <w:r w:rsidRPr="007458E2">
        <w:rPr>
          <w:rFonts w:asciiTheme="minorHAnsi" w:hAnsiTheme="minorHAnsi"/>
        </w:rPr>
        <w:t>What support do they recommend for others?</w:t>
      </w:r>
    </w:p>
    <w:p w:rsidR="00E868DC" w:rsidRPr="007458E2" w:rsidRDefault="00E868DC" w:rsidP="009C7F7C">
      <w:pPr>
        <w:pStyle w:val="ListParagraph"/>
        <w:numPr>
          <w:ilvl w:val="0"/>
          <w:numId w:val="10"/>
        </w:numPr>
        <w:jc w:val="both"/>
        <w:rPr>
          <w:rFonts w:asciiTheme="minorHAnsi" w:hAnsiTheme="minorHAnsi"/>
        </w:rPr>
      </w:pPr>
      <w:r w:rsidRPr="007458E2">
        <w:rPr>
          <w:rFonts w:asciiTheme="minorHAnsi" w:hAnsiTheme="minorHAnsi"/>
        </w:rPr>
        <w:t>How do they recommend that social-contagion cycles be broken?</w:t>
      </w:r>
    </w:p>
    <w:p w:rsidR="00091188" w:rsidRPr="007458E2" w:rsidRDefault="004D329D" w:rsidP="000168D8">
      <w:pPr>
        <w:pStyle w:val="Heading1"/>
      </w:pPr>
      <w:r w:rsidRPr="007458E2">
        <w:t>Integrated Model of Behaviour Prediction and Change</w:t>
      </w:r>
    </w:p>
    <w:p w:rsidR="004D329D" w:rsidRPr="007458E2" w:rsidRDefault="004D329D" w:rsidP="004D329D">
      <w:pPr>
        <w:jc w:val="both"/>
        <w:rPr>
          <w:rStyle w:val="PageNumber"/>
          <w:rFonts w:asciiTheme="minorHAnsi" w:hAnsiTheme="minorHAnsi"/>
        </w:rPr>
      </w:pPr>
      <w:r w:rsidRPr="007458E2">
        <w:rPr>
          <w:rFonts w:asciiTheme="minorHAnsi" w:hAnsiTheme="minorHAnsi"/>
        </w:rPr>
        <w:t xml:space="preserve">Related to SCT theory and reflecting ongoing development from, and extension of the widely used </w:t>
      </w:r>
      <w:r w:rsidRPr="007458E2">
        <w:rPr>
          <w:rStyle w:val="PageNumber"/>
          <w:rFonts w:asciiTheme="minorHAnsi" w:hAnsiTheme="minorHAnsi"/>
        </w:rPr>
        <w:t>Theory of Reasoned Action</w:t>
      </w:r>
      <w:r w:rsidRPr="007458E2">
        <w:rPr>
          <w:rFonts w:asciiTheme="minorHAnsi" w:hAnsiTheme="minorHAnsi"/>
        </w:rPr>
        <w:t xml:space="preserve"> (TRA)</w:t>
      </w:r>
      <w:r w:rsidRPr="007458E2">
        <w:rPr>
          <w:rStyle w:val="EndnoteReference"/>
          <w:rFonts w:asciiTheme="minorHAnsi" w:hAnsiTheme="minorHAnsi"/>
        </w:rPr>
        <w:endnoteReference w:id="61"/>
      </w:r>
      <w:r w:rsidRPr="007458E2">
        <w:rPr>
          <w:rFonts w:asciiTheme="minorHAnsi" w:hAnsiTheme="minorHAnsi"/>
          <w:vertAlign w:val="superscript"/>
        </w:rPr>
        <w:t>,</w:t>
      </w:r>
      <w:r w:rsidRPr="007458E2">
        <w:rPr>
          <w:rStyle w:val="EndnoteReference"/>
          <w:rFonts w:asciiTheme="minorHAnsi" w:hAnsiTheme="minorHAnsi"/>
        </w:rPr>
        <w:endnoteReference w:id="62"/>
      </w:r>
      <w:r w:rsidRPr="007458E2">
        <w:rPr>
          <w:rFonts w:asciiTheme="minorHAnsi" w:hAnsiTheme="minorHAnsi"/>
        </w:rPr>
        <w:t xml:space="preserve"> </w:t>
      </w:r>
      <w:r w:rsidRPr="007458E2">
        <w:rPr>
          <w:rStyle w:val="PageNumber"/>
          <w:rFonts w:asciiTheme="minorHAnsi" w:hAnsiTheme="minorHAnsi"/>
        </w:rPr>
        <w:t>and its successor, the Theory of Planned Behaviour</w:t>
      </w:r>
      <w:r w:rsidRPr="007458E2">
        <w:rPr>
          <w:rStyle w:val="EndnoteReference"/>
          <w:rFonts w:asciiTheme="minorHAnsi" w:hAnsiTheme="minorHAnsi"/>
        </w:rPr>
        <w:t xml:space="preserve"> </w:t>
      </w:r>
      <w:r w:rsidRPr="007458E2">
        <w:rPr>
          <w:rFonts w:asciiTheme="minorHAnsi" w:hAnsiTheme="minorHAnsi"/>
        </w:rPr>
        <w:t>(TPB)</w:t>
      </w:r>
      <w:r w:rsidRPr="007458E2">
        <w:rPr>
          <w:rStyle w:val="EndnoteReference"/>
          <w:rFonts w:asciiTheme="minorHAnsi" w:hAnsiTheme="minorHAnsi"/>
        </w:rPr>
        <w:endnoteReference w:id="63"/>
      </w:r>
      <w:r w:rsidRPr="007458E2">
        <w:rPr>
          <w:rStyle w:val="PageNumber"/>
          <w:rFonts w:asciiTheme="minorHAnsi" w:hAnsiTheme="minorHAnsi"/>
        </w:rPr>
        <w:t xml:space="preserve"> is the more complex Integrative Model of Behaviour Prediction and Change (IM) shown in the following figure. This Model </w:t>
      </w:r>
      <w:r w:rsidRPr="007458E2">
        <w:rPr>
          <w:rFonts w:asciiTheme="minorHAnsi" w:hAnsiTheme="minorHAnsi"/>
        </w:rPr>
        <w:t xml:space="preserve">shares many attributes of its predecessor in </w:t>
      </w:r>
      <w:r w:rsidRPr="007458E2">
        <w:rPr>
          <w:rStyle w:val="PageNumber"/>
          <w:rFonts w:asciiTheme="minorHAnsi" w:hAnsiTheme="minorHAnsi"/>
        </w:rPr>
        <w:t>explaining behaviour change as the outcome of behavioural intention, and behavioural intention as the outcomes of social norms and an individual’s attitude to the behaviour. The element of perceived behavioural control (PBC) to account for variance in behaviours with incomplete volitional control i.e. where individual’s lack complete control of the behaviour.</w:t>
      </w:r>
    </w:p>
    <w:p w:rsidR="004D329D" w:rsidRPr="007458E2" w:rsidRDefault="004D329D" w:rsidP="004D329D">
      <w:pPr>
        <w:jc w:val="both"/>
        <w:rPr>
          <w:rStyle w:val="PageNumber"/>
          <w:rFonts w:asciiTheme="minorHAnsi" w:hAnsiTheme="minorHAnsi"/>
        </w:rPr>
      </w:pPr>
    </w:p>
    <w:p w:rsidR="004D329D" w:rsidRPr="007458E2" w:rsidRDefault="004D329D" w:rsidP="00091188">
      <w:pPr>
        <w:jc w:val="both"/>
        <w:rPr>
          <w:rFonts w:asciiTheme="minorHAnsi" w:hAnsiTheme="minorHAnsi"/>
        </w:rPr>
      </w:pPr>
      <w:r w:rsidRPr="007458E2">
        <w:rPr>
          <w:rStyle w:val="PageNumber"/>
          <w:rFonts w:asciiTheme="minorHAnsi" w:hAnsiTheme="minorHAnsi"/>
        </w:rPr>
        <w:t xml:space="preserve">The Integrative Model places </w:t>
      </w:r>
      <w:r w:rsidR="00091188" w:rsidRPr="007458E2">
        <w:rPr>
          <w:rStyle w:val="PageNumber"/>
          <w:rFonts w:asciiTheme="minorHAnsi" w:hAnsiTheme="minorHAnsi"/>
        </w:rPr>
        <w:t>emphasis</w:t>
      </w:r>
      <w:r w:rsidRPr="007458E2">
        <w:rPr>
          <w:rStyle w:val="PageNumber"/>
          <w:rFonts w:asciiTheme="minorHAnsi" w:hAnsiTheme="minorHAnsi"/>
        </w:rPr>
        <w:t xml:space="preserve"> on the influence of background factors, including, importantly, the role of intervention activity and media exposure</w:t>
      </w:r>
      <w:r w:rsidR="00091188" w:rsidRPr="007458E2">
        <w:rPr>
          <w:rStyle w:val="PageNumber"/>
          <w:rFonts w:asciiTheme="minorHAnsi" w:hAnsiTheme="minorHAnsi"/>
        </w:rPr>
        <w:t>.</w:t>
      </w:r>
      <w:r w:rsidRPr="007458E2">
        <w:rPr>
          <w:rStyle w:val="PageNumber"/>
          <w:rFonts w:asciiTheme="minorHAnsi" w:hAnsiTheme="minorHAnsi"/>
        </w:rPr>
        <w:t xml:space="preserve"> A key contribution of research underpinning the effective use of this theory is that different population segments may be driven more strongly by attitudinal factors, normative influences or perceived self efficacy, i.e. ability to change behaviour and sustain the change</w:t>
      </w:r>
      <w:r w:rsidRPr="007458E2">
        <w:rPr>
          <w:rStyle w:val="EndnoteReference"/>
          <w:rFonts w:asciiTheme="minorHAnsi" w:hAnsiTheme="minorHAnsi"/>
        </w:rPr>
        <w:endnoteReference w:id="64"/>
      </w:r>
      <w:r w:rsidR="00091188" w:rsidRPr="007458E2">
        <w:rPr>
          <w:rStyle w:val="PageNumber"/>
          <w:rFonts w:asciiTheme="minorHAnsi" w:hAnsiTheme="minorHAnsi"/>
        </w:rPr>
        <w:t xml:space="preserve">. </w:t>
      </w:r>
      <w:r w:rsidRPr="007458E2">
        <w:rPr>
          <w:rStyle w:val="PageNumber"/>
          <w:rFonts w:asciiTheme="minorHAnsi" w:hAnsiTheme="minorHAnsi"/>
        </w:rPr>
        <w:t>This indicates that very different intervention strategies may be needed for different population segments</w:t>
      </w:r>
      <w:r w:rsidRPr="007458E2">
        <w:rPr>
          <w:rStyle w:val="EndnoteReference"/>
          <w:rFonts w:asciiTheme="minorHAnsi" w:hAnsiTheme="minorHAnsi"/>
        </w:rPr>
        <w:endnoteReference w:id="65"/>
      </w:r>
      <w:r w:rsidRPr="007458E2">
        <w:rPr>
          <w:rStyle w:val="PageNumber"/>
          <w:rFonts w:asciiTheme="minorHAnsi" w:hAnsiTheme="minorHAnsi"/>
          <w:vertAlign w:val="superscript"/>
        </w:rPr>
        <w:t>,</w:t>
      </w:r>
      <w:r w:rsidRPr="007458E2">
        <w:rPr>
          <w:rStyle w:val="EndnoteReference"/>
          <w:rFonts w:asciiTheme="minorHAnsi" w:hAnsiTheme="minorHAnsi"/>
        </w:rPr>
        <w:endnoteReference w:id="66"/>
      </w:r>
      <w:r w:rsidRPr="007458E2">
        <w:rPr>
          <w:rStyle w:val="PageNumber"/>
          <w:rFonts w:asciiTheme="minorHAnsi" w:hAnsiTheme="minorHAnsi"/>
        </w:rPr>
        <w:t>.</w:t>
      </w:r>
      <w:r w:rsidRPr="007458E2">
        <w:rPr>
          <w:rFonts w:asciiTheme="minorHAnsi" w:hAnsiTheme="minorHAnsi"/>
        </w:rPr>
        <w:t xml:space="preserve"> </w:t>
      </w:r>
    </w:p>
    <w:p w:rsidR="000168D8" w:rsidRDefault="000168D8">
      <w:pPr>
        <w:rPr>
          <w:rFonts w:asciiTheme="minorHAnsi" w:hAnsiTheme="minorHAnsi"/>
          <w:b/>
        </w:rPr>
      </w:pPr>
      <w:r>
        <w:rPr>
          <w:rFonts w:asciiTheme="minorHAnsi" w:hAnsiTheme="minorHAnsi"/>
          <w:b/>
        </w:rPr>
        <w:br w:type="page"/>
      </w:r>
    </w:p>
    <w:p w:rsidR="004D329D" w:rsidRPr="007458E2" w:rsidRDefault="004D329D" w:rsidP="004D329D">
      <w:pPr>
        <w:jc w:val="both"/>
        <w:rPr>
          <w:rFonts w:asciiTheme="minorHAnsi" w:hAnsiTheme="minorHAnsi"/>
          <w:vertAlign w:val="superscript"/>
        </w:rPr>
      </w:pPr>
      <w:r w:rsidRPr="00FA7F00">
        <w:rPr>
          <w:rFonts w:asciiTheme="minorHAnsi" w:hAnsiTheme="minorHAnsi"/>
          <w:b/>
          <w:i/>
        </w:rPr>
        <w:lastRenderedPageBreak/>
        <w:t>Figure 7</w:t>
      </w:r>
      <w:r w:rsidR="00FA7F00" w:rsidRPr="00FA7F00">
        <w:rPr>
          <w:rFonts w:asciiTheme="minorHAnsi" w:hAnsiTheme="minorHAnsi"/>
          <w:b/>
          <w:i/>
        </w:rPr>
        <w:t>:</w:t>
      </w:r>
      <w:r w:rsidRPr="00FA7F00">
        <w:rPr>
          <w:rFonts w:asciiTheme="minorHAnsi" w:hAnsiTheme="minorHAnsi"/>
          <w:b/>
          <w:i/>
        </w:rPr>
        <w:t xml:space="preserve"> Fishbein et al. Integrative Model of Behavioural Prediction and Chang</w:t>
      </w:r>
      <w:r w:rsidR="00FA7F00">
        <w:rPr>
          <w:rFonts w:asciiTheme="minorHAnsi" w:hAnsiTheme="minorHAnsi"/>
          <w:b/>
          <w:i/>
        </w:rPr>
        <w:t>e</w:t>
      </w:r>
      <w:r w:rsidRPr="00FA7F00">
        <w:rPr>
          <w:rFonts w:asciiTheme="minorHAnsi" w:hAnsiTheme="minorHAnsi"/>
          <w:i/>
        </w:rPr>
        <w:t xml:space="preserve"> </w:t>
      </w:r>
      <w:r w:rsidRPr="007458E2">
        <w:rPr>
          <w:rFonts w:asciiTheme="minorHAnsi" w:hAnsiTheme="minorHAnsi"/>
        </w:rPr>
        <w:t>(originally developed by Fishbein 2000 – and subsequently refined, for example, Fishbein &amp; Cappella 2006</w:t>
      </w:r>
      <w:r w:rsidRPr="007458E2">
        <w:rPr>
          <w:rFonts w:asciiTheme="minorHAnsi" w:hAnsiTheme="minorHAnsi"/>
          <w:vertAlign w:val="superscript"/>
        </w:rPr>
        <w:t xml:space="preserve"> </w:t>
      </w:r>
      <w:fldSimple w:instr=" NOTEREF _Ref285706191 \h  \* MERGEFORMAT ">
        <w:r w:rsidR="00A934FC" w:rsidRPr="00A934FC">
          <w:rPr>
            <w:rFonts w:asciiTheme="minorHAnsi" w:hAnsiTheme="minorHAnsi"/>
            <w:vertAlign w:val="superscript"/>
          </w:rPr>
          <w:t>67</w:t>
        </w:r>
      </w:fldSimple>
      <w:r w:rsidRPr="007458E2">
        <w:rPr>
          <w:rFonts w:asciiTheme="minorHAnsi" w:hAnsiTheme="minorHAnsi"/>
          <w:vertAlign w:val="superscript"/>
        </w:rPr>
        <w:t>)</w:t>
      </w:r>
    </w:p>
    <w:p w:rsidR="004D329D" w:rsidRPr="007458E2" w:rsidRDefault="004D329D" w:rsidP="004D329D">
      <w:pPr>
        <w:rPr>
          <w:rFonts w:asciiTheme="minorHAnsi" w:hAnsiTheme="minorHAnsi"/>
        </w:rPr>
      </w:pPr>
    </w:p>
    <w:p w:rsidR="004D329D" w:rsidRPr="007458E2" w:rsidRDefault="00457281" w:rsidP="004D329D">
      <w:pPr>
        <w:rPr>
          <w:rFonts w:asciiTheme="minorHAnsi" w:hAnsiTheme="minorHAnsi"/>
        </w:rPr>
      </w:pPr>
      <w:r w:rsidRPr="00457281">
        <w:rPr>
          <w:rFonts w:asciiTheme="minorHAnsi" w:hAnsiTheme="minorHAnsi" w:cs="Calibri"/>
          <w:lang w:val="en-US"/>
        </w:rPr>
      </w:r>
      <w:r w:rsidRPr="00457281">
        <w:rPr>
          <w:rFonts w:asciiTheme="minorHAnsi" w:hAnsiTheme="minorHAnsi" w:cs="Calibri"/>
          <w:lang w:val="en-US"/>
        </w:rPr>
        <w:pict>
          <v:group id="_x0000_s1026" editas="canvas" style="width:476.8pt;height:281.9pt;mso-position-horizontal-relative:char;mso-position-vertical-relative:line" coordorigin="2991,6652" coordsize="8293,50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991;top:6652;width:8293;height:5012" o:preferrelative="f">
              <v:fill o:detectmouseclick="t"/>
              <v:path o:extrusionok="t" o:connecttype="none"/>
              <o:lock v:ext="edit" text="t"/>
            </v:shape>
            <v:shape id="_x0000_s1028" type="#_x0000_t202" style="position:absolute;left:3262;top:6652;width:1983;height:4781" fillcolor="#8db3e2 [1311]">
              <v:textbox style="mso-next-textbox:#_x0000_s1028">
                <w:txbxContent>
                  <w:p w:rsidR="00FE1729" w:rsidRPr="00FB564E" w:rsidRDefault="00FE1729" w:rsidP="004D329D">
                    <w:pPr>
                      <w:rPr>
                        <w:i/>
                        <w:sz w:val="20"/>
                        <w:szCs w:val="20"/>
                      </w:rPr>
                    </w:pPr>
                    <w:r w:rsidRPr="00FB564E">
                      <w:rPr>
                        <w:i/>
                        <w:sz w:val="20"/>
                        <w:szCs w:val="20"/>
                      </w:rPr>
                      <w:t>Background influence</w:t>
                    </w:r>
                  </w:p>
                </w:txbxContent>
              </v:textbox>
            </v:shape>
            <v:shape id="_x0000_s1029" type="#_x0000_t202" style="position:absolute;left:3513;top:7811;width:1565;height:573">
              <v:textbox style="mso-next-textbox:#_x0000_s1029">
                <w:txbxContent>
                  <w:p w:rsidR="00FE1729" w:rsidRPr="00FB564E" w:rsidRDefault="00FE1729" w:rsidP="004D329D">
                    <w:pPr>
                      <w:rPr>
                        <w:sz w:val="16"/>
                        <w:szCs w:val="16"/>
                      </w:rPr>
                    </w:pPr>
                    <w:r w:rsidRPr="00FB564E">
                      <w:rPr>
                        <w:sz w:val="16"/>
                        <w:szCs w:val="16"/>
                      </w:rPr>
                      <w:t>Demographic</w:t>
                    </w:r>
                    <w:r>
                      <w:rPr>
                        <w:sz w:val="16"/>
                        <w:szCs w:val="16"/>
                      </w:rPr>
                      <w:t>s &amp; culture</w:t>
                    </w:r>
                  </w:p>
                </w:txbxContent>
              </v:textbox>
            </v:shape>
            <v:shape id="_x0000_s1030" type="#_x0000_t202" style="position:absolute;left:3513;top:8391;width:1565;height:640">
              <v:textbox style="mso-next-textbox:#_x0000_s1030">
                <w:txbxContent>
                  <w:p w:rsidR="00FE1729" w:rsidRPr="00FB564E" w:rsidRDefault="00FE1729" w:rsidP="004D329D">
                    <w:pPr>
                      <w:rPr>
                        <w:sz w:val="16"/>
                        <w:szCs w:val="16"/>
                      </w:rPr>
                    </w:pPr>
                    <w:r w:rsidRPr="00FB564E">
                      <w:rPr>
                        <w:sz w:val="16"/>
                        <w:szCs w:val="16"/>
                      </w:rPr>
                      <w:t>Attitudes towards targets (stereotypes &amp;</w:t>
                    </w:r>
                    <w:r>
                      <w:rPr>
                        <w:sz w:val="20"/>
                        <w:szCs w:val="20"/>
                      </w:rPr>
                      <w:t xml:space="preserve"> </w:t>
                    </w:r>
                    <w:r w:rsidRPr="00FB564E">
                      <w:rPr>
                        <w:sz w:val="16"/>
                        <w:szCs w:val="16"/>
                      </w:rPr>
                      <w:t>stigma</w:t>
                    </w:r>
                    <w:r>
                      <w:rPr>
                        <w:sz w:val="16"/>
                        <w:szCs w:val="16"/>
                      </w:rPr>
                      <w:t>)</w:t>
                    </w:r>
                  </w:p>
                </w:txbxContent>
              </v:textbox>
            </v:shape>
            <v:shape id="_x0000_s1031" type="#_x0000_t202" style="position:absolute;left:3513;top:8970;width:1564;height:580">
              <v:textbox style="mso-next-textbox:#_x0000_s1031">
                <w:txbxContent>
                  <w:p w:rsidR="00FE1729" w:rsidRPr="00FB564E" w:rsidRDefault="00FE1729" w:rsidP="004D329D">
                    <w:pPr>
                      <w:rPr>
                        <w:sz w:val="16"/>
                        <w:szCs w:val="16"/>
                      </w:rPr>
                    </w:pPr>
                    <w:r w:rsidRPr="00FB564E">
                      <w:rPr>
                        <w:sz w:val="16"/>
                        <w:szCs w:val="16"/>
                      </w:rPr>
                      <w:t xml:space="preserve">Personality </w:t>
                    </w:r>
                    <w:r>
                      <w:rPr>
                        <w:sz w:val="16"/>
                        <w:szCs w:val="16"/>
                      </w:rPr>
                      <w:t>Moods and emotions</w:t>
                    </w:r>
                  </w:p>
                </w:txbxContent>
              </v:textbox>
            </v:shape>
            <v:shape id="_x0000_s1032" type="#_x0000_t202" style="position:absolute;left:5600;top:7376;width:1253;height:1020" fillcolor="yellow">
              <v:textbox style="mso-next-textbox:#_x0000_s1032">
                <w:txbxContent>
                  <w:p w:rsidR="00FE1729" w:rsidRPr="00FF705C" w:rsidRDefault="00FE1729" w:rsidP="004D329D">
                    <w:pPr>
                      <w:rPr>
                        <w:sz w:val="16"/>
                        <w:szCs w:val="16"/>
                      </w:rPr>
                    </w:pPr>
                    <w:r w:rsidRPr="00FF705C">
                      <w:rPr>
                        <w:sz w:val="16"/>
                        <w:szCs w:val="16"/>
                      </w:rPr>
                      <w:t xml:space="preserve">Behavioural Beliefs </w:t>
                    </w:r>
                  </w:p>
                  <w:p w:rsidR="00FE1729" w:rsidRPr="00FF705C" w:rsidRDefault="00FE1729" w:rsidP="004D329D">
                    <w:pPr>
                      <w:rPr>
                        <w:sz w:val="16"/>
                        <w:szCs w:val="16"/>
                      </w:rPr>
                    </w:pPr>
                    <w:r w:rsidRPr="00FF705C">
                      <w:rPr>
                        <w:sz w:val="16"/>
                        <w:szCs w:val="16"/>
                      </w:rPr>
                      <w:t>and Outcome Evaluations</w:t>
                    </w:r>
                  </w:p>
                </w:txbxContent>
              </v:textbox>
            </v:shape>
            <v:shape id="_x0000_s1033" type="#_x0000_t202" style="position:absolute;left:7145;top:7612;width:939;height:480" fillcolor="#96f">
              <v:textbox style="mso-next-textbox:#_x0000_s1033">
                <w:txbxContent>
                  <w:p w:rsidR="00FE1729" w:rsidRPr="00FF705C" w:rsidRDefault="00FE1729" w:rsidP="004D329D">
                    <w:pPr>
                      <w:rPr>
                        <w:sz w:val="16"/>
                        <w:szCs w:val="16"/>
                      </w:rPr>
                    </w:pPr>
                    <w:r w:rsidRPr="00FF705C">
                      <w:rPr>
                        <w:sz w:val="16"/>
                        <w:szCs w:val="16"/>
                      </w:rPr>
                      <w:t>Attitude</w:t>
                    </w:r>
                  </w:p>
                </w:txbxContent>
              </v:textbox>
            </v:shape>
            <v:shape id="_x0000_s1034" type="#_x0000_t202" style="position:absolute;left:5600;top:8680;width:1253;height:1015" fillcolor="#ffc000">
              <v:textbox style="mso-next-textbox:#_x0000_s1034">
                <w:txbxContent>
                  <w:p w:rsidR="00FE1729" w:rsidRPr="00FF705C" w:rsidRDefault="00FE1729" w:rsidP="004D329D">
                    <w:pPr>
                      <w:rPr>
                        <w:sz w:val="16"/>
                        <w:szCs w:val="16"/>
                      </w:rPr>
                    </w:pPr>
                    <w:r w:rsidRPr="00FF705C">
                      <w:rPr>
                        <w:sz w:val="16"/>
                        <w:szCs w:val="16"/>
                      </w:rPr>
                      <w:t>Normative Beliefs and Motivation to Comply</w:t>
                    </w:r>
                  </w:p>
                </w:txbxContent>
              </v:textbox>
            </v:shape>
            <v:shape id="_x0000_s1035" type="#_x0000_t202" style="position:absolute;left:7145;top:8732;width:939;height:480" fillcolor="#06f">
              <v:textbox style="mso-next-textbox:#_x0000_s1035">
                <w:txbxContent>
                  <w:p w:rsidR="00FE1729" w:rsidRPr="00FF705C" w:rsidRDefault="00FE1729" w:rsidP="004D329D">
                    <w:pPr>
                      <w:rPr>
                        <w:sz w:val="16"/>
                        <w:szCs w:val="16"/>
                      </w:rPr>
                    </w:pPr>
                    <w:r w:rsidRPr="00FF705C">
                      <w:rPr>
                        <w:sz w:val="16"/>
                        <w:szCs w:val="16"/>
                      </w:rPr>
                      <w:t>Norm</w:t>
                    </w:r>
                  </w:p>
                </w:txbxContent>
              </v:textbox>
            </v:shape>
            <v:shape id="_x0000_s1036" type="#_x0000_t202" style="position:absolute;left:7145;top:9692;width:939;height:640" fillcolor="#ccc0d9 [1303]">
              <v:textbox style="mso-next-textbox:#_x0000_s1036">
                <w:txbxContent>
                  <w:p w:rsidR="00FE1729" w:rsidRPr="00FF705C" w:rsidRDefault="00FE1729" w:rsidP="004D329D">
                    <w:pPr>
                      <w:rPr>
                        <w:sz w:val="16"/>
                        <w:szCs w:val="16"/>
                      </w:rPr>
                    </w:pPr>
                    <w:r w:rsidRPr="00FF705C">
                      <w:rPr>
                        <w:sz w:val="16"/>
                        <w:szCs w:val="16"/>
                      </w:rPr>
                      <w:t>Self Efficacy</w:t>
                    </w:r>
                  </w:p>
                </w:txbxContent>
              </v:textbox>
            </v:shape>
            <v:shape id="_x0000_s1037" type="#_x0000_t202" style="position:absolute;left:8397;top:8732;width:939;height:480" fillcolor="#eaf1dd [662]">
              <v:textbox style="mso-next-textbox:#_x0000_s1037">
                <w:txbxContent>
                  <w:p w:rsidR="00FE1729" w:rsidRPr="009E681E" w:rsidRDefault="00FE1729" w:rsidP="004D329D">
                    <w:pPr>
                      <w:rPr>
                        <w:sz w:val="20"/>
                        <w:szCs w:val="20"/>
                      </w:rPr>
                    </w:pPr>
                    <w:r w:rsidRPr="009E681E">
                      <w:rPr>
                        <w:sz w:val="20"/>
                        <w:szCs w:val="20"/>
                      </w:rPr>
                      <w:t>Intention</w:t>
                    </w:r>
                  </w:p>
                </w:txbxContent>
              </v:textbox>
            </v:shape>
            <v:shape id="_x0000_s1038" type="#_x0000_t202" style="position:absolute;left:8418;top:7811;width:1356;height:523" fillcolor="#9bbb59 [3206]">
              <v:textbox style="mso-next-textbox:#_x0000_s1038">
                <w:txbxContent>
                  <w:p w:rsidR="00FE1729" w:rsidRPr="00FF705C" w:rsidRDefault="00FE1729" w:rsidP="004D329D">
                    <w:pPr>
                      <w:rPr>
                        <w:sz w:val="16"/>
                        <w:szCs w:val="16"/>
                      </w:rPr>
                    </w:pPr>
                    <w:r>
                      <w:rPr>
                        <w:sz w:val="16"/>
                        <w:szCs w:val="16"/>
                      </w:rPr>
                      <w:t>Environmental factors</w:t>
                    </w:r>
                  </w:p>
                </w:txbxContent>
              </v:textbox>
            </v:shape>
            <v:shape id="_x0000_s1039" type="#_x0000_t202" style="position:absolute;left:5579;top:10012;width:1253;height:987" fillcolor="#d99594 [1941]">
              <v:textbox style="mso-next-textbox:#_x0000_s1039">
                <w:txbxContent>
                  <w:p w:rsidR="00FE1729" w:rsidRPr="00FF705C" w:rsidRDefault="00FE1729" w:rsidP="004D329D">
                    <w:pPr>
                      <w:rPr>
                        <w:sz w:val="16"/>
                        <w:szCs w:val="16"/>
                      </w:rPr>
                    </w:pPr>
                    <w:r w:rsidRPr="00FF705C">
                      <w:rPr>
                        <w:sz w:val="16"/>
                        <w:szCs w:val="16"/>
                      </w:rPr>
                      <w:t>Control Beliefs and Perceived Power</w:t>
                    </w:r>
                  </w:p>
                </w:txbxContent>
              </v:textbox>
            </v:shape>
            <v:shape id="_x0000_s1040" type="#_x0000_t202" style="position:absolute;left:8397;top:9736;width:1408;height:800" fillcolor="#fabf8f [1945]">
              <v:textbox style="mso-next-textbox:#_x0000_s1040">
                <w:txbxContent>
                  <w:p w:rsidR="00FE1729" w:rsidRPr="00FF705C" w:rsidRDefault="00FE1729" w:rsidP="004D329D">
                    <w:pPr>
                      <w:rPr>
                        <w:sz w:val="16"/>
                        <w:szCs w:val="16"/>
                      </w:rPr>
                    </w:pPr>
                    <w:r w:rsidRPr="00FF705C">
                      <w:rPr>
                        <w:sz w:val="16"/>
                        <w:szCs w:val="16"/>
                      </w:rPr>
                      <w:t>Skills and abilities</w:t>
                    </w:r>
                  </w:p>
                </w:txbxContent>
              </v:textbox>
            </v:shape>
            <v:line id="_x0000_s1041" style="position:absolute;flip:y" from="5266,8252" to="5579,9372">
              <v:stroke dashstyle="1 1" endarrow="block"/>
            </v:line>
            <v:line id="_x0000_s1042" style="position:absolute" from="5266,9372" to="5579,9372">
              <v:stroke dashstyle="1 1" endarrow="block"/>
            </v:line>
            <v:line id="_x0000_s1043" style="position:absolute" from="5266,9372" to="5579,10172">
              <v:stroke dashstyle="1 1" endarrow="block"/>
            </v:line>
            <v:line id="_x0000_s1044" style="position:absolute" from="6832,7772" to="7145,7772">
              <v:stroke endarrow="block"/>
            </v:line>
            <v:line id="_x0000_s1045" style="position:absolute" from="6832,9052" to="7145,9052">
              <v:stroke endarrow="block"/>
            </v:line>
            <v:line id="_x0000_s1046" style="position:absolute" from="6832,10172" to="7145,10172">
              <v:stroke endarrow="block"/>
            </v:line>
            <v:line id="_x0000_s1047" style="position:absolute" from="8084,9052" to="8397,9052">
              <v:stroke endarrow="block"/>
            </v:line>
            <v:line id="_x0000_s1048" style="position:absolute;flip:y" from="8084,9052" to="8397,10172">
              <v:stroke endarrow="block"/>
            </v:line>
            <v:line id="_x0000_s1049" style="position:absolute" from="8084,7772" to="8397,9052">
              <v:stroke endarrow="block"/>
            </v:line>
            <v:shape id="_x0000_s1050" type="#_x0000_t202" style="position:absolute;left:3513;top:7232;width:1565;height:579">
              <v:textbox style="mso-next-textbox:#_x0000_s1050">
                <w:txbxContent>
                  <w:p w:rsidR="00FE1729" w:rsidRPr="00FB564E" w:rsidRDefault="00FE1729" w:rsidP="004D329D">
                    <w:pPr>
                      <w:rPr>
                        <w:sz w:val="16"/>
                        <w:szCs w:val="16"/>
                      </w:rPr>
                    </w:pPr>
                    <w:r w:rsidRPr="00FB564E">
                      <w:rPr>
                        <w:sz w:val="16"/>
                        <w:szCs w:val="16"/>
                      </w:rPr>
                      <w:t>Past behaviour</w:t>
                    </w:r>
                  </w:p>
                </w:txbxContent>
              </v:textbox>
            </v:shape>
            <v:shape id="_x0000_s1051" type="#_x0000_t202" style="position:absolute;left:3513;top:10274;width:1565;height:725">
              <v:textbox style="mso-next-textbox:#_x0000_s1051">
                <w:txbxContent>
                  <w:p w:rsidR="00FE1729" w:rsidRPr="00FB564E" w:rsidRDefault="00FE1729" w:rsidP="004D329D">
                    <w:pPr>
                      <w:rPr>
                        <w:sz w:val="16"/>
                        <w:szCs w:val="16"/>
                      </w:rPr>
                    </w:pPr>
                    <w:r w:rsidRPr="00FB564E">
                      <w:rPr>
                        <w:sz w:val="16"/>
                        <w:szCs w:val="16"/>
                      </w:rPr>
                      <w:t>Intervention exposure</w:t>
                    </w:r>
                    <w:r>
                      <w:t xml:space="preserve"> </w:t>
                    </w:r>
                    <w:r w:rsidRPr="00FB564E">
                      <w:rPr>
                        <w:sz w:val="16"/>
                        <w:szCs w:val="16"/>
                      </w:rPr>
                      <w:t>Media exposure</w:t>
                    </w:r>
                  </w:p>
                </w:txbxContent>
              </v:textbox>
            </v:shape>
            <v:shape id="_x0000_s1052" type="#_x0000_t202" style="position:absolute;left:3513;top:9550;width:1572;height:800">
              <v:textbox style="mso-next-textbox:#_x0000_s1052">
                <w:txbxContent>
                  <w:p w:rsidR="00FE1729" w:rsidRPr="00FB564E" w:rsidRDefault="00FE1729" w:rsidP="004D329D">
                    <w:pPr>
                      <w:rPr>
                        <w:sz w:val="16"/>
                        <w:szCs w:val="16"/>
                      </w:rPr>
                    </w:pPr>
                    <w:r w:rsidRPr="00FB564E">
                      <w:rPr>
                        <w:sz w:val="16"/>
                        <w:szCs w:val="16"/>
                      </w:rPr>
                      <w:t>Other individual difference variables (perceived risk)</w:t>
                    </w:r>
                  </w:p>
                </w:txbxContent>
              </v:textbox>
            </v:shape>
            <v:line id="_x0000_s1053" style="position:absolute" from="9357,8970" to="10296,8970">
              <v:stroke endarrow="block"/>
            </v:line>
            <v:line id="_x0000_s1054" style="position:absolute;flip:y" from="9774,8970" to="10087,9695">
              <v:stroke endarrow="block"/>
            </v:line>
            <v:line id="_x0000_s1055" style="position:absolute" from="9774,8101" to="10087,8970">
              <v:stroke endarrow="block"/>
            </v:line>
            <v:shape id="_x0000_s1056" type="#_x0000_t202" style="position:absolute;left:10296;top:8569;width:988;height:874" fillcolor="red">
              <v:textbox style="mso-next-textbox:#_x0000_s1056">
                <w:txbxContent>
                  <w:p w:rsidR="00FE1729" w:rsidRDefault="00FE1729" w:rsidP="004D329D">
                    <w:pPr>
                      <w:shd w:val="clear" w:color="auto" w:fill="FF3300"/>
                      <w:jc w:val="center"/>
                      <w:rPr>
                        <w:sz w:val="18"/>
                        <w:szCs w:val="18"/>
                      </w:rPr>
                    </w:pPr>
                  </w:p>
                  <w:p w:rsidR="00FE1729" w:rsidRPr="003E3041" w:rsidRDefault="00FE1729" w:rsidP="004D329D">
                    <w:pPr>
                      <w:shd w:val="clear" w:color="auto" w:fill="FF3300"/>
                      <w:jc w:val="center"/>
                      <w:rPr>
                        <w:b/>
                        <w:sz w:val="18"/>
                        <w:szCs w:val="18"/>
                      </w:rPr>
                    </w:pPr>
                    <w:r w:rsidRPr="003E3041">
                      <w:rPr>
                        <w:b/>
                        <w:sz w:val="18"/>
                        <w:szCs w:val="18"/>
                      </w:rPr>
                      <w:t>Behaviour</w:t>
                    </w:r>
                  </w:p>
                </w:txbxContent>
              </v:textbox>
            </v:shape>
            <w10:wrap type="none" side="left"/>
            <w10:anchorlock/>
          </v:group>
        </w:pict>
      </w:r>
    </w:p>
    <w:p w:rsidR="00E645B6" w:rsidRPr="007458E2" w:rsidRDefault="00E645B6" w:rsidP="004D329D">
      <w:pPr>
        <w:rPr>
          <w:rFonts w:asciiTheme="minorHAnsi" w:hAnsiTheme="minorHAnsi"/>
        </w:rPr>
      </w:pPr>
    </w:p>
    <w:p w:rsidR="004D329D" w:rsidRPr="007458E2" w:rsidRDefault="004D329D" w:rsidP="004D329D">
      <w:pPr>
        <w:rPr>
          <w:rFonts w:asciiTheme="minorHAnsi" w:hAnsiTheme="minorHAnsi"/>
        </w:rPr>
      </w:pPr>
      <w:r w:rsidRPr="007458E2">
        <w:rPr>
          <w:rFonts w:asciiTheme="minorHAnsi" w:hAnsiTheme="minorHAnsi"/>
        </w:rPr>
        <w:t>Further considerations illustrated by this model are the relative importance of attitude, perceived norms and self-efficacy:</w:t>
      </w:r>
    </w:p>
    <w:p w:rsidR="004D329D" w:rsidRPr="007458E2" w:rsidRDefault="004D329D" w:rsidP="004D329D">
      <w:pPr>
        <w:rPr>
          <w:rFonts w:asciiTheme="minorHAnsi" w:hAnsiTheme="minorHAnsi"/>
        </w:rPr>
      </w:pPr>
    </w:p>
    <w:p w:rsidR="004D329D" w:rsidRPr="007458E2" w:rsidRDefault="004D329D" w:rsidP="004D329D">
      <w:pPr>
        <w:ind w:left="284" w:right="284"/>
        <w:rPr>
          <w:rFonts w:asciiTheme="minorHAnsi" w:hAnsiTheme="minorHAnsi"/>
        </w:rPr>
      </w:pPr>
      <w:r w:rsidRPr="007458E2">
        <w:rPr>
          <w:rFonts w:asciiTheme="minorHAnsi" w:hAnsiTheme="minorHAnsi"/>
        </w:rPr>
        <w:t>“</w:t>
      </w:r>
      <w:r w:rsidRPr="007458E2">
        <w:rPr>
          <w:rFonts w:asciiTheme="minorHAnsi" w:hAnsiTheme="minorHAnsi"/>
          <w:i/>
          <w:iCs/>
        </w:rPr>
        <w:t>The relative importance of these psychosocial variables as determinants of intention will depend upon both the behaviour and the population being considered</w:t>
      </w:r>
      <w:r w:rsidRPr="007458E2">
        <w:rPr>
          <w:rFonts w:asciiTheme="minorHAnsi" w:hAnsiTheme="minorHAnsi"/>
        </w:rPr>
        <w:t xml:space="preserve">. </w:t>
      </w:r>
    </w:p>
    <w:p w:rsidR="004D329D" w:rsidRPr="007458E2" w:rsidRDefault="004D329D" w:rsidP="004D329D">
      <w:pPr>
        <w:jc w:val="center"/>
        <w:rPr>
          <w:rFonts w:asciiTheme="minorHAnsi" w:hAnsiTheme="minorHAnsi"/>
        </w:rPr>
      </w:pPr>
      <w:r w:rsidRPr="007458E2">
        <w:rPr>
          <w:rFonts w:asciiTheme="minorHAnsi" w:hAnsiTheme="minorHAnsi"/>
        </w:rPr>
        <w:t xml:space="preserve">and: </w:t>
      </w:r>
    </w:p>
    <w:p w:rsidR="004D329D" w:rsidRPr="007458E2" w:rsidRDefault="004D329D" w:rsidP="004D329D">
      <w:pPr>
        <w:ind w:left="284" w:right="284"/>
        <w:rPr>
          <w:rFonts w:asciiTheme="minorHAnsi" w:hAnsiTheme="minorHAnsi"/>
        </w:rPr>
      </w:pPr>
      <w:r w:rsidRPr="007458E2">
        <w:rPr>
          <w:rFonts w:asciiTheme="minorHAnsi" w:hAnsiTheme="minorHAnsi"/>
        </w:rPr>
        <w:t>“</w:t>
      </w:r>
      <w:r w:rsidRPr="007458E2">
        <w:rPr>
          <w:rFonts w:asciiTheme="minorHAnsi" w:hAnsiTheme="minorHAnsi"/>
          <w:i/>
          <w:iCs/>
        </w:rPr>
        <w:t>one behaviour may be primarily determined by attitudinal considerations, whereas another may be primarily influenced by self-efficacy.  Similarly, a behaviour that is attitudinally driven in one population or culture may be normatively driven in another</w:t>
      </w:r>
      <w:r w:rsidRPr="007458E2">
        <w:rPr>
          <w:rFonts w:asciiTheme="minorHAnsi" w:hAnsiTheme="minorHAnsi"/>
        </w:rPr>
        <w:t>”</w:t>
      </w:r>
      <w:bookmarkStart w:id="15" w:name="_Ref285706191"/>
      <w:r w:rsidRPr="007458E2">
        <w:rPr>
          <w:rStyle w:val="EndnoteReference"/>
          <w:rFonts w:asciiTheme="minorHAnsi" w:hAnsiTheme="minorHAnsi"/>
        </w:rPr>
        <w:endnoteReference w:id="67"/>
      </w:r>
      <w:bookmarkEnd w:id="15"/>
      <w:r w:rsidRPr="007458E2">
        <w:rPr>
          <w:rFonts w:asciiTheme="minorHAnsi" w:hAnsiTheme="minorHAnsi"/>
        </w:rPr>
        <w:t>.</w:t>
      </w:r>
    </w:p>
    <w:p w:rsidR="004D329D" w:rsidRPr="007458E2" w:rsidRDefault="004D329D" w:rsidP="004D329D">
      <w:pPr>
        <w:jc w:val="both"/>
        <w:rPr>
          <w:rFonts w:asciiTheme="minorHAnsi" w:hAnsiTheme="minorHAnsi"/>
        </w:rPr>
      </w:pPr>
    </w:p>
    <w:p w:rsidR="004D329D" w:rsidRPr="007458E2" w:rsidRDefault="004D329D" w:rsidP="004D329D">
      <w:pPr>
        <w:rPr>
          <w:rFonts w:asciiTheme="minorHAnsi" w:hAnsiTheme="minorHAnsi"/>
          <w:highlight w:val="yellow"/>
        </w:rPr>
      </w:pPr>
    </w:p>
    <w:p w:rsidR="00411EBD" w:rsidRPr="007458E2" w:rsidRDefault="00411EBD" w:rsidP="009C7F7C">
      <w:pPr>
        <w:jc w:val="both"/>
        <w:rPr>
          <w:rFonts w:asciiTheme="minorHAnsi" w:hAnsiTheme="minorHAnsi"/>
        </w:rPr>
      </w:pPr>
      <w:r w:rsidRPr="007458E2">
        <w:rPr>
          <w:rFonts w:asciiTheme="minorHAnsi" w:hAnsiTheme="minorHAnsi"/>
        </w:rPr>
        <w:t xml:space="preserve">Where </w:t>
      </w:r>
      <w:r w:rsidR="00080816" w:rsidRPr="007458E2">
        <w:rPr>
          <w:rFonts w:asciiTheme="minorHAnsi" w:hAnsiTheme="minorHAnsi"/>
        </w:rPr>
        <w:t xml:space="preserve">DSH-related </w:t>
      </w:r>
      <w:r w:rsidRPr="007458E2">
        <w:rPr>
          <w:rFonts w:asciiTheme="minorHAnsi" w:hAnsiTheme="minorHAnsi"/>
        </w:rPr>
        <w:t>research instruments have been validated, there has been a tendency to use introductory year university students</w:t>
      </w:r>
      <w:r w:rsidR="00BA4B3C" w:rsidRPr="007458E2">
        <w:rPr>
          <w:rFonts w:asciiTheme="minorHAnsi" w:hAnsiTheme="minorHAnsi"/>
        </w:rPr>
        <w:t xml:space="preserve"> who are predominantly female and who are</w:t>
      </w:r>
      <w:r w:rsidRPr="007458E2">
        <w:rPr>
          <w:rFonts w:asciiTheme="minorHAnsi" w:hAnsiTheme="minorHAnsi"/>
        </w:rPr>
        <w:t xml:space="preserve"> given academic credits for participation</w:t>
      </w:r>
      <w:r w:rsidRPr="007458E2">
        <w:rPr>
          <w:rStyle w:val="EndnoteReference"/>
          <w:rFonts w:asciiTheme="minorHAnsi" w:hAnsiTheme="minorHAnsi"/>
        </w:rPr>
        <w:endnoteReference w:id="68"/>
      </w:r>
      <w:r w:rsidR="00BA4B3C" w:rsidRPr="007458E2">
        <w:rPr>
          <w:rFonts w:asciiTheme="minorHAnsi" w:hAnsiTheme="minorHAnsi"/>
        </w:rPr>
        <w:t xml:space="preserve">.  We question how well these populations match the characteristics of the population segments </w:t>
      </w:r>
      <w:r w:rsidR="005856DE" w:rsidRPr="007458E2">
        <w:rPr>
          <w:rFonts w:asciiTheme="minorHAnsi" w:hAnsiTheme="minorHAnsi"/>
        </w:rPr>
        <w:t>that</w:t>
      </w:r>
      <w:r w:rsidR="00BA4B3C" w:rsidRPr="007458E2">
        <w:rPr>
          <w:rFonts w:asciiTheme="minorHAnsi" w:hAnsiTheme="minorHAnsi"/>
        </w:rPr>
        <w:t xml:space="preserve"> are the real focus for the application of relevant research instruments in this area</w:t>
      </w:r>
      <w:r w:rsidR="00A7318C" w:rsidRPr="007458E2">
        <w:rPr>
          <w:rFonts w:asciiTheme="minorHAnsi" w:hAnsiTheme="minorHAnsi"/>
        </w:rPr>
        <w:t xml:space="preserve"> and recommend that care be taken in selecting elements of past research instruments for future research</w:t>
      </w:r>
      <w:r w:rsidR="00BA4B3C" w:rsidRPr="007458E2">
        <w:rPr>
          <w:rFonts w:asciiTheme="minorHAnsi" w:hAnsiTheme="minorHAnsi"/>
        </w:rPr>
        <w:t>.</w:t>
      </w:r>
    </w:p>
    <w:p w:rsidR="000168D8" w:rsidRDefault="000168D8">
      <w:pPr>
        <w:rPr>
          <w:rFonts w:asciiTheme="minorHAnsi" w:hAnsiTheme="minorHAnsi"/>
        </w:rPr>
      </w:pPr>
      <w:r>
        <w:rPr>
          <w:rFonts w:asciiTheme="minorHAnsi" w:hAnsiTheme="minorHAnsi"/>
        </w:rPr>
        <w:br w:type="page"/>
      </w:r>
    </w:p>
    <w:p w:rsidR="00C611D2" w:rsidRPr="007458E2" w:rsidRDefault="00C611D2" w:rsidP="000168D8">
      <w:pPr>
        <w:pStyle w:val="Heading1"/>
      </w:pPr>
      <w:r w:rsidRPr="007458E2">
        <w:lastRenderedPageBreak/>
        <w:t>The Broader Context: Cultures of Self-Harm</w:t>
      </w:r>
    </w:p>
    <w:p w:rsidR="00411EBD" w:rsidRPr="007458E2" w:rsidRDefault="00411EBD">
      <w:pPr>
        <w:rPr>
          <w:rFonts w:asciiTheme="minorHAnsi" w:hAnsiTheme="minorHAnsi"/>
        </w:rPr>
      </w:pPr>
    </w:p>
    <w:p w:rsidR="00C611D2" w:rsidRPr="007458E2" w:rsidRDefault="00C611D2" w:rsidP="00C611D2">
      <w:pPr>
        <w:ind w:left="720"/>
        <w:rPr>
          <w:rFonts w:asciiTheme="minorHAnsi" w:hAnsiTheme="minorHAnsi"/>
          <w:i/>
        </w:rPr>
      </w:pPr>
      <w:r w:rsidRPr="007458E2">
        <w:rPr>
          <w:rFonts w:asciiTheme="minorHAnsi" w:hAnsiTheme="minorHAnsi"/>
          <w:i/>
        </w:rPr>
        <w:t>When I listen to the stories told by cutters about their lives and the meaning self-injury has for them, I also gain insight into much broader social patterns and problems: from childrearing to child abuse, from eating disorders to the pop-culture trend of tattooing and body piercing. Their activity tells us something about ourselves as a society</w:t>
      </w:r>
      <w:fldSimple w:instr=" NOTEREF _Ref289182048 \h  \* MERGEFORMAT ">
        <w:r w:rsidR="00A934FC" w:rsidRPr="00A934FC">
          <w:rPr>
            <w:rFonts w:asciiTheme="minorHAnsi" w:hAnsiTheme="minorHAnsi"/>
            <w:i/>
            <w:vertAlign w:val="superscript"/>
          </w:rPr>
          <w:t>1</w:t>
        </w:r>
      </w:fldSimple>
      <w:r w:rsidR="00B10FE8" w:rsidRPr="00B10FE8">
        <w:rPr>
          <w:rFonts w:asciiTheme="minorHAnsi" w:hAnsiTheme="minorHAnsi"/>
          <w:vertAlign w:val="superscript"/>
        </w:rPr>
        <w:t>:</w:t>
      </w:r>
      <w:r w:rsidRPr="00B10FE8">
        <w:rPr>
          <w:rFonts w:asciiTheme="minorHAnsi" w:hAnsiTheme="minorHAnsi"/>
          <w:i/>
          <w:vertAlign w:val="superscript"/>
        </w:rPr>
        <w:t xml:space="preserve"> xviii</w:t>
      </w:r>
      <w:r w:rsidRPr="007458E2">
        <w:rPr>
          <w:rFonts w:asciiTheme="minorHAnsi" w:hAnsiTheme="minorHAnsi"/>
          <w:i/>
        </w:rPr>
        <w:t>.</w:t>
      </w:r>
    </w:p>
    <w:p w:rsidR="00C611D2" w:rsidRPr="007458E2" w:rsidRDefault="00C611D2" w:rsidP="00C611D2">
      <w:pPr>
        <w:rPr>
          <w:rFonts w:asciiTheme="minorHAnsi" w:hAnsiTheme="minorHAnsi"/>
        </w:rPr>
      </w:pPr>
    </w:p>
    <w:p w:rsidR="00C611D2" w:rsidRPr="007458E2" w:rsidRDefault="00C611D2" w:rsidP="00B10FE8">
      <w:pPr>
        <w:spacing w:before="240"/>
        <w:ind w:left="720"/>
        <w:rPr>
          <w:rFonts w:asciiTheme="minorHAnsi" w:hAnsiTheme="minorHAnsi"/>
          <w:i/>
        </w:rPr>
      </w:pPr>
      <w:r w:rsidRPr="007458E2">
        <w:rPr>
          <w:rFonts w:asciiTheme="minorHAnsi" w:hAnsiTheme="minorHAnsi"/>
          <w:i/>
        </w:rPr>
        <w:t>what is carved in human flesh is an image of society (</w:t>
      </w:r>
      <w:r w:rsidR="00B10FE8">
        <w:rPr>
          <w:rFonts w:asciiTheme="minorHAnsi" w:hAnsiTheme="minorHAnsi"/>
          <w:i/>
        </w:rPr>
        <w:t>Douglas, in Strong</w:t>
      </w:r>
      <w:fldSimple w:instr=" NOTEREF _Ref289182048 \h  \* MERGEFORMAT ">
        <w:r w:rsidR="00A934FC" w:rsidRPr="00A934FC">
          <w:rPr>
            <w:rFonts w:asciiTheme="minorHAnsi" w:hAnsiTheme="minorHAnsi"/>
            <w:i/>
            <w:vertAlign w:val="superscript"/>
          </w:rPr>
          <w:t>1</w:t>
        </w:r>
      </w:fldSimple>
      <w:r w:rsidR="00B10FE8" w:rsidRPr="00B10FE8">
        <w:rPr>
          <w:rFonts w:asciiTheme="minorHAnsi" w:hAnsiTheme="minorHAnsi"/>
          <w:i/>
          <w:vertAlign w:val="superscript"/>
        </w:rPr>
        <w:t>: xviii</w:t>
      </w:r>
      <w:r w:rsidR="00B10FE8">
        <w:rPr>
          <w:rFonts w:asciiTheme="minorHAnsi" w:hAnsiTheme="minorHAnsi"/>
          <w:i/>
        </w:rPr>
        <w:t>.)</w:t>
      </w:r>
    </w:p>
    <w:p w:rsidR="00C611D2" w:rsidRPr="007458E2" w:rsidRDefault="00C611D2" w:rsidP="00C611D2">
      <w:pPr>
        <w:rPr>
          <w:rFonts w:asciiTheme="minorHAnsi" w:hAnsiTheme="minorHAnsi"/>
        </w:rPr>
      </w:pPr>
    </w:p>
    <w:p w:rsidR="00C611D2" w:rsidRPr="007458E2" w:rsidRDefault="00C611D2" w:rsidP="00C611D2">
      <w:pPr>
        <w:jc w:val="both"/>
        <w:rPr>
          <w:rFonts w:asciiTheme="minorHAnsi" w:hAnsiTheme="minorHAnsi"/>
        </w:rPr>
      </w:pPr>
      <w:r w:rsidRPr="007458E2">
        <w:rPr>
          <w:rFonts w:asciiTheme="minorHAnsi" w:hAnsiTheme="minorHAnsi"/>
        </w:rPr>
        <w:t xml:space="preserve">From a more sociological and social psychological point of view, deliberate self-harm must be seen within a wider social and cultural context. </w:t>
      </w:r>
      <w:r w:rsidR="009B437E">
        <w:rPr>
          <w:rFonts w:asciiTheme="minorHAnsi" w:hAnsiTheme="minorHAnsi"/>
        </w:rPr>
        <w:t>According to Adler &amp; Adler</w:t>
      </w:r>
      <w:fldSimple w:instr=" NOTEREF _Ref289191191 \h  \* MERGEFORMAT ">
        <w:r w:rsidR="00A934FC" w:rsidRPr="00A934FC">
          <w:rPr>
            <w:rFonts w:asciiTheme="minorHAnsi" w:hAnsiTheme="minorHAnsi"/>
            <w:vertAlign w:val="superscript"/>
          </w:rPr>
          <w:t>9</w:t>
        </w:r>
      </w:fldSimple>
      <w:r w:rsidR="009B437E" w:rsidRPr="009B437E">
        <w:rPr>
          <w:rFonts w:asciiTheme="minorHAnsi" w:hAnsiTheme="minorHAnsi"/>
          <w:vertAlign w:val="superscript"/>
        </w:rPr>
        <w:t>: 559</w:t>
      </w:r>
      <w:r w:rsidR="009B437E">
        <w:rPr>
          <w:rFonts w:asciiTheme="minorHAnsi" w:hAnsiTheme="minorHAnsi"/>
        </w:rPr>
        <w:t xml:space="preserve"> </w:t>
      </w:r>
      <w:r w:rsidRPr="007458E2">
        <w:rPr>
          <w:rFonts w:asciiTheme="minorHAnsi" w:hAnsiTheme="minorHAnsi"/>
        </w:rPr>
        <w:t xml:space="preserve">“Self-injury represents, in part, a complex social process of symbolic interaction”, there is consequently a need to examine the “social perceptions, interpretations, anticipations, and evaluations to plan and project lines of action” of self-harmers. Here we are not only referring to the risk factors that impact on or initiate self-harm behaviours, but also to the ways in which self-harm behaviours are represented in wider culture; what kinds of narratives or discourses are culturally available to, and reproduced by, self-harmers (including those who may only be thinking about starting to self-harm), and what forms do these take – in other words, what are the mediums of communication and how, in turn, do specific mediums (mass media, social media) influence cultures of self-harm?  </w:t>
      </w:r>
    </w:p>
    <w:p w:rsidR="00E55AF0" w:rsidRPr="007458E2" w:rsidRDefault="00E55AF0" w:rsidP="000168D8">
      <w:pPr>
        <w:pStyle w:val="Heading1"/>
      </w:pPr>
      <w:r w:rsidRPr="007458E2">
        <w:t>Deliberate Self-Harm Online</w:t>
      </w:r>
    </w:p>
    <w:p w:rsidR="00C611D2" w:rsidRPr="007458E2" w:rsidRDefault="00C611D2" w:rsidP="00C611D2">
      <w:pPr>
        <w:jc w:val="both"/>
        <w:rPr>
          <w:rFonts w:asciiTheme="minorHAnsi" w:hAnsiTheme="minorHAnsi"/>
        </w:rPr>
      </w:pPr>
      <w:r w:rsidRPr="007458E2">
        <w:rPr>
          <w:rFonts w:asciiTheme="minorHAnsi" w:hAnsiTheme="minorHAnsi"/>
        </w:rPr>
        <w:t>A significant medium of communication with regard to self-harm is the Internet. Researchers have discussed the role of the Internet as a source of health information, social communication and support that it accessible day and night</w:t>
      </w:r>
      <w:fldSimple w:instr=" NOTEREF _Ref289187534 \h  \* MERGEFORMAT ">
        <w:r w:rsidR="00A934FC" w:rsidRPr="00A934FC">
          <w:rPr>
            <w:rFonts w:asciiTheme="minorHAnsi" w:hAnsiTheme="minorHAnsi"/>
            <w:vertAlign w:val="superscript"/>
          </w:rPr>
          <w:t>18</w:t>
        </w:r>
      </w:fldSimple>
      <w:r w:rsidRPr="007458E2">
        <w:rPr>
          <w:rFonts w:asciiTheme="minorHAnsi" w:hAnsiTheme="minorHAnsi"/>
        </w:rPr>
        <w:t>. In the past 2 decades there has been a dramatic increase in references to self-harm in a variety of media content and this is even more pronounced on the Internet</w:t>
      </w:r>
      <w:bookmarkStart w:id="16" w:name="_Ref289190006"/>
      <w:r w:rsidR="00005453">
        <w:rPr>
          <w:rStyle w:val="EndnoteReference"/>
          <w:rFonts w:asciiTheme="minorHAnsi" w:hAnsiTheme="minorHAnsi"/>
        </w:rPr>
        <w:endnoteReference w:id="69"/>
      </w:r>
      <w:bookmarkEnd w:id="16"/>
      <w:r w:rsidRPr="007458E2">
        <w:rPr>
          <w:rFonts w:asciiTheme="minorHAnsi" w:hAnsiTheme="minorHAnsi"/>
        </w:rPr>
        <w:t>. Murray &amp; Fox</w:t>
      </w:r>
      <w:fldSimple w:instr=" NOTEREF _Ref289187534 \h  \* MERGEFORMAT ">
        <w:r w:rsidR="00A934FC" w:rsidRPr="00A934FC">
          <w:rPr>
            <w:rFonts w:asciiTheme="minorHAnsi" w:hAnsiTheme="minorHAnsi"/>
            <w:vertAlign w:val="superscript"/>
          </w:rPr>
          <w:t>18</w:t>
        </w:r>
      </w:fldSimple>
      <w:r w:rsidR="00005453">
        <w:rPr>
          <w:rFonts w:asciiTheme="minorHAnsi" w:hAnsiTheme="minorHAnsi"/>
          <w:vertAlign w:val="superscript"/>
        </w:rPr>
        <w:t>:2</w:t>
      </w:r>
      <w:r w:rsidRPr="007458E2">
        <w:rPr>
          <w:rFonts w:asciiTheme="minorHAnsi" w:hAnsiTheme="minorHAnsi"/>
        </w:rPr>
        <w:t xml:space="preserve"> state that “the topic of self-harm is ubiquitous on the Internet [with] hundreds of online discussion groups dedicated to the issue”. However, the authors also argue that while the Internet provides connectivity on an unprecedented scale, it is also questionable whether online self-harm groups provide ‘network</w:t>
      </w:r>
      <w:r w:rsidR="009E2FE4">
        <w:rPr>
          <w:rFonts w:asciiTheme="minorHAnsi" w:hAnsiTheme="minorHAnsi"/>
        </w:rPr>
        <w:t xml:space="preserve"> capital’ – relationships that “</w:t>
      </w:r>
      <w:r w:rsidRPr="007458E2">
        <w:rPr>
          <w:rFonts w:asciiTheme="minorHAnsi" w:hAnsiTheme="minorHAnsi"/>
        </w:rPr>
        <w:t>significantly provide companionship, emotional aid … infor</w:t>
      </w:r>
      <w:r w:rsidR="009E2FE4">
        <w:rPr>
          <w:rFonts w:asciiTheme="minorHAnsi" w:hAnsiTheme="minorHAnsi"/>
        </w:rPr>
        <w:t>mation and a sense of belonging”</w:t>
      </w:r>
      <w:r w:rsidR="00005453" w:rsidRPr="00005453">
        <w:rPr>
          <w:rFonts w:asciiTheme="minorHAnsi" w:hAnsiTheme="minorHAnsi"/>
          <w:vertAlign w:val="superscript"/>
        </w:rPr>
        <w:t xml:space="preserve"> </w:t>
      </w:r>
      <w:fldSimple w:instr=" NOTEREF _Ref289187534 \h  \* MERGEFORMAT ">
        <w:r w:rsidR="00A934FC" w:rsidRPr="00A934FC">
          <w:rPr>
            <w:rFonts w:asciiTheme="minorHAnsi" w:hAnsiTheme="minorHAnsi"/>
            <w:vertAlign w:val="superscript"/>
          </w:rPr>
          <w:t>18</w:t>
        </w:r>
      </w:fldSimple>
      <w:r w:rsidR="00005453">
        <w:rPr>
          <w:rFonts w:asciiTheme="minorHAnsi" w:hAnsiTheme="minorHAnsi"/>
          <w:vertAlign w:val="superscript"/>
        </w:rPr>
        <w:t>:2</w:t>
      </w:r>
      <w:r w:rsidR="00005453">
        <w:rPr>
          <w:rFonts w:asciiTheme="minorHAnsi" w:hAnsiTheme="minorHAnsi"/>
        </w:rPr>
        <w:t>.</w:t>
      </w:r>
    </w:p>
    <w:p w:rsidR="003F5B35" w:rsidRDefault="003F5B35" w:rsidP="00C611D2">
      <w:pPr>
        <w:jc w:val="both"/>
        <w:rPr>
          <w:rFonts w:asciiTheme="minorHAnsi" w:hAnsiTheme="minorHAnsi"/>
        </w:rPr>
      </w:pPr>
    </w:p>
    <w:p w:rsidR="00C611D2" w:rsidRPr="007458E2" w:rsidRDefault="00C611D2" w:rsidP="00C611D2">
      <w:pPr>
        <w:jc w:val="both"/>
        <w:rPr>
          <w:rFonts w:asciiTheme="minorHAnsi" w:hAnsiTheme="minorHAnsi"/>
        </w:rPr>
      </w:pPr>
      <w:r w:rsidRPr="007458E2">
        <w:rPr>
          <w:rFonts w:asciiTheme="minorHAnsi" w:hAnsiTheme="minorHAnsi"/>
        </w:rPr>
        <w:t>There has been growing concern about talk and depictions of self harm online</w:t>
      </w:r>
      <w:bookmarkStart w:id="17" w:name="_Ref289189623"/>
      <w:r w:rsidR="005407FA" w:rsidRPr="009E619B">
        <w:rPr>
          <w:rStyle w:val="EndnoteReference"/>
          <w:rFonts w:asciiTheme="minorHAnsi" w:hAnsiTheme="minorHAnsi"/>
        </w:rPr>
        <w:endnoteReference w:id="70"/>
      </w:r>
      <w:bookmarkEnd w:id="17"/>
      <w:r w:rsidR="00F20EA0" w:rsidRPr="009E619B">
        <w:rPr>
          <w:rFonts w:asciiTheme="minorHAnsi" w:hAnsiTheme="minorHAnsi"/>
          <w:vertAlign w:val="superscript"/>
        </w:rPr>
        <w:t>,</w:t>
      </w:r>
      <w:r w:rsidR="00F20EA0" w:rsidRPr="009E619B">
        <w:rPr>
          <w:rStyle w:val="EndnoteReference"/>
          <w:rFonts w:asciiTheme="minorHAnsi" w:hAnsiTheme="minorHAnsi"/>
        </w:rPr>
        <w:endnoteReference w:id="71"/>
      </w:r>
      <w:r w:rsidR="00F20EA0" w:rsidRPr="009E619B">
        <w:rPr>
          <w:rFonts w:asciiTheme="minorHAnsi" w:hAnsiTheme="minorHAnsi"/>
          <w:vertAlign w:val="superscript"/>
        </w:rPr>
        <w:t>,</w:t>
      </w:r>
      <w:bookmarkStart w:id="18" w:name="_Ref289190168"/>
      <w:r w:rsidR="00F20EA0" w:rsidRPr="009E619B">
        <w:rPr>
          <w:rStyle w:val="EndnoteReference"/>
          <w:rFonts w:asciiTheme="minorHAnsi" w:hAnsiTheme="minorHAnsi"/>
        </w:rPr>
        <w:endnoteReference w:id="72"/>
      </w:r>
      <w:bookmarkEnd w:id="18"/>
      <w:r w:rsidRPr="007458E2">
        <w:rPr>
          <w:rFonts w:asciiTheme="minorHAnsi" w:hAnsiTheme="minorHAnsi"/>
        </w:rPr>
        <w:t>). In an early study Adams, Rodham and Gavin</w:t>
      </w:r>
      <w:fldSimple w:instr=" NOTEREF _Ref289189623 \h  \* MERGEFORMAT ">
        <w:r w:rsidR="00A934FC" w:rsidRPr="00A934FC">
          <w:rPr>
            <w:rFonts w:asciiTheme="minorHAnsi" w:hAnsiTheme="minorHAnsi"/>
            <w:vertAlign w:val="superscript"/>
          </w:rPr>
          <w:t>70</w:t>
        </w:r>
      </w:fldSimple>
      <w:r w:rsidRPr="007458E2">
        <w:rPr>
          <w:rFonts w:asciiTheme="minorHAnsi" w:hAnsiTheme="minorHAnsi"/>
        </w:rPr>
        <w:t xml:space="preserve"> discuss the use of online self harm forums and how these impacted on their participants’ sense of self in relation to their self harm behaviour. The authors argue that online forums play an important role in validating aspects of self harmers’ selves that they are not able to express in the offline world, and that the social interaction on these forums might counteract the isolation and loneliness that many self harmers feel. However, the authors also question whether having self harm behaviour validated by others online might exacerbate this behaviour offline, they ask</w:t>
      </w:r>
      <w:fldSimple w:instr=" NOTEREF _Ref289189623 \h  \* MERGEFORMAT ">
        <w:r w:rsidR="00A934FC" w:rsidRPr="00A934FC">
          <w:rPr>
            <w:rFonts w:asciiTheme="minorHAnsi" w:hAnsiTheme="minorHAnsi"/>
            <w:vertAlign w:val="superscript"/>
          </w:rPr>
          <w:t>70</w:t>
        </w:r>
      </w:fldSimple>
      <w:r w:rsidR="009E619B">
        <w:rPr>
          <w:rFonts w:asciiTheme="minorHAnsi" w:hAnsiTheme="minorHAnsi"/>
          <w:vertAlign w:val="superscript"/>
        </w:rPr>
        <w:t>: 1307</w:t>
      </w:r>
      <w:r w:rsidRPr="007458E2">
        <w:rPr>
          <w:rFonts w:asciiTheme="minorHAnsi" w:hAnsiTheme="minorHAnsi"/>
        </w:rPr>
        <w:t xml:space="preserve"> “what aspects of the self are being </w:t>
      </w:r>
      <w:r w:rsidRPr="007458E2">
        <w:rPr>
          <w:rFonts w:asciiTheme="minorHAnsi" w:hAnsiTheme="minorHAnsi"/>
        </w:rPr>
        <w:lastRenderedPageBreak/>
        <w:t xml:space="preserve">validated in self harm online discussion forums and … how these aspects of the self might be carried over to the offline world”.     </w:t>
      </w:r>
    </w:p>
    <w:p w:rsidR="00C611D2" w:rsidRPr="007458E2" w:rsidRDefault="00C611D2" w:rsidP="00C611D2">
      <w:pPr>
        <w:jc w:val="both"/>
        <w:rPr>
          <w:rFonts w:asciiTheme="minorHAnsi" w:hAnsiTheme="minorHAnsi"/>
        </w:rPr>
      </w:pPr>
    </w:p>
    <w:p w:rsidR="00C611D2" w:rsidRPr="007458E2" w:rsidRDefault="00C611D2" w:rsidP="00C611D2">
      <w:pPr>
        <w:jc w:val="both"/>
        <w:rPr>
          <w:rFonts w:asciiTheme="minorHAnsi" w:hAnsiTheme="minorHAnsi"/>
        </w:rPr>
      </w:pPr>
      <w:r w:rsidRPr="007458E2">
        <w:rPr>
          <w:rFonts w:asciiTheme="minorHAnsi" w:hAnsiTheme="minorHAnsi"/>
        </w:rPr>
        <w:t>The data for Adams, Rodham &amp; Gavin’s</w:t>
      </w:r>
      <w:fldSimple w:instr=" NOTEREF _Ref289189623 \h  \* MERGEFORMAT ">
        <w:r w:rsidR="00A934FC" w:rsidRPr="00A934FC">
          <w:rPr>
            <w:rFonts w:asciiTheme="minorHAnsi" w:hAnsiTheme="minorHAnsi"/>
            <w:vertAlign w:val="superscript"/>
          </w:rPr>
          <w:t>70</w:t>
        </w:r>
      </w:fldSimple>
      <w:r w:rsidR="009E619B">
        <w:rPr>
          <w:rFonts w:asciiTheme="minorHAnsi" w:hAnsiTheme="minorHAnsi"/>
        </w:rPr>
        <w:t xml:space="preserve"> </w:t>
      </w:r>
      <w:r w:rsidRPr="007458E2">
        <w:rPr>
          <w:rFonts w:asciiTheme="minorHAnsi" w:hAnsiTheme="minorHAnsi"/>
        </w:rPr>
        <w:t>study was obtained by undertaking a series of focus groups with self-harmers in the actual online settings of a self harm discussion forum. Drawing on the work of Turkle</w:t>
      </w:r>
      <w:r w:rsidR="009E619B">
        <w:rPr>
          <w:rStyle w:val="EndnoteReference"/>
          <w:rFonts w:asciiTheme="minorHAnsi" w:hAnsiTheme="minorHAnsi"/>
        </w:rPr>
        <w:endnoteReference w:id="73"/>
      </w:r>
      <w:r w:rsidRPr="007458E2">
        <w:rPr>
          <w:rFonts w:asciiTheme="minorHAnsi" w:hAnsiTheme="minorHAnsi"/>
        </w:rPr>
        <w:t xml:space="preserve"> the authors argue that the anonymity offered by the online world provides participants with the opportunity to discuss otherwise taboo topics and to try on a different set of selves or identities.  However, since the publication of this study in 2005 the Internet, and the ways in which people interact with the Internet, has undergone a massive shift – this has been conceptualised as the shift from the first iteration of the Internet to the second, participatory phase of the Internet or Web 2.0</w:t>
      </w:r>
      <w:bookmarkStart w:id="19" w:name="_Ref289189965"/>
      <w:r w:rsidR="009E619B">
        <w:rPr>
          <w:rStyle w:val="EndnoteReference"/>
          <w:rFonts w:asciiTheme="minorHAnsi" w:hAnsiTheme="minorHAnsi"/>
        </w:rPr>
        <w:endnoteReference w:id="74"/>
      </w:r>
      <w:bookmarkEnd w:id="19"/>
      <w:r w:rsidRPr="007458E2">
        <w:rPr>
          <w:rFonts w:asciiTheme="minorHAnsi" w:hAnsiTheme="minorHAnsi"/>
        </w:rPr>
        <w:t>.   Web 2.0 has been characterised as the social web as it entails the proliferation of a range of social software that allows “individuals and communities to gather, communicate, share, and in some cases collaborate or play”</w:t>
      </w:r>
      <w:r w:rsidR="009E619B">
        <w:rPr>
          <w:rStyle w:val="EndnoteReference"/>
          <w:rFonts w:asciiTheme="minorHAnsi" w:hAnsiTheme="minorHAnsi"/>
        </w:rPr>
        <w:endnoteReference w:id="75"/>
      </w:r>
      <w:r w:rsidRPr="007458E2">
        <w:rPr>
          <w:rFonts w:asciiTheme="minorHAnsi" w:hAnsiTheme="minorHAnsi"/>
        </w:rPr>
        <w:t>. Examples of Web 2.0 platforms include blogging and micro-blogging sites (Tumblr, Twitter); Web forums and message boards; media-sharing sites (You Tube, Flickr); and social networking sites (Facebook, MySpace, Bebo) amongst others. While the use of such platforms is not ubiquitous several popular Web 2.0 sites account for a large percentage of all Internet traffic. The ethos of the social web is informed by two significant cultural shifts: a radical erosion of the boundaries between the public and the private, and the move to active participation in, and creation of, online content. Snee</w:t>
      </w:r>
      <w:r w:rsidR="002416D5" w:rsidRPr="002416D5">
        <w:rPr>
          <w:rStyle w:val="EndnoteReference"/>
          <w:rFonts w:asciiTheme="minorHAnsi" w:hAnsiTheme="minorHAnsi"/>
        </w:rPr>
        <w:endnoteReference w:id="76"/>
      </w:r>
      <w:r w:rsidR="002416D5" w:rsidRPr="002416D5">
        <w:rPr>
          <w:rFonts w:asciiTheme="minorHAnsi" w:hAnsiTheme="minorHAnsi"/>
          <w:vertAlign w:val="superscript"/>
        </w:rPr>
        <w:t>:</w:t>
      </w:r>
      <w:r w:rsidR="002416D5">
        <w:rPr>
          <w:rFonts w:asciiTheme="minorHAnsi" w:hAnsiTheme="minorHAnsi"/>
          <w:vertAlign w:val="superscript"/>
        </w:rPr>
        <w:t xml:space="preserve"> </w:t>
      </w:r>
      <w:r w:rsidRPr="002416D5">
        <w:rPr>
          <w:rFonts w:asciiTheme="minorHAnsi" w:hAnsiTheme="minorHAnsi"/>
          <w:vertAlign w:val="superscript"/>
        </w:rPr>
        <w:t>3</w:t>
      </w:r>
      <w:r w:rsidRPr="007458E2">
        <w:rPr>
          <w:rFonts w:asciiTheme="minorHAnsi" w:hAnsiTheme="minorHAnsi"/>
        </w:rPr>
        <w:t xml:space="preserve"> states that “personal lives are increasingly exposed in Web 2.0 applications as part of a broader cultural shift towards openness and changing notions of privacy”, while Anderson</w:t>
      </w:r>
      <w:fldSimple w:instr=" NOTEREF _Ref289189965 \h  \* MERGEFORMAT ">
        <w:r w:rsidR="00A934FC" w:rsidRPr="00A934FC">
          <w:rPr>
            <w:rFonts w:asciiTheme="minorHAnsi" w:hAnsiTheme="minorHAnsi"/>
            <w:vertAlign w:val="superscript"/>
          </w:rPr>
          <w:t>74</w:t>
        </w:r>
      </w:fldSimple>
      <w:r w:rsidR="002416D5" w:rsidRPr="002416D5">
        <w:rPr>
          <w:rFonts w:asciiTheme="minorHAnsi" w:hAnsiTheme="minorHAnsi"/>
          <w:vertAlign w:val="superscript"/>
        </w:rPr>
        <w:t>: 15</w:t>
      </w:r>
      <w:r w:rsidRPr="007458E2">
        <w:rPr>
          <w:rFonts w:asciiTheme="minorHAnsi" w:hAnsiTheme="minorHAnsi"/>
        </w:rPr>
        <w:t xml:space="preserve"> argues that people now see themselves as the creators of, and experts on, the online representations of their experiences and identities, posing a significant challenge to perceptions of “who has the authority to ‘say’ and ‘know’”.  </w:t>
      </w:r>
    </w:p>
    <w:p w:rsidR="00C611D2" w:rsidRPr="007458E2" w:rsidRDefault="00C611D2" w:rsidP="00C611D2">
      <w:pPr>
        <w:jc w:val="both"/>
        <w:rPr>
          <w:rFonts w:asciiTheme="minorHAnsi" w:hAnsiTheme="minorHAnsi"/>
        </w:rPr>
      </w:pPr>
    </w:p>
    <w:p w:rsidR="00C611D2" w:rsidRPr="007458E2" w:rsidRDefault="00C611D2" w:rsidP="00C611D2">
      <w:pPr>
        <w:jc w:val="both"/>
        <w:rPr>
          <w:rFonts w:asciiTheme="minorHAnsi" w:hAnsiTheme="minorHAnsi"/>
        </w:rPr>
      </w:pPr>
      <w:r w:rsidRPr="007458E2">
        <w:rPr>
          <w:rFonts w:asciiTheme="minorHAnsi" w:hAnsiTheme="minorHAnsi"/>
        </w:rPr>
        <w:t>The shift to a more social, participatory and user-generated Web is reflected in the kinds of online platforms used by self harmers.  There are still a number of self harm forums in use, however many discussions and representations of self harm can now also be found on micro-blogging sites such as Tumblr, social networking sites such as Facebook and bebo, and video-sharing sites such as You Tube. The younger de</w:t>
      </w:r>
      <w:r w:rsidR="005856DE">
        <w:rPr>
          <w:rFonts w:asciiTheme="minorHAnsi" w:hAnsiTheme="minorHAnsi"/>
        </w:rPr>
        <w:t>mographic of platforms such as B</w:t>
      </w:r>
      <w:r w:rsidRPr="007458E2">
        <w:rPr>
          <w:rFonts w:asciiTheme="minorHAnsi" w:hAnsiTheme="minorHAnsi"/>
        </w:rPr>
        <w:t xml:space="preserve">ebo, Tumblr and You Tube means that these are well positioned for use by young self harmers.  While discussion forums are largely text based, micro-blogs such as Tumblr provide users with a highly decorative and customisable template (accounts are called ‘tumblelogs’) that facilitates the easy uploading and creation of multimedia content including text, photos, quotes, links, audio, and video. </w:t>
      </w:r>
    </w:p>
    <w:p w:rsidR="00C611D2" w:rsidRPr="007458E2" w:rsidRDefault="00C611D2" w:rsidP="00C611D2">
      <w:pPr>
        <w:jc w:val="both"/>
        <w:rPr>
          <w:rFonts w:asciiTheme="minorHAnsi" w:hAnsiTheme="minorHAnsi"/>
        </w:rPr>
      </w:pPr>
    </w:p>
    <w:p w:rsidR="00C611D2" w:rsidRPr="007458E2" w:rsidRDefault="00C611D2" w:rsidP="00C611D2">
      <w:pPr>
        <w:jc w:val="both"/>
        <w:rPr>
          <w:rFonts w:asciiTheme="minorHAnsi" w:hAnsiTheme="minorHAnsi"/>
        </w:rPr>
      </w:pPr>
      <w:r w:rsidRPr="007458E2">
        <w:rPr>
          <w:rFonts w:asciiTheme="minorHAnsi" w:hAnsiTheme="minorHAnsi"/>
        </w:rPr>
        <w:t xml:space="preserve">As with many other social media platforms Tumblr allows users to ‘follow’ other tumblelogs and all of these updates appear as one stream under the Dashboard tab of a user’s account. This stream of blog updates allows users to ‘like’ (a ‘like’ button enables one user to tell another that they like his or her content) and reblog posts that appeal to them. Reblogging allows content to be quickly and easily reposted from one tumblelog to another. One of the features of digital and networked technology is that it has been designed to increase the speed of content sharing and </w:t>
      </w:r>
      <w:r w:rsidRPr="007458E2">
        <w:rPr>
          <w:rFonts w:asciiTheme="minorHAnsi" w:hAnsiTheme="minorHAnsi"/>
        </w:rPr>
        <w:lastRenderedPageBreak/>
        <w:t>social interactions</w:t>
      </w:r>
      <w:fldSimple w:instr=" NOTEREF _Ref289190006 \h  \* MERGEFORMAT ">
        <w:r w:rsidR="00A934FC" w:rsidRPr="00A934FC">
          <w:rPr>
            <w:rFonts w:asciiTheme="minorHAnsi" w:hAnsiTheme="minorHAnsi"/>
            <w:vertAlign w:val="superscript"/>
          </w:rPr>
          <w:t>69</w:t>
        </w:r>
      </w:fldSimple>
      <w:r w:rsidR="002416D5">
        <w:rPr>
          <w:rFonts w:asciiTheme="minorHAnsi" w:hAnsiTheme="minorHAnsi"/>
        </w:rPr>
        <w:t xml:space="preserve"> </w:t>
      </w:r>
      <w:r w:rsidRPr="007458E2">
        <w:rPr>
          <w:rFonts w:asciiTheme="minorHAnsi" w:hAnsiTheme="minorHAnsi"/>
        </w:rPr>
        <w:t>and this is very much part of the Tumblr framework. Adams, Rodham and Gavin</w:t>
      </w:r>
      <w:fldSimple w:instr=" NOTEREF _Ref289189623 \h  \* MERGEFORMAT ">
        <w:r w:rsidR="00A934FC" w:rsidRPr="00A934FC">
          <w:rPr>
            <w:rFonts w:asciiTheme="minorHAnsi" w:hAnsiTheme="minorHAnsi"/>
            <w:vertAlign w:val="superscript"/>
          </w:rPr>
          <w:t>70</w:t>
        </w:r>
      </w:fldSimple>
      <w:r w:rsidRPr="007458E2">
        <w:rPr>
          <w:rFonts w:asciiTheme="minorHAnsi" w:hAnsiTheme="minorHAnsi"/>
        </w:rPr>
        <w:t xml:space="preserve"> have argued that ‘liking’ and reblogging may constitute a form of self validation and positive feedback, or that talk about, and representations of, self harm on such sites might serve as both an individual and collective outlet for difficult emotions thereby minimising the urge to self harm. However, they argue that it is also possible sites may serve to exacerbate self harm behaviour. Many forum discussions, tumblelogs and videos have ‘triggering’ warnings to indicate that the content may trigger episodes of self harm. It is questionable whether these warnings are effective in reducing the potential harm of content or conversely, whether they sensationalise and promote – indirectly or directly – self harm behaviour. In a study of online self-harm forums, Murray and Fox</w:t>
      </w:r>
      <w:fldSimple w:instr=" NOTEREF _Ref289187534 \h  \* MERGEFORMAT ">
        <w:r w:rsidR="00A934FC" w:rsidRPr="00A934FC">
          <w:rPr>
            <w:rFonts w:asciiTheme="minorHAnsi" w:hAnsiTheme="minorHAnsi"/>
            <w:vertAlign w:val="superscript"/>
          </w:rPr>
          <w:t>18</w:t>
        </w:r>
      </w:fldSimple>
      <w:r w:rsidRPr="007458E2">
        <w:rPr>
          <w:rFonts w:asciiTheme="minorHAnsi" w:hAnsiTheme="minorHAnsi"/>
        </w:rPr>
        <w:t xml:space="preserve"> found that some participants ignored or selectively read posts with triggering warnings, while others actively sought to be triggered by the material. In this regard, Lewis et al</w:t>
      </w:r>
      <w:fldSimple w:instr=" NOTEREF _Ref289190168 \h  \* MERGEFORMAT ">
        <w:r w:rsidR="00A934FC" w:rsidRPr="00A934FC">
          <w:rPr>
            <w:rFonts w:asciiTheme="minorHAnsi" w:hAnsiTheme="minorHAnsi"/>
            <w:vertAlign w:val="superscript"/>
          </w:rPr>
          <w:t>72</w:t>
        </w:r>
      </w:fldSimple>
      <w:r w:rsidRPr="007458E2">
        <w:rPr>
          <w:rFonts w:asciiTheme="minorHAnsi" w:hAnsiTheme="minorHAnsi"/>
        </w:rPr>
        <w:t xml:space="preserve"> refer to the proliferation of pro-anorexia websites where similar mechanisms are seen to be at work.  Furthermore, as Lewis et al</w:t>
      </w:r>
      <w:fldSimple w:instr=" NOTEREF _Ref289190168 \h  \* MERGEFORMAT ">
        <w:r w:rsidR="00A934FC" w:rsidRPr="00A934FC">
          <w:rPr>
            <w:rFonts w:asciiTheme="minorHAnsi" w:hAnsiTheme="minorHAnsi"/>
            <w:vertAlign w:val="superscript"/>
          </w:rPr>
          <w:t>72</w:t>
        </w:r>
      </w:fldSimple>
      <w:r w:rsidRPr="007458E2">
        <w:rPr>
          <w:rFonts w:asciiTheme="minorHAnsi" w:hAnsiTheme="minorHAnsi"/>
        </w:rPr>
        <w:t xml:space="preserve"> found in their study of self harm videos on You Tube, many tumblelogs make use of rich imagery which is often melancholic and draws on a familiar/available set of cultural resources and codes. </w:t>
      </w:r>
    </w:p>
    <w:p w:rsidR="00C611D2" w:rsidRPr="007458E2" w:rsidRDefault="00C611D2" w:rsidP="00C611D2">
      <w:pPr>
        <w:jc w:val="both"/>
        <w:rPr>
          <w:rFonts w:asciiTheme="minorHAnsi" w:hAnsiTheme="minorHAnsi"/>
        </w:rPr>
      </w:pPr>
    </w:p>
    <w:p w:rsidR="008D4DD1" w:rsidRPr="007458E2" w:rsidRDefault="00C611D2" w:rsidP="00C611D2">
      <w:pPr>
        <w:jc w:val="both"/>
        <w:rPr>
          <w:rFonts w:asciiTheme="minorHAnsi" w:hAnsiTheme="minorHAnsi"/>
        </w:rPr>
      </w:pPr>
      <w:r w:rsidRPr="007458E2">
        <w:rPr>
          <w:rFonts w:asciiTheme="minorHAnsi" w:hAnsiTheme="minorHAnsi"/>
        </w:rPr>
        <w:t>While it is tempting to see the kind of imagery used in self harm social media sites as normalising or glamorising self harm, it may also be that the cultural sources used by self harmers provide a cultural or discursive means of identification that acknowledges the experiences and emotions of self harmers. Interestingly Lewis et al’s</w:t>
      </w:r>
      <w:fldSimple w:instr=" NOTEREF _Ref289190168 \h  \* MERGEFORMAT ">
        <w:r w:rsidR="00A934FC" w:rsidRPr="00A934FC">
          <w:rPr>
            <w:rFonts w:asciiTheme="minorHAnsi" w:hAnsiTheme="minorHAnsi"/>
            <w:vertAlign w:val="superscript"/>
          </w:rPr>
          <w:t>72</w:t>
        </w:r>
      </w:fldSimple>
      <w:r w:rsidRPr="007458E2">
        <w:rPr>
          <w:rFonts w:asciiTheme="minorHAnsi" w:hAnsiTheme="minorHAnsi"/>
        </w:rPr>
        <w:t xml:space="preserve"> study found that noncharacter videos (videos without a live character) on You Tube were more popular, with a greater number of views, than videos containing a live person.  They argue that while some of the live character videos depict actual acts of self harm, the images used in noncharacter videos depict wounds that are much more severe in nature, and that coupled with music and text these videos provide emotional and atmospheric viewing experiences for self harmers. It is therefore crucial, they argue</w:t>
      </w:r>
      <w:fldSimple w:instr=" NOTEREF _Ref289190168 \h  \* MERGEFORMAT ">
        <w:r w:rsidR="00A934FC" w:rsidRPr="00A934FC">
          <w:rPr>
            <w:rFonts w:asciiTheme="minorHAnsi" w:hAnsiTheme="minorHAnsi"/>
            <w:vertAlign w:val="superscript"/>
          </w:rPr>
          <w:t>72</w:t>
        </w:r>
      </w:fldSimple>
      <w:r w:rsidRPr="007458E2">
        <w:rPr>
          <w:rFonts w:asciiTheme="minorHAnsi" w:hAnsiTheme="minorHAnsi"/>
        </w:rPr>
        <w:t>, to understand how young self harmers are affected and influenced by online content related to self harm. If actual acts of self harm fulfil a function and purpose for self harmers (such as emotional or experiential avoidance), what function(s) are fulfilled by online representations thereof?</w:t>
      </w:r>
    </w:p>
    <w:p w:rsidR="008D4DD1" w:rsidRPr="007458E2" w:rsidRDefault="008D4DD1" w:rsidP="000168D8">
      <w:pPr>
        <w:pStyle w:val="Heading1"/>
      </w:pPr>
      <w:r w:rsidRPr="007458E2">
        <w:t>Conclusion</w:t>
      </w:r>
    </w:p>
    <w:p w:rsidR="00D913E6" w:rsidRPr="007458E2" w:rsidRDefault="00D913E6" w:rsidP="00D913E6">
      <w:pPr>
        <w:jc w:val="both"/>
        <w:rPr>
          <w:rFonts w:asciiTheme="minorHAnsi" w:hAnsiTheme="minorHAnsi"/>
        </w:rPr>
      </w:pPr>
      <w:r>
        <w:rPr>
          <w:rFonts w:asciiTheme="minorHAnsi" w:hAnsiTheme="minorHAnsi"/>
        </w:rPr>
        <w:t>Much of the e</w:t>
      </w:r>
      <w:r w:rsidR="00D93751" w:rsidRPr="007458E2">
        <w:rPr>
          <w:rFonts w:asciiTheme="minorHAnsi" w:hAnsiTheme="minorHAnsi"/>
        </w:rPr>
        <w:t xml:space="preserve">xisting literature </w:t>
      </w:r>
      <w:r>
        <w:rPr>
          <w:rFonts w:asciiTheme="minorHAnsi" w:hAnsiTheme="minorHAnsi"/>
        </w:rPr>
        <w:t>on self-harm</w:t>
      </w:r>
      <w:r w:rsidR="00D93751" w:rsidRPr="007458E2">
        <w:rPr>
          <w:rFonts w:asciiTheme="minorHAnsi" w:hAnsiTheme="minorHAnsi"/>
        </w:rPr>
        <w:t xml:space="preserve"> is domi</w:t>
      </w:r>
      <w:r w:rsidR="00FE1729">
        <w:rPr>
          <w:rFonts w:asciiTheme="minorHAnsi" w:hAnsiTheme="minorHAnsi"/>
        </w:rPr>
        <w:t>nated by a medical model wherein</w:t>
      </w:r>
      <w:r w:rsidR="00D93751" w:rsidRPr="007458E2">
        <w:rPr>
          <w:rFonts w:asciiTheme="minorHAnsi" w:hAnsiTheme="minorHAnsi"/>
        </w:rPr>
        <w:t xml:space="preserve"> research findings are based on samples from clinica</w:t>
      </w:r>
      <w:r w:rsidR="00FE1729">
        <w:rPr>
          <w:rFonts w:asciiTheme="minorHAnsi" w:hAnsiTheme="minorHAnsi"/>
        </w:rPr>
        <w:t>l or medical settings, and the</w:t>
      </w:r>
      <w:r w:rsidR="00D93751" w:rsidRPr="007458E2">
        <w:rPr>
          <w:rFonts w:asciiTheme="minorHAnsi" w:hAnsiTheme="minorHAnsi"/>
        </w:rPr>
        <w:t xml:space="preserve"> focus</w:t>
      </w:r>
      <w:r w:rsidR="00FE1729">
        <w:rPr>
          <w:rFonts w:asciiTheme="minorHAnsi" w:hAnsiTheme="minorHAnsi"/>
        </w:rPr>
        <w:t xml:space="preserve"> is</w:t>
      </w:r>
      <w:r w:rsidR="00D93751" w:rsidRPr="007458E2">
        <w:rPr>
          <w:rFonts w:asciiTheme="minorHAnsi" w:hAnsiTheme="minorHAnsi"/>
        </w:rPr>
        <w:t xml:space="preserve"> on acts of self-harm to the detriment of the broader social and cultur</w:t>
      </w:r>
      <w:r>
        <w:rPr>
          <w:rFonts w:asciiTheme="minorHAnsi" w:hAnsiTheme="minorHAnsi"/>
        </w:rPr>
        <w:t>al context of these behaviours. Furthermore, acts of DSH are almost exclusively seen as harmful and negative</w:t>
      </w:r>
      <w:r w:rsidR="00FE1729">
        <w:rPr>
          <w:rFonts w:asciiTheme="minorHAnsi" w:hAnsiTheme="minorHAnsi"/>
        </w:rPr>
        <w:t xml:space="preserve"> in this model, with a tendency to overlook the perceived benefits, gains and, for some, even the enjoyment provided by this DSHing. A</w:t>
      </w:r>
      <w:r w:rsidR="00D93751" w:rsidRPr="007458E2">
        <w:rPr>
          <w:rFonts w:asciiTheme="minorHAnsi" w:hAnsiTheme="minorHAnsi"/>
        </w:rPr>
        <w:t xml:space="preserve">s DSH may be initiated by a range of factors, and may serve a number of functions, there is no single explanation, or solution, for this behaviour. </w:t>
      </w:r>
      <w:r w:rsidR="00FE1729">
        <w:rPr>
          <w:rFonts w:asciiTheme="minorHAnsi" w:hAnsiTheme="minorHAnsi"/>
        </w:rPr>
        <w:t xml:space="preserve">A number of existing models and theories may be useful for understanding the motivations for, and functions of, DSH but these need to be tailored to the needs and perceptions of different segments of DSHers, rather than applied in a top-down manner. </w:t>
      </w:r>
      <w:r w:rsidR="005E5579">
        <w:rPr>
          <w:rFonts w:asciiTheme="minorHAnsi" w:hAnsiTheme="minorHAnsi"/>
        </w:rPr>
        <w:t xml:space="preserve">In order to identify these </w:t>
      </w:r>
      <w:r w:rsidR="00FE1729">
        <w:rPr>
          <w:rFonts w:asciiTheme="minorHAnsi" w:hAnsiTheme="minorHAnsi"/>
        </w:rPr>
        <w:t>different segments there is a need for work that</w:t>
      </w:r>
      <w:r w:rsidR="00D93751" w:rsidRPr="007458E2">
        <w:rPr>
          <w:rFonts w:asciiTheme="minorHAnsi" w:hAnsiTheme="minorHAnsi"/>
        </w:rPr>
        <w:t xml:space="preserve"> focuses on the </w:t>
      </w:r>
      <w:r w:rsidR="00D93751" w:rsidRPr="007458E2">
        <w:rPr>
          <w:rFonts w:asciiTheme="minorHAnsi" w:hAnsiTheme="minorHAnsi"/>
        </w:rPr>
        <w:lastRenderedPageBreak/>
        <w:t xml:space="preserve">meanings, contexts and venues for the representation of DSH (i.e. the Internet) and </w:t>
      </w:r>
      <w:r w:rsidR="005E5579">
        <w:rPr>
          <w:rFonts w:asciiTheme="minorHAnsi" w:hAnsiTheme="minorHAnsi"/>
        </w:rPr>
        <w:t xml:space="preserve">which </w:t>
      </w:r>
      <w:r w:rsidR="00D93751" w:rsidRPr="007458E2">
        <w:rPr>
          <w:rFonts w:asciiTheme="minorHAnsi" w:hAnsiTheme="minorHAnsi"/>
        </w:rPr>
        <w:t>engages with different kinds of (non-medical or clinical) DSH populations</w:t>
      </w:r>
      <w:r w:rsidR="00047AC7">
        <w:rPr>
          <w:rStyle w:val="EndnoteReference"/>
          <w:rFonts w:asciiTheme="minorHAnsi" w:hAnsiTheme="minorHAnsi"/>
        </w:rPr>
        <w:endnoteReference w:id="77"/>
      </w:r>
      <w:r w:rsidR="00D93751" w:rsidRPr="007458E2">
        <w:rPr>
          <w:rFonts w:asciiTheme="minorHAnsi" w:hAnsiTheme="minorHAnsi"/>
        </w:rPr>
        <w:t>.</w:t>
      </w:r>
      <w:r w:rsidRPr="007458E2">
        <w:rPr>
          <w:rFonts w:asciiTheme="minorHAnsi" w:hAnsiTheme="minorHAnsi"/>
        </w:rPr>
        <w:t>We use the points above as the basis for arguing the need for a mixed methods (quantitative and qualitative) research agenda that aims to identify a continuum of DSH behaviours and the frequency of these amongst a non-clinical population; whilst exploring the diversity of meanings, contexts and functions of DSH for young DSHers in the South West</w:t>
      </w:r>
      <w:r w:rsidR="005E5579">
        <w:rPr>
          <w:rFonts w:asciiTheme="minorHAnsi" w:hAnsiTheme="minorHAnsi"/>
        </w:rPr>
        <w:t xml:space="preserve">. A suggested research plan is set out in the accompanying proposal. </w:t>
      </w:r>
      <w:r w:rsidRPr="007458E2">
        <w:rPr>
          <w:rFonts w:asciiTheme="minorHAnsi" w:hAnsiTheme="minorHAnsi"/>
        </w:rPr>
        <w:t xml:space="preserve">Additionally we argue that any research agenda should aim to determine the information needs and support mechanisms preferred by different segments of DSHers as this would feed into policy-level decisions (such as the allocation of resources based </w:t>
      </w:r>
      <w:r w:rsidR="00B80CC2">
        <w:rPr>
          <w:rFonts w:asciiTheme="minorHAnsi" w:hAnsiTheme="minorHAnsi"/>
        </w:rPr>
        <w:t xml:space="preserve">on pertinent real-world data.  Finally, we argue that any kind of intervention needs to take the above-mentioned benefits and gains bestowed by DSH into account and that a relevant exchange will be one that is co-created by young self-harmers. </w:t>
      </w:r>
      <w:r w:rsidR="00BD5C45" w:rsidRPr="00BD5C45">
        <w:rPr>
          <w:rFonts w:asciiTheme="minorHAnsi" w:hAnsiTheme="minorHAnsi"/>
        </w:rPr>
        <w:t>This is in keeping with the emphasis placed on co-creation by, amongst others, the Improvement and Development Agency, who argue for an approach to behaviour change that “sees citizens and communities as the co-producers of health and well-being, rather than the recipients of services.</w:t>
      </w:r>
      <w:r w:rsidR="00937E7F">
        <w:rPr>
          <w:rStyle w:val="EndnoteReference"/>
          <w:rFonts w:asciiTheme="minorHAnsi" w:hAnsiTheme="minorHAnsi"/>
        </w:rPr>
        <w:endnoteReference w:id="78"/>
      </w:r>
      <w:r w:rsidR="00BD5C45" w:rsidRPr="00BD5C45">
        <w:rPr>
          <w:rFonts w:asciiTheme="minorHAnsi" w:hAnsiTheme="minorHAnsi"/>
        </w:rPr>
        <w:t xml:space="preserve">”  </w:t>
      </w:r>
      <w:r w:rsidR="00B80CC2">
        <w:rPr>
          <w:rFonts w:asciiTheme="minorHAnsi" w:hAnsiTheme="minorHAnsi"/>
        </w:rPr>
        <w:t xml:space="preserve"> </w:t>
      </w:r>
    </w:p>
    <w:p w:rsidR="001E2BBC" w:rsidRPr="007458E2" w:rsidRDefault="001E2BBC" w:rsidP="00D913E6">
      <w:pPr>
        <w:jc w:val="both"/>
        <w:rPr>
          <w:rFonts w:asciiTheme="minorHAnsi" w:hAnsiTheme="minorHAnsi"/>
        </w:rPr>
      </w:pPr>
    </w:p>
    <w:p w:rsidR="00053ADA" w:rsidRPr="007458E2" w:rsidRDefault="00053ADA" w:rsidP="000168D8">
      <w:pPr>
        <w:pStyle w:val="Heading1"/>
      </w:pPr>
      <w:r w:rsidRPr="007458E2">
        <w:t>References</w:t>
      </w:r>
    </w:p>
    <w:sectPr w:rsidR="00053ADA" w:rsidRPr="007458E2" w:rsidSect="001D1B01">
      <w:footerReference w:type="default" r:id="rId11"/>
      <w:endnotePr>
        <w:numFmt w:val="decimal"/>
      </w:end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59E" w:rsidRDefault="005E059E" w:rsidP="0028588F">
      <w:r>
        <w:separator/>
      </w:r>
    </w:p>
  </w:endnote>
  <w:endnote w:type="continuationSeparator" w:id="0">
    <w:p w:rsidR="005E059E" w:rsidRDefault="005E059E" w:rsidP="0028588F">
      <w:r>
        <w:continuationSeparator/>
      </w:r>
    </w:p>
  </w:endnote>
  <w:endnote w:id="1">
    <w:p w:rsidR="009E2FE4" w:rsidRPr="00BF78C1" w:rsidRDefault="009E2FE4">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Strong, M. (2004). </w:t>
      </w:r>
      <w:r w:rsidRPr="00BF78C1">
        <w:rPr>
          <w:rFonts w:asciiTheme="minorHAnsi" w:hAnsiTheme="minorHAnsi"/>
          <w:i/>
        </w:rPr>
        <w:t>A Bright Red Scream. Self-Mutilation and the Language of Pain</w:t>
      </w:r>
      <w:r w:rsidRPr="00BF78C1">
        <w:rPr>
          <w:rFonts w:asciiTheme="minorHAnsi" w:hAnsiTheme="minorHAnsi"/>
        </w:rPr>
        <w:t>. London: Virago.</w:t>
      </w:r>
    </w:p>
  </w:endnote>
  <w:endnote w:id="2">
    <w:p w:rsidR="00942356" w:rsidRPr="00BF78C1" w:rsidRDefault="00942356">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Whitlock, J.L., Powers, J.L., Eckenrode, J.</w:t>
      </w:r>
      <w:r w:rsidR="00C26C46" w:rsidRPr="00BF78C1">
        <w:rPr>
          <w:rFonts w:asciiTheme="minorHAnsi" w:hAnsiTheme="minorHAnsi"/>
        </w:rPr>
        <w:t xml:space="preserve"> </w:t>
      </w:r>
      <w:r w:rsidRPr="00BF78C1">
        <w:rPr>
          <w:rFonts w:asciiTheme="minorHAnsi" w:hAnsiTheme="minorHAnsi"/>
        </w:rPr>
        <w:t xml:space="preserve">(2006).The virtual cutting edge: Adolescent self-injury and the Internet. </w:t>
      </w:r>
      <w:r w:rsidRPr="00BF78C1">
        <w:rPr>
          <w:rFonts w:asciiTheme="minorHAnsi" w:hAnsiTheme="minorHAnsi"/>
          <w:i/>
        </w:rPr>
        <w:t>Special Issue on Children, Adolescents and the Internet, Developmental Psychology</w:t>
      </w:r>
      <w:r w:rsidRPr="00BF78C1">
        <w:rPr>
          <w:rFonts w:asciiTheme="minorHAnsi" w:hAnsiTheme="minorHAnsi"/>
        </w:rPr>
        <w:t>. 42(3): 407- 417.</w:t>
      </w:r>
    </w:p>
  </w:endnote>
  <w:endnote w:id="3">
    <w:p w:rsidR="00FE1729" w:rsidRPr="00BF78C1" w:rsidRDefault="00FE1729" w:rsidP="000C3D0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Hawton, K. &amp; Sinclair, J. (2003).  The challenge of evaluating the effectiveness of treatments for deliberate DSH.  </w:t>
      </w:r>
      <w:r w:rsidRPr="00BF78C1">
        <w:rPr>
          <w:rFonts w:asciiTheme="minorHAnsi" w:hAnsiTheme="minorHAnsi"/>
          <w:i/>
        </w:rPr>
        <w:t>Psychological Medicines</w:t>
      </w:r>
      <w:r w:rsidRPr="00BF78C1">
        <w:rPr>
          <w:rFonts w:asciiTheme="minorHAnsi" w:hAnsiTheme="minorHAnsi"/>
        </w:rPr>
        <w:t>, 33 (6), 955 – 958.</w:t>
      </w:r>
    </w:p>
  </w:endnote>
  <w:endnote w:id="4">
    <w:p w:rsidR="00CB0DF4" w:rsidRPr="00BF78C1" w:rsidRDefault="00CB0DF4">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Roen, K.; Scourfield, J.; McDermott, E. (2007). </w:t>
      </w:r>
      <w:r w:rsidRPr="00BF78C1">
        <w:rPr>
          <w:rFonts w:asciiTheme="minorHAnsi" w:hAnsiTheme="minorHAnsi"/>
          <w:i/>
        </w:rPr>
        <w:t>The Cultural Context of Youth Suicide: Identity, Gender and Sexuality</w:t>
      </w:r>
      <w:r w:rsidRPr="00BF78C1">
        <w:rPr>
          <w:rFonts w:asciiTheme="minorHAnsi" w:hAnsiTheme="minorHAnsi"/>
        </w:rPr>
        <w:t>. ESRC End of Award Report, RES-000-22-1239. Swindon: ESRC.</w:t>
      </w:r>
    </w:p>
  </w:endnote>
  <w:endnote w:id="5">
    <w:p w:rsidR="00FE1729" w:rsidRPr="00BF78C1" w:rsidRDefault="00FE1729" w:rsidP="00AB499C">
      <w:pPr>
        <w:autoSpaceDE w:val="0"/>
        <w:autoSpaceDN w:val="0"/>
        <w:adjustRightInd w:val="0"/>
        <w:rPr>
          <w:rFonts w:asciiTheme="minorHAnsi" w:hAnsiTheme="minorHAnsi"/>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Laye-Gindhu, A., &amp; Schonert-Reichl, K. (2005). Nonsuicidal DSH Among Community Adolescents: Understanding the Whats and Whys of DSH. </w:t>
      </w:r>
      <w:r w:rsidRPr="00BF78C1">
        <w:rPr>
          <w:rFonts w:asciiTheme="minorHAnsi" w:hAnsiTheme="minorHAnsi"/>
          <w:i/>
          <w:iCs/>
          <w:sz w:val="20"/>
          <w:szCs w:val="20"/>
        </w:rPr>
        <w:t>Journal of Youth and Adolescence, 34</w:t>
      </w:r>
      <w:r w:rsidRPr="00BF78C1">
        <w:rPr>
          <w:rFonts w:asciiTheme="minorHAnsi" w:hAnsiTheme="minorHAnsi"/>
          <w:sz w:val="20"/>
          <w:szCs w:val="20"/>
        </w:rPr>
        <w:t>(5), 447-457.</w:t>
      </w:r>
    </w:p>
  </w:endnote>
  <w:endnote w:id="6">
    <w:p w:rsidR="00FE1729" w:rsidRPr="00BF78C1" w:rsidRDefault="00FE1729" w:rsidP="00AB499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O’Connor, R. C. (2009). DSH in adolescents: self-report survey in schools in Scotland. </w:t>
      </w:r>
      <w:r w:rsidRPr="00BF78C1">
        <w:rPr>
          <w:rFonts w:asciiTheme="minorHAnsi" w:hAnsiTheme="minorHAnsi"/>
          <w:i/>
          <w:iCs/>
          <w:sz w:val="20"/>
          <w:szCs w:val="20"/>
        </w:rPr>
        <w:t>The British Journal of Psychiatry, 194</w:t>
      </w:r>
      <w:r w:rsidRPr="00BF78C1">
        <w:rPr>
          <w:rFonts w:asciiTheme="minorHAnsi" w:hAnsiTheme="minorHAnsi"/>
          <w:sz w:val="20"/>
          <w:szCs w:val="20"/>
        </w:rPr>
        <w:t>(1), 68-72.</w:t>
      </w:r>
    </w:p>
  </w:endnote>
  <w:endnote w:id="7">
    <w:p w:rsidR="00FE1729" w:rsidRPr="00BF78C1" w:rsidRDefault="00FE1729" w:rsidP="00AB499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McCann, M. (2010).  Prevalence of DSH and help-seeking behaviours among young people in Northern Ireland</w:t>
      </w:r>
      <w:r w:rsidRPr="00BF78C1">
        <w:rPr>
          <w:rFonts w:asciiTheme="minorHAnsi" w:hAnsiTheme="minorHAnsi"/>
          <w:i/>
        </w:rPr>
        <w:t>.  Journal of Epidemiology &amp; Community Health</w:t>
      </w:r>
      <w:r w:rsidRPr="00BF78C1">
        <w:rPr>
          <w:rFonts w:asciiTheme="minorHAnsi" w:hAnsiTheme="minorHAnsi"/>
        </w:rPr>
        <w:t>, 64, S1, A9.</w:t>
      </w:r>
    </w:p>
  </w:endnote>
  <w:endnote w:id="8">
    <w:p w:rsidR="00FE1729" w:rsidRPr="00BF78C1" w:rsidRDefault="00FE1729" w:rsidP="00AB499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Curtis, C. A. (2008). </w:t>
      </w:r>
      <w:r w:rsidRPr="00BF78C1">
        <w:rPr>
          <w:rFonts w:asciiTheme="minorHAnsi" w:hAnsiTheme="minorHAnsi"/>
          <w:i/>
          <w:iCs/>
          <w:sz w:val="20"/>
          <w:szCs w:val="20"/>
        </w:rPr>
        <w:t>Self-destructive Behaviours of Adolescent Girls and Boys.</w:t>
      </w:r>
      <w:r w:rsidRPr="00BF78C1">
        <w:rPr>
          <w:rFonts w:asciiTheme="minorHAnsi" w:hAnsiTheme="minorHAnsi"/>
          <w:sz w:val="20"/>
          <w:szCs w:val="20"/>
        </w:rPr>
        <w:t xml:space="preserve"> Unpublished Sociology Honors Thesis, Colby College, Waterville, Maine.</w:t>
      </w:r>
    </w:p>
  </w:endnote>
  <w:endnote w:id="9">
    <w:p w:rsidR="00991A40" w:rsidRPr="00BF78C1" w:rsidRDefault="00991A40">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Adler, A. &amp; Adler, P. (2007). The Demedicalization of Self-Injury: From Psychopathology to Sociological Deviance. </w:t>
      </w:r>
      <w:r w:rsidRPr="00BF78C1">
        <w:rPr>
          <w:rFonts w:asciiTheme="minorHAnsi" w:hAnsiTheme="minorHAnsi"/>
          <w:i/>
        </w:rPr>
        <w:t>Journal of Contemporary Ethnography, 36</w:t>
      </w:r>
      <w:r w:rsidRPr="00BF78C1">
        <w:rPr>
          <w:rFonts w:asciiTheme="minorHAnsi" w:hAnsiTheme="minorHAnsi"/>
        </w:rPr>
        <w:t xml:space="preserve"> (5): 537 – 570.</w:t>
      </w:r>
    </w:p>
  </w:endnote>
  <w:endnote w:id="10">
    <w:p w:rsidR="00FE1729" w:rsidRPr="00BF78C1" w:rsidRDefault="00FE1729" w:rsidP="00545ED7">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Sinclair, J., Gray, A., Rivero-Arias, O., Saunders, K., &amp; Hawton, K. (2010). Healthcare and social services resource use and costs of DSH patients. </w:t>
      </w:r>
      <w:r w:rsidRPr="00BF78C1">
        <w:rPr>
          <w:rFonts w:asciiTheme="minorHAnsi" w:hAnsiTheme="minorHAnsi"/>
          <w:i/>
          <w:iCs/>
          <w:sz w:val="20"/>
          <w:szCs w:val="20"/>
        </w:rPr>
        <w:t>Social Psychiatry and Psychiatric Epidemiology</w:t>
      </w:r>
      <w:r w:rsidRPr="00BF78C1">
        <w:rPr>
          <w:rFonts w:asciiTheme="minorHAnsi" w:hAnsiTheme="minorHAnsi"/>
          <w:sz w:val="20"/>
          <w:szCs w:val="20"/>
        </w:rPr>
        <w:t>, 1-9.</w:t>
      </w:r>
    </w:p>
  </w:endnote>
  <w:endnote w:id="11">
    <w:p w:rsidR="00FE1729" w:rsidRPr="00BF78C1" w:rsidRDefault="00FE1729" w:rsidP="00545ED7">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Anderson, M., Woodward, L., &amp; Armstrong, M. (2004). Original Article DSH in young people: a perspective for mental health nursing care. </w:t>
      </w:r>
      <w:r w:rsidRPr="00BF78C1">
        <w:rPr>
          <w:rFonts w:asciiTheme="minorHAnsi" w:hAnsiTheme="minorHAnsi"/>
          <w:i/>
          <w:iCs/>
          <w:sz w:val="20"/>
          <w:szCs w:val="20"/>
        </w:rPr>
        <w:t>International Nursing Review, 51</w:t>
      </w:r>
      <w:r w:rsidRPr="00BF78C1">
        <w:rPr>
          <w:rFonts w:asciiTheme="minorHAnsi" w:hAnsiTheme="minorHAnsi"/>
          <w:sz w:val="20"/>
          <w:szCs w:val="20"/>
        </w:rPr>
        <w:t>(4), 222-228.</w:t>
      </w:r>
    </w:p>
  </w:endnote>
  <w:endnote w:id="12">
    <w:p w:rsidR="00FE1729" w:rsidRPr="00BF78C1" w:rsidRDefault="00FE1729" w:rsidP="00545ED7">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Cook, H. (2011).  Local Authority Suicide Audit 2010.  Bristol:  South West Public Health Observatory.</w:t>
      </w:r>
    </w:p>
  </w:endnote>
  <w:endnote w:id="13">
    <w:p w:rsidR="00FE1729" w:rsidRPr="00BF78C1" w:rsidRDefault="00FE1729" w:rsidP="00545ED7">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Coffey, C. &amp; Arensman, E. (2010).  Optimising suicide prevention programmes and their implementation in Europe (OPSI0Europe).  Presentation at 5</w:t>
      </w:r>
      <w:r w:rsidRPr="00BF78C1">
        <w:rPr>
          <w:rFonts w:asciiTheme="minorHAnsi" w:hAnsiTheme="minorHAnsi"/>
          <w:vertAlign w:val="superscript"/>
        </w:rPr>
        <w:t>th</w:t>
      </w:r>
      <w:r w:rsidRPr="00BF78C1">
        <w:rPr>
          <w:rFonts w:asciiTheme="minorHAnsi" w:hAnsiTheme="minorHAnsi"/>
        </w:rPr>
        <w:t xml:space="preserve"> Annual Forum of the National Office for Suicide Prevention.</w:t>
      </w:r>
    </w:p>
  </w:endnote>
  <w:endnote w:id="14">
    <w:p w:rsidR="00FE1729" w:rsidRPr="00BF78C1" w:rsidRDefault="00FE1729" w:rsidP="00545ED7">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Hawton, K., Rodham, K., &amp; Evans, E. (2006 ). </w:t>
      </w:r>
      <w:r w:rsidRPr="00BF78C1">
        <w:rPr>
          <w:rFonts w:asciiTheme="minorHAnsi" w:hAnsiTheme="minorHAnsi"/>
          <w:i/>
          <w:iCs/>
          <w:sz w:val="20"/>
          <w:szCs w:val="20"/>
        </w:rPr>
        <w:t xml:space="preserve">By Their Own Young Hand: Deliberate Self-harm and Suicidal Ideas in Adolescents. </w:t>
      </w:r>
      <w:r w:rsidRPr="00BF78C1">
        <w:rPr>
          <w:rFonts w:asciiTheme="minorHAnsi" w:hAnsiTheme="minorHAnsi"/>
          <w:sz w:val="20"/>
          <w:szCs w:val="20"/>
        </w:rPr>
        <w:t>London: Jessica Kingsley.</w:t>
      </w:r>
    </w:p>
  </w:endnote>
  <w:endnote w:id="15">
    <w:p w:rsidR="00FE1729" w:rsidRPr="00BF78C1" w:rsidRDefault="00FE1729" w:rsidP="00545ED7">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Long, M., &amp; Jenkins, M. (2010). Counsellors' perspectives on DSH and the role of the therapeutic relationship for working with clients who DSH. </w:t>
      </w:r>
      <w:r w:rsidRPr="00BF78C1">
        <w:rPr>
          <w:rFonts w:asciiTheme="minorHAnsi" w:hAnsiTheme="minorHAnsi"/>
          <w:i/>
          <w:iCs/>
          <w:sz w:val="20"/>
          <w:szCs w:val="20"/>
        </w:rPr>
        <w:t>Counselling and Psychotherapy Research: Linking research with practice, 10</w:t>
      </w:r>
      <w:r w:rsidRPr="00BF78C1">
        <w:rPr>
          <w:rFonts w:asciiTheme="minorHAnsi" w:hAnsiTheme="minorHAnsi"/>
          <w:sz w:val="20"/>
          <w:szCs w:val="20"/>
        </w:rPr>
        <w:t>(3), 192 - 200.</w:t>
      </w:r>
    </w:p>
  </w:endnote>
  <w:endnote w:id="16">
    <w:p w:rsidR="00FE1729" w:rsidRPr="00BF78C1" w:rsidRDefault="00FE1729" w:rsidP="00545ED7">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Garisch, J. A. (2010). </w:t>
      </w:r>
      <w:r w:rsidRPr="00BF78C1">
        <w:rPr>
          <w:rFonts w:asciiTheme="minorHAnsi" w:hAnsiTheme="minorHAnsi"/>
          <w:i/>
          <w:iCs/>
          <w:sz w:val="20"/>
          <w:szCs w:val="20"/>
        </w:rPr>
        <w:t>Youth DSH:  Interpersonal and intrapersonal vulnerability factors, and constructions and attitudes within the social environment.</w:t>
      </w:r>
      <w:r w:rsidRPr="00BF78C1">
        <w:rPr>
          <w:rFonts w:asciiTheme="minorHAnsi" w:hAnsiTheme="minorHAnsi"/>
          <w:sz w:val="20"/>
          <w:szCs w:val="20"/>
        </w:rPr>
        <w:t xml:space="preserve"> Unpublished Doctor of Philosophy in Psychology, Victoria University of Welllington, Wellington New Zealand.</w:t>
      </w:r>
    </w:p>
  </w:endnote>
  <w:endnote w:id="17">
    <w:p w:rsidR="00FE1729" w:rsidRPr="00BF78C1" w:rsidRDefault="00FE1729" w:rsidP="00545ED7">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Simm, R., Roen, K., &amp; Daiches, A. (2010). Primary school children and self harm: the emotional impact upon education professionals, and their understandings of why children self harm and how this is managed. </w:t>
      </w:r>
      <w:r w:rsidRPr="00BF78C1">
        <w:rPr>
          <w:rFonts w:asciiTheme="minorHAnsi" w:hAnsiTheme="minorHAnsi"/>
          <w:i/>
          <w:iCs/>
          <w:sz w:val="20"/>
          <w:szCs w:val="20"/>
        </w:rPr>
        <w:t>Oxford Review of Education, 36</w:t>
      </w:r>
      <w:r w:rsidRPr="00BF78C1">
        <w:rPr>
          <w:rFonts w:asciiTheme="minorHAnsi" w:hAnsiTheme="minorHAnsi"/>
          <w:sz w:val="20"/>
          <w:szCs w:val="20"/>
        </w:rPr>
        <w:t>(6), 677-692.</w:t>
      </w:r>
    </w:p>
  </w:endnote>
  <w:endnote w:id="18">
    <w:p w:rsidR="00FD1199" w:rsidRPr="00BF78C1" w:rsidRDefault="00FD1199">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Murray, C.D. &amp; Fox, J. (2006). Do Internet self-harm discussion groups alleviate or exacerbate self-harming behaviour? </w:t>
      </w:r>
      <w:r w:rsidRPr="00BF78C1">
        <w:rPr>
          <w:rFonts w:asciiTheme="minorHAnsi" w:hAnsiTheme="minorHAnsi"/>
          <w:i/>
        </w:rPr>
        <w:t>Australian e-Journal for the Advancement of Mental Health</w:t>
      </w:r>
      <w:r w:rsidRPr="00BF78C1">
        <w:rPr>
          <w:rFonts w:asciiTheme="minorHAnsi" w:hAnsiTheme="minorHAnsi"/>
        </w:rPr>
        <w:t xml:space="preserve">, 5(3): 225-233. </w:t>
      </w:r>
    </w:p>
  </w:endnote>
  <w:endnote w:id="19">
    <w:p w:rsidR="009174DA" w:rsidRPr="00BF78C1" w:rsidRDefault="009174DA">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Conterio, K. &amp; Lader, W. (1998). </w:t>
      </w:r>
      <w:r w:rsidRPr="00BF78C1">
        <w:rPr>
          <w:rFonts w:asciiTheme="minorHAnsi" w:hAnsiTheme="minorHAnsi"/>
          <w:i/>
        </w:rPr>
        <w:t>Bodily Harm: The breakthrough treatment program for self-injurers</w:t>
      </w:r>
      <w:r w:rsidRPr="00BF78C1">
        <w:rPr>
          <w:rFonts w:asciiTheme="minorHAnsi" w:hAnsiTheme="minorHAnsi"/>
        </w:rPr>
        <w:t xml:space="preserve">. New York: Hyperion. </w:t>
      </w:r>
    </w:p>
  </w:endnote>
  <w:endnote w:id="20">
    <w:p w:rsidR="00FE1729" w:rsidRPr="00BF78C1" w:rsidRDefault="00FE1729" w:rsidP="009C7F7C">
      <w:pPr>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Turp, M. (2002).The many faces of DSH.  </w:t>
      </w:r>
      <w:r w:rsidRPr="00BF78C1">
        <w:rPr>
          <w:rFonts w:asciiTheme="minorHAnsi" w:hAnsiTheme="minorHAnsi"/>
          <w:i/>
          <w:iCs/>
          <w:sz w:val="20"/>
          <w:szCs w:val="20"/>
        </w:rPr>
        <w:t>Psychodynamic Practice, 8</w:t>
      </w:r>
      <w:r w:rsidRPr="00BF78C1">
        <w:rPr>
          <w:rFonts w:asciiTheme="minorHAnsi" w:hAnsiTheme="minorHAnsi"/>
          <w:sz w:val="20"/>
          <w:szCs w:val="20"/>
        </w:rPr>
        <w:t>(2), 197-217.</w:t>
      </w:r>
    </w:p>
  </w:endnote>
  <w:endnote w:id="21">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Suyemoto, K. L. (1998). The functions of self-mutilation. </w:t>
      </w:r>
      <w:r w:rsidRPr="00BF78C1">
        <w:rPr>
          <w:rFonts w:asciiTheme="minorHAnsi" w:hAnsiTheme="minorHAnsi"/>
          <w:i/>
          <w:iCs/>
          <w:sz w:val="20"/>
          <w:szCs w:val="20"/>
        </w:rPr>
        <w:t>Clinical Psychology Review, 18</w:t>
      </w:r>
      <w:r w:rsidRPr="00BF78C1">
        <w:rPr>
          <w:rFonts w:asciiTheme="minorHAnsi" w:hAnsiTheme="minorHAnsi"/>
          <w:sz w:val="20"/>
          <w:szCs w:val="20"/>
        </w:rPr>
        <w:t>(5), 531-554.</w:t>
      </w:r>
    </w:p>
  </w:endnote>
  <w:endnote w:id="22">
    <w:p w:rsidR="00FE1729" w:rsidRPr="00BF78C1" w:rsidRDefault="00FE1729" w:rsidP="009C7F7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Crawford, M. &amp; Wessely, S. (2000).  The management of patients following deliberate self harm – what happens to those discharged from hospital to GP care?  Primary Care Psychiatry, 6 (2), 61 – 65.</w:t>
      </w:r>
    </w:p>
  </w:endnote>
  <w:endnote w:id="23">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Storey, P., Hurry, J., Jowitt, S., Owens, D., &amp; House, A. (2005). Supporting young people who repeatedly self-harm. </w:t>
      </w:r>
      <w:r w:rsidRPr="00BF78C1">
        <w:rPr>
          <w:rFonts w:asciiTheme="minorHAnsi" w:hAnsiTheme="minorHAnsi"/>
          <w:i/>
          <w:iCs/>
          <w:sz w:val="20"/>
          <w:szCs w:val="20"/>
        </w:rPr>
        <w:t>Journal of the Royal Society for the Promotion of Health, 125</w:t>
      </w:r>
      <w:r w:rsidRPr="00BF78C1">
        <w:rPr>
          <w:rFonts w:asciiTheme="minorHAnsi" w:hAnsiTheme="minorHAnsi"/>
          <w:sz w:val="20"/>
          <w:szCs w:val="20"/>
        </w:rPr>
        <w:t>(2), 71-75.</w:t>
      </w:r>
    </w:p>
  </w:endnote>
  <w:endnote w:id="24">
    <w:p w:rsidR="00FE1729" w:rsidRPr="00BF78C1" w:rsidRDefault="00FE1729" w:rsidP="009C7F7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Long, M. &amp; Jenins, M.  (2010).  Counsellors’ perspectives on DSH and the role of the therapeutic relationship for working with clients who DSH.  Counselling and Psychotherapy, 10 (3), 192 – 200.</w:t>
      </w:r>
    </w:p>
  </w:endnote>
  <w:endnote w:id="25">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Hume, M., &amp; Platt, S. (2007). Appropriate interventions for the prevention and management of DSH: a qualitative exploration of service-users' views. </w:t>
      </w:r>
      <w:r w:rsidRPr="00BF78C1">
        <w:rPr>
          <w:rFonts w:asciiTheme="minorHAnsi" w:hAnsiTheme="minorHAnsi"/>
          <w:i/>
          <w:iCs/>
          <w:sz w:val="20"/>
          <w:szCs w:val="20"/>
        </w:rPr>
        <w:t>BMC Public Health, 7</w:t>
      </w:r>
      <w:r w:rsidRPr="00BF78C1">
        <w:rPr>
          <w:rFonts w:asciiTheme="minorHAnsi" w:hAnsiTheme="minorHAnsi"/>
          <w:sz w:val="20"/>
          <w:szCs w:val="20"/>
        </w:rPr>
        <w:t>(1), 9-0.</w:t>
      </w:r>
    </w:p>
  </w:endnote>
  <w:endnote w:id="26">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eastAsiaTheme="majorEastAsia" w:hAnsiTheme="minorHAnsi"/>
          <w:sz w:val="20"/>
          <w:szCs w:val="20"/>
        </w:rPr>
        <w:endnoteRef/>
      </w:r>
      <w:r w:rsidRPr="00BF78C1">
        <w:rPr>
          <w:rFonts w:asciiTheme="minorHAnsi" w:hAnsiTheme="minorHAnsi"/>
          <w:sz w:val="20"/>
          <w:szCs w:val="20"/>
        </w:rPr>
        <w:t xml:space="preserve"> St Leger, L. H. (1999). The opportunities and effectiveness of the health promoting primary school in improving child health— a review of the claims and evidence. </w:t>
      </w:r>
      <w:r w:rsidRPr="00BF78C1">
        <w:rPr>
          <w:rFonts w:asciiTheme="minorHAnsi" w:hAnsiTheme="minorHAnsi"/>
          <w:i/>
          <w:iCs/>
          <w:sz w:val="20"/>
          <w:szCs w:val="20"/>
        </w:rPr>
        <w:t>Health Educ. Res., 14</w:t>
      </w:r>
      <w:r w:rsidRPr="00BF78C1">
        <w:rPr>
          <w:rFonts w:asciiTheme="minorHAnsi" w:hAnsiTheme="minorHAnsi"/>
          <w:sz w:val="20"/>
          <w:szCs w:val="20"/>
        </w:rPr>
        <w:t>(1), 51-69.</w:t>
      </w:r>
    </w:p>
  </w:endnote>
  <w:endnote w:id="27">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eastAsiaTheme="majorEastAsia" w:hAnsiTheme="minorHAnsi"/>
          <w:sz w:val="20"/>
          <w:szCs w:val="20"/>
        </w:rPr>
        <w:endnoteRef/>
      </w:r>
      <w:r w:rsidRPr="00BF78C1">
        <w:rPr>
          <w:rFonts w:asciiTheme="minorHAnsi" w:hAnsiTheme="minorHAnsi"/>
          <w:sz w:val="20"/>
          <w:szCs w:val="20"/>
        </w:rPr>
        <w:t xml:space="preserve"> Lee, A. (2009). Health-Promoting Schools: Evidence for a Holistic Approach to Promoting Health and Improving Health Literacy. </w:t>
      </w:r>
      <w:r w:rsidRPr="00BF78C1">
        <w:rPr>
          <w:rFonts w:asciiTheme="minorHAnsi" w:hAnsiTheme="minorHAnsi"/>
          <w:i/>
          <w:iCs/>
          <w:sz w:val="20"/>
          <w:szCs w:val="20"/>
        </w:rPr>
        <w:t>Applied Health Economics and Health Policy, 7</w:t>
      </w:r>
      <w:r w:rsidRPr="00BF78C1">
        <w:rPr>
          <w:rFonts w:asciiTheme="minorHAnsi" w:hAnsiTheme="minorHAnsi"/>
          <w:sz w:val="20"/>
          <w:szCs w:val="20"/>
        </w:rPr>
        <w:t>(1), 11-17.</w:t>
      </w:r>
    </w:p>
  </w:endnote>
  <w:endnote w:id="28">
    <w:p w:rsidR="00FE1729" w:rsidRPr="00BF78C1" w:rsidRDefault="00FE1729" w:rsidP="009C7F7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Stewart-Brown, S. (2006).  What is the evidence on school health promotion in improving health and preventing disease and, specifically, what is the effectiveness of the health promoting schools approach?  Copenhagen:  WHO Regional Office for Europe.</w:t>
      </w:r>
    </w:p>
  </w:endnote>
  <w:endnote w:id="29">
    <w:p w:rsidR="00FE1729" w:rsidRPr="00BF78C1" w:rsidRDefault="00FE1729" w:rsidP="009C7F7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Patterson, P., Whittington, R. &amp; Bogg, J. (2007).  Testing the effectiveness of an educational intervention aimed at changing attitudes to DSH.  Journal of Psyciatric and Me</w:t>
      </w:r>
      <w:r w:rsidR="00E40180" w:rsidRPr="00BF78C1">
        <w:rPr>
          <w:rFonts w:asciiTheme="minorHAnsi" w:hAnsiTheme="minorHAnsi"/>
        </w:rPr>
        <w:t>ntal Health Nursing, 14:</w:t>
      </w:r>
      <w:r w:rsidRPr="00BF78C1">
        <w:rPr>
          <w:rFonts w:asciiTheme="minorHAnsi" w:hAnsiTheme="minorHAnsi"/>
        </w:rPr>
        <w:t xml:space="preserve"> 100 – 105.</w:t>
      </w:r>
    </w:p>
  </w:endnote>
  <w:endnote w:id="30">
    <w:p w:rsidR="00FE1729" w:rsidRPr="00BF78C1" w:rsidRDefault="00FE1729" w:rsidP="009C7F7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Beautrais, A.L. (2010).  Postcard intervention for repeat DSH:  randomised controlled trial.  The British Journal of Psychiatry, 197 (1), 55 – 60.</w:t>
      </w:r>
    </w:p>
  </w:endnote>
  <w:endnote w:id="31">
    <w:p w:rsidR="00FE1729" w:rsidRPr="00BF78C1" w:rsidRDefault="00FE1729" w:rsidP="009C7F7C">
      <w:pPr>
        <w:pStyle w:val="EndnoteText"/>
        <w:rPr>
          <w:rFonts w:asciiTheme="minorHAnsi" w:hAnsiTheme="minorHAnsi"/>
          <w:highlight w:val="yellow"/>
        </w:rPr>
      </w:pPr>
      <w:r w:rsidRPr="00BF78C1">
        <w:rPr>
          <w:rStyle w:val="EndnoteReference"/>
          <w:rFonts w:asciiTheme="minorHAnsi" w:hAnsiTheme="minorHAnsi"/>
        </w:rPr>
        <w:endnoteRef/>
      </w:r>
      <w:r w:rsidRPr="00BF78C1">
        <w:rPr>
          <w:rFonts w:asciiTheme="minorHAnsi" w:hAnsiTheme="minorHAnsi"/>
        </w:rPr>
        <w:t xml:space="preserve"> Maheswaran, D., &amp; Meyers-Levy, J. (1990). The Influence of Message Framing and Issue Involvement. </w:t>
      </w:r>
      <w:r w:rsidRPr="00BF78C1">
        <w:rPr>
          <w:rFonts w:asciiTheme="minorHAnsi" w:hAnsiTheme="minorHAnsi"/>
          <w:i/>
          <w:iCs/>
        </w:rPr>
        <w:t>Journal of Marketing Research, XXVII</w:t>
      </w:r>
      <w:r w:rsidRPr="00BF78C1">
        <w:rPr>
          <w:rFonts w:asciiTheme="minorHAnsi" w:hAnsiTheme="minorHAnsi"/>
        </w:rPr>
        <w:t>, 361-367</w:t>
      </w:r>
    </w:p>
  </w:endnote>
  <w:endnote w:id="32">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Orth, U. R., Koenig, H. F., &amp; Firbasova, Z. (2007). Cross-national Differences in Consumer Response to the Framing of Advertising Messages. </w:t>
      </w:r>
      <w:r w:rsidRPr="00BF78C1">
        <w:rPr>
          <w:rFonts w:asciiTheme="minorHAnsi" w:hAnsiTheme="minorHAnsi"/>
          <w:i/>
          <w:iCs/>
          <w:sz w:val="20"/>
          <w:szCs w:val="20"/>
        </w:rPr>
        <w:t>European Journal of Marketing, 41</w:t>
      </w:r>
      <w:r w:rsidRPr="00BF78C1">
        <w:rPr>
          <w:rFonts w:asciiTheme="minorHAnsi" w:hAnsiTheme="minorHAnsi"/>
          <w:sz w:val="20"/>
          <w:szCs w:val="20"/>
        </w:rPr>
        <w:t>(3/4), 327-348.</w:t>
      </w:r>
    </w:p>
  </w:endnote>
  <w:endnote w:id="33">
    <w:p w:rsidR="00FE1729" w:rsidRPr="00BF78C1" w:rsidRDefault="00FE1729" w:rsidP="009C7F7C">
      <w:pPr>
        <w:pStyle w:val="Heading2"/>
        <w:spacing w:before="0" w:beforeAutospacing="0" w:after="0" w:afterAutospacing="0"/>
        <w:rPr>
          <w:rFonts w:asciiTheme="minorHAnsi" w:hAnsiTheme="minorHAnsi"/>
          <w:b w:val="0"/>
          <w:sz w:val="20"/>
          <w:szCs w:val="20"/>
        </w:rPr>
      </w:pPr>
      <w:r w:rsidRPr="00BF78C1">
        <w:rPr>
          <w:rStyle w:val="EndnoteReference"/>
          <w:rFonts w:asciiTheme="minorHAnsi" w:hAnsiTheme="minorHAnsi"/>
          <w:b w:val="0"/>
          <w:sz w:val="20"/>
          <w:szCs w:val="20"/>
        </w:rPr>
        <w:endnoteRef/>
      </w:r>
      <w:r w:rsidRPr="00BF78C1">
        <w:rPr>
          <w:rFonts w:asciiTheme="minorHAnsi" w:hAnsiTheme="minorHAnsi"/>
          <w:b w:val="0"/>
          <w:sz w:val="20"/>
          <w:szCs w:val="20"/>
        </w:rPr>
        <w:t xml:space="preserve"> Central Office of Information / Department of Health (2010).  Healthy lives, healthy people: our strategy for public health in England.  London:  Department of Health</w:t>
      </w:r>
    </w:p>
    <w:p w:rsidR="00FE1729" w:rsidRPr="00BF78C1" w:rsidRDefault="00457281" w:rsidP="009C7F7C">
      <w:pPr>
        <w:pStyle w:val="EndnoteText"/>
        <w:rPr>
          <w:rFonts w:asciiTheme="minorHAnsi" w:hAnsiTheme="minorHAnsi"/>
        </w:rPr>
      </w:pPr>
      <w:hyperlink r:id="rId1" w:history="1">
        <w:r w:rsidR="00FE1729" w:rsidRPr="00BF78C1">
          <w:rPr>
            <w:rStyle w:val="Hyperlink"/>
            <w:rFonts w:asciiTheme="minorHAnsi" w:hAnsiTheme="minorHAnsi"/>
          </w:rPr>
          <w:t>http://www.dh.gov.uk/en/Publicationsandstatistics/Publications/PublicationsPolicyAndGuidance/DH_121941</w:t>
        </w:r>
      </w:hyperlink>
      <w:r w:rsidR="00FE1729" w:rsidRPr="00BF78C1">
        <w:rPr>
          <w:rFonts w:asciiTheme="minorHAnsi" w:hAnsiTheme="minorHAnsi"/>
        </w:rPr>
        <w:t xml:space="preserve"> </w:t>
      </w:r>
    </w:p>
  </w:endnote>
  <w:endnote w:id="34">
    <w:p w:rsidR="00FE1729" w:rsidRPr="00BF78C1" w:rsidRDefault="00FE1729" w:rsidP="009C7F7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Marteau, T. M., Ogilvie, D., Roland, M., Suhrcke, M., &amp; Kelly, M. P. (2011). Judging nudging: can nudging improve population health? </w:t>
      </w:r>
      <w:r w:rsidRPr="00BF78C1">
        <w:rPr>
          <w:rFonts w:asciiTheme="minorHAnsi" w:hAnsiTheme="minorHAnsi"/>
          <w:i/>
          <w:iCs/>
        </w:rPr>
        <w:t>BMJ, 342, 263 - 265</w:t>
      </w:r>
      <w:r w:rsidRPr="00BF78C1">
        <w:rPr>
          <w:rFonts w:asciiTheme="minorHAnsi" w:hAnsiTheme="minorHAnsi"/>
        </w:rPr>
        <w:t>.</w:t>
      </w:r>
    </w:p>
  </w:endnote>
  <w:endnote w:id="35">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Department of Health. (2004). </w:t>
      </w:r>
      <w:r w:rsidRPr="00BF78C1">
        <w:rPr>
          <w:rFonts w:asciiTheme="minorHAnsi" w:hAnsiTheme="minorHAnsi"/>
          <w:i/>
          <w:iCs/>
          <w:sz w:val="20"/>
          <w:szCs w:val="20"/>
        </w:rPr>
        <w:t>Choosing Health: Making Healthy Choices Easier</w:t>
      </w:r>
      <w:r w:rsidRPr="00BF78C1">
        <w:rPr>
          <w:rFonts w:asciiTheme="minorHAnsi" w:hAnsiTheme="minorHAnsi"/>
          <w:sz w:val="20"/>
          <w:szCs w:val="20"/>
        </w:rPr>
        <w:t xml:space="preserve"> (White Paper). London: Department of Health. </w:t>
      </w:r>
    </w:p>
  </w:endnote>
  <w:endnote w:id="36">
    <w:p w:rsidR="00FE1729" w:rsidRPr="00BF78C1" w:rsidRDefault="00FE1729" w:rsidP="009C7F7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Greenhalgh, T., Robert, G., Macfarlane, F., Bate, P., &amp; Kyriakidou, O. (2004). Diffusion of Innovations in Service Organizations: Systematic Review and Recommendations. Milbank Quarterly, 82(4), 581-629.</w:t>
      </w:r>
    </w:p>
  </w:endnote>
  <w:endnote w:id="37">
    <w:p w:rsidR="00FE1729" w:rsidRPr="00BF78C1" w:rsidRDefault="00FE1729" w:rsidP="009C7F7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Cairns, G. &amp; Stead, M. (2009).  Nutrition Communication:  Obesity and social marketing:  works in progress.   Proceedings of the Nutrition Society, 68, 11-16.</w:t>
      </w:r>
    </w:p>
  </w:endnote>
  <w:endnote w:id="38">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Department of Health. (2006). </w:t>
      </w:r>
      <w:r w:rsidRPr="00BF78C1">
        <w:rPr>
          <w:rFonts w:asciiTheme="minorHAnsi" w:hAnsiTheme="minorHAnsi"/>
          <w:i/>
          <w:iCs/>
          <w:sz w:val="20"/>
          <w:szCs w:val="20"/>
        </w:rPr>
        <w:t>Health Challenge England - next steps for Choosing Health</w:t>
      </w:r>
      <w:r w:rsidRPr="00BF78C1">
        <w:rPr>
          <w:rFonts w:asciiTheme="minorHAnsi" w:hAnsiTheme="minorHAnsi"/>
          <w:sz w:val="20"/>
          <w:szCs w:val="20"/>
        </w:rPr>
        <w:t>. London: Department of Health.</w:t>
      </w:r>
    </w:p>
  </w:endnote>
  <w:endnote w:id="39">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Glanz, K., &amp; Bishop, D. B. (2010). The role of behavioral science theory in development and implementation of public health interventions. </w:t>
      </w:r>
      <w:r w:rsidRPr="00BF78C1">
        <w:rPr>
          <w:rFonts w:asciiTheme="minorHAnsi" w:hAnsiTheme="minorHAnsi"/>
          <w:i/>
          <w:iCs/>
          <w:sz w:val="20"/>
          <w:szCs w:val="20"/>
        </w:rPr>
        <w:t>Annual Review of Public Health, 31</w:t>
      </w:r>
      <w:r w:rsidRPr="00BF78C1">
        <w:rPr>
          <w:rFonts w:asciiTheme="minorHAnsi" w:hAnsiTheme="minorHAnsi"/>
          <w:sz w:val="20"/>
          <w:szCs w:val="20"/>
        </w:rPr>
        <w:t>, 399-418.</w:t>
      </w:r>
    </w:p>
  </w:endnote>
  <w:endnote w:id="40">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Smith, P. M. (2007). A transdisciplinary approach to research on work and health: What is it, what could it contribute, and what are the challenges? </w:t>
      </w:r>
      <w:r w:rsidRPr="00BF78C1">
        <w:rPr>
          <w:rFonts w:asciiTheme="minorHAnsi" w:hAnsiTheme="minorHAnsi"/>
          <w:i/>
          <w:iCs/>
          <w:sz w:val="20"/>
          <w:szCs w:val="20"/>
        </w:rPr>
        <w:t>Critical Public Health, 17</w:t>
      </w:r>
      <w:r w:rsidRPr="00BF78C1">
        <w:rPr>
          <w:rFonts w:asciiTheme="minorHAnsi" w:hAnsiTheme="minorHAnsi"/>
          <w:sz w:val="20"/>
          <w:szCs w:val="20"/>
        </w:rPr>
        <w:t>(2), 159-169.</w:t>
      </w:r>
    </w:p>
  </w:endnote>
  <w:endnote w:id="41">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Fielding, J. E., Brownson, R. C., &amp; Green, L. W. (2011). Public Health:  Moving from "What" to "How". </w:t>
      </w:r>
      <w:r w:rsidRPr="00BF78C1">
        <w:rPr>
          <w:rFonts w:asciiTheme="minorHAnsi" w:hAnsiTheme="minorHAnsi"/>
          <w:i/>
          <w:iCs/>
          <w:sz w:val="20"/>
          <w:szCs w:val="20"/>
        </w:rPr>
        <w:t>Annual Review of Public Health, 31</w:t>
      </w:r>
      <w:r w:rsidRPr="00BF78C1">
        <w:rPr>
          <w:rFonts w:asciiTheme="minorHAnsi" w:hAnsiTheme="minorHAnsi"/>
          <w:sz w:val="20"/>
          <w:szCs w:val="20"/>
        </w:rPr>
        <w:t>(1), 1.</w:t>
      </w:r>
    </w:p>
  </w:endnote>
  <w:endnote w:id="42">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Holmes, J. H., Lehman, A., Hade, E., Ferketich, A. K., Gehlert, S., Rauscher, G. H., et al. (2008). Challenges for Multilevel Health Disparities Research in a Transdisciplinary Environment. </w:t>
      </w:r>
      <w:r w:rsidRPr="00BF78C1">
        <w:rPr>
          <w:rFonts w:asciiTheme="minorHAnsi" w:hAnsiTheme="minorHAnsi"/>
          <w:i/>
          <w:iCs/>
          <w:sz w:val="20"/>
          <w:szCs w:val="20"/>
        </w:rPr>
        <w:t>American Journal of Preventive Medicine, 35</w:t>
      </w:r>
      <w:r w:rsidRPr="00BF78C1">
        <w:rPr>
          <w:rFonts w:asciiTheme="minorHAnsi" w:hAnsiTheme="minorHAnsi"/>
          <w:sz w:val="20"/>
          <w:szCs w:val="20"/>
        </w:rPr>
        <w:t>(2, Supplement 1), S182-S192.</w:t>
      </w:r>
    </w:p>
  </w:endnote>
  <w:endnote w:id="43">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Mâsse, L. C., Moser, R. P., Stokols, D., Taylor, B. K., Marcus, S. E., Morgan, G. D., et al. (2008). Measuring Collaboration and Transdisciplinary Integration in Team Science. </w:t>
      </w:r>
      <w:r w:rsidRPr="00BF78C1">
        <w:rPr>
          <w:rFonts w:asciiTheme="minorHAnsi" w:hAnsiTheme="minorHAnsi"/>
          <w:i/>
          <w:iCs/>
          <w:sz w:val="20"/>
          <w:szCs w:val="20"/>
        </w:rPr>
        <w:t>American Journal of Preventive Medicine, 35</w:t>
      </w:r>
      <w:r w:rsidRPr="00BF78C1">
        <w:rPr>
          <w:rFonts w:asciiTheme="minorHAnsi" w:hAnsiTheme="minorHAnsi"/>
          <w:sz w:val="20"/>
          <w:szCs w:val="20"/>
        </w:rPr>
        <w:t>(2, Supplement 1), S151-S160.</w:t>
      </w:r>
    </w:p>
  </w:endnote>
  <w:endnote w:id="44">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Kreps, G. L., &amp; Maibach, E. W. (2008). Transdisciplinary Science: The Nexus Between Communication and Public Health. </w:t>
      </w:r>
      <w:r w:rsidRPr="00BF78C1">
        <w:rPr>
          <w:rFonts w:asciiTheme="minorHAnsi" w:hAnsiTheme="minorHAnsi"/>
          <w:i/>
          <w:iCs/>
          <w:sz w:val="20"/>
          <w:szCs w:val="20"/>
        </w:rPr>
        <w:t>Journal of Communication, 58</w:t>
      </w:r>
      <w:r w:rsidRPr="00BF78C1">
        <w:rPr>
          <w:rFonts w:asciiTheme="minorHAnsi" w:hAnsiTheme="minorHAnsi"/>
          <w:sz w:val="20"/>
          <w:szCs w:val="20"/>
        </w:rPr>
        <w:t>(4), 732-748.</w:t>
      </w:r>
    </w:p>
  </w:endnote>
  <w:endnote w:id="45">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Ramadier, T. (2004). Transdisciplinarity and its challenges: the case of urban studies. </w:t>
      </w:r>
      <w:r w:rsidRPr="00BF78C1">
        <w:rPr>
          <w:rFonts w:asciiTheme="minorHAnsi" w:hAnsiTheme="minorHAnsi"/>
          <w:i/>
          <w:iCs/>
          <w:sz w:val="20"/>
          <w:szCs w:val="20"/>
        </w:rPr>
        <w:t>Futures, 36</w:t>
      </w:r>
      <w:r w:rsidRPr="00BF78C1">
        <w:rPr>
          <w:rFonts w:asciiTheme="minorHAnsi" w:hAnsiTheme="minorHAnsi"/>
          <w:sz w:val="20"/>
          <w:szCs w:val="20"/>
        </w:rPr>
        <w:t>(4), 423-439.</w:t>
      </w:r>
    </w:p>
  </w:endnote>
  <w:endnote w:id="46">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Balsiger, P. W. (2004). Supradisciplinary research practices: history, objectives and rationale. </w:t>
      </w:r>
      <w:r w:rsidRPr="00BF78C1">
        <w:rPr>
          <w:rFonts w:asciiTheme="minorHAnsi" w:hAnsiTheme="minorHAnsi"/>
          <w:i/>
          <w:iCs/>
          <w:sz w:val="20"/>
          <w:szCs w:val="20"/>
        </w:rPr>
        <w:t>Futures, 36</w:t>
      </w:r>
      <w:r w:rsidRPr="00BF78C1">
        <w:rPr>
          <w:rFonts w:asciiTheme="minorHAnsi" w:hAnsiTheme="minorHAnsi"/>
          <w:sz w:val="20"/>
          <w:szCs w:val="20"/>
        </w:rPr>
        <w:t>(4), 407-421.</w:t>
      </w:r>
    </w:p>
  </w:endnote>
  <w:endnote w:id="47">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Emmons, K. M., Viswanath, K., &amp; Colditz, G. A. (2008). The Role of Transdisciplinary Collaboration in Translating and Disseminating Health Research: Lessons Learned and Exemplars of Success. </w:t>
      </w:r>
      <w:r w:rsidRPr="00BF78C1">
        <w:rPr>
          <w:rFonts w:asciiTheme="minorHAnsi" w:hAnsiTheme="minorHAnsi"/>
          <w:i/>
          <w:iCs/>
          <w:sz w:val="20"/>
          <w:szCs w:val="20"/>
        </w:rPr>
        <w:t>American Journal of Preventive Medicine, 35</w:t>
      </w:r>
      <w:r w:rsidRPr="00BF78C1">
        <w:rPr>
          <w:rFonts w:asciiTheme="minorHAnsi" w:hAnsiTheme="minorHAnsi"/>
          <w:sz w:val="20"/>
          <w:szCs w:val="20"/>
        </w:rPr>
        <w:t>(2, Supplement 1), S204-S210.</w:t>
      </w:r>
    </w:p>
  </w:endnote>
  <w:endnote w:id="48">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Colditz, G. A., Emmons, K. M., Vishwanath, K., &amp; Kerner, J. F. (2008). Translating science to practice: community and academic perspectives. </w:t>
      </w:r>
      <w:r w:rsidRPr="00BF78C1">
        <w:rPr>
          <w:rFonts w:asciiTheme="minorHAnsi" w:hAnsiTheme="minorHAnsi"/>
          <w:i/>
          <w:iCs/>
          <w:sz w:val="20"/>
          <w:szCs w:val="20"/>
        </w:rPr>
        <w:t>Journal Of Public Health Management And Practice: JPHMP, 14</w:t>
      </w:r>
      <w:r w:rsidRPr="00BF78C1">
        <w:rPr>
          <w:rFonts w:asciiTheme="minorHAnsi" w:hAnsiTheme="minorHAnsi"/>
          <w:sz w:val="20"/>
          <w:szCs w:val="20"/>
        </w:rPr>
        <w:t>(2), 144-149.</w:t>
      </w:r>
    </w:p>
  </w:endnote>
  <w:endnote w:id="49">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Gambescia, S. F., Woodhouse, L. D., Auld, M. E., Green, B. L., Quinn, S. C., &amp; Airhihenbuwa, C. O. (2006). Framing a Transdisciplinary Research Agenda in Health Education to Address Health Disparities and Social Inequities: A Road Map for SOPHE Action. </w:t>
      </w:r>
      <w:r w:rsidRPr="00BF78C1">
        <w:rPr>
          <w:rFonts w:asciiTheme="minorHAnsi" w:hAnsiTheme="minorHAnsi"/>
          <w:i/>
          <w:iCs/>
          <w:sz w:val="20"/>
          <w:szCs w:val="20"/>
        </w:rPr>
        <w:t>Health Education &amp; Behavior, 33</w:t>
      </w:r>
      <w:r w:rsidRPr="00BF78C1">
        <w:rPr>
          <w:rFonts w:asciiTheme="minorHAnsi" w:hAnsiTheme="minorHAnsi"/>
          <w:sz w:val="20"/>
          <w:szCs w:val="20"/>
        </w:rPr>
        <w:t>(4), 531-537.</w:t>
      </w:r>
    </w:p>
  </w:endnote>
  <w:endnote w:id="50">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Nigg, C. R., Allegrante, J. P., &amp; Ory, M. (2002). Theory-comparison and Multiple-behavior Research:  Common Themes Advancing Health Behavior Research. </w:t>
      </w:r>
      <w:r w:rsidRPr="00BF78C1">
        <w:rPr>
          <w:rFonts w:asciiTheme="minorHAnsi" w:hAnsiTheme="minorHAnsi"/>
          <w:i/>
          <w:iCs/>
          <w:sz w:val="20"/>
          <w:szCs w:val="20"/>
        </w:rPr>
        <w:t>Health Education Research, 17</w:t>
      </w:r>
      <w:r w:rsidRPr="00BF78C1">
        <w:rPr>
          <w:rFonts w:asciiTheme="minorHAnsi" w:hAnsiTheme="minorHAnsi"/>
          <w:sz w:val="20"/>
          <w:szCs w:val="20"/>
        </w:rPr>
        <w:t>(5), 670 - 679.</w:t>
      </w:r>
    </w:p>
  </w:endnote>
  <w:endnote w:id="51">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Glanz, K., &amp; Bishop, D. B. (2010). The role of behavioral science theory in development and implementation of public health interventions. </w:t>
      </w:r>
      <w:r w:rsidRPr="00BF78C1">
        <w:rPr>
          <w:rFonts w:asciiTheme="minorHAnsi" w:hAnsiTheme="minorHAnsi"/>
          <w:i/>
          <w:iCs/>
          <w:sz w:val="20"/>
          <w:szCs w:val="20"/>
        </w:rPr>
        <w:t>Annual Review of Public Health, 31</w:t>
      </w:r>
      <w:r w:rsidRPr="00BF78C1">
        <w:rPr>
          <w:rFonts w:asciiTheme="minorHAnsi" w:hAnsiTheme="minorHAnsi"/>
          <w:sz w:val="20"/>
          <w:szCs w:val="20"/>
        </w:rPr>
        <w:t>, 399-418.</w:t>
      </w:r>
    </w:p>
  </w:endnote>
  <w:endnote w:id="52">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Chapman, A. L., Gratz, K. L., &amp; Brown, M. Z. (2006). Solving the puzzle of deliberate self-harm: The experiential avoidance model. </w:t>
      </w:r>
      <w:r w:rsidRPr="00BF78C1">
        <w:rPr>
          <w:rFonts w:asciiTheme="minorHAnsi" w:hAnsiTheme="minorHAnsi"/>
          <w:i/>
          <w:iCs/>
          <w:sz w:val="20"/>
          <w:szCs w:val="20"/>
        </w:rPr>
        <w:t>Behaviour Research and Therapy, 44</w:t>
      </w:r>
      <w:r w:rsidRPr="00BF78C1">
        <w:rPr>
          <w:rFonts w:asciiTheme="minorHAnsi" w:hAnsiTheme="minorHAnsi"/>
          <w:sz w:val="20"/>
          <w:szCs w:val="20"/>
        </w:rPr>
        <w:t>(3), 371-394.</w:t>
      </w:r>
    </w:p>
  </w:endnote>
  <w:endnote w:id="53">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Fishbein, M., &amp; Cappella, J. (2006). The Role of Theory in Developing Effective Health Communications. </w:t>
      </w:r>
      <w:r w:rsidRPr="00BF78C1">
        <w:rPr>
          <w:rFonts w:asciiTheme="minorHAnsi" w:hAnsiTheme="minorHAnsi"/>
          <w:i/>
          <w:iCs/>
          <w:sz w:val="20"/>
          <w:szCs w:val="20"/>
        </w:rPr>
        <w:t>Journal of Communication, 56</w:t>
      </w:r>
      <w:r w:rsidRPr="00BF78C1">
        <w:rPr>
          <w:rFonts w:asciiTheme="minorHAnsi" w:hAnsiTheme="minorHAnsi"/>
          <w:sz w:val="20"/>
          <w:szCs w:val="20"/>
        </w:rPr>
        <w:t>(August Supplement), S1 - S17.</w:t>
      </w:r>
    </w:p>
  </w:endnote>
  <w:endnote w:id="54">
    <w:p w:rsidR="00FE1729" w:rsidRPr="00BF78C1" w:rsidRDefault="00FE1729" w:rsidP="009C7F7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Van Ryn, M. &amp; Heaney, C.A. (1992). What’s the Use of Theory? </w:t>
      </w:r>
      <w:r w:rsidRPr="00BF78C1">
        <w:rPr>
          <w:rFonts w:asciiTheme="minorHAnsi" w:hAnsiTheme="minorHAnsi"/>
          <w:i/>
        </w:rPr>
        <w:t>Health Education Quarterly</w:t>
      </w:r>
      <w:r w:rsidRPr="00BF78C1">
        <w:rPr>
          <w:rFonts w:asciiTheme="minorHAnsi" w:hAnsiTheme="minorHAnsi"/>
        </w:rPr>
        <w:t>, 19(3): 315-330</w:t>
      </w:r>
    </w:p>
  </w:endnote>
  <w:endnote w:id="55">
    <w:p w:rsidR="00FE1729" w:rsidRPr="00BF78C1" w:rsidRDefault="00FE1729" w:rsidP="009C7F7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Glanz, K., Rimer, B.K. &amp; Lewis, F.M. (2002). </w:t>
      </w:r>
      <w:r w:rsidRPr="00BF78C1">
        <w:rPr>
          <w:rFonts w:asciiTheme="minorHAnsi" w:hAnsiTheme="minorHAnsi"/>
          <w:i/>
        </w:rPr>
        <w:t>Health Behavior and Health Education</w:t>
      </w:r>
      <w:r w:rsidRPr="00BF78C1">
        <w:rPr>
          <w:rFonts w:asciiTheme="minorHAnsi" w:hAnsiTheme="minorHAnsi"/>
        </w:rPr>
        <w:t>. (3</w:t>
      </w:r>
      <w:r w:rsidRPr="00BF78C1">
        <w:rPr>
          <w:rFonts w:asciiTheme="minorHAnsi" w:hAnsiTheme="minorHAnsi"/>
          <w:vertAlign w:val="superscript"/>
        </w:rPr>
        <w:t>rd</w:t>
      </w:r>
      <w:r w:rsidRPr="00BF78C1">
        <w:rPr>
          <w:rFonts w:asciiTheme="minorHAnsi" w:hAnsiTheme="minorHAnsi"/>
        </w:rPr>
        <w:t xml:space="preserve"> ed.). San Francisco: Jossey-Bass</w:t>
      </w:r>
    </w:p>
  </w:endnote>
  <w:endnote w:id="56">
    <w:p w:rsidR="00502385" w:rsidRPr="00BF78C1" w:rsidRDefault="00502385">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Horne, O. &amp; Csipke, E. (2009). From Feeling too Little and too Much, to Feeling More and Less? A Nonparadoxical Theory of the Functions of Self-Harm. </w:t>
      </w:r>
      <w:r w:rsidRPr="00BF78C1">
        <w:rPr>
          <w:rFonts w:asciiTheme="minorHAnsi" w:hAnsiTheme="minorHAnsi"/>
          <w:i/>
        </w:rPr>
        <w:t>Qualitative Health Research, 19</w:t>
      </w:r>
      <w:r w:rsidRPr="00BF78C1">
        <w:rPr>
          <w:rFonts w:asciiTheme="minorHAnsi" w:hAnsiTheme="minorHAnsi"/>
        </w:rPr>
        <w:t>(5): 655-667.</w:t>
      </w:r>
    </w:p>
  </w:endnote>
  <w:endnote w:id="57">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De Leo, D., &amp; Heller, T. S. (2004). Who are the kids who self-harm? An Australian self-report school survey. </w:t>
      </w:r>
      <w:r w:rsidRPr="00BF78C1">
        <w:rPr>
          <w:rFonts w:asciiTheme="minorHAnsi" w:hAnsiTheme="minorHAnsi"/>
          <w:i/>
          <w:iCs/>
          <w:sz w:val="20"/>
          <w:szCs w:val="20"/>
        </w:rPr>
        <w:t>The Medical Journal Of Australia, 181</w:t>
      </w:r>
      <w:r w:rsidRPr="00BF78C1">
        <w:rPr>
          <w:rFonts w:asciiTheme="minorHAnsi" w:hAnsiTheme="minorHAnsi"/>
          <w:sz w:val="20"/>
          <w:szCs w:val="20"/>
        </w:rPr>
        <w:t>(3), 140-144.</w:t>
      </w:r>
    </w:p>
  </w:endnote>
  <w:endnote w:id="58">
    <w:p w:rsidR="00FE1729" w:rsidRPr="00BF78C1" w:rsidRDefault="00FE1729" w:rsidP="00A7318C">
      <w:pPr>
        <w:autoSpaceDE w:val="0"/>
        <w:autoSpaceDN w:val="0"/>
        <w:adjustRightInd w:val="0"/>
        <w:rPr>
          <w:rFonts w:asciiTheme="minorHAnsi" w:hAnsiTheme="minorHAnsi"/>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Hawton, K., Harriss, L., &amp; Rodham, K. (2010). How adolescents who cut themselves differ from those who take overdoses. </w:t>
      </w:r>
      <w:r w:rsidRPr="00BF78C1">
        <w:rPr>
          <w:rFonts w:asciiTheme="minorHAnsi" w:hAnsiTheme="minorHAnsi"/>
          <w:i/>
          <w:iCs/>
          <w:sz w:val="20"/>
          <w:szCs w:val="20"/>
        </w:rPr>
        <w:t>European Child &amp; Adolescent Psychiatry, 19</w:t>
      </w:r>
      <w:r w:rsidRPr="00BF78C1">
        <w:rPr>
          <w:rFonts w:asciiTheme="minorHAnsi" w:hAnsiTheme="minorHAnsi"/>
          <w:sz w:val="20"/>
          <w:szCs w:val="20"/>
        </w:rPr>
        <w:t>(6), 513-523.</w:t>
      </w:r>
    </w:p>
  </w:endnote>
  <w:endnote w:id="59">
    <w:p w:rsidR="00FE1729" w:rsidRPr="00BF78C1" w:rsidRDefault="00FE1729" w:rsidP="009C7F7C">
      <w:pPr>
        <w:rPr>
          <w:rFonts w:asciiTheme="minorHAnsi" w:hAnsiTheme="minorHAnsi"/>
          <w:sz w:val="20"/>
          <w:szCs w:val="20"/>
          <w:lang w:val="en-US"/>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Bandura, A. (1986). </w:t>
      </w:r>
      <w:r w:rsidRPr="00BF78C1">
        <w:rPr>
          <w:rFonts w:asciiTheme="minorHAnsi" w:hAnsiTheme="minorHAnsi"/>
          <w:sz w:val="20"/>
          <w:szCs w:val="20"/>
          <w:lang w:val="en-US"/>
        </w:rPr>
        <w:t>Social Foundations of Thought and Action: A Social Cognitive Theory. Englewood Cliffs, NJ: Prentice Hall</w:t>
      </w:r>
    </w:p>
  </w:endnote>
  <w:endnote w:id="60">
    <w:p w:rsidR="00FE1729" w:rsidRPr="00BF78C1" w:rsidRDefault="00FE1729" w:rsidP="009C7F7C">
      <w:pPr>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Wood, R. &amp; Bandura, A. (1989). Social Cognitive Theory of Organizational Management. </w:t>
      </w:r>
      <w:r w:rsidRPr="00BF78C1">
        <w:rPr>
          <w:rFonts w:asciiTheme="minorHAnsi" w:hAnsiTheme="minorHAnsi"/>
          <w:i/>
          <w:sz w:val="20"/>
          <w:szCs w:val="20"/>
        </w:rPr>
        <w:t>Academy of Management Review</w:t>
      </w:r>
      <w:r w:rsidRPr="00BF78C1">
        <w:rPr>
          <w:rFonts w:asciiTheme="minorHAnsi" w:hAnsiTheme="minorHAnsi"/>
          <w:sz w:val="20"/>
          <w:szCs w:val="20"/>
        </w:rPr>
        <w:t>, 14(3): 361-384</w:t>
      </w:r>
    </w:p>
  </w:endnote>
  <w:endnote w:id="61">
    <w:p w:rsidR="00FE1729" w:rsidRPr="00BF78C1" w:rsidRDefault="00FE1729" w:rsidP="009C7F7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w:t>
      </w:r>
      <w:r w:rsidRPr="00BF78C1">
        <w:rPr>
          <w:rFonts w:asciiTheme="minorHAnsi" w:hAnsiTheme="minorHAnsi"/>
          <w:lang w:val="en-US"/>
        </w:rPr>
        <w:t xml:space="preserve">Fishbein, M., &amp; Ajzen, I. (1975). </w:t>
      </w:r>
      <w:r w:rsidRPr="00BF78C1">
        <w:rPr>
          <w:rFonts w:asciiTheme="minorHAnsi" w:hAnsiTheme="minorHAnsi"/>
          <w:i/>
          <w:lang w:val="en-US"/>
        </w:rPr>
        <w:t>Belief, Attitude, and Behavior: An Introduction to Theory and Research</w:t>
      </w:r>
      <w:r w:rsidRPr="00BF78C1">
        <w:rPr>
          <w:rFonts w:asciiTheme="minorHAnsi" w:hAnsiTheme="minorHAnsi"/>
          <w:lang w:val="en-US"/>
        </w:rPr>
        <w:t>. Reading, MA: Addison-Wesley</w:t>
      </w:r>
      <w:r w:rsidRPr="00BF78C1">
        <w:rPr>
          <w:rFonts w:asciiTheme="minorHAnsi" w:hAnsiTheme="minorHAnsi"/>
        </w:rPr>
        <w:t xml:space="preserve"> </w:t>
      </w:r>
    </w:p>
  </w:endnote>
  <w:endnote w:id="62">
    <w:p w:rsidR="00FE1729" w:rsidRPr="00BF78C1" w:rsidRDefault="00FE1729" w:rsidP="009C7F7C">
      <w:pPr>
        <w:rPr>
          <w:rFonts w:asciiTheme="minorHAnsi" w:hAnsiTheme="minorHAnsi"/>
          <w:sz w:val="20"/>
          <w:szCs w:val="20"/>
          <w:lang w:val="en-US"/>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Ajzen, I. &amp; Fishbein, M. (1980). </w:t>
      </w:r>
      <w:r w:rsidRPr="00BF78C1">
        <w:rPr>
          <w:rFonts w:asciiTheme="minorHAnsi" w:hAnsiTheme="minorHAnsi"/>
          <w:i/>
          <w:sz w:val="20"/>
          <w:szCs w:val="20"/>
        </w:rPr>
        <w:t>Understanding Attitudes and Predicting Social Behaviour</w:t>
      </w:r>
      <w:r w:rsidRPr="00BF78C1">
        <w:rPr>
          <w:rFonts w:asciiTheme="minorHAnsi" w:hAnsiTheme="minorHAnsi"/>
          <w:sz w:val="20"/>
          <w:szCs w:val="20"/>
        </w:rPr>
        <w:t>. Englewood Cliffs, NJ: Prentice-Hall</w:t>
      </w:r>
    </w:p>
  </w:endnote>
  <w:endnote w:id="63">
    <w:p w:rsidR="00FE1729" w:rsidRPr="00BF78C1" w:rsidRDefault="00FE1729" w:rsidP="009C7F7C">
      <w:pPr>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Ajzen, I. (1991). The Theory of Planned Behaviour. </w:t>
      </w:r>
      <w:r w:rsidRPr="00BF78C1">
        <w:rPr>
          <w:rFonts w:asciiTheme="minorHAnsi" w:hAnsiTheme="minorHAnsi"/>
          <w:i/>
          <w:sz w:val="20"/>
          <w:szCs w:val="20"/>
        </w:rPr>
        <w:t xml:space="preserve">Organizational Behavior and Human Decision Processes, </w:t>
      </w:r>
      <w:r w:rsidRPr="00BF78C1">
        <w:rPr>
          <w:rFonts w:asciiTheme="minorHAnsi" w:hAnsiTheme="minorHAnsi"/>
          <w:sz w:val="20"/>
          <w:szCs w:val="20"/>
        </w:rPr>
        <w:t>50: 1979-211</w:t>
      </w:r>
    </w:p>
  </w:endnote>
  <w:endnote w:id="64">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Fishbein, M. (2008). A Reasoned Action Approach to Health Promotion. </w:t>
      </w:r>
      <w:r w:rsidRPr="00BF78C1">
        <w:rPr>
          <w:rFonts w:asciiTheme="minorHAnsi" w:hAnsiTheme="minorHAnsi"/>
          <w:i/>
          <w:iCs/>
          <w:sz w:val="20"/>
          <w:szCs w:val="20"/>
        </w:rPr>
        <w:t>Medical Decision Making, 28</w:t>
      </w:r>
      <w:r w:rsidRPr="00BF78C1">
        <w:rPr>
          <w:rFonts w:asciiTheme="minorHAnsi" w:hAnsiTheme="minorHAnsi"/>
          <w:sz w:val="20"/>
          <w:szCs w:val="20"/>
        </w:rPr>
        <w:t>(6), 834-844.</w:t>
      </w:r>
    </w:p>
  </w:endnote>
  <w:endnote w:id="65">
    <w:p w:rsidR="00FE1729" w:rsidRPr="00BF78C1" w:rsidRDefault="00FE1729" w:rsidP="009C7F7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Smith-McLallen, A., &amp; Fishbein, M. (2008). Predictors of intentions to perform six cancer-related behaviours: roles for injunctive and descriptive norms. </w:t>
      </w:r>
      <w:r w:rsidRPr="00BF78C1">
        <w:rPr>
          <w:rFonts w:asciiTheme="minorHAnsi" w:hAnsiTheme="minorHAnsi"/>
          <w:i/>
          <w:iCs/>
          <w:sz w:val="20"/>
          <w:szCs w:val="20"/>
        </w:rPr>
        <w:t>Psychology, Health &amp; Medicine, 13</w:t>
      </w:r>
      <w:r w:rsidRPr="00BF78C1">
        <w:rPr>
          <w:rFonts w:asciiTheme="minorHAnsi" w:hAnsiTheme="minorHAnsi"/>
          <w:sz w:val="20"/>
          <w:szCs w:val="20"/>
        </w:rPr>
        <w:t>(4), 389-401.</w:t>
      </w:r>
    </w:p>
  </w:endnote>
  <w:endnote w:id="66">
    <w:p w:rsidR="00FE1729" w:rsidRPr="00BF78C1" w:rsidRDefault="00FE1729" w:rsidP="009C7F7C">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Fishbein, M., &amp; Yzer, M. C. (2003). Using Theory to Design Effective Health Behavior Interventions. </w:t>
      </w:r>
      <w:r w:rsidRPr="00BF78C1">
        <w:rPr>
          <w:rFonts w:asciiTheme="minorHAnsi" w:hAnsiTheme="minorHAnsi"/>
          <w:i/>
          <w:iCs/>
        </w:rPr>
        <w:t>Communication Theory, 13</w:t>
      </w:r>
      <w:r w:rsidRPr="00BF78C1">
        <w:rPr>
          <w:rFonts w:asciiTheme="minorHAnsi" w:hAnsiTheme="minorHAnsi"/>
        </w:rPr>
        <w:t>(2), 164 - 183.</w:t>
      </w:r>
    </w:p>
  </w:endnote>
  <w:endnote w:id="67">
    <w:p w:rsidR="00FE1729" w:rsidRPr="00BF78C1" w:rsidRDefault="00FE1729" w:rsidP="00A7318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Fishbein, M., &amp; Cappella, J. (2006). The Role of Theory in Developing Effective Health Communications. </w:t>
      </w:r>
      <w:r w:rsidRPr="00BF78C1">
        <w:rPr>
          <w:rFonts w:asciiTheme="minorHAnsi" w:hAnsiTheme="minorHAnsi"/>
          <w:i/>
          <w:iCs/>
          <w:sz w:val="20"/>
          <w:szCs w:val="20"/>
        </w:rPr>
        <w:t>Journal of Communication, 56</w:t>
      </w:r>
      <w:r w:rsidRPr="00BF78C1">
        <w:rPr>
          <w:rFonts w:asciiTheme="minorHAnsi" w:hAnsiTheme="minorHAnsi"/>
          <w:sz w:val="20"/>
          <w:szCs w:val="20"/>
        </w:rPr>
        <w:t>(August Supplement), S1 - S17.</w:t>
      </w:r>
    </w:p>
  </w:endnote>
  <w:endnote w:id="68">
    <w:p w:rsidR="00FE1729" w:rsidRPr="00BF78C1" w:rsidRDefault="00FE1729" w:rsidP="00A7318C">
      <w:pPr>
        <w:autoSpaceDE w:val="0"/>
        <w:autoSpaceDN w:val="0"/>
        <w:adjustRightInd w:val="0"/>
        <w:rPr>
          <w:rFonts w:asciiTheme="minorHAnsi" w:hAnsiTheme="minorHAnsi"/>
          <w:sz w:val="20"/>
          <w:szCs w:val="20"/>
        </w:rPr>
      </w:pPr>
      <w:r w:rsidRPr="00BF78C1">
        <w:rPr>
          <w:rStyle w:val="EndnoteReference"/>
          <w:rFonts w:asciiTheme="minorHAnsi" w:hAnsiTheme="minorHAnsi"/>
          <w:sz w:val="20"/>
          <w:szCs w:val="20"/>
        </w:rPr>
        <w:endnoteRef/>
      </w:r>
      <w:r w:rsidRPr="00BF78C1">
        <w:rPr>
          <w:rFonts w:asciiTheme="minorHAnsi" w:hAnsiTheme="minorHAnsi"/>
          <w:sz w:val="20"/>
          <w:szCs w:val="20"/>
        </w:rPr>
        <w:t xml:space="preserve"> Stanford, S., &amp; Jones, M. (2010). How Much Detail Needs to be Elucidated in DSH Research? </w:t>
      </w:r>
      <w:r w:rsidRPr="00BF78C1">
        <w:rPr>
          <w:rFonts w:asciiTheme="minorHAnsi" w:hAnsiTheme="minorHAnsi"/>
          <w:i/>
          <w:iCs/>
          <w:sz w:val="20"/>
          <w:szCs w:val="20"/>
        </w:rPr>
        <w:t>Journal of Youth and Adolescence, 39</w:t>
      </w:r>
      <w:r w:rsidRPr="00BF78C1">
        <w:rPr>
          <w:rFonts w:asciiTheme="minorHAnsi" w:hAnsiTheme="minorHAnsi"/>
          <w:sz w:val="20"/>
          <w:szCs w:val="20"/>
        </w:rPr>
        <w:t>(5), 504-513.</w:t>
      </w:r>
    </w:p>
  </w:endnote>
  <w:endnote w:id="69">
    <w:p w:rsidR="00005453" w:rsidRPr="00BF78C1" w:rsidRDefault="00005453" w:rsidP="00005453">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Transue, L. &amp; Whitlock, J. (2010). </w:t>
      </w:r>
      <w:r w:rsidRPr="00BF78C1">
        <w:rPr>
          <w:rFonts w:asciiTheme="minorHAnsi" w:hAnsiTheme="minorHAnsi"/>
          <w:i/>
        </w:rPr>
        <w:t>Self-injury in the media</w:t>
      </w:r>
      <w:r w:rsidRPr="00BF78C1">
        <w:rPr>
          <w:rFonts w:asciiTheme="minorHAnsi" w:hAnsiTheme="minorHAnsi"/>
        </w:rPr>
        <w:t>. [Fact sheet] Cornell Research Program on Self-Injurious Behavior in Adolescents and Young Adults. Retrieved from http://www.crpsib.com/userfiles/mediafactsheet.pdf</w:t>
      </w:r>
    </w:p>
  </w:endnote>
  <w:endnote w:id="70">
    <w:p w:rsidR="005407FA" w:rsidRPr="00BF78C1" w:rsidRDefault="005407FA">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Adams, J.; Rodham, K. &amp; Gavin, J. (2005). Investigating the ‘Self’ in Deliberate Self-Harm. </w:t>
      </w:r>
      <w:r w:rsidRPr="00BF78C1">
        <w:rPr>
          <w:rFonts w:asciiTheme="minorHAnsi" w:hAnsiTheme="minorHAnsi"/>
          <w:i/>
        </w:rPr>
        <w:t>Qualitative Health Research, 15</w:t>
      </w:r>
      <w:r w:rsidRPr="00BF78C1">
        <w:rPr>
          <w:rFonts w:asciiTheme="minorHAnsi" w:hAnsiTheme="minorHAnsi"/>
        </w:rPr>
        <w:t xml:space="preserve"> (10): 1293 – 1309.</w:t>
      </w:r>
    </w:p>
  </w:endnote>
  <w:endnote w:id="71">
    <w:p w:rsidR="00F20EA0" w:rsidRPr="00BF78C1" w:rsidRDefault="00F20EA0">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Lundh, L.; Karim, J.; &amp; Quilisch, E. (2007). Deliberate Self-Harm in 15-year-old Adolescents: A Pilot Study with a Modified Version of the Deliberate Self-Harm Inventory. </w:t>
      </w:r>
      <w:r w:rsidRPr="00BF78C1">
        <w:rPr>
          <w:rFonts w:asciiTheme="minorHAnsi" w:hAnsiTheme="minorHAnsi"/>
          <w:i/>
        </w:rPr>
        <w:t>Scandinavian Journal of Psychology, 48</w:t>
      </w:r>
      <w:r w:rsidRPr="00BF78C1">
        <w:rPr>
          <w:rFonts w:asciiTheme="minorHAnsi" w:hAnsiTheme="minorHAnsi"/>
        </w:rPr>
        <w:t>(1): 33 – 41.</w:t>
      </w:r>
    </w:p>
  </w:endnote>
  <w:endnote w:id="72">
    <w:p w:rsidR="00F20EA0" w:rsidRPr="00BF78C1" w:rsidRDefault="00F20EA0">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Lewis, S.P.; Heath, N.L.; St Denis, J.M. &amp; Noble, R. (2011). The Scope of Nonsuicidal Self-Injury on You Tube. </w:t>
      </w:r>
      <w:r w:rsidRPr="00BF78C1">
        <w:rPr>
          <w:rFonts w:asciiTheme="minorHAnsi" w:hAnsiTheme="minorHAnsi"/>
          <w:i/>
        </w:rPr>
        <w:t>Pediatrics, 127</w:t>
      </w:r>
      <w:r w:rsidRPr="00BF78C1">
        <w:rPr>
          <w:rFonts w:asciiTheme="minorHAnsi" w:hAnsiTheme="minorHAnsi"/>
        </w:rPr>
        <w:t>(3): e552-557.</w:t>
      </w:r>
    </w:p>
  </w:endnote>
  <w:endnote w:id="73">
    <w:p w:rsidR="009E619B" w:rsidRPr="00BF78C1" w:rsidRDefault="009E619B">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Turkle, S. (1995). </w:t>
      </w:r>
      <w:r w:rsidRPr="00BF78C1">
        <w:rPr>
          <w:rFonts w:asciiTheme="minorHAnsi" w:hAnsiTheme="minorHAnsi"/>
          <w:i/>
        </w:rPr>
        <w:t>Life on the Screen: Identity in the Age of the Internet</w:t>
      </w:r>
      <w:r w:rsidRPr="00BF78C1">
        <w:rPr>
          <w:rFonts w:asciiTheme="minorHAnsi" w:hAnsiTheme="minorHAnsi"/>
        </w:rPr>
        <w:t>. New York: Simon and Schuster.</w:t>
      </w:r>
    </w:p>
  </w:endnote>
  <w:endnote w:id="74">
    <w:p w:rsidR="009E619B" w:rsidRPr="00BF78C1" w:rsidRDefault="009E619B">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Anderson, P. (2007). ‘All That Glisters is not Gold’ – Web 2.0 and the Librarian. Journal of Librarianship and Information Science, 39 (4), 195-198. Retrieved from http://lis.sagepub.com/content/39/4/195.abstract</w:t>
      </w:r>
    </w:p>
  </w:endnote>
  <w:endnote w:id="75">
    <w:p w:rsidR="009E619B" w:rsidRPr="00BF78C1" w:rsidRDefault="009E619B">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boyd, d.m. (2009). </w:t>
      </w:r>
      <w:r w:rsidRPr="00BF78C1">
        <w:rPr>
          <w:rFonts w:asciiTheme="minorHAnsi" w:hAnsiTheme="minorHAnsi"/>
          <w:i/>
        </w:rPr>
        <w:t xml:space="preserve">Social Media is Here to Stay... Now What? </w:t>
      </w:r>
      <w:r w:rsidRPr="00BF78C1">
        <w:rPr>
          <w:rFonts w:asciiTheme="minorHAnsi" w:hAnsiTheme="minorHAnsi"/>
        </w:rPr>
        <w:t>Microsoft Research Tech Fest, Redmond, 26 February. Retrieved from http://www.danah.org/papers/talks/MSRTechFest2009.html</w:t>
      </w:r>
    </w:p>
  </w:endnote>
  <w:endnote w:id="76">
    <w:p w:rsidR="002416D5" w:rsidRPr="00BF78C1" w:rsidRDefault="002416D5">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Snee, H. (2008). </w:t>
      </w:r>
      <w:r w:rsidRPr="00BF78C1">
        <w:rPr>
          <w:rFonts w:asciiTheme="minorHAnsi" w:hAnsiTheme="minorHAnsi"/>
          <w:i/>
        </w:rPr>
        <w:t>Web 2.0 as a Social Science Research Tool</w:t>
      </w:r>
      <w:r w:rsidRPr="00BF78C1">
        <w:rPr>
          <w:rFonts w:asciiTheme="minorHAnsi" w:hAnsiTheme="minorHAnsi"/>
        </w:rPr>
        <w:t xml:space="preserve">. ESRC Government Placement Scheme. The British Library. Retrieved from http://www.bl.uk/reshelp/bldept/socsci/socint/web2/report.html  </w:t>
      </w:r>
    </w:p>
  </w:endnote>
  <w:endnote w:id="77">
    <w:p w:rsidR="00047AC7" w:rsidRPr="00BF78C1" w:rsidRDefault="00047AC7">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Gratz, K.L. (2003). Risk Factors for and Functions of Deliberate Self-Harm: An Empirical and Conceptual Review. </w:t>
      </w:r>
      <w:r w:rsidRPr="00BF78C1">
        <w:rPr>
          <w:rFonts w:asciiTheme="minorHAnsi" w:hAnsiTheme="minorHAnsi"/>
          <w:i/>
        </w:rPr>
        <w:t>Clinical Psychology: Science and Practice,10</w:t>
      </w:r>
      <w:r w:rsidRPr="00BF78C1">
        <w:rPr>
          <w:rFonts w:asciiTheme="minorHAnsi" w:hAnsiTheme="minorHAnsi"/>
        </w:rPr>
        <w:t>(2): 192 – 205.</w:t>
      </w:r>
    </w:p>
  </w:endnote>
  <w:endnote w:id="78">
    <w:p w:rsidR="00937E7F" w:rsidRPr="00BF78C1" w:rsidRDefault="00937E7F" w:rsidP="00937E7F">
      <w:pPr>
        <w:pStyle w:val="EndnoteText"/>
        <w:rPr>
          <w:rFonts w:asciiTheme="minorHAnsi" w:hAnsiTheme="minorHAnsi"/>
        </w:rPr>
      </w:pPr>
      <w:r w:rsidRPr="00BF78C1">
        <w:rPr>
          <w:rStyle w:val="EndnoteReference"/>
          <w:rFonts w:asciiTheme="minorHAnsi" w:hAnsiTheme="minorHAnsi"/>
        </w:rPr>
        <w:endnoteRef/>
      </w:r>
      <w:r w:rsidRPr="00BF78C1">
        <w:rPr>
          <w:rFonts w:asciiTheme="minorHAnsi" w:hAnsiTheme="minorHAnsi"/>
        </w:rPr>
        <w:t xml:space="preserve"> Foot, J. (2010). A glass half-full: How an asset approach can improve community health and well-being. </w:t>
      </w:r>
      <w:r w:rsidRPr="00BF78C1">
        <w:rPr>
          <w:rFonts w:asciiTheme="minorHAnsi" w:hAnsiTheme="minorHAnsi"/>
          <w:i/>
        </w:rPr>
        <w:t>Improvement and Development Agency</w:t>
      </w:r>
      <w:r w:rsidRPr="00BF78C1">
        <w:rPr>
          <w:rFonts w:asciiTheme="minorHAnsi" w:hAnsiTheme="minorHAnsi"/>
        </w:rPr>
        <w:t>. Available at: http://www.idea.gov.uk/idk/aio/18410498.</w:t>
      </w:r>
    </w:p>
    <w:p w:rsidR="00937E7F" w:rsidRPr="00937E7F" w:rsidRDefault="00937E7F">
      <w:pPr>
        <w:pStyle w:val="EndnoteText"/>
        <w:rPr>
          <w:rFonts w:asciiTheme="minorHAnsi" w:hAnsiTheme="minorHAnsi"/>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E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4713181"/>
      <w:docPartObj>
        <w:docPartGallery w:val="Page Numbers (Bottom of Page)"/>
        <w:docPartUnique/>
      </w:docPartObj>
    </w:sdtPr>
    <w:sdtContent>
      <w:p w:rsidR="00FE1729" w:rsidRPr="00A934FC" w:rsidRDefault="00457281">
        <w:pPr>
          <w:pStyle w:val="Footer"/>
          <w:jc w:val="center"/>
          <w:rPr>
            <w:rFonts w:asciiTheme="minorHAnsi" w:hAnsiTheme="minorHAnsi"/>
          </w:rPr>
        </w:pPr>
        <w:r w:rsidRPr="00A934FC">
          <w:rPr>
            <w:rFonts w:asciiTheme="minorHAnsi" w:hAnsiTheme="minorHAnsi"/>
          </w:rPr>
          <w:fldChar w:fldCharType="begin"/>
        </w:r>
        <w:r w:rsidR="0004503C" w:rsidRPr="00A934FC">
          <w:rPr>
            <w:rFonts w:asciiTheme="minorHAnsi" w:hAnsiTheme="minorHAnsi"/>
          </w:rPr>
          <w:instrText xml:space="preserve"> PAGE   \* MERGEFORMAT </w:instrText>
        </w:r>
        <w:r w:rsidRPr="00A934FC">
          <w:rPr>
            <w:rFonts w:asciiTheme="minorHAnsi" w:hAnsiTheme="minorHAnsi"/>
          </w:rPr>
          <w:fldChar w:fldCharType="separate"/>
        </w:r>
        <w:r w:rsidR="00FD0A15">
          <w:rPr>
            <w:rFonts w:asciiTheme="minorHAnsi" w:hAnsiTheme="minorHAnsi"/>
            <w:noProof/>
          </w:rPr>
          <w:t>20</w:t>
        </w:r>
        <w:r w:rsidRPr="00A934FC">
          <w:rPr>
            <w:rFonts w:asciiTheme="minorHAnsi" w:hAnsiTheme="minorHAnsi"/>
          </w:rPr>
          <w:fldChar w:fldCharType="end"/>
        </w:r>
      </w:p>
    </w:sdtContent>
  </w:sdt>
  <w:p w:rsidR="00FE1729" w:rsidRDefault="00FE17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59E" w:rsidRDefault="005E059E" w:rsidP="0028588F">
      <w:r>
        <w:separator/>
      </w:r>
    </w:p>
  </w:footnote>
  <w:footnote w:type="continuationSeparator" w:id="0">
    <w:p w:rsidR="005E059E" w:rsidRDefault="005E059E" w:rsidP="00285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3017F"/>
    <w:multiLevelType w:val="hybridMultilevel"/>
    <w:tmpl w:val="2662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6C7EF1"/>
    <w:multiLevelType w:val="hybridMultilevel"/>
    <w:tmpl w:val="3E94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8E0842"/>
    <w:multiLevelType w:val="hybridMultilevel"/>
    <w:tmpl w:val="3B9E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5F2EAA"/>
    <w:multiLevelType w:val="hybridMultilevel"/>
    <w:tmpl w:val="FB48A242"/>
    <w:lvl w:ilvl="0" w:tplc="BEB0E5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4A15E8"/>
    <w:multiLevelType w:val="hybridMultilevel"/>
    <w:tmpl w:val="297C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595E41"/>
    <w:multiLevelType w:val="hybridMultilevel"/>
    <w:tmpl w:val="79BE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DF22E6"/>
    <w:multiLevelType w:val="hybridMultilevel"/>
    <w:tmpl w:val="0B0C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BA5CE1"/>
    <w:multiLevelType w:val="hybridMultilevel"/>
    <w:tmpl w:val="CCFA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0D3D9E"/>
    <w:multiLevelType w:val="hybridMultilevel"/>
    <w:tmpl w:val="0A247BDA"/>
    <w:lvl w:ilvl="0" w:tplc="DF32062C">
      <w:start w:val="1"/>
      <w:numFmt w:val="bullet"/>
      <w:lvlText w:val=""/>
      <w:lvlJc w:val="left"/>
      <w:pPr>
        <w:tabs>
          <w:tab w:val="num" w:pos="720"/>
        </w:tabs>
        <w:ind w:left="720" w:hanging="360"/>
      </w:pPr>
      <w:rPr>
        <w:rFonts w:ascii="Wingdings" w:hAnsi="Wingdings" w:hint="default"/>
      </w:rPr>
    </w:lvl>
    <w:lvl w:ilvl="1" w:tplc="101EAA2A" w:tentative="1">
      <w:start w:val="1"/>
      <w:numFmt w:val="bullet"/>
      <w:lvlText w:val=""/>
      <w:lvlJc w:val="left"/>
      <w:pPr>
        <w:tabs>
          <w:tab w:val="num" w:pos="1440"/>
        </w:tabs>
        <w:ind w:left="1440" w:hanging="360"/>
      </w:pPr>
      <w:rPr>
        <w:rFonts w:ascii="Wingdings" w:hAnsi="Wingdings" w:hint="default"/>
      </w:rPr>
    </w:lvl>
    <w:lvl w:ilvl="2" w:tplc="A8FC7352" w:tentative="1">
      <w:start w:val="1"/>
      <w:numFmt w:val="bullet"/>
      <w:lvlText w:val=""/>
      <w:lvlJc w:val="left"/>
      <w:pPr>
        <w:tabs>
          <w:tab w:val="num" w:pos="2160"/>
        </w:tabs>
        <w:ind w:left="2160" w:hanging="360"/>
      </w:pPr>
      <w:rPr>
        <w:rFonts w:ascii="Wingdings" w:hAnsi="Wingdings" w:hint="default"/>
      </w:rPr>
    </w:lvl>
    <w:lvl w:ilvl="3" w:tplc="AC7801C4" w:tentative="1">
      <w:start w:val="1"/>
      <w:numFmt w:val="bullet"/>
      <w:lvlText w:val=""/>
      <w:lvlJc w:val="left"/>
      <w:pPr>
        <w:tabs>
          <w:tab w:val="num" w:pos="2880"/>
        </w:tabs>
        <w:ind w:left="2880" w:hanging="360"/>
      </w:pPr>
      <w:rPr>
        <w:rFonts w:ascii="Wingdings" w:hAnsi="Wingdings" w:hint="default"/>
      </w:rPr>
    </w:lvl>
    <w:lvl w:ilvl="4" w:tplc="3B9C1B1E" w:tentative="1">
      <w:start w:val="1"/>
      <w:numFmt w:val="bullet"/>
      <w:lvlText w:val=""/>
      <w:lvlJc w:val="left"/>
      <w:pPr>
        <w:tabs>
          <w:tab w:val="num" w:pos="3600"/>
        </w:tabs>
        <w:ind w:left="3600" w:hanging="360"/>
      </w:pPr>
      <w:rPr>
        <w:rFonts w:ascii="Wingdings" w:hAnsi="Wingdings" w:hint="default"/>
      </w:rPr>
    </w:lvl>
    <w:lvl w:ilvl="5" w:tplc="A9DE23C6" w:tentative="1">
      <w:start w:val="1"/>
      <w:numFmt w:val="bullet"/>
      <w:lvlText w:val=""/>
      <w:lvlJc w:val="left"/>
      <w:pPr>
        <w:tabs>
          <w:tab w:val="num" w:pos="4320"/>
        </w:tabs>
        <w:ind w:left="4320" w:hanging="360"/>
      </w:pPr>
      <w:rPr>
        <w:rFonts w:ascii="Wingdings" w:hAnsi="Wingdings" w:hint="default"/>
      </w:rPr>
    </w:lvl>
    <w:lvl w:ilvl="6" w:tplc="C8A63A26" w:tentative="1">
      <w:start w:val="1"/>
      <w:numFmt w:val="bullet"/>
      <w:lvlText w:val=""/>
      <w:lvlJc w:val="left"/>
      <w:pPr>
        <w:tabs>
          <w:tab w:val="num" w:pos="5040"/>
        </w:tabs>
        <w:ind w:left="5040" w:hanging="360"/>
      </w:pPr>
      <w:rPr>
        <w:rFonts w:ascii="Wingdings" w:hAnsi="Wingdings" w:hint="default"/>
      </w:rPr>
    </w:lvl>
    <w:lvl w:ilvl="7" w:tplc="47981AD2" w:tentative="1">
      <w:start w:val="1"/>
      <w:numFmt w:val="bullet"/>
      <w:lvlText w:val=""/>
      <w:lvlJc w:val="left"/>
      <w:pPr>
        <w:tabs>
          <w:tab w:val="num" w:pos="5760"/>
        </w:tabs>
        <w:ind w:left="5760" w:hanging="360"/>
      </w:pPr>
      <w:rPr>
        <w:rFonts w:ascii="Wingdings" w:hAnsi="Wingdings" w:hint="default"/>
      </w:rPr>
    </w:lvl>
    <w:lvl w:ilvl="8" w:tplc="3A0E8974" w:tentative="1">
      <w:start w:val="1"/>
      <w:numFmt w:val="bullet"/>
      <w:lvlText w:val=""/>
      <w:lvlJc w:val="left"/>
      <w:pPr>
        <w:tabs>
          <w:tab w:val="num" w:pos="6480"/>
        </w:tabs>
        <w:ind w:left="6480" w:hanging="360"/>
      </w:pPr>
      <w:rPr>
        <w:rFonts w:ascii="Wingdings" w:hAnsi="Wingdings" w:hint="default"/>
      </w:rPr>
    </w:lvl>
  </w:abstractNum>
  <w:abstractNum w:abstractNumId="9">
    <w:nsid w:val="78CA1F0D"/>
    <w:multiLevelType w:val="hybridMultilevel"/>
    <w:tmpl w:val="B0D0BE30"/>
    <w:lvl w:ilvl="0" w:tplc="BEB0E5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4043D6"/>
    <w:multiLevelType w:val="hybridMultilevel"/>
    <w:tmpl w:val="740C6864"/>
    <w:lvl w:ilvl="0" w:tplc="BEB0E5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8"/>
  </w:num>
  <w:num w:numId="6">
    <w:abstractNumId w:val="9"/>
  </w:num>
  <w:num w:numId="7">
    <w:abstractNumId w:val="2"/>
  </w:num>
  <w:num w:numId="8">
    <w:abstractNumId w:val="5"/>
  </w:num>
  <w:num w:numId="9">
    <w:abstractNumId w:val="7"/>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characterSpacingControl w:val="doNotCompress"/>
  <w:hdrShapeDefaults>
    <o:shapedefaults v:ext="edit" spidmax="11266"/>
  </w:hdrShapeDefaults>
  <w:footnotePr>
    <w:footnote w:id="-1"/>
    <w:footnote w:id="0"/>
  </w:footnotePr>
  <w:endnotePr>
    <w:numFmt w:val="decimal"/>
    <w:endnote w:id="-1"/>
    <w:endnote w:id="0"/>
  </w:endnotePr>
  <w:compat/>
  <w:rsids>
    <w:rsidRoot w:val="004043A3"/>
    <w:rsid w:val="00005453"/>
    <w:rsid w:val="000168D8"/>
    <w:rsid w:val="000245BE"/>
    <w:rsid w:val="00035D68"/>
    <w:rsid w:val="000425C6"/>
    <w:rsid w:val="0004503C"/>
    <w:rsid w:val="00047AC7"/>
    <w:rsid w:val="00052AE4"/>
    <w:rsid w:val="00053ADA"/>
    <w:rsid w:val="00080816"/>
    <w:rsid w:val="00080BCB"/>
    <w:rsid w:val="0008652E"/>
    <w:rsid w:val="00087031"/>
    <w:rsid w:val="00087902"/>
    <w:rsid w:val="00091188"/>
    <w:rsid w:val="00092C25"/>
    <w:rsid w:val="000A67E9"/>
    <w:rsid w:val="000C3D0C"/>
    <w:rsid w:val="000E6F58"/>
    <w:rsid w:val="000F10E2"/>
    <w:rsid w:val="00110FC3"/>
    <w:rsid w:val="00111792"/>
    <w:rsid w:val="00117B5A"/>
    <w:rsid w:val="00131F6D"/>
    <w:rsid w:val="0014692A"/>
    <w:rsid w:val="00161C68"/>
    <w:rsid w:val="00166BD2"/>
    <w:rsid w:val="00170B1A"/>
    <w:rsid w:val="001715D2"/>
    <w:rsid w:val="001739A5"/>
    <w:rsid w:val="001869ED"/>
    <w:rsid w:val="001B1F48"/>
    <w:rsid w:val="001B2306"/>
    <w:rsid w:val="001B77FE"/>
    <w:rsid w:val="001D1B01"/>
    <w:rsid w:val="001E2BBC"/>
    <w:rsid w:val="001F357A"/>
    <w:rsid w:val="0022650B"/>
    <w:rsid w:val="00235134"/>
    <w:rsid w:val="00236BAC"/>
    <w:rsid w:val="002415C5"/>
    <w:rsid w:val="002416D5"/>
    <w:rsid w:val="00246A22"/>
    <w:rsid w:val="0028588F"/>
    <w:rsid w:val="00291F85"/>
    <w:rsid w:val="00297142"/>
    <w:rsid w:val="002B6392"/>
    <w:rsid w:val="002C1216"/>
    <w:rsid w:val="002C5107"/>
    <w:rsid w:val="002E2358"/>
    <w:rsid w:val="002E2ECB"/>
    <w:rsid w:val="002E5E5C"/>
    <w:rsid w:val="002F2E69"/>
    <w:rsid w:val="0030145A"/>
    <w:rsid w:val="003139AF"/>
    <w:rsid w:val="00332098"/>
    <w:rsid w:val="00334FCC"/>
    <w:rsid w:val="00361970"/>
    <w:rsid w:val="00370AB6"/>
    <w:rsid w:val="00370BB2"/>
    <w:rsid w:val="00383C8F"/>
    <w:rsid w:val="003A3870"/>
    <w:rsid w:val="003A7D06"/>
    <w:rsid w:val="003A7E5C"/>
    <w:rsid w:val="003B1596"/>
    <w:rsid w:val="003C6CDD"/>
    <w:rsid w:val="003D0B60"/>
    <w:rsid w:val="003E656F"/>
    <w:rsid w:val="003F5B35"/>
    <w:rsid w:val="004043A3"/>
    <w:rsid w:val="00411EBD"/>
    <w:rsid w:val="0041578A"/>
    <w:rsid w:val="00423DD2"/>
    <w:rsid w:val="00424A1D"/>
    <w:rsid w:val="00426AF2"/>
    <w:rsid w:val="00452859"/>
    <w:rsid w:val="00457281"/>
    <w:rsid w:val="00460A0D"/>
    <w:rsid w:val="00471EA6"/>
    <w:rsid w:val="0048767D"/>
    <w:rsid w:val="0049376C"/>
    <w:rsid w:val="00494E78"/>
    <w:rsid w:val="004C0FC7"/>
    <w:rsid w:val="004D0B38"/>
    <w:rsid w:val="004D329D"/>
    <w:rsid w:val="004D36D7"/>
    <w:rsid w:val="004E6CBF"/>
    <w:rsid w:val="00502385"/>
    <w:rsid w:val="00522A7B"/>
    <w:rsid w:val="00535450"/>
    <w:rsid w:val="005407FA"/>
    <w:rsid w:val="00545ED7"/>
    <w:rsid w:val="00556189"/>
    <w:rsid w:val="005856DE"/>
    <w:rsid w:val="005A6C3E"/>
    <w:rsid w:val="005B4A25"/>
    <w:rsid w:val="005B7B29"/>
    <w:rsid w:val="005C09DB"/>
    <w:rsid w:val="005C4BE2"/>
    <w:rsid w:val="005E059E"/>
    <w:rsid w:val="005E1ADC"/>
    <w:rsid w:val="005E5579"/>
    <w:rsid w:val="005E6570"/>
    <w:rsid w:val="005F468C"/>
    <w:rsid w:val="00630A5B"/>
    <w:rsid w:val="00634A01"/>
    <w:rsid w:val="0069754E"/>
    <w:rsid w:val="006B7734"/>
    <w:rsid w:val="006D6302"/>
    <w:rsid w:val="006E6B55"/>
    <w:rsid w:val="006E6BB1"/>
    <w:rsid w:val="006F51D0"/>
    <w:rsid w:val="0071391E"/>
    <w:rsid w:val="00731087"/>
    <w:rsid w:val="00736B61"/>
    <w:rsid w:val="00740FFE"/>
    <w:rsid w:val="007458E2"/>
    <w:rsid w:val="007508CF"/>
    <w:rsid w:val="007621C4"/>
    <w:rsid w:val="00771BD9"/>
    <w:rsid w:val="0079569A"/>
    <w:rsid w:val="007A4815"/>
    <w:rsid w:val="007B6793"/>
    <w:rsid w:val="008019A5"/>
    <w:rsid w:val="008041BD"/>
    <w:rsid w:val="00826C20"/>
    <w:rsid w:val="008448B1"/>
    <w:rsid w:val="008664AE"/>
    <w:rsid w:val="00897B46"/>
    <w:rsid w:val="008A28A3"/>
    <w:rsid w:val="008C2732"/>
    <w:rsid w:val="008C54F9"/>
    <w:rsid w:val="008D4DD1"/>
    <w:rsid w:val="008D6921"/>
    <w:rsid w:val="008E34C1"/>
    <w:rsid w:val="008F3516"/>
    <w:rsid w:val="009174DA"/>
    <w:rsid w:val="009204BC"/>
    <w:rsid w:val="009209C5"/>
    <w:rsid w:val="00926B02"/>
    <w:rsid w:val="00937E7F"/>
    <w:rsid w:val="00942356"/>
    <w:rsid w:val="0095672C"/>
    <w:rsid w:val="00976D7E"/>
    <w:rsid w:val="00982287"/>
    <w:rsid w:val="00991A40"/>
    <w:rsid w:val="009A16E3"/>
    <w:rsid w:val="009B437E"/>
    <w:rsid w:val="009C31D8"/>
    <w:rsid w:val="009C7F7C"/>
    <w:rsid w:val="009D195E"/>
    <w:rsid w:val="009E2FE4"/>
    <w:rsid w:val="009E619B"/>
    <w:rsid w:val="009F5DB9"/>
    <w:rsid w:val="00A1365B"/>
    <w:rsid w:val="00A24BCF"/>
    <w:rsid w:val="00A413A1"/>
    <w:rsid w:val="00A41D99"/>
    <w:rsid w:val="00A64DA1"/>
    <w:rsid w:val="00A7318C"/>
    <w:rsid w:val="00A934FC"/>
    <w:rsid w:val="00AA6050"/>
    <w:rsid w:val="00AA72ED"/>
    <w:rsid w:val="00AB1EE0"/>
    <w:rsid w:val="00AB499C"/>
    <w:rsid w:val="00AC049B"/>
    <w:rsid w:val="00AC5C66"/>
    <w:rsid w:val="00AD0B82"/>
    <w:rsid w:val="00AF7BF6"/>
    <w:rsid w:val="00B10EC8"/>
    <w:rsid w:val="00B10FE8"/>
    <w:rsid w:val="00B23977"/>
    <w:rsid w:val="00B35B79"/>
    <w:rsid w:val="00B6311A"/>
    <w:rsid w:val="00B76E79"/>
    <w:rsid w:val="00B80CC2"/>
    <w:rsid w:val="00BA4B3C"/>
    <w:rsid w:val="00BA534A"/>
    <w:rsid w:val="00BB4F98"/>
    <w:rsid w:val="00BC1853"/>
    <w:rsid w:val="00BD2DCE"/>
    <w:rsid w:val="00BD5C45"/>
    <w:rsid w:val="00BD5FF4"/>
    <w:rsid w:val="00BF0076"/>
    <w:rsid w:val="00BF78C1"/>
    <w:rsid w:val="00C16BB3"/>
    <w:rsid w:val="00C26C46"/>
    <w:rsid w:val="00C35919"/>
    <w:rsid w:val="00C36802"/>
    <w:rsid w:val="00C36AB9"/>
    <w:rsid w:val="00C41407"/>
    <w:rsid w:val="00C51BA0"/>
    <w:rsid w:val="00C611D2"/>
    <w:rsid w:val="00C85A1E"/>
    <w:rsid w:val="00C865F3"/>
    <w:rsid w:val="00C92721"/>
    <w:rsid w:val="00C94088"/>
    <w:rsid w:val="00CA009C"/>
    <w:rsid w:val="00CB0DF4"/>
    <w:rsid w:val="00CB1252"/>
    <w:rsid w:val="00CB3D4A"/>
    <w:rsid w:val="00CC5108"/>
    <w:rsid w:val="00CC5F2D"/>
    <w:rsid w:val="00CD4A21"/>
    <w:rsid w:val="00CE2CFF"/>
    <w:rsid w:val="00D02D82"/>
    <w:rsid w:val="00D05730"/>
    <w:rsid w:val="00D21B38"/>
    <w:rsid w:val="00D23E55"/>
    <w:rsid w:val="00D43B7A"/>
    <w:rsid w:val="00D51371"/>
    <w:rsid w:val="00D675A1"/>
    <w:rsid w:val="00D759D3"/>
    <w:rsid w:val="00D86B9B"/>
    <w:rsid w:val="00D913E6"/>
    <w:rsid w:val="00D93751"/>
    <w:rsid w:val="00DB0B00"/>
    <w:rsid w:val="00DD288E"/>
    <w:rsid w:val="00DD36A1"/>
    <w:rsid w:val="00DD569A"/>
    <w:rsid w:val="00DF1879"/>
    <w:rsid w:val="00E40180"/>
    <w:rsid w:val="00E44549"/>
    <w:rsid w:val="00E55AF0"/>
    <w:rsid w:val="00E645B6"/>
    <w:rsid w:val="00E868DC"/>
    <w:rsid w:val="00E90DDF"/>
    <w:rsid w:val="00E94580"/>
    <w:rsid w:val="00EA196A"/>
    <w:rsid w:val="00EA202D"/>
    <w:rsid w:val="00EB508A"/>
    <w:rsid w:val="00EB5CC4"/>
    <w:rsid w:val="00EC3139"/>
    <w:rsid w:val="00ED57E7"/>
    <w:rsid w:val="00EE59A5"/>
    <w:rsid w:val="00F20EA0"/>
    <w:rsid w:val="00F64B03"/>
    <w:rsid w:val="00F70C09"/>
    <w:rsid w:val="00F95A48"/>
    <w:rsid w:val="00FA1D5C"/>
    <w:rsid w:val="00FA731F"/>
    <w:rsid w:val="00FA7F00"/>
    <w:rsid w:val="00FD0A15"/>
    <w:rsid w:val="00FD1199"/>
    <w:rsid w:val="00FE1729"/>
    <w:rsid w:val="00FF3D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B01"/>
    <w:rPr>
      <w:sz w:val="24"/>
      <w:szCs w:val="24"/>
    </w:rPr>
  </w:style>
  <w:style w:type="paragraph" w:styleId="Heading1">
    <w:name w:val="heading 1"/>
    <w:basedOn w:val="Normal"/>
    <w:next w:val="Normal"/>
    <w:link w:val="Heading1Char"/>
    <w:qFormat/>
    <w:rsid w:val="00CC51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739A5"/>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8D6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28588F"/>
    <w:rPr>
      <w:sz w:val="20"/>
      <w:szCs w:val="20"/>
    </w:rPr>
  </w:style>
  <w:style w:type="character" w:customStyle="1" w:styleId="EndnoteTextChar">
    <w:name w:val="Endnote Text Char"/>
    <w:basedOn w:val="DefaultParagraphFont"/>
    <w:link w:val="EndnoteText"/>
    <w:rsid w:val="0028588F"/>
  </w:style>
  <w:style w:type="character" w:styleId="EndnoteReference">
    <w:name w:val="endnote reference"/>
    <w:basedOn w:val="DefaultParagraphFont"/>
    <w:rsid w:val="0028588F"/>
    <w:rPr>
      <w:vertAlign w:val="superscript"/>
    </w:rPr>
  </w:style>
  <w:style w:type="paragraph" w:styleId="Header">
    <w:name w:val="header"/>
    <w:basedOn w:val="Normal"/>
    <w:link w:val="HeaderChar"/>
    <w:rsid w:val="005E6570"/>
    <w:pPr>
      <w:tabs>
        <w:tab w:val="center" w:pos="4513"/>
        <w:tab w:val="right" w:pos="9026"/>
      </w:tabs>
    </w:pPr>
  </w:style>
  <w:style w:type="character" w:customStyle="1" w:styleId="HeaderChar">
    <w:name w:val="Header Char"/>
    <w:basedOn w:val="DefaultParagraphFont"/>
    <w:link w:val="Header"/>
    <w:rsid w:val="005E6570"/>
    <w:rPr>
      <w:sz w:val="24"/>
      <w:szCs w:val="24"/>
    </w:rPr>
  </w:style>
  <w:style w:type="paragraph" w:styleId="Footer">
    <w:name w:val="footer"/>
    <w:basedOn w:val="Normal"/>
    <w:link w:val="FooterChar"/>
    <w:uiPriority w:val="99"/>
    <w:rsid w:val="005E6570"/>
    <w:pPr>
      <w:tabs>
        <w:tab w:val="center" w:pos="4513"/>
        <w:tab w:val="right" w:pos="9026"/>
      </w:tabs>
    </w:pPr>
  </w:style>
  <w:style w:type="character" w:customStyle="1" w:styleId="FooterChar">
    <w:name w:val="Footer Char"/>
    <w:basedOn w:val="DefaultParagraphFont"/>
    <w:link w:val="Footer"/>
    <w:uiPriority w:val="99"/>
    <w:rsid w:val="005E6570"/>
    <w:rPr>
      <w:sz w:val="24"/>
      <w:szCs w:val="24"/>
    </w:rPr>
  </w:style>
  <w:style w:type="paragraph" w:styleId="ListParagraph">
    <w:name w:val="List Paragraph"/>
    <w:basedOn w:val="Normal"/>
    <w:uiPriority w:val="34"/>
    <w:qFormat/>
    <w:rsid w:val="005E6570"/>
    <w:pPr>
      <w:ind w:left="720"/>
      <w:contextualSpacing/>
    </w:pPr>
  </w:style>
  <w:style w:type="table" w:styleId="TableGrid">
    <w:name w:val="Table Grid"/>
    <w:basedOn w:val="TableNormal"/>
    <w:rsid w:val="00B23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739A5"/>
    <w:rPr>
      <w:b/>
      <w:bCs/>
      <w:sz w:val="36"/>
      <w:szCs w:val="36"/>
    </w:rPr>
  </w:style>
  <w:style w:type="character" w:styleId="Hyperlink">
    <w:name w:val="Hyperlink"/>
    <w:basedOn w:val="DefaultParagraphFont"/>
    <w:rsid w:val="001739A5"/>
    <w:rPr>
      <w:color w:val="0000FF" w:themeColor="hyperlink"/>
      <w:u w:val="single"/>
    </w:rPr>
  </w:style>
  <w:style w:type="paragraph" w:styleId="BalloonText">
    <w:name w:val="Balloon Text"/>
    <w:basedOn w:val="Normal"/>
    <w:link w:val="BalloonTextChar"/>
    <w:rsid w:val="008D6921"/>
    <w:rPr>
      <w:rFonts w:ascii="Tahoma" w:hAnsi="Tahoma" w:cs="Tahoma"/>
      <w:sz w:val="16"/>
      <w:szCs w:val="16"/>
    </w:rPr>
  </w:style>
  <w:style w:type="character" w:customStyle="1" w:styleId="BalloonTextChar">
    <w:name w:val="Balloon Text Char"/>
    <w:basedOn w:val="DefaultParagraphFont"/>
    <w:link w:val="BalloonText"/>
    <w:rsid w:val="008D6921"/>
    <w:rPr>
      <w:rFonts w:ascii="Tahoma" w:hAnsi="Tahoma" w:cs="Tahoma"/>
      <w:sz w:val="16"/>
      <w:szCs w:val="16"/>
    </w:rPr>
  </w:style>
  <w:style w:type="character" w:customStyle="1" w:styleId="Heading3Char">
    <w:name w:val="Heading 3 Char"/>
    <w:basedOn w:val="DefaultParagraphFont"/>
    <w:link w:val="Heading3"/>
    <w:rsid w:val="008D6921"/>
    <w:rPr>
      <w:rFonts w:asciiTheme="majorHAnsi" w:eastAsiaTheme="majorEastAsia" w:hAnsiTheme="majorHAnsi" w:cstheme="majorBidi"/>
      <w:b/>
      <w:bCs/>
      <w:color w:val="4F81BD" w:themeColor="accent1"/>
      <w:sz w:val="24"/>
      <w:szCs w:val="24"/>
    </w:rPr>
  </w:style>
  <w:style w:type="character" w:styleId="PageNumber">
    <w:name w:val="page number"/>
    <w:basedOn w:val="DefaultParagraphFont"/>
    <w:rsid w:val="004D329D"/>
  </w:style>
  <w:style w:type="paragraph" w:styleId="NoSpacing">
    <w:name w:val="No Spacing"/>
    <w:uiPriority w:val="1"/>
    <w:qFormat/>
    <w:rsid w:val="00FA1D5C"/>
    <w:rPr>
      <w:rFonts w:asciiTheme="minorHAnsi" w:eastAsiaTheme="minorHAnsi" w:hAnsiTheme="minorHAnsi" w:cstheme="minorBidi"/>
      <w:sz w:val="22"/>
      <w:szCs w:val="22"/>
      <w:lang w:eastAsia="en-US"/>
    </w:rPr>
  </w:style>
  <w:style w:type="paragraph" w:styleId="BodyText3">
    <w:name w:val="Body Text 3"/>
    <w:basedOn w:val="Normal"/>
    <w:link w:val="BodyText3Char"/>
    <w:rsid w:val="00D05730"/>
    <w:pPr>
      <w:jc w:val="center"/>
    </w:pPr>
    <w:rPr>
      <w:rFonts w:ascii="Arial" w:eastAsia="Times" w:hAnsi="Arial"/>
      <w:b/>
      <w:color w:val="008080"/>
      <w:sz w:val="22"/>
      <w:szCs w:val="20"/>
    </w:rPr>
  </w:style>
  <w:style w:type="character" w:customStyle="1" w:styleId="BodyText3Char">
    <w:name w:val="Body Text 3 Char"/>
    <w:basedOn w:val="DefaultParagraphFont"/>
    <w:link w:val="BodyText3"/>
    <w:rsid w:val="00D05730"/>
    <w:rPr>
      <w:rFonts w:ascii="Arial" w:eastAsia="Times" w:hAnsi="Arial"/>
      <w:b/>
      <w:color w:val="008080"/>
      <w:sz w:val="22"/>
    </w:rPr>
  </w:style>
  <w:style w:type="paragraph" w:styleId="Title">
    <w:name w:val="Title"/>
    <w:basedOn w:val="Normal"/>
    <w:next w:val="Normal"/>
    <w:link w:val="TitleChar"/>
    <w:qFormat/>
    <w:rsid w:val="007458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458E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CC510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11408918">
      <w:bodyDiv w:val="1"/>
      <w:marLeft w:val="0"/>
      <w:marRight w:val="0"/>
      <w:marTop w:val="0"/>
      <w:marBottom w:val="0"/>
      <w:divBdr>
        <w:top w:val="none" w:sz="0" w:space="0" w:color="auto"/>
        <w:left w:val="none" w:sz="0" w:space="0" w:color="auto"/>
        <w:bottom w:val="none" w:sz="0" w:space="0" w:color="auto"/>
        <w:right w:val="none" w:sz="0" w:space="0" w:color="auto"/>
      </w:divBdr>
    </w:div>
    <w:div w:id="638342357">
      <w:bodyDiv w:val="1"/>
      <w:marLeft w:val="0"/>
      <w:marRight w:val="0"/>
      <w:marTop w:val="0"/>
      <w:marBottom w:val="0"/>
      <w:divBdr>
        <w:top w:val="none" w:sz="0" w:space="0" w:color="auto"/>
        <w:left w:val="none" w:sz="0" w:space="0" w:color="auto"/>
        <w:bottom w:val="none" w:sz="0" w:space="0" w:color="auto"/>
        <w:right w:val="none" w:sz="0" w:space="0" w:color="auto"/>
      </w:divBdr>
      <w:divsChild>
        <w:div w:id="1707172468">
          <w:marLeft w:val="734"/>
          <w:marRight w:val="0"/>
          <w:marTop w:val="125"/>
          <w:marBottom w:val="0"/>
          <w:divBdr>
            <w:top w:val="none" w:sz="0" w:space="0" w:color="auto"/>
            <w:left w:val="none" w:sz="0" w:space="0" w:color="auto"/>
            <w:bottom w:val="none" w:sz="0" w:space="0" w:color="auto"/>
            <w:right w:val="none" w:sz="0" w:space="0" w:color="auto"/>
          </w:divBdr>
        </w:div>
      </w:divsChild>
    </w:div>
    <w:div w:id="690691560">
      <w:bodyDiv w:val="1"/>
      <w:marLeft w:val="0"/>
      <w:marRight w:val="0"/>
      <w:marTop w:val="0"/>
      <w:marBottom w:val="0"/>
      <w:divBdr>
        <w:top w:val="none" w:sz="0" w:space="0" w:color="auto"/>
        <w:left w:val="none" w:sz="0" w:space="0" w:color="auto"/>
        <w:bottom w:val="none" w:sz="0" w:space="0" w:color="auto"/>
        <w:right w:val="none" w:sz="0" w:space="0" w:color="auto"/>
      </w:divBdr>
      <w:divsChild>
        <w:div w:id="320164434">
          <w:marLeft w:val="0"/>
          <w:marRight w:val="0"/>
          <w:marTop w:val="0"/>
          <w:marBottom w:val="0"/>
          <w:divBdr>
            <w:top w:val="none" w:sz="0" w:space="0" w:color="auto"/>
            <w:left w:val="none" w:sz="0" w:space="0" w:color="auto"/>
            <w:bottom w:val="none" w:sz="0" w:space="0" w:color="auto"/>
            <w:right w:val="none" w:sz="0" w:space="0" w:color="auto"/>
          </w:divBdr>
          <w:divsChild>
            <w:div w:id="1676110596">
              <w:marLeft w:val="0"/>
              <w:marRight w:val="0"/>
              <w:marTop w:val="0"/>
              <w:marBottom w:val="0"/>
              <w:divBdr>
                <w:top w:val="none" w:sz="0" w:space="0" w:color="auto"/>
                <w:left w:val="none" w:sz="0" w:space="0" w:color="auto"/>
                <w:bottom w:val="none" w:sz="0" w:space="0" w:color="auto"/>
                <w:right w:val="none" w:sz="0" w:space="0" w:color="auto"/>
              </w:divBdr>
              <w:divsChild>
                <w:div w:id="773672187">
                  <w:marLeft w:val="0"/>
                  <w:marRight w:val="0"/>
                  <w:marTop w:val="0"/>
                  <w:marBottom w:val="0"/>
                  <w:divBdr>
                    <w:top w:val="none" w:sz="0" w:space="0" w:color="auto"/>
                    <w:left w:val="none" w:sz="0" w:space="0" w:color="auto"/>
                    <w:bottom w:val="none" w:sz="0" w:space="0" w:color="auto"/>
                    <w:right w:val="none" w:sz="0" w:space="0" w:color="auto"/>
                  </w:divBdr>
                  <w:divsChild>
                    <w:div w:id="506604541">
                      <w:marLeft w:val="0"/>
                      <w:marRight w:val="0"/>
                      <w:marTop w:val="0"/>
                      <w:marBottom w:val="0"/>
                      <w:divBdr>
                        <w:top w:val="none" w:sz="0" w:space="0" w:color="auto"/>
                        <w:left w:val="none" w:sz="0" w:space="0" w:color="auto"/>
                        <w:bottom w:val="none" w:sz="0" w:space="0" w:color="auto"/>
                        <w:right w:val="none" w:sz="0" w:space="0" w:color="auto"/>
                      </w:divBdr>
                      <w:divsChild>
                        <w:div w:id="830604185">
                          <w:marLeft w:val="0"/>
                          <w:marRight w:val="0"/>
                          <w:marTop w:val="0"/>
                          <w:marBottom w:val="0"/>
                          <w:divBdr>
                            <w:top w:val="none" w:sz="0" w:space="0" w:color="auto"/>
                            <w:left w:val="none" w:sz="0" w:space="0" w:color="auto"/>
                            <w:bottom w:val="none" w:sz="0" w:space="0" w:color="auto"/>
                            <w:right w:val="none" w:sz="0" w:space="0" w:color="auto"/>
                          </w:divBdr>
                          <w:divsChild>
                            <w:div w:id="2063358817">
                              <w:marLeft w:val="0"/>
                              <w:marRight w:val="0"/>
                              <w:marTop w:val="0"/>
                              <w:marBottom w:val="0"/>
                              <w:divBdr>
                                <w:top w:val="none" w:sz="0" w:space="0" w:color="auto"/>
                                <w:left w:val="none" w:sz="0" w:space="0" w:color="auto"/>
                                <w:bottom w:val="none" w:sz="0" w:space="0" w:color="auto"/>
                                <w:right w:val="none" w:sz="0" w:space="0" w:color="auto"/>
                              </w:divBdr>
                              <w:divsChild>
                                <w:div w:id="1781025030">
                                  <w:marLeft w:val="0"/>
                                  <w:marRight w:val="0"/>
                                  <w:marTop w:val="0"/>
                                  <w:marBottom w:val="0"/>
                                  <w:divBdr>
                                    <w:top w:val="none" w:sz="0" w:space="0" w:color="auto"/>
                                    <w:left w:val="none" w:sz="0" w:space="0" w:color="auto"/>
                                    <w:bottom w:val="none" w:sz="0" w:space="0" w:color="auto"/>
                                    <w:right w:val="none" w:sz="0" w:space="0" w:color="auto"/>
                                  </w:divBdr>
                                  <w:divsChild>
                                    <w:div w:id="1831630078">
                                      <w:marLeft w:val="0"/>
                                      <w:marRight w:val="0"/>
                                      <w:marTop w:val="0"/>
                                      <w:marBottom w:val="0"/>
                                      <w:divBdr>
                                        <w:top w:val="none" w:sz="0" w:space="0" w:color="auto"/>
                                        <w:left w:val="none" w:sz="0" w:space="0" w:color="auto"/>
                                        <w:bottom w:val="none" w:sz="0" w:space="0" w:color="auto"/>
                                        <w:right w:val="none" w:sz="0" w:space="0" w:color="auto"/>
                                      </w:divBdr>
                                      <w:divsChild>
                                        <w:div w:id="667288312">
                                          <w:marLeft w:val="0"/>
                                          <w:marRight w:val="0"/>
                                          <w:marTop w:val="0"/>
                                          <w:marBottom w:val="0"/>
                                          <w:divBdr>
                                            <w:top w:val="none" w:sz="0" w:space="0" w:color="auto"/>
                                            <w:left w:val="none" w:sz="0" w:space="0" w:color="auto"/>
                                            <w:bottom w:val="none" w:sz="0" w:space="0" w:color="auto"/>
                                            <w:right w:val="none" w:sz="0" w:space="0" w:color="auto"/>
                                          </w:divBdr>
                                          <w:divsChild>
                                            <w:div w:id="1072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endnotes.xml.rels><?xml version="1.0" encoding="UTF-8" standalone="yes"?>
<Relationships xmlns="http://schemas.openxmlformats.org/package/2006/relationships"><Relationship Id="rId1" Type="http://schemas.openxmlformats.org/officeDocument/2006/relationships/hyperlink" Target="http://www.dh.gov.uk/en/Publicationsandstatistics/Publications/PublicationsPolicyAndGuidance/DH_121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DEE4-BC05-40F6-9479-A22F8B74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5999</Words>
  <Characters>34198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2011-05-20T13:12:00Z</dcterms:created>
  <dcterms:modified xsi:type="dcterms:W3CDTF">2011-05-20T13:12:00Z</dcterms:modified>
</cp:coreProperties>
</file>