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2A" w:rsidRPr="005176AC" w:rsidRDefault="00F30A03" w:rsidP="00F30A03">
      <w:pPr>
        <w:pStyle w:val="Title"/>
        <w:jc w:val="center"/>
      </w:pPr>
      <w:r>
        <w:t>Students Car Use and its Effect on Environmental Attitudes</w:t>
      </w:r>
    </w:p>
    <w:p w:rsidR="003C778F" w:rsidRPr="005176AC" w:rsidRDefault="00F30A03" w:rsidP="00337EEC">
      <w:pPr>
        <w:pStyle w:val="Heading2"/>
      </w:pPr>
      <w:r>
        <w:t>Dr Steve Melia</w:t>
      </w:r>
    </w:p>
    <w:p w:rsidR="003C778F" w:rsidRPr="005176AC" w:rsidRDefault="00F30A03" w:rsidP="003C778F">
      <w:pPr>
        <w:pStyle w:val="body"/>
        <w:rPr>
          <w:rFonts w:cs="Arial"/>
        </w:rPr>
      </w:pPr>
      <w:r>
        <w:rPr>
          <w:rFonts w:cs="Arial"/>
        </w:rPr>
        <w:t>University of the West of England</w:t>
      </w:r>
    </w:p>
    <w:p w:rsidR="003673DB" w:rsidRPr="00337EEC" w:rsidRDefault="003673DB" w:rsidP="005C2CAE">
      <w:pPr>
        <w:pStyle w:val="Heading1"/>
      </w:pPr>
      <w:r w:rsidRPr="00337EEC">
        <w:t>Abstract</w:t>
      </w:r>
      <w:r w:rsidR="0095417E">
        <w:t xml:space="preserve"> </w:t>
      </w:r>
    </w:p>
    <w:p w:rsidR="003C778F" w:rsidRPr="005176AC" w:rsidRDefault="003C778F" w:rsidP="003C778F">
      <w:pPr>
        <w:rPr>
          <w:rFonts w:cs="Arial"/>
          <w:sz w:val="22"/>
          <w:szCs w:val="22"/>
        </w:rPr>
      </w:pPr>
      <w:r w:rsidRPr="005176AC">
        <w:rPr>
          <w:rFonts w:cs="Arial"/>
          <w:sz w:val="22"/>
          <w:szCs w:val="22"/>
        </w:rPr>
        <w:t>(</w:t>
      </w:r>
      <w:r>
        <w:rPr>
          <w:rFonts w:cs="Arial"/>
          <w:sz w:val="22"/>
          <w:szCs w:val="22"/>
        </w:rPr>
        <w:t>Type abstract</w:t>
      </w:r>
      <w:r w:rsidRPr="005176AC">
        <w:rPr>
          <w:rFonts w:cs="Arial"/>
          <w:sz w:val="22"/>
          <w:szCs w:val="22"/>
        </w:rPr>
        <w:t xml:space="preserve"> </w:t>
      </w:r>
      <w:r>
        <w:rPr>
          <w:rFonts w:cs="Arial"/>
          <w:sz w:val="22"/>
          <w:szCs w:val="22"/>
        </w:rPr>
        <w:t>here (200 words) use body</w:t>
      </w:r>
      <w:r w:rsidRPr="005176AC">
        <w:rPr>
          <w:rFonts w:cs="Arial"/>
          <w:sz w:val="22"/>
          <w:szCs w:val="22"/>
        </w:rPr>
        <w:t>)</w:t>
      </w:r>
    </w:p>
    <w:p w:rsidR="00D74B43" w:rsidRDefault="00D74B43" w:rsidP="00D74B43">
      <w:pPr>
        <w:pStyle w:val="Body0"/>
      </w:pPr>
      <w:r>
        <w:t>This study</w:t>
      </w:r>
      <w:r w:rsidRPr="0095417E">
        <w:t xml:space="preserve"> concerns the relationship between students’ travel behaviour and their attitudes</w:t>
      </w:r>
      <w:r>
        <w:t xml:space="preserve"> towards environmental issues.  Previous studies have </w:t>
      </w:r>
      <w:r w:rsidR="00B7121C">
        <w:t>shown</w:t>
      </w:r>
      <w:r>
        <w:t xml:space="preserve"> car use </w:t>
      </w:r>
      <w:r w:rsidR="00B7121C">
        <w:t>correlated with</w:t>
      </w:r>
      <w:r>
        <w:t xml:space="preserve"> atti</w:t>
      </w:r>
      <w:r w:rsidR="00B7121C">
        <w:t>tudes towards climate change, and with attitudes towards various policy measures designed to reduce car use.</w:t>
      </w:r>
      <w:r>
        <w:t xml:space="preserve">  This study aimed to explore these relationships amongst students.  305 questionnaires were completed by undergraduates </w:t>
      </w:r>
      <w:r w:rsidR="00B7121C">
        <w:t>from several</w:t>
      </w:r>
      <w:r>
        <w:t xml:space="preserve"> built environment courses.  The findings reveal a surprisingly high level of car availability and use, even amongst first years living on campus with no parking.  There is a statistically significant relationship between car availability and level of concern about climate change</w:t>
      </w:r>
      <w:r w:rsidR="00936AA0">
        <w:t>, though the differences are small</w:t>
      </w:r>
      <w:r>
        <w:t>.  There was no significant relationship between car ownership or use and acceptance of scientific evidence about climate change, although there was a significant gender difference: all of the ‘climate sceptics’ in the sample were male.   There were strong associations between car availability/use and support for policies around parking and allocation of road spa</w:t>
      </w:r>
      <w:r w:rsidR="00936AA0">
        <w:t>ce to pedestrians and cyclists, but not with other measures</w:t>
      </w:r>
      <w:r>
        <w:t xml:space="preserve"> such as investment in rail and increasing tax on petrol.   The conclusions of this paper consider the implications of the findings for teaching of sustainable transport and climate change </w:t>
      </w:r>
      <w:r w:rsidR="00B7121C">
        <w:t xml:space="preserve">issues </w:t>
      </w:r>
      <w:r>
        <w:t xml:space="preserve">to built environment students. </w:t>
      </w:r>
    </w:p>
    <w:p w:rsidR="00C13302" w:rsidRDefault="00C13302" w:rsidP="00D74B43">
      <w:pPr>
        <w:pStyle w:val="Body0"/>
      </w:pPr>
    </w:p>
    <w:p w:rsidR="004E2BFA" w:rsidRDefault="0095417E" w:rsidP="00337EEC">
      <w:pPr>
        <w:pStyle w:val="Heading2"/>
        <w:rPr>
          <w:rStyle w:val="bodyChar1"/>
          <w:b w:val="0"/>
        </w:rPr>
      </w:pPr>
      <w:r>
        <w:t xml:space="preserve">Keywords: </w:t>
      </w:r>
      <w:r w:rsidR="003C778F">
        <w:t xml:space="preserve"> </w:t>
      </w:r>
      <w:r w:rsidR="003C778F" w:rsidRPr="004E2BFA">
        <w:rPr>
          <w:rStyle w:val="bodyChar1"/>
          <w:b w:val="0"/>
        </w:rPr>
        <w:t>(please use body for keywords)</w:t>
      </w:r>
    </w:p>
    <w:p w:rsidR="00C13302" w:rsidRDefault="00C13302" w:rsidP="00C13302">
      <w:pPr>
        <w:pStyle w:val="Body0"/>
      </w:pPr>
    </w:p>
    <w:p w:rsidR="00C13302" w:rsidRPr="00C13302" w:rsidRDefault="00C13302" w:rsidP="00C13302">
      <w:pPr>
        <w:pStyle w:val="Body0"/>
      </w:pPr>
      <w:r>
        <w:t>car use amongst students; attitudes to climate change; attitudes to sustainable transport</w:t>
      </w:r>
    </w:p>
    <w:p w:rsidR="006A674B" w:rsidRDefault="006A674B" w:rsidP="00D74B43">
      <w:pPr>
        <w:pStyle w:val="Body0"/>
        <w:rPr>
          <w:rStyle w:val="bodyChar1"/>
          <w:b/>
        </w:rPr>
      </w:pPr>
    </w:p>
    <w:p w:rsidR="004E2BFA" w:rsidRPr="0095417E" w:rsidRDefault="004E2BFA" w:rsidP="005C2CAE">
      <w:pPr>
        <w:pStyle w:val="Heading1"/>
      </w:pPr>
      <w:r>
        <w:rPr>
          <w:rStyle w:val="bodyChar1"/>
          <w:b w:val="0"/>
        </w:rPr>
        <w:br w:type="page"/>
      </w:r>
      <w:r w:rsidR="00FB52CF" w:rsidRPr="0095417E">
        <w:lastRenderedPageBreak/>
        <w:t>Introduction</w:t>
      </w:r>
      <w:r w:rsidR="0095417E" w:rsidRPr="0095417E">
        <w:t xml:space="preserve"> </w:t>
      </w:r>
    </w:p>
    <w:p w:rsidR="0095417E" w:rsidRDefault="006A674B" w:rsidP="0095417E">
      <w:pPr>
        <w:pStyle w:val="Body0"/>
      </w:pPr>
      <w:r w:rsidRPr="0095417E">
        <w:t xml:space="preserve">The research project described in this report concerns the relationship between students’ travel behaviour and their attitudes towards environmental issues.  </w:t>
      </w:r>
      <w:r w:rsidR="0095417E" w:rsidRPr="0095417E">
        <w:t>It aims to assess the impact – if any – of car ownership and use on students</w:t>
      </w:r>
      <w:r w:rsidR="007776B5">
        <w:t>’</w:t>
      </w:r>
      <w:r w:rsidR="0095417E" w:rsidRPr="0095417E">
        <w:t xml:space="preserve"> attitude towards climate change and policy measures designed to reduce car use.  </w:t>
      </w:r>
      <w:r w:rsidR="0095417E">
        <w:t>The transport literature, briefly reviewed below, suggests that car ownership and use are associated</w:t>
      </w:r>
      <w:r w:rsidR="007776B5">
        <w:t>, in the population at large,</w:t>
      </w:r>
      <w:r w:rsidR="0095417E">
        <w:t xml:space="preserve"> with differences in </w:t>
      </w:r>
      <w:r w:rsidR="007776B5">
        <w:t xml:space="preserve">attitudes towards both of these subjects.  The pattern is a complex one, however, and the causal mechanisms are poorly understood.  </w:t>
      </w:r>
    </w:p>
    <w:p w:rsidR="007776B5" w:rsidRDefault="007776B5" w:rsidP="0095417E">
      <w:pPr>
        <w:pStyle w:val="Body0"/>
      </w:pPr>
      <w:r>
        <w:t>The United Nations declaration 57/254 for a ‘Decade of Sustainable Education’ beginning in 2005 increased attention on the teaching of principles related to sustainable development</w:t>
      </w:r>
      <w:r w:rsidRPr="007776B5">
        <w:t xml:space="preserve"> </w:t>
      </w:r>
      <w:r>
        <w:t xml:space="preserve">in higher education.  A substantial body of literature has examined both the pedagogical challenges and some factors which may have a bearing on students’ receptiveness to these principles.  </w:t>
      </w:r>
      <w:r w:rsidR="00242908">
        <w:t xml:space="preserve">There has been relatively little focus on the influence of external circumstances such as those considered in this study.  </w:t>
      </w:r>
    </w:p>
    <w:p w:rsidR="006A674B" w:rsidRDefault="0013059C" w:rsidP="00A34262">
      <w:pPr>
        <w:pStyle w:val="Body0"/>
      </w:pPr>
      <w:r>
        <w:t xml:space="preserve">The University of the West of England has responded to the sustainable education agenda with an objective to expose all students to “the context of sustainable development for their professional lives” </w:t>
      </w:r>
      <w:r w:rsidR="00E10957">
        <w:fldChar w:fldCharType="begin"/>
      </w:r>
      <w:r w:rsidR="0074515C">
        <w:instrText>ADDIN RW.CITE{{1949 UWE 2011}}</w:instrText>
      </w:r>
      <w:r w:rsidR="00E10957">
        <w:fldChar w:fldCharType="separate"/>
      </w:r>
      <w:r w:rsidR="0030734E">
        <w:t>(UWE, 2011)</w:t>
      </w:r>
      <w:r w:rsidR="00E10957">
        <w:fldChar w:fldCharType="end"/>
      </w:r>
      <w:r>
        <w:t xml:space="preserve">.  </w:t>
      </w:r>
      <w:r w:rsidR="00242908">
        <w:t xml:space="preserve">The study </w:t>
      </w:r>
      <w:r w:rsidR="0095417E">
        <w:t>coincided</w:t>
      </w:r>
      <w:r w:rsidR="00242908">
        <w:t>, and was partly prompted by,</w:t>
      </w:r>
      <w:r w:rsidR="0095417E">
        <w:t xml:space="preserve"> the author assuming leadership of a module</w:t>
      </w:r>
      <w:r w:rsidR="00B22357">
        <w:t xml:space="preserve">, </w:t>
      </w:r>
      <w:r w:rsidR="00810BF5" w:rsidRPr="00810BF5">
        <w:rPr>
          <w:i/>
        </w:rPr>
        <w:t>Society &amp; the Car</w:t>
      </w:r>
      <w:r w:rsidR="00810BF5">
        <w:t xml:space="preserve">, </w:t>
      </w:r>
      <w:r w:rsidR="00242908">
        <w:t xml:space="preserve">open to undergraduates from a range of built environment programmes, where these issues form part of the curriculum.  </w:t>
      </w:r>
    </w:p>
    <w:p w:rsidR="0013059C" w:rsidRDefault="0013059C" w:rsidP="00A34262">
      <w:pPr>
        <w:pStyle w:val="Body0"/>
      </w:pPr>
      <w:r>
        <w:t xml:space="preserve">Prompted partly by broader sustainability objectives, and partly by planning restrictions on its main campus, UWE has implemented a travel plan which aims to reduce commuting by car.  </w:t>
      </w:r>
      <w:r w:rsidR="00B7121C">
        <w:t>F</w:t>
      </w:r>
      <w:r>
        <w:t xml:space="preserve">irst year undergraduates </w:t>
      </w:r>
      <w:r w:rsidR="00B7121C">
        <w:t>living on</w:t>
      </w:r>
      <w:r w:rsidR="00B65CA0">
        <w:t xml:space="preserve"> campus are not allowed to park on the site, and are discouraged from parking in the surrounding area, where the local authority has been gradually </w:t>
      </w:r>
      <w:r w:rsidR="00ED62DC">
        <w:t>introducing</w:t>
      </w:r>
      <w:r w:rsidR="00B65CA0">
        <w:t xml:space="preserve"> parking restrictions</w:t>
      </w:r>
      <w:r>
        <w:t>.  This study also aimed to assess the effect of these restrictions on car ownership and use across the three years of undergraduate degrees.</w:t>
      </w:r>
    </w:p>
    <w:p w:rsidR="0095417E" w:rsidRDefault="0095417E" w:rsidP="00A34262">
      <w:pPr>
        <w:pStyle w:val="Body0"/>
      </w:pPr>
    </w:p>
    <w:p w:rsidR="006A674B" w:rsidRPr="00DF12EB" w:rsidRDefault="0013059C" w:rsidP="005C2CAE">
      <w:pPr>
        <w:pStyle w:val="Heading1"/>
      </w:pPr>
      <w:r>
        <w:t>Literature Review</w:t>
      </w:r>
    </w:p>
    <w:p w:rsidR="00242908" w:rsidRDefault="00242908" w:rsidP="00A34262">
      <w:pPr>
        <w:pStyle w:val="Body0"/>
      </w:pPr>
      <w:r>
        <w:t xml:space="preserve">The challenges of teaching sustainability have been extensively analysed in the higher education literature as reviewed by </w:t>
      </w:r>
      <w:proofErr w:type="spellStart"/>
      <w:r>
        <w:t>Dawe</w:t>
      </w:r>
      <w:proofErr w:type="spellEnd"/>
      <w:r>
        <w:t xml:space="preserve"> et al </w:t>
      </w:r>
      <w:r w:rsidR="00E10957">
        <w:fldChar w:fldCharType="begin"/>
      </w:r>
      <w:r w:rsidR="0074515C">
        <w:instrText>ADDIN RW.CITE{{1941 Dawe,Gerald 2005/a;}}</w:instrText>
      </w:r>
      <w:r w:rsidR="00E10957">
        <w:fldChar w:fldCharType="separate"/>
      </w:r>
      <w:r w:rsidR="0030734E">
        <w:t>(2005)</w:t>
      </w:r>
      <w:r w:rsidR="00E10957">
        <w:fldChar w:fldCharType="end"/>
      </w:r>
      <w:r>
        <w:t xml:space="preserve">.  They identified a lack of relevance to the subject area as one of the barriers to more comprehensive teaching of sustainability though this was perceived to be less so in Built Environment subjects.  None of the barriers listed related to students’ receptiveness to, or engagement with, issues of sustainability.  Several studies have examined the influence of personality traits </w:t>
      </w:r>
      <w:r w:rsidR="00E10957">
        <w:fldChar w:fldCharType="begin"/>
      </w:r>
      <w:r>
        <w:instrText>ADDIN RW.CITE{{1916 Kokkarinen,N. 2010/f summarises this literature;}}</w:instrText>
      </w:r>
      <w:r w:rsidR="00E10957">
        <w:fldChar w:fldCharType="separate"/>
      </w:r>
      <w:r w:rsidR="0030734E">
        <w:t>(Kokkarinen and Cotgrave, 2010 summarises this literature)</w:t>
      </w:r>
      <w:r w:rsidR="00E10957">
        <w:fldChar w:fldCharType="end"/>
      </w:r>
      <w:r>
        <w:t xml:space="preserve"> but much less attention has been paid to how external circumstances such as those analysed by this project may influence this receptiveness.</w:t>
      </w:r>
    </w:p>
    <w:p w:rsidR="00242908" w:rsidRDefault="00242908" w:rsidP="00A34262">
      <w:pPr>
        <w:pStyle w:val="Body0"/>
      </w:pPr>
    </w:p>
    <w:p w:rsidR="00851CE4" w:rsidRDefault="00851CE4" w:rsidP="00A34262">
      <w:pPr>
        <w:pStyle w:val="Body0"/>
      </w:pPr>
    </w:p>
    <w:p w:rsidR="0013059C" w:rsidRDefault="0013059C" w:rsidP="00A34262">
      <w:pPr>
        <w:pStyle w:val="Body0"/>
      </w:pPr>
    </w:p>
    <w:p w:rsidR="00B22357" w:rsidRDefault="004C3D65" w:rsidP="00A34262">
      <w:pPr>
        <w:pStyle w:val="Body0"/>
      </w:pPr>
      <w:r>
        <w:t xml:space="preserve">Much of the impetus for the teaching of sustainability has been prompted by concern about climate change.  </w:t>
      </w:r>
      <w:r w:rsidR="00B22357">
        <w:t xml:space="preserve">The implications of climate change for transport policy was an important theme for </w:t>
      </w:r>
      <w:r w:rsidR="00B22357" w:rsidRPr="00B22357">
        <w:rPr>
          <w:i/>
        </w:rPr>
        <w:t>Society &amp; the Car</w:t>
      </w:r>
      <w:r w:rsidR="00B22357">
        <w:t xml:space="preserve">.  The students’ own experience of car ownership and/or use, and the influence this might bring to their attitudes towards the material in the module, was discussed in the first session.  Whereas the links between car use and </w:t>
      </w:r>
      <w:r w:rsidR="00810BF5">
        <w:t xml:space="preserve">their </w:t>
      </w:r>
      <w:r w:rsidR="00B22357">
        <w:t>attitudes towards transport policy were apparent</w:t>
      </w:r>
      <w:r w:rsidR="00810BF5">
        <w:t xml:space="preserve"> from that discussion</w:t>
      </w:r>
      <w:r w:rsidR="00B22357">
        <w:t xml:space="preserve">, whether car use would also affect </w:t>
      </w:r>
      <w:r w:rsidR="00810BF5">
        <w:t xml:space="preserve">their </w:t>
      </w:r>
      <w:r w:rsidR="00B22357">
        <w:t>attitudes to climate change was unclear.</w:t>
      </w:r>
    </w:p>
    <w:p w:rsidR="006A674B" w:rsidRDefault="0013059C" w:rsidP="00A34262">
      <w:pPr>
        <w:pStyle w:val="Body0"/>
      </w:pPr>
      <w:r>
        <w:t>A report for the Department for Transport</w:t>
      </w:r>
      <w:r w:rsidR="00851CE4">
        <w:t xml:space="preserve"> </w:t>
      </w:r>
      <w:r w:rsidR="00E10957">
        <w:fldChar w:fldCharType="begin"/>
      </w:r>
      <w:r>
        <w:instrText>ADDIN RW.CITE{{1904 DfT 2010;}}</w:instrText>
      </w:r>
      <w:r w:rsidR="00E10957">
        <w:fldChar w:fldCharType="separate"/>
      </w:r>
      <w:r w:rsidR="0030734E">
        <w:t>(DfT, 2010)</w:t>
      </w:r>
      <w:r w:rsidR="00E10957">
        <w:fldChar w:fldCharType="end"/>
      </w:r>
      <w:r>
        <w:t xml:space="preserve"> illustrate</w:t>
      </w:r>
      <w:r w:rsidR="004C3D65">
        <w:t>s (graphically)</w:t>
      </w:r>
      <w:r>
        <w:t xml:space="preserve"> that concern about climate change is negatively correlated with the frequency of car use.  The </w:t>
      </w:r>
      <w:r w:rsidR="00936AA0">
        <w:t>dataset</w:t>
      </w:r>
      <w:r>
        <w:t xml:space="preserve"> from an emerging study </w:t>
      </w:r>
      <w:r w:rsidR="00E10957">
        <w:fldChar w:fldCharType="begin"/>
      </w:r>
      <w:r w:rsidR="0074515C">
        <w:instrText>ADDIN RW.CITE{{1906 Thornton, A. 2010/f recently published online along with the interim report;}}</w:instrText>
      </w:r>
      <w:r w:rsidR="00E10957">
        <w:fldChar w:fldCharType="separate"/>
      </w:r>
      <w:r w:rsidR="0030734E">
        <w:t>(Thornton et al, 2010 recently published online along with the interim report)</w:t>
      </w:r>
      <w:r w:rsidR="00E10957">
        <w:fldChar w:fldCharType="end"/>
      </w:r>
      <w:r>
        <w:t xml:space="preserve"> provide some more detail in this respect.  </w:t>
      </w:r>
      <w:r w:rsidR="00E10957">
        <w:fldChar w:fldCharType="begin"/>
      </w:r>
      <w:r w:rsidR="003219C8">
        <w:instrText xml:space="preserve"> REF _Ref289355256 \h </w:instrText>
      </w:r>
      <w:r w:rsidR="00E10957">
        <w:fldChar w:fldCharType="separate"/>
      </w:r>
      <w:r w:rsidR="00ED3260">
        <w:t xml:space="preserve">Table </w:t>
      </w:r>
      <w:r w:rsidR="00ED3260">
        <w:rPr>
          <w:noProof/>
        </w:rPr>
        <w:t>1</w:t>
      </w:r>
      <w:r w:rsidR="00E10957">
        <w:fldChar w:fldCharType="end"/>
      </w:r>
      <w:r w:rsidR="003219C8">
        <w:t xml:space="preserve"> </w:t>
      </w:r>
      <w:r w:rsidR="00936AA0">
        <w:t>presents a statistical analysis (two-</w:t>
      </w:r>
      <w:proofErr w:type="gramStart"/>
      <w:r w:rsidR="00936AA0">
        <w:t>tailed ‘t’</w:t>
      </w:r>
      <w:proofErr w:type="gramEnd"/>
      <w:r w:rsidR="00936AA0">
        <w:t xml:space="preserve"> tests) performed by the author of this paper on the dataset from Thornton et al (2010). </w:t>
      </w:r>
    </w:p>
    <w:p w:rsidR="00C12E47" w:rsidRDefault="00C12E47" w:rsidP="00C12E47">
      <w:pPr>
        <w:pStyle w:val="Caption"/>
        <w:jc w:val="center"/>
      </w:pPr>
    </w:p>
    <w:p w:rsidR="00C12E47" w:rsidRPr="00F07E1C" w:rsidRDefault="00C12E47" w:rsidP="00C12E47">
      <w:pPr>
        <w:pStyle w:val="Caption"/>
        <w:jc w:val="center"/>
      </w:pPr>
      <w:bookmarkStart w:id="0" w:name="_Ref289355256"/>
      <w:r>
        <w:t xml:space="preserve">Table </w:t>
      </w:r>
      <w:r w:rsidR="00E10957">
        <w:fldChar w:fldCharType="begin"/>
      </w:r>
      <w:r w:rsidR="006E0FB7">
        <w:instrText xml:space="preserve"> SEQ Table \* ARABIC </w:instrText>
      </w:r>
      <w:r w:rsidR="00E10957">
        <w:fldChar w:fldCharType="separate"/>
      </w:r>
      <w:r w:rsidR="00ED3260">
        <w:rPr>
          <w:noProof/>
        </w:rPr>
        <w:t>1</w:t>
      </w:r>
      <w:r w:rsidR="00E10957">
        <w:rPr>
          <w:noProof/>
        </w:rPr>
        <w:fldChar w:fldCharType="end"/>
      </w:r>
      <w:bookmarkEnd w:id="0"/>
      <w:r w:rsidRPr="00F4522E">
        <w:t xml:space="preserve"> Level of concern about climate change from Thornton et al (2010)</w:t>
      </w:r>
      <w:r w:rsidRPr="00F4522E">
        <w:cr/>
      </w:r>
      <w:r>
        <w:t>[</w:t>
      </w:r>
      <w:r w:rsidRPr="00F4522E">
        <w:rPr>
          <w:b w:val="0"/>
        </w:rPr>
        <w:t>Associations/correlations significant at the 95% level are</w:t>
      </w:r>
      <w:r w:rsidRPr="00F07E1C">
        <w:t xml:space="preserve"> emboldened]</w:t>
      </w:r>
    </w:p>
    <w:tbl>
      <w:tblPr>
        <w:tblStyle w:val="TableGrid"/>
        <w:tblW w:w="0" w:type="auto"/>
        <w:jc w:val="center"/>
        <w:tblLook w:val="04A0"/>
      </w:tblPr>
      <w:tblGrid>
        <w:gridCol w:w="2093"/>
        <w:gridCol w:w="327"/>
        <w:gridCol w:w="1340"/>
        <w:gridCol w:w="2158"/>
        <w:gridCol w:w="471"/>
        <w:gridCol w:w="1302"/>
        <w:gridCol w:w="834"/>
      </w:tblGrid>
      <w:tr w:rsidR="006A674B" w:rsidRPr="009A47AF" w:rsidTr="00F4522E">
        <w:trPr>
          <w:jc w:val="center"/>
        </w:trPr>
        <w:tc>
          <w:tcPr>
            <w:tcW w:w="2093" w:type="dxa"/>
            <w:tcBorders>
              <w:top w:val="single" w:sz="4" w:space="0" w:color="auto"/>
              <w:left w:val="nil"/>
              <w:bottom w:val="single" w:sz="4" w:space="0" w:color="auto"/>
              <w:right w:val="nil"/>
            </w:tcBorders>
            <w:shd w:val="clear" w:color="auto" w:fill="FFFFFF" w:themeFill="background1"/>
          </w:tcPr>
          <w:p w:rsidR="006A674B" w:rsidRPr="009A47AF" w:rsidRDefault="006A674B" w:rsidP="0084355D">
            <w:pPr>
              <w:pStyle w:val="Body0"/>
              <w:keepNext/>
              <w:rPr>
                <w:b/>
              </w:rPr>
            </w:pPr>
          </w:p>
        </w:tc>
        <w:tc>
          <w:tcPr>
            <w:tcW w:w="1667" w:type="dxa"/>
            <w:gridSpan w:val="2"/>
            <w:tcBorders>
              <w:top w:val="single" w:sz="4" w:space="0" w:color="auto"/>
              <w:left w:val="nil"/>
              <w:bottom w:val="single" w:sz="4" w:space="0" w:color="auto"/>
              <w:right w:val="nil"/>
            </w:tcBorders>
            <w:shd w:val="clear" w:color="auto" w:fill="FFFFFF" w:themeFill="background1"/>
          </w:tcPr>
          <w:p w:rsidR="006A674B" w:rsidRPr="009A47AF" w:rsidRDefault="006A674B" w:rsidP="0084355D">
            <w:pPr>
              <w:pStyle w:val="Body0"/>
              <w:keepNext/>
              <w:rPr>
                <w:b/>
              </w:rPr>
            </w:pPr>
            <w:r>
              <w:rPr>
                <w:b/>
              </w:rPr>
              <w:t>Very or fairly concerned</w:t>
            </w:r>
          </w:p>
        </w:tc>
        <w:tc>
          <w:tcPr>
            <w:tcW w:w="2158" w:type="dxa"/>
            <w:tcBorders>
              <w:top w:val="single" w:sz="4" w:space="0" w:color="auto"/>
              <w:left w:val="nil"/>
              <w:bottom w:val="single" w:sz="4" w:space="0" w:color="auto"/>
              <w:right w:val="nil"/>
            </w:tcBorders>
            <w:shd w:val="clear" w:color="auto" w:fill="FFFFFF" w:themeFill="background1"/>
          </w:tcPr>
          <w:p w:rsidR="006A674B" w:rsidRPr="009A47AF" w:rsidRDefault="006A674B" w:rsidP="0084355D">
            <w:pPr>
              <w:pStyle w:val="Body0"/>
              <w:keepNext/>
              <w:rPr>
                <w:b/>
              </w:rPr>
            </w:pPr>
          </w:p>
        </w:tc>
        <w:tc>
          <w:tcPr>
            <w:tcW w:w="1773" w:type="dxa"/>
            <w:gridSpan w:val="2"/>
            <w:tcBorders>
              <w:top w:val="single" w:sz="4" w:space="0" w:color="auto"/>
              <w:left w:val="nil"/>
              <w:bottom w:val="single" w:sz="4" w:space="0" w:color="auto"/>
              <w:right w:val="nil"/>
            </w:tcBorders>
            <w:shd w:val="clear" w:color="auto" w:fill="FFFFFF" w:themeFill="background1"/>
          </w:tcPr>
          <w:p w:rsidR="006A674B" w:rsidRPr="009A47AF" w:rsidRDefault="006A674B" w:rsidP="0084355D">
            <w:pPr>
              <w:pStyle w:val="Body0"/>
              <w:keepNext/>
              <w:rPr>
                <w:b/>
              </w:rPr>
            </w:pPr>
            <w:r>
              <w:rPr>
                <w:b/>
              </w:rPr>
              <w:t>Very or fairly concerned</w:t>
            </w:r>
          </w:p>
        </w:tc>
        <w:tc>
          <w:tcPr>
            <w:tcW w:w="831" w:type="dxa"/>
            <w:tcBorders>
              <w:top w:val="single" w:sz="4" w:space="0" w:color="auto"/>
              <w:left w:val="nil"/>
              <w:bottom w:val="single" w:sz="4" w:space="0" w:color="auto"/>
              <w:right w:val="nil"/>
            </w:tcBorders>
            <w:shd w:val="clear" w:color="auto" w:fill="FFFFFF" w:themeFill="background1"/>
            <w:vAlign w:val="center"/>
          </w:tcPr>
          <w:p w:rsidR="006A674B" w:rsidRPr="009A47AF" w:rsidRDefault="006A674B" w:rsidP="00810BF5">
            <w:pPr>
              <w:pStyle w:val="Body0"/>
              <w:keepNext/>
              <w:jc w:val="center"/>
              <w:rPr>
                <w:b/>
              </w:rPr>
            </w:pPr>
            <w:r w:rsidRPr="009A47AF">
              <w:rPr>
                <w:b/>
              </w:rPr>
              <w:t>ρ</w:t>
            </w:r>
          </w:p>
        </w:tc>
      </w:tr>
      <w:tr w:rsidR="006A674B" w:rsidRPr="00986CE8" w:rsidTr="00810BF5">
        <w:trPr>
          <w:jc w:val="center"/>
        </w:trPr>
        <w:tc>
          <w:tcPr>
            <w:tcW w:w="2420" w:type="dxa"/>
            <w:gridSpan w:val="2"/>
            <w:tcBorders>
              <w:top w:val="single" w:sz="4" w:space="0" w:color="auto"/>
              <w:left w:val="nil"/>
              <w:bottom w:val="nil"/>
              <w:right w:val="nil"/>
            </w:tcBorders>
            <w:vAlign w:val="center"/>
          </w:tcPr>
          <w:p w:rsidR="006A674B" w:rsidRPr="00986CE8" w:rsidRDefault="006A674B" w:rsidP="0084355D">
            <w:pPr>
              <w:pStyle w:val="Body0"/>
              <w:keepNext/>
              <w:rPr>
                <w:sz w:val="20"/>
              </w:rPr>
            </w:pPr>
            <w:r w:rsidRPr="00986CE8">
              <w:rPr>
                <w:sz w:val="20"/>
              </w:rPr>
              <w:t>Drivers</w:t>
            </w:r>
          </w:p>
        </w:tc>
        <w:tc>
          <w:tcPr>
            <w:tcW w:w="1340" w:type="dxa"/>
            <w:tcBorders>
              <w:top w:val="single" w:sz="4" w:space="0" w:color="auto"/>
              <w:left w:val="nil"/>
              <w:bottom w:val="nil"/>
              <w:right w:val="nil"/>
            </w:tcBorders>
            <w:vAlign w:val="bottom"/>
          </w:tcPr>
          <w:p w:rsidR="006A674B" w:rsidRPr="00986CE8" w:rsidRDefault="006A674B" w:rsidP="0084355D">
            <w:pPr>
              <w:pStyle w:val="Body0"/>
              <w:keepNext/>
              <w:rPr>
                <w:sz w:val="20"/>
              </w:rPr>
            </w:pPr>
            <w:r w:rsidRPr="00986CE8">
              <w:rPr>
                <w:sz w:val="20"/>
              </w:rPr>
              <w:t>68.3%</w:t>
            </w:r>
          </w:p>
        </w:tc>
        <w:tc>
          <w:tcPr>
            <w:tcW w:w="2629" w:type="dxa"/>
            <w:gridSpan w:val="2"/>
            <w:tcBorders>
              <w:top w:val="single" w:sz="4" w:space="0" w:color="auto"/>
              <w:left w:val="nil"/>
              <w:bottom w:val="nil"/>
              <w:right w:val="nil"/>
            </w:tcBorders>
            <w:vAlign w:val="center"/>
          </w:tcPr>
          <w:p w:rsidR="006A674B" w:rsidRPr="00986CE8" w:rsidRDefault="006A674B" w:rsidP="0084355D">
            <w:pPr>
              <w:pStyle w:val="Body0"/>
              <w:keepNext/>
              <w:rPr>
                <w:b/>
                <w:sz w:val="20"/>
              </w:rPr>
            </w:pPr>
            <w:r w:rsidRPr="00986CE8">
              <w:rPr>
                <w:b/>
                <w:sz w:val="20"/>
              </w:rPr>
              <w:t>Non-drivers</w:t>
            </w:r>
          </w:p>
        </w:tc>
        <w:tc>
          <w:tcPr>
            <w:tcW w:w="1302" w:type="dxa"/>
            <w:tcBorders>
              <w:top w:val="single" w:sz="4" w:space="0" w:color="auto"/>
              <w:left w:val="nil"/>
              <w:bottom w:val="nil"/>
              <w:right w:val="nil"/>
            </w:tcBorders>
            <w:vAlign w:val="bottom"/>
          </w:tcPr>
          <w:p w:rsidR="006A674B" w:rsidRPr="00986CE8" w:rsidRDefault="006A674B" w:rsidP="0084355D">
            <w:pPr>
              <w:pStyle w:val="Body0"/>
              <w:keepNext/>
              <w:rPr>
                <w:sz w:val="20"/>
              </w:rPr>
            </w:pPr>
            <w:r w:rsidRPr="00986CE8">
              <w:rPr>
                <w:sz w:val="20"/>
              </w:rPr>
              <w:t>72.1%</w:t>
            </w:r>
          </w:p>
        </w:tc>
        <w:tc>
          <w:tcPr>
            <w:tcW w:w="831" w:type="dxa"/>
            <w:tcBorders>
              <w:top w:val="single" w:sz="4" w:space="0" w:color="auto"/>
              <w:left w:val="nil"/>
              <w:bottom w:val="nil"/>
              <w:right w:val="nil"/>
            </w:tcBorders>
            <w:vAlign w:val="bottom"/>
          </w:tcPr>
          <w:p w:rsidR="006A674B" w:rsidRPr="00986CE8" w:rsidRDefault="00810BF5" w:rsidP="0084355D">
            <w:pPr>
              <w:pStyle w:val="Body0"/>
              <w:keepNext/>
              <w:rPr>
                <w:b/>
                <w:sz w:val="20"/>
              </w:rPr>
            </w:pPr>
            <w:r>
              <w:rPr>
                <w:b/>
                <w:sz w:val="20"/>
              </w:rPr>
              <w:t xml:space="preserve">  </w:t>
            </w:r>
            <w:r w:rsidR="006A674B" w:rsidRPr="00986CE8">
              <w:rPr>
                <w:b/>
                <w:sz w:val="20"/>
              </w:rPr>
              <w:t>0.012</w:t>
            </w:r>
          </w:p>
        </w:tc>
      </w:tr>
      <w:tr w:rsidR="006A674B" w:rsidRPr="00986CE8" w:rsidTr="00810BF5">
        <w:trPr>
          <w:jc w:val="center"/>
        </w:trPr>
        <w:tc>
          <w:tcPr>
            <w:tcW w:w="2420" w:type="dxa"/>
            <w:gridSpan w:val="2"/>
            <w:tcBorders>
              <w:top w:val="nil"/>
              <w:left w:val="nil"/>
              <w:bottom w:val="nil"/>
              <w:right w:val="nil"/>
            </w:tcBorders>
            <w:vAlign w:val="center"/>
          </w:tcPr>
          <w:p w:rsidR="006A674B" w:rsidRPr="00986CE8" w:rsidRDefault="006A674B" w:rsidP="0084355D">
            <w:pPr>
              <w:pStyle w:val="Body0"/>
              <w:keepNext/>
              <w:rPr>
                <w:b/>
                <w:sz w:val="20"/>
              </w:rPr>
            </w:pPr>
            <w:r w:rsidRPr="00986CE8">
              <w:rPr>
                <w:b/>
                <w:sz w:val="20"/>
              </w:rPr>
              <w:t>Car in household</w:t>
            </w:r>
          </w:p>
        </w:tc>
        <w:tc>
          <w:tcPr>
            <w:tcW w:w="1340"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70.4%</w:t>
            </w:r>
          </w:p>
        </w:tc>
        <w:tc>
          <w:tcPr>
            <w:tcW w:w="2629" w:type="dxa"/>
            <w:gridSpan w:val="2"/>
            <w:tcBorders>
              <w:top w:val="nil"/>
              <w:left w:val="nil"/>
              <w:bottom w:val="nil"/>
              <w:right w:val="nil"/>
            </w:tcBorders>
            <w:vAlign w:val="center"/>
          </w:tcPr>
          <w:p w:rsidR="006A674B" w:rsidRPr="00986CE8" w:rsidRDefault="006A674B" w:rsidP="0084355D">
            <w:pPr>
              <w:pStyle w:val="Body0"/>
              <w:keepNext/>
              <w:rPr>
                <w:sz w:val="20"/>
              </w:rPr>
            </w:pPr>
            <w:r w:rsidRPr="00986CE8">
              <w:rPr>
                <w:sz w:val="20"/>
              </w:rPr>
              <w:t>No car in household</w:t>
            </w:r>
          </w:p>
        </w:tc>
        <w:tc>
          <w:tcPr>
            <w:tcW w:w="1302"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64.7%</w:t>
            </w:r>
          </w:p>
        </w:tc>
        <w:tc>
          <w:tcPr>
            <w:tcW w:w="831" w:type="dxa"/>
            <w:tcBorders>
              <w:top w:val="nil"/>
              <w:left w:val="nil"/>
              <w:bottom w:val="nil"/>
              <w:right w:val="nil"/>
            </w:tcBorders>
            <w:vAlign w:val="bottom"/>
          </w:tcPr>
          <w:p w:rsidR="006A674B" w:rsidRPr="00986CE8" w:rsidRDefault="00810BF5" w:rsidP="0084355D">
            <w:pPr>
              <w:pStyle w:val="Body0"/>
              <w:keepNext/>
              <w:rPr>
                <w:b/>
                <w:sz w:val="20"/>
              </w:rPr>
            </w:pPr>
            <w:r>
              <w:rPr>
                <w:b/>
                <w:sz w:val="20"/>
              </w:rPr>
              <w:t xml:space="preserve">  </w:t>
            </w:r>
            <w:r w:rsidR="006A674B" w:rsidRPr="00986CE8">
              <w:rPr>
                <w:b/>
                <w:sz w:val="20"/>
              </w:rPr>
              <w:t>0.003</w:t>
            </w:r>
          </w:p>
        </w:tc>
      </w:tr>
      <w:tr w:rsidR="006A674B" w:rsidRPr="00986CE8" w:rsidTr="00810BF5">
        <w:trPr>
          <w:jc w:val="center"/>
        </w:trPr>
        <w:tc>
          <w:tcPr>
            <w:tcW w:w="2420" w:type="dxa"/>
            <w:gridSpan w:val="2"/>
            <w:tcBorders>
              <w:top w:val="nil"/>
              <w:left w:val="nil"/>
              <w:bottom w:val="nil"/>
              <w:right w:val="nil"/>
            </w:tcBorders>
            <w:vAlign w:val="center"/>
          </w:tcPr>
          <w:p w:rsidR="006A674B" w:rsidRPr="00986CE8" w:rsidRDefault="006A674B" w:rsidP="0084355D">
            <w:pPr>
              <w:pStyle w:val="Body0"/>
              <w:keepNext/>
              <w:rPr>
                <w:sz w:val="20"/>
              </w:rPr>
            </w:pPr>
            <w:r w:rsidRPr="00986CE8">
              <w:rPr>
                <w:sz w:val="20"/>
              </w:rPr>
              <w:t>In full-time education (16+)</w:t>
            </w:r>
          </w:p>
        </w:tc>
        <w:tc>
          <w:tcPr>
            <w:tcW w:w="1340"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62.4%</w:t>
            </w:r>
          </w:p>
        </w:tc>
        <w:tc>
          <w:tcPr>
            <w:tcW w:w="2629" w:type="dxa"/>
            <w:gridSpan w:val="2"/>
            <w:tcBorders>
              <w:top w:val="nil"/>
              <w:left w:val="nil"/>
              <w:bottom w:val="nil"/>
              <w:right w:val="nil"/>
            </w:tcBorders>
            <w:vAlign w:val="center"/>
          </w:tcPr>
          <w:p w:rsidR="006A674B" w:rsidRPr="00986CE8" w:rsidRDefault="006A674B" w:rsidP="0084355D">
            <w:pPr>
              <w:pStyle w:val="Body0"/>
              <w:keepNext/>
              <w:rPr>
                <w:b/>
                <w:sz w:val="20"/>
              </w:rPr>
            </w:pPr>
            <w:r w:rsidRPr="00986CE8">
              <w:rPr>
                <w:b/>
                <w:sz w:val="20"/>
              </w:rPr>
              <w:t>All others</w:t>
            </w:r>
          </w:p>
        </w:tc>
        <w:tc>
          <w:tcPr>
            <w:tcW w:w="1302"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69.9%</w:t>
            </w:r>
          </w:p>
        </w:tc>
        <w:tc>
          <w:tcPr>
            <w:tcW w:w="831" w:type="dxa"/>
            <w:tcBorders>
              <w:top w:val="nil"/>
              <w:left w:val="nil"/>
              <w:bottom w:val="nil"/>
              <w:right w:val="nil"/>
            </w:tcBorders>
            <w:vAlign w:val="bottom"/>
          </w:tcPr>
          <w:p w:rsidR="006A674B" w:rsidRPr="00986CE8" w:rsidRDefault="00810BF5" w:rsidP="0084355D">
            <w:pPr>
              <w:pStyle w:val="Body0"/>
              <w:keepNext/>
              <w:rPr>
                <w:b/>
                <w:sz w:val="20"/>
              </w:rPr>
            </w:pPr>
            <w:r>
              <w:rPr>
                <w:b/>
                <w:sz w:val="20"/>
              </w:rPr>
              <w:t xml:space="preserve">  </w:t>
            </w:r>
            <w:r w:rsidR="006A674B" w:rsidRPr="00986CE8">
              <w:rPr>
                <w:b/>
                <w:sz w:val="20"/>
              </w:rPr>
              <w:t>0.010</w:t>
            </w:r>
          </w:p>
        </w:tc>
      </w:tr>
      <w:tr w:rsidR="006A674B" w:rsidRPr="00986CE8" w:rsidTr="00810BF5">
        <w:trPr>
          <w:jc w:val="center"/>
        </w:trPr>
        <w:tc>
          <w:tcPr>
            <w:tcW w:w="2420" w:type="dxa"/>
            <w:gridSpan w:val="2"/>
            <w:tcBorders>
              <w:top w:val="nil"/>
              <w:left w:val="nil"/>
              <w:bottom w:val="nil"/>
              <w:right w:val="nil"/>
            </w:tcBorders>
            <w:vAlign w:val="center"/>
          </w:tcPr>
          <w:p w:rsidR="006A674B" w:rsidRPr="00986CE8" w:rsidRDefault="006A674B" w:rsidP="0084355D">
            <w:pPr>
              <w:pStyle w:val="Body0"/>
              <w:keepNext/>
              <w:rPr>
                <w:sz w:val="20"/>
              </w:rPr>
            </w:pPr>
            <w:r w:rsidRPr="00986CE8">
              <w:rPr>
                <w:sz w:val="20"/>
              </w:rPr>
              <w:t>Aged 20 – 29</w:t>
            </w:r>
          </w:p>
        </w:tc>
        <w:tc>
          <w:tcPr>
            <w:tcW w:w="1340"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65.2%</w:t>
            </w:r>
          </w:p>
        </w:tc>
        <w:tc>
          <w:tcPr>
            <w:tcW w:w="2629" w:type="dxa"/>
            <w:gridSpan w:val="2"/>
            <w:tcBorders>
              <w:top w:val="nil"/>
              <w:left w:val="nil"/>
              <w:bottom w:val="nil"/>
              <w:right w:val="nil"/>
            </w:tcBorders>
            <w:vAlign w:val="center"/>
          </w:tcPr>
          <w:p w:rsidR="006A674B" w:rsidRPr="00986CE8" w:rsidRDefault="006A674B" w:rsidP="0084355D">
            <w:pPr>
              <w:pStyle w:val="Body0"/>
              <w:keepNext/>
              <w:rPr>
                <w:b/>
                <w:sz w:val="20"/>
              </w:rPr>
            </w:pPr>
            <w:r w:rsidRPr="00986CE8">
              <w:rPr>
                <w:b/>
                <w:sz w:val="20"/>
              </w:rPr>
              <w:t>Aged 30+</w:t>
            </w:r>
          </w:p>
        </w:tc>
        <w:tc>
          <w:tcPr>
            <w:tcW w:w="1302"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71.9%</w:t>
            </w:r>
          </w:p>
        </w:tc>
        <w:tc>
          <w:tcPr>
            <w:tcW w:w="831" w:type="dxa"/>
            <w:tcBorders>
              <w:top w:val="nil"/>
              <w:left w:val="nil"/>
              <w:bottom w:val="nil"/>
              <w:right w:val="nil"/>
            </w:tcBorders>
            <w:vAlign w:val="bottom"/>
          </w:tcPr>
          <w:p w:rsidR="006A674B" w:rsidRPr="00986CE8" w:rsidRDefault="00810BF5" w:rsidP="0084355D">
            <w:pPr>
              <w:pStyle w:val="Body0"/>
              <w:keepNext/>
              <w:rPr>
                <w:b/>
                <w:sz w:val="20"/>
              </w:rPr>
            </w:pPr>
            <w:r>
              <w:rPr>
                <w:b/>
                <w:sz w:val="20"/>
              </w:rPr>
              <w:t xml:space="preserve">  </w:t>
            </w:r>
            <w:r w:rsidR="006A674B" w:rsidRPr="00986CE8">
              <w:rPr>
                <w:b/>
                <w:sz w:val="20"/>
              </w:rPr>
              <w:t>0.001</w:t>
            </w:r>
          </w:p>
        </w:tc>
      </w:tr>
      <w:tr w:rsidR="006A674B" w:rsidRPr="00986CE8" w:rsidTr="00810BF5">
        <w:trPr>
          <w:jc w:val="center"/>
        </w:trPr>
        <w:tc>
          <w:tcPr>
            <w:tcW w:w="2420" w:type="dxa"/>
            <w:gridSpan w:val="2"/>
            <w:tcBorders>
              <w:top w:val="nil"/>
              <w:left w:val="nil"/>
              <w:bottom w:val="nil"/>
              <w:right w:val="nil"/>
            </w:tcBorders>
            <w:vAlign w:val="center"/>
          </w:tcPr>
          <w:p w:rsidR="006A674B" w:rsidRPr="00986CE8" w:rsidRDefault="006A674B" w:rsidP="0084355D">
            <w:pPr>
              <w:pStyle w:val="Body0"/>
              <w:keepNext/>
              <w:rPr>
                <w:b/>
                <w:sz w:val="20"/>
              </w:rPr>
            </w:pPr>
            <w:r w:rsidRPr="00986CE8">
              <w:rPr>
                <w:b/>
                <w:sz w:val="20"/>
              </w:rPr>
              <w:t>Degree educated</w:t>
            </w:r>
          </w:p>
        </w:tc>
        <w:tc>
          <w:tcPr>
            <w:tcW w:w="1340"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83.4%</w:t>
            </w:r>
          </w:p>
        </w:tc>
        <w:tc>
          <w:tcPr>
            <w:tcW w:w="2629" w:type="dxa"/>
            <w:gridSpan w:val="2"/>
            <w:tcBorders>
              <w:top w:val="nil"/>
              <w:left w:val="nil"/>
              <w:bottom w:val="nil"/>
              <w:right w:val="nil"/>
            </w:tcBorders>
            <w:vAlign w:val="center"/>
          </w:tcPr>
          <w:p w:rsidR="006A674B" w:rsidRPr="00986CE8" w:rsidRDefault="006A674B" w:rsidP="0084355D">
            <w:pPr>
              <w:pStyle w:val="Body0"/>
              <w:keepNext/>
              <w:rPr>
                <w:sz w:val="20"/>
              </w:rPr>
            </w:pPr>
            <w:r w:rsidRPr="00986CE8">
              <w:rPr>
                <w:sz w:val="20"/>
              </w:rPr>
              <w:t>All others</w:t>
            </w:r>
          </w:p>
        </w:tc>
        <w:tc>
          <w:tcPr>
            <w:tcW w:w="1302"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66.0%</w:t>
            </w:r>
          </w:p>
        </w:tc>
        <w:tc>
          <w:tcPr>
            <w:tcW w:w="831" w:type="dxa"/>
            <w:tcBorders>
              <w:top w:val="nil"/>
              <w:left w:val="nil"/>
              <w:bottom w:val="nil"/>
              <w:right w:val="nil"/>
            </w:tcBorders>
            <w:vAlign w:val="bottom"/>
          </w:tcPr>
          <w:p w:rsidR="006A674B" w:rsidRPr="00810BF5" w:rsidRDefault="00810BF5" w:rsidP="0084355D">
            <w:pPr>
              <w:pStyle w:val="Body0"/>
              <w:keepNext/>
              <w:rPr>
                <w:b/>
                <w:sz w:val="20"/>
              </w:rPr>
            </w:pPr>
            <w:r w:rsidRPr="00810BF5">
              <w:rPr>
                <w:b/>
                <w:sz w:val="20"/>
              </w:rPr>
              <w:t>&lt;0.001</w:t>
            </w:r>
          </w:p>
        </w:tc>
      </w:tr>
      <w:tr w:rsidR="006A674B" w:rsidRPr="00986CE8" w:rsidTr="00810BF5">
        <w:trPr>
          <w:jc w:val="center"/>
        </w:trPr>
        <w:tc>
          <w:tcPr>
            <w:tcW w:w="2420" w:type="dxa"/>
            <w:gridSpan w:val="2"/>
            <w:tcBorders>
              <w:top w:val="nil"/>
              <w:left w:val="nil"/>
              <w:bottom w:val="nil"/>
              <w:right w:val="nil"/>
            </w:tcBorders>
            <w:vAlign w:val="center"/>
          </w:tcPr>
          <w:p w:rsidR="006A674B" w:rsidRPr="00986CE8" w:rsidRDefault="006A674B" w:rsidP="00810BF5">
            <w:pPr>
              <w:pStyle w:val="Body0"/>
              <w:keepNext/>
              <w:rPr>
                <w:b/>
                <w:sz w:val="20"/>
              </w:rPr>
            </w:pPr>
            <w:r w:rsidRPr="00986CE8">
              <w:rPr>
                <w:b/>
                <w:sz w:val="20"/>
              </w:rPr>
              <w:t xml:space="preserve">Income quintiles 1 </w:t>
            </w:r>
            <w:r w:rsidR="00810BF5">
              <w:rPr>
                <w:b/>
                <w:sz w:val="20"/>
              </w:rPr>
              <w:t>&amp;</w:t>
            </w:r>
            <w:r w:rsidRPr="00986CE8">
              <w:rPr>
                <w:b/>
                <w:sz w:val="20"/>
              </w:rPr>
              <w:t xml:space="preserve"> 2</w:t>
            </w:r>
          </w:p>
        </w:tc>
        <w:tc>
          <w:tcPr>
            <w:tcW w:w="1340"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66.1%</w:t>
            </w:r>
          </w:p>
        </w:tc>
        <w:tc>
          <w:tcPr>
            <w:tcW w:w="2629" w:type="dxa"/>
            <w:gridSpan w:val="2"/>
            <w:tcBorders>
              <w:top w:val="nil"/>
              <w:left w:val="nil"/>
              <w:bottom w:val="nil"/>
              <w:right w:val="nil"/>
            </w:tcBorders>
            <w:vAlign w:val="center"/>
          </w:tcPr>
          <w:p w:rsidR="006A674B" w:rsidRPr="00986CE8" w:rsidRDefault="006A674B" w:rsidP="00810BF5">
            <w:pPr>
              <w:pStyle w:val="Body0"/>
              <w:keepNext/>
              <w:rPr>
                <w:sz w:val="20"/>
              </w:rPr>
            </w:pPr>
            <w:r w:rsidRPr="00986CE8">
              <w:rPr>
                <w:sz w:val="20"/>
              </w:rPr>
              <w:t>Income quintiles 3 – 5</w:t>
            </w:r>
          </w:p>
        </w:tc>
        <w:tc>
          <w:tcPr>
            <w:tcW w:w="1302" w:type="dxa"/>
            <w:tcBorders>
              <w:top w:val="nil"/>
              <w:left w:val="nil"/>
              <w:bottom w:val="nil"/>
              <w:right w:val="nil"/>
            </w:tcBorders>
            <w:vAlign w:val="bottom"/>
          </w:tcPr>
          <w:p w:rsidR="006A674B" w:rsidRPr="00986CE8" w:rsidRDefault="006A674B" w:rsidP="0084355D">
            <w:pPr>
              <w:pStyle w:val="Body0"/>
              <w:keepNext/>
              <w:rPr>
                <w:sz w:val="20"/>
              </w:rPr>
            </w:pPr>
            <w:r w:rsidRPr="00986CE8">
              <w:rPr>
                <w:sz w:val="20"/>
              </w:rPr>
              <w:t>61.5%</w:t>
            </w:r>
          </w:p>
        </w:tc>
        <w:tc>
          <w:tcPr>
            <w:tcW w:w="831" w:type="dxa"/>
            <w:tcBorders>
              <w:top w:val="nil"/>
              <w:left w:val="nil"/>
              <w:bottom w:val="nil"/>
              <w:right w:val="nil"/>
            </w:tcBorders>
            <w:vAlign w:val="bottom"/>
          </w:tcPr>
          <w:p w:rsidR="006A674B" w:rsidRPr="00986CE8" w:rsidRDefault="00810BF5" w:rsidP="0084355D">
            <w:pPr>
              <w:pStyle w:val="Body0"/>
              <w:keepNext/>
              <w:rPr>
                <w:b/>
                <w:sz w:val="20"/>
              </w:rPr>
            </w:pPr>
            <w:r>
              <w:rPr>
                <w:b/>
                <w:sz w:val="20"/>
              </w:rPr>
              <w:t xml:space="preserve">  </w:t>
            </w:r>
            <w:r w:rsidR="006A674B" w:rsidRPr="00986CE8">
              <w:rPr>
                <w:b/>
                <w:sz w:val="20"/>
              </w:rPr>
              <w:t>0.020</w:t>
            </w:r>
          </w:p>
        </w:tc>
      </w:tr>
      <w:tr w:rsidR="006A674B" w:rsidRPr="00986CE8" w:rsidTr="00810BF5">
        <w:trPr>
          <w:jc w:val="center"/>
        </w:trPr>
        <w:tc>
          <w:tcPr>
            <w:tcW w:w="6389" w:type="dxa"/>
            <w:gridSpan w:val="5"/>
            <w:tcBorders>
              <w:top w:val="nil"/>
              <w:left w:val="nil"/>
              <w:bottom w:val="nil"/>
              <w:right w:val="nil"/>
            </w:tcBorders>
            <w:vAlign w:val="center"/>
          </w:tcPr>
          <w:p w:rsidR="006A674B" w:rsidRPr="00986CE8" w:rsidRDefault="006A674B" w:rsidP="0084355D">
            <w:pPr>
              <w:pStyle w:val="Body0"/>
              <w:keepNext/>
              <w:rPr>
                <w:sz w:val="20"/>
              </w:rPr>
            </w:pPr>
            <w:r w:rsidRPr="00986CE8">
              <w:rPr>
                <w:sz w:val="20"/>
              </w:rPr>
              <w:t>Overall average:</w:t>
            </w:r>
          </w:p>
        </w:tc>
        <w:tc>
          <w:tcPr>
            <w:tcW w:w="1302" w:type="dxa"/>
            <w:tcBorders>
              <w:top w:val="nil"/>
              <w:left w:val="nil"/>
              <w:bottom w:val="nil"/>
              <w:right w:val="nil"/>
            </w:tcBorders>
            <w:vAlign w:val="center"/>
          </w:tcPr>
          <w:p w:rsidR="006A674B" w:rsidRPr="00986CE8" w:rsidRDefault="006A674B" w:rsidP="0084355D">
            <w:pPr>
              <w:pStyle w:val="Body0"/>
              <w:keepNext/>
              <w:rPr>
                <w:sz w:val="20"/>
              </w:rPr>
            </w:pPr>
            <w:r w:rsidRPr="00986CE8">
              <w:rPr>
                <w:sz w:val="20"/>
              </w:rPr>
              <w:t>69.4%</w:t>
            </w:r>
          </w:p>
        </w:tc>
        <w:tc>
          <w:tcPr>
            <w:tcW w:w="831" w:type="dxa"/>
            <w:tcBorders>
              <w:top w:val="nil"/>
              <w:left w:val="nil"/>
              <w:bottom w:val="nil"/>
              <w:right w:val="nil"/>
            </w:tcBorders>
            <w:vAlign w:val="center"/>
          </w:tcPr>
          <w:p w:rsidR="006A674B" w:rsidRPr="00986CE8" w:rsidRDefault="006A674B" w:rsidP="0084355D">
            <w:pPr>
              <w:pStyle w:val="Body0"/>
              <w:keepNext/>
              <w:rPr>
                <w:sz w:val="20"/>
              </w:rPr>
            </w:pPr>
          </w:p>
        </w:tc>
      </w:tr>
    </w:tbl>
    <w:p w:rsidR="0013059C" w:rsidRDefault="0013059C" w:rsidP="00A34262">
      <w:pPr>
        <w:pStyle w:val="Body0"/>
      </w:pPr>
    </w:p>
    <w:p w:rsidR="00ED62DC" w:rsidRDefault="006A674B" w:rsidP="00A34262">
      <w:pPr>
        <w:pStyle w:val="Body0"/>
      </w:pPr>
      <w:r>
        <w:t xml:space="preserve">The strongest positive relationship is with university education, as expected.  Income is also positively correlated.  Interestingly, car driving and car </w:t>
      </w:r>
      <w:r w:rsidR="0013059C">
        <w:t xml:space="preserve">ownership show opposite signs: </w:t>
      </w:r>
      <w:r>
        <w:t>the net positive relationship between car ownership and concern about climate change probably reflects countervailing effects of driving</w:t>
      </w:r>
      <w:r w:rsidR="00ED62DC">
        <w:t xml:space="preserve"> (negative)</w:t>
      </w:r>
      <w:r>
        <w:t xml:space="preserve">, and of education </w:t>
      </w:r>
      <w:r w:rsidR="00ED62DC">
        <w:t>(positive) which is correlated with income, and hence car ownership</w:t>
      </w:r>
      <w:r>
        <w:t xml:space="preserve">. </w:t>
      </w:r>
      <w:r w:rsidR="00A7211C">
        <w:t xml:space="preserve"> T</w:t>
      </w:r>
      <w:r w:rsidR="00ED62DC">
        <w:t xml:space="preserve">he </w:t>
      </w:r>
      <w:r w:rsidR="00A7211C">
        <w:t xml:space="preserve">level of education amongst undergraduates would clearly be more homogenous than </w:t>
      </w:r>
      <w:r w:rsidR="00A214E9">
        <w:t>amongst</w:t>
      </w:r>
      <w:r w:rsidR="00A7211C">
        <w:t xml:space="preserve"> the general population, </w:t>
      </w:r>
      <w:r w:rsidR="00A7211C">
        <w:lastRenderedPageBreak/>
        <w:t xml:space="preserve">suggesting that the relationships shown in </w:t>
      </w:r>
      <w:r w:rsidR="00E10957">
        <w:fldChar w:fldCharType="begin"/>
      </w:r>
      <w:r w:rsidR="00A7211C">
        <w:instrText xml:space="preserve"> REF _Ref289355256 \h </w:instrText>
      </w:r>
      <w:r w:rsidR="00E10957">
        <w:fldChar w:fldCharType="separate"/>
      </w:r>
      <w:r w:rsidR="00ED3260">
        <w:t xml:space="preserve">Table </w:t>
      </w:r>
      <w:r w:rsidR="00ED3260">
        <w:rPr>
          <w:noProof/>
        </w:rPr>
        <w:t>1</w:t>
      </w:r>
      <w:r w:rsidR="00E10957">
        <w:fldChar w:fldCharType="end"/>
      </w:r>
      <w:r w:rsidR="00A7211C">
        <w:t xml:space="preserve"> might not apply, or might apply more strongly amongst undergraduates.</w:t>
      </w:r>
    </w:p>
    <w:p w:rsidR="006A674B" w:rsidRDefault="006A674B" w:rsidP="00A34262">
      <w:pPr>
        <w:pStyle w:val="Body0"/>
      </w:pPr>
      <w:r>
        <w:t xml:space="preserve">This study also asked whether respondents believed human activity was changing the climate: responses to that question followed a similar pattern </w:t>
      </w:r>
      <w:r w:rsidR="00EB3191">
        <w:t xml:space="preserve">to the question </w:t>
      </w:r>
      <w:r w:rsidR="00A214E9">
        <w:t xml:space="preserve">on concern </w:t>
      </w:r>
      <w:r w:rsidR="00EB3191">
        <w:t xml:space="preserve">about climate change </w:t>
      </w:r>
      <w:r>
        <w:t xml:space="preserve">(with 66% answering positively on average). </w:t>
      </w:r>
    </w:p>
    <w:p w:rsidR="00851CE4" w:rsidRDefault="006A674B" w:rsidP="00A34262">
      <w:pPr>
        <w:pStyle w:val="Body0"/>
      </w:pPr>
      <w:r>
        <w:t>Concern about climate change increases with age: the age group from which most undergraduates are drawn exhibit</w:t>
      </w:r>
      <w:r w:rsidR="00A214E9">
        <w:t>s</w:t>
      </w:r>
      <w:r>
        <w:t xml:space="preserve"> (slightly) less concern than older people.  This finding is consistent with DfT </w:t>
      </w:r>
      <w:r w:rsidR="00E10957">
        <w:fldChar w:fldCharType="begin"/>
      </w:r>
      <w:r w:rsidR="0074515C">
        <w:instrText>ADDIN RW.CITE{{1639 DfT 2009/a;}}</w:instrText>
      </w:r>
      <w:r w:rsidR="00E10957">
        <w:fldChar w:fldCharType="separate"/>
      </w:r>
      <w:r w:rsidR="0030734E">
        <w:t>(2009)</w:t>
      </w:r>
      <w:r w:rsidR="00E10957">
        <w:fldChar w:fldCharType="end"/>
      </w:r>
      <w:r>
        <w:t xml:space="preserve">, which </w:t>
      </w:r>
      <w:r w:rsidR="00A214E9">
        <w:t>shed some light on</w:t>
      </w:r>
      <w:r>
        <w:t xml:space="preserve"> the reasons for this.  That project exposed participants to presentations from climate scientists.  Unlike the older participants, the 20 – 29s became </w:t>
      </w:r>
      <w:r w:rsidRPr="00F07E1C">
        <w:rPr>
          <w:i/>
        </w:rPr>
        <w:t>less</w:t>
      </w:r>
      <w:r>
        <w:t xml:space="preserve"> convinced that climate change would affect their quality of life by the end of the project, focussing particularly on the suggestion that other parts of the world would be affec</w:t>
      </w:r>
      <w:r w:rsidR="00E50668">
        <w:t>ted more severely than the UK.</w:t>
      </w:r>
    </w:p>
    <w:p w:rsidR="0013059C" w:rsidRDefault="0013059C" w:rsidP="0013059C">
      <w:pPr>
        <w:pStyle w:val="Body0"/>
      </w:pPr>
      <w:r>
        <w:t xml:space="preserve">When considering </w:t>
      </w:r>
      <w:r w:rsidR="00A214E9">
        <w:t xml:space="preserve">transport </w:t>
      </w:r>
      <w:r>
        <w:t>policies designed to respond to climate change, it may be considered self-evident that car owners would</w:t>
      </w:r>
      <w:r w:rsidR="00A214E9">
        <w:t xml:space="preserve"> be less likely to support measures to reduce car use </w:t>
      </w:r>
      <w:r>
        <w:t>than non-owners.  A similar comparison might also be made between frequent drivers and infrequent drivers.  There has been, however, surprisingly little empirical evidence from the UK to support, or refute, these assertions – possibly because researchers would consider them insufficiently challenging as research questions.</w:t>
      </w:r>
    </w:p>
    <w:p w:rsidR="0013059C" w:rsidRDefault="0013059C" w:rsidP="0013059C">
      <w:pPr>
        <w:pStyle w:val="Body0"/>
      </w:pPr>
      <w:r>
        <w:t xml:space="preserve">Several studies which segmented drivers and non-drivers according to their attitudes have given some insight into the validity of those assertions, though none have addressed them directly.  These studies, which were mainly concerned about the potential for personal behaviour change, suggest relationships are more complex than the above assertions would </w:t>
      </w:r>
      <w:proofErr w:type="gramStart"/>
      <w:r>
        <w:t xml:space="preserve">suggest  </w:t>
      </w:r>
      <w:proofErr w:type="gramEnd"/>
      <w:r w:rsidR="00E10957">
        <w:fldChar w:fldCharType="begin"/>
      </w:r>
      <w:r>
        <w:instrText>ADDIN RW.CITE{{30 Dudleston, Anna 2005; 1291 Anable,Jillian 2005; 13 Scottish Executive 1999}}</w:instrText>
      </w:r>
      <w:r w:rsidR="00E10957">
        <w:fldChar w:fldCharType="separate"/>
      </w:r>
      <w:r w:rsidR="0030734E">
        <w:t>(Dudleston et al, 2005, Anable, 2005, Scottish Executive, 1999)</w:t>
      </w:r>
      <w:r w:rsidR="00E10957">
        <w:fldChar w:fldCharType="end"/>
      </w:r>
      <w:r>
        <w:t>.</w:t>
      </w:r>
    </w:p>
    <w:p w:rsidR="0013059C" w:rsidRDefault="0013059C" w:rsidP="0013059C">
      <w:pPr>
        <w:pStyle w:val="Body0"/>
      </w:pPr>
      <w:r>
        <w:t xml:space="preserve">Although mainly focussed on personal behaviour change, Thornton et al (2010), also </w:t>
      </w:r>
      <w:proofErr w:type="gramStart"/>
      <w:r>
        <w:t>asked  some</w:t>
      </w:r>
      <w:proofErr w:type="gramEnd"/>
      <w:r>
        <w:t xml:space="preserve"> policy-related questions, including a </w:t>
      </w:r>
      <w:proofErr w:type="spellStart"/>
      <w:r w:rsidR="00FE1867">
        <w:t>Likert</w:t>
      </w:r>
      <w:proofErr w:type="spellEnd"/>
      <w:r>
        <w:t xml:space="preserve"> scale measuring agreement with the statement shown in </w:t>
      </w:r>
      <w:fldSimple w:instr=" REF _Ref286909416  \* MERGEFORMAT ">
        <w:r w:rsidR="00ED3260" w:rsidRPr="00ED3260">
          <w:t xml:space="preserve">Table </w:t>
        </w:r>
        <w:r w:rsidR="00ED3260" w:rsidRPr="00ED3260">
          <w:rPr>
            <w:noProof/>
          </w:rPr>
          <w:t>2</w:t>
        </w:r>
      </w:fldSimple>
      <w:r>
        <w:t xml:space="preserve">.  The raw data shows the responses cross-tabulated with many different categories of respondent.  </w:t>
      </w:r>
    </w:p>
    <w:p w:rsidR="00C12E47" w:rsidRDefault="00C12E47" w:rsidP="0013059C">
      <w:pPr>
        <w:pStyle w:val="Body0"/>
      </w:pPr>
    </w:p>
    <w:p w:rsidR="00A02628" w:rsidRDefault="00A02628" w:rsidP="00CC606F">
      <w:pPr>
        <w:pStyle w:val="Body0"/>
        <w:keepNext/>
        <w:jc w:val="center"/>
      </w:pPr>
      <w:bookmarkStart w:id="1" w:name="_Ref286909416"/>
      <w:r w:rsidRPr="00851CE4">
        <w:rPr>
          <w:b/>
        </w:rPr>
        <w:lastRenderedPageBreak/>
        <w:t xml:space="preserve">Table </w:t>
      </w:r>
      <w:r w:rsidR="00E10957" w:rsidRPr="00851CE4">
        <w:rPr>
          <w:b/>
        </w:rPr>
        <w:fldChar w:fldCharType="begin"/>
      </w:r>
      <w:r w:rsidRPr="00851CE4">
        <w:rPr>
          <w:b/>
        </w:rPr>
        <w:instrText xml:space="preserve"> SEQ Table \* ARABIC </w:instrText>
      </w:r>
      <w:r w:rsidR="00E10957" w:rsidRPr="00851CE4">
        <w:rPr>
          <w:b/>
        </w:rPr>
        <w:fldChar w:fldCharType="separate"/>
      </w:r>
      <w:r w:rsidR="00ED3260">
        <w:rPr>
          <w:b/>
          <w:noProof/>
        </w:rPr>
        <w:t>2</w:t>
      </w:r>
      <w:r w:rsidR="00E10957" w:rsidRPr="00851CE4">
        <w:rPr>
          <w:b/>
        </w:rPr>
        <w:fldChar w:fldCharType="end"/>
      </w:r>
      <w:bookmarkEnd w:id="1"/>
      <w:r w:rsidRPr="00851CE4">
        <w:t xml:space="preserve"> Car ownership and use cross-tabulated with responses to the statement: </w:t>
      </w:r>
      <w:r w:rsidRPr="00851CE4">
        <w:br/>
      </w:r>
      <w:r w:rsidRPr="00851CE4">
        <w:rPr>
          <w:b/>
        </w:rPr>
        <w:t>‘People should be allowed to use their cars as much as they like’</w:t>
      </w:r>
      <w:r w:rsidRPr="00851CE4">
        <w:t xml:space="preserve"> </w:t>
      </w:r>
      <w:r>
        <w:br/>
      </w:r>
      <w:r w:rsidRPr="00851CE4">
        <w:t>from Thornton et al (2010)</w:t>
      </w:r>
    </w:p>
    <w:tbl>
      <w:tblPr>
        <w:tblStyle w:val="TableGrid"/>
        <w:tblW w:w="0" w:type="auto"/>
        <w:jc w:val="center"/>
        <w:tblLook w:val="04A0"/>
      </w:tblPr>
      <w:tblGrid>
        <w:gridCol w:w="2093"/>
        <w:gridCol w:w="1667"/>
        <w:gridCol w:w="219"/>
        <w:gridCol w:w="1939"/>
        <w:gridCol w:w="144"/>
        <w:gridCol w:w="1629"/>
        <w:gridCol w:w="831"/>
      </w:tblGrid>
      <w:tr w:rsidR="005F4EC0" w:rsidRPr="009A47AF" w:rsidTr="005F4EC0">
        <w:trPr>
          <w:jc w:val="center"/>
        </w:trPr>
        <w:tc>
          <w:tcPr>
            <w:tcW w:w="2093" w:type="dxa"/>
            <w:tcBorders>
              <w:top w:val="single" w:sz="4" w:space="0" w:color="auto"/>
              <w:left w:val="nil"/>
              <w:bottom w:val="single" w:sz="4" w:space="0" w:color="auto"/>
              <w:right w:val="nil"/>
            </w:tcBorders>
            <w:shd w:val="clear" w:color="auto" w:fill="FFFFFF" w:themeFill="background1"/>
          </w:tcPr>
          <w:p w:rsidR="005F4EC0" w:rsidRPr="009A47AF" w:rsidRDefault="005F4EC0" w:rsidP="00A02628">
            <w:pPr>
              <w:pStyle w:val="Body0"/>
              <w:keepNext/>
              <w:rPr>
                <w:b/>
              </w:rPr>
            </w:pPr>
          </w:p>
        </w:tc>
        <w:tc>
          <w:tcPr>
            <w:tcW w:w="1886" w:type="dxa"/>
            <w:gridSpan w:val="2"/>
            <w:tcBorders>
              <w:top w:val="single" w:sz="4" w:space="0" w:color="auto"/>
              <w:left w:val="nil"/>
              <w:bottom w:val="single" w:sz="4" w:space="0" w:color="auto"/>
              <w:right w:val="nil"/>
            </w:tcBorders>
            <w:shd w:val="clear" w:color="auto" w:fill="FFFFFF" w:themeFill="background1"/>
          </w:tcPr>
          <w:p w:rsidR="005F4EC0" w:rsidRPr="009A47AF" w:rsidRDefault="005F4EC0" w:rsidP="00A02628">
            <w:pPr>
              <w:pStyle w:val="Body0"/>
              <w:keepNext/>
              <w:jc w:val="center"/>
              <w:rPr>
                <w:b/>
              </w:rPr>
            </w:pPr>
            <w:r w:rsidRPr="009A47AF">
              <w:rPr>
                <w:b/>
              </w:rPr>
              <w:t>Agree or Strongly agree</w:t>
            </w:r>
          </w:p>
        </w:tc>
        <w:tc>
          <w:tcPr>
            <w:tcW w:w="1939" w:type="dxa"/>
            <w:tcBorders>
              <w:top w:val="single" w:sz="4" w:space="0" w:color="auto"/>
              <w:left w:val="nil"/>
              <w:bottom w:val="single" w:sz="4" w:space="0" w:color="auto"/>
              <w:right w:val="nil"/>
            </w:tcBorders>
            <w:shd w:val="clear" w:color="auto" w:fill="FFFFFF" w:themeFill="background1"/>
          </w:tcPr>
          <w:p w:rsidR="005F4EC0" w:rsidRPr="009A47AF" w:rsidRDefault="005F4EC0" w:rsidP="00A02628">
            <w:pPr>
              <w:pStyle w:val="Body0"/>
              <w:keepNext/>
              <w:rPr>
                <w:b/>
              </w:rPr>
            </w:pPr>
          </w:p>
        </w:tc>
        <w:tc>
          <w:tcPr>
            <w:tcW w:w="1773" w:type="dxa"/>
            <w:gridSpan w:val="2"/>
            <w:tcBorders>
              <w:top w:val="single" w:sz="4" w:space="0" w:color="auto"/>
              <w:left w:val="nil"/>
              <w:bottom w:val="single" w:sz="4" w:space="0" w:color="auto"/>
              <w:right w:val="nil"/>
            </w:tcBorders>
            <w:shd w:val="clear" w:color="auto" w:fill="FFFFFF" w:themeFill="background1"/>
          </w:tcPr>
          <w:p w:rsidR="005F4EC0" w:rsidRPr="009A47AF" w:rsidRDefault="005F4EC0" w:rsidP="00A02628">
            <w:pPr>
              <w:pStyle w:val="Body0"/>
              <w:keepNext/>
              <w:jc w:val="center"/>
              <w:rPr>
                <w:b/>
              </w:rPr>
            </w:pPr>
            <w:r w:rsidRPr="009A47AF">
              <w:rPr>
                <w:b/>
              </w:rPr>
              <w:t>Agree or Strongly agree</w:t>
            </w:r>
          </w:p>
        </w:tc>
        <w:tc>
          <w:tcPr>
            <w:tcW w:w="831" w:type="dxa"/>
            <w:tcBorders>
              <w:top w:val="single" w:sz="4" w:space="0" w:color="auto"/>
              <w:left w:val="nil"/>
              <w:bottom w:val="single" w:sz="4" w:space="0" w:color="auto"/>
              <w:right w:val="nil"/>
            </w:tcBorders>
            <w:shd w:val="clear" w:color="auto" w:fill="FFFFFF" w:themeFill="background1"/>
            <w:vAlign w:val="center"/>
          </w:tcPr>
          <w:p w:rsidR="005F4EC0" w:rsidRPr="009A47AF" w:rsidRDefault="005F4EC0" w:rsidP="00A02628">
            <w:pPr>
              <w:pStyle w:val="Body0"/>
              <w:keepNext/>
              <w:jc w:val="center"/>
              <w:rPr>
                <w:b/>
              </w:rPr>
            </w:pPr>
            <w:r w:rsidRPr="009A47AF">
              <w:rPr>
                <w:b/>
              </w:rPr>
              <w:t>ρ</w:t>
            </w:r>
          </w:p>
        </w:tc>
      </w:tr>
      <w:tr w:rsidR="0013059C" w:rsidRPr="00986CE8" w:rsidTr="00900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93" w:type="dxa"/>
            <w:vAlign w:val="center"/>
          </w:tcPr>
          <w:p w:rsidR="0013059C" w:rsidRPr="00986CE8" w:rsidRDefault="0013059C" w:rsidP="009006F6">
            <w:pPr>
              <w:pStyle w:val="Body0"/>
              <w:keepNext/>
              <w:rPr>
                <w:b/>
                <w:sz w:val="20"/>
              </w:rPr>
            </w:pPr>
            <w:r w:rsidRPr="00986CE8">
              <w:rPr>
                <w:b/>
                <w:sz w:val="20"/>
              </w:rPr>
              <w:t>Drivers</w:t>
            </w:r>
          </w:p>
        </w:tc>
        <w:tc>
          <w:tcPr>
            <w:tcW w:w="1667" w:type="dxa"/>
            <w:vAlign w:val="center"/>
          </w:tcPr>
          <w:p w:rsidR="0013059C" w:rsidRPr="00986CE8" w:rsidRDefault="0013059C" w:rsidP="005F4EC0">
            <w:pPr>
              <w:pStyle w:val="Body0"/>
              <w:keepNext/>
              <w:jc w:val="center"/>
              <w:rPr>
                <w:rFonts w:ascii="Calibri" w:hAnsi="Calibri"/>
                <w:sz w:val="20"/>
              </w:rPr>
            </w:pPr>
            <w:r w:rsidRPr="00986CE8">
              <w:rPr>
                <w:rFonts w:ascii="Calibri" w:hAnsi="Calibri"/>
                <w:sz w:val="20"/>
              </w:rPr>
              <w:t>70.0%</w:t>
            </w:r>
          </w:p>
        </w:tc>
        <w:tc>
          <w:tcPr>
            <w:tcW w:w="2302" w:type="dxa"/>
            <w:gridSpan w:val="3"/>
            <w:vAlign w:val="center"/>
          </w:tcPr>
          <w:p w:rsidR="0013059C" w:rsidRPr="00986CE8" w:rsidRDefault="0013059C" w:rsidP="009006F6">
            <w:pPr>
              <w:pStyle w:val="Body0"/>
              <w:keepNext/>
              <w:rPr>
                <w:sz w:val="20"/>
              </w:rPr>
            </w:pPr>
            <w:r w:rsidRPr="00986CE8">
              <w:rPr>
                <w:sz w:val="20"/>
              </w:rPr>
              <w:t>Non-drivers</w:t>
            </w:r>
          </w:p>
        </w:tc>
        <w:tc>
          <w:tcPr>
            <w:tcW w:w="1629" w:type="dxa"/>
            <w:vAlign w:val="center"/>
          </w:tcPr>
          <w:p w:rsidR="0013059C" w:rsidRPr="00986CE8" w:rsidRDefault="0013059C" w:rsidP="005F4EC0">
            <w:pPr>
              <w:pStyle w:val="Body0"/>
              <w:keepNext/>
              <w:jc w:val="center"/>
              <w:rPr>
                <w:rFonts w:ascii="Calibri" w:hAnsi="Calibri"/>
                <w:sz w:val="20"/>
              </w:rPr>
            </w:pPr>
            <w:r w:rsidRPr="00986CE8">
              <w:rPr>
                <w:rFonts w:ascii="Calibri" w:hAnsi="Calibri"/>
                <w:sz w:val="20"/>
              </w:rPr>
              <w:t>64.6%</w:t>
            </w:r>
          </w:p>
        </w:tc>
        <w:tc>
          <w:tcPr>
            <w:tcW w:w="831" w:type="dxa"/>
            <w:vAlign w:val="center"/>
          </w:tcPr>
          <w:p w:rsidR="0013059C" w:rsidRPr="00986CE8" w:rsidRDefault="0013059C" w:rsidP="005F4EC0">
            <w:pPr>
              <w:pStyle w:val="Body0"/>
              <w:keepNext/>
              <w:jc w:val="center"/>
              <w:rPr>
                <w:rFonts w:ascii="Calibri" w:hAnsi="Calibri"/>
                <w:b/>
                <w:sz w:val="20"/>
              </w:rPr>
            </w:pPr>
            <w:r w:rsidRPr="00986CE8">
              <w:rPr>
                <w:rFonts w:ascii="Calibri" w:hAnsi="Calibri"/>
                <w:b/>
                <w:sz w:val="20"/>
              </w:rPr>
              <w:t>0.001</w:t>
            </w:r>
          </w:p>
        </w:tc>
      </w:tr>
      <w:tr w:rsidR="0013059C" w:rsidRPr="00986CE8" w:rsidTr="00900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93" w:type="dxa"/>
            <w:vAlign w:val="center"/>
          </w:tcPr>
          <w:p w:rsidR="0013059C" w:rsidRPr="00986CE8" w:rsidRDefault="0013059C" w:rsidP="009006F6">
            <w:pPr>
              <w:pStyle w:val="Body0"/>
              <w:keepNext/>
              <w:rPr>
                <w:b/>
                <w:sz w:val="20"/>
              </w:rPr>
            </w:pPr>
            <w:r w:rsidRPr="00986CE8">
              <w:rPr>
                <w:b/>
                <w:sz w:val="20"/>
              </w:rPr>
              <w:t>Car in household</w:t>
            </w:r>
          </w:p>
        </w:tc>
        <w:tc>
          <w:tcPr>
            <w:tcW w:w="1667" w:type="dxa"/>
            <w:vAlign w:val="center"/>
          </w:tcPr>
          <w:p w:rsidR="0013059C" w:rsidRPr="00986CE8" w:rsidRDefault="0013059C" w:rsidP="005F4EC0">
            <w:pPr>
              <w:pStyle w:val="Body0"/>
              <w:keepNext/>
              <w:jc w:val="center"/>
              <w:rPr>
                <w:rFonts w:ascii="Calibri" w:hAnsi="Calibri"/>
                <w:sz w:val="20"/>
              </w:rPr>
            </w:pPr>
            <w:r w:rsidRPr="00986CE8">
              <w:rPr>
                <w:rFonts w:ascii="Calibri" w:hAnsi="Calibri"/>
                <w:sz w:val="20"/>
              </w:rPr>
              <w:t>69.1%</w:t>
            </w:r>
          </w:p>
        </w:tc>
        <w:tc>
          <w:tcPr>
            <w:tcW w:w="2302" w:type="dxa"/>
            <w:gridSpan w:val="3"/>
            <w:vAlign w:val="center"/>
          </w:tcPr>
          <w:p w:rsidR="0013059C" w:rsidRPr="00986CE8" w:rsidRDefault="0013059C" w:rsidP="009006F6">
            <w:pPr>
              <w:pStyle w:val="Body0"/>
              <w:keepNext/>
              <w:rPr>
                <w:sz w:val="20"/>
              </w:rPr>
            </w:pPr>
            <w:r w:rsidRPr="00986CE8">
              <w:rPr>
                <w:sz w:val="20"/>
              </w:rPr>
              <w:t>No car in household</w:t>
            </w:r>
          </w:p>
        </w:tc>
        <w:tc>
          <w:tcPr>
            <w:tcW w:w="1629" w:type="dxa"/>
            <w:vAlign w:val="center"/>
          </w:tcPr>
          <w:p w:rsidR="0013059C" w:rsidRPr="00986CE8" w:rsidRDefault="0013059C" w:rsidP="005F4EC0">
            <w:pPr>
              <w:pStyle w:val="Body0"/>
              <w:keepNext/>
              <w:jc w:val="center"/>
              <w:rPr>
                <w:rFonts w:ascii="Calibri" w:hAnsi="Calibri"/>
                <w:sz w:val="20"/>
              </w:rPr>
            </w:pPr>
            <w:r w:rsidRPr="00986CE8">
              <w:rPr>
                <w:rFonts w:ascii="Calibri" w:hAnsi="Calibri"/>
                <w:sz w:val="20"/>
              </w:rPr>
              <w:t>64.0%</w:t>
            </w:r>
          </w:p>
        </w:tc>
        <w:tc>
          <w:tcPr>
            <w:tcW w:w="831" w:type="dxa"/>
            <w:vAlign w:val="center"/>
          </w:tcPr>
          <w:p w:rsidR="0013059C" w:rsidRPr="00986CE8" w:rsidRDefault="0013059C" w:rsidP="005F4EC0">
            <w:pPr>
              <w:pStyle w:val="Body0"/>
              <w:keepNext/>
              <w:jc w:val="center"/>
              <w:rPr>
                <w:rFonts w:ascii="Calibri" w:hAnsi="Calibri"/>
                <w:b/>
                <w:sz w:val="20"/>
              </w:rPr>
            </w:pPr>
            <w:r w:rsidRPr="00986CE8">
              <w:rPr>
                <w:rFonts w:ascii="Calibri" w:hAnsi="Calibri"/>
                <w:b/>
                <w:sz w:val="20"/>
              </w:rPr>
              <w:t>0.008</w:t>
            </w:r>
          </w:p>
        </w:tc>
      </w:tr>
      <w:tr w:rsidR="0013059C" w:rsidRPr="00986CE8" w:rsidTr="00900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62" w:type="dxa"/>
            <w:gridSpan w:val="5"/>
            <w:vAlign w:val="center"/>
          </w:tcPr>
          <w:p w:rsidR="0013059C" w:rsidRPr="00986CE8" w:rsidRDefault="0013059C" w:rsidP="009006F6">
            <w:pPr>
              <w:pStyle w:val="Body0"/>
              <w:keepNext/>
              <w:rPr>
                <w:sz w:val="20"/>
              </w:rPr>
            </w:pPr>
            <w:r w:rsidRPr="00986CE8">
              <w:rPr>
                <w:sz w:val="20"/>
              </w:rPr>
              <w:t>Overall average:</w:t>
            </w:r>
          </w:p>
        </w:tc>
        <w:tc>
          <w:tcPr>
            <w:tcW w:w="1629" w:type="dxa"/>
            <w:vAlign w:val="center"/>
          </w:tcPr>
          <w:p w:rsidR="0013059C" w:rsidRPr="00986CE8" w:rsidRDefault="0013059C" w:rsidP="005F4EC0">
            <w:pPr>
              <w:pStyle w:val="Body0"/>
              <w:keepNext/>
              <w:jc w:val="center"/>
              <w:rPr>
                <w:rFonts w:ascii="Calibri" w:hAnsi="Calibri"/>
                <w:sz w:val="20"/>
              </w:rPr>
            </w:pPr>
            <w:r w:rsidRPr="00986CE8">
              <w:rPr>
                <w:rFonts w:ascii="Calibri" w:hAnsi="Calibri"/>
                <w:sz w:val="20"/>
              </w:rPr>
              <w:t>68.2%</w:t>
            </w:r>
          </w:p>
        </w:tc>
        <w:tc>
          <w:tcPr>
            <w:tcW w:w="831" w:type="dxa"/>
            <w:vAlign w:val="center"/>
          </w:tcPr>
          <w:p w:rsidR="0013059C" w:rsidRPr="00986CE8" w:rsidRDefault="0013059C" w:rsidP="005F4EC0">
            <w:pPr>
              <w:pStyle w:val="Body0"/>
              <w:keepNext/>
              <w:jc w:val="center"/>
              <w:rPr>
                <w:rFonts w:ascii="Calibri" w:hAnsi="Calibri"/>
                <w:sz w:val="20"/>
              </w:rPr>
            </w:pPr>
          </w:p>
        </w:tc>
      </w:tr>
    </w:tbl>
    <w:p w:rsidR="00F4522E" w:rsidRDefault="00F4522E" w:rsidP="0013059C">
      <w:pPr>
        <w:pStyle w:val="Body0"/>
      </w:pPr>
    </w:p>
    <w:p w:rsidR="0013059C" w:rsidRDefault="0013059C" w:rsidP="0013059C">
      <w:pPr>
        <w:pStyle w:val="Body0"/>
      </w:pPr>
      <w:r>
        <w:t xml:space="preserve">Both of the comparisons above show the expected signs, although the differences are smaller than might be expected.  Due to the large sample size (from 3,923 face-to-face interviews across the UK) they are all </w:t>
      </w:r>
      <w:r w:rsidRPr="00173E89">
        <w:t>statistically significant</w:t>
      </w:r>
      <w:r>
        <w:t xml:space="preserve"> at the 99% level.</w:t>
      </w:r>
    </w:p>
    <w:p w:rsidR="0013059C" w:rsidRDefault="00E10957" w:rsidP="0013059C">
      <w:pPr>
        <w:pStyle w:val="Body0"/>
      </w:pPr>
      <w:fldSimple w:instr=" REF _Ref286932196  \* MERGEFORMAT ">
        <w:r w:rsidR="00ED3260" w:rsidRPr="00ED3260">
          <w:t xml:space="preserve">Table </w:t>
        </w:r>
        <w:r w:rsidR="00ED3260" w:rsidRPr="00ED3260">
          <w:rPr>
            <w:noProof/>
          </w:rPr>
          <w:t>3</w:t>
        </w:r>
      </w:fldSimple>
      <w:r w:rsidR="0013059C">
        <w:t xml:space="preserve"> shows cross-tabulations for a selection of demographic data of relevance to this study.  The attitudes of students, and people aged 20 – 29</w:t>
      </w:r>
      <w:r w:rsidR="00624D2A">
        <w:t>,</w:t>
      </w:r>
      <w:r w:rsidR="0013059C">
        <w:t xml:space="preserve"> are not significantly different from those of the general population.   </w:t>
      </w:r>
      <w:r w:rsidR="00624D2A">
        <w:t>As noted above,</w:t>
      </w:r>
      <w:r w:rsidR="0013059C">
        <w:t xml:space="preserve"> the income and education effects act in opposing directions: graduates are less likely to support unrestricted driving, whereas high income earners are more likely.  The strong associations between income and education would again suggest that the relatively small differences revealed by the binary comparisons are disguising countervailing influences, which may not apply, or may apply in different ways, to students.</w:t>
      </w:r>
    </w:p>
    <w:p w:rsidR="0013059C" w:rsidRDefault="0013059C" w:rsidP="0013059C">
      <w:pPr>
        <w:pStyle w:val="Body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1"/>
        <w:gridCol w:w="142"/>
        <w:gridCol w:w="1559"/>
        <w:gridCol w:w="283"/>
        <w:gridCol w:w="1655"/>
        <w:gridCol w:w="472"/>
        <w:gridCol w:w="1302"/>
        <w:gridCol w:w="834"/>
      </w:tblGrid>
      <w:tr w:rsidR="0013059C" w:rsidRPr="009A47AF" w:rsidTr="00810BF5">
        <w:trPr>
          <w:jc w:val="center"/>
        </w:trPr>
        <w:tc>
          <w:tcPr>
            <w:tcW w:w="8528" w:type="dxa"/>
            <w:gridSpan w:val="8"/>
            <w:tcBorders>
              <w:bottom w:val="single" w:sz="4" w:space="0" w:color="auto"/>
            </w:tcBorders>
            <w:shd w:val="clear" w:color="auto" w:fill="FFFFFF" w:themeFill="background1"/>
          </w:tcPr>
          <w:p w:rsidR="0013059C" w:rsidRPr="009A47AF" w:rsidRDefault="00A02628" w:rsidP="00A02628">
            <w:pPr>
              <w:pStyle w:val="Body0"/>
              <w:jc w:val="center"/>
              <w:rPr>
                <w:b/>
              </w:rPr>
            </w:pPr>
            <w:bookmarkStart w:id="2" w:name="_Ref286932196"/>
            <w:r w:rsidRPr="00851CE4">
              <w:rPr>
                <w:b/>
              </w:rPr>
              <w:t xml:space="preserve">Table </w:t>
            </w:r>
            <w:r w:rsidR="00E10957" w:rsidRPr="00851CE4">
              <w:rPr>
                <w:b/>
              </w:rPr>
              <w:fldChar w:fldCharType="begin"/>
            </w:r>
            <w:r w:rsidRPr="00851CE4">
              <w:rPr>
                <w:b/>
              </w:rPr>
              <w:instrText xml:space="preserve"> SEQ Table \* ARABIC </w:instrText>
            </w:r>
            <w:r w:rsidR="00E10957" w:rsidRPr="00851CE4">
              <w:rPr>
                <w:b/>
              </w:rPr>
              <w:fldChar w:fldCharType="separate"/>
            </w:r>
            <w:r w:rsidR="00ED3260">
              <w:rPr>
                <w:b/>
                <w:noProof/>
              </w:rPr>
              <w:t>3</w:t>
            </w:r>
            <w:r w:rsidR="00E10957" w:rsidRPr="00851CE4">
              <w:rPr>
                <w:b/>
              </w:rPr>
              <w:fldChar w:fldCharType="end"/>
            </w:r>
            <w:bookmarkEnd w:id="2"/>
            <w:r w:rsidRPr="00851CE4">
              <w:t xml:space="preserve"> Demographic indicators cross-tabulated with responses to the statement: </w:t>
            </w:r>
            <w:r w:rsidRPr="00851CE4">
              <w:rPr>
                <w:b/>
              </w:rPr>
              <w:t>‘People should be allowed to use their cars as much as they like’</w:t>
            </w:r>
            <w:r w:rsidRPr="00851CE4">
              <w:t xml:space="preserve"> </w:t>
            </w:r>
            <w:r>
              <w:br/>
            </w:r>
            <w:r w:rsidRPr="00851CE4">
              <w:t>from Thornton et al (2010)</w:t>
            </w:r>
          </w:p>
        </w:tc>
      </w:tr>
      <w:tr w:rsidR="0013059C" w:rsidRPr="009A47AF" w:rsidTr="00810BF5">
        <w:trPr>
          <w:jc w:val="center"/>
        </w:trPr>
        <w:tc>
          <w:tcPr>
            <w:tcW w:w="2281" w:type="dxa"/>
            <w:tcBorders>
              <w:top w:val="single" w:sz="4" w:space="0" w:color="auto"/>
              <w:bottom w:val="single" w:sz="4" w:space="0" w:color="auto"/>
            </w:tcBorders>
            <w:shd w:val="clear" w:color="auto" w:fill="FFFFFF" w:themeFill="background1"/>
          </w:tcPr>
          <w:p w:rsidR="0013059C" w:rsidRPr="009A47AF" w:rsidRDefault="0013059C" w:rsidP="009006F6">
            <w:pPr>
              <w:pStyle w:val="Body0"/>
              <w:keepNext/>
              <w:rPr>
                <w:b/>
              </w:rPr>
            </w:pPr>
          </w:p>
        </w:tc>
        <w:tc>
          <w:tcPr>
            <w:tcW w:w="1984" w:type="dxa"/>
            <w:gridSpan w:val="3"/>
            <w:tcBorders>
              <w:top w:val="single" w:sz="4" w:space="0" w:color="auto"/>
              <w:bottom w:val="single" w:sz="4" w:space="0" w:color="auto"/>
            </w:tcBorders>
            <w:shd w:val="clear" w:color="auto" w:fill="FFFFFF" w:themeFill="background1"/>
          </w:tcPr>
          <w:p w:rsidR="0013059C" w:rsidRPr="009A47AF" w:rsidRDefault="0013059C" w:rsidP="005F4EC0">
            <w:pPr>
              <w:pStyle w:val="Body0"/>
              <w:keepNext/>
              <w:jc w:val="center"/>
              <w:rPr>
                <w:b/>
              </w:rPr>
            </w:pPr>
            <w:r w:rsidRPr="009A47AF">
              <w:rPr>
                <w:b/>
              </w:rPr>
              <w:t>Agree or Strongly agree</w:t>
            </w:r>
          </w:p>
        </w:tc>
        <w:tc>
          <w:tcPr>
            <w:tcW w:w="1655" w:type="dxa"/>
            <w:tcBorders>
              <w:top w:val="single" w:sz="4" w:space="0" w:color="auto"/>
              <w:bottom w:val="single" w:sz="4" w:space="0" w:color="auto"/>
            </w:tcBorders>
            <w:shd w:val="clear" w:color="auto" w:fill="FFFFFF" w:themeFill="background1"/>
          </w:tcPr>
          <w:p w:rsidR="0013059C" w:rsidRPr="009A47AF" w:rsidRDefault="0013059C" w:rsidP="009006F6">
            <w:pPr>
              <w:pStyle w:val="Body0"/>
              <w:keepNext/>
              <w:rPr>
                <w:b/>
              </w:rPr>
            </w:pPr>
          </w:p>
        </w:tc>
        <w:tc>
          <w:tcPr>
            <w:tcW w:w="1774" w:type="dxa"/>
            <w:gridSpan w:val="2"/>
            <w:tcBorders>
              <w:top w:val="single" w:sz="4" w:space="0" w:color="auto"/>
              <w:bottom w:val="single" w:sz="4" w:space="0" w:color="auto"/>
            </w:tcBorders>
            <w:shd w:val="clear" w:color="auto" w:fill="FFFFFF" w:themeFill="background1"/>
          </w:tcPr>
          <w:p w:rsidR="0013059C" w:rsidRPr="009A47AF" w:rsidRDefault="0013059C" w:rsidP="005F4EC0">
            <w:pPr>
              <w:pStyle w:val="Body0"/>
              <w:keepNext/>
              <w:jc w:val="center"/>
              <w:rPr>
                <w:b/>
              </w:rPr>
            </w:pPr>
            <w:r w:rsidRPr="009A47AF">
              <w:rPr>
                <w:b/>
              </w:rPr>
              <w:t>Agree or Strongly agree</w:t>
            </w:r>
          </w:p>
        </w:tc>
        <w:tc>
          <w:tcPr>
            <w:tcW w:w="834" w:type="dxa"/>
            <w:tcBorders>
              <w:top w:val="single" w:sz="4" w:space="0" w:color="auto"/>
              <w:bottom w:val="single" w:sz="4" w:space="0" w:color="auto"/>
            </w:tcBorders>
            <w:shd w:val="clear" w:color="auto" w:fill="FFFFFF" w:themeFill="background1"/>
            <w:vAlign w:val="center"/>
          </w:tcPr>
          <w:p w:rsidR="0013059C" w:rsidRPr="009A47AF" w:rsidRDefault="0013059C" w:rsidP="005F4EC0">
            <w:pPr>
              <w:pStyle w:val="Body0"/>
              <w:keepNext/>
              <w:jc w:val="center"/>
              <w:rPr>
                <w:b/>
              </w:rPr>
            </w:pPr>
            <w:r w:rsidRPr="009A47AF">
              <w:rPr>
                <w:b/>
              </w:rPr>
              <w:t>ρ</w:t>
            </w:r>
          </w:p>
        </w:tc>
      </w:tr>
      <w:tr w:rsidR="0013059C" w:rsidRPr="00986CE8" w:rsidTr="00810BF5">
        <w:trPr>
          <w:jc w:val="center"/>
        </w:trPr>
        <w:tc>
          <w:tcPr>
            <w:tcW w:w="2423" w:type="dxa"/>
            <w:gridSpan w:val="2"/>
            <w:tcBorders>
              <w:top w:val="single" w:sz="4" w:space="0" w:color="auto"/>
            </w:tcBorders>
            <w:vAlign w:val="center"/>
          </w:tcPr>
          <w:p w:rsidR="0013059C" w:rsidRPr="00810BF5" w:rsidRDefault="0013059C" w:rsidP="009006F6">
            <w:pPr>
              <w:pStyle w:val="Body0"/>
              <w:keepNext/>
              <w:rPr>
                <w:sz w:val="20"/>
              </w:rPr>
            </w:pPr>
            <w:r w:rsidRPr="00810BF5">
              <w:rPr>
                <w:sz w:val="20"/>
              </w:rPr>
              <w:t>In full-time education (16+)</w:t>
            </w:r>
          </w:p>
        </w:tc>
        <w:tc>
          <w:tcPr>
            <w:tcW w:w="1559" w:type="dxa"/>
            <w:tcBorders>
              <w:top w:val="single" w:sz="4" w:space="0" w:color="auto"/>
            </w:tcBorders>
            <w:vAlign w:val="center"/>
          </w:tcPr>
          <w:p w:rsidR="0013059C" w:rsidRPr="00810BF5" w:rsidRDefault="0013059C" w:rsidP="005F4EC0">
            <w:pPr>
              <w:pStyle w:val="Body0"/>
              <w:keepNext/>
              <w:jc w:val="center"/>
              <w:rPr>
                <w:sz w:val="20"/>
              </w:rPr>
            </w:pPr>
            <w:r w:rsidRPr="00810BF5">
              <w:rPr>
                <w:sz w:val="20"/>
              </w:rPr>
              <w:t>64.9%</w:t>
            </w:r>
          </w:p>
        </w:tc>
        <w:tc>
          <w:tcPr>
            <w:tcW w:w="2410" w:type="dxa"/>
            <w:gridSpan w:val="3"/>
            <w:tcBorders>
              <w:top w:val="single" w:sz="4" w:space="0" w:color="auto"/>
            </w:tcBorders>
            <w:vAlign w:val="center"/>
          </w:tcPr>
          <w:p w:rsidR="0013059C" w:rsidRPr="00810BF5" w:rsidRDefault="0013059C" w:rsidP="009006F6">
            <w:pPr>
              <w:pStyle w:val="Body0"/>
              <w:keepNext/>
              <w:rPr>
                <w:sz w:val="20"/>
              </w:rPr>
            </w:pPr>
            <w:r w:rsidRPr="00810BF5">
              <w:rPr>
                <w:sz w:val="20"/>
              </w:rPr>
              <w:t>All others</w:t>
            </w:r>
          </w:p>
        </w:tc>
        <w:tc>
          <w:tcPr>
            <w:tcW w:w="1302" w:type="dxa"/>
            <w:tcBorders>
              <w:top w:val="single" w:sz="4" w:space="0" w:color="auto"/>
            </w:tcBorders>
            <w:vAlign w:val="center"/>
          </w:tcPr>
          <w:p w:rsidR="0013059C" w:rsidRPr="00810BF5" w:rsidRDefault="0013059C" w:rsidP="005F4EC0">
            <w:pPr>
              <w:pStyle w:val="Body0"/>
              <w:keepNext/>
              <w:jc w:val="center"/>
              <w:rPr>
                <w:sz w:val="20"/>
              </w:rPr>
            </w:pPr>
            <w:r w:rsidRPr="00810BF5">
              <w:rPr>
                <w:sz w:val="20"/>
              </w:rPr>
              <w:t>68.5%</w:t>
            </w:r>
          </w:p>
        </w:tc>
        <w:tc>
          <w:tcPr>
            <w:tcW w:w="834" w:type="dxa"/>
            <w:tcBorders>
              <w:top w:val="single" w:sz="4" w:space="0" w:color="auto"/>
            </w:tcBorders>
            <w:vAlign w:val="center"/>
          </w:tcPr>
          <w:p w:rsidR="0013059C" w:rsidRPr="00810BF5" w:rsidRDefault="00F4522E" w:rsidP="009006F6">
            <w:pPr>
              <w:pStyle w:val="Body0"/>
              <w:keepNext/>
              <w:rPr>
                <w:sz w:val="20"/>
              </w:rPr>
            </w:pPr>
            <w:r w:rsidRPr="00810BF5">
              <w:rPr>
                <w:sz w:val="20"/>
              </w:rPr>
              <w:t xml:space="preserve"> </w:t>
            </w:r>
            <w:r w:rsidR="005F4EC0" w:rsidRPr="00810BF5">
              <w:rPr>
                <w:sz w:val="20"/>
              </w:rPr>
              <w:t xml:space="preserve"> </w:t>
            </w:r>
            <w:r w:rsidR="0013059C" w:rsidRPr="00810BF5">
              <w:rPr>
                <w:sz w:val="20"/>
              </w:rPr>
              <w:t>0.230</w:t>
            </w:r>
          </w:p>
        </w:tc>
      </w:tr>
      <w:tr w:rsidR="0013059C" w:rsidRPr="00986CE8" w:rsidTr="00810BF5">
        <w:trPr>
          <w:jc w:val="center"/>
        </w:trPr>
        <w:tc>
          <w:tcPr>
            <w:tcW w:w="2423" w:type="dxa"/>
            <w:gridSpan w:val="2"/>
            <w:vAlign w:val="center"/>
          </w:tcPr>
          <w:p w:rsidR="0013059C" w:rsidRPr="00810BF5" w:rsidRDefault="0013059C" w:rsidP="009006F6">
            <w:pPr>
              <w:pStyle w:val="Body0"/>
              <w:keepNext/>
              <w:rPr>
                <w:sz w:val="20"/>
              </w:rPr>
            </w:pPr>
            <w:r w:rsidRPr="00810BF5">
              <w:rPr>
                <w:sz w:val="20"/>
              </w:rPr>
              <w:t>Aged 20 – 29</w:t>
            </w:r>
          </w:p>
        </w:tc>
        <w:tc>
          <w:tcPr>
            <w:tcW w:w="1559" w:type="dxa"/>
            <w:vAlign w:val="center"/>
          </w:tcPr>
          <w:p w:rsidR="0013059C" w:rsidRPr="00810BF5" w:rsidRDefault="0013059C" w:rsidP="005F4EC0">
            <w:pPr>
              <w:pStyle w:val="Body0"/>
              <w:keepNext/>
              <w:jc w:val="center"/>
              <w:rPr>
                <w:sz w:val="20"/>
              </w:rPr>
            </w:pPr>
            <w:r w:rsidRPr="00810BF5">
              <w:rPr>
                <w:sz w:val="20"/>
              </w:rPr>
              <w:t>67.1%</w:t>
            </w:r>
          </w:p>
        </w:tc>
        <w:tc>
          <w:tcPr>
            <w:tcW w:w="2410" w:type="dxa"/>
            <w:gridSpan w:val="3"/>
            <w:vAlign w:val="center"/>
          </w:tcPr>
          <w:p w:rsidR="0013059C" w:rsidRPr="00810BF5" w:rsidRDefault="0013059C" w:rsidP="009006F6">
            <w:pPr>
              <w:pStyle w:val="Body0"/>
              <w:keepNext/>
              <w:rPr>
                <w:sz w:val="20"/>
              </w:rPr>
            </w:pPr>
            <w:r w:rsidRPr="00810BF5">
              <w:rPr>
                <w:sz w:val="20"/>
              </w:rPr>
              <w:t>Aged 30+</w:t>
            </w:r>
          </w:p>
        </w:tc>
        <w:tc>
          <w:tcPr>
            <w:tcW w:w="1302" w:type="dxa"/>
            <w:vAlign w:val="center"/>
          </w:tcPr>
          <w:p w:rsidR="0013059C" w:rsidRPr="00810BF5" w:rsidRDefault="0013059C" w:rsidP="005F4EC0">
            <w:pPr>
              <w:pStyle w:val="Body0"/>
              <w:keepNext/>
              <w:jc w:val="center"/>
              <w:rPr>
                <w:sz w:val="20"/>
              </w:rPr>
            </w:pPr>
            <w:r w:rsidRPr="00810BF5">
              <w:rPr>
                <w:sz w:val="20"/>
              </w:rPr>
              <w:t>68.2%</w:t>
            </w:r>
          </w:p>
        </w:tc>
        <w:tc>
          <w:tcPr>
            <w:tcW w:w="834" w:type="dxa"/>
            <w:vAlign w:val="center"/>
          </w:tcPr>
          <w:p w:rsidR="0013059C" w:rsidRPr="00810BF5" w:rsidRDefault="005F4EC0" w:rsidP="009006F6">
            <w:pPr>
              <w:pStyle w:val="Body0"/>
              <w:keepNext/>
              <w:rPr>
                <w:sz w:val="20"/>
              </w:rPr>
            </w:pPr>
            <w:r w:rsidRPr="00810BF5">
              <w:rPr>
                <w:sz w:val="20"/>
              </w:rPr>
              <w:t xml:space="preserve">  </w:t>
            </w:r>
            <w:r w:rsidR="0013059C" w:rsidRPr="00810BF5">
              <w:rPr>
                <w:sz w:val="20"/>
              </w:rPr>
              <w:t>0.582</w:t>
            </w:r>
          </w:p>
        </w:tc>
      </w:tr>
      <w:tr w:rsidR="0013059C" w:rsidRPr="00986CE8" w:rsidTr="00810BF5">
        <w:trPr>
          <w:jc w:val="center"/>
        </w:trPr>
        <w:tc>
          <w:tcPr>
            <w:tcW w:w="2423" w:type="dxa"/>
            <w:gridSpan w:val="2"/>
            <w:vAlign w:val="center"/>
          </w:tcPr>
          <w:p w:rsidR="0013059C" w:rsidRPr="00810BF5" w:rsidRDefault="0013059C" w:rsidP="009006F6">
            <w:pPr>
              <w:pStyle w:val="Body0"/>
              <w:keepNext/>
              <w:rPr>
                <w:sz w:val="20"/>
              </w:rPr>
            </w:pPr>
            <w:r w:rsidRPr="00810BF5">
              <w:rPr>
                <w:sz w:val="20"/>
              </w:rPr>
              <w:t>Degree educated</w:t>
            </w:r>
          </w:p>
        </w:tc>
        <w:tc>
          <w:tcPr>
            <w:tcW w:w="1559" w:type="dxa"/>
            <w:vAlign w:val="center"/>
          </w:tcPr>
          <w:p w:rsidR="0013059C" w:rsidRPr="00810BF5" w:rsidRDefault="0013059C" w:rsidP="005F4EC0">
            <w:pPr>
              <w:pStyle w:val="Body0"/>
              <w:keepNext/>
              <w:jc w:val="center"/>
              <w:rPr>
                <w:sz w:val="20"/>
              </w:rPr>
            </w:pPr>
            <w:r w:rsidRPr="00810BF5">
              <w:rPr>
                <w:sz w:val="20"/>
              </w:rPr>
              <w:t>56.9%</w:t>
            </w:r>
          </w:p>
        </w:tc>
        <w:tc>
          <w:tcPr>
            <w:tcW w:w="2410" w:type="dxa"/>
            <w:gridSpan w:val="3"/>
            <w:vAlign w:val="center"/>
          </w:tcPr>
          <w:p w:rsidR="0013059C" w:rsidRPr="00810BF5" w:rsidRDefault="0013059C" w:rsidP="009006F6">
            <w:pPr>
              <w:pStyle w:val="Body0"/>
              <w:keepNext/>
              <w:rPr>
                <w:b/>
                <w:sz w:val="20"/>
              </w:rPr>
            </w:pPr>
            <w:r w:rsidRPr="00810BF5">
              <w:rPr>
                <w:b/>
                <w:sz w:val="20"/>
              </w:rPr>
              <w:t>No degree</w:t>
            </w:r>
          </w:p>
        </w:tc>
        <w:tc>
          <w:tcPr>
            <w:tcW w:w="1302" w:type="dxa"/>
            <w:vAlign w:val="center"/>
          </w:tcPr>
          <w:p w:rsidR="0013059C" w:rsidRPr="00810BF5" w:rsidRDefault="0013059C" w:rsidP="005F4EC0">
            <w:pPr>
              <w:pStyle w:val="Body0"/>
              <w:keepNext/>
              <w:jc w:val="center"/>
              <w:rPr>
                <w:sz w:val="20"/>
              </w:rPr>
            </w:pPr>
            <w:r w:rsidRPr="00810BF5">
              <w:rPr>
                <w:sz w:val="20"/>
              </w:rPr>
              <w:t>71.0%</w:t>
            </w:r>
          </w:p>
        </w:tc>
        <w:tc>
          <w:tcPr>
            <w:tcW w:w="834" w:type="dxa"/>
            <w:vAlign w:val="center"/>
          </w:tcPr>
          <w:p w:rsidR="0013059C" w:rsidRPr="00810BF5" w:rsidRDefault="0013059C" w:rsidP="009006F6">
            <w:pPr>
              <w:pStyle w:val="Body0"/>
              <w:keepNext/>
              <w:rPr>
                <w:b/>
                <w:sz w:val="20"/>
              </w:rPr>
            </w:pPr>
            <w:r w:rsidRPr="00810BF5">
              <w:rPr>
                <w:b/>
                <w:sz w:val="20"/>
              </w:rPr>
              <w:t>&lt;0.001</w:t>
            </w:r>
          </w:p>
        </w:tc>
      </w:tr>
      <w:tr w:rsidR="0013059C" w:rsidRPr="00986CE8" w:rsidTr="00810BF5">
        <w:trPr>
          <w:jc w:val="center"/>
        </w:trPr>
        <w:tc>
          <w:tcPr>
            <w:tcW w:w="2423" w:type="dxa"/>
            <w:gridSpan w:val="2"/>
            <w:vAlign w:val="center"/>
          </w:tcPr>
          <w:p w:rsidR="0013059C" w:rsidRPr="00810BF5" w:rsidRDefault="0013059C" w:rsidP="00810BF5">
            <w:pPr>
              <w:pStyle w:val="Body0"/>
              <w:keepNext/>
              <w:rPr>
                <w:b/>
                <w:sz w:val="20"/>
              </w:rPr>
            </w:pPr>
            <w:r w:rsidRPr="00810BF5">
              <w:rPr>
                <w:b/>
                <w:sz w:val="20"/>
              </w:rPr>
              <w:t xml:space="preserve">Income quintiles 1 </w:t>
            </w:r>
            <w:r w:rsidR="00810BF5">
              <w:rPr>
                <w:b/>
                <w:sz w:val="20"/>
              </w:rPr>
              <w:t>&amp;</w:t>
            </w:r>
            <w:r w:rsidRPr="00810BF5">
              <w:rPr>
                <w:b/>
                <w:sz w:val="20"/>
              </w:rPr>
              <w:t xml:space="preserve"> 2</w:t>
            </w:r>
          </w:p>
        </w:tc>
        <w:tc>
          <w:tcPr>
            <w:tcW w:w="1559" w:type="dxa"/>
            <w:vAlign w:val="center"/>
          </w:tcPr>
          <w:p w:rsidR="0013059C" w:rsidRPr="00810BF5" w:rsidRDefault="0013059C" w:rsidP="00810BF5">
            <w:pPr>
              <w:pStyle w:val="Body0"/>
              <w:keepNext/>
              <w:jc w:val="center"/>
              <w:rPr>
                <w:sz w:val="20"/>
              </w:rPr>
            </w:pPr>
            <w:r w:rsidRPr="00810BF5">
              <w:rPr>
                <w:sz w:val="20"/>
              </w:rPr>
              <w:t>71.1%</w:t>
            </w:r>
          </w:p>
        </w:tc>
        <w:tc>
          <w:tcPr>
            <w:tcW w:w="2410" w:type="dxa"/>
            <w:gridSpan w:val="3"/>
            <w:vAlign w:val="center"/>
          </w:tcPr>
          <w:p w:rsidR="0013059C" w:rsidRPr="00810BF5" w:rsidRDefault="0013059C" w:rsidP="00810BF5">
            <w:pPr>
              <w:pStyle w:val="Body0"/>
              <w:keepNext/>
              <w:rPr>
                <w:sz w:val="20"/>
              </w:rPr>
            </w:pPr>
            <w:r w:rsidRPr="00810BF5">
              <w:rPr>
                <w:sz w:val="20"/>
              </w:rPr>
              <w:t>Income quintiles 3 – 5</w:t>
            </w:r>
          </w:p>
        </w:tc>
        <w:tc>
          <w:tcPr>
            <w:tcW w:w="1302" w:type="dxa"/>
          </w:tcPr>
          <w:p w:rsidR="0013059C" w:rsidRPr="00810BF5" w:rsidRDefault="0013059C" w:rsidP="005F4EC0">
            <w:pPr>
              <w:pStyle w:val="Body0"/>
              <w:keepNext/>
              <w:jc w:val="center"/>
              <w:rPr>
                <w:sz w:val="20"/>
              </w:rPr>
            </w:pPr>
            <w:r w:rsidRPr="00810BF5">
              <w:rPr>
                <w:sz w:val="20"/>
              </w:rPr>
              <w:t>64.5%</w:t>
            </w:r>
          </w:p>
        </w:tc>
        <w:tc>
          <w:tcPr>
            <w:tcW w:w="834" w:type="dxa"/>
          </w:tcPr>
          <w:p w:rsidR="0013059C" w:rsidRPr="00810BF5" w:rsidRDefault="005F4EC0" w:rsidP="009006F6">
            <w:pPr>
              <w:pStyle w:val="Body0"/>
              <w:keepNext/>
              <w:rPr>
                <w:b/>
                <w:sz w:val="20"/>
              </w:rPr>
            </w:pPr>
            <w:r w:rsidRPr="00810BF5">
              <w:rPr>
                <w:b/>
                <w:sz w:val="20"/>
              </w:rPr>
              <w:t xml:space="preserve">  </w:t>
            </w:r>
            <w:r w:rsidR="0013059C" w:rsidRPr="00810BF5">
              <w:rPr>
                <w:b/>
                <w:sz w:val="20"/>
              </w:rPr>
              <w:t>0.001</w:t>
            </w:r>
          </w:p>
        </w:tc>
      </w:tr>
    </w:tbl>
    <w:p w:rsidR="00810BF5" w:rsidRDefault="00810BF5" w:rsidP="0013059C">
      <w:pPr>
        <w:pStyle w:val="Body0"/>
      </w:pPr>
    </w:p>
    <w:p w:rsidR="0013059C" w:rsidRPr="00B174E6" w:rsidRDefault="00135B28" w:rsidP="0013059C">
      <w:pPr>
        <w:pStyle w:val="Body0"/>
      </w:pPr>
      <w:r>
        <w:t xml:space="preserve">One possible connection between car ownership/use and the </w:t>
      </w:r>
      <w:r w:rsidR="00D069F5">
        <w:t>different attitudes</w:t>
      </w:r>
      <w:r>
        <w:t xml:space="preserve"> discussed in this section was</w:t>
      </w:r>
      <w:r w:rsidR="0013059C">
        <w:t xml:space="preserve"> suggested by </w:t>
      </w:r>
      <w:proofErr w:type="spellStart"/>
      <w:r w:rsidR="0013059C">
        <w:t>Monbiot</w:t>
      </w:r>
      <w:proofErr w:type="spellEnd"/>
      <w:r w:rsidR="0013059C">
        <w:t xml:space="preserve"> </w:t>
      </w:r>
      <w:r w:rsidR="00E10957">
        <w:fldChar w:fldCharType="begin"/>
      </w:r>
      <w:r w:rsidR="0074515C">
        <w:instrText>ADDIN RW.CITE{{1938 Monbiot,George 2005/a;}}</w:instrText>
      </w:r>
      <w:r w:rsidR="00E10957">
        <w:fldChar w:fldCharType="separate"/>
      </w:r>
      <w:r w:rsidR="0030734E">
        <w:t>(2005)</w:t>
      </w:r>
      <w:r w:rsidR="00E10957">
        <w:fldChar w:fldCharType="end"/>
      </w:r>
      <w:r>
        <w:t xml:space="preserve"> who argued</w:t>
      </w:r>
      <w:r w:rsidR="0013059C">
        <w:t xml:space="preserve"> that car use contribu</w:t>
      </w:r>
      <w:r>
        <w:t xml:space="preserve">tes towards </w:t>
      </w:r>
      <w:r>
        <w:lastRenderedPageBreak/>
        <w:t>libertarian values,</w:t>
      </w:r>
      <w:r w:rsidR="0013059C">
        <w:t xml:space="preserve"> influencing both personal behaviour and political beliefs.  Dislike of restraints on personal liberty in transport and other area</w:t>
      </w:r>
      <w:r w:rsidR="00D069F5">
        <w:t>s has contributed, he argued</w:t>
      </w:r>
      <w:r w:rsidR="0013059C">
        <w:t xml:space="preserve">, to scepticism towards, or denial of, the scientific evidence which might suggest their necessity.  </w:t>
      </w:r>
      <w:r w:rsidR="00D069F5">
        <w:t>Thus libertarian views might</w:t>
      </w:r>
      <w:r>
        <w:t xml:space="preserve"> act as a mediating variable in some or all of the relationships this study set out to test.  Although it raised some interesting possibilities, </w:t>
      </w:r>
      <w:proofErr w:type="spellStart"/>
      <w:r w:rsidR="0013059C">
        <w:t>Monbiot’s</w:t>
      </w:r>
      <w:proofErr w:type="spellEnd"/>
      <w:r w:rsidR="0013059C">
        <w:t xml:space="preserve"> article was polemical, citing no research evidence to justify his arguments.  The literature review revealed no direct evidence to support or refute the implied hypotheses, although several studies have noted that notions of personal freedom are central to ‘car </w:t>
      </w:r>
      <w:r w:rsidR="0013059C" w:rsidRPr="00B174E6">
        <w:t>culture</w:t>
      </w:r>
      <w:r w:rsidR="0013059C">
        <w:t>s’</w:t>
      </w:r>
      <w:r w:rsidR="0013059C" w:rsidRPr="00B174E6">
        <w:t xml:space="preserve"> </w:t>
      </w:r>
      <w:r w:rsidR="00E10957" w:rsidRPr="00B174E6">
        <w:fldChar w:fldCharType="begin"/>
      </w:r>
      <w:r w:rsidR="0013059C" w:rsidRPr="00B174E6">
        <w:instrText>ADDIN RW.CITE{{1948 Sheller,Mimi 2000/pe.g. ;}}</w:instrText>
      </w:r>
      <w:r w:rsidR="00E10957" w:rsidRPr="00B174E6">
        <w:fldChar w:fldCharType="separate"/>
      </w:r>
      <w:r w:rsidR="0030734E">
        <w:t>(e.g. Sheller and Urry, 2000)</w:t>
      </w:r>
      <w:r w:rsidR="00E10957" w:rsidRPr="00B174E6">
        <w:fldChar w:fldCharType="end"/>
      </w:r>
      <w:r w:rsidR="0013059C">
        <w:t xml:space="preserve">.  </w:t>
      </w:r>
    </w:p>
    <w:p w:rsidR="006A674B" w:rsidRDefault="0013059C" w:rsidP="00A34262">
      <w:pPr>
        <w:pStyle w:val="Body0"/>
      </w:pPr>
      <w:r>
        <w:t>In summary</w:t>
      </w:r>
      <w:r w:rsidR="006A674B">
        <w:t>, there is some evidence that higher car use is associated with less support for sustainable transport policies and also with lower levels of (self-reported) concern about climate change.  The picture is a complex one, however, and the causal mechanisms are poorly understood.  The influence of car ownership is particularly complex with income and education exerting countervailing influences.  Very little is known about how any of this applies to students, hence the following research questions.</w:t>
      </w:r>
    </w:p>
    <w:p w:rsidR="00851CE4" w:rsidRDefault="00851CE4" w:rsidP="005C2CAE">
      <w:pPr>
        <w:pStyle w:val="Heading1"/>
      </w:pPr>
      <w:bookmarkStart w:id="3" w:name="_Ref286483235"/>
    </w:p>
    <w:p w:rsidR="006A674B" w:rsidRDefault="006A674B" w:rsidP="005C2CAE">
      <w:pPr>
        <w:pStyle w:val="Heading1"/>
      </w:pPr>
      <w:bookmarkStart w:id="4" w:name="_Ref286478008"/>
      <w:bookmarkEnd w:id="3"/>
      <w:r>
        <w:t>Research Design</w:t>
      </w:r>
      <w:bookmarkEnd w:id="4"/>
    </w:p>
    <w:p w:rsidR="00ED3260" w:rsidRPr="00ED3260" w:rsidRDefault="00624D2A" w:rsidP="00ED3260">
      <w:pPr>
        <w:pStyle w:val="Body0"/>
      </w:pPr>
      <w:r>
        <w:t xml:space="preserve">This study aimed to test the relationships, if any, between car ownership and/or car use amongst students, and their attitudes towards climate change, libertarian attitudes, and support for various measures designed to reduce car use. </w:t>
      </w:r>
      <w:r w:rsidR="00E10957">
        <w:fldChar w:fldCharType="begin"/>
      </w:r>
      <w:r w:rsidR="00DF2905">
        <w:instrText xml:space="preserve"> REF _Ref286486194  \* MERGEFORMAT </w:instrText>
      </w:r>
      <w:r w:rsidR="00E10957">
        <w:fldChar w:fldCharType="separate"/>
      </w:r>
    </w:p>
    <w:p w:rsidR="00624D2A" w:rsidRDefault="00ED3260" w:rsidP="00624D2A">
      <w:pPr>
        <w:pStyle w:val="Body0"/>
      </w:pPr>
      <w:r w:rsidRPr="00ED3260">
        <w:t xml:space="preserve">Table </w:t>
      </w:r>
      <w:r>
        <w:rPr>
          <w:b/>
          <w:noProof/>
        </w:rPr>
        <w:t>4</w:t>
      </w:r>
      <w:r w:rsidR="00E10957">
        <w:fldChar w:fldCharType="end"/>
      </w:r>
      <w:r w:rsidR="00624D2A">
        <w:t xml:space="preserve"> illustrates the hypotheses to be tested, and the expected signs:</w:t>
      </w:r>
    </w:p>
    <w:p w:rsidR="00624D2A" w:rsidRDefault="00624D2A" w:rsidP="00624D2A">
      <w:pPr>
        <w:pStyle w:val="Body0"/>
        <w:keepNext/>
      </w:pPr>
    </w:p>
    <w:tbl>
      <w:tblPr>
        <w:tblW w:w="8560" w:type="dxa"/>
        <w:tblLook w:val="04A0"/>
      </w:tblPr>
      <w:tblGrid>
        <w:gridCol w:w="5680"/>
        <w:gridCol w:w="1799"/>
        <w:gridCol w:w="1081"/>
      </w:tblGrid>
      <w:tr w:rsidR="00624D2A" w:rsidRPr="004831BB" w:rsidTr="00624D2A">
        <w:trPr>
          <w:trHeight w:val="300"/>
        </w:trPr>
        <w:tc>
          <w:tcPr>
            <w:tcW w:w="5680" w:type="dxa"/>
            <w:tcBorders>
              <w:top w:val="single" w:sz="4" w:space="0" w:color="auto"/>
              <w:bottom w:val="single" w:sz="4" w:space="0" w:color="auto"/>
            </w:tcBorders>
            <w:shd w:val="clear" w:color="auto" w:fill="auto"/>
            <w:noWrap/>
            <w:vAlign w:val="bottom"/>
            <w:hideMark/>
          </w:tcPr>
          <w:p w:rsidR="00624D2A" w:rsidRPr="004831BB" w:rsidRDefault="00624D2A" w:rsidP="00624D2A">
            <w:pPr>
              <w:keepNext/>
              <w:spacing w:before="40" w:after="120"/>
              <w:rPr>
                <w:rFonts w:cs="Arial"/>
                <w:color w:val="000000"/>
                <w:sz w:val="22"/>
                <w:szCs w:val="22"/>
                <w:lang w:eastAsia="en-GB"/>
              </w:rPr>
            </w:pPr>
          </w:p>
        </w:tc>
        <w:tc>
          <w:tcPr>
            <w:tcW w:w="1799" w:type="dxa"/>
            <w:tcBorders>
              <w:top w:val="single" w:sz="4" w:space="0" w:color="auto"/>
              <w:bottom w:val="single" w:sz="4" w:space="0" w:color="auto"/>
            </w:tcBorders>
            <w:shd w:val="clear" w:color="auto" w:fill="auto"/>
            <w:noWrap/>
            <w:vAlign w:val="bottom"/>
            <w:hideMark/>
          </w:tcPr>
          <w:p w:rsidR="00624D2A" w:rsidRPr="004831BB" w:rsidRDefault="00624D2A" w:rsidP="00624D2A">
            <w:pPr>
              <w:keepNext/>
              <w:spacing w:before="40" w:after="120"/>
              <w:rPr>
                <w:rFonts w:cs="Arial"/>
                <w:b/>
                <w:color w:val="000000"/>
                <w:sz w:val="22"/>
                <w:szCs w:val="22"/>
                <w:lang w:eastAsia="en-GB"/>
              </w:rPr>
            </w:pPr>
            <w:r w:rsidRPr="004831BB">
              <w:rPr>
                <w:rFonts w:cs="Arial"/>
                <w:b/>
                <w:color w:val="000000"/>
                <w:sz w:val="22"/>
                <w:szCs w:val="22"/>
                <w:lang w:eastAsia="en-GB"/>
              </w:rPr>
              <w:t>Car ownership</w:t>
            </w:r>
          </w:p>
        </w:tc>
        <w:tc>
          <w:tcPr>
            <w:tcW w:w="1081" w:type="dxa"/>
            <w:tcBorders>
              <w:top w:val="single" w:sz="4" w:space="0" w:color="auto"/>
              <w:bottom w:val="single" w:sz="4" w:space="0" w:color="auto"/>
            </w:tcBorders>
            <w:shd w:val="clear" w:color="auto" w:fill="auto"/>
            <w:noWrap/>
            <w:vAlign w:val="bottom"/>
            <w:hideMark/>
          </w:tcPr>
          <w:p w:rsidR="00624D2A" w:rsidRPr="004831BB" w:rsidRDefault="00624D2A" w:rsidP="00624D2A">
            <w:pPr>
              <w:keepNext/>
              <w:spacing w:before="40" w:after="120"/>
              <w:rPr>
                <w:rFonts w:cs="Arial"/>
                <w:b/>
                <w:color w:val="000000"/>
                <w:sz w:val="22"/>
                <w:szCs w:val="22"/>
                <w:lang w:eastAsia="en-GB"/>
              </w:rPr>
            </w:pPr>
            <w:r w:rsidRPr="004831BB">
              <w:rPr>
                <w:rFonts w:cs="Arial"/>
                <w:b/>
                <w:color w:val="000000"/>
                <w:sz w:val="22"/>
                <w:szCs w:val="22"/>
                <w:lang w:eastAsia="en-GB"/>
              </w:rPr>
              <w:t>Car Use</w:t>
            </w:r>
          </w:p>
        </w:tc>
      </w:tr>
      <w:tr w:rsidR="00624D2A" w:rsidRPr="004831BB" w:rsidTr="00624D2A">
        <w:trPr>
          <w:trHeight w:val="300"/>
        </w:trPr>
        <w:tc>
          <w:tcPr>
            <w:tcW w:w="5680" w:type="dxa"/>
            <w:tcBorders>
              <w:top w:val="single" w:sz="4" w:space="0" w:color="auto"/>
            </w:tcBorders>
            <w:shd w:val="clear" w:color="auto" w:fill="auto"/>
            <w:noWrap/>
            <w:vAlign w:val="bottom"/>
            <w:hideMark/>
          </w:tcPr>
          <w:p w:rsidR="00624D2A" w:rsidRDefault="00624D2A" w:rsidP="00624D2A">
            <w:pPr>
              <w:keepNext/>
              <w:spacing w:after="0"/>
              <w:rPr>
                <w:rFonts w:cs="Arial"/>
                <w:color w:val="000000"/>
                <w:sz w:val="22"/>
                <w:szCs w:val="22"/>
                <w:lang w:eastAsia="en-GB"/>
              </w:rPr>
            </w:pPr>
          </w:p>
          <w:p w:rsidR="00624D2A" w:rsidRPr="004831BB" w:rsidRDefault="00624D2A" w:rsidP="00624D2A">
            <w:pPr>
              <w:keepNext/>
              <w:spacing w:after="0"/>
              <w:rPr>
                <w:rFonts w:cs="Arial"/>
                <w:color w:val="000000"/>
                <w:sz w:val="22"/>
                <w:szCs w:val="22"/>
                <w:lang w:eastAsia="en-GB"/>
              </w:rPr>
            </w:pPr>
            <w:r w:rsidRPr="004831BB">
              <w:rPr>
                <w:rFonts w:cs="Arial"/>
                <w:color w:val="000000"/>
                <w:sz w:val="22"/>
                <w:szCs w:val="22"/>
                <w:lang w:eastAsia="en-GB"/>
              </w:rPr>
              <w:t>Acceptance of scientific evidence about climate change</w:t>
            </w:r>
          </w:p>
        </w:tc>
        <w:tc>
          <w:tcPr>
            <w:tcW w:w="1799" w:type="dxa"/>
            <w:tcBorders>
              <w:top w:val="single" w:sz="4" w:space="0" w:color="auto"/>
            </w:tcBorders>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c>
          <w:tcPr>
            <w:tcW w:w="1081" w:type="dxa"/>
            <w:tcBorders>
              <w:top w:val="single" w:sz="4" w:space="0" w:color="auto"/>
            </w:tcBorders>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r>
      <w:tr w:rsidR="00624D2A" w:rsidRPr="004831BB" w:rsidTr="00624D2A">
        <w:trPr>
          <w:trHeight w:val="300"/>
        </w:trPr>
        <w:tc>
          <w:tcPr>
            <w:tcW w:w="5680" w:type="dxa"/>
            <w:shd w:val="clear" w:color="auto" w:fill="auto"/>
            <w:noWrap/>
            <w:vAlign w:val="bottom"/>
            <w:hideMark/>
          </w:tcPr>
          <w:p w:rsidR="00624D2A" w:rsidRPr="004831BB" w:rsidRDefault="00624D2A" w:rsidP="00624D2A">
            <w:pPr>
              <w:keepNext/>
              <w:spacing w:after="0"/>
              <w:rPr>
                <w:rFonts w:cs="Arial"/>
                <w:color w:val="000000"/>
                <w:sz w:val="22"/>
                <w:szCs w:val="22"/>
                <w:lang w:eastAsia="en-GB"/>
              </w:rPr>
            </w:pPr>
            <w:r>
              <w:rPr>
                <w:rFonts w:cs="Arial"/>
                <w:color w:val="000000"/>
                <w:sz w:val="22"/>
                <w:szCs w:val="22"/>
                <w:lang w:eastAsia="en-GB"/>
              </w:rPr>
              <w:t>Concern about climate c</w:t>
            </w:r>
            <w:r w:rsidRPr="004831BB">
              <w:rPr>
                <w:rFonts w:cs="Arial"/>
                <w:color w:val="000000"/>
                <w:sz w:val="22"/>
                <w:szCs w:val="22"/>
                <w:lang w:eastAsia="en-GB"/>
              </w:rPr>
              <w:t>hange</w:t>
            </w:r>
          </w:p>
        </w:tc>
        <w:tc>
          <w:tcPr>
            <w:tcW w:w="1799"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c>
          <w:tcPr>
            <w:tcW w:w="1081"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r>
      <w:tr w:rsidR="00624D2A" w:rsidRPr="004831BB" w:rsidTr="00624D2A">
        <w:trPr>
          <w:trHeight w:val="300"/>
        </w:trPr>
        <w:tc>
          <w:tcPr>
            <w:tcW w:w="5680" w:type="dxa"/>
            <w:shd w:val="clear" w:color="auto" w:fill="auto"/>
            <w:noWrap/>
            <w:vAlign w:val="bottom"/>
            <w:hideMark/>
          </w:tcPr>
          <w:p w:rsidR="00624D2A" w:rsidRPr="004831BB" w:rsidRDefault="00624D2A" w:rsidP="00624D2A">
            <w:pPr>
              <w:keepNext/>
              <w:spacing w:after="0"/>
              <w:rPr>
                <w:rFonts w:cs="Arial"/>
                <w:color w:val="000000"/>
                <w:sz w:val="22"/>
                <w:szCs w:val="22"/>
                <w:lang w:eastAsia="en-GB"/>
              </w:rPr>
            </w:pPr>
            <w:r w:rsidRPr="004831BB">
              <w:rPr>
                <w:rFonts w:cs="Arial"/>
                <w:color w:val="000000"/>
                <w:sz w:val="22"/>
                <w:szCs w:val="22"/>
                <w:lang w:eastAsia="en-GB"/>
              </w:rPr>
              <w:t>Libertarian attitudes</w:t>
            </w:r>
          </w:p>
        </w:tc>
        <w:tc>
          <w:tcPr>
            <w:tcW w:w="1799"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c>
          <w:tcPr>
            <w:tcW w:w="1081"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r>
      <w:tr w:rsidR="00624D2A" w:rsidRPr="004831BB" w:rsidTr="00624D2A">
        <w:trPr>
          <w:trHeight w:val="300"/>
        </w:trPr>
        <w:tc>
          <w:tcPr>
            <w:tcW w:w="5680" w:type="dxa"/>
            <w:shd w:val="clear" w:color="auto" w:fill="auto"/>
            <w:noWrap/>
            <w:vAlign w:val="bottom"/>
            <w:hideMark/>
          </w:tcPr>
          <w:p w:rsidR="00624D2A" w:rsidRPr="004831BB" w:rsidRDefault="00624D2A" w:rsidP="00624D2A">
            <w:pPr>
              <w:keepNext/>
              <w:spacing w:after="0"/>
              <w:rPr>
                <w:rFonts w:cs="Arial"/>
                <w:color w:val="000000"/>
                <w:sz w:val="22"/>
                <w:szCs w:val="22"/>
                <w:lang w:eastAsia="en-GB"/>
              </w:rPr>
            </w:pPr>
            <w:r>
              <w:rPr>
                <w:rFonts w:cs="Arial"/>
                <w:color w:val="000000"/>
                <w:sz w:val="22"/>
                <w:szCs w:val="22"/>
                <w:lang w:eastAsia="en-GB"/>
              </w:rPr>
              <w:t>Support for (various) s</w:t>
            </w:r>
            <w:r w:rsidRPr="004831BB">
              <w:rPr>
                <w:rFonts w:cs="Arial"/>
                <w:color w:val="000000"/>
                <w:sz w:val="22"/>
                <w:szCs w:val="22"/>
                <w:lang w:eastAsia="en-GB"/>
              </w:rPr>
              <w:t>ustainable transport measures</w:t>
            </w:r>
          </w:p>
        </w:tc>
        <w:tc>
          <w:tcPr>
            <w:tcW w:w="1799"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c>
          <w:tcPr>
            <w:tcW w:w="1081"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sidRPr="004831BB">
              <w:rPr>
                <w:rFonts w:cs="Arial"/>
                <w:color w:val="000000"/>
                <w:sz w:val="22"/>
                <w:szCs w:val="22"/>
                <w:lang w:eastAsia="en-GB"/>
              </w:rPr>
              <w:t>–</w:t>
            </w:r>
          </w:p>
        </w:tc>
      </w:tr>
      <w:tr w:rsidR="00624D2A" w:rsidRPr="004831BB" w:rsidTr="00624D2A">
        <w:trPr>
          <w:trHeight w:val="300"/>
        </w:trPr>
        <w:tc>
          <w:tcPr>
            <w:tcW w:w="5680" w:type="dxa"/>
            <w:shd w:val="clear" w:color="auto" w:fill="auto"/>
            <w:noWrap/>
            <w:vAlign w:val="bottom"/>
            <w:hideMark/>
          </w:tcPr>
          <w:p w:rsidR="00624D2A" w:rsidRDefault="00624D2A" w:rsidP="00624D2A">
            <w:pPr>
              <w:keepNext/>
              <w:spacing w:after="0"/>
              <w:rPr>
                <w:rFonts w:cs="Arial"/>
                <w:color w:val="000000"/>
                <w:sz w:val="22"/>
                <w:szCs w:val="22"/>
                <w:lang w:eastAsia="en-GB"/>
              </w:rPr>
            </w:pPr>
            <w:r>
              <w:rPr>
                <w:rFonts w:cs="Arial"/>
                <w:color w:val="000000"/>
                <w:sz w:val="22"/>
                <w:szCs w:val="22"/>
                <w:lang w:eastAsia="en-GB"/>
              </w:rPr>
              <w:t>Support for more parking on campus</w:t>
            </w:r>
          </w:p>
        </w:tc>
        <w:tc>
          <w:tcPr>
            <w:tcW w:w="1799"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Pr>
                <w:rFonts w:cs="Arial"/>
                <w:color w:val="000000"/>
                <w:sz w:val="22"/>
                <w:szCs w:val="22"/>
                <w:lang w:eastAsia="en-GB"/>
              </w:rPr>
              <w:t>+</w:t>
            </w:r>
          </w:p>
        </w:tc>
        <w:tc>
          <w:tcPr>
            <w:tcW w:w="1081" w:type="dxa"/>
            <w:shd w:val="clear" w:color="auto" w:fill="auto"/>
            <w:noWrap/>
            <w:vAlign w:val="bottom"/>
            <w:hideMark/>
          </w:tcPr>
          <w:p w:rsidR="00624D2A" w:rsidRPr="004831BB" w:rsidRDefault="00624D2A" w:rsidP="00624D2A">
            <w:pPr>
              <w:keepNext/>
              <w:spacing w:after="0"/>
              <w:jc w:val="center"/>
              <w:rPr>
                <w:rFonts w:cs="Arial"/>
                <w:color w:val="000000"/>
                <w:sz w:val="22"/>
                <w:szCs w:val="22"/>
                <w:lang w:eastAsia="en-GB"/>
              </w:rPr>
            </w:pPr>
            <w:r>
              <w:rPr>
                <w:rFonts w:cs="Arial"/>
                <w:color w:val="000000"/>
                <w:sz w:val="22"/>
                <w:szCs w:val="22"/>
                <w:lang w:eastAsia="en-GB"/>
              </w:rPr>
              <w:t>+</w:t>
            </w:r>
          </w:p>
        </w:tc>
      </w:tr>
    </w:tbl>
    <w:p w:rsidR="00624D2A" w:rsidRDefault="00624D2A" w:rsidP="00624D2A">
      <w:pPr>
        <w:pStyle w:val="Body0"/>
        <w:keepNext/>
        <w:jc w:val="center"/>
        <w:rPr>
          <w:b/>
        </w:rPr>
      </w:pPr>
      <w:bookmarkStart w:id="5" w:name="_Ref286486194"/>
    </w:p>
    <w:p w:rsidR="00624D2A" w:rsidRDefault="00624D2A" w:rsidP="00624D2A">
      <w:pPr>
        <w:pStyle w:val="Body0"/>
        <w:keepNext/>
        <w:jc w:val="center"/>
        <w:rPr>
          <w:b/>
        </w:rPr>
      </w:pPr>
      <w:bookmarkStart w:id="6" w:name="_Ref289188003"/>
      <w:r w:rsidRPr="00851CE4">
        <w:rPr>
          <w:b/>
        </w:rPr>
        <w:t xml:space="preserve">Table </w:t>
      </w:r>
      <w:r w:rsidR="00E10957" w:rsidRPr="00851CE4">
        <w:rPr>
          <w:b/>
        </w:rPr>
        <w:fldChar w:fldCharType="begin"/>
      </w:r>
      <w:r w:rsidRPr="00851CE4">
        <w:rPr>
          <w:b/>
        </w:rPr>
        <w:instrText xml:space="preserve"> SEQ Table \* ARABIC </w:instrText>
      </w:r>
      <w:r w:rsidR="00E10957" w:rsidRPr="00851CE4">
        <w:rPr>
          <w:b/>
        </w:rPr>
        <w:fldChar w:fldCharType="separate"/>
      </w:r>
      <w:r w:rsidR="00ED3260">
        <w:rPr>
          <w:b/>
          <w:noProof/>
        </w:rPr>
        <w:t>4</w:t>
      </w:r>
      <w:r w:rsidR="00E10957" w:rsidRPr="00851CE4">
        <w:rPr>
          <w:b/>
        </w:rPr>
        <w:fldChar w:fldCharType="end"/>
      </w:r>
      <w:bookmarkEnd w:id="5"/>
      <w:bookmarkEnd w:id="6"/>
      <w:r w:rsidRPr="00851CE4">
        <w:rPr>
          <w:b/>
        </w:rPr>
        <w:t xml:space="preserve"> - Hypotheses to be tested – signs indicate expected correlations</w:t>
      </w:r>
    </w:p>
    <w:p w:rsidR="00556ABE" w:rsidRDefault="00556ABE" w:rsidP="00D069F5">
      <w:pPr>
        <w:pStyle w:val="Body0"/>
      </w:pPr>
    </w:p>
    <w:p w:rsidR="00AC4DEF" w:rsidRDefault="00D069F5" w:rsidP="00D069F5">
      <w:pPr>
        <w:pStyle w:val="Body0"/>
      </w:pPr>
      <w:r>
        <w:t xml:space="preserve">Self-completed questionnaires were distributed at the beginning of lectures to undergraduates from a range of different </w:t>
      </w:r>
      <w:r w:rsidR="00ED62DC">
        <w:t>Built Environment</w:t>
      </w:r>
      <w:r>
        <w:t xml:space="preserve"> programmes.  The questions asked about travel to campus and whether the respondent had sole or shared use of a car during term-time and during holidays.  </w:t>
      </w:r>
    </w:p>
    <w:p w:rsidR="00D069F5" w:rsidRDefault="00D069F5" w:rsidP="00D069F5">
      <w:pPr>
        <w:pStyle w:val="Body0"/>
      </w:pPr>
      <w:r>
        <w:lastRenderedPageBreak/>
        <w:t xml:space="preserve">Some of the questions about attitudes to climate change and policy options were taken from DfT </w:t>
      </w:r>
      <w:r w:rsidR="00E10957">
        <w:fldChar w:fldCharType="begin"/>
      </w:r>
      <w:r w:rsidR="0074515C">
        <w:instrText>ADDIN RW.CITE{{1904 DfT 2010/a;}}</w:instrText>
      </w:r>
      <w:r w:rsidR="00E10957">
        <w:fldChar w:fldCharType="separate"/>
      </w:r>
      <w:r w:rsidR="0030734E">
        <w:t>(2010)</w:t>
      </w:r>
      <w:r w:rsidR="00E10957">
        <w:fldChar w:fldCharType="end"/>
      </w:r>
      <w:r w:rsidR="00D96224">
        <w:t>, although m</w:t>
      </w:r>
      <w:r>
        <w:t xml:space="preserve">any of the policy options in </w:t>
      </w:r>
      <w:r w:rsidR="00D96224">
        <w:t>that and other surveys were incomplete</w:t>
      </w:r>
      <w:r>
        <w:t xml:space="preserve">: asking about spending increases or new cycle routes, for example, without indicating where the money or the urban space would be taken from.  Most of the policy options in the questionnaire were written to test opinions when faced with trade-offs such options might entail.  </w:t>
      </w:r>
    </w:p>
    <w:p w:rsidR="00986CE8" w:rsidRDefault="00D069F5" w:rsidP="00A34262">
      <w:pPr>
        <w:pStyle w:val="Body0"/>
      </w:pPr>
      <w:r>
        <w:t xml:space="preserve">Using the limitations on car ownership in year 1 as a ‘natural experiment’, the research was originally designed as a quasi-longitudinal study with matched cohorts of year 1 and year 3 students following the same programmes.  The intention was to test how the acquisition of cars during years 2 and 3 might impact on the attitudes under study.  As described below, the differences in car ownership between the two years proved much smaller than expected – too small to explore those possibilities.  The findings were able to provide some other insights into change – or stability – of attitudes over time, however. </w:t>
      </w:r>
    </w:p>
    <w:p w:rsidR="00D069F5" w:rsidRDefault="00D069F5" w:rsidP="00A34262">
      <w:pPr>
        <w:pStyle w:val="Body0"/>
      </w:pPr>
      <w:r>
        <w:t xml:space="preserve">Following UWE’s Sustainability Strategy </w:t>
      </w:r>
      <w:r w:rsidR="00E10957">
        <w:fldChar w:fldCharType="begin"/>
      </w:r>
      <w:r w:rsidR="0074515C">
        <w:instrText>ADDIN RW.CITE{{1949 UWE 2011}}</w:instrText>
      </w:r>
      <w:r w:rsidR="00E10957">
        <w:fldChar w:fldCharType="separate"/>
      </w:r>
      <w:r w:rsidR="0030734E">
        <w:t>(UWE, 2011)</w:t>
      </w:r>
      <w:r w:rsidR="00E10957">
        <w:fldChar w:fldCharType="end"/>
      </w:r>
      <w:r>
        <w:t xml:space="preserve"> most of the programmes would have included some teaching of sustainability issues </w:t>
      </w:r>
      <w:r w:rsidR="00556ABE">
        <w:t xml:space="preserve">(though not necessarily about the science of climate change) </w:t>
      </w:r>
      <w:r>
        <w:t xml:space="preserve">raising the possibility that students’ attitudes might have changed as a result.  This was tested in two ways.  The questionnaires asked students whether their concern about climate change and their attitudes towards ‘policies which reduce car use’ had changed during their time at UWE, as a result of their learning or for other reasons.  It would also be possible to compare the results between years 1 and 3, to assess whether those observations were borne out by significant changes in those attitudes. </w:t>
      </w:r>
    </w:p>
    <w:p w:rsidR="00006035" w:rsidRDefault="00006035" w:rsidP="00A34262">
      <w:pPr>
        <w:pStyle w:val="Body0"/>
      </w:pPr>
      <w:r>
        <w:t xml:space="preserve">It was decided not to attempt to construct a comprehensive model </w:t>
      </w:r>
      <w:r w:rsidR="0013703C">
        <w:t>of the factors explaining these attitudes, partly because of multi-</w:t>
      </w:r>
      <w:proofErr w:type="spellStart"/>
      <w:r w:rsidR="0013703C">
        <w:t>colinearity</w:t>
      </w:r>
      <w:proofErr w:type="spellEnd"/>
      <w:r w:rsidR="0013703C">
        <w:t xml:space="preserve"> expected between many of the relevant factors, and partly because of data collection limitations.  </w:t>
      </w:r>
    </w:p>
    <w:p w:rsidR="009006F6" w:rsidRDefault="009006F6" w:rsidP="00A34262">
      <w:pPr>
        <w:pStyle w:val="Body0"/>
      </w:pPr>
    </w:p>
    <w:p w:rsidR="009006F6" w:rsidRDefault="009006F6" w:rsidP="005C2CAE">
      <w:pPr>
        <w:pStyle w:val="Heading1"/>
      </w:pPr>
      <w:r>
        <w:t>Findings</w:t>
      </w:r>
    </w:p>
    <w:p w:rsidR="00D069F5" w:rsidRDefault="00DC2576" w:rsidP="00A34262">
      <w:pPr>
        <w:pStyle w:val="Body0"/>
      </w:pPr>
      <w:r>
        <w:t xml:space="preserve">305 questionnaires were completed.  81% of the respondents were studying full-time, 77% were under 26.  72% were male, reflecting the gender balance in </w:t>
      </w:r>
      <w:r w:rsidR="00AC4DEF">
        <w:t xml:space="preserve">most of the </w:t>
      </w:r>
      <w:r w:rsidR="00ED62DC">
        <w:t>Built Environment</w:t>
      </w:r>
      <w:r w:rsidR="00AC4DEF">
        <w:t xml:space="preserve"> pr</w:t>
      </w:r>
      <w:r>
        <w:t>ogrammes.  87% held full driving licences, including 83% of those under 22 – considerably higher than the national average [the age bands were different but only 64% of those in the 21-29 age group have a full driving licence].</w:t>
      </w:r>
    </w:p>
    <w:p w:rsidR="00DC2576" w:rsidRDefault="00DC2576" w:rsidP="00A34262">
      <w:pPr>
        <w:pStyle w:val="Body0"/>
      </w:pPr>
      <w:r>
        <w:t>Just under half of the first years lived on campus</w:t>
      </w:r>
      <w:r w:rsidR="00556ABE">
        <w:t>.  20% of these claimed to have sole use of a car during term time – discussions in the lectures indicated that many of these cars are parked in the car park of a retail park about half a mile from the campus.</w:t>
      </w:r>
      <w:r w:rsidR="009628F1">
        <w:t xml:space="preserve">  </w:t>
      </w:r>
      <w:r w:rsidR="003A2A7F">
        <w:t>Surprisingly, 52% of th</w:t>
      </w:r>
      <w:r w:rsidR="003C3039">
        <w:t>ose living on campus</w:t>
      </w:r>
      <w:r w:rsidR="003A2A7F">
        <w:t xml:space="preserve"> claimed to have a car available for their sole use during the holidays – with 20% having shared use of a car.  T</w:t>
      </w:r>
      <w:r w:rsidR="003C3039">
        <w:t>hese</w:t>
      </w:r>
      <w:r w:rsidR="003A2A7F">
        <w:t xml:space="preserve"> facto</w:t>
      </w:r>
      <w:r w:rsidR="003C3039">
        <w:t>rs meant that the proportion of respondents without use of a car w</w:t>
      </w:r>
      <w:r w:rsidR="003A2A7F">
        <w:t>as much smal</w:t>
      </w:r>
      <w:r w:rsidR="003C3039">
        <w:t>ler than expected at 16%.</w:t>
      </w:r>
      <w:r w:rsidR="003A2A7F">
        <w:t xml:space="preserve"> </w:t>
      </w:r>
      <w:r w:rsidR="003C3039">
        <w:t xml:space="preserve">  </w:t>
      </w:r>
      <w:r w:rsidR="00E10957">
        <w:fldChar w:fldCharType="begin"/>
      </w:r>
      <w:r w:rsidR="00011E9A">
        <w:instrText xml:space="preserve"> REF _Ref289080238 \h </w:instrText>
      </w:r>
      <w:r w:rsidR="00E10957">
        <w:fldChar w:fldCharType="separate"/>
      </w:r>
      <w:r w:rsidR="00ED3260">
        <w:t xml:space="preserve">Figure </w:t>
      </w:r>
      <w:proofErr w:type="gramStart"/>
      <w:r w:rsidR="00ED3260">
        <w:rPr>
          <w:noProof/>
        </w:rPr>
        <w:t>1</w:t>
      </w:r>
      <w:r w:rsidR="00E10957">
        <w:fldChar w:fldCharType="end"/>
      </w:r>
      <w:r w:rsidR="00011E9A">
        <w:t xml:space="preserve"> shows</w:t>
      </w:r>
      <w:proofErr w:type="gramEnd"/>
      <w:r w:rsidR="00011E9A">
        <w:t xml:space="preserve"> the ‘normal’ mode of </w:t>
      </w:r>
      <w:r w:rsidR="003C3039">
        <w:t xml:space="preserve">travel to campus for those who lived </w:t>
      </w:r>
      <w:r w:rsidR="00551232">
        <w:t>elsewhere</w:t>
      </w:r>
      <w:r w:rsidR="003C3039">
        <w:t xml:space="preserve">.  </w:t>
      </w:r>
    </w:p>
    <w:p w:rsidR="009628F1" w:rsidRDefault="009628F1" w:rsidP="00A34262">
      <w:pPr>
        <w:pStyle w:val="Body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6"/>
      </w:tblGrid>
      <w:tr w:rsidR="009628F1" w:rsidTr="006443FA">
        <w:trPr>
          <w:jc w:val="center"/>
        </w:trPr>
        <w:tc>
          <w:tcPr>
            <w:tcW w:w="6642" w:type="dxa"/>
            <w:vAlign w:val="center"/>
          </w:tcPr>
          <w:p w:rsidR="009628F1" w:rsidRDefault="00011E9A" w:rsidP="00A34262">
            <w:pPr>
              <w:pStyle w:val="Body0"/>
            </w:pPr>
            <w:r>
              <w:rPr>
                <w:noProof/>
                <w:lang w:eastAsia="en-GB"/>
              </w:rPr>
              <w:drawing>
                <wp:anchor distT="0" distB="0" distL="114300" distR="114300" simplePos="0" relativeHeight="251658240" behindDoc="0" locked="0" layoutInCell="1" allowOverlap="1">
                  <wp:simplePos x="0" y="0"/>
                  <wp:positionH relativeFrom="column">
                    <wp:posOffset>-40005</wp:posOffset>
                  </wp:positionH>
                  <wp:positionV relativeFrom="paragraph">
                    <wp:posOffset>-3651885</wp:posOffset>
                  </wp:positionV>
                  <wp:extent cx="4356735" cy="3657600"/>
                  <wp:effectExtent l="19050" t="0" r="5715" b="0"/>
                  <wp:wrapSquare wrapText="bothSides"/>
                  <wp:docPr id="5" name="Picture 4" descr="Graph of Comm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of Commuting.jpg"/>
                          <pic:cNvPicPr/>
                        </pic:nvPicPr>
                        <pic:blipFill>
                          <a:blip r:embed="rId8" cstate="print"/>
                          <a:stretch>
                            <a:fillRect/>
                          </a:stretch>
                        </pic:blipFill>
                        <pic:spPr>
                          <a:xfrm>
                            <a:off x="0" y="0"/>
                            <a:ext cx="4356735" cy="3657600"/>
                          </a:xfrm>
                          <a:prstGeom prst="rect">
                            <a:avLst/>
                          </a:prstGeom>
                        </pic:spPr>
                      </pic:pic>
                    </a:graphicData>
                  </a:graphic>
                </wp:anchor>
              </w:drawing>
            </w:r>
          </w:p>
        </w:tc>
      </w:tr>
    </w:tbl>
    <w:p w:rsidR="009628F1" w:rsidRDefault="00011E9A" w:rsidP="00011E9A">
      <w:pPr>
        <w:pStyle w:val="Caption"/>
        <w:jc w:val="center"/>
      </w:pPr>
      <w:bookmarkStart w:id="7" w:name="_Ref289080238"/>
      <w:r>
        <w:t xml:space="preserve">Figure </w:t>
      </w:r>
      <w:r w:rsidR="00E10957">
        <w:fldChar w:fldCharType="begin"/>
      </w:r>
      <w:r w:rsidR="006E0FB7">
        <w:instrText xml:space="preserve"> SEQ Figure \* ARABIC </w:instrText>
      </w:r>
      <w:r w:rsidR="00E10957">
        <w:fldChar w:fldCharType="separate"/>
      </w:r>
      <w:r w:rsidR="00ED3260">
        <w:rPr>
          <w:noProof/>
        </w:rPr>
        <w:t>1</w:t>
      </w:r>
      <w:r w:rsidR="00E10957">
        <w:rPr>
          <w:noProof/>
        </w:rPr>
        <w:fldChar w:fldCharType="end"/>
      </w:r>
      <w:bookmarkEnd w:id="7"/>
      <w:r>
        <w:t xml:space="preserve"> – </w:t>
      </w:r>
      <w:r w:rsidR="00D4324D">
        <w:t xml:space="preserve">Normal </w:t>
      </w:r>
      <w:r>
        <w:t xml:space="preserve">mode of travel to </w:t>
      </w:r>
      <w:r w:rsidR="00D1721D">
        <w:t>Campus</w:t>
      </w:r>
      <w:r w:rsidR="00D4324D">
        <w:t xml:space="preserve"> (excluding campus-based students)</w:t>
      </w:r>
    </w:p>
    <w:p w:rsidR="00D069F5" w:rsidRDefault="00732975" w:rsidP="00A34262">
      <w:pPr>
        <w:pStyle w:val="Body0"/>
      </w:pPr>
      <w:r>
        <w:t>The proportion arriving by car is slightly higher than that of the university’s annual travel survey (which showed 51% of students arriving by car 32% by public transport).</w:t>
      </w:r>
      <w:r w:rsidR="00AC4DEF">
        <w:t xml:space="preserve">  UWE’s Frenchay campus is in a suburban location, reasonably well served by bus and rail from most of the locations where students live</w:t>
      </w:r>
      <w:r w:rsidR="004807F2">
        <w:t>,</w:t>
      </w:r>
      <w:r w:rsidR="00AC4DEF">
        <w:t xml:space="preserve"> so </w:t>
      </w:r>
      <w:r w:rsidR="004807F2">
        <w:t xml:space="preserve">driving would be a choice rather than </w:t>
      </w:r>
      <w:r w:rsidR="00AC4DEF">
        <w:t xml:space="preserve">necessity </w:t>
      </w:r>
      <w:r w:rsidR="004807F2">
        <w:t xml:space="preserve">for most </w:t>
      </w:r>
      <w:r w:rsidR="00810BF5">
        <w:t>of the respondents</w:t>
      </w:r>
      <w:r w:rsidR="00AC4DEF">
        <w:t>.</w:t>
      </w:r>
    </w:p>
    <w:p w:rsidR="00062B59" w:rsidRDefault="00062B59" w:rsidP="00A34262">
      <w:pPr>
        <w:pStyle w:val="Body0"/>
      </w:pPr>
      <w:r>
        <w:t xml:space="preserve">The levels of concern about climate change were </w:t>
      </w:r>
      <w:r w:rsidR="005B18F5">
        <w:t xml:space="preserve">slightly lower than </w:t>
      </w:r>
      <w:r>
        <w:t xml:space="preserve">the national averages found by DfT </w:t>
      </w:r>
      <w:r w:rsidR="00E10957">
        <w:fldChar w:fldCharType="begin"/>
      </w:r>
      <w:r>
        <w:instrText>ADDIN RW.CITE{{1904 DfT 2010/a;}}</w:instrText>
      </w:r>
      <w:r w:rsidR="00E10957">
        <w:fldChar w:fldCharType="separate"/>
      </w:r>
      <w:r w:rsidR="0030734E">
        <w:t>(2010)</w:t>
      </w:r>
      <w:r w:rsidR="00E10957">
        <w:fldChar w:fldCharType="end"/>
      </w:r>
      <w:r>
        <w:t xml:space="preserve">, as shown in </w:t>
      </w:r>
      <w:r w:rsidR="00E10957">
        <w:fldChar w:fldCharType="begin"/>
      </w:r>
      <w:r>
        <w:instrText xml:space="preserve"> REF _Ref289156812 \h </w:instrText>
      </w:r>
      <w:r w:rsidR="00E10957">
        <w:fldChar w:fldCharType="separate"/>
      </w:r>
      <w:r w:rsidR="00ED3260">
        <w:t xml:space="preserve">Figure </w:t>
      </w:r>
      <w:r w:rsidR="00ED3260">
        <w:rPr>
          <w:noProof/>
        </w:rPr>
        <w:t>2</w:t>
      </w:r>
      <w:r w:rsidR="00E10957">
        <w:fldChar w:fldCharType="end"/>
      </w:r>
      <w:r>
        <w:t>.</w:t>
      </w:r>
      <w:r w:rsidR="005B18F5">
        <w:t xml:space="preserve">  This is consistent with the lower levels of concern amongst the 20-29 age group found by Thornton et al (2010 – measured on a different scale).</w:t>
      </w:r>
    </w:p>
    <w:p w:rsidR="003219C8" w:rsidRDefault="003219C8" w:rsidP="00A34262">
      <w:pPr>
        <w:pStyle w:val="Body0"/>
      </w:pPr>
      <w:r>
        <w:t xml:space="preserve">In response to the statement ‘people should be allowed to use their cars as much as they like even if it causes damage to the environment’, the sample was almost identical to the national average as reported by DfT </w:t>
      </w:r>
      <w:r w:rsidR="00E10957">
        <w:fldChar w:fldCharType="begin"/>
      </w:r>
      <w:r w:rsidR="0074515C">
        <w:instrText>ADDIN RW.CITE{{1904 DfT 2010/a;}}</w:instrText>
      </w:r>
      <w:r w:rsidR="00E10957">
        <w:fldChar w:fldCharType="separate"/>
      </w:r>
      <w:r w:rsidR="0030734E">
        <w:t>(2010)</w:t>
      </w:r>
      <w:r w:rsidR="00E10957">
        <w:fldChar w:fldCharType="end"/>
      </w:r>
      <w:r>
        <w:t>, with 37% agreeing or strongly agreeing.</w:t>
      </w:r>
    </w:p>
    <w:p w:rsidR="00062B59" w:rsidRDefault="00062B59" w:rsidP="00A34262">
      <w:pPr>
        <w:pStyle w:val="Body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6"/>
      </w:tblGrid>
      <w:tr w:rsidR="00062B59" w:rsidTr="00C5617A">
        <w:trPr>
          <w:trHeight w:val="5798"/>
          <w:jc w:val="center"/>
        </w:trPr>
        <w:tc>
          <w:tcPr>
            <w:tcW w:w="8188" w:type="dxa"/>
          </w:tcPr>
          <w:p w:rsidR="00062B59" w:rsidRDefault="00CC606F" w:rsidP="005B18F5">
            <w:pPr>
              <w:pStyle w:val="Body0"/>
            </w:pPr>
            <w:r>
              <w:rPr>
                <w:noProof/>
                <w:lang w:eastAsia="en-GB"/>
              </w:rPr>
              <w:lastRenderedPageBreak/>
              <w:drawing>
                <wp:anchor distT="0" distB="0" distL="114300" distR="114300" simplePos="0" relativeHeight="251659264" behindDoc="0" locked="0" layoutInCell="1" allowOverlap="1">
                  <wp:simplePos x="0" y="0"/>
                  <wp:positionH relativeFrom="column">
                    <wp:posOffset>-352425</wp:posOffset>
                  </wp:positionH>
                  <wp:positionV relativeFrom="paragraph">
                    <wp:posOffset>1270</wp:posOffset>
                  </wp:positionV>
                  <wp:extent cx="5130800" cy="335534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30800" cy="3355340"/>
                          </a:xfrm>
                          <a:prstGeom prst="rect">
                            <a:avLst/>
                          </a:prstGeom>
                          <a:noFill/>
                          <a:ln w="9525">
                            <a:noFill/>
                            <a:miter lim="800000"/>
                            <a:headEnd/>
                            <a:tailEnd/>
                          </a:ln>
                        </pic:spPr>
                      </pic:pic>
                    </a:graphicData>
                  </a:graphic>
                </wp:anchor>
              </w:drawing>
            </w:r>
          </w:p>
        </w:tc>
      </w:tr>
    </w:tbl>
    <w:p w:rsidR="00062B59" w:rsidRDefault="00062B59" w:rsidP="005B18F5">
      <w:pPr>
        <w:pStyle w:val="Caption"/>
        <w:jc w:val="center"/>
      </w:pPr>
      <w:bookmarkStart w:id="8" w:name="_Ref289156812"/>
      <w:r>
        <w:t xml:space="preserve">Figure </w:t>
      </w:r>
      <w:r w:rsidR="00E10957">
        <w:fldChar w:fldCharType="begin"/>
      </w:r>
      <w:r w:rsidR="006E0FB7">
        <w:instrText xml:space="preserve"> SEQ Figure \* ARABIC </w:instrText>
      </w:r>
      <w:r w:rsidR="00E10957">
        <w:fldChar w:fldCharType="separate"/>
      </w:r>
      <w:r w:rsidR="00ED3260">
        <w:rPr>
          <w:noProof/>
        </w:rPr>
        <w:t>2</w:t>
      </w:r>
      <w:r w:rsidR="00E10957">
        <w:rPr>
          <w:noProof/>
        </w:rPr>
        <w:fldChar w:fldCharType="end"/>
      </w:r>
      <w:bookmarkEnd w:id="8"/>
      <w:r>
        <w:t xml:space="preserve"> Concern </w:t>
      </w:r>
      <w:proofErr w:type="gramStart"/>
      <w:r>
        <w:t>About</w:t>
      </w:r>
      <w:proofErr w:type="gramEnd"/>
      <w:r>
        <w:t xml:space="preserve"> Climate Change Compared to DfT (2010)</w:t>
      </w:r>
    </w:p>
    <w:p w:rsidR="00062B59" w:rsidRDefault="00E10957" w:rsidP="00062B59">
      <w:pPr>
        <w:pStyle w:val="Body0"/>
      </w:pPr>
      <w:fldSimple w:instr=" REF _Ref289158250 \h  \* MERGEFORMAT ">
        <w:r w:rsidR="00ED3260">
          <w:t>Table 5</w:t>
        </w:r>
      </w:fldSimple>
      <w:r w:rsidR="00062B59">
        <w:t xml:space="preserve"> shows the attitudes to climate change and policy measures cross-tabulated against availability of a car (in term and/or holiday, sole or shared) and against commuting mode (</w:t>
      </w:r>
      <w:r w:rsidR="00DC49B3">
        <w:t xml:space="preserve">including </w:t>
      </w:r>
      <w:r w:rsidR="00062B59">
        <w:t xml:space="preserve">campus-based students </w:t>
      </w:r>
      <w:r w:rsidR="00DC49B3">
        <w:t>who walk</w:t>
      </w:r>
      <w:r w:rsidR="00062B59">
        <w:t>).</w:t>
      </w:r>
      <w:r w:rsidR="00F45366">
        <w:t xml:space="preserve">  The ρ values were derived from Chi-square tests.</w:t>
      </w:r>
    </w:p>
    <w:p w:rsidR="00C5617A" w:rsidRDefault="00C5617A" w:rsidP="00C5617A">
      <w:pPr>
        <w:pStyle w:val="Body0"/>
      </w:pPr>
      <w:r>
        <w:t xml:space="preserve">Most of the differences show the expected signs, although many are statistically insignificant. This is due to the small magnitude of the differences in most cases, and also (in the comparisons between the first two columns) because the number of respondents without a car was fairly small.  </w:t>
      </w:r>
      <w:r w:rsidR="007919C3">
        <w:t>Of the</w:t>
      </w:r>
      <w:r>
        <w:t xml:space="preserve"> hypotheses shown i</w:t>
      </w:r>
      <w:r w:rsidRPr="005F4EC0">
        <w:t xml:space="preserve">n </w:t>
      </w:r>
      <w:fldSimple w:instr=" REF _Ref289188003 \h  \* MERGEFORMAT ">
        <w:r w:rsidR="00ED3260" w:rsidRPr="00ED3260">
          <w:t>Table 4</w:t>
        </w:r>
      </w:fldSimple>
      <w:r w:rsidR="007919C3">
        <w:t xml:space="preserve"> about climate change and libertarian attitudes, only one</w:t>
      </w:r>
      <w:r>
        <w:t xml:space="preserve"> is supported: the association between car availability and concern about climate change.  Of the different policy options, those involving an increase in parking or a reduction in road capacity show the clearest association with both car availability and commuting by car.  </w:t>
      </w:r>
    </w:p>
    <w:p w:rsidR="00C5617A" w:rsidRPr="00062B59" w:rsidRDefault="00C5617A" w:rsidP="00062B59">
      <w:pPr>
        <w:pStyle w:val="Body0"/>
      </w:pPr>
    </w:p>
    <w:p w:rsidR="00986CE8" w:rsidRDefault="00986CE8" w:rsidP="00A34262">
      <w:pPr>
        <w:pStyle w:val="Body0"/>
      </w:pPr>
    </w:p>
    <w:p w:rsidR="006A674B" w:rsidRDefault="006A674B" w:rsidP="00A34262">
      <w:pPr>
        <w:pStyle w:val="Body0"/>
      </w:pPr>
    </w:p>
    <w:tbl>
      <w:tblPr>
        <w:tblW w:w="5000" w:type="pct"/>
        <w:tblLayout w:type="fixed"/>
        <w:tblLook w:val="00A0"/>
      </w:tblPr>
      <w:tblGrid>
        <w:gridCol w:w="3503"/>
        <w:gridCol w:w="933"/>
        <w:gridCol w:w="932"/>
        <w:gridCol w:w="933"/>
        <w:gridCol w:w="44"/>
        <w:gridCol w:w="993"/>
        <w:gridCol w:w="992"/>
        <w:gridCol w:w="23"/>
        <w:gridCol w:w="933"/>
      </w:tblGrid>
      <w:tr w:rsidR="00DA2DB2" w:rsidRPr="00BF3A91" w:rsidTr="00DA2DB2">
        <w:tc>
          <w:tcPr>
            <w:tcW w:w="9286" w:type="dxa"/>
            <w:gridSpan w:val="9"/>
            <w:tcBorders>
              <w:bottom w:val="single" w:sz="4" w:space="0" w:color="auto"/>
            </w:tcBorders>
            <w:shd w:val="clear" w:color="auto" w:fill="FFFFFF" w:themeFill="background1"/>
          </w:tcPr>
          <w:p w:rsidR="00DA2DB2" w:rsidRPr="000659B7" w:rsidRDefault="000659B7" w:rsidP="000659B7">
            <w:pPr>
              <w:pStyle w:val="Caption"/>
              <w:keepNext/>
            </w:pPr>
            <w:bookmarkStart w:id="9" w:name="_Ref289158250"/>
            <w:r>
              <w:lastRenderedPageBreak/>
              <w:t xml:space="preserve">Table </w:t>
            </w:r>
            <w:r w:rsidR="00E10957">
              <w:fldChar w:fldCharType="begin"/>
            </w:r>
            <w:r w:rsidR="006E0FB7">
              <w:instrText xml:space="preserve"> SEQ Table \* ARABIC </w:instrText>
            </w:r>
            <w:r w:rsidR="00E10957">
              <w:fldChar w:fldCharType="separate"/>
            </w:r>
            <w:r w:rsidR="00ED3260">
              <w:rPr>
                <w:noProof/>
              </w:rPr>
              <w:t>5</w:t>
            </w:r>
            <w:r w:rsidR="00E10957">
              <w:rPr>
                <w:noProof/>
              </w:rPr>
              <w:fldChar w:fldCharType="end"/>
            </w:r>
            <w:bookmarkEnd w:id="9"/>
            <w:r w:rsidR="00062B59">
              <w:t xml:space="preserve"> </w:t>
            </w:r>
            <w:proofErr w:type="spellStart"/>
            <w:r w:rsidR="00062B59">
              <w:t>Crosstabulations</w:t>
            </w:r>
            <w:proofErr w:type="spellEnd"/>
            <w:r w:rsidR="00062B59">
              <w:t xml:space="preserve"> of Attitudes against Car Availability and Commuting Mode</w:t>
            </w:r>
          </w:p>
        </w:tc>
      </w:tr>
      <w:tr w:rsidR="0072033F" w:rsidRPr="00BF3A91" w:rsidTr="00A02628">
        <w:tc>
          <w:tcPr>
            <w:tcW w:w="3503" w:type="dxa"/>
            <w:tcBorders>
              <w:top w:val="single" w:sz="4" w:space="0" w:color="auto"/>
            </w:tcBorders>
            <w:shd w:val="clear" w:color="auto" w:fill="FFFFFF" w:themeFill="background1"/>
          </w:tcPr>
          <w:p w:rsidR="0072033F" w:rsidRDefault="0072033F" w:rsidP="00FE1867">
            <w:pPr>
              <w:keepNext/>
              <w:rPr>
                <w:rFonts w:cs="Arial"/>
                <w:sz w:val="22"/>
                <w:szCs w:val="22"/>
              </w:rPr>
            </w:pPr>
          </w:p>
        </w:tc>
        <w:tc>
          <w:tcPr>
            <w:tcW w:w="2798" w:type="dxa"/>
            <w:gridSpan w:val="3"/>
            <w:tcBorders>
              <w:top w:val="single" w:sz="4" w:space="0" w:color="auto"/>
            </w:tcBorders>
            <w:shd w:val="clear" w:color="auto" w:fill="FFFFFF" w:themeFill="background1"/>
          </w:tcPr>
          <w:p w:rsidR="0072033F" w:rsidRPr="00351C14" w:rsidRDefault="0072033F" w:rsidP="00FE1867">
            <w:pPr>
              <w:keepNext/>
              <w:jc w:val="center"/>
              <w:rPr>
                <w:rFonts w:cs="Arial"/>
                <w:b/>
                <w:sz w:val="22"/>
                <w:szCs w:val="22"/>
              </w:rPr>
            </w:pPr>
            <w:r w:rsidRPr="00351C14">
              <w:rPr>
                <w:rFonts w:cs="Arial"/>
                <w:b/>
                <w:sz w:val="22"/>
                <w:szCs w:val="22"/>
              </w:rPr>
              <w:t>Car available</w:t>
            </w:r>
          </w:p>
        </w:tc>
        <w:tc>
          <w:tcPr>
            <w:tcW w:w="2985" w:type="dxa"/>
            <w:gridSpan w:val="5"/>
            <w:tcBorders>
              <w:top w:val="single" w:sz="4" w:space="0" w:color="auto"/>
            </w:tcBorders>
            <w:shd w:val="clear" w:color="auto" w:fill="FFFFFF" w:themeFill="background1"/>
          </w:tcPr>
          <w:p w:rsidR="0072033F" w:rsidRPr="00351C14" w:rsidRDefault="00DA2DB2" w:rsidP="00FE1867">
            <w:pPr>
              <w:keepNext/>
              <w:jc w:val="center"/>
              <w:rPr>
                <w:rFonts w:cs="Arial"/>
                <w:b/>
                <w:sz w:val="22"/>
                <w:szCs w:val="22"/>
              </w:rPr>
            </w:pPr>
            <w:r>
              <w:rPr>
                <w:rFonts w:cs="Arial"/>
                <w:b/>
                <w:sz w:val="22"/>
                <w:szCs w:val="22"/>
              </w:rPr>
              <w:t xml:space="preserve">Normal </w:t>
            </w:r>
            <w:r w:rsidR="0072033F" w:rsidRPr="00351C14">
              <w:rPr>
                <w:rFonts w:cs="Arial"/>
                <w:b/>
                <w:sz w:val="22"/>
                <w:szCs w:val="22"/>
              </w:rPr>
              <w:t>Commuting Mode</w:t>
            </w:r>
          </w:p>
        </w:tc>
      </w:tr>
      <w:tr w:rsidR="0072033F" w:rsidRPr="00BF3A91" w:rsidTr="00A02628">
        <w:tc>
          <w:tcPr>
            <w:tcW w:w="3503" w:type="dxa"/>
            <w:tcBorders>
              <w:bottom w:val="single" w:sz="4" w:space="0" w:color="auto"/>
            </w:tcBorders>
            <w:shd w:val="clear" w:color="auto" w:fill="FFFFFF" w:themeFill="background1"/>
          </w:tcPr>
          <w:p w:rsidR="0072033F" w:rsidRPr="00351C14" w:rsidRDefault="0072033F" w:rsidP="00351C14">
            <w:pPr>
              <w:keepNext/>
              <w:rPr>
                <w:rFonts w:cs="Arial"/>
                <w:b/>
                <w:sz w:val="22"/>
                <w:szCs w:val="22"/>
              </w:rPr>
            </w:pPr>
            <w:proofErr w:type="spellStart"/>
            <w:r w:rsidRPr="00351C14">
              <w:rPr>
                <w:rFonts w:cs="Arial"/>
                <w:b/>
                <w:sz w:val="22"/>
                <w:szCs w:val="22"/>
              </w:rPr>
              <w:t>Likert</w:t>
            </w:r>
            <w:proofErr w:type="spellEnd"/>
            <w:r w:rsidRPr="00351C14">
              <w:rPr>
                <w:rFonts w:cs="Arial"/>
                <w:b/>
                <w:sz w:val="22"/>
                <w:szCs w:val="22"/>
              </w:rPr>
              <w:t xml:space="preserve"> Scale </w:t>
            </w:r>
            <w:r w:rsidR="000811BB">
              <w:rPr>
                <w:rFonts w:cs="Arial"/>
                <w:b/>
                <w:sz w:val="22"/>
                <w:szCs w:val="22"/>
              </w:rPr>
              <w:t>(</w:t>
            </w:r>
            <w:r>
              <w:rPr>
                <w:rFonts w:cs="Arial"/>
                <w:b/>
                <w:sz w:val="22"/>
                <w:szCs w:val="22"/>
              </w:rPr>
              <w:t>means</w:t>
            </w:r>
            <w:r w:rsidR="000811BB">
              <w:rPr>
                <w:rFonts w:cs="Arial"/>
                <w:b/>
                <w:sz w:val="22"/>
                <w:szCs w:val="22"/>
              </w:rPr>
              <w:t>)</w:t>
            </w:r>
          </w:p>
        </w:tc>
        <w:tc>
          <w:tcPr>
            <w:tcW w:w="933" w:type="dxa"/>
            <w:tcBorders>
              <w:bottom w:val="single" w:sz="4" w:space="0" w:color="auto"/>
            </w:tcBorders>
            <w:shd w:val="clear" w:color="auto" w:fill="FFFFFF" w:themeFill="background1"/>
          </w:tcPr>
          <w:p w:rsidR="0072033F" w:rsidRPr="00351C14" w:rsidRDefault="0072033F" w:rsidP="00FD4D78">
            <w:pPr>
              <w:keepNext/>
              <w:jc w:val="center"/>
              <w:rPr>
                <w:rFonts w:cs="Arial"/>
                <w:b/>
                <w:sz w:val="22"/>
                <w:szCs w:val="22"/>
              </w:rPr>
            </w:pPr>
            <w:r w:rsidRPr="00351C14">
              <w:rPr>
                <w:rFonts w:cs="Arial"/>
                <w:b/>
                <w:sz w:val="22"/>
                <w:szCs w:val="22"/>
              </w:rPr>
              <w:t>Yes</w:t>
            </w:r>
          </w:p>
        </w:tc>
        <w:tc>
          <w:tcPr>
            <w:tcW w:w="932" w:type="dxa"/>
            <w:tcBorders>
              <w:bottom w:val="single" w:sz="4" w:space="0" w:color="auto"/>
            </w:tcBorders>
            <w:shd w:val="clear" w:color="auto" w:fill="FFFFFF" w:themeFill="background1"/>
          </w:tcPr>
          <w:p w:rsidR="0072033F" w:rsidRPr="00351C14" w:rsidRDefault="0072033F" w:rsidP="00FD4D78">
            <w:pPr>
              <w:keepNext/>
              <w:jc w:val="center"/>
              <w:rPr>
                <w:rFonts w:cs="Arial"/>
                <w:b/>
                <w:sz w:val="22"/>
                <w:szCs w:val="22"/>
              </w:rPr>
            </w:pPr>
            <w:r w:rsidRPr="00351C14">
              <w:rPr>
                <w:rFonts w:cs="Arial"/>
                <w:b/>
                <w:sz w:val="22"/>
                <w:szCs w:val="22"/>
              </w:rPr>
              <w:t>No</w:t>
            </w:r>
          </w:p>
        </w:tc>
        <w:tc>
          <w:tcPr>
            <w:tcW w:w="933" w:type="dxa"/>
            <w:tcBorders>
              <w:bottom w:val="single" w:sz="4" w:space="0" w:color="auto"/>
            </w:tcBorders>
            <w:shd w:val="clear" w:color="auto" w:fill="FFFFFF" w:themeFill="background1"/>
          </w:tcPr>
          <w:p w:rsidR="0072033F" w:rsidRPr="00351C14" w:rsidRDefault="0072033F" w:rsidP="00FD4D78">
            <w:pPr>
              <w:keepNext/>
              <w:jc w:val="center"/>
              <w:rPr>
                <w:rFonts w:cs="Arial"/>
                <w:b/>
                <w:sz w:val="22"/>
                <w:szCs w:val="22"/>
              </w:rPr>
            </w:pPr>
            <w:r w:rsidRPr="00351C14">
              <w:rPr>
                <w:b/>
              </w:rPr>
              <w:t>ρ</w:t>
            </w:r>
          </w:p>
        </w:tc>
        <w:tc>
          <w:tcPr>
            <w:tcW w:w="1037" w:type="dxa"/>
            <w:gridSpan w:val="2"/>
            <w:tcBorders>
              <w:bottom w:val="single" w:sz="4" w:space="0" w:color="auto"/>
            </w:tcBorders>
            <w:shd w:val="clear" w:color="auto" w:fill="FFFFFF" w:themeFill="background1"/>
          </w:tcPr>
          <w:p w:rsidR="0072033F" w:rsidRPr="00351C14" w:rsidRDefault="0072033F" w:rsidP="00FD4D78">
            <w:pPr>
              <w:keepNext/>
              <w:jc w:val="center"/>
              <w:rPr>
                <w:rFonts w:cs="Arial"/>
                <w:b/>
                <w:sz w:val="22"/>
                <w:szCs w:val="22"/>
              </w:rPr>
            </w:pPr>
            <w:r w:rsidRPr="00351C14">
              <w:rPr>
                <w:rFonts w:cs="Arial"/>
                <w:b/>
                <w:sz w:val="22"/>
                <w:szCs w:val="22"/>
              </w:rPr>
              <w:t>Car</w:t>
            </w:r>
          </w:p>
        </w:tc>
        <w:tc>
          <w:tcPr>
            <w:tcW w:w="1015" w:type="dxa"/>
            <w:gridSpan w:val="2"/>
            <w:tcBorders>
              <w:bottom w:val="single" w:sz="4" w:space="0" w:color="auto"/>
            </w:tcBorders>
            <w:shd w:val="clear" w:color="auto" w:fill="FFFFFF" w:themeFill="background1"/>
          </w:tcPr>
          <w:p w:rsidR="0072033F" w:rsidRPr="00351C14" w:rsidRDefault="0072033F" w:rsidP="00FD4D78">
            <w:pPr>
              <w:keepNext/>
              <w:jc w:val="center"/>
              <w:rPr>
                <w:rFonts w:cs="Arial"/>
                <w:b/>
                <w:sz w:val="22"/>
                <w:szCs w:val="22"/>
              </w:rPr>
            </w:pPr>
            <w:r w:rsidRPr="00351C14">
              <w:rPr>
                <w:rFonts w:cs="Arial"/>
                <w:b/>
                <w:sz w:val="22"/>
                <w:szCs w:val="22"/>
              </w:rPr>
              <w:t>Other</w:t>
            </w:r>
          </w:p>
        </w:tc>
        <w:tc>
          <w:tcPr>
            <w:tcW w:w="933" w:type="dxa"/>
            <w:tcBorders>
              <w:bottom w:val="single" w:sz="4" w:space="0" w:color="auto"/>
            </w:tcBorders>
            <w:shd w:val="clear" w:color="auto" w:fill="FFFFFF" w:themeFill="background1"/>
          </w:tcPr>
          <w:p w:rsidR="0072033F" w:rsidRPr="00351C14" w:rsidRDefault="0072033F" w:rsidP="00FD4D78">
            <w:pPr>
              <w:keepNext/>
              <w:jc w:val="center"/>
              <w:rPr>
                <w:rFonts w:cs="Arial"/>
                <w:b/>
                <w:sz w:val="22"/>
                <w:szCs w:val="22"/>
              </w:rPr>
            </w:pPr>
            <w:r w:rsidRPr="00351C14">
              <w:rPr>
                <w:b/>
              </w:rPr>
              <w:t>ρ</w:t>
            </w:r>
          </w:p>
        </w:tc>
      </w:tr>
      <w:tr w:rsidR="00A02628" w:rsidRPr="00BF3A91" w:rsidTr="00A02628">
        <w:tc>
          <w:tcPr>
            <w:tcW w:w="3503" w:type="dxa"/>
            <w:tcBorders>
              <w:top w:val="single" w:sz="4" w:space="0" w:color="auto"/>
            </w:tcBorders>
            <w:shd w:val="clear" w:color="auto" w:fill="FFFFFF" w:themeFill="background1"/>
          </w:tcPr>
          <w:p w:rsidR="00A02628" w:rsidRPr="00351C14" w:rsidRDefault="00A02628" w:rsidP="00351C14">
            <w:pPr>
              <w:keepNext/>
              <w:rPr>
                <w:rFonts w:cs="Arial"/>
                <w:b/>
                <w:sz w:val="22"/>
                <w:szCs w:val="22"/>
              </w:rPr>
            </w:pPr>
          </w:p>
        </w:tc>
        <w:tc>
          <w:tcPr>
            <w:tcW w:w="933" w:type="dxa"/>
            <w:tcBorders>
              <w:top w:val="single" w:sz="4" w:space="0" w:color="auto"/>
            </w:tcBorders>
            <w:shd w:val="clear" w:color="auto" w:fill="FFFFFF" w:themeFill="background1"/>
          </w:tcPr>
          <w:p w:rsidR="00A02628" w:rsidRPr="00351C14" w:rsidRDefault="00A02628" w:rsidP="00FD4D78">
            <w:pPr>
              <w:keepNext/>
              <w:jc w:val="center"/>
              <w:rPr>
                <w:rFonts w:cs="Arial"/>
                <w:b/>
                <w:sz w:val="22"/>
                <w:szCs w:val="22"/>
              </w:rPr>
            </w:pPr>
          </w:p>
        </w:tc>
        <w:tc>
          <w:tcPr>
            <w:tcW w:w="932" w:type="dxa"/>
            <w:tcBorders>
              <w:top w:val="single" w:sz="4" w:space="0" w:color="auto"/>
            </w:tcBorders>
            <w:shd w:val="clear" w:color="auto" w:fill="FFFFFF" w:themeFill="background1"/>
          </w:tcPr>
          <w:p w:rsidR="00A02628" w:rsidRPr="00351C14" w:rsidRDefault="00A02628" w:rsidP="00FD4D78">
            <w:pPr>
              <w:keepNext/>
              <w:jc w:val="center"/>
              <w:rPr>
                <w:rFonts w:cs="Arial"/>
                <w:b/>
                <w:sz w:val="22"/>
                <w:szCs w:val="22"/>
              </w:rPr>
            </w:pPr>
          </w:p>
        </w:tc>
        <w:tc>
          <w:tcPr>
            <w:tcW w:w="933" w:type="dxa"/>
            <w:tcBorders>
              <w:top w:val="single" w:sz="4" w:space="0" w:color="auto"/>
            </w:tcBorders>
            <w:shd w:val="clear" w:color="auto" w:fill="FFFFFF" w:themeFill="background1"/>
          </w:tcPr>
          <w:p w:rsidR="00A02628" w:rsidRPr="00351C14" w:rsidRDefault="00A02628" w:rsidP="00FD4D78">
            <w:pPr>
              <w:keepNext/>
              <w:jc w:val="center"/>
              <w:rPr>
                <w:b/>
              </w:rPr>
            </w:pPr>
          </w:p>
        </w:tc>
        <w:tc>
          <w:tcPr>
            <w:tcW w:w="1037" w:type="dxa"/>
            <w:gridSpan w:val="2"/>
            <w:tcBorders>
              <w:top w:val="single" w:sz="4" w:space="0" w:color="auto"/>
            </w:tcBorders>
            <w:shd w:val="clear" w:color="auto" w:fill="FFFFFF" w:themeFill="background1"/>
          </w:tcPr>
          <w:p w:rsidR="00A02628" w:rsidRPr="00351C14" w:rsidRDefault="00A02628" w:rsidP="00FD4D78">
            <w:pPr>
              <w:keepNext/>
              <w:jc w:val="center"/>
              <w:rPr>
                <w:rFonts w:cs="Arial"/>
                <w:b/>
                <w:sz w:val="22"/>
                <w:szCs w:val="22"/>
              </w:rPr>
            </w:pPr>
          </w:p>
        </w:tc>
        <w:tc>
          <w:tcPr>
            <w:tcW w:w="1015" w:type="dxa"/>
            <w:gridSpan w:val="2"/>
            <w:tcBorders>
              <w:top w:val="single" w:sz="4" w:space="0" w:color="auto"/>
            </w:tcBorders>
            <w:shd w:val="clear" w:color="auto" w:fill="FFFFFF" w:themeFill="background1"/>
          </w:tcPr>
          <w:p w:rsidR="00A02628" w:rsidRPr="00351C14" w:rsidRDefault="00A02628" w:rsidP="00FD4D78">
            <w:pPr>
              <w:keepNext/>
              <w:jc w:val="center"/>
              <w:rPr>
                <w:rFonts w:cs="Arial"/>
                <w:b/>
                <w:sz w:val="22"/>
                <w:szCs w:val="22"/>
              </w:rPr>
            </w:pPr>
          </w:p>
        </w:tc>
        <w:tc>
          <w:tcPr>
            <w:tcW w:w="933" w:type="dxa"/>
            <w:tcBorders>
              <w:top w:val="single" w:sz="4" w:space="0" w:color="auto"/>
            </w:tcBorders>
            <w:shd w:val="clear" w:color="auto" w:fill="FFFFFF" w:themeFill="background1"/>
          </w:tcPr>
          <w:p w:rsidR="00A02628" w:rsidRPr="00351C14" w:rsidRDefault="00A02628" w:rsidP="00FD4D78">
            <w:pPr>
              <w:keepNext/>
              <w:jc w:val="center"/>
              <w:rPr>
                <w:b/>
              </w:rPr>
            </w:pPr>
          </w:p>
        </w:tc>
      </w:tr>
      <w:tr w:rsidR="005F4EC0" w:rsidRPr="006A1A8B" w:rsidTr="00A02628">
        <w:tc>
          <w:tcPr>
            <w:tcW w:w="3503" w:type="dxa"/>
            <w:shd w:val="clear" w:color="auto" w:fill="auto"/>
          </w:tcPr>
          <w:p w:rsidR="005F4EC0" w:rsidRPr="006A1A8B" w:rsidRDefault="00135EC7" w:rsidP="00135EC7">
            <w:pPr>
              <w:keepNext/>
              <w:spacing w:after="120"/>
              <w:rPr>
                <w:rFonts w:cs="Arial"/>
              </w:rPr>
            </w:pPr>
            <w:r>
              <w:rPr>
                <w:rFonts w:cs="Arial"/>
              </w:rPr>
              <w:t>Agreement with</w:t>
            </w:r>
            <w:r w:rsidR="005F4EC0" w:rsidRPr="006A1A8B">
              <w:rPr>
                <w:rFonts w:cs="Arial"/>
              </w:rPr>
              <w:t xml:space="preserve"> scientific evidence on climate change (</w:t>
            </w:r>
            <w:proofErr w:type="spellStart"/>
            <w:r w:rsidR="005F4EC0">
              <w:rPr>
                <w:rFonts w:cs="Arial"/>
              </w:rPr>
              <w:t>Likert</w:t>
            </w:r>
            <w:proofErr w:type="spellEnd"/>
            <w:r w:rsidR="005F4EC0" w:rsidRPr="006A1A8B">
              <w:rPr>
                <w:rFonts w:cs="Arial"/>
              </w:rPr>
              <w:t xml:space="preserve"> </w:t>
            </w:r>
            <w:r w:rsidR="005F4EC0">
              <w:rPr>
                <w:rFonts w:cs="Arial"/>
              </w:rPr>
              <w:t xml:space="preserve">scale </w:t>
            </w:r>
            <w:r>
              <w:rPr>
                <w:rFonts w:cs="Arial"/>
              </w:rPr>
              <w:t>1-</w:t>
            </w:r>
            <w:r w:rsidR="005F4EC0" w:rsidRPr="006A1A8B">
              <w:rPr>
                <w:rFonts w:cs="Arial"/>
              </w:rPr>
              <w:t>5)</w:t>
            </w:r>
          </w:p>
        </w:tc>
        <w:tc>
          <w:tcPr>
            <w:tcW w:w="933" w:type="dxa"/>
          </w:tcPr>
          <w:p w:rsidR="005F4EC0" w:rsidRPr="00B950AF" w:rsidRDefault="005F4EC0" w:rsidP="00A02628">
            <w:pPr>
              <w:jc w:val="center"/>
            </w:pPr>
            <w:r w:rsidRPr="00B950AF">
              <w:t>2.70</w:t>
            </w:r>
          </w:p>
        </w:tc>
        <w:tc>
          <w:tcPr>
            <w:tcW w:w="932" w:type="dxa"/>
          </w:tcPr>
          <w:p w:rsidR="005F4EC0" w:rsidRPr="00B950AF" w:rsidRDefault="005F4EC0" w:rsidP="00A02628">
            <w:pPr>
              <w:jc w:val="center"/>
            </w:pPr>
            <w:r w:rsidRPr="00B950AF">
              <w:t>2.89</w:t>
            </w:r>
          </w:p>
        </w:tc>
        <w:tc>
          <w:tcPr>
            <w:tcW w:w="933" w:type="dxa"/>
          </w:tcPr>
          <w:p w:rsidR="005F4EC0" w:rsidRPr="00B950AF" w:rsidRDefault="005F4EC0" w:rsidP="00A02628">
            <w:pPr>
              <w:jc w:val="center"/>
            </w:pPr>
            <w:r w:rsidRPr="00B950AF">
              <w:t>0.228</w:t>
            </w:r>
          </w:p>
        </w:tc>
        <w:tc>
          <w:tcPr>
            <w:tcW w:w="1037" w:type="dxa"/>
            <w:gridSpan w:val="2"/>
          </w:tcPr>
          <w:p w:rsidR="005F4EC0" w:rsidRPr="00B950AF" w:rsidRDefault="005F4EC0" w:rsidP="00A02628">
            <w:pPr>
              <w:jc w:val="center"/>
            </w:pPr>
            <w:r w:rsidRPr="00B950AF">
              <w:t>2.67</w:t>
            </w:r>
          </w:p>
        </w:tc>
        <w:tc>
          <w:tcPr>
            <w:tcW w:w="1015" w:type="dxa"/>
            <w:gridSpan w:val="2"/>
          </w:tcPr>
          <w:p w:rsidR="005F4EC0" w:rsidRPr="00B950AF" w:rsidRDefault="005F4EC0" w:rsidP="00A02628">
            <w:pPr>
              <w:jc w:val="center"/>
            </w:pPr>
            <w:r w:rsidRPr="00B950AF">
              <w:t>2.75</w:t>
            </w:r>
          </w:p>
        </w:tc>
        <w:tc>
          <w:tcPr>
            <w:tcW w:w="933" w:type="dxa"/>
          </w:tcPr>
          <w:p w:rsidR="005F4EC0" w:rsidRPr="00B950AF" w:rsidRDefault="005F4EC0" w:rsidP="00A02628">
            <w:pPr>
              <w:jc w:val="center"/>
            </w:pPr>
            <w:r w:rsidRPr="00B950AF">
              <w:t>0.434</w:t>
            </w:r>
          </w:p>
        </w:tc>
      </w:tr>
      <w:tr w:rsidR="00FD4D78" w:rsidRPr="006A1A8B" w:rsidTr="00DA2DB2">
        <w:tc>
          <w:tcPr>
            <w:tcW w:w="3503" w:type="dxa"/>
            <w:shd w:val="clear" w:color="auto" w:fill="auto"/>
          </w:tcPr>
          <w:p w:rsidR="00FD4D78" w:rsidRPr="006A1A8B" w:rsidRDefault="00FD4D78" w:rsidP="00FE1867">
            <w:pPr>
              <w:keepNext/>
              <w:spacing w:after="120"/>
              <w:rPr>
                <w:rFonts w:cs="Arial"/>
              </w:rPr>
            </w:pPr>
            <w:r w:rsidRPr="006A1A8B">
              <w:rPr>
                <w:rFonts w:cs="Arial"/>
              </w:rPr>
              <w:t>Concern about climate change (</w:t>
            </w:r>
            <w:proofErr w:type="spellStart"/>
            <w:r>
              <w:rPr>
                <w:rFonts w:cs="Arial"/>
              </w:rPr>
              <w:t>Likert</w:t>
            </w:r>
            <w:proofErr w:type="spellEnd"/>
            <w:r w:rsidRPr="006A1A8B">
              <w:rPr>
                <w:rFonts w:cs="Arial"/>
              </w:rPr>
              <w:t xml:space="preserve"> </w:t>
            </w:r>
            <w:r>
              <w:rPr>
                <w:rFonts w:cs="Arial"/>
              </w:rPr>
              <w:t xml:space="preserve">scale </w:t>
            </w:r>
            <w:r w:rsidRPr="006A1A8B">
              <w:rPr>
                <w:rFonts w:cs="Arial"/>
              </w:rPr>
              <w:t xml:space="preserve">1- </w:t>
            </w:r>
            <w:r>
              <w:rPr>
                <w:rFonts w:cs="Arial"/>
              </w:rPr>
              <w:t>4</w:t>
            </w:r>
            <w:r w:rsidRPr="006A1A8B">
              <w:rPr>
                <w:rFonts w:cs="Arial"/>
              </w:rPr>
              <w:t>)</w:t>
            </w:r>
          </w:p>
        </w:tc>
        <w:tc>
          <w:tcPr>
            <w:tcW w:w="933" w:type="dxa"/>
          </w:tcPr>
          <w:p w:rsidR="00FD4D78" w:rsidRPr="00B950AF" w:rsidRDefault="002E6168" w:rsidP="00FD4D78">
            <w:pPr>
              <w:jc w:val="center"/>
            </w:pPr>
            <w:r>
              <w:t>1.82</w:t>
            </w:r>
          </w:p>
        </w:tc>
        <w:tc>
          <w:tcPr>
            <w:tcW w:w="932" w:type="dxa"/>
          </w:tcPr>
          <w:p w:rsidR="00FD4D78" w:rsidRPr="00B950AF" w:rsidRDefault="00FD4D78" w:rsidP="00FD4D78">
            <w:pPr>
              <w:jc w:val="center"/>
            </w:pPr>
            <w:r w:rsidRPr="00B950AF">
              <w:t>1.</w:t>
            </w:r>
            <w:r w:rsidR="002E6168">
              <w:t>92</w:t>
            </w:r>
          </w:p>
        </w:tc>
        <w:tc>
          <w:tcPr>
            <w:tcW w:w="933" w:type="dxa"/>
          </w:tcPr>
          <w:p w:rsidR="00FD4D78" w:rsidRPr="002E6168" w:rsidRDefault="002E6168" w:rsidP="002E6168">
            <w:pPr>
              <w:jc w:val="center"/>
              <w:rPr>
                <w:b/>
              </w:rPr>
            </w:pPr>
            <w:r w:rsidRPr="002E6168">
              <w:rPr>
                <w:b/>
              </w:rPr>
              <w:t>0.022</w:t>
            </w:r>
          </w:p>
        </w:tc>
        <w:tc>
          <w:tcPr>
            <w:tcW w:w="1037" w:type="dxa"/>
            <w:gridSpan w:val="2"/>
          </w:tcPr>
          <w:p w:rsidR="00FD4D78" w:rsidRPr="00B950AF" w:rsidRDefault="002E6168" w:rsidP="00FD4D78">
            <w:pPr>
              <w:jc w:val="center"/>
            </w:pPr>
            <w:r>
              <w:t>1.81</w:t>
            </w:r>
          </w:p>
        </w:tc>
        <w:tc>
          <w:tcPr>
            <w:tcW w:w="1015" w:type="dxa"/>
            <w:gridSpan w:val="2"/>
          </w:tcPr>
          <w:p w:rsidR="00FD4D78" w:rsidRPr="00B950AF" w:rsidRDefault="002E6168" w:rsidP="00FD4D78">
            <w:pPr>
              <w:jc w:val="center"/>
            </w:pPr>
            <w:r>
              <w:t>1.85</w:t>
            </w:r>
          </w:p>
        </w:tc>
        <w:tc>
          <w:tcPr>
            <w:tcW w:w="933" w:type="dxa"/>
          </w:tcPr>
          <w:p w:rsidR="00FD4D78" w:rsidRPr="00B950AF" w:rsidRDefault="002E6168" w:rsidP="002E6168">
            <w:pPr>
              <w:jc w:val="center"/>
            </w:pPr>
            <w:r>
              <w:t>0.356</w:t>
            </w:r>
          </w:p>
        </w:tc>
      </w:tr>
      <w:tr w:rsidR="00FD4D78" w:rsidRPr="006A1A8B" w:rsidTr="00DA2DB2">
        <w:tc>
          <w:tcPr>
            <w:tcW w:w="3503" w:type="dxa"/>
            <w:shd w:val="clear" w:color="auto" w:fill="auto"/>
          </w:tcPr>
          <w:p w:rsidR="00FD4D78" w:rsidRPr="006A1A8B" w:rsidRDefault="00FD4D78" w:rsidP="00FD4D78">
            <w:pPr>
              <w:keepNext/>
              <w:spacing w:after="120"/>
              <w:rPr>
                <w:rFonts w:cs="Arial"/>
              </w:rPr>
            </w:pPr>
            <w:r w:rsidRPr="006A1A8B">
              <w:rPr>
                <w:rFonts w:cs="Arial"/>
              </w:rPr>
              <w:t>Libertarian attitudes</w:t>
            </w:r>
            <w:r>
              <w:rPr>
                <w:rFonts w:cs="Arial"/>
              </w:rPr>
              <w:br/>
            </w:r>
            <w:r w:rsidRPr="006A1A8B">
              <w:rPr>
                <w:rFonts w:cs="Arial"/>
              </w:rPr>
              <w:t>(</w:t>
            </w:r>
            <w:proofErr w:type="spellStart"/>
            <w:r>
              <w:rPr>
                <w:rFonts w:cs="Arial"/>
              </w:rPr>
              <w:t>Likert</w:t>
            </w:r>
            <w:proofErr w:type="spellEnd"/>
            <w:r w:rsidRPr="006A1A8B">
              <w:rPr>
                <w:rFonts w:cs="Arial"/>
              </w:rPr>
              <w:t xml:space="preserve"> </w:t>
            </w:r>
            <w:r>
              <w:rPr>
                <w:rFonts w:cs="Arial"/>
              </w:rPr>
              <w:t xml:space="preserve">scale </w:t>
            </w:r>
            <w:r w:rsidRPr="006A1A8B">
              <w:rPr>
                <w:rFonts w:cs="Arial"/>
              </w:rPr>
              <w:t>1 – 5)</w:t>
            </w:r>
          </w:p>
        </w:tc>
        <w:tc>
          <w:tcPr>
            <w:tcW w:w="933" w:type="dxa"/>
          </w:tcPr>
          <w:p w:rsidR="00FD4D78" w:rsidRPr="00B950AF" w:rsidRDefault="00FD4D78" w:rsidP="00FD4D78">
            <w:pPr>
              <w:jc w:val="center"/>
            </w:pPr>
            <w:r w:rsidRPr="00B950AF">
              <w:t>2.83</w:t>
            </w:r>
          </w:p>
        </w:tc>
        <w:tc>
          <w:tcPr>
            <w:tcW w:w="932" w:type="dxa"/>
          </w:tcPr>
          <w:p w:rsidR="00FD4D78" w:rsidRPr="00B950AF" w:rsidRDefault="00FD4D78" w:rsidP="00FD4D78">
            <w:pPr>
              <w:jc w:val="center"/>
            </w:pPr>
            <w:r w:rsidRPr="00B950AF">
              <w:t>2.87</w:t>
            </w:r>
          </w:p>
        </w:tc>
        <w:tc>
          <w:tcPr>
            <w:tcW w:w="933" w:type="dxa"/>
          </w:tcPr>
          <w:p w:rsidR="00FD4D78" w:rsidRPr="00B950AF" w:rsidRDefault="00FD4D78" w:rsidP="00FD4D78">
            <w:pPr>
              <w:jc w:val="center"/>
            </w:pPr>
            <w:r w:rsidRPr="00B950AF">
              <w:t>0.32</w:t>
            </w:r>
            <w:r w:rsidR="00693DC5">
              <w:t>0</w:t>
            </w:r>
          </w:p>
        </w:tc>
        <w:tc>
          <w:tcPr>
            <w:tcW w:w="1037" w:type="dxa"/>
            <w:gridSpan w:val="2"/>
          </w:tcPr>
          <w:p w:rsidR="00FD4D78" w:rsidRPr="00B950AF" w:rsidRDefault="00FD4D78" w:rsidP="00FD4D78">
            <w:pPr>
              <w:jc w:val="center"/>
            </w:pPr>
            <w:r w:rsidRPr="00B950AF">
              <w:t>2.89</w:t>
            </w:r>
          </w:p>
        </w:tc>
        <w:tc>
          <w:tcPr>
            <w:tcW w:w="1015" w:type="dxa"/>
            <w:gridSpan w:val="2"/>
          </w:tcPr>
          <w:p w:rsidR="00FD4D78" w:rsidRPr="00B950AF" w:rsidRDefault="00FD4D78" w:rsidP="00FD4D78">
            <w:pPr>
              <w:jc w:val="center"/>
            </w:pPr>
            <w:r w:rsidRPr="00B950AF">
              <w:t>2.81</w:t>
            </w:r>
          </w:p>
        </w:tc>
        <w:tc>
          <w:tcPr>
            <w:tcW w:w="933" w:type="dxa"/>
          </w:tcPr>
          <w:p w:rsidR="00FD4D78" w:rsidRPr="00B950AF" w:rsidRDefault="00FD4D78" w:rsidP="00FD4D78">
            <w:pPr>
              <w:jc w:val="center"/>
            </w:pPr>
            <w:r w:rsidRPr="00B950AF">
              <w:t>0.634</w:t>
            </w:r>
          </w:p>
        </w:tc>
      </w:tr>
      <w:tr w:rsidR="00FD4D78" w:rsidRPr="006A1A8B" w:rsidTr="00DA2DB2">
        <w:tc>
          <w:tcPr>
            <w:tcW w:w="3503" w:type="dxa"/>
            <w:shd w:val="clear" w:color="auto" w:fill="auto"/>
          </w:tcPr>
          <w:p w:rsidR="00FD4D78" w:rsidRPr="006A1A8B" w:rsidRDefault="00FD4D78" w:rsidP="00FE1867">
            <w:pPr>
              <w:keepNext/>
              <w:spacing w:after="120"/>
              <w:rPr>
                <w:rFonts w:cs="Arial"/>
              </w:rPr>
            </w:pPr>
            <w:r w:rsidRPr="006A1A8B">
              <w:rPr>
                <w:rFonts w:cs="Arial"/>
              </w:rPr>
              <w:t xml:space="preserve">More parking on Campus </w:t>
            </w:r>
            <w:r>
              <w:rPr>
                <w:rFonts w:cs="Arial"/>
              </w:rPr>
              <w:br/>
            </w:r>
            <w:r w:rsidRPr="006A1A8B">
              <w:rPr>
                <w:rFonts w:cs="Arial"/>
              </w:rPr>
              <w:t>(</w:t>
            </w:r>
            <w:proofErr w:type="spellStart"/>
            <w:r>
              <w:rPr>
                <w:rFonts w:cs="Arial"/>
              </w:rPr>
              <w:t>Likert</w:t>
            </w:r>
            <w:proofErr w:type="spellEnd"/>
            <w:r w:rsidRPr="006A1A8B">
              <w:rPr>
                <w:rFonts w:cs="Arial"/>
              </w:rPr>
              <w:t xml:space="preserve"> </w:t>
            </w:r>
            <w:r>
              <w:rPr>
                <w:rFonts w:cs="Arial"/>
              </w:rPr>
              <w:t xml:space="preserve">scale </w:t>
            </w:r>
            <w:r w:rsidRPr="006A1A8B">
              <w:rPr>
                <w:rFonts w:cs="Arial"/>
              </w:rPr>
              <w:t>1- 5)</w:t>
            </w:r>
          </w:p>
        </w:tc>
        <w:tc>
          <w:tcPr>
            <w:tcW w:w="933" w:type="dxa"/>
          </w:tcPr>
          <w:p w:rsidR="00FD4D78" w:rsidRPr="00B950AF" w:rsidRDefault="00FD4D78" w:rsidP="00FD4D78">
            <w:pPr>
              <w:jc w:val="center"/>
            </w:pPr>
            <w:r w:rsidRPr="00B950AF">
              <w:t>3.07</w:t>
            </w:r>
          </w:p>
        </w:tc>
        <w:tc>
          <w:tcPr>
            <w:tcW w:w="932" w:type="dxa"/>
          </w:tcPr>
          <w:p w:rsidR="00FD4D78" w:rsidRPr="00B950AF" w:rsidRDefault="00FD4D78" w:rsidP="00FD4D78">
            <w:pPr>
              <w:jc w:val="center"/>
            </w:pPr>
            <w:r w:rsidRPr="00B950AF">
              <w:t>2.33</w:t>
            </w:r>
          </w:p>
        </w:tc>
        <w:tc>
          <w:tcPr>
            <w:tcW w:w="933" w:type="dxa"/>
          </w:tcPr>
          <w:p w:rsidR="00FD4D78" w:rsidRPr="00FD4D78" w:rsidRDefault="00FD4D78" w:rsidP="00FD4D78">
            <w:pPr>
              <w:jc w:val="center"/>
              <w:rPr>
                <w:b/>
              </w:rPr>
            </w:pPr>
            <w:r w:rsidRPr="00FD4D78">
              <w:rPr>
                <w:b/>
              </w:rPr>
              <w:t>&lt;0.001</w:t>
            </w:r>
          </w:p>
        </w:tc>
        <w:tc>
          <w:tcPr>
            <w:tcW w:w="1037" w:type="dxa"/>
            <w:gridSpan w:val="2"/>
          </w:tcPr>
          <w:p w:rsidR="00FD4D78" w:rsidRPr="00B950AF" w:rsidRDefault="00FD4D78" w:rsidP="00FD4D78">
            <w:pPr>
              <w:jc w:val="center"/>
            </w:pPr>
            <w:r w:rsidRPr="00B950AF">
              <w:t>3.46</w:t>
            </w:r>
          </w:p>
        </w:tc>
        <w:tc>
          <w:tcPr>
            <w:tcW w:w="1015" w:type="dxa"/>
            <w:gridSpan w:val="2"/>
          </w:tcPr>
          <w:p w:rsidR="00FD4D78" w:rsidRPr="00B950AF" w:rsidRDefault="00FD4D78" w:rsidP="00FD4D78">
            <w:pPr>
              <w:jc w:val="center"/>
            </w:pPr>
            <w:r w:rsidRPr="00B950AF">
              <w:t>2.56</w:t>
            </w:r>
          </w:p>
        </w:tc>
        <w:tc>
          <w:tcPr>
            <w:tcW w:w="933" w:type="dxa"/>
          </w:tcPr>
          <w:p w:rsidR="00FD4D78" w:rsidRPr="00FD4D78" w:rsidRDefault="00FD4D78" w:rsidP="00FD4D78">
            <w:pPr>
              <w:jc w:val="center"/>
              <w:rPr>
                <w:b/>
              </w:rPr>
            </w:pPr>
            <w:r w:rsidRPr="00FD4D78">
              <w:rPr>
                <w:b/>
              </w:rPr>
              <w:t>&lt;0.001</w:t>
            </w:r>
          </w:p>
        </w:tc>
      </w:tr>
      <w:tr w:rsidR="000811BB" w:rsidRPr="006A1A8B" w:rsidTr="00DA2DB2">
        <w:tc>
          <w:tcPr>
            <w:tcW w:w="9286" w:type="dxa"/>
            <w:gridSpan w:val="9"/>
            <w:tcBorders>
              <w:bottom w:val="single" w:sz="4" w:space="0" w:color="auto"/>
            </w:tcBorders>
            <w:shd w:val="clear" w:color="auto" w:fill="auto"/>
          </w:tcPr>
          <w:p w:rsidR="000811BB" w:rsidRPr="004729AD" w:rsidRDefault="000811BB" w:rsidP="000811BB">
            <w:pPr>
              <w:keepNext/>
              <w:spacing w:after="120"/>
              <w:rPr>
                <w:rFonts w:cs="Arial"/>
                <w:b/>
              </w:rPr>
            </w:pPr>
          </w:p>
        </w:tc>
      </w:tr>
      <w:tr w:rsidR="000811BB" w:rsidRPr="006A1A8B" w:rsidTr="00A02628">
        <w:tc>
          <w:tcPr>
            <w:tcW w:w="3503" w:type="dxa"/>
            <w:tcBorders>
              <w:top w:val="single" w:sz="4" w:space="0" w:color="auto"/>
              <w:bottom w:val="single" w:sz="4" w:space="0" w:color="auto"/>
            </w:tcBorders>
            <w:shd w:val="clear" w:color="auto" w:fill="auto"/>
          </w:tcPr>
          <w:p w:rsidR="000811BB" w:rsidRPr="006A1A8B" w:rsidRDefault="000811BB" w:rsidP="00DA2DB2">
            <w:pPr>
              <w:keepNext/>
              <w:spacing w:after="120"/>
              <w:rPr>
                <w:rFonts w:cs="Arial"/>
              </w:rPr>
            </w:pPr>
            <w:r w:rsidRPr="00351C14">
              <w:rPr>
                <w:rFonts w:cs="Arial"/>
                <w:b/>
                <w:sz w:val="22"/>
                <w:szCs w:val="22"/>
              </w:rPr>
              <w:t>Policy Options</w:t>
            </w:r>
            <w:r w:rsidR="00DA2DB2">
              <w:rPr>
                <w:rFonts w:cs="Arial"/>
                <w:b/>
                <w:sz w:val="22"/>
                <w:szCs w:val="22"/>
              </w:rPr>
              <w:t xml:space="preserve"> Ticked</w:t>
            </w:r>
          </w:p>
        </w:tc>
        <w:tc>
          <w:tcPr>
            <w:tcW w:w="933" w:type="dxa"/>
            <w:tcBorders>
              <w:top w:val="single" w:sz="4" w:space="0" w:color="auto"/>
              <w:bottom w:val="single" w:sz="4" w:space="0" w:color="auto"/>
            </w:tcBorders>
          </w:tcPr>
          <w:p w:rsidR="000811BB" w:rsidRDefault="000811BB" w:rsidP="0072033F">
            <w:pPr>
              <w:keepNext/>
              <w:spacing w:after="120"/>
              <w:jc w:val="center"/>
              <w:rPr>
                <w:rFonts w:cs="Arial"/>
              </w:rPr>
            </w:pPr>
            <w:r w:rsidRPr="00351C14">
              <w:rPr>
                <w:rFonts w:cs="Arial"/>
                <w:b/>
                <w:sz w:val="22"/>
                <w:szCs w:val="22"/>
              </w:rPr>
              <w:t>%</w:t>
            </w:r>
          </w:p>
        </w:tc>
        <w:tc>
          <w:tcPr>
            <w:tcW w:w="932" w:type="dxa"/>
            <w:tcBorders>
              <w:top w:val="single" w:sz="4" w:space="0" w:color="auto"/>
              <w:bottom w:val="single" w:sz="4" w:space="0" w:color="auto"/>
            </w:tcBorders>
          </w:tcPr>
          <w:p w:rsidR="000811BB" w:rsidRDefault="000811BB" w:rsidP="0072033F">
            <w:pPr>
              <w:keepNext/>
              <w:spacing w:after="120"/>
              <w:jc w:val="center"/>
              <w:rPr>
                <w:rFonts w:cs="Arial"/>
              </w:rPr>
            </w:pPr>
            <w:r w:rsidRPr="00351C14">
              <w:rPr>
                <w:rFonts w:cs="Arial"/>
                <w:b/>
                <w:sz w:val="22"/>
                <w:szCs w:val="22"/>
              </w:rPr>
              <w:t>%</w:t>
            </w:r>
          </w:p>
        </w:tc>
        <w:tc>
          <w:tcPr>
            <w:tcW w:w="977" w:type="dxa"/>
            <w:gridSpan w:val="2"/>
            <w:tcBorders>
              <w:top w:val="single" w:sz="4" w:space="0" w:color="auto"/>
              <w:bottom w:val="single" w:sz="4" w:space="0" w:color="auto"/>
            </w:tcBorders>
          </w:tcPr>
          <w:p w:rsidR="000811BB" w:rsidRDefault="000811BB" w:rsidP="0072033F">
            <w:pPr>
              <w:keepNext/>
              <w:spacing w:after="120"/>
              <w:jc w:val="center"/>
              <w:rPr>
                <w:rFonts w:cs="Arial"/>
              </w:rPr>
            </w:pPr>
            <w:r w:rsidRPr="00351C14">
              <w:rPr>
                <w:b/>
              </w:rPr>
              <w:t>ρ</w:t>
            </w:r>
          </w:p>
        </w:tc>
        <w:tc>
          <w:tcPr>
            <w:tcW w:w="993" w:type="dxa"/>
            <w:tcBorders>
              <w:top w:val="single" w:sz="4" w:space="0" w:color="auto"/>
              <w:bottom w:val="single" w:sz="4" w:space="0" w:color="auto"/>
            </w:tcBorders>
          </w:tcPr>
          <w:p w:rsidR="000811BB" w:rsidRDefault="000811BB" w:rsidP="0072033F">
            <w:pPr>
              <w:keepNext/>
              <w:spacing w:after="120"/>
              <w:jc w:val="center"/>
              <w:rPr>
                <w:rFonts w:cs="Arial"/>
              </w:rPr>
            </w:pPr>
            <w:r w:rsidRPr="00351C14">
              <w:rPr>
                <w:rFonts w:cs="Arial"/>
                <w:b/>
                <w:sz w:val="22"/>
                <w:szCs w:val="22"/>
              </w:rPr>
              <w:t>%</w:t>
            </w:r>
          </w:p>
        </w:tc>
        <w:tc>
          <w:tcPr>
            <w:tcW w:w="992" w:type="dxa"/>
            <w:tcBorders>
              <w:top w:val="single" w:sz="4" w:space="0" w:color="auto"/>
              <w:bottom w:val="single" w:sz="4" w:space="0" w:color="auto"/>
            </w:tcBorders>
          </w:tcPr>
          <w:p w:rsidR="000811BB" w:rsidRDefault="000811BB" w:rsidP="0072033F">
            <w:pPr>
              <w:keepNext/>
              <w:spacing w:after="120"/>
              <w:jc w:val="center"/>
              <w:rPr>
                <w:rFonts w:cs="Arial"/>
              </w:rPr>
            </w:pPr>
            <w:r w:rsidRPr="00351C14">
              <w:rPr>
                <w:rFonts w:cs="Arial"/>
                <w:b/>
                <w:sz w:val="22"/>
                <w:szCs w:val="22"/>
              </w:rPr>
              <w:t>%</w:t>
            </w:r>
          </w:p>
        </w:tc>
        <w:tc>
          <w:tcPr>
            <w:tcW w:w="956" w:type="dxa"/>
            <w:gridSpan w:val="2"/>
            <w:tcBorders>
              <w:top w:val="single" w:sz="4" w:space="0" w:color="auto"/>
              <w:bottom w:val="single" w:sz="4" w:space="0" w:color="auto"/>
            </w:tcBorders>
          </w:tcPr>
          <w:p w:rsidR="000811BB" w:rsidRDefault="000811BB" w:rsidP="0072033F">
            <w:pPr>
              <w:keepNext/>
              <w:spacing w:after="120"/>
              <w:jc w:val="center"/>
              <w:rPr>
                <w:rFonts w:cs="Arial"/>
              </w:rPr>
            </w:pPr>
            <w:r w:rsidRPr="00351C14">
              <w:rPr>
                <w:b/>
              </w:rPr>
              <w:t>ρ</w:t>
            </w:r>
          </w:p>
        </w:tc>
      </w:tr>
      <w:tr w:rsidR="00A02628" w:rsidRPr="006A1A8B" w:rsidTr="00A02628">
        <w:tc>
          <w:tcPr>
            <w:tcW w:w="3503" w:type="dxa"/>
            <w:tcBorders>
              <w:top w:val="single" w:sz="4" w:space="0" w:color="auto"/>
            </w:tcBorders>
            <w:shd w:val="clear" w:color="auto" w:fill="auto"/>
          </w:tcPr>
          <w:p w:rsidR="00A02628" w:rsidRPr="006A1A8B" w:rsidRDefault="00A02628" w:rsidP="00FE1867">
            <w:pPr>
              <w:keepNext/>
              <w:spacing w:after="120"/>
              <w:rPr>
                <w:rFonts w:cs="Arial"/>
              </w:rPr>
            </w:pPr>
          </w:p>
        </w:tc>
        <w:tc>
          <w:tcPr>
            <w:tcW w:w="933" w:type="dxa"/>
            <w:tcBorders>
              <w:top w:val="single" w:sz="4" w:space="0" w:color="auto"/>
            </w:tcBorders>
          </w:tcPr>
          <w:p w:rsidR="00A02628" w:rsidRDefault="00A02628" w:rsidP="0072033F">
            <w:pPr>
              <w:keepNext/>
              <w:spacing w:after="120"/>
              <w:jc w:val="center"/>
              <w:rPr>
                <w:rFonts w:cs="Arial"/>
              </w:rPr>
            </w:pPr>
          </w:p>
        </w:tc>
        <w:tc>
          <w:tcPr>
            <w:tcW w:w="932" w:type="dxa"/>
            <w:tcBorders>
              <w:top w:val="single" w:sz="4" w:space="0" w:color="auto"/>
            </w:tcBorders>
          </w:tcPr>
          <w:p w:rsidR="00A02628" w:rsidRDefault="00A02628" w:rsidP="0072033F">
            <w:pPr>
              <w:keepNext/>
              <w:spacing w:after="120"/>
              <w:jc w:val="center"/>
              <w:rPr>
                <w:rFonts w:cs="Arial"/>
              </w:rPr>
            </w:pPr>
          </w:p>
        </w:tc>
        <w:tc>
          <w:tcPr>
            <w:tcW w:w="977" w:type="dxa"/>
            <w:gridSpan w:val="2"/>
            <w:tcBorders>
              <w:top w:val="single" w:sz="4" w:space="0" w:color="auto"/>
            </w:tcBorders>
          </w:tcPr>
          <w:p w:rsidR="00A02628" w:rsidRDefault="00A02628" w:rsidP="0072033F">
            <w:pPr>
              <w:keepNext/>
              <w:spacing w:after="120"/>
              <w:jc w:val="center"/>
              <w:rPr>
                <w:rFonts w:cs="Arial"/>
              </w:rPr>
            </w:pPr>
          </w:p>
        </w:tc>
        <w:tc>
          <w:tcPr>
            <w:tcW w:w="993" w:type="dxa"/>
            <w:tcBorders>
              <w:top w:val="single" w:sz="4" w:space="0" w:color="auto"/>
            </w:tcBorders>
          </w:tcPr>
          <w:p w:rsidR="00A02628" w:rsidRDefault="00A02628" w:rsidP="0072033F">
            <w:pPr>
              <w:keepNext/>
              <w:spacing w:after="120"/>
              <w:jc w:val="center"/>
              <w:rPr>
                <w:rFonts w:cs="Arial"/>
              </w:rPr>
            </w:pPr>
          </w:p>
        </w:tc>
        <w:tc>
          <w:tcPr>
            <w:tcW w:w="992" w:type="dxa"/>
            <w:tcBorders>
              <w:top w:val="single" w:sz="4" w:space="0" w:color="auto"/>
            </w:tcBorders>
          </w:tcPr>
          <w:p w:rsidR="00A02628" w:rsidRDefault="00A02628" w:rsidP="0072033F">
            <w:pPr>
              <w:keepNext/>
              <w:spacing w:after="120"/>
              <w:jc w:val="center"/>
              <w:rPr>
                <w:rFonts w:cs="Arial"/>
              </w:rPr>
            </w:pPr>
          </w:p>
        </w:tc>
        <w:tc>
          <w:tcPr>
            <w:tcW w:w="956" w:type="dxa"/>
            <w:gridSpan w:val="2"/>
            <w:tcBorders>
              <w:top w:val="single" w:sz="4" w:space="0" w:color="auto"/>
            </w:tcBorders>
          </w:tcPr>
          <w:p w:rsidR="00A02628" w:rsidRDefault="00A02628" w:rsidP="0072033F">
            <w:pPr>
              <w:keepNext/>
              <w:spacing w:after="120"/>
              <w:jc w:val="center"/>
              <w:rPr>
                <w:rFonts w:cs="Arial"/>
              </w:rPr>
            </w:pPr>
          </w:p>
        </w:tc>
      </w:tr>
      <w:tr w:rsidR="000811BB" w:rsidRPr="006A1A8B" w:rsidTr="00A02628">
        <w:tc>
          <w:tcPr>
            <w:tcW w:w="3503" w:type="dxa"/>
            <w:shd w:val="clear" w:color="auto" w:fill="auto"/>
          </w:tcPr>
          <w:p w:rsidR="000811BB" w:rsidRPr="006A1A8B" w:rsidRDefault="000811BB" w:rsidP="00FE1867">
            <w:pPr>
              <w:keepNext/>
              <w:spacing w:after="120"/>
              <w:rPr>
                <w:rFonts w:cs="Arial"/>
              </w:rPr>
            </w:pPr>
            <w:r w:rsidRPr="006A1A8B">
              <w:rPr>
                <w:rFonts w:cs="Arial"/>
              </w:rPr>
              <w:t>Increasing tax on petrol</w:t>
            </w:r>
          </w:p>
        </w:tc>
        <w:tc>
          <w:tcPr>
            <w:tcW w:w="933" w:type="dxa"/>
          </w:tcPr>
          <w:p w:rsidR="000811BB" w:rsidRPr="006A1A8B" w:rsidRDefault="000811BB" w:rsidP="0072033F">
            <w:pPr>
              <w:keepNext/>
              <w:spacing w:after="120"/>
              <w:jc w:val="center"/>
              <w:rPr>
                <w:rFonts w:cs="Arial"/>
              </w:rPr>
            </w:pPr>
            <w:r>
              <w:rPr>
                <w:rFonts w:cs="Arial"/>
              </w:rPr>
              <w:t xml:space="preserve"> 1.2</w:t>
            </w:r>
          </w:p>
        </w:tc>
        <w:tc>
          <w:tcPr>
            <w:tcW w:w="932" w:type="dxa"/>
          </w:tcPr>
          <w:p w:rsidR="000811BB" w:rsidRPr="006A1A8B" w:rsidRDefault="000811BB" w:rsidP="0072033F">
            <w:pPr>
              <w:keepNext/>
              <w:spacing w:after="120"/>
              <w:jc w:val="center"/>
              <w:rPr>
                <w:rFonts w:cs="Arial"/>
              </w:rPr>
            </w:pPr>
            <w:r>
              <w:rPr>
                <w:rFonts w:cs="Arial"/>
              </w:rPr>
              <w:t xml:space="preserve"> 4.1</w:t>
            </w:r>
          </w:p>
        </w:tc>
        <w:tc>
          <w:tcPr>
            <w:tcW w:w="977" w:type="dxa"/>
            <w:gridSpan w:val="2"/>
          </w:tcPr>
          <w:p w:rsidR="000811BB" w:rsidRPr="006A1A8B" w:rsidRDefault="000811BB" w:rsidP="0072033F">
            <w:pPr>
              <w:keepNext/>
              <w:spacing w:after="120"/>
              <w:jc w:val="center"/>
              <w:rPr>
                <w:rFonts w:cs="Arial"/>
              </w:rPr>
            </w:pPr>
            <w:r>
              <w:rPr>
                <w:rFonts w:cs="Arial"/>
              </w:rPr>
              <w:t>0.145</w:t>
            </w:r>
          </w:p>
        </w:tc>
        <w:tc>
          <w:tcPr>
            <w:tcW w:w="993" w:type="dxa"/>
          </w:tcPr>
          <w:p w:rsidR="000811BB" w:rsidRPr="006A1A8B" w:rsidRDefault="000811BB" w:rsidP="0072033F">
            <w:pPr>
              <w:keepNext/>
              <w:spacing w:after="120"/>
              <w:jc w:val="center"/>
              <w:rPr>
                <w:rFonts w:cs="Arial"/>
              </w:rPr>
            </w:pPr>
            <w:r>
              <w:rPr>
                <w:rFonts w:cs="Arial"/>
              </w:rPr>
              <w:t xml:space="preserve"> 0.9</w:t>
            </w:r>
          </w:p>
        </w:tc>
        <w:tc>
          <w:tcPr>
            <w:tcW w:w="992" w:type="dxa"/>
          </w:tcPr>
          <w:p w:rsidR="000811BB" w:rsidRPr="006A1A8B" w:rsidRDefault="000811BB" w:rsidP="0072033F">
            <w:pPr>
              <w:keepNext/>
              <w:spacing w:after="120"/>
              <w:jc w:val="center"/>
              <w:rPr>
                <w:rFonts w:cs="Arial"/>
              </w:rPr>
            </w:pPr>
            <w:r>
              <w:rPr>
                <w:rFonts w:cs="Arial"/>
              </w:rPr>
              <w:t xml:space="preserve"> 1.8</w:t>
            </w:r>
          </w:p>
        </w:tc>
        <w:tc>
          <w:tcPr>
            <w:tcW w:w="956" w:type="dxa"/>
            <w:gridSpan w:val="2"/>
          </w:tcPr>
          <w:p w:rsidR="000811BB" w:rsidRPr="006A1A8B" w:rsidRDefault="000811BB" w:rsidP="0072033F">
            <w:pPr>
              <w:keepNext/>
              <w:spacing w:after="120"/>
              <w:jc w:val="center"/>
              <w:rPr>
                <w:rFonts w:cs="Arial"/>
              </w:rPr>
            </w:pPr>
            <w:r>
              <w:rPr>
                <w:rFonts w:cs="Arial"/>
              </w:rPr>
              <w:t>0.513</w:t>
            </w:r>
          </w:p>
        </w:tc>
      </w:tr>
      <w:tr w:rsidR="000811BB" w:rsidRPr="006A1A8B" w:rsidTr="00DA2DB2">
        <w:tc>
          <w:tcPr>
            <w:tcW w:w="3503" w:type="dxa"/>
            <w:shd w:val="clear" w:color="auto" w:fill="auto"/>
          </w:tcPr>
          <w:p w:rsidR="000811BB" w:rsidRPr="006A1A8B" w:rsidRDefault="000811BB" w:rsidP="00FE1867">
            <w:pPr>
              <w:keepNext/>
              <w:spacing w:after="120"/>
              <w:rPr>
                <w:rFonts w:cs="Arial"/>
              </w:rPr>
            </w:pPr>
            <w:r w:rsidRPr="006A1A8B">
              <w:rPr>
                <w:rFonts w:cs="Arial"/>
              </w:rPr>
              <w:t xml:space="preserve">Higher taxes on </w:t>
            </w:r>
            <w:r w:rsidR="003A2D53">
              <w:rPr>
                <w:rFonts w:cs="Arial"/>
              </w:rPr>
              <w:t xml:space="preserve">polluting </w:t>
            </w:r>
            <w:r w:rsidRPr="006A1A8B">
              <w:rPr>
                <w:rFonts w:cs="Arial"/>
              </w:rPr>
              <w:t xml:space="preserve">cars </w:t>
            </w:r>
          </w:p>
        </w:tc>
        <w:tc>
          <w:tcPr>
            <w:tcW w:w="933" w:type="dxa"/>
          </w:tcPr>
          <w:p w:rsidR="000811BB" w:rsidRPr="006A1A8B" w:rsidRDefault="000811BB" w:rsidP="0072033F">
            <w:pPr>
              <w:keepNext/>
              <w:spacing w:after="120"/>
              <w:jc w:val="center"/>
              <w:rPr>
                <w:rFonts w:cs="Arial"/>
              </w:rPr>
            </w:pPr>
            <w:r>
              <w:rPr>
                <w:rFonts w:cs="Arial"/>
              </w:rPr>
              <w:t>31.5</w:t>
            </w:r>
          </w:p>
        </w:tc>
        <w:tc>
          <w:tcPr>
            <w:tcW w:w="932" w:type="dxa"/>
          </w:tcPr>
          <w:p w:rsidR="000811BB" w:rsidRPr="006A1A8B" w:rsidRDefault="000811BB" w:rsidP="0072033F">
            <w:pPr>
              <w:keepNext/>
              <w:spacing w:after="120"/>
              <w:jc w:val="center"/>
              <w:rPr>
                <w:rFonts w:cs="Arial"/>
              </w:rPr>
            </w:pPr>
            <w:r>
              <w:rPr>
                <w:rFonts w:cs="Arial"/>
              </w:rPr>
              <w:t>51.0</w:t>
            </w:r>
          </w:p>
        </w:tc>
        <w:tc>
          <w:tcPr>
            <w:tcW w:w="977" w:type="dxa"/>
            <w:gridSpan w:val="2"/>
          </w:tcPr>
          <w:p w:rsidR="000811BB" w:rsidRPr="000811BB" w:rsidRDefault="000811BB" w:rsidP="0072033F">
            <w:pPr>
              <w:keepNext/>
              <w:spacing w:after="120"/>
              <w:jc w:val="center"/>
              <w:rPr>
                <w:rFonts w:cs="Arial"/>
                <w:b/>
              </w:rPr>
            </w:pPr>
            <w:r w:rsidRPr="000811BB">
              <w:rPr>
                <w:rFonts w:cs="Arial"/>
                <w:b/>
              </w:rPr>
              <w:t>0.009</w:t>
            </w:r>
          </w:p>
        </w:tc>
        <w:tc>
          <w:tcPr>
            <w:tcW w:w="993" w:type="dxa"/>
          </w:tcPr>
          <w:p w:rsidR="000811BB" w:rsidRPr="006A1A8B" w:rsidRDefault="000811BB" w:rsidP="0072033F">
            <w:pPr>
              <w:keepNext/>
              <w:spacing w:after="120"/>
              <w:jc w:val="center"/>
              <w:rPr>
                <w:rFonts w:cs="Arial"/>
              </w:rPr>
            </w:pPr>
            <w:r>
              <w:rPr>
                <w:rFonts w:cs="Arial"/>
              </w:rPr>
              <w:t>27.6</w:t>
            </w:r>
          </w:p>
        </w:tc>
        <w:tc>
          <w:tcPr>
            <w:tcW w:w="992" w:type="dxa"/>
          </w:tcPr>
          <w:p w:rsidR="000811BB" w:rsidRPr="006A1A8B" w:rsidRDefault="000811BB" w:rsidP="0072033F">
            <w:pPr>
              <w:keepNext/>
              <w:spacing w:after="120"/>
              <w:jc w:val="center"/>
              <w:rPr>
                <w:rFonts w:cs="Arial"/>
              </w:rPr>
            </w:pPr>
            <w:r>
              <w:rPr>
                <w:rFonts w:cs="Arial"/>
              </w:rPr>
              <w:t>37.1</w:t>
            </w:r>
          </w:p>
        </w:tc>
        <w:tc>
          <w:tcPr>
            <w:tcW w:w="956" w:type="dxa"/>
            <w:gridSpan w:val="2"/>
          </w:tcPr>
          <w:p w:rsidR="000811BB" w:rsidRPr="006A1A8B" w:rsidRDefault="000811BB" w:rsidP="000811BB">
            <w:pPr>
              <w:keepNext/>
              <w:spacing w:after="120"/>
              <w:jc w:val="center"/>
              <w:rPr>
                <w:rFonts w:cs="Arial"/>
              </w:rPr>
            </w:pPr>
            <w:r>
              <w:rPr>
                <w:rFonts w:cs="Arial"/>
              </w:rPr>
              <w:t>0.094</w:t>
            </w:r>
          </w:p>
        </w:tc>
      </w:tr>
      <w:tr w:rsidR="000811BB" w:rsidRPr="006A1A8B" w:rsidTr="00DA2DB2">
        <w:tc>
          <w:tcPr>
            <w:tcW w:w="3503" w:type="dxa"/>
            <w:shd w:val="clear" w:color="auto" w:fill="auto"/>
          </w:tcPr>
          <w:p w:rsidR="000811BB" w:rsidRPr="006A1A8B" w:rsidRDefault="000811BB" w:rsidP="00062B59">
            <w:pPr>
              <w:keepNext/>
              <w:spacing w:after="120"/>
              <w:rPr>
                <w:rFonts w:cs="Arial"/>
              </w:rPr>
            </w:pPr>
            <w:r w:rsidRPr="006A1A8B">
              <w:rPr>
                <w:rFonts w:cs="Arial"/>
              </w:rPr>
              <w:t>Subsidising buses</w:t>
            </w:r>
            <w:r w:rsidR="00062B59">
              <w:rPr>
                <w:rFonts w:cs="Arial"/>
              </w:rPr>
              <w:t xml:space="preserve"> from taxation</w:t>
            </w:r>
          </w:p>
        </w:tc>
        <w:tc>
          <w:tcPr>
            <w:tcW w:w="933" w:type="dxa"/>
          </w:tcPr>
          <w:p w:rsidR="000811BB" w:rsidRPr="006A1A8B" w:rsidRDefault="000811BB" w:rsidP="0072033F">
            <w:pPr>
              <w:keepNext/>
              <w:spacing w:after="120"/>
              <w:jc w:val="center"/>
              <w:rPr>
                <w:rFonts w:cs="Arial"/>
              </w:rPr>
            </w:pPr>
            <w:r>
              <w:rPr>
                <w:rFonts w:cs="Arial"/>
              </w:rPr>
              <w:t>16.5</w:t>
            </w:r>
          </w:p>
        </w:tc>
        <w:tc>
          <w:tcPr>
            <w:tcW w:w="932" w:type="dxa"/>
          </w:tcPr>
          <w:p w:rsidR="000811BB" w:rsidRPr="006A1A8B" w:rsidRDefault="000811BB" w:rsidP="0072033F">
            <w:pPr>
              <w:keepNext/>
              <w:spacing w:after="120"/>
              <w:jc w:val="center"/>
              <w:rPr>
                <w:rFonts w:cs="Arial"/>
              </w:rPr>
            </w:pPr>
            <w:r>
              <w:rPr>
                <w:rFonts w:cs="Arial"/>
              </w:rPr>
              <w:t>28.6</w:t>
            </w:r>
          </w:p>
        </w:tc>
        <w:tc>
          <w:tcPr>
            <w:tcW w:w="977" w:type="dxa"/>
            <w:gridSpan w:val="2"/>
          </w:tcPr>
          <w:p w:rsidR="000811BB" w:rsidRPr="006A1A8B" w:rsidRDefault="000811BB" w:rsidP="0072033F">
            <w:pPr>
              <w:keepNext/>
              <w:spacing w:after="120"/>
              <w:jc w:val="center"/>
              <w:rPr>
                <w:rFonts w:cs="Arial"/>
              </w:rPr>
            </w:pPr>
            <w:r>
              <w:rPr>
                <w:rFonts w:cs="Arial"/>
              </w:rPr>
              <w:t>0.047</w:t>
            </w:r>
          </w:p>
        </w:tc>
        <w:tc>
          <w:tcPr>
            <w:tcW w:w="993" w:type="dxa"/>
          </w:tcPr>
          <w:p w:rsidR="000811BB" w:rsidRPr="006A1A8B" w:rsidRDefault="000811BB" w:rsidP="0072033F">
            <w:pPr>
              <w:keepNext/>
              <w:spacing w:after="120"/>
              <w:jc w:val="center"/>
              <w:rPr>
                <w:rFonts w:cs="Arial"/>
              </w:rPr>
            </w:pPr>
            <w:r>
              <w:rPr>
                <w:rFonts w:cs="Arial"/>
              </w:rPr>
              <w:t>12.1</w:t>
            </w:r>
          </w:p>
        </w:tc>
        <w:tc>
          <w:tcPr>
            <w:tcW w:w="992" w:type="dxa"/>
          </w:tcPr>
          <w:p w:rsidR="000811BB" w:rsidRPr="006A1A8B" w:rsidRDefault="000811BB" w:rsidP="0072033F">
            <w:pPr>
              <w:keepNext/>
              <w:spacing w:after="120"/>
              <w:jc w:val="center"/>
              <w:rPr>
                <w:rFonts w:cs="Arial"/>
              </w:rPr>
            </w:pPr>
            <w:r>
              <w:rPr>
                <w:rFonts w:cs="Arial"/>
              </w:rPr>
              <w:t>23.4</w:t>
            </w:r>
          </w:p>
        </w:tc>
        <w:tc>
          <w:tcPr>
            <w:tcW w:w="956" w:type="dxa"/>
            <w:gridSpan w:val="2"/>
          </w:tcPr>
          <w:p w:rsidR="000811BB" w:rsidRPr="000811BB" w:rsidRDefault="000811BB" w:rsidP="0072033F">
            <w:pPr>
              <w:keepNext/>
              <w:spacing w:after="120"/>
              <w:jc w:val="center"/>
              <w:rPr>
                <w:rFonts w:cs="Arial"/>
                <w:b/>
              </w:rPr>
            </w:pPr>
            <w:r w:rsidRPr="000811BB">
              <w:rPr>
                <w:rFonts w:cs="Arial"/>
                <w:b/>
              </w:rPr>
              <w:t>0.017</w:t>
            </w:r>
          </w:p>
        </w:tc>
      </w:tr>
      <w:tr w:rsidR="000811BB" w:rsidRPr="006A1A8B" w:rsidTr="00DA2DB2">
        <w:tc>
          <w:tcPr>
            <w:tcW w:w="3503" w:type="dxa"/>
            <w:shd w:val="clear" w:color="auto" w:fill="auto"/>
          </w:tcPr>
          <w:p w:rsidR="000811BB" w:rsidRPr="006A1A8B" w:rsidRDefault="000811BB" w:rsidP="00FE1867">
            <w:pPr>
              <w:keepNext/>
              <w:spacing w:after="120"/>
              <w:rPr>
                <w:rFonts w:cs="Arial"/>
              </w:rPr>
            </w:pPr>
            <w:r w:rsidRPr="006A1A8B">
              <w:rPr>
                <w:rFonts w:cs="Arial"/>
              </w:rPr>
              <w:t>New rail or tram routes</w:t>
            </w:r>
            <w:r w:rsidR="00062B59">
              <w:rPr>
                <w:rFonts w:cs="Arial"/>
              </w:rPr>
              <w:t xml:space="preserve"> from taxation</w:t>
            </w:r>
          </w:p>
        </w:tc>
        <w:tc>
          <w:tcPr>
            <w:tcW w:w="933" w:type="dxa"/>
          </w:tcPr>
          <w:p w:rsidR="000811BB" w:rsidRPr="006A1A8B" w:rsidRDefault="000811BB" w:rsidP="0072033F">
            <w:pPr>
              <w:keepNext/>
              <w:spacing w:after="120"/>
              <w:jc w:val="center"/>
              <w:rPr>
                <w:rFonts w:cs="Arial"/>
              </w:rPr>
            </w:pPr>
            <w:r>
              <w:rPr>
                <w:rFonts w:cs="Arial"/>
              </w:rPr>
              <w:t>44.1</w:t>
            </w:r>
          </w:p>
        </w:tc>
        <w:tc>
          <w:tcPr>
            <w:tcW w:w="932" w:type="dxa"/>
          </w:tcPr>
          <w:p w:rsidR="000811BB" w:rsidRPr="006A1A8B" w:rsidRDefault="000811BB" w:rsidP="0072033F">
            <w:pPr>
              <w:keepNext/>
              <w:spacing w:after="120"/>
              <w:jc w:val="center"/>
              <w:rPr>
                <w:rFonts w:cs="Arial"/>
              </w:rPr>
            </w:pPr>
            <w:r>
              <w:rPr>
                <w:rFonts w:cs="Arial"/>
              </w:rPr>
              <w:t>49.0</w:t>
            </w:r>
          </w:p>
        </w:tc>
        <w:tc>
          <w:tcPr>
            <w:tcW w:w="977" w:type="dxa"/>
            <w:gridSpan w:val="2"/>
          </w:tcPr>
          <w:p w:rsidR="000811BB" w:rsidRPr="006A1A8B" w:rsidRDefault="000811BB" w:rsidP="0072033F">
            <w:pPr>
              <w:keepNext/>
              <w:spacing w:after="120"/>
              <w:jc w:val="center"/>
              <w:rPr>
                <w:rFonts w:cs="Arial"/>
              </w:rPr>
            </w:pPr>
            <w:r>
              <w:rPr>
                <w:rFonts w:cs="Arial"/>
              </w:rPr>
              <w:t>0.529</w:t>
            </w:r>
          </w:p>
        </w:tc>
        <w:tc>
          <w:tcPr>
            <w:tcW w:w="993" w:type="dxa"/>
          </w:tcPr>
          <w:p w:rsidR="000811BB" w:rsidRPr="006A1A8B" w:rsidRDefault="000811BB" w:rsidP="0072033F">
            <w:pPr>
              <w:keepNext/>
              <w:spacing w:after="120"/>
              <w:jc w:val="center"/>
              <w:rPr>
                <w:rFonts w:cs="Arial"/>
              </w:rPr>
            </w:pPr>
            <w:r>
              <w:rPr>
                <w:rFonts w:cs="Arial"/>
              </w:rPr>
              <w:t>38.8</w:t>
            </w:r>
          </w:p>
        </w:tc>
        <w:tc>
          <w:tcPr>
            <w:tcW w:w="992" w:type="dxa"/>
          </w:tcPr>
          <w:p w:rsidR="000811BB" w:rsidRPr="006A1A8B" w:rsidRDefault="00B22FF2" w:rsidP="0072033F">
            <w:pPr>
              <w:keepNext/>
              <w:spacing w:after="120"/>
              <w:jc w:val="center"/>
              <w:rPr>
                <w:rFonts w:cs="Arial"/>
              </w:rPr>
            </w:pPr>
            <w:r>
              <w:rPr>
                <w:rFonts w:cs="Arial"/>
              </w:rPr>
              <w:t>4</w:t>
            </w:r>
            <w:r w:rsidR="000811BB">
              <w:rPr>
                <w:rFonts w:cs="Arial"/>
              </w:rPr>
              <w:t>6.7</w:t>
            </w:r>
          </w:p>
        </w:tc>
        <w:tc>
          <w:tcPr>
            <w:tcW w:w="956" w:type="dxa"/>
            <w:gridSpan w:val="2"/>
          </w:tcPr>
          <w:p w:rsidR="000811BB" w:rsidRPr="006A1A8B" w:rsidRDefault="00DA2DB2" w:rsidP="0072033F">
            <w:pPr>
              <w:keepNext/>
              <w:spacing w:after="120"/>
              <w:jc w:val="center"/>
              <w:rPr>
                <w:rFonts w:cs="Arial"/>
              </w:rPr>
            </w:pPr>
            <w:r>
              <w:rPr>
                <w:rFonts w:cs="Arial"/>
              </w:rPr>
              <w:t>0.187</w:t>
            </w:r>
          </w:p>
        </w:tc>
      </w:tr>
      <w:tr w:rsidR="000811BB" w:rsidRPr="006A1A8B" w:rsidTr="00DA2DB2">
        <w:tc>
          <w:tcPr>
            <w:tcW w:w="3503" w:type="dxa"/>
            <w:shd w:val="clear" w:color="auto" w:fill="auto"/>
          </w:tcPr>
          <w:p w:rsidR="000811BB" w:rsidRPr="006A1A8B" w:rsidRDefault="000811BB" w:rsidP="00A02628">
            <w:pPr>
              <w:keepNext/>
              <w:spacing w:after="120"/>
              <w:rPr>
                <w:rFonts w:cs="Arial"/>
              </w:rPr>
            </w:pPr>
            <w:r w:rsidRPr="006A1A8B">
              <w:rPr>
                <w:rFonts w:cs="Arial"/>
              </w:rPr>
              <w:t>Pedestrianisation</w:t>
            </w:r>
            <w:r w:rsidR="00A02628">
              <w:rPr>
                <w:rFonts w:cs="Arial"/>
              </w:rPr>
              <w:t xml:space="preserve"> involving a reduction in road capacity</w:t>
            </w:r>
          </w:p>
        </w:tc>
        <w:tc>
          <w:tcPr>
            <w:tcW w:w="933" w:type="dxa"/>
          </w:tcPr>
          <w:p w:rsidR="000811BB" w:rsidRPr="006A1A8B" w:rsidRDefault="000811BB" w:rsidP="0072033F">
            <w:pPr>
              <w:keepNext/>
              <w:spacing w:after="120"/>
              <w:jc w:val="center"/>
              <w:rPr>
                <w:rFonts w:cs="Arial"/>
              </w:rPr>
            </w:pPr>
            <w:r>
              <w:rPr>
                <w:rFonts w:cs="Arial"/>
              </w:rPr>
              <w:t>18.5</w:t>
            </w:r>
          </w:p>
        </w:tc>
        <w:tc>
          <w:tcPr>
            <w:tcW w:w="932" w:type="dxa"/>
          </w:tcPr>
          <w:p w:rsidR="000811BB" w:rsidRPr="006A1A8B" w:rsidRDefault="000811BB" w:rsidP="0072033F">
            <w:pPr>
              <w:keepNext/>
              <w:spacing w:after="120"/>
              <w:jc w:val="center"/>
              <w:rPr>
                <w:rFonts w:cs="Arial"/>
              </w:rPr>
            </w:pPr>
            <w:r>
              <w:rPr>
                <w:rFonts w:cs="Arial"/>
              </w:rPr>
              <w:t>32.7</w:t>
            </w:r>
          </w:p>
        </w:tc>
        <w:tc>
          <w:tcPr>
            <w:tcW w:w="977" w:type="dxa"/>
            <w:gridSpan w:val="2"/>
          </w:tcPr>
          <w:p w:rsidR="000811BB" w:rsidRPr="000811BB" w:rsidRDefault="000811BB" w:rsidP="0072033F">
            <w:pPr>
              <w:keepNext/>
              <w:spacing w:after="120"/>
              <w:jc w:val="center"/>
              <w:rPr>
                <w:rFonts w:cs="Arial"/>
                <w:b/>
              </w:rPr>
            </w:pPr>
            <w:r w:rsidRPr="000811BB">
              <w:rPr>
                <w:rFonts w:cs="Arial"/>
                <w:b/>
              </w:rPr>
              <w:t>0.025</w:t>
            </w:r>
          </w:p>
        </w:tc>
        <w:tc>
          <w:tcPr>
            <w:tcW w:w="993" w:type="dxa"/>
          </w:tcPr>
          <w:p w:rsidR="000811BB" w:rsidRPr="006A1A8B" w:rsidRDefault="000811BB" w:rsidP="0072033F">
            <w:pPr>
              <w:keepNext/>
              <w:spacing w:after="120"/>
              <w:jc w:val="center"/>
              <w:rPr>
                <w:rFonts w:cs="Arial"/>
              </w:rPr>
            </w:pPr>
            <w:r>
              <w:rPr>
                <w:rFonts w:cs="Arial"/>
              </w:rPr>
              <w:t>12.1</w:t>
            </w:r>
          </w:p>
        </w:tc>
        <w:tc>
          <w:tcPr>
            <w:tcW w:w="992" w:type="dxa"/>
          </w:tcPr>
          <w:p w:rsidR="000811BB" w:rsidRPr="006A1A8B" w:rsidRDefault="000811BB" w:rsidP="0072033F">
            <w:pPr>
              <w:keepNext/>
              <w:spacing w:after="120"/>
              <w:jc w:val="center"/>
              <w:rPr>
                <w:rFonts w:cs="Arial"/>
              </w:rPr>
            </w:pPr>
            <w:r>
              <w:rPr>
                <w:rFonts w:cs="Arial"/>
              </w:rPr>
              <w:t>26.3</w:t>
            </w:r>
          </w:p>
        </w:tc>
        <w:tc>
          <w:tcPr>
            <w:tcW w:w="956" w:type="dxa"/>
            <w:gridSpan w:val="2"/>
          </w:tcPr>
          <w:p w:rsidR="000811BB" w:rsidRPr="00DA2DB2" w:rsidRDefault="00DA2DB2" w:rsidP="0072033F">
            <w:pPr>
              <w:keepNext/>
              <w:spacing w:after="120"/>
              <w:jc w:val="center"/>
              <w:rPr>
                <w:rFonts w:cs="Arial"/>
                <w:b/>
              </w:rPr>
            </w:pPr>
            <w:r w:rsidRPr="00DA2DB2">
              <w:rPr>
                <w:rFonts w:cs="Arial"/>
                <w:b/>
              </w:rPr>
              <w:t>0.003</w:t>
            </w:r>
          </w:p>
        </w:tc>
      </w:tr>
      <w:tr w:rsidR="000811BB" w:rsidRPr="006A1A8B" w:rsidTr="00DA2DB2">
        <w:tc>
          <w:tcPr>
            <w:tcW w:w="3503" w:type="dxa"/>
            <w:shd w:val="clear" w:color="auto" w:fill="auto"/>
          </w:tcPr>
          <w:p w:rsidR="000811BB" w:rsidRPr="006A1A8B" w:rsidRDefault="00A02628" w:rsidP="00FE1867">
            <w:pPr>
              <w:keepNext/>
              <w:spacing w:after="120"/>
              <w:rPr>
                <w:rFonts w:cs="Arial"/>
              </w:rPr>
            </w:pPr>
            <w:r>
              <w:rPr>
                <w:rFonts w:cs="Arial"/>
              </w:rPr>
              <w:t>New c</w:t>
            </w:r>
            <w:r w:rsidR="00062B59">
              <w:rPr>
                <w:rFonts w:cs="Arial"/>
              </w:rPr>
              <w:t>ycle routes</w:t>
            </w:r>
            <w:r>
              <w:rPr>
                <w:rFonts w:cs="Arial"/>
              </w:rPr>
              <w:t xml:space="preserve"> involving a reduction in road capacity</w:t>
            </w:r>
          </w:p>
        </w:tc>
        <w:tc>
          <w:tcPr>
            <w:tcW w:w="933" w:type="dxa"/>
          </w:tcPr>
          <w:p w:rsidR="000811BB" w:rsidRPr="006A1A8B" w:rsidRDefault="000811BB" w:rsidP="0072033F">
            <w:pPr>
              <w:keepNext/>
              <w:spacing w:after="120"/>
              <w:jc w:val="center"/>
              <w:rPr>
                <w:rFonts w:cs="Arial"/>
              </w:rPr>
            </w:pPr>
            <w:r>
              <w:rPr>
                <w:rFonts w:cs="Arial"/>
              </w:rPr>
              <w:t>24.8</w:t>
            </w:r>
          </w:p>
        </w:tc>
        <w:tc>
          <w:tcPr>
            <w:tcW w:w="932" w:type="dxa"/>
          </w:tcPr>
          <w:p w:rsidR="000811BB" w:rsidRPr="006A1A8B" w:rsidRDefault="000811BB" w:rsidP="0072033F">
            <w:pPr>
              <w:keepNext/>
              <w:spacing w:after="120"/>
              <w:jc w:val="center"/>
              <w:rPr>
                <w:rFonts w:cs="Arial"/>
              </w:rPr>
            </w:pPr>
            <w:r>
              <w:rPr>
                <w:rFonts w:cs="Arial"/>
              </w:rPr>
              <w:t>42.9</w:t>
            </w:r>
          </w:p>
        </w:tc>
        <w:tc>
          <w:tcPr>
            <w:tcW w:w="977" w:type="dxa"/>
            <w:gridSpan w:val="2"/>
          </w:tcPr>
          <w:p w:rsidR="000811BB" w:rsidRPr="000811BB" w:rsidRDefault="000811BB" w:rsidP="0072033F">
            <w:pPr>
              <w:keepNext/>
              <w:spacing w:after="120"/>
              <w:jc w:val="center"/>
              <w:rPr>
                <w:rFonts w:cs="Arial"/>
                <w:b/>
              </w:rPr>
            </w:pPr>
            <w:r w:rsidRPr="000811BB">
              <w:rPr>
                <w:rFonts w:cs="Arial"/>
                <w:b/>
              </w:rPr>
              <w:t>0.010</w:t>
            </w:r>
          </w:p>
        </w:tc>
        <w:tc>
          <w:tcPr>
            <w:tcW w:w="993" w:type="dxa"/>
          </w:tcPr>
          <w:p w:rsidR="000811BB" w:rsidRPr="006A1A8B" w:rsidRDefault="000811BB" w:rsidP="0072033F">
            <w:pPr>
              <w:keepNext/>
              <w:spacing w:after="120"/>
              <w:jc w:val="center"/>
              <w:rPr>
                <w:rFonts w:cs="Arial"/>
              </w:rPr>
            </w:pPr>
            <w:r>
              <w:rPr>
                <w:rFonts w:cs="Arial"/>
              </w:rPr>
              <w:t>13.8</w:t>
            </w:r>
          </w:p>
        </w:tc>
        <w:tc>
          <w:tcPr>
            <w:tcW w:w="992" w:type="dxa"/>
          </w:tcPr>
          <w:p w:rsidR="000811BB" w:rsidRPr="006A1A8B" w:rsidRDefault="000811BB" w:rsidP="0072033F">
            <w:pPr>
              <w:keepNext/>
              <w:spacing w:after="120"/>
              <w:jc w:val="center"/>
              <w:rPr>
                <w:rFonts w:cs="Arial"/>
              </w:rPr>
            </w:pPr>
            <w:r>
              <w:rPr>
                <w:rFonts w:cs="Arial"/>
              </w:rPr>
              <w:t>38.9</w:t>
            </w:r>
          </w:p>
        </w:tc>
        <w:tc>
          <w:tcPr>
            <w:tcW w:w="956" w:type="dxa"/>
            <w:gridSpan w:val="2"/>
          </w:tcPr>
          <w:p w:rsidR="000811BB" w:rsidRPr="006A1A8B" w:rsidRDefault="000811BB" w:rsidP="0072033F">
            <w:pPr>
              <w:keepNext/>
              <w:spacing w:after="120"/>
              <w:jc w:val="center"/>
              <w:rPr>
                <w:rFonts w:cs="Arial"/>
              </w:rPr>
            </w:pPr>
            <w:r w:rsidRPr="000811BB">
              <w:rPr>
                <w:rFonts w:cs="Arial"/>
                <w:b/>
              </w:rPr>
              <w:t>&lt;0.001</w:t>
            </w:r>
          </w:p>
        </w:tc>
      </w:tr>
    </w:tbl>
    <w:p w:rsidR="009006F6" w:rsidRDefault="009006F6" w:rsidP="00640A96">
      <w:pPr>
        <w:pStyle w:val="Body0"/>
        <w:divId w:val="1066225293"/>
      </w:pPr>
    </w:p>
    <w:p w:rsidR="004831BB" w:rsidRDefault="00096952" w:rsidP="00640A96">
      <w:pPr>
        <w:pStyle w:val="Body0"/>
        <w:divId w:val="1066225293"/>
      </w:pPr>
      <w:r>
        <w:t xml:space="preserve">A number of other cross-tabulations were performed.  There was some evidence that planning and architecture students were more concerned about climate change and more likely to support some sustainable transport measures than students from property and construction-related courses, although most of the associations were not statistically significant.  Cross-tabulations by gender produced few statistically significant results.  </w:t>
      </w:r>
      <w:r w:rsidR="00135EC7">
        <w:t xml:space="preserve">Two exceptions were libertarian attitudes and agreement with scientific evidence on climate change.  Females were less likely to hold libertarian attitudes and more likely to agree with the statement that ‘scientific evidence has demonstrated that human activities are changing the climate’.  Most of that difference was accounted for by the minority of </w:t>
      </w:r>
      <w:r w:rsidR="00810BF5">
        <w:t>males</w:t>
      </w:r>
      <w:r w:rsidR="001521A3">
        <w:t xml:space="preserve"> (11</w:t>
      </w:r>
      <w:r w:rsidR="00135EC7">
        <w:t>.5%) who disagreed or strongly disagreed with that statement.  No females</w:t>
      </w:r>
      <w:r w:rsidR="001521A3">
        <w:t xml:space="preserve"> ticked either of those options, as shown in </w:t>
      </w:r>
      <w:r w:rsidR="00E10957">
        <w:fldChar w:fldCharType="begin"/>
      </w:r>
      <w:r w:rsidR="001521A3">
        <w:instrText xml:space="preserve"> REF _Ref291664916 \h </w:instrText>
      </w:r>
      <w:r w:rsidR="00E10957">
        <w:fldChar w:fldCharType="separate"/>
      </w:r>
      <w:r w:rsidR="00ED3260">
        <w:t xml:space="preserve">Figure </w:t>
      </w:r>
      <w:r w:rsidR="00ED3260">
        <w:rPr>
          <w:noProof/>
        </w:rPr>
        <w:t>3</w:t>
      </w:r>
      <w:r w:rsidR="00E10957">
        <w:fldChar w:fldCharType="end"/>
      </w:r>
      <w:r w:rsidR="001521A3">
        <w:t>.</w:t>
      </w:r>
    </w:p>
    <w:p w:rsidR="00A373A4" w:rsidRDefault="00D8147A" w:rsidP="00640A96">
      <w:pPr>
        <w:pStyle w:val="Body0"/>
        <w:divId w:val="1066225293"/>
      </w:pPr>
      <w:r>
        <w:rPr>
          <w:noProof/>
          <w:lang w:eastAsia="en-GB"/>
        </w:rPr>
        <w:lastRenderedPageBreak/>
        <w:drawing>
          <wp:anchor distT="0" distB="0" distL="114300" distR="114300" simplePos="0" relativeHeight="251660288" behindDoc="0" locked="0" layoutInCell="1" allowOverlap="1">
            <wp:simplePos x="0" y="0"/>
            <wp:positionH relativeFrom="column">
              <wp:posOffset>-40640</wp:posOffset>
            </wp:positionH>
            <wp:positionV relativeFrom="paragraph">
              <wp:posOffset>147955</wp:posOffset>
            </wp:positionV>
            <wp:extent cx="5759450" cy="375221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59450" cy="3752215"/>
                    </a:xfrm>
                    <a:prstGeom prst="rect">
                      <a:avLst/>
                    </a:prstGeom>
                    <a:noFill/>
                    <a:ln w="9525">
                      <a:noFill/>
                      <a:miter lim="800000"/>
                      <a:headEnd/>
                      <a:tailEnd/>
                    </a:ln>
                  </pic:spPr>
                </pic:pic>
              </a:graphicData>
            </a:graphic>
          </wp:anchor>
        </w:drawing>
      </w:r>
    </w:p>
    <w:p w:rsidR="00A373A4" w:rsidRDefault="00A373A4" w:rsidP="00A373A4">
      <w:pPr>
        <w:pStyle w:val="Caption"/>
        <w:divId w:val="1066225293"/>
      </w:pPr>
      <w:bookmarkStart w:id="10" w:name="_Ref291664916"/>
      <w:r>
        <w:t xml:space="preserve">Figure </w:t>
      </w:r>
      <w:r w:rsidR="00E10957">
        <w:fldChar w:fldCharType="begin"/>
      </w:r>
      <w:r w:rsidR="006E0FB7">
        <w:instrText xml:space="preserve"> SEQ Figure \* ARABIC </w:instrText>
      </w:r>
      <w:r w:rsidR="00E10957">
        <w:fldChar w:fldCharType="separate"/>
      </w:r>
      <w:r w:rsidR="00ED3260">
        <w:rPr>
          <w:noProof/>
        </w:rPr>
        <w:t>3</w:t>
      </w:r>
      <w:r w:rsidR="00E10957">
        <w:rPr>
          <w:noProof/>
        </w:rPr>
        <w:fldChar w:fldCharType="end"/>
      </w:r>
      <w:bookmarkEnd w:id="10"/>
      <w:r>
        <w:t xml:space="preserve"> Gender differences in </w:t>
      </w:r>
      <w:r w:rsidR="001521A3">
        <w:t>attitudes to</w:t>
      </w:r>
      <w:r>
        <w:t xml:space="preserve"> scientific evidence on climate change</w:t>
      </w:r>
    </w:p>
    <w:p w:rsidR="00135EC7" w:rsidRDefault="00D450B6" w:rsidP="00640A96">
      <w:pPr>
        <w:pStyle w:val="Body0"/>
        <w:divId w:val="1066225293"/>
      </w:pPr>
      <w:r>
        <w:t xml:space="preserve">Cross-tabulating year of study with the variables in </w:t>
      </w:r>
      <w:r w:rsidR="00E10957">
        <w:fldChar w:fldCharType="begin"/>
      </w:r>
      <w:r>
        <w:instrText xml:space="preserve"> REF _Ref289158250 \h </w:instrText>
      </w:r>
      <w:r w:rsidR="00E10957">
        <w:fldChar w:fldCharType="separate"/>
      </w:r>
      <w:r w:rsidR="00ED3260">
        <w:t xml:space="preserve">Table </w:t>
      </w:r>
      <w:r w:rsidR="00ED3260">
        <w:rPr>
          <w:noProof/>
        </w:rPr>
        <w:t>5</w:t>
      </w:r>
      <w:r w:rsidR="00E10957">
        <w:fldChar w:fldCharType="end"/>
      </w:r>
      <w:r>
        <w:t xml:space="preserve"> produced no statistically significant results.  49% of year 3 students stated that their concern about climate change had increased during their time at university: 33% said this was due to what they had learned at UWE.  Only 4% said they had become less concerned.    In the light of these statements, the level of concern between year 1 and year 3 was compared.  It had indeed risen slightly (79% concerned or very concerned in year 3 compared to 71% in year 1) although the difference was not statistically significant.  </w:t>
      </w:r>
      <w:r w:rsidR="00C5617A">
        <w:t xml:space="preserve">Few </w:t>
      </w:r>
      <w:proofErr w:type="gramStart"/>
      <w:r w:rsidR="00C5617A">
        <w:t>year</w:t>
      </w:r>
      <w:proofErr w:type="gramEnd"/>
      <w:r w:rsidR="00C5617A">
        <w:t xml:space="preserve"> 3 students reported any difference in their attitudes towards sustainable transport measures, and there was no discernable difference in the responses to those questions between the two years.</w:t>
      </w:r>
    </w:p>
    <w:p w:rsidR="00810BF5" w:rsidRDefault="00810BF5" w:rsidP="00640A96">
      <w:pPr>
        <w:pStyle w:val="Body0"/>
        <w:divId w:val="1066225293"/>
      </w:pPr>
    </w:p>
    <w:p w:rsidR="00810BF5" w:rsidRDefault="00471C2C" w:rsidP="00810BF5">
      <w:pPr>
        <w:pStyle w:val="Heading1"/>
        <w:divId w:val="1066225293"/>
      </w:pPr>
      <w:r>
        <w:t>Discussion</w:t>
      </w:r>
    </w:p>
    <w:p w:rsidR="00471C2C" w:rsidRDefault="00810BF5" w:rsidP="00640A96">
      <w:pPr>
        <w:pStyle w:val="Body0"/>
        <w:divId w:val="1066225293"/>
      </w:pPr>
      <w:r>
        <w:t xml:space="preserve">The findings have revealed a high level of car ownership and amongst UWE’s </w:t>
      </w:r>
      <w:r w:rsidR="00ED62DC">
        <w:t>Built Environment</w:t>
      </w:r>
      <w:r>
        <w:t xml:space="preserve"> students</w:t>
      </w:r>
      <w:r w:rsidR="00006035">
        <w:t>, reflecting the income groups and social classes from which most undergraduates are drawn</w:t>
      </w:r>
      <w:r>
        <w:t xml:space="preserve">.  Their attitudes towards climate change are similar to those of the general population in their age groups, despite their higher level of education.  The findings are consistent with a modest association between car driving and attitudes towards climate change amongst students, similar to that derived from the data of Thornton et al (2010).  The </w:t>
      </w:r>
      <w:r>
        <w:lastRenderedPageBreak/>
        <w:t xml:space="preserve">greater number of statistically significant associations in those comparisons was mainly due to the much larger sample sizes.  </w:t>
      </w:r>
    </w:p>
    <w:p w:rsidR="000659B7" w:rsidRDefault="00810BF5" w:rsidP="00640A96">
      <w:pPr>
        <w:pStyle w:val="Body0"/>
        <w:divId w:val="1066225293"/>
      </w:pPr>
      <w:r>
        <w:t xml:space="preserve">It was hoped to comment on the direction of causality in these relationships.  Had a substantial increase in car ownership between the two years coincided with a significant reduction in concern about climate change and/or agreement with scientific evidence, this would have suggested (though not proved) that </w:t>
      </w:r>
      <w:r w:rsidR="00D96224">
        <w:t xml:space="preserve">changes in </w:t>
      </w:r>
      <w:r>
        <w:t xml:space="preserve">car ownership </w:t>
      </w:r>
      <w:r w:rsidR="00D96224">
        <w:t xml:space="preserve">cause changes in </w:t>
      </w:r>
      <w:r>
        <w:t xml:space="preserve">those attitudes.  This effect may be in addition to the other possibilities: that concern about climate change influences </w:t>
      </w:r>
      <w:r w:rsidR="00D96224">
        <w:t>car ownership</w:t>
      </w:r>
      <w:r>
        <w:t xml:space="preserve">, or that </w:t>
      </w:r>
      <w:r w:rsidR="00471C2C">
        <w:t>exogenous</w:t>
      </w:r>
      <w:r>
        <w:t xml:space="preserve"> factors influence both.  Given the surprisingly limited impact of the ‘no parking’ rule </w:t>
      </w:r>
      <w:r w:rsidR="00471C2C">
        <w:t>on the car availability of</w:t>
      </w:r>
      <w:r>
        <w:t xml:space="preserve"> campu</w:t>
      </w:r>
      <w:r w:rsidR="004911A5">
        <w:t>s residents, the findings do not help to differentiate between those possibilities</w:t>
      </w:r>
      <w:r>
        <w:t xml:space="preserve">.  </w:t>
      </w:r>
      <w:r w:rsidR="00031E61">
        <w:t>I</w:t>
      </w:r>
      <w:r w:rsidR="004911A5">
        <w:t>f</w:t>
      </w:r>
      <w:r w:rsidR="00B14271">
        <w:t xml:space="preserve"> car ownership or use does influence attitudes towards climate change, </w:t>
      </w:r>
      <w:r w:rsidR="00D01D60">
        <w:t xml:space="preserve">however, </w:t>
      </w:r>
      <w:r w:rsidR="00B14271">
        <w:t>then th</w:t>
      </w:r>
      <w:r w:rsidR="00031E61">
        <w:t>es</w:t>
      </w:r>
      <w:r w:rsidR="00B14271">
        <w:t xml:space="preserve">e </w:t>
      </w:r>
      <w:r w:rsidR="00031E61">
        <w:t xml:space="preserve">findings suggest the </w:t>
      </w:r>
      <w:r w:rsidR="00B14271">
        <w:t xml:space="preserve">effect is </w:t>
      </w:r>
      <w:r w:rsidR="004911A5">
        <w:t>relatively weak and not a significant pedagogical issue for lecturers in this field.</w:t>
      </w:r>
    </w:p>
    <w:p w:rsidR="00B22FF2" w:rsidRDefault="004911A5" w:rsidP="00640A96">
      <w:pPr>
        <w:pStyle w:val="Body0"/>
        <w:divId w:val="1066225293"/>
      </w:pPr>
      <w:r>
        <w:t>The gender difference in attitudes towards scientific evidence is intriguing</w:t>
      </w:r>
      <w:r w:rsidR="00A373A4">
        <w:t xml:space="preserve">.  </w:t>
      </w:r>
      <w:r w:rsidR="0030668E">
        <w:t>This was the only discernable difference in the ‘climate sceptic’ group: cross-tabulations with the transport, age and course type variables produced no significant differences.</w:t>
      </w:r>
      <w:r w:rsidR="00A373A4">
        <w:t xml:space="preserve">  The researcher’s observations suggest that these views tend to be associated with a certain type of culture amongst young men</w:t>
      </w:r>
      <w:r w:rsidR="00C30249">
        <w:t xml:space="preserve">, who are often amongst the more challenging students to engage in learning more generally.  </w:t>
      </w:r>
      <w:r w:rsidR="0030668E">
        <w:t xml:space="preserve">Subsequent questions in lectures revealed that apart from those following Geography courses, the students’ knowledge in this area came almost exclusively from the media and non-academic sources on the Internet.  </w:t>
      </w:r>
      <w:r w:rsidR="00C30249">
        <w:t xml:space="preserve">High levels of Internet use and reliance on blogs and unofficial websites for information may contribute to this culture and those attitudes towards climate change.  </w:t>
      </w:r>
    </w:p>
    <w:p w:rsidR="00896057" w:rsidRDefault="006531A2" w:rsidP="00640A96">
      <w:pPr>
        <w:pStyle w:val="Body0"/>
        <w:divId w:val="1066225293"/>
      </w:pPr>
      <w:r>
        <w:t xml:space="preserve">Although it cannot be considered a definitive refutation, there is no support from this survey for </w:t>
      </w:r>
      <w:proofErr w:type="spellStart"/>
      <w:r>
        <w:t>Monbiot’s</w:t>
      </w:r>
      <w:proofErr w:type="spellEnd"/>
      <w:r>
        <w:t xml:space="preserve"> hypothesis about car use and libertarian political attitudes – at least amongst students.  The evidence on attitudes towards transport policy is more mixed.  The tiny proportions favouring increased taxation on petrol </w:t>
      </w:r>
      <w:r w:rsidR="00896057">
        <w:t xml:space="preserve">are consistent with previous studies </w:t>
      </w:r>
      <w:r w:rsidR="00E10957">
        <w:fldChar w:fldCharType="begin"/>
      </w:r>
      <w:r w:rsidR="00896057">
        <w:instrText>ADDIN RW.CITE{{13 Scottish Executive 1999/pe.g.;}}</w:instrText>
      </w:r>
      <w:r w:rsidR="00E10957">
        <w:fldChar w:fldCharType="separate"/>
      </w:r>
      <w:r w:rsidR="0030734E">
        <w:t>(e.g.Scottish Executive, 1999)</w:t>
      </w:r>
      <w:r w:rsidR="00E10957">
        <w:fldChar w:fldCharType="end"/>
      </w:r>
      <w:r w:rsidR="00896057">
        <w:t xml:space="preserve"> which showed considerable hostility towards measures perceived as financially penalising motorists, even amongst non-drivers.  </w:t>
      </w:r>
    </w:p>
    <w:p w:rsidR="00896057" w:rsidRDefault="00896057" w:rsidP="00640A96">
      <w:pPr>
        <w:pStyle w:val="Body0"/>
        <w:divId w:val="1066225293"/>
      </w:pPr>
      <w:r>
        <w:t>The clearest differences in attitudes between the drivers and non-drivers (measured by commuting mode or car availability) concern parking on campus and</w:t>
      </w:r>
      <w:r w:rsidRPr="00896057">
        <w:t xml:space="preserve"> </w:t>
      </w:r>
      <w:r>
        <w:t xml:space="preserve">policy measures involving the reallocation of road space to cycle routes or pedestrian areas.  These findings are unsurprising.  Parking on campus is an issue of contention between the university and staff and student representatives.  Partly due to objectives in the sustainability strategy but mainly because of restrictions imposed by the planning authority, </w:t>
      </w:r>
      <w:r w:rsidR="00D96224">
        <w:t>parking for</w:t>
      </w:r>
      <w:r>
        <w:t xml:space="preserve"> students on campus is </w:t>
      </w:r>
      <w:r w:rsidR="00D96224">
        <w:t>more likely to be reduced than increased in future</w:t>
      </w:r>
      <w:r>
        <w:t>.</w:t>
      </w:r>
    </w:p>
    <w:p w:rsidR="00896057" w:rsidRDefault="00B22FF2" w:rsidP="00640A96">
      <w:pPr>
        <w:pStyle w:val="Body0"/>
        <w:divId w:val="1066225293"/>
      </w:pPr>
      <w:r>
        <w:t xml:space="preserve">Also as expected, the attitudes of car commuters towards subsidies for bus services are significantly less favourable than those of commuters by other modes, whereas no such difference is discernable in respect of investment in rail or light rail.  Several studies have </w:t>
      </w:r>
      <w:r>
        <w:lastRenderedPageBreak/>
        <w:t xml:space="preserve">shown that car owners/drivers are more likely to use rail or light rail than buses, which are generally viewed as a less attractive alternative </w:t>
      </w:r>
      <w:r w:rsidR="00E10957">
        <w:fldChar w:fldCharType="begin"/>
      </w:r>
      <w:r>
        <w:instrText>ADDIN RW.CITE{{1271 Davison,Lisa J. 2005/pe.g. ;}}</w:instrText>
      </w:r>
      <w:r w:rsidR="00E10957">
        <w:fldChar w:fldCharType="separate"/>
      </w:r>
      <w:r w:rsidR="0030734E">
        <w:t>(e.g. Davison, 2005)</w:t>
      </w:r>
      <w:r w:rsidR="00E10957">
        <w:fldChar w:fldCharType="end"/>
      </w:r>
      <w:r>
        <w:t>.</w:t>
      </w:r>
    </w:p>
    <w:p w:rsidR="00B22FF2" w:rsidRDefault="00B22FF2" w:rsidP="00640A96">
      <w:pPr>
        <w:pStyle w:val="Body0"/>
        <w:divId w:val="1066225293"/>
      </w:pPr>
    </w:p>
    <w:p w:rsidR="00896057" w:rsidRDefault="0030734E" w:rsidP="00896057">
      <w:pPr>
        <w:pStyle w:val="Heading1"/>
        <w:divId w:val="1066225293"/>
      </w:pPr>
      <w:r>
        <w:t>Conclusions</w:t>
      </w:r>
    </w:p>
    <w:p w:rsidR="00B22FF2" w:rsidRDefault="00354AE6" w:rsidP="00640A96">
      <w:pPr>
        <w:pStyle w:val="Body0"/>
        <w:divId w:val="1066225293"/>
      </w:pPr>
      <w:r>
        <w:t>H</w:t>
      </w:r>
      <w:r w:rsidR="00896057">
        <w:t>igh level</w:t>
      </w:r>
      <w:r w:rsidR="00D96224">
        <w:t>s</w:t>
      </w:r>
      <w:r w:rsidR="00896057">
        <w:t xml:space="preserve"> of car ownership and use amongst students is likely to engender scepticism towards measures designed to reduce car use.  </w:t>
      </w:r>
      <w:r w:rsidR="00B22FF2">
        <w:t xml:space="preserve">This survey suggests that constraints on parking on campus, or around student accommodation, will make relatively little difference to this situation.  </w:t>
      </w:r>
      <w:r>
        <w:t>This presents a challenge, but also an opportunity, to lecturers teaching courses with a sustainable transport element.  The attitudes of students are generally similar to those of the general population in these respects</w:t>
      </w:r>
      <w:r w:rsidR="00B22FF2">
        <w:t xml:space="preserve">, bringing into the lecture or tutorial many of the challenges which </w:t>
      </w:r>
      <w:r w:rsidR="00ED62DC">
        <w:t>Built Environment</w:t>
      </w:r>
      <w:r w:rsidR="00B22FF2">
        <w:t xml:space="preserve"> professionals seeking to promote more sustainable transport are likely to encounter.  If handled appropriately, students’ experience of car ownership and use can prove a useful resource, making discussion of these issues more realistic compared to other issues, where the experience of young undergraduates may be very limited.</w:t>
      </w:r>
      <w:r w:rsidR="006D2871">
        <w:t xml:space="preserve">  On the other hand, as relatively few students have experience of living without a car, many find it difficult to imagine how this might be possible.  The initial difficulties of students in evaluating evidence about carfree development </w:t>
      </w:r>
      <w:r w:rsidR="00E10957">
        <w:fldChar w:fldCharType="begin"/>
      </w:r>
      <w:r w:rsidR="006D2871">
        <w:instrText>ADDIN RW.CITE{{1818 Melia,Steve 2011/psee: ;}}</w:instrText>
      </w:r>
      <w:r w:rsidR="00E10957">
        <w:fldChar w:fldCharType="separate"/>
      </w:r>
      <w:r w:rsidR="006D2871">
        <w:t>(see: Melia et al, 2011)</w:t>
      </w:r>
      <w:r w:rsidR="00E10957">
        <w:fldChar w:fldCharType="end"/>
      </w:r>
      <w:r w:rsidR="006D2871">
        <w:t xml:space="preserve">, were similar to those of audiences outside academia to which the author has presented similar material.  </w:t>
      </w:r>
    </w:p>
    <w:p w:rsidR="00354AE6" w:rsidRDefault="00B22FF2" w:rsidP="00640A96">
      <w:pPr>
        <w:pStyle w:val="Body0"/>
        <w:divId w:val="1066225293"/>
      </w:pPr>
      <w:r>
        <w:t>The attitude</w:t>
      </w:r>
      <w:r w:rsidR="00D96224">
        <w:t>s</w:t>
      </w:r>
      <w:r>
        <w:t xml:space="preserve"> of students towards climate change, as revealed by this study, are broadly similar to those of the general population.  In response to the original hypotheses, car ownership and use do not appear to exert a particularly strong influence on those attitudes.   The proportion of climate sceptics is relatively small and, in this survey, exclusively male, an area which would merit further research.  </w:t>
      </w:r>
      <w:r w:rsidR="006D2871">
        <w:t>Many more were</w:t>
      </w:r>
      <w:bookmarkStart w:id="11" w:name="_GoBack"/>
      <w:bookmarkEnd w:id="11"/>
      <w:r>
        <w:t xml:space="preserve"> uncertain about the science of climate change.  Whereas climate change mitigation and adaptation feature prominently in most </w:t>
      </w:r>
      <w:r w:rsidR="00ED62DC">
        <w:t>Built Environment</w:t>
      </w:r>
      <w:r>
        <w:t xml:space="preserve"> courses, without a balanced understanding of the science</w:t>
      </w:r>
      <w:r w:rsidR="00D96224">
        <w:t>,</w:t>
      </w:r>
      <w:r>
        <w:t xml:space="preserve"> the justification for this focus may seem less valid in retrospect, when graduates are grappling with the pressures of professional life.  In response to the findings of this study, the author included a session on the science of climate change in </w:t>
      </w:r>
      <w:r w:rsidRPr="00D74B43">
        <w:rPr>
          <w:i/>
        </w:rPr>
        <w:t>Society &amp; the Car</w:t>
      </w:r>
      <w:r>
        <w:t>.  For the future, the science of climate change is now being considered for inclusion in a new core cross-faculty module.</w:t>
      </w:r>
    </w:p>
    <w:p w:rsidR="004911A5" w:rsidRDefault="004911A5" w:rsidP="00640A96">
      <w:pPr>
        <w:pStyle w:val="Body0"/>
        <w:divId w:val="1066225293"/>
      </w:pPr>
    </w:p>
    <w:p w:rsidR="0030734E" w:rsidRDefault="00D450B6" w:rsidP="0030734E">
      <w:pPr>
        <w:pStyle w:val="Heading1"/>
        <w:divId w:val="2078359472"/>
      </w:pPr>
      <w:r>
        <w:t>References</w:t>
      </w:r>
      <w:r w:rsidR="00E10957" w:rsidRPr="00E10957">
        <w:fldChar w:fldCharType="begin"/>
      </w:r>
      <w:r w:rsidR="0030734E">
        <w:instrText>ADDIN RW.BIB</w:instrText>
      </w:r>
      <w:r w:rsidR="00E10957" w:rsidRPr="00E10957">
        <w:fldChar w:fldCharType="separate"/>
      </w:r>
      <w:r w:rsidR="0030734E">
        <w:t xml:space="preserve"> </w:t>
      </w:r>
    </w:p>
    <w:p w:rsidR="0030734E" w:rsidRDefault="0030734E">
      <w:pPr>
        <w:pStyle w:val="NormalWeb"/>
        <w:divId w:val="2078359472"/>
      </w:pPr>
      <w:r>
        <w:t xml:space="preserve">Anable, J. (2005) ‘Complacent Car Addicts’ or ‘Aspiring Environmentalists’? Identifying travel behaviour segments using attitude theory. </w:t>
      </w:r>
      <w:r>
        <w:rPr>
          <w:i/>
          <w:iCs/>
        </w:rPr>
        <w:t>Transport Policy</w:t>
      </w:r>
      <w:r>
        <w:t xml:space="preserve">12 (1), pp.65-78. </w:t>
      </w:r>
    </w:p>
    <w:p w:rsidR="0030734E" w:rsidRDefault="0030734E">
      <w:pPr>
        <w:pStyle w:val="NormalWeb"/>
        <w:divId w:val="2078359472"/>
      </w:pPr>
      <w:r>
        <w:t>Davison, L. J. (2005)</w:t>
      </w:r>
      <w:r>
        <w:rPr>
          <w:i/>
          <w:iCs/>
        </w:rPr>
        <w:t xml:space="preserve"> The Effectiveness of Bus Quality Partnerships in Achieving Government Transport Policy Objectives. </w:t>
      </w:r>
      <w:r>
        <w:t xml:space="preserve">PhD, University of Salford. </w:t>
      </w:r>
    </w:p>
    <w:p w:rsidR="0030734E" w:rsidRDefault="0030734E">
      <w:pPr>
        <w:pStyle w:val="NormalWeb"/>
        <w:divId w:val="2078359472"/>
      </w:pPr>
      <w:r>
        <w:lastRenderedPageBreak/>
        <w:t xml:space="preserve">Dawe, G., Jucker, R. and Martin, S., (2005) </w:t>
      </w:r>
      <w:r>
        <w:rPr>
          <w:i/>
          <w:iCs/>
        </w:rPr>
        <w:t xml:space="preserve">Sustainable development in higher education : current practice and future developments : a report for The Higher Education Academy. </w:t>
      </w:r>
      <w:r>
        <w:t xml:space="preserve">[online]. Heslington, York: Higher Education Academy. </w:t>
      </w:r>
    </w:p>
    <w:p w:rsidR="0030734E" w:rsidRDefault="0030734E">
      <w:pPr>
        <w:pStyle w:val="NormalWeb"/>
        <w:divId w:val="2078359472"/>
      </w:pPr>
      <w:r>
        <w:t xml:space="preserve">DfT, (2010) </w:t>
      </w:r>
      <w:r>
        <w:rPr>
          <w:i/>
          <w:iCs/>
        </w:rPr>
        <w:t xml:space="preserve">Public attitudes towards climate change and the impact on transport. </w:t>
      </w:r>
      <w:r>
        <w:t xml:space="preserve">[online:] </w:t>
      </w:r>
      <w:hyperlink r:id="rId11" w:tgtFrame="_blank" w:history="1">
        <w:r>
          <w:rPr>
            <w:rStyle w:val="Hyperlink"/>
          </w:rPr>
          <w:t>www.dft.gov.uk</w:t>
        </w:r>
      </w:hyperlink>
      <w:r>
        <w:t xml:space="preserve">: Department for Transport. (January). </w:t>
      </w:r>
    </w:p>
    <w:p w:rsidR="0030734E" w:rsidRDefault="0030734E">
      <w:pPr>
        <w:pStyle w:val="NormalWeb"/>
        <w:divId w:val="2078359472"/>
      </w:pPr>
      <w:r>
        <w:t xml:space="preserve">DfT, (2009) </w:t>
      </w:r>
      <w:r>
        <w:rPr>
          <w:i/>
          <w:iCs/>
        </w:rPr>
        <w:t xml:space="preserve">Exploring public attitudes to climate change and travel choices: deliberative research. </w:t>
      </w:r>
      <w:r>
        <w:t xml:space="preserve">[online]. </w:t>
      </w:r>
      <w:hyperlink r:id="rId12" w:tgtFrame="_blank" w:history="1">
        <w:r>
          <w:rPr>
            <w:rStyle w:val="Hyperlink"/>
          </w:rPr>
          <w:t>www.dft.gov.uk</w:t>
        </w:r>
      </w:hyperlink>
      <w:r>
        <w:t xml:space="preserve">: Department for Transport. </w:t>
      </w:r>
    </w:p>
    <w:p w:rsidR="0030734E" w:rsidRDefault="0030734E">
      <w:pPr>
        <w:pStyle w:val="NormalWeb"/>
        <w:divId w:val="2078359472"/>
      </w:pPr>
      <w:r>
        <w:t xml:space="preserve">Dudleston, A., Hewitt, E., Stradling, S. and Anable, J., (2005) </w:t>
      </w:r>
      <w:r>
        <w:rPr>
          <w:i/>
          <w:iCs/>
        </w:rPr>
        <w:t xml:space="preserve">Public Perceptions Of Travel Awareness - Phase 3. </w:t>
      </w:r>
      <w:r>
        <w:t xml:space="preserve">[Online]: </w:t>
      </w:r>
      <w:hyperlink r:id="rId13" w:tgtFrame="_blank" w:history="1">
        <w:r>
          <w:rPr>
            <w:rStyle w:val="Hyperlink"/>
          </w:rPr>
          <w:t>http://www.scotland.gov.uk/Publications</w:t>
        </w:r>
      </w:hyperlink>
      <w:r>
        <w:t xml:space="preserve">: Scottish Executive Research. </w:t>
      </w:r>
    </w:p>
    <w:p w:rsidR="0030734E" w:rsidRDefault="0030734E">
      <w:pPr>
        <w:pStyle w:val="NormalWeb"/>
        <w:divId w:val="2078359472"/>
      </w:pPr>
      <w:r>
        <w:t xml:space="preserve">Kokkarinen, N. and Cotgrave, A. (2010) Student Attitudes Towards the Environment. </w:t>
      </w:r>
      <w:r>
        <w:rPr>
          <w:i/>
          <w:iCs/>
        </w:rPr>
        <w:t xml:space="preserve">In: </w:t>
      </w:r>
      <w:r>
        <w:t xml:space="preserve">Anon. </w:t>
      </w:r>
      <w:r>
        <w:rPr>
          <w:i/>
          <w:iCs/>
        </w:rPr>
        <w:t xml:space="preserve">Built Environment and Natural Environment Conference, May 2010. </w:t>
      </w:r>
      <w:r>
        <w:t xml:space="preserve">Liverpool John Moores University, pp 140-148. </w:t>
      </w:r>
    </w:p>
    <w:p w:rsidR="0030734E" w:rsidRDefault="0030734E">
      <w:pPr>
        <w:pStyle w:val="NormalWeb"/>
        <w:divId w:val="2078359472"/>
      </w:pPr>
      <w:r>
        <w:t xml:space="preserve">Melia, S., Barton, H. and Parkhurst, G. (2011) Potential for Carfree Development in the UK. </w:t>
      </w:r>
      <w:r>
        <w:rPr>
          <w:i/>
          <w:iCs/>
        </w:rPr>
        <w:t>Urban Design and Planning</w:t>
      </w:r>
      <w:r>
        <w:t xml:space="preserve">164 (In Press), . </w:t>
      </w:r>
    </w:p>
    <w:p w:rsidR="0030734E" w:rsidRDefault="0030734E">
      <w:pPr>
        <w:pStyle w:val="NormalWeb"/>
        <w:divId w:val="2078359472"/>
      </w:pPr>
      <w:r>
        <w:t xml:space="preserve">Monbiot, G. (2005) The anti-social bastards in our midst. </w:t>
      </w:r>
      <w:r>
        <w:rPr>
          <w:i/>
          <w:iCs/>
        </w:rPr>
        <w:t xml:space="preserve">The Guardian. </w:t>
      </w:r>
    </w:p>
    <w:p w:rsidR="0030734E" w:rsidRDefault="0030734E">
      <w:pPr>
        <w:pStyle w:val="NormalWeb"/>
        <w:divId w:val="2078359472"/>
      </w:pPr>
      <w:r>
        <w:t xml:space="preserve">Scottish Executive (1999) </w:t>
      </w:r>
      <w:r>
        <w:rPr>
          <w:i/>
          <w:iCs/>
        </w:rPr>
        <w:t xml:space="preserve">Why people don't drive cars. </w:t>
      </w:r>
      <w:r>
        <w:t xml:space="preserve">Scottish Executive, Central Research Unit. </w:t>
      </w:r>
    </w:p>
    <w:p w:rsidR="0030734E" w:rsidRDefault="0030734E">
      <w:pPr>
        <w:pStyle w:val="NormalWeb"/>
        <w:divId w:val="2078359472"/>
      </w:pPr>
      <w:r>
        <w:t xml:space="preserve">Sheller, M. and Urry, J. (2000) The City and the Car. </w:t>
      </w:r>
      <w:r>
        <w:rPr>
          <w:i/>
          <w:iCs/>
        </w:rPr>
        <w:t>International Journal of Urban and Regional Research</w:t>
      </w:r>
      <w:r>
        <w:t xml:space="preserve"> [online]. 24 (4), pp.737-757. Available from: </w:t>
      </w:r>
      <w:hyperlink r:id="rId14" w:tgtFrame="_blank" w:history="1">
        <w:r>
          <w:rPr>
            <w:rStyle w:val="Hyperlink"/>
          </w:rPr>
          <w:t>http://dx.doi.org/10.1111/1468-2427.00276</w:t>
        </w:r>
      </w:hyperlink>
      <w:r>
        <w:t xml:space="preserve">. </w:t>
      </w:r>
    </w:p>
    <w:p w:rsidR="0030734E" w:rsidRDefault="0030734E">
      <w:pPr>
        <w:pStyle w:val="NormalWeb"/>
        <w:divId w:val="2078359472"/>
      </w:pPr>
      <w:r>
        <w:t xml:space="preserve">Thornton, A., Bunt, K., Dalziel, D. and Simon, A., (2010) </w:t>
      </w:r>
      <w:r>
        <w:rPr>
          <w:i/>
          <w:iCs/>
        </w:rPr>
        <w:t xml:space="preserve">Climate Change and Transport Choices. </w:t>
      </w:r>
      <w:r>
        <w:t xml:space="preserve">London: Department for Transport. (Contract No. PPRO 04/06/21). </w:t>
      </w:r>
    </w:p>
    <w:p w:rsidR="0030734E" w:rsidRDefault="0030734E">
      <w:pPr>
        <w:pStyle w:val="NormalWeb"/>
        <w:divId w:val="2078359472"/>
      </w:pPr>
      <w:r>
        <w:t xml:space="preserve">UWE, (2011) </w:t>
      </w:r>
      <w:r>
        <w:rPr>
          <w:i/>
          <w:iCs/>
        </w:rPr>
        <w:t xml:space="preserve">Sustainability Strategy 2008 - 2012. </w:t>
      </w:r>
      <w:r>
        <w:t xml:space="preserve">[online]. Bristol: University of the West of England. (Version 2). </w:t>
      </w:r>
    </w:p>
    <w:p w:rsidR="004E2BFA" w:rsidRDefault="00E10957" w:rsidP="00C056D2">
      <w:pPr>
        <w:pStyle w:val="NormalWeb"/>
      </w:pPr>
      <w:r>
        <w:fldChar w:fldCharType="end"/>
      </w:r>
    </w:p>
    <w:sectPr w:rsidR="004E2BFA" w:rsidSect="00A859AD">
      <w:headerReference w:type="default" r:id="rId15"/>
      <w:footerReference w:type="default" r:id="rId16"/>
      <w:headerReference w:type="first" r:id="rId17"/>
      <w:footerReference w:type="first" r:id="rId18"/>
      <w:pgSz w:w="11906" w:h="16838" w:code="9"/>
      <w:pgMar w:top="1276" w:right="1418" w:bottom="1418" w:left="1418" w:header="680" w:footer="3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BEE" w:rsidRDefault="00B46BEE">
      <w:r>
        <w:separator/>
      </w:r>
    </w:p>
    <w:p w:rsidR="00B46BEE" w:rsidRDefault="00B46BEE"/>
  </w:endnote>
  <w:endnote w:type="continuationSeparator" w:id="0">
    <w:p w:rsidR="00B46BEE" w:rsidRDefault="00B46BEE">
      <w:r>
        <w:continuationSeparator/>
      </w:r>
    </w:p>
    <w:p w:rsidR="00B46BEE" w:rsidRDefault="00B46BE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2A" w:rsidRPr="00555C24" w:rsidRDefault="00E10957" w:rsidP="00555C24">
    <w:pPr>
      <w:pStyle w:val="Header"/>
      <w:rPr>
        <w:rFonts w:ascii="Tahoma" w:hAnsi="Tahoma" w:cs="Tahoma"/>
        <w:sz w:val="17"/>
        <w:szCs w:val="17"/>
        <w:lang w:eastAsia="en-GB"/>
      </w:rPr>
    </w:pPr>
    <w:r>
      <w:rPr>
        <w:rFonts w:ascii="Tahoma" w:hAnsi="Tahoma" w:cs="Tahoma"/>
        <w:noProof/>
        <w:sz w:val="17"/>
        <w:szCs w:val="17"/>
        <w:lang w:eastAsia="en-GB"/>
      </w:rPr>
      <w:pict>
        <v:line id="_x0000_s2049" style="position:absolute;left:0;text-align:left;flip:y;z-index:251657216" from="0,2.75pt" to="446.15pt,3pt" strokecolor="silver"/>
      </w:pict>
    </w:r>
  </w:p>
  <w:p w:rsidR="00624D2A" w:rsidRPr="00A859AD" w:rsidRDefault="00E10957" w:rsidP="00FE3F24">
    <w:pPr>
      <w:jc w:val="center"/>
      <w:rPr>
        <w:rFonts w:cs="Arial"/>
        <w:b/>
      </w:rPr>
    </w:pPr>
    <w:r w:rsidRPr="00A859AD">
      <w:rPr>
        <w:rFonts w:cs="Arial"/>
        <w:b/>
      </w:rPr>
      <w:fldChar w:fldCharType="begin"/>
    </w:r>
    <w:r w:rsidR="00624D2A" w:rsidRPr="00A859AD">
      <w:rPr>
        <w:rFonts w:cs="Arial"/>
        <w:b/>
      </w:rPr>
      <w:instrText xml:space="preserve"> PAGE </w:instrText>
    </w:r>
    <w:r w:rsidRPr="00A859AD">
      <w:rPr>
        <w:rFonts w:cs="Arial"/>
        <w:b/>
      </w:rPr>
      <w:fldChar w:fldCharType="separate"/>
    </w:r>
    <w:r w:rsidR="001440FC">
      <w:rPr>
        <w:rFonts w:cs="Arial"/>
        <w:b/>
        <w:noProof/>
      </w:rPr>
      <w:t>4</w:t>
    </w:r>
    <w:r w:rsidRPr="00A859AD">
      <w:rPr>
        <w:rFonts w:cs="Arial"/>
        <w:b/>
      </w:rPr>
      <w:fldChar w:fldCharType="end"/>
    </w:r>
  </w:p>
  <w:p w:rsidR="00624D2A" w:rsidRPr="00A859AD" w:rsidRDefault="00624D2A" w:rsidP="00666670">
    <w:pPr>
      <w:jc w:val="center"/>
      <w:rPr>
        <w:rFonts w:cs="Arial"/>
        <w:i/>
      </w:rPr>
    </w:pPr>
    <w:r w:rsidRPr="00A859AD">
      <w:rPr>
        <w:rFonts w:cs="Arial"/>
        <w:i/>
      </w:rPr>
      <w:t>Journal for Education in the Built Environment</w:t>
    </w:r>
  </w:p>
  <w:p w:rsidR="00624D2A" w:rsidRPr="00A859AD" w:rsidRDefault="00624D2A" w:rsidP="000623F0">
    <w:pPr>
      <w:spacing w:before="40"/>
      <w:jc w:val="center"/>
      <w:rPr>
        <w:rFonts w:cs="Arial"/>
        <w:i/>
        <w:sz w:val="16"/>
        <w:szCs w:val="16"/>
      </w:rPr>
    </w:pPr>
    <w:r>
      <w:rPr>
        <w:rFonts w:cs="Arial"/>
        <w:i/>
        <w:sz w:val="16"/>
        <w:szCs w:val="16"/>
      </w:rPr>
      <w:t>Copyright © 2010</w:t>
    </w:r>
    <w:r w:rsidRPr="00A859AD">
      <w:rPr>
        <w:rFonts w:cs="Arial"/>
        <w:i/>
        <w:sz w:val="16"/>
        <w:szCs w:val="16"/>
      </w:rPr>
      <w:t xml:space="preserve"> CEBE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2A" w:rsidRDefault="00E10957" w:rsidP="00F143D5">
    <w:pPr>
      <w:jc w:val="center"/>
      <w:rPr>
        <w:rFonts w:cs="Arial"/>
        <w:b/>
        <w:sz w:val="22"/>
        <w:szCs w:val="22"/>
      </w:rPr>
    </w:pPr>
    <w:r w:rsidRPr="00E10957">
      <w:rPr>
        <w:rFonts w:ascii="Tahoma" w:hAnsi="Tahoma" w:cs="Tahoma"/>
        <w:noProof/>
        <w:sz w:val="17"/>
        <w:szCs w:val="17"/>
        <w:lang w:eastAsia="zh-CN"/>
      </w:rPr>
      <w:pict>
        <v:line id="_x0000_s2054" style="position:absolute;left:0;text-align:left;flip:y;z-index:251658240" from="5.15pt,6.3pt" to="451.3pt,6.55pt" strokecolor="silver"/>
      </w:pict>
    </w:r>
  </w:p>
  <w:p w:rsidR="00624D2A" w:rsidRPr="00A859AD" w:rsidRDefault="00E10957" w:rsidP="00A859AD">
    <w:pPr>
      <w:spacing w:after="40"/>
      <w:jc w:val="center"/>
      <w:rPr>
        <w:rFonts w:cs="Arial"/>
        <w:b/>
        <w:sz w:val="22"/>
        <w:szCs w:val="22"/>
      </w:rPr>
    </w:pPr>
    <w:r w:rsidRPr="00A859AD">
      <w:rPr>
        <w:rFonts w:cs="Arial"/>
        <w:b/>
        <w:sz w:val="22"/>
        <w:szCs w:val="22"/>
      </w:rPr>
      <w:fldChar w:fldCharType="begin"/>
    </w:r>
    <w:r w:rsidR="00624D2A" w:rsidRPr="00A859AD">
      <w:rPr>
        <w:rFonts w:cs="Arial"/>
        <w:b/>
        <w:sz w:val="22"/>
        <w:szCs w:val="22"/>
      </w:rPr>
      <w:instrText xml:space="preserve"> PAGE </w:instrText>
    </w:r>
    <w:r w:rsidRPr="00A859AD">
      <w:rPr>
        <w:rFonts w:cs="Arial"/>
        <w:b/>
        <w:sz w:val="22"/>
        <w:szCs w:val="22"/>
      </w:rPr>
      <w:fldChar w:fldCharType="separate"/>
    </w:r>
    <w:r w:rsidR="001440FC">
      <w:rPr>
        <w:rFonts w:cs="Arial"/>
        <w:b/>
        <w:noProof/>
        <w:sz w:val="22"/>
        <w:szCs w:val="22"/>
      </w:rPr>
      <w:t>1</w:t>
    </w:r>
    <w:r w:rsidRPr="00A859AD">
      <w:rPr>
        <w:rFonts w:cs="Arial"/>
        <w:b/>
        <w:sz w:val="22"/>
        <w:szCs w:val="22"/>
      </w:rPr>
      <w:fldChar w:fldCharType="end"/>
    </w:r>
  </w:p>
  <w:p w:rsidR="00624D2A" w:rsidRPr="000623F0" w:rsidRDefault="00624D2A" w:rsidP="00F143D5">
    <w:pPr>
      <w:jc w:val="center"/>
      <w:rPr>
        <w:rFonts w:cs="Arial"/>
        <w:i/>
        <w:sz w:val="16"/>
        <w:szCs w:val="16"/>
      </w:rPr>
    </w:pPr>
    <w:r w:rsidRPr="000623F0">
      <w:rPr>
        <w:rFonts w:cs="Arial"/>
        <w:i/>
        <w:sz w:val="16"/>
        <w:szCs w:val="16"/>
      </w:rPr>
      <w:t xml:space="preserve">Copyright © </w:t>
    </w:r>
    <w:r>
      <w:rPr>
        <w:rFonts w:cs="Arial"/>
        <w:i/>
        <w:sz w:val="16"/>
        <w:szCs w:val="16"/>
      </w:rPr>
      <w:t>2010</w:t>
    </w:r>
    <w:r w:rsidRPr="000623F0">
      <w:rPr>
        <w:rFonts w:cs="Arial"/>
        <w:i/>
        <w:sz w:val="16"/>
        <w:szCs w:val="16"/>
      </w:rPr>
      <w:t xml:space="preserve"> CEBE</w:t>
    </w:r>
  </w:p>
  <w:p w:rsidR="00624D2A" w:rsidRPr="00F143D5" w:rsidRDefault="00624D2A" w:rsidP="00F143D5">
    <w:pPr>
      <w:jc w:val="center"/>
      <w:rPr>
        <w:rFonts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BEE" w:rsidRDefault="00B46BEE">
      <w:r>
        <w:separator/>
      </w:r>
    </w:p>
    <w:p w:rsidR="00B46BEE" w:rsidRDefault="00B46BEE"/>
  </w:footnote>
  <w:footnote w:type="continuationSeparator" w:id="0">
    <w:p w:rsidR="00B46BEE" w:rsidRDefault="00B46BEE">
      <w:r>
        <w:continuationSeparator/>
      </w:r>
    </w:p>
    <w:p w:rsidR="00B46BEE" w:rsidRDefault="00B46B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2A" w:rsidRPr="007B077A" w:rsidRDefault="00624D2A" w:rsidP="004404BE">
    <w:pPr>
      <w:pStyle w:val="Header"/>
    </w:pPr>
    <w:r>
      <w:rPr>
        <w:color w:val="444444"/>
      </w:rPr>
      <w:t>Student Car Ownership and its Effect on Environmental Attitudes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2A" w:rsidRPr="00C13AEE" w:rsidRDefault="00624D2A" w:rsidP="00D50A2B">
    <w:pPr>
      <w:pStyle w:val="Header"/>
      <w:spacing w:before="40" w:after="120" w:line="320" w:lineRule="exact"/>
      <w:rPr>
        <w:i/>
        <w:sz w:val="22"/>
        <w:szCs w:val="22"/>
        <w:lang w:eastAsia="en-GB"/>
      </w:rPr>
    </w:pPr>
    <w:r>
      <w:rPr>
        <w:i/>
        <w:sz w:val="22"/>
        <w:szCs w:val="22"/>
      </w:rPr>
      <w:t xml:space="preserve">Paper submitted for </w:t>
    </w:r>
    <w:r w:rsidRPr="00C13AEE">
      <w:rPr>
        <w:i/>
        <w:sz w:val="22"/>
        <w:szCs w:val="22"/>
      </w:rPr>
      <w:t>Journal for Education in the Built Environmen</w:t>
    </w:r>
    <w:r>
      <w:rPr>
        <w:i/>
        <w:sz w:val="22"/>
        <w:szCs w:val="22"/>
      </w:rPr>
      <w:t>t</w:t>
    </w:r>
  </w:p>
  <w:p w:rsidR="00624D2A" w:rsidRDefault="00624D2A" w:rsidP="004B70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21504_"/>
      </v:shape>
    </w:pict>
  </w:numPicBullet>
  <w:abstractNum w:abstractNumId="0">
    <w:nsid w:val="05D03A77"/>
    <w:multiLevelType w:val="hybridMultilevel"/>
    <w:tmpl w:val="3A7059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40441B"/>
    <w:multiLevelType w:val="hybridMultilevel"/>
    <w:tmpl w:val="9C4CBD36"/>
    <w:lvl w:ilvl="0" w:tplc="BEF426A6">
      <w:start w:val="1"/>
      <w:numFmt w:val="bullet"/>
      <w:pStyle w:val="BulletsChar"/>
      <w:lvlText w:val=""/>
      <w:lvlJc w:val="left"/>
      <w:pPr>
        <w:tabs>
          <w:tab w:val="num" w:pos="720"/>
        </w:tabs>
        <w:ind w:left="720" w:hanging="360"/>
      </w:pPr>
      <w:rPr>
        <w:rFonts w:ascii="Symbol" w:hAnsi="Symbol" w:hint="default"/>
      </w:rPr>
    </w:lvl>
    <w:lvl w:ilvl="1" w:tplc="A6628ACA">
      <w:start w:val="1"/>
      <w:numFmt w:val="decimal"/>
      <w:pStyle w:val="bullets-numb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AD159C5"/>
    <w:multiLevelType w:val="multilevel"/>
    <w:tmpl w:val="9754E556"/>
    <w:name w:val="HEFCE3222"/>
    <w:lvl w:ilvl="0">
      <w:start w:val="18"/>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
    <w:nsid w:val="2BA05588"/>
    <w:multiLevelType w:val="hybridMultilevel"/>
    <w:tmpl w:val="2EB41D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F932A1"/>
    <w:multiLevelType w:val="multilevel"/>
    <w:tmpl w:val="4ACA9548"/>
    <w:name w:val="HEFCE4"/>
    <w:lvl w:ilvl="0">
      <w:start w:val="12"/>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5">
    <w:nsid w:val="2F701204"/>
    <w:multiLevelType w:val="multilevel"/>
    <w:tmpl w:val="B120A0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3625755"/>
    <w:multiLevelType w:val="hybridMultilevel"/>
    <w:tmpl w:val="33B63634"/>
    <w:lvl w:ilvl="0" w:tplc="34527CB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63521534"/>
    <w:multiLevelType w:val="hybridMultilevel"/>
    <w:tmpl w:val="26866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DD12B1"/>
    <w:multiLevelType w:val="hybridMultilevel"/>
    <w:tmpl w:val="5A7E3106"/>
    <w:lvl w:ilvl="0" w:tplc="FFFFFFFF">
      <w:start w:val="1"/>
      <w:numFmt w:val="bullet"/>
      <w:lvlText w:val=""/>
      <w:lvlJc w:val="left"/>
      <w:pPr>
        <w:tabs>
          <w:tab w:val="num" w:pos="720"/>
        </w:tabs>
        <w:ind w:left="720" w:hanging="360"/>
      </w:pPr>
      <w:rPr>
        <w:rFonts w:ascii="Symbol" w:hAnsi="Symbol" w:hint="default"/>
      </w:rPr>
    </w:lvl>
    <w:lvl w:ilvl="1" w:tplc="3A38D0F4">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53A14D3"/>
    <w:multiLevelType w:val="hybridMultilevel"/>
    <w:tmpl w:val="4B6E2FC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757C65A0"/>
    <w:multiLevelType w:val="hybridMultilevel"/>
    <w:tmpl w:val="0DEC5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506B50"/>
    <w:multiLevelType w:val="hybridMultilevel"/>
    <w:tmpl w:val="76C4C6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F93247"/>
    <w:multiLevelType w:val="hybridMultilevel"/>
    <w:tmpl w:val="32FC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0"/>
  </w:num>
  <w:num w:numId="9">
    <w:abstractNumId w:val="1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762820"/>
    <w:rsid w:val="00003532"/>
    <w:rsid w:val="000038B6"/>
    <w:rsid w:val="00006035"/>
    <w:rsid w:val="00011E9A"/>
    <w:rsid w:val="0002010B"/>
    <w:rsid w:val="00020ABB"/>
    <w:rsid w:val="000220CE"/>
    <w:rsid w:val="00025348"/>
    <w:rsid w:val="00031E61"/>
    <w:rsid w:val="00032A75"/>
    <w:rsid w:val="00042570"/>
    <w:rsid w:val="00050362"/>
    <w:rsid w:val="000623F0"/>
    <w:rsid w:val="00062B59"/>
    <w:rsid w:val="00065064"/>
    <w:rsid w:val="000659B7"/>
    <w:rsid w:val="000811BB"/>
    <w:rsid w:val="00086CF3"/>
    <w:rsid w:val="00092A1C"/>
    <w:rsid w:val="00096952"/>
    <w:rsid w:val="00097CD6"/>
    <w:rsid w:val="000A28AD"/>
    <w:rsid w:val="000B7BE7"/>
    <w:rsid w:val="000C2EE4"/>
    <w:rsid w:val="000D011F"/>
    <w:rsid w:val="000D0C1C"/>
    <w:rsid w:val="000D4196"/>
    <w:rsid w:val="000E0EA3"/>
    <w:rsid w:val="000E431C"/>
    <w:rsid w:val="000F2F3D"/>
    <w:rsid w:val="000F7275"/>
    <w:rsid w:val="00113BFA"/>
    <w:rsid w:val="0011701A"/>
    <w:rsid w:val="00117E52"/>
    <w:rsid w:val="00122BD3"/>
    <w:rsid w:val="00127661"/>
    <w:rsid w:val="0013059C"/>
    <w:rsid w:val="0013109F"/>
    <w:rsid w:val="00135B28"/>
    <w:rsid w:val="00135EC7"/>
    <w:rsid w:val="0013703C"/>
    <w:rsid w:val="00143FA1"/>
    <w:rsid w:val="001440FC"/>
    <w:rsid w:val="0014483C"/>
    <w:rsid w:val="001521A3"/>
    <w:rsid w:val="001657D4"/>
    <w:rsid w:val="00170F85"/>
    <w:rsid w:val="001906B6"/>
    <w:rsid w:val="001A405F"/>
    <w:rsid w:val="001A69F5"/>
    <w:rsid w:val="001D1F07"/>
    <w:rsid w:val="001D5CAE"/>
    <w:rsid w:val="001D6C63"/>
    <w:rsid w:val="001E1EAB"/>
    <w:rsid w:val="001E281A"/>
    <w:rsid w:val="001E3FE1"/>
    <w:rsid w:val="001E593B"/>
    <w:rsid w:val="001F0703"/>
    <w:rsid w:val="001F1D62"/>
    <w:rsid w:val="001F1FF8"/>
    <w:rsid w:val="00203B5A"/>
    <w:rsid w:val="002119A1"/>
    <w:rsid w:val="002338D2"/>
    <w:rsid w:val="00236130"/>
    <w:rsid w:val="00242908"/>
    <w:rsid w:val="00243295"/>
    <w:rsid w:val="0024719C"/>
    <w:rsid w:val="002509AB"/>
    <w:rsid w:val="00262A7E"/>
    <w:rsid w:val="002746F8"/>
    <w:rsid w:val="0027566F"/>
    <w:rsid w:val="00281B23"/>
    <w:rsid w:val="0029289A"/>
    <w:rsid w:val="00294051"/>
    <w:rsid w:val="002B2663"/>
    <w:rsid w:val="002B471D"/>
    <w:rsid w:val="002C11F6"/>
    <w:rsid w:val="002C15E3"/>
    <w:rsid w:val="002C173D"/>
    <w:rsid w:val="002D4696"/>
    <w:rsid w:val="002E1E35"/>
    <w:rsid w:val="002E6168"/>
    <w:rsid w:val="00300EFB"/>
    <w:rsid w:val="00301681"/>
    <w:rsid w:val="003041A0"/>
    <w:rsid w:val="0030668E"/>
    <w:rsid w:val="0030734E"/>
    <w:rsid w:val="003140DB"/>
    <w:rsid w:val="003219C8"/>
    <w:rsid w:val="00337EEC"/>
    <w:rsid w:val="00341649"/>
    <w:rsid w:val="0034421D"/>
    <w:rsid w:val="00345EB5"/>
    <w:rsid w:val="00347801"/>
    <w:rsid w:val="0035109C"/>
    <w:rsid w:val="00351C14"/>
    <w:rsid w:val="0035378F"/>
    <w:rsid w:val="00354AE6"/>
    <w:rsid w:val="0036061E"/>
    <w:rsid w:val="00360BEA"/>
    <w:rsid w:val="00361414"/>
    <w:rsid w:val="003673DB"/>
    <w:rsid w:val="00387A82"/>
    <w:rsid w:val="00392B7C"/>
    <w:rsid w:val="003976C0"/>
    <w:rsid w:val="003A14CC"/>
    <w:rsid w:val="003A2A7F"/>
    <w:rsid w:val="003A2D53"/>
    <w:rsid w:val="003A337E"/>
    <w:rsid w:val="003B2A92"/>
    <w:rsid w:val="003B3AF4"/>
    <w:rsid w:val="003B72D8"/>
    <w:rsid w:val="003B7FA3"/>
    <w:rsid w:val="003C13CF"/>
    <w:rsid w:val="003C3039"/>
    <w:rsid w:val="003C4097"/>
    <w:rsid w:val="003C4656"/>
    <w:rsid w:val="003C778F"/>
    <w:rsid w:val="003D493C"/>
    <w:rsid w:val="003E13EA"/>
    <w:rsid w:val="003E3E85"/>
    <w:rsid w:val="003F24AB"/>
    <w:rsid w:val="003F6E19"/>
    <w:rsid w:val="003F70AA"/>
    <w:rsid w:val="004070BD"/>
    <w:rsid w:val="0041068D"/>
    <w:rsid w:val="00422ACC"/>
    <w:rsid w:val="004234B6"/>
    <w:rsid w:val="00425A4C"/>
    <w:rsid w:val="004308AA"/>
    <w:rsid w:val="00432609"/>
    <w:rsid w:val="00433C5C"/>
    <w:rsid w:val="00434BA1"/>
    <w:rsid w:val="00437535"/>
    <w:rsid w:val="00440404"/>
    <w:rsid w:val="004404BE"/>
    <w:rsid w:val="00441226"/>
    <w:rsid w:val="004428B4"/>
    <w:rsid w:val="00442B3C"/>
    <w:rsid w:val="0044411B"/>
    <w:rsid w:val="004443A1"/>
    <w:rsid w:val="00444F84"/>
    <w:rsid w:val="00453A47"/>
    <w:rsid w:val="00465A86"/>
    <w:rsid w:val="00471C2C"/>
    <w:rsid w:val="004729AD"/>
    <w:rsid w:val="004807F2"/>
    <w:rsid w:val="004831BB"/>
    <w:rsid w:val="00484EB6"/>
    <w:rsid w:val="00486D5C"/>
    <w:rsid w:val="004877B7"/>
    <w:rsid w:val="004901B7"/>
    <w:rsid w:val="004911A5"/>
    <w:rsid w:val="004928CF"/>
    <w:rsid w:val="004A0968"/>
    <w:rsid w:val="004B67D8"/>
    <w:rsid w:val="004B7064"/>
    <w:rsid w:val="004C3D65"/>
    <w:rsid w:val="004C55DB"/>
    <w:rsid w:val="004C5895"/>
    <w:rsid w:val="004C5B56"/>
    <w:rsid w:val="004D5219"/>
    <w:rsid w:val="004E2BFA"/>
    <w:rsid w:val="004E511F"/>
    <w:rsid w:val="004F1FBE"/>
    <w:rsid w:val="004F4588"/>
    <w:rsid w:val="00505019"/>
    <w:rsid w:val="00505D4E"/>
    <w:rsid w:val="00506929"/>
    <w:rsid w:val="005202BA"/>
    <w:rsid w:val="0053023C"/>
    <w:rsid w:val="00531FB7"/>
    <w:rsid w:val="00541D3F"/>
    <w:rsid w:val="00547338"/>
    <w:rsid w:val="0054744B"/>
    <w:rsid w:val="00551232"/>
    <w:rsid w:val="005517E1"/>
    <w:rsid w:val="00552609"/>
    <w:rsid w:val="00555C24"/>
    <w:rsid w:val="00556ABE"/>
    <w:rsid w:val="00561557"/>
    <w:rsid w:val="00561A52"/>
    <w:rsid w:val="005651B4"/>
    <w:rsid w:val="00570C1A"/>
    <w:rsid w:val="00574010"/>
    <w:rsid w:val="005770A6"/>
    <w:rsid w:val="00584236"/>
    <w:rsid w:val="005874A7"/>
    <w:rsid w:val="00594A92"/>
    <w:rsid w:val="005A6D7C"/>
    <w:rsid w:val="005B18F5"/>
    <w:rsid w:val="005B4D15"/>
    <w:rsid w:val="005C2CAE"/>
    <w:rsid w:val="005D13D2"/>
    <w:rsid w:val="005D6B83"/>
    <w:rsid w:val="005F0B19"/>
    <w:rsid w:val="005F2B26"/>
    <w:rsid w:val="005F4EC0"/>
    <w:rsid w:val="006248AC"/>
    <w:rsid w:val="00624D2A"/>
    <w:rsid w:val="00626961"/>
    <w:rsid w:val="006272B3"/>
    <w:rsid w:val="00632C01"/>
    <w:rsid w:val="00636DE6"/>
    <w:rsid w:val="00640A96"/>
    <w:rsid w:val="006443FA"/>
    <w:rsid w:val="00647896"/>
    <w:rsid w:val="00650520"/>
    <w:rsid w:val="006506B8"/>
    <w:rsid w:val="006531A2"/>
    <w:rsid w:val="00654605"/>
    <w:rsid w:val="00657886"/>
    <w:rsid w:val="00666670"/>
    <w:rsid w:val="00672909"/>
    <w:rsid w:val="00693DC5"/>
    <w:rsid w:val="00695514"/>
    <w:rsid w:val="00695524"/>
    <w:rsid w:val="00696CE9"/>
    <w:rsid w:val="006A0B4A"/>
    <w:rsid w:val="006A1A8B"/>
    <w:rsid w:val="006A21F0"/>
    <w:rsid w:val="006A674B"/>
    <w:rsid w:val="006A677D"/>
    <w:rsid w:val="006B0C53"/>
    <w:rsid w:val="006B0EFE"/>
    <w:rsid w:val="006B2761"/>
    <w:rsid w:val="006B655B"/>
    <w:rsid w:val="006B7B44"/>
    <w:rsid w:val="006D0C65"/>
    <w:rsid w:val="006D2871"/>
    <w:rsid w:val="006D55DD"/>
    <w:rsid w:val="006E0FB7"/>
    <w:rsid w:val="00704B7B"/>
    <w:rsid w:val="0070772B"/>
    <w:rsid w:val="00710E00"/>
    <w:rsid w:val="00714EA1"/>
    <w:rsid w:val="00716004"/>
    <w:rsid w:val="0072033F"/>
    <w:rsid w:val="00720742"/>
    <w:rsid w:val="00726C8A"/>
    <w:rsid w:val="007273C2"/>
    <w:rsid w:val="00727AC3"/>
    <w:rsid w:val="007314F8"/>
    <w:rsid w:val="00732975"/>
    <w:rsid w:val="00737F1B"/>
    <w:rsid w:val="007421E3"/>
    <w:rsid w:val="0074515C"/>
    <w:rsid w:val="007503C2"/>
    <w:rsid w:val="00750B14"/>
    <w:rsid w:val="00751F34"/>
    <w:rsid w:val="00751F8F"/>
    <w:rsid w:val="00756DBA"/>
    <w:rsid w:val="00760DA4"/>
    <w:rsid w:val="00762820"/>
    <w:rsid w:val="007708A2"/>
    <w:rsid w:val="00770ECA"/>
    <w:rsid w:val="007776B5"/>
    <w:rsid w:val="00780592"/>
    <w:rsid w:val="00784737"/>
    <w:rsid w:val="00786AF7"/>
    <w:rsid w:val="00786B68"/>
    <w:rsid w:val="00787951"/>
    <w:rsid w:val="007919C3"/>
    <w:rsid w:val="00797A64"/>
    <w:rsid w:val="007B077A"/>
    <w:rsid w:val="007C0372"/>
    <w:rsid w:val="007C51D1"/>
    <w:rsid w:val="007D24D2"/>
    <w:rsid w:val="007E1481"/>
    <w:rsid w:val="007E4862"/>
    <w:rsid w:val="007E7B1A"/>
    <w:rsid w:val="007F60BB"/>
    <w:rsid w:val="00804969"/>
    <w:rsid w:val="0080584A"/>
    <w:rsid w:val="00806389"/>
    <w:rsid w:val="008109CA"/>
    <w:rsid w:val="00810BF5"/>
    <w:rsid w:val="00813422"/>
    <w:rsid w:val="00823FDD"/>
    <w:rsid w:val="00824AB2"/>
    <w:rsid w:val="008369B4"/>
    <w:rsid w:val="0084355D"/>
    <w:rsid w:val="00844210"/>
    <w:rsid w:val="00844998"/>
    <w:rsid w:val="008456D8"/>
    <w:rsid w:val="00851CE4"/>
    <w:rsid w:val="008552D8"/>
    <w:rsid w:val="008623B1"/>
    <w:rsid w:val="00862E62"/>
    <w:rsid w:val="008675BD"/>
    <w:rsid w:val="008722C8"/>
    <w:rsid w:val="0087500B"/>
    <w:rsid w:val="008758FE"/>
    <w:rsid w:val="00882A02"/>
    <w:rsid w:val="00890436"/>
    <w:rsid w:val="00893352"/>
    <w:rsid w:val="00896057"/>
    <w:rsid w:val="00897A4E"/>
    <w:rsid w:val="008A0CBF"/>
    <w:rsid w:val="008A45B0"/>
    <w:rsid w:val="008A6782"/>
    <w:rsid w:val="008B025A"/>
    <w:rsid w:val="008B1611"/>
    <w:rsid w:val="008B1A0A"/>
    <w:rsid w:val="008B42E6"/>
    <w:rsid w:val="008C0BBD"/>
    <w:rsid w:val="008E195E"/>
    <w:rsid w:val="008E1E83"/>
    <w:rsid w:val="008E4D61"/>
    <w:rsid w:val="008E5826"/>
    <w:rsid w:val="008F0594"/>
    <w:rsid w:val="008F14FD"/>
    <w:rsid w:val="008F7F6D"/>
    <w:rsid w:val="009006F6"/>
    <w:rsid w:val="00903D4D"/>
    <w:rsid w:val="00904588"/>
    <w:rsid w:val="009227F0"/>
    <w:rsid w:val="00931054"/>
    <w:rsid w:val="00933885"/>
    <w:rsid w:val="00936AA0"/>
    <w:rsid w:val="00942687"/>
    <w:rsid w:val="00943D72"/>
    <w:rsid w:val="00945802"/>
    <w:rsid w:val="00946AD5"/>
    <w:rsid w:val="009512F2"/>
    <w:rsid w:val="0095417E"/>
    <w:rsid w:val="00954622"/>
    <w:rsid w:val="00956C7D"/>
    <w:rsid w:val="009628F1"/>
    <w:rsid w:val="00964C8D"/>
    <w:rsid w:val="00986CE8"/>
    <w:rsid w:val="009928E7"/>
    <w:rsid w:val="0099424A"/>
    <w:rsid w:val="009A21E3"/>
    <w:rsid w:val="009A2368"/>
    <w:rsid w:val="009A44E8"/>
    <w:rsid w:val="009A7260"/>
    <w:rsid w:val="009B7D6D"/>
    <w:rsid w:val="009C038D"/>
    <w:rsid w:val="009C1572"/>
    <w:rsid w:val="009C2DBA"/>
    <w:rsid w:val="009D2259"/>
    <w:rsid w:val="009D6A7C"/>
    <w:rsid w:val="009D7AFD"/>
    <w:rsid w:val="009E1BC9"/>
    <w:rsid w:val="009F0CBA"/>
    <w:rsid w:val="009F477C"/>
    <w:rsid w:val="009F6628"/>
    <w:rsid w:val="00A0190B"/>
    <w:rsid w:val="00A02628"/>
    <w:rsid w:val="00A05CBA"/>
    <w:rsid w:val="00A072F5"/>
    <w:rsid w:val="00A110B1"/>
    <w:rsid w:val="00A20114"/>
    <w:rsid w:val="00A214E9"/>
    <w:rsid w:val="00A23115"/>
    <w:rsid w:val="00A23F6A"/>
    <w:rsid w:val="00A34262"/>
    <w:rsid w:val="00A34757"/>
    <w:rsid w:val="00A373A4"/>
    <w:rsid w:val="00A37700"/>
    <w:rsid w:val="00A4182A"/>
    <w:rsid w:val="00A514FE"/>
    <w:rsid w:val="00A52B68"/>
    <w:rsid w:val="00A5740B"/>
    <w:rsid w:val="00A7211C"/>
    <w:rsid w:val="00A72A30"/>
    <w:rsid w:val="00A8381C"/>
    <w:rsid w:val="00A859AD"/>
    <w:rsid w:val="00A86A35"/>
    <w:rsid w:val="00A87F5C"/>
    <w:rsid w:val="00A942D5"/>
    <w:rsid w:val="00A9534C"/>
    <w:rsid w:val="00AA358F"/>
    <w:rsid w:val="00AC0EE7"/>
    <w:rsid w:val="00AC4DEF"/>
    <w:rsid w:val="00AD038F"/>
    <w:rsid w:val="00AD7325"/>
    <w:rsid w:val="00AE29C1"/>
    <w:rsid w:val="00AE6CAA"/>
    <w:rsid w:val="00AF4BAB"/>
    <w:rsid w:val="00B01A4D"/>
    <w:rsid w:val="00B072DC"/>
    <w:rsid w:val="00B14271"/>
    <w:rsid w:val="00B21311"/>
    <w:rsid w:val="00B21DB9"/>
    <w:rsid w:val="00B22044"/>
    <w:rsid w:val="00B22357"/>
    <w:rsid w:val="00B22FF2"/>
    <w:rsid w:val="00B25402"/>
    <w:rsid w:val="00B315A3"/>
    <w:rsid w:val="00B34E7F"/>
    <w:rsid w:val="00B36243"/>
    <w:rsid w:val="00B46BEE"/>
    <w:rsid w:val="00B510DC"/>
    <w:rsid w:val="00B54629"/>
    <w:rsid w:val="00B63874"/>
    <w:rsid w:val="00B657F8"/>
    <w:rsid w:val="00B65CA0"/>
    <w:rsid w:val="00B6612A"/>
    <w:rsid w:val="00B7121C"/>
    <w:rsid w:val="00B72D99"/>
    <w:rsid w:val="00B72EC7"/>
    <w:rsid w:val="00B910D9"/>
    <w:rsid w:val="00B927A2"/>
    <w:rsid w:val="00B927BC"/>
    <w:rsid w:val="00BA1200"/>
    <w:rsid w:val="00BB10D2"/>
    <w:rsid w:val="00BB1202"/>
    <w:rsid w:val="00BE0C5B"/>
    <w:rsid w:val="00BF0056"/>
    <w:rsid w:val="00C02E64"/>
    <w:rsid w:val="00C03A74"/>
    <w:rsid w:val="00C04775"/>
    <w:rsid w:val="00C056D2"/>
    <w:rsid w:val="00C05EC7"/>
    <w:rsid w:val="00C114D9"/>
    <w:rsid w:val="00C11EBC"/>
    <w:rsid w:val="00C12E47"/>
    <w:rsid w:val="00C13302"/>
    <w:rsid w:val="00C13AEE"/>
    <w:rsid w:val="00C26A96"/>
    <w:rsid w:val="00C30249"/>
    <w:rsid w:val="00C32035"/>
    <w:rsid w:val="00C36B75"/>
    <w:rsid w:val="00C4616F"/>
    <w:rsid w:val="00C5617A"/>
    <w:rsid w:val="00C659AA"/>
    <w:rsid w:val="00C70706"/>
    <w:rsid w:val="00C72150"/>
    <w:rsid w:val="00C73A4E"/>
    <w:rsid w:val="00C7405C"/>
    <w:rsid w:val="00C76FE4"/>
    <w:rsid w:val="00C779AE"/>
    <w:rsid w:val="00C80D1F"/>
    <w:rsid w:val="00C82FE8"/>
    <w:rsid w:val="00C9612E"/>
    <w:rsid w:val="00CA082F"/>
    <w:rsid w:val="00CA09C8"/>
    <w:rsid w:val="00CA637A"/>
    <w:rsid w:val="00CB28CF"/>
    <w:rsid w:val="00CB7774"/>
    <w:rsid w:val="00CB7C30"/>
    <w:rsid w:val="00CC606F"/>
    <w:rsid w:val="00CC784D"/>
    <w:rsid w:val="00CD14A2"/>
    <w:rsid w:val="00CD2551"/>
    <w:rsid w:val="00CD262F"/>
    <w:rsid w:val="00CD6432"/>
    <w:rsid w:val="00CF0C5E"/>
    <w:rsid w:val="00CF6F71"/>
    <w:rsid w:val="00D01D60"/>
    <w:rsid w:val="00D0411A"/>
    <w:rsid w:val="00D05C3D"/>
    <w:rsid w:val="00D069F5"/>
    <w:rsid w:val="00D11C62"/>
    <w:rsid w:val="00D13A94"/>
    <w:rsid w:val="00D1721D"/>
    <w:rsid w:val="00D20CE7"/>
    <w:rsid w:val="00D22638"/>
    <w:rsid w:val="00D24818"/>
    <w:rsid w:val="00D26FFB"/>
    <w:rsid w:val="00D27A42"/>
    <w:rsid w:val="00D31393"/>
    <w:rsid w:val="00D3722A"/>
    <w:rsid w:val="00D4324D"/>
    <w:rsid w:val="00D448D7"/>
    <w:rsid w:val="00D450B6"/>
    <w:rsid w:val="00D50A2B"/>
    <w:rsid w:val="00D5267D"/>
    <w:rsid w:val="00D55CA2"/>
    <w:rsid w:val="00D6517E"/>
    <w:rsid w:val="00D658B6"/>
    <w:rsid w:val="00D749E0"/>
    <w:rsid w:val="00D74B43"/>
    <w:rsid w:val="00D8147A"/>
    <w:rsid w:val="00D81954"/>
    <w:rsid w:val="00D878CF"/>
    <w:rsid w:val="00D96224"/>
    <w:rsid w:val="00DA0E09"/>
    <w:rsid w:val="00DA2DB2"/>
    <w:rsid w:val="00DA4FFB"/>
    <w:rsid w:val="00DA5CAE"/>
    <w:rsid w:val="00DA71FC"/>
    <w:rsid w:val="00DA7EBF"/>
    <w:rsid w:val="00DC2576"/>
    <w:rsid w:val="00DC49B3"/>
    <w:rsid w:val="00DC5196"/>
    <w:rsid w:val="00DD022E"/>
    <w:rsid w:val="00DD2092"/>
    <w:rsid w:val="00DD4303"/>
    <w:rsid w:val="00DE7301"/>
    <w:rsid w:val="00DE7857"/>
    <w:rsid w:val="00DF2905"/>
    <w:rsid w:val="00DF43BB"/>
    <w:rsid w:val="00DF7D75"/>
    <w:rsid w:val="00E023F8"/>
    <w:rsid w:val="00E05A50"/>
    <w:rsid w:val="00E10957"/>
    <w:rsid w:val="00E157F4"/>
    <w:rsid w:val="00E205E5"/>
    <w:rsid w:val="00E311C4"/>
    <w:rsid w:val="00E32F58"/>
    <w:rsid w:val="00E34826"/>
    <w:rsid w:val="00E40C7C"/>
    <w:rsid w:val="00E446F6"/>
    <w:rsid w:val="00E4555B"/>
    <w:rsid w:val="00E50668"/>
    <w:rsid w:val="00E5568C"/>
    <w:rsid w:val="00E601DC"/>
    <w:rsid w:val="00E6335A"/>
    <w:rsid w:val="00E6532A"/>
    <w:rsid w:val="00E65797"/>
    <w:rsid w:val="00E67163"/>
    <w:rsid w:val="00E70EA7"/>
    <w:rsid w:val="00E71FB5"/>
    <w:rsid w:val="00E80ED2"/>
    <w:rsid w:val="00E949CE"/>
    <w:rsid w:val="00E9686D"/>
    <w:rsid w:val="00EA3B60"/>
    <w:rsid w:val="00EB060E"/>
    <w:rsid w:val="00EB30CD"/>
    <w:rsid w:val="00EB3191"/>
    <w:rsid w:val="00EB327F"/>
    <w:rsid w:val="00EB6155"/>
    <w:rsid w:val="00EC566B"/>
    <w:rsid w:val="00EC5F3F"/>
    <w:rsid w:val="00EC6F79"/>
    <w:rsid w:val="00ED3260"/>
    <w:rsid w:val="00ED62DC"/>
    <w:rsid w:val="00EE5462"/>
    <w:rsid w:val="00EF2315"/>
    <w:rsid w:val="00EF569C"/>
    <w:rsid w:val="00EF5FB0"/>
    <w:rsid w:val="00F0191C"/>
    <w:rsid w:val="00F12B99"/>
    <w:rsid w:val="00F143D5"/>
    <w:rsid w:val="00F175B4"/>
    <w:rsid w:val="00F231E7"/>
    <w:rsid w:val="00F30A03"/>
    <w:rsid w:val="00F4522E"/>
    <w:rsid w:val="00F45366"/>
    <w:rsid w:val="00F50B0F"/>
    <w:rsid w:val="00F53A1E"/>
    <w:rsid w:val="00F54255"/>
    <w:rsid w:val="00F54B7D"/>
    <w:rsid w:val="00F57B98"/>
    <w:rsid w:val="00F62097"/>
    <w:rsid w:val="00F62308"/>
    <w:rsid w:val="00F670AF"/>
    <w:rsid w:val="00F71BD6"/>
    <w:rsid w:val="00F73299"/>
    <w:rsid w:val="00F75830"/>
    <w:rsid w:val="00F7596B"/>
    <w:rsid w:val="00F87C85"/>
    <w:rsid w:val="00F92771"/>
    <w:rsid w:val="00F959CC"/>
    <w:rsid w:val="00F96090"/>
    <w:rsid w:val="00FA5CA7"/>
    <w:rsid w:val="00FA5EA2"/>
    <w:rsid w:val="00FA5F65"/>
    <w:rsid w:val="00FA7AF6"/>
    <w:rsid w:val="00FB52CF"/>
    <w:rsid w:val="00FD4D78"/>
    <w:rsid w:val="00FE1867"/>
    <w:rsid w:val="00FE21F7"/>
    <w:rsid w:val="00FE3F24"/>
    <w:rsid w:val="00FE60B7"/>
    <w:rsid w:val="00FF4A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4B"/>
    <w:pPr>
      <w:spacing w:after="240"/>
    </w:pPr>
    <w:rPr>
      <w:rFonts w:ascii="Arial" w:hAnsi="Arial"/>
      <w:lang w:eastAsia="en-US"/>
    </w:rPr>
  </w:style>
  <w:style w:type="paragraph" w:styleId="Heading1">
    <w:name w:val="heading 1"/>
    <w:basedOn w:val="Normal"/>
    <w:next w:val="Normal"/>
    <w:autoRedefine/>
    <w:qFormat/>
    <w:rsid w:val="005C2CAE"/>
    <w:pPr>
      <w:keepNext/>
      <w:spacing w:before="120"/>
      <w:outlineLvl w:val="0"/>
    </w:pPr>
    <w:rPr>
      <w:rFonts w:cs="Arial"/>
      <w:b/>
      <w:bCs/>
      <w:color w:val="000080"/>
      <w:kern w:val="32"/>
      <w:sz w:val="22"/>
      <w:szCs w:val="22"/>
    </w:rPr>
  </w:style>
  <w:style w:type="paragraph" w:styleId="Heading2">
    <w:name w:val="heading 2"/>
    <w:aliases w:val="Heading 2 Char"/>
    <w:basedOn w:val="Normal"/>
    <w:next w:val="Normal"/>
    <w:link w:val="Heading2Char1"/>
    <w:autoRedefine/>
    <w:qFormat/>
    <w:rsid w:val="00337EEC"/>
    <w:pPr>
      <w:keepNext/>
      <w:spacing w:before="240" w:after="60"/>
      <w:outlineLvl w:val="1"/>
    </w:pPr>
    <w:rPr>
      <w:rFonts w:cs="Arial"/>
      <w:b/>
      <w:bCs/>
      <w:iCs/>
      <w:color w:val="000080"/>
      <w:sz w:val="24"/>
      <w:szCs w:val="24"/>
    </w:rPr>
  </w:style>
  <w:style w:type="paragraph" w:styleId="Heading3">
    <w:name w:val="heading 3"/>
    <w:basedOn w:val="Normal"/>
    <w:next w:val="Normal"/>
    <w:qFormat/>
    <w:rsid w:val="00EA3B60"/>
    <w:pPr>
      <w:keepNext/>
      <w:spacing w:before="240" w:after="60"/>
      <w:outlineLvl w:val="2"/>
    </w:pPr>
    <w:rPr>
      <w:rFonts w:cs="Arial"/>
      <w:b/>
      <w:bCs/>
      <w:i/>
      <w:sz w:val="24"/>
      <w:szCs w:val="26"/>
    </w:rPr>
  </w:style>
  <w:style w:type="paragraph" w:styleId="Heading4">
    <w:name w:val="heading 4"/>
    <w:basedOn w:val="Normal"/>
    <w:next w:val="Normal"/>
    <w:qFormat/>
    <w:rsid w:val="007C51D1"/>
    <w:pPr>
      <w:keepNext/>
      <w:spacing w:before="240" w:after="60"/>
      <w:outlineLvl w:val="3"/>
    </w:pPr>
    <w:rPr>
      <w:b/>
      <w:bCs/>
      <w:sz w:val="24"/>
      <w:szCs w:val="28"/>
    </w:rPr>
  </w:style>
  <w:style w:type="paragraph" w:styleId="Heading5">
    <w:name w:val="heading 5"/>
    <w:basedOn w:val="Normal"/>
    <w:next w:val="Normal"/>
    <w:qFormat/>
    <w:rsid w:val="007C51D1"/>
    <w:pPr>
      <w:spacing w:before="240" w:after="60"/>
      <w:outlineLvl w:val="4"/>
    </w:pPr>
    <w:rPr>
      <w:b/>
      <w:bCs/>
      <w:i/>
      <w:iCs/>
      <w:sz w:val="26"/>
      <w:szCs w:val="26"/>
    </w:rPr>
  </w:style>
  <w:style w:type="paragraph" w:styleId="Heading6">
    <w:name w:val="heading 6"/>
    <w:basedOn w:val="Normal"/>
    <w:next w:val="Normal"/>
    <w:qFormat/>
    <w:rsid w:val="007C51D1"/>
    <w:pPr>
      <w:spacing w:before="240" w:after="60"/>
      <w:outlineLvl w:val="5"/>
    </w:pPr>
    <w:rPr>
      <w:b/>
      <w:bCs/>
      <w:sz w:val="22"/>
      <w:szCs w:val="22"/>
    </w:rPr>
  </w:style>
  <w:style w:type="paragraph" w:styleId="Heading7">
    <w:name w:val="heading 7"/>
    <w:basedOn w:val="Normal"/>
    <w:next w:val="Normal"/>
    <w:qFormat/>
    <w:rsid w:val="00756DBA"/>
    <w:pPr>
      <w:spacing w:before="240" w:after="60"/>
      <w:outlineLvl w:val="6"/>
    </w:pPr>
    <w:rPr>
      <w:sz w:val="24"/>
      <w:szCs w:val="24"/>
    </w:rPr>
  </w:style>
  <w:style w:type="paragraph" w:styleId="Heading8">
    <w:name w:val="heading 8"/>
    <w:basedOn w:val="Normal"/>
    <w:next w:val="Normal"/>
    <w:qFormat/>
    <w:rsid w:val="007C51D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
    <w:basedOn w:val="DefaultParagraphFont"/>
    <w:link w:val="Heading2"/>
    <w:rsid w:val="00337EEC"/>
    <w:rPr>
      <w:rFonts w:ascii="Arial" w:hAnsi="Arial" w:cs="Arial"/>
      <w:b/>
      <w:bCs/>
      <w:iCs/>
      <w:color w:val="000080"/>
      <w:sz w:val="24"/>
      <w:szCs w:val="24"/>
      <w:lang w:val="en-GB" w:eastAsia="en-US" w:bidi="ar-SA"/>
    </w:rPr>
  </w:style>
  <w:style w:type="paragraph" w:styleId="Title">
    <w:name w:val="Title"/>
    <w:basedOn w:val="Normal"/>
    <w:link w:val="TitleChar"/>
    <w:qFormat/>
    <w:rsid w:val="00E5568C"/>
    <w:pPr>
      <w:spacing w:before="80" w:after="80"/>
      <w:ind w:right="-765"/>
    </w:pPr>
    <w:rPr>
      <w:b/>
      <w:sz w:val="32"/>
      <w:szCs w:val="32"/>
    </w:rPr>
  </w:style>
  <w:style w:type="character" w:customStyle="1" w:styleId="TitleChar">
    <w:name w:val="Title Char"/>
    <w:basedOn w:val="DefaultParagraphFont"/>
    <w:link w:val="Title"/>
    <w:rsid w:val="00B6612A"/>
    <w:rPr>
      <w:rFonts w:ascii="Arial" w:hAnsi="Arial"/>
      <w:b/>
      <w:sz w:val="32"/>
      <w:szCs w:val="32"/>
      <w:lang w:val="en-GB" w:eastAsia="en-US" w:bidi="ar-SA"/>
    </w:rPr>
  </w:style>
  <w:style w:type="character" w:styleId="CommentReference">
    <w:name w:val="annotation reference"/>
    <w:basedOn w:val="DefaultParagraphFont"/>
    <w:semiHidden/>
    <w:rsid w:val="0024719C"/>
    <w:rPr>
      <w:sz w:val="16"/>
      <w:szCs w:val="16"/>
    </w:rPr>
  </w:style>
  <w:style w:type="paragraph" w:styleId="CommentText">
    <w:name w:val="annotation text"/>
    <w:basedOn w:val="Normal"/>
    <w:semiHidden/>
    <w:rsid w:val="0024719C"/>
  </w:style>
  <w:style w:type="paragraph" w:styleId="CommentSubject">
    <w:name w:val="annotation subject"/>
    <w:basedOn w:val="CommentText"/>
    <w:next w:val="CommentText"/>
    <w:semiHidden/>
    <w:rsid w:val="0024719C"/>
    <w:rPr>
      <w:b/>
      <w:bCs/>
    </w:rPr>
  </w:style>
  <w:style w:type="paragraph" w:styleId="BalloonText">
    <w:name w:val="Balloon Text"/>
    <w:basedOn w:val="Normal"/>
    <w:semiHidden/>
    <w:rsid w:val="0024719C"/>
    <w:rPr>
      <w:rFonts w:ascii="Tahoma" w:hAnsi="Tahoma" w:cs="Tahoma"/>
      <w:sz w:val="16"/>
      <w:szCs w:val="16"/>
    </w:rPr>
  </w:style>
  <w:style w:type="paragraph" w:customStyle="1" w:styleId="BulletsChar">
    <w:name w:val="Bullets Char"/>
    <w:basedOn w:val="Normal"/>
    <w:link w:val="BulletsCharChar"/>
    <w:rsid w:val="00B36243"/>
    <w:pPr>
      <w:numPr>
        <w:numId w:val="2"/>
      </w:numPr>
      <w:spacing w:before="40" w:after="40" w:line="320" w:lineRule="exact"/>
      <w:ind w:left="1440" w:hanging="720"/>
    </w:pPr>
    <w:rPr>
      <w:color w:val="000000"/>
      <w:sz w:val="22"/>
    </w:rPr>
  </w:style>
  <w:style w:type="character" w:customStyle="1" w:styleId="BulletsCharChar">
    <w:name w:val="Bullets Char Char"/>
    <w:basedOn w:val="DefaultParagraphFont"/>
    <w:link w:val="BulletsChar"/>
    <w:rsid w:val="00B36243"/>
    <w:rPr>
      <w:rFonts w:ascii="Arial" w:hAnsi="Arial"/>
      <w:color w:val="000000"/>
      <w:sz w:val="22"/>
      <w:lang w:val="en-GB" w:eastAsia="en-US" w:bidi="ar-SA"/>
    </w:rPr>
  </w:style>
  <w:style w:type="paragraph" w:styleId="Header">
    <w:name w:val="header"/>
    <w:basedOn w:val="Normal"/>
    <w:link w:val="HeaderChar"/>
    <w:rsid w:val="003C4097"/>
    <w:pPr>
      <w:tabs>
        <w:tab w:val="center" w:pos="4153"/>
        <w:tab w:val="right" w:pos="8306"/>
      </w:tabs>
      <w:jc w:val="center"/>
    </w:pPr>
  </w:style>
  <w:style w:type="character" w:customStyle="1" w:styleId="HeaderChar">
    <w:name w:val="Header Char"/>
    <w:basedOn w:val="DefaultParagraphFont"/>
    <w:link w:val="Header"/>
    <w:rsid w:val="009A44E8"/>
    <w:rPr>
      <w:rFonts w:ascii="Arial" w:hAnsi="Arial"/>
      <w:lang w:val="en-GB" w:eastAsia="en-US" w:bidi="ar-SA"/>
    </w:rPr>
  </w:style>
  <w:style w:type="paragraph" w:customStyle="1" w:styleId="body">
    <w:name w:val="body"/>
    <w:basedOn w:val="Normal"/>
    <w:link w:val="bodyChar1"/>
    <w:rsid w:val="00A37700"/>
    <w:pPr>
      <w:spacing w:before="40" w:after="120" w:line="320" w:lineRule="exact"/>
    </w:pPr>
    <w:rPr>
      <w:color w:val="000000"/>
      <w:sz w:val="22"/>
    </w:rPr>
  </w:style>
  <w:style w:type="character" w:customStyle="1" w:styleId="bodyChar1">
    <w:name w:val="body Char1"/>
    <w:basedOn w:val="DefaultParagraphFont"/>
    <w:link w:val="body"/>
    <w:rsid w:val="00E32F58"/>
    <w:rPr>
      <w:rFonts w:ascii="Arial" w:hAnsi="Arial"/>
      <w:color w:val="000000"/>
      <w:sz w:val="22"/>
      <w:lang w:val="en-GB" w:eastAsia="en-US" w:bidi="ar-SA"/>
    </w:rPr>
  </w:style>
  <w:style w:type="paragraph" w:customStyle="1" w:styleId="boby-quet">
    <w:name w:val="boby-quet"/>
    <w:basedOn w:val="body"/>
    <w:link w:val="boby-quetChar"/>
    <w:rsid w:val="004070BD"/>
    <w:pPr>
      <w:ind w:left="720"/>
    </w:pPr>
    <w:rPr>
      <w:i/>
      <w:lang w:val="en-US"/>
    </w:rPr>
  </w:style>
  <w:style w:type="character" w:customStyle="1" w:styleId="boby-quetChar">
    <w:name w:val="boby-quet Char"/>
    <w:basedOn w:val="bodyChar1"/>
    <w:link w:val="boby-quet"/>
    <w:rsid w:val="004E2BFA"/>
    <w:rPr>
      <w:rFonts w:ascii="Arial" w:hAnsi="Arial"/>
      <w:i/>
      <w:color w:val="000000"/>
      <w:sz w:val="22"/>
      <w:lang w:val="en-US" w:eastAsia="en-US" w:bidi="ar-SA"/>
    </w:rPr>
  </w:style>
  <w:style w:type="paragraph" w:customStyle="1" w:styleId="bullets-number">
    <w:name w:val="bullets-number"/>
    <w:basedOn w:val="Normal"/>
    <w:rsid w:val="003140DB"/>
    <w:pPr>
      <w:numPr>
        <w:ilvl w:val="1"/>
        <w:numId w:val="2"/>
      </w:numPr>
      <w:tabs>
        <w:tab w:val="clear" w:pos="1440"/>
        <w:tab w:val="num" w:pos="720"/>
      </w:tabs>
      <w:spacing w:before="40" w:after="40" w:line="320" w:lineRule="exact"/>
      <w:ind w:left="1077" w:hanging="357"/>
    </w:pPr>
    <w:rPr>
      <w:sz w:val="22"/>
    </w:rPr>
  </w:style>
  <w:style w:type="paragraph" w:styleId="FootnoteText">
    <w:name w:val="footnote text"/>
    <w:basedOn w:val="Normal"/>
    <w:semiHidden/>
    <w:rsid w:val="00647896"/>
    <w:rPr>
      <w:lang w:val="en-US" w:eastAsia="en-GB"/>
    </w:rPr>
  </w:style>
  <w:style w:type="character" w:styleId="FootnoteReference">
    <w:name w:val="footnote reference"/>
    <w:basedOn w:val="DefaultParagraphFont"/>
    <w:semiHidden/>
    <w:rsid w:val="00647896"/>
    <w:rPr>
      <w:vertAlign w:val="superscript"/>
    </w:rPr>
  </w:style>
  <w:style w:type="paragraph" w:styleId="Caption">
    <w:name w:val="caption"/>
    <w:basedOn w:val="Normal"/>
    <w:next w:val="Normal"/>
    <w:uiPriority w:val="35"/>
    <w:qFormat/>
    <w:rsid w:val="00B927A2"/>
    <w:pPr>
      <w:spacing w:line="360" w:lineRule="auto"/>
    </w:pPr>
    <w:rPr>
      <w:b/>
      <w:bCs/>
      <w:sz w:val="22"/>
      <w:szCs w:val="24"/>
    </w:rPr>
  </w:style>
  <w:style w:type="paragraph" w:styleId="EndnoteText">
    <w:name w:val="endnote text"/>
    <w:basedOn w:val="Normal"/>
    <w:semiHidden/>
    <w:rsid w:val="008675BD"/>
    <w:rPr>
      <w:rFonts w:ascii="Palatino Linotype" w:hAnsi="Palatino Linotype"/>
      <w:lang w:eastAsia="en-GB"/>
    </w:rPr>
  </w:style>
  <w:style w:type="paragraph" w:styleId="Footer">
    <w:name w:val="footer"/>
    <w:basedOn w:val="Normal"/>
    <w:rsid w:val="008758FE"/>
    <w:pPr>
      <w:tabs>
        <w:tab w:val="center" w:pos="4153"/>
        <w:tab w:val="right" w:pos="8306"/>
      </w:tabs>
    </w:pPr>
  </w:style>
  <w:style w:type="paragraph" w:customStyle="1" w:styleId="a">
    <w:basedOn w:val="Normal"/>
    <w:rsid w:val="002509AB"/>
    <w:pPr>
      <w:spacing w:before="120" w:after="120" w:line="240" w:lineRule="exact"/>
    </w:pPr>
    <w:rPr>
      <w:sz w:val="24"/>
      <w:szCs w:val="24"/>
    </w:rPr>
  </w:style>
  <w:style w:type="table" w:styleId="TableGrid">
    <w:name w:val="Table Grid"/>
    <w:basedOn w:val="TableNormal"/>
    <w:rsid w:val="006A6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74B"/>
    <w:pPr>
      <w:ind w:left="720"/>
      <w:contextualSpacing/>
    </w:pPr>
    <w:rPr>
      <w:rFonts w:ascii="Times New Roman" w:hAnsi="Times New Roman"/>
      <w:sz w:val="24"/>
      <w:szCs w:val="24"/>
    </w:rPr>
  </w:style>
  <w:style w:type="paragraph" w:styleId="NormalWeb">
    <w:name w:val="Normal (Web)"/>
    <w:basedOn w:val="Normal"/>
    <w:uiPriority w:val="99"/>
    <w:unhideWhenUsed/>
    <w:rsid w:val="006A674B"/>
    <w:pPr>
      <w:spacing w:before="100" w:beforeAutospacing="1" w:after="100" w:afterAutospacing="1"/>
    </w:pPr>
    <w:rPr>
      <w:rFonts w:ascii="Times New Roman" w:eastAsiaTheme="minorEastAsia" w:hAnsi="Times New Roman"/>
      <w:sz w:val="24"/>
      <w:szCs w:val="24"/>
      <w:lang w:eastAsia="en-GB"/>
    </w:rPr>
  </w:style>
  <w:style w:type="character" w:styleId="Hyperlink">
    <w:name w:val="Hyperlink"/>
    <w:basedOn w:val="DefaultParagraphFont"/>
    <w:uiPriority w:val="99"/>
    <w:semiHidden/>
    <w:unhideWhenUsed/>
    <w:rsid w:val="006A674B"/>
    <w:rPr>
      <w:color w:val="0000FF"/>
      <w:u w:val="single"/>
    </w:rPr>
  </w:style>
  <w:style w:type="paragraph" w:customStyle="1" w:styleId="Body0">
    <w:name w:val="Body"/>
    <w:basedOn w:val="body"/>
    <w:link w:val="BodyChar"/>
    <w:qFormat/>
    <w:rsid w:val="00A34262"/>
    <w:rPr>
      <w:rFonts w:cs="Arial"/>
    </w:rPr>
  </w:style>
  <w:style w:type="character" w:customStyle="1" w:styleId="BodyChar">
    <w:name w:val="Body Char"/>
    <w:basedOn w:val="bodyChar1"/>
    <w:link w:val="Body0"/>
    <w:rsid w:val="00A34262"/>
    <w:rPr>
      <w:rFonts w:ascii="Arial" w:hAnsi="Arial" w:cs="Arial"/>
      <w:color w:val="000000"/>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929422">
      <w:bodyDiv w:val="1"/>
      <w:marLeft w:val="0"/>
      <w:marRight w:val="0"/>
      <w:marTop w:val="0"/>
      <w:marBottom w:val="0"/>
      <w:divBdr>
        <w:top w:val="none" w:sz="0" w:space="0" w:color="auto"/>
        <w:left w:val="none" w:sz="0" w:space="0" w:color="auto"/>
        <w:bottom w:val="none" w:sz="0" w:space="0" w:color="auto"/>
        <w:right w:val="none" w:sz="0" w:space="0" w:color="auto"/>
      </w:divBdr>
    </w:div>
    <w:div w:id="756482787">
      <w:bodyDiv w:val="1"/>
      <w:marLeft w:val="0"/>
      <w:marRight w:val="0"/>
      <w:marTop w:val="0"/>
      <w:marBottom w:val="0"/>
      <w:divBdr>
        <w:top w:val="none" w:sz="0" w:space="0" w:color="auto"/>
        <w:left w:val="none" w:sz="0" w:space="0" w:color="auto"/>
        <w:bottom w:val="none" w:sz="0" w:space="0" w:color="auto"/>
        <w:right w:val="none" w:sz="0" w:space="0" w:color="auto"/>
      </w:divBdr>
    </w:div>
    <w:div w:id="1066225293">
      <w:bodyDiv w:val="1"/>
      <w:marLeft w:val="0"/>
      <w:marRight w:val="0"/>
      <w:marTop w:val="0"/>
      <w:marBottom w:val="0"/>
      <w:divBdr>
        <w:top w:val="none" w:sz="0" w:space="0" w:color="auto"/>
        <w:left w:val="none" w:sz="0" w:space="0" w:color="auto"/>
        <w:bottom w:val="none" w:sz="0" w:space="0" w:color="auto"/>
        <w:right w:val="none" w:sz="0" w:space="0" w:color="auto"/>
      </w:divBdr>
    </w:div>
    <w:div w:id="2078359472">
      <w:bodyDiv w:val="1"/>
      <w:marLeft w:val="0"/>
      <w:marRight w:val="0"/>
      <w:marTop w:val="0"/>
      <w:marBottom w:val="0"/>
      <w:divBdr>
        <w:top w:val="none" w:sz="0" w:space="0" w:color="auto"/>
        <w:left w:val="none" w:sz="0" w:space="0" w:color="auto"/>
        <w:bottom w:val="none" w:sz="0" w:space="0" w:color="auto"/>
        <w:right w:val="none" w:sz="0" w:space="0" w:color="auto"/>
      </w:divBdr>
    </w:div>
    <w:div w:id="21351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otland.gov.uk/Public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ft.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t.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x.doi.org/10.1111/1468-2427.00276"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rpyw\LOCALS~1\Temp\REPOR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EBB4-0932-4372-ADB4-A6668E71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REPORT~1.DOT</Template>
  <TotalTime>5</TotalTime>
  <Pages>14</Pages>
  <Words>4396</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vt:lpstr>
    </vt:vector>
  </TitlesOfParts>
  <Company>CISP</Company>
  <LinksUpToDate>false</LinksUpToDate>
  <CharactersWithSpaces>30755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sarpyw</dc:creator>
  <cp:keywords/>
  <cp:lastModifiedBy>Julie Triggle</cp:lastModifiedBy>
  <cp:revision>2</cp:revision>
  <cp:lastPrinted>2011-04-28T10:03:00Z</cp:lastPrinted>
  <dcterms:created xsi:type="dcterms:W3CDTF">2011-04-28T10:19:00Z</dcterms:created>
  <dcterms:modified xsi:type="dcterms:W3CDTF">2011-04-28T10:19:00Z</dcterms:modified>
</cp:coreProperties>
</file>