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6320" w:rsidRDefault="006C2CAC" w:rsidP="00AE45CB">
      <w:pPr>
        <w:jc w:val="right"/>
      </w:pPr>
      <w:r>
        <w:rPr>
          <w:noProof/>
          <w:color w:val="1F497D"/>
        </w:rPr>
        <w:drawing>
          <wp:inline distT="0" distB="0" distL="0" distR="0">
            <wp:extent cx="1495425" cy="809625"/>
            <wp:effectExtent l="19050" t="0" r="9525" b="0"/>
            <wp:docPr id="1" name="Picture 1" descr="cid:image001.jpg@01CBBBC5.D3682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BBBC5.D36823C0"/>
                    <pic:cNvPicPr>
                      <a:picLocks noChangeAspect="1" noChangeArrowheads="1"/>
                    </pic:cNvPicPr>
                  </pic:nvPicPr>
                  <pic:blipFill>
                    <a:blip r:embed="rId8" r:link="rId9" cstate="print"/>
                    <a:srcRect/>
                    <a:stretch>
                      <a:fillRect/>
                    </a:stretch>
                  </pic:blipFill>
                  <pic:spPr bwMode="auto">
                    <a:xfrm>
                      <a:off x="0" y="0"/>
                      <a:ext cx="1495425" cy="809625"/>
                    </a:xfrm>
                    <a:prstGeom prst="rect">
                      <a:avLst/>
                    </a:prstGeom>
                    <a:noFill/>
                    <a:ln w="9525">
                      <a:noFill/>
                      <a:miter lim="800000"/>
                      <a:headEnd/>
                      <a:tailEnd/>
                    </a:ln>
                  </pic:spPr>
                </pic:pic>
              </a:graphicData>
            </a:graphic>
          </wp:inline>
        </w:drawing>
      </w:r>
      <w:r>
        <w:tab/>
      </w:r>
      <w:r>
        <w:tab/>
      </w:r>
      <w:r>
        <w:tab/>
      </w:r>
      <w:r w:rsidR="00766548" w:rsidRPr="00766548">
        <w:rPr>
          <w:noProof/>
        </w:rPr>
        <w:drawing>
          <wp:inline distT="0" distB="0" distL="0" distR="0">
            <wp:extent cx="886326" cy="809625"/>
            <wp:effectExtent l="19050" t="0" r="9024" b="0"/>
            <wp:docPr id="11" name="Picture 6" descr="SWPHOlog_301_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PHOlog_301_HRes.jpg"/>
                    <pic:cNvPicPr/>
                  </pic:nvPicPr>
                  <pic:blipFill>
                    <a:blip r:embed="rId10" cstate="print"/>
                    <a:stretch>
                      <a:fillRect/>
                    </a:stretch>
                  </pic:blipFill>
                  <pic:spPr>
                    <a:xfrm>
                      <a:off x="0" y="0"/>
                      <a:ext cx="886326" cy="809625"/>
                    </a:xfrm>
                    <a:prstGeom prst="rect">
                      <a:avLst/>
                    </a:prstGeom>
                  </pic:spPr>
                </pic:pic>
              </a:graphicData>
            </a:graphic>
          </wp:inline>
        </w:drawing>
      </w:r>
      <w:r>
        <w:tab/>
      </w:r>
    </w:p>
    <w:p w:rsidR="007C6320" w:rsidRDefault="007C6320" w:rsidP="00AE45CB">
      <w:pPr>
        <w:jc w:val="right"/>
      </w:pPr>
    </w:p>
    <w:p w:rsidR="006C2CAC" w:rsidRDefault="006C2CAC"/>
    <w:p w:rsidR="006C2CAC" w:rsidRDefault="006C2CAC"/>
    <w:p w:rsidR="006C2CAC" w:rsidRDefault="006C2CAC"/>
    <w:p w:rsidR="006C2CAC" w:rsidRPr="00002AC0" w:rsidRDefault="00883E4D" w:rsidP="006C2CAC">
      <w:pPr>
        <w:jc w:val="center"/>
        <w:rPr>
          <w:rFonts w:asciiTheme="minorHAnsi" w:hAnsiTheme="minorHAnsi"/>
          <w:b/>
          <w:sz w:val="36"/>
          <w:szCs w:val="36"/>
        </w:rPr>
      </w:pPr>
      <w:r w:rsidRPr="00883E4D">
        <w:rPr>
          <w:rFonts w:asciiTheme="minorHAnsi" w:hAnsiTheme="minorHAnsi"/>
          <w:b/>
          <w:sz w:val="36"/>
          <w:szCs w:val="36"/>
        </w:rPr>
        <w:t>Response to the Government’s</w:t>
      </w:r>
    </w:p>
    <w:p w:rsidR="006C2CAC" w:rsidRPr="00002AC0" w:rsidRDefault="006C2CAC" w:rsidP="006C2CAC">
      <w:pPr>
        <w:jc w:val="center"/>
        <w:rPr>
          <w:rFonts w:asciiTheme="minorHAnsi" w:hAnsiTheme="minorHAnsi"/>
          <w:b/>
          <w:sz w:val="36"/>
          <w:szCs w:val="36"/>
        </w:rPr>
      </w:pPr>
    </w:p>
    <w:p w:rsidR="006C2CAC" w:rsidRPr="00002AC0" w:rsidRDefault="00883E4D" w:rsidP="006C2CAC">
      <w:pPr>
        <w:jc w:val="center"/>
        <w:rPr>
          <w:rFonts w:asciiTheme="minorHAnsi" w:hAnsiTheme="minorHAnsi"/>
          <w:b/>
          <w:sz w:val="48"/>
          <w:szCs w:val="48"/>
        </w:rPr>
      </w:pPr>
      <w:r w:rsidRPr="00883E4D">
        <w:rPr>
          <w:rFonts w:asciiTheme="minorHAnsi" w:hAnsiTheme="minorHAnsi"/>
          <w:b/>
          <w:sz w:val="48"/>
          <w:szCs w:val="48"/>
        </w:rPr>
        <w:t>Healthy Lives, Healthy People:</w:t>
      </w:r>
    </w:p>
    <w:p w:rsidR="006C2CAC" w:rsidRPr="00002AC0" w:rsidRDefault="00883E4D" w:rsidP="006C2CAC">
      <w:pPr>
        <w:jc w:val="center"/>
        <w:rPr>
          <w:rFonts w:asciiTheme="minorHAnsi" w:hAnsiTheme="minorHAnsi"/>
          <w:b/>
          <w:sz w:val="48"/>
          <w:szCs w:val="48"/>
        </w:rPr>
      </w:pPr>
      <w:r w:rsidRPr="00883E4D">
        <w:rPr>
          <w:rFonts w:asciiTheme="minorHAnsi" w:hAnsiTheme="minorHAnsi"/>
          <w:b/>
          <w:sz w:val="48"/>
          <w:szCs w:val="48"/>
        </w:rPr>
        <w:t>Our Strategy for Public Health in England</w:t>
      </w:r>
    </w:p>
    <w:p w:rsidR="006C2CAC" w:rsidRPr="00002AC0" w:rsidRDefault="006C2CAC" w:rsidP="006C2CAC">
      <w:pPr>
        <w:jc w:val="center"/>
        <w:rPr>
          <w:rFonts w:asciiTheme="minorHAnsi" w:hAnsiTheme="minorHAnsi"/>
          <w:b/>
          <w:sz w:val="36"/>
          <w:szCs w:val="36"/>
        </w:rPr>
      </w:pPr>
    </w:p>
    <w:p w:rsidR="006C2CAC" w:rsidRPr="00002AC0" w:rsidRDefault="00883E4D" w:rsidP="006C2CAC">
      <w:pPr>
        <w:jc w:val="center"/>
        <w:rPr>
          <w:rFonts w:asciiTheme="minorHAnsi" w:hAnsiTheme="minorHAnsi"/>
          <w:b/>
          <w:sz w:val="36"/>
          <w:szCs w:val="36"/>
        </w:rPr>
      </w:pPr>
      <w:r w:rsidRPr="00883E4D">
        <w:rPr>
          <w:rFonts w:asciiTheme="minorHAnsi" w:hAnsiTheme="minorHAnsi"/>
          <w:b/>
          <w:sz w:val="36"/>
          <w:szCs w:val="36"/>
        </w:rPr>
        <w:t>White Paper</w:t>
      </w:r>
    </w:p>
    <w:p w:rsidR="006C2CAC" w:rsidRDefault="006C2CAC"/>
    <w:p w:rsidR="006C2CAC" w:rsidRDefault="006C2CAC"/>
    <w:p w:rsidR="006C2CAC" w:rsidRDefault="006C2CAC"/>
    <w:p w:rsidR="006C2CAC" w:rsidRDefault="006C2CAC"/>
    <w:p w:rsidR="006C2CAC" w:rsidRDefault="006C2CAC"/>
    <w:p w:rsidR="006C2CAC" w:rsidRDefault="006C2CAC"/>
    <w:p w:rsidR="006C2CAC" w:rsidRDefault="006C2CAC"/>
    <w:p w:rsidR="006C2CAC" w:rsidRDefault="006C2CAC"/>
    <w:p w:rsidR="006C2CAC" w:rsidRDefault="006C2CAC"/>
    <w:p w:rsidR="006C2CAC" w:rsidRDefault="006C2CAC"/>
    <w:p w:rsidR="006C2CAC" w:rsidRDefault="006C2CAC"/>
    <w:p w:rsidR="006C2CAC" w:rsidRDefault="006C2CAC"/>
    <w:p w:rsidR="000010E3" w:rsidRDefault="000010E3">
      <w:pPr>
        <w:rPr>
          <w:b/>
        </w:rPr>
      </w:pPr>
    </w:p>
    <w:p w:rsidR="000010E3" w:rsidRDefault="000010E3">
      <w:pPr>
        <w:rPr>
          <w:b/>
        </w:rPr>
      </w:pPr>
    </w:p>
    <w:p w:rsidR="000010E3" w:rsidRDefault="000010E3">
      <w:pPr>
        <w:rPr>
          <w:b/>
        </w:rPr>
      </w:pPr>
    </w:p>
    <w:p w:rsidR="000010E3" w:rsidRDefault="000010E3">
      <w:pPr>
        <w:rPr>
          <w:b/>
        </w:rPr>
      </w:pPr>
    </w:p>
    <w:p w:rsidR="006C2CAC" w:rsidRPr="00002AC0" w:rsidRDefault="00883E4D">
      <w:pPr>
        <w:rPr>
          <w:rFonts w:asciiTheme="minorHAnsi" w:hAnsiTheme="minorHAnsi"/>
        </w:rPr>
      </w:pPr>
      <w:r w:rsidRPr="00883E4D">
        <w:rPr>
          <w:rFonts w:asciiTheme="minorHAnsi" w:hAnsiTheme="minorHAnsi"/>
          <w:b/>
        </w:rPr>
        <w:t>Editors:</w:t>
      </w:r>
      <w:r w:rsidRPr="00883E4D">
        <w:rPr>
          <w:rFonts w:asciiTheme="minorHAnsi" w:hAnsiTheme="minorHAnsi"/>
        </w:rPr>
        <w:t xml:space="preserve">  Lynne Eagle, Yvette Morey, Peter Case, Julia Verne and Nicola Bowtell</w:t>
      </w:r>
    </w:p>
    <w:p w:rsidR="006C2CAC" w:rsidRPr="00002AC0" w:rsidRDefault="006C2CAC">
      <w:pPr>
        <w:rPr>
          <w:rFonts w:asciiTheme="minorHAnsi" w:hAnsiTheme="minorHAnsi"/>
        </w:rPr>
      </w:pPr>
    </w:p>
    <w:p w:rsidR="006C2CAC" w:rsidRPr="00002AC0" w:rsidRDefault="006C2CAC">
      <w:pPr>
        <w:rPr>
          <w:rFonts w:asciiTheme="minorHAnsi" w:hAnsiTheme="minorHAnsi"/>
        </w:rPr>
      </w:pPr>
    </w:p>
    <w:p w:rsidR="006C2CAC" w:rsidRPr="00002AC0" w:rsidRDefault="006C2CAC">
      <w:pPr>
        <w:rPr>
          <w:rFonts w:asciiTheme="minorHAnsi" w:hAnsiTheme="minorHAnsi"/>
        </w:rPr>
      </w:pPr>
    </w:p>
    <w:p w:rsidR="006C2CAC" w:rsidRDefault="00883E4D">
      <w:r w:rsidRPr="00883E4D">
        <w:rPr>
          <w:rFonts w:asciiTheme="minorHAnsi" w:hAnsiTheme="minorHAnsi"/>
        </w:rPr>
        <w:t>Date</w:t>
      </w:r>
      <w:r w:rsidRPr="00883E4D">
        <w:rPr>
          <w:rFonts w:asciiTheme="minorHAnsi" w:hAnsiTheme="minorHAnsi"/>
        </w:rPr>
        <w:tab/>
        <w:t>28 March 2011</w:t>
      </w:r>
      <w:r w:rsidRPr="00883E4D">
        <w:rPr>
          <w:rFonts w:asciiTheme="minorHAnsi" w:hAnsiTheme="minorHAnsi"/>
        </w:rPr>
        <w:tab/>
      </w:r>
      <w:r w:rsidR="006C2CAC">
        <w:tab/>
      </w:r>
    </w:p>
    <w:p w:rsidR="005F1B78" w:rsidRDefault="005F1B78">
      <w:pPr>
        <w:rPr>
          <w:b/>
        </w:rPr>
      </w:pPr>
      <w:r>
        <w:rPr>
          <w:b/>
        </w:rPr>
        <w:br w:type="page"/>
      </w:r>
    </w:p>
    <w:p w:rsidR="001D1B01" w:rsidRPr="00002AC0" w:rsidRDefault="00883E4D">
      <w:pPr>
        <w:rPr>
          <w:rFonts w:asciiTheme="minorHAnsi" w:hAnsiTheme="minorHAnsi"/>
          <w:b/>
        </w:rPr>
      </w:pPr>
      <w:r w:rsidRPr="00883E4D">
        <w:rPr>
          <w:rFonts w:asciiTheme="minorHAnsi" w:hAnsiTheme="minorHAnsi"/>
          <w:b/>
        </w:rPr>
        <w:lastRenderedPageBreak/>
        <w:t>TABLE OF CONTENTS</w:t>
      </w:r>
    </w:p>
    <w:p w:rsidR="005D6836" w:rsidRDefault="00002B71">
      <w:pPr>
        <w:pStyle w:val="TOC1"/>
        <w:tabs>
          <w:tab w:val="right" w:leader="dot" w:pos="8296"/>
        </w:tabs>
        <w:rPr>
          <w:rFonts w:asciiTheme="minorHAnsi" w:eastAsiaTheme="minorEastAsia" w:hAnsiTheme="minorHAnsi" w:cstheme="minorBidi"/>
          <w:noProof/>
          <w:sz w:val="22"/>
          <w:szCs w:val="22"/>
        </w:rPr>
      </w:pPr>
      <w:r w:rsidRPr="00883E4D">
        <w:rPr>
          <w:rFonts w:asciiTheme="minorHAnsi" w:hAnsiTheme="minorHAnsi"/>
        </w:rPr>
        <w:fldChar w:fldCharType="begin"/>
      </w:r>
      <w:r w:rsidR="00883E4D" w:rsidRPr="00883E4D">
        <w:rPr>
          <w:rFonts w:asciiTheme="minorHAnsi" w:hAnsiTheme="minorHAnsi"/>
        </w:rPr>
        <w:instrText xml:space="preserve"> TOC \o "1-3" \h \z \u </w:instrText>
      </w:r>
      <w:r w:rsidRPr="00883E4D">
        <w:rPr>
          <w:rFonts w:asciiTheme="minorHAnsi" w:hAnsiTheme="minorHAnsi"/>
        </w:rPr>
        <w:fldChar w:fldCharType="separate"/>
      </w:r>
      <w:hyperlink w:anchor="_Toc289256725" w:history="1">
        <w:r w:rsidR="005D6836" w:rsidRPr="005E6D50">
          <w:rPr>
            <w:rStyle w:val="Hyperlink"/>
            <w:noProof/>
          </w:rPr>
          <w:t>Executive Summary</w:t>
        </w:r>
        <w:r w:rsidR="005D6836">
          <w:rPr>
            <w:noProof/>
            <w:webHidden/>
          </w:rPr>
          <w:tab/>
        </w:r>
        <w:r>
          <w:rPr>
            <w:noProof/>
            <w:webHidden/>
          </w:rPr>
          <w:fldChar w:fldCharType="begin"/>
        </w:r>
        <w:r w:rsidR="005D6836">
          <w:rPr>
            <w:noProof/>
            <w:webHidden/>
          </w:rPr>
          <w:instrText xml:space="preserve"> PAGEREF _Toc289256725 \h </w:instrText>
        </w:r>
        <w:r>
          <w:rPr>
            <w:noProof/>
            <w:webHidden/>
          </w:rPr>
        </w:r>
        <w:r>
          <w:rPr>
            <w:noProof/>
            <w:webHidden/>
          </w:rPr>
          <w:fldChar w:fldCharType="separate"/>
        </w:r>
        <w:r w:rsidR="00CE6342">
          <w:rPr>
            <w:noProof/>
            <w:webHidden/>
          </w:rPr>
          <w:t>4</w:t>
        </w:r>
        <w:r>
          <w:rPr>
            <w:noProof/>
            <w:webHidden/>
          </w:rPr>
          <w:fldChar w:fldCharType="end"/>
        </w:r>
      </w:hyperlink>
    </w:p>
    <w:p w:rsidR="005D6836" w:rsidRDefault="00002B71">
      <w:pPr>
        <w:pStyle w:val="TOC1"/>
        <w:tabs>
          <w:tab w:val="right" w:leader="dot" w:pos="8296"/>
        </w:tabs>
        <w:rPr>
          <w:rFonts w:asciiTheme="minorHAnsi" w:eastAsiaTheme="minorEastAsia" w:hAnsiTheme="minorHAnsi" w:cstheme="minorBidi"/>
          <w:noProof/>
          <w:sz w:val="22"/>
          <w:szCs w:val="22"/>
        </w:rPr>
      </w:pPr>
      <w:hyperlink w:anchor="_Toc289256726" w:history="1">
        <w:r w:rsidR="005D6836" w:rsidRPr="005E6D50">
          <w:rPr>
            <w:rStyle w:val="Hyperlink"/>
            <w:noProof/>
          </w:rPr>
          <w:t>1.0 Introduction</w:t>
        </w:r>
        <w:r w:rsidR="005D6836">
          <w:rPr>
            <w:noProof/>
            <w:webHidden/>
          </w:rPr>
          <w:tab/>
        </w:r>
        <w:r>
          <w:rPr>
            <w:noProof/>
            <w:webHidden/>
          </w:rPr>
          <w:fldChar w:fldCharType="begin"/>
        </w:r>
        <w:r w:rsidR="005D6836">
          <w:rPr>
            <w:noProof/>
            <w:webHidden/>
          </w:rPr>
          <w:instrText xml:space="preserve"> PAGEREF _Toc289256726 \h </w:instrText>
        </w:r>
        <w:r>
          <w:rPr>
            <w:noProof/>
            <w:webHidden/>
          </w:rPr>
        </w:r>
        <w:r>
          <w:rPr>
            <w:noProof/>
            <w:webHidden/>
          </w:rPr>
          <w:fldChar w:fldCharType="separate"/>
        </w:r>
        <w:r w:rsidR="00CE6342">
          <w:rPr>
            <w:noProof/>
            <w:webHidden/>
          </w:rPr>
          <w:t>5</w:t>
        </w:r>
        <w:r>
          <w:rPr>
            <w:noProof/>
            <w:webHidden/>
          </w:rPr>
          <w:fldChar w:fldCharType="end"/>
        </w:r>
      </w:hyperlink>
    </w:p>
    <w:p w:rsidR="005D6836" w:rsidRDefault="00002B71">
      <w:pPr>
        <w:pStyle w:val="TOC1"/>
        <w:tabs>
          <w:tab w:val="right" w:leader="dot" w:pos="8296"/>
        </w:tabs>
        <w:rPr>
          <w:rFonts w:asciiTheme="minorHAnsi" w:eastAsiaTheme="minorEastAsia" w:hAnsiTheme="minorHAnsi" w:cstheme="minorBidi"/>
          <w:noProof/>
          <w:sz w:val="22"/>
          <w:szCs w:val="22"/>
        </w:rPr>
      </w:pPr>
      <w:hyperlink w:anchor="_Toc289256727" w:history="1">
        <w:r w:rsidR="005D6836" w:rsidRPr="005E6D50">
          <w:rPr>
            <w:rStyle w:val="Hyperlink"/>
            <w:noProof/>
          </w:rPr>
          <w:t>2.0 Key objectives</w:t>
        </w:r>
        <w:r w:rsidR="005D6836">
          <w:rPr>
            <w:noProof/>
            <w:webHidden/>
          </w:rPr>
          <w:tab/>
        </w:r>
        <w:r>
          <w:rPr>
            <w:noProof/>
            <w:webHidden/>
          </w:rPr>
          <w:fldChar w:fldCharType="begin"/>
        </w:r>
        <w:r w:rsidR="005D6836">
          <w:rPr>
            <w:noProof/>
            <w:webHidden/>
          </w:rPr>
          <w:instrText xml:space="preserve"> PAGEREF _Toc289256727 \h </w:instrText>
        </w:r>
        <w:r>
          <w:rPr>
            <w:noProof/>
            <w:webHidden/>
          </w:rPr>
        </w:r>
        <w:r>
          <w:rPr>
            <w:noProof/>
            <w:webHidden/>
          </w:rPr>
          <w:fldChar w:fldCharType="separate"/>
        </w:r>
        <w:r w:rsidR="00CE6342">
          <w:rPr>
            <w:noProof/>
            <w:webHidden/>
          </w:rPr>
          <w:t>5</w:t>
        </w:r>
        <w:r>
          <w:rPr>
            <w:noProof/>
            <w:webHidden/>
          </w:rPr>
          <w:fldChar w:fldCharType="end"/>
        </w:r>
      </w:hyperlink>
    </w:p>
    <w:p w:rsidR="005D6836" w:rsidRDefault="00002B71">
      <w:pPr>
        <w:pStyle w:val="TOC1"/>
        <w:tabs>
          <w:tab w:val="right" w:leader="dot" w:pos="8296"/>
        </w:tabs>
        <w:rPr>
          <w:rFonts w:asciiTheme="minorHAnsi" w:eastAsiaTheme="minorEastAsia" w:hAnsiTheme="minorHAnsi" w:cstheme="minorBidi"/>
          <w:noProof/>
          <w:sz w:val="22"/>
          <w:szCs w:val="22"/>
        </w:rPr>
      </w:pPr>
      <w:hyperlink w:anchor="_Toc289256728" w:history="1">
        <w:r w:rsidR="005D6836" w:rsidRPr="005E6D50">
          <w:rPr>
            <w:rStyle w:val="Hyperlink"/>
            <w:noProof/>
          </w:rPr>
          <w:t>3.0 Rationale for Transdisciplinary Approach</w:t>
        </w:r>
        <w:r w:rsidR="005D6836">
          <w:rPr>
            <w:noProof/>
            <w:webHidden/>
          </w:rPr>
          <w:tab/>
        </w:r>
        <w:r>
          <w:rPr>
            <w:noProof/>
            <w:webHidden/>
          </w:rPr>
          <w:fldChar w:fldCharType="begin"/>
        </w:r>
        <w:r w:rsidR="005D6836">
          <w:rPr>
            <w:noProof/>
            <w:webHidden/>
          </w:rPr>
          <w:instrText xml:space="preserve"> PAGEREF _Toc289256728 \h </w:instrText>
        </w:r>
        <w:r>
          <w:rPr>
            <w:noProof/>
            <w:webHidden/>
          </w:rPr>
        </w:r>
        <w:r>
          <w:rPr>
            <w:noProof/>
            <w:webHidden/>
          </w:rPr>
          <w:fldChar w:fldCharType="separate"/>
        </w:r>
        <w:r w:rsidR="00CE6342">
          <w:rPr>
            <w:noProof/>
            <w:webHidden/>
          </w:rPr>
          <w:t>7</w:t>
        </w:r>
        <w:r>
          <w:rPr>
            <w:noProof/>
            <w:webHidden/>
          </w:rPr>
          <w:fldChar w:fldCharType="end"/>
        </w:r>
      </w:hyperlink>
    </w:p>
    <w:p w:rsidR="005D6836" w:rsidRDefault="00002B71">
      <w:pPr>
        <w:pStyle w:val="TOC3"/>
        <w:rPr>
          <w:rFonts w:asciiTheme="minorHAnsi" w:eastAsiaTheme="minorEastAsia" w:hAnsiTheme="minorHAnsi" w:cstheme="minorBidi"/>
          <w:sz w:val="22"/>
          <w:szCs w:val="22"/>
        </w:rPr>
      </w:pPr>
      <w:hyperlink w:anchor="_Toc289256729" w:history="1">
        <w:r w:rsidR="005D6836" w:rsidRPr="005E6D50">
          <w:rPr>
            <w:rStyle w:val="Hyperlink"/>
          </w:rPr>
          <w:t>3.1   Contribution of a Transdisciplinary Approach to Health Challenges</w:t>
        </w:r>
        <w:r w:rsidR="005D6836">
          <w:rPr>
            <w:webHidden/>
          </w:rPr>
          <w:tab/>
        </w:r>
        <w:r>
          <w:rPr>
            <w:webHidden/>
          </w:rPr>
          <w:fldChar w:fldCharType="begin"/>
        </w:r>
        <w:r w:rsidR="005D6836">
          <w:rPr>
            <w:webHidden/>
          </w:rPr>
          <w:instrText xml:space="preserve"> PAGEREF _Toc289256729 \h </w:instrText>
        </w:r>
        <w:r>
          <w:rPr>
            <w:webHidden/>
          </w:rPr>
        </w:r>
        <w:r>
          <w:rPr>
            <w:webHidden/>
          </w:rPr>
          <w:fldChar w:fldCharType="separate"/>
        </w:r>
        <w:r w:rsidR="00CE6342">
          <w:rPr>
            <w:webHidden/>
          </w:rPr>
          <w:t>7</w:t>
        </w:r>
        <w:r>
          <w:rPr>
            <w:webHidden/>
          </w:rPr>
          <w:fldChar w:fldCharType="end"/>
        </w:r>
      </w:hyperlink>
    </w:p>
    <w:p w:rsidR="005D6836" w:rsidRDefault="00002B71">
      <w:pPr>
        <w:pStyle w:val="TOC1"/>
        <w:tabs>
          <w:tab w:val="right" w:leader="dot" w:pos="8296"/>
        </w:tabs>
        <w:rPr>
          <w:rFonts w:asciiTheme="minorHAnsi" w:eastAsiaTheme="minorEastAsia" w:hAnsiTheme="minorHAnsi" w:cstheme="minorBidi"/>
          <w:noProof/>
          <w:sz w:val="22"/>
          <w:szCs w:val="22"/>
        </w:rPr>
      </w:pPr>
      <w:hyperlink w:anchor="_Toc289256730" w:history="1">
        <w:r w:rsidR="005D6836" w:rsidRPr="005E6D50">
          <w:rPr>
            <w:rStyle w:val="Hyperlink"/>
            <w:noProof/>
          </w:rPr>
          <w:t>4.0 A Transdisciplinary Approach to Behaviour Change – Looking Beyond the Wider Determinants of Health</w:t>
        </w:r>
        <w:r w:rsidR="005D6836">
          <w:rPr>
            <w:noProof/>
            <w:webHidden/>
          </w:rPr>
          <w:tab/>
        </w:r>
        <w:r>
          <w:rPr>
            <w:noProof/>
            <w:webHidden/>
          </w:rPr>
          <w:fldChar w:fldCharType="begin"/>
        </w:r>
        <w:r w:rsidR="005D6836">
          <w:rPr>
            <w:noProof/>
            <w:webHidden/>
          </w:rPr>
          <w:instrText xml:space="preserve"> PAGEREF _Toc289256730 \h </w:instrText>
        </w:r>
        <w:r>
          <w:rPr>
            <w:noProof/>
            <w:webHidden/>
          </w:rPr>
        </w:r>
        <w:r>
          <w:rPr>
            <w:noProof/>
            <w:webHidden/>
          </w:rPr>
          <w:fldChar w:fldCharType="separate"/>
        </w:r>
        <w:r w:rsidR="00CE6342">
          <w:rPr>
            <w:noProof/>
            <w:webHidden/>
          </w:rPr>
          <w:t>9</w:t>
        </w:r>
        <w:r>
          <w:rPr>
            <w:noProof/>
            <w:webHidden/>
          </w:rPr>
          <w:fldChar w:fldCharType="end"/>
        </w:r>
      </w:hyperlink>
    </w:p>
    <w:p w:rsidR="005D6836" w:rsidRDefault="00002B71">
      <w:pPr>
        <w:pStyle w:val="TOC3"/>
        <w:rPr>
          <w:rFonts w:asciiTheme="minorHAnsi" w:eastAsiaTheme="minorEastAsia" w:hAnsiTheme="minorHAnsi" w:cstheme="minorBidi"/>
          <w:sz w:val="22"/>
          <w:szCs w:val="22"/>
        </w:rPr>
      </w:pPr>
      <w:hyperlink w:anchor="_Toc289256731" w:history="1">
        <w:r w:rsidR="005D6836" w:rsidRPr="005E6D50">
          <w:rPr>
            <w:rStyle w:val="Hyperlink"/>
          </w:rPr>
          <w:t>4.1  Overview</w:t>
        </w:r>
        <w:r w:rsidR="005D6836">
          <w:rPr>
            <w:webHidden/>
          </w:rPr>
          <w:tab/>
        </w:r>
        <w:r>
          <w:rPr>
            <w:webHidden/>
          </w:rPr>
          <w:fldChar w:fldCharType="begin"/>
        </w:r>
        <w:r w:rsidR="005D6836">
          <w:rPr>
            <w:webHidden/>
          </w:rPr>
          <w:instrText xml:space="preserve"> PAGEREF _Toc289256731 \h </w:instrText>
        </w:r>
        <w:r>
          <w:rPr>
            <w:webHidden/>
          </w:rPr>
        </w:r>
        <w:r>
          <w:rPr>
            <w:webHidden/>
          </w:rPr>
          <w:fldChar w:fldCharType="separate"/>
        </w:r>
        <w:r w:rsidR="00CE6342">
          <w:rPr>
            <w:webHidden/>
          </w:rPr>
          <w:t>9</w:t>
        </w:r>
        <w:r>
          <w:rPr>
            <w:webHidden/>
          </w:rPr>
          <w:fldChar w:fldCharType="end"/>
        </w:r>
      </w:hyperlink>
    </w:p>
    <w:p w:rsidR="005D6836" w:rsidRDefault="00002B71">
      <w:pPr>
        <w:pStyle w:val="TOC3"/>
        <w:rPr>
          <w:rFonts w:asciiTheme="minorHAnsi" w:eastAsiaTheme="minorEastAsia" w:hAnsiTheme="minorHAnsi" w:cstheme="minorBidi"/>
          <w:sz w:val="22"/>
          <w:szCs w:val="22"/>
        </w:rPr>
      </w:pPr>
      <w:hyperlink w:anchor="_Toc289256732" w:history="1">
        <w:r w:rsidR="005D6836" w:rsidRPr="005E6D50">
          <w:rPr>
            <w:rStyle w:val="Hyperlink"/>
          </w:rPr>
          <w:t>4.2 Complexity</w:t>
        </w:r>
        <w:r w:rsidR="005D6836">
          <w:rPr>
            <w:webHidden/>
          </w:rPr>
          <w:tab/>
        </w:r>
        <w:r>
          <w:rPr>
            <w:webHidden/>
          </w:rPr>
          <w:fldChar w:fldCharType="begin"/>
        </w:r>
        <w:r w:rsidR="005D6836">
          <w:rPr>
            <w:webHidden/>
          </w:rPr>
          <w:instrText xml:space="preserve"> PAGEREF _Toc289256732 \h </w:instrText>
        </w:r>
        <w:r>
          <w:rPr>
            <w:webHidden/>
          </w:rPr>
        </w:r>
        <w:r>
          <w:rPr>
            <w:webHidden/>
          </w:rPr>
          <w:fldChar w:fldCharType="separate"/>
        </w:r>
        <w:r w:rsidR="00CE6342">
          <w:rPr>
            <w:webHidden/>
          </w:rPr>
          <w:t>9</w:t>
        </w:r>
        <w:r>
          <w:rPr>
            <w:webHidden/>
          </w:rPr>
          <w:fldChar w:fldCharType="end"/>
        </w:r>
      </w:hyperlink>
    </w:p>
    <w:p w:rsidR="005D6836" w:rsidRDefault="00002B71">
      <w:pPr>
        <w:pStyle w:val="TOC3"/>
        <w:rPr>
          <w:rFonts w:asciiTheme="minorHAnsi" w:eastAsiaTheme="minorEastAsia" w:hAnsiTheme="minorHAnsi" w:cstheme="minorBidi"/>
          <w:sz w:val="22"/>
          <w:szCs w:val="22"/>
        </w:rPr>
      </w:pPr>
      <w:hyperlink w:anchor="_Toc289256733" w:history="1">
        <w:r w:rsidR="005D6836" w:rsidRPr="005E6D50">
          <w:rPr>
            <w:rStyle w:val="Hyperlink"/>
          </w:rPr>
          <w:t>4.3  Relevant disciplines</w:t>
        </w:r>
        <w:r w:rsidR="005D6836">
          <w:rPr>
            <w:webHidden/>
          </w:rPr>
          <w:tab/>
        </w:r>
        <w:r>
          <w:rPr>
            <w:webHidden/>
          </w:rPr>
          <w:fldChar w:fldCharType="begin"/>
        </w:r>
        <w:r w:rsidR="005D6836">
          <w:rPr>
            <w:webHidden/>
          </w:rPr>
          <w:instrText xml:space="preserve"> PAGEREF _Toc289256733 \h </w:instrText>
        </w:r>
        <w:r>
          <w:rPr>
            <w:webHidden/>
          </w:rPr>
        </w:r>
        <w:r>
          <w:rPr>
            <w:webHidden/>
          </w:rPr>
          <w:fldChar w:fldCharType="separate"/>
        </w:r>
        <w:r w:rsidR="00CE6342">
          <w:rPr>
            <w:webHidden/>
          </w:rPr>
          <w:t>11</w:t>
        </w:r>
        <w:r>
          <w:rPr>
            <w:webHidden/>
          </w:rPr>
          <w:fldChar w:fldCharType="end"/>
        </w:r>
      </w:hyperlink>
    </w:p>
    <w:p w:rsidR="005D6836" w:rsidRDefault="00002B71">
      <w:pPr>
        <w:pStyle w:val="TOC3"/>
        <w:rPr>
          <w:rFonts w:asciiTheme="minorHAnsi" w:eastAsiaTheme="minorEastAsia" w:hAnsiTheme="minorHAnsi" w:cstheme="minorBidi"/>
          <w:sz w:val="22"/>
          <w:szCs w:val="22"/>
        </w:rPr>
      </w:pPr>
      <w:hyperlink w:anchor="_Toc289256734" w:history="1">
        <w:r w:rsidR="005D6836" w:rsidRPr="005E6D50">
          <w:rPr>
            <w:rStyle w:val="Hyperlink"/>
          </w:rPr>
          <w:t>4.4 Range of relevant theories</w:t>
        </w:r>
        <w:r w:rsidR="005D6836">
          <w:rPr>
            <w:webHidden/>
          </w:rPr>
          <w:tab/>
        </w:r>
        <w:r>
          <w:rPr>
            <w:webHidden/>
          </w:rPr>
          <w:fldChar w:fldCharType="begin"/>
        </w:r>
        <w:r w:rsidR="005D6836">
          <w:rPr>
            <w:webHidden/>
          </w:rPr>
          <w:instrText xml:space="preserve"> PAGEREF _Toc289256734 \h </w:instrText>
        </w:r>
        <w:r>
          <w:rPr>
            <w:webHidden/>
          </w:rPr>
        </w:r>
        <w:r>
          <w:rPr>
            <w:webHidden/>
          </w:rPr>
          <w:fldChar w:fldCharType="separate"/>
        </w:r>
        <w:r w:rsidR="00CE6342">
          <w:rPr>
            <w:webHidden/>
          </w:rPr>
          <w:t>12</w:t>
        </w:r>
        <w:r>
          <w:rPr>
            <w:webHidden/>
          </w:rPr>
          <w:fldChar w:fldCharType="end"/>
        </w:r>
      </w:hyperlink>
    </w:p>
    <w:p w:rsidR="005D6836" w:rsidRDefault="00002B71">
      <w:pPr>
        <w:pStyle w:val="TOC3"/>
        <w:rPr>
          <w:rFonts w:asciiTheme="minorHAnsi" w:eastAsiaTheme="minorEastAsia" w:hAnsiTheme="minorHAnsi" w:cstheme="minorBidi"/>
          <w:sz w:val="22"/>
          <w:szCs w:val="22"/>
        </w:rPr>
      </w:pPr>
      <w:hyperlink w:anchor="_Toc289256735" w:history="1">
        <w:r w:rsidR="005D6836" w:rsidRPr="005E6D50">
          <w:rPr>
            <w:rStyle w:val="Hyperlink"/>
          </w:rPr>
          <w:t>4.5 Overview – selected theories</w:t>
        </w:r>
        <w:r w:rsidR="005D6836">
          <w:rPr>
            <w:webHidden/>
          </w:rPr>
          <w:tab/>
        </w:r>
        <w:r>
          <w:rPr>
            <w:webHidden/>
          </w:rPr>
          <w:fldChar w:fldCharType="begin"/>
        </w:r>
        <w:r w:rsidR="005D6836">
          <w:rPr>
            <w:webHidden/>
          </w:rPr>
          <w:instrText xml:space="preserve"> PAGEREF _Toc289256735 \h </w:instrText>
        </w:r>
        <w:r>
          <w:rPr>
            <w:webHidden/>
          </w:rPr>
        </w:r>
        <w:r>
          <w:rPr>
            <w:webHidden/>
          </w:rPr>
          <w:fldChar w:fldCharType="separate"/>
        </w:r>
        <w:r w:rsidR="00CE6342">
          <w:rPr>
            <w:webHidden/>
          </w:rPr>
          <w:t>14</w:t>
        </w:r>
        <w:r>
          <w:rPr>
            <w:webHidden/>
          </w:rPr>
          <w:fldChar w:fldCharType="end"/>
        </w:r>
      </w:hyperlink>
    </w:p>
    <w:p w:rsidR="005D6836" w:rsidRDefault="00002B71">
      <w:pPr>
        <w:pStyle w:val="TOC1"/>
        <w:tabs>
          <w:tab w:val="right" w:leader="dot" w:pos="8296"/>
        </w:tabs>
        <w:rPr>
          <w:rFonts w:asciiTheme="minorHAnsi" w:eastAsiaTheme="minorEastAsia" w:hAnsiTheme="minorHAnsi" w:cstheme="minorBidi"/>
          <w:noProof/>
          <w:sz w:val="22"/>
          <w:szCs w:val="22"/>
        </w:rPr>
      </w:pPr>
      <w:hyperlink w:anchor="_Toc289256736" w:history="1">
        <w:r w:rsidR="005D6836" w:rsidRPr="005E6D50">
          <w:rPr>
            <w:rStyle w:val="Hyperlink"/>
            <w:noProof/>
          </w:rPr>
          <w:t>5.0 From Theory to Application</w:t>
        </w:r>
        <w:r w:rsidR="005D6836">
          <w:rPr>
            <w:noProof/>
            <w:webHidden/>
          </w:rPr>
          <w:tab/>
        </w:r>
        <w:r>
          <w:rPr>
            <w:noProof/>
            <w:webHidden/>
          </w:rPr>
          <w:fldChar w:fldCharType="begin"/>
        </w:r>
        <w:r w:rsidR="005D6836">
          <w:rPr>
            <w:noProof/>
            <w:webHidden/>
          </w:rPr>
          <w:instrText xml:space="preserve"> PAGEREF _Toc289256736 \h </w:instrText>
        </w:r>
        <w:r>
          <w:rPr>
            <w:noProof/>
            <w:webHidden/>
          </w:rPr>
        </w:r>
        <w:r>
          <w:rPr>
            <w:noProof/>
            <w:webHidden/>
          </w:rPr>
          <w:fldChar w:fldCharType="separate"/>
        </w:r>
        <w:r w:rsidR="00CE6342">
          <w:rPr>
            <w:noProof/>
            <w:webHidden/>
          </w:rPr>
          <w:t>21</w:t>
        </w:r>
        <w:r>
          <w:rPr>
            <w:noProof/>
            <w:webHidden/>
          </w:rPr>
          <w:fldChar w:fldCharType="end"/>
        </w:r>
      </w:hyperlink>
    </w:p>
    <w:p w:rsidR="005D6836" w:rsidRDefault="00002B71">
      <w:pPr>
        <w:pStyle w:val="TOC3"/>
        <w:rPr>
          <w:rFonts w:asciiTheme="minorHAnsi" w:eastAsiaTheme="minorEastAsia" w:hAnsiTheme="minorHAnsi" w:cstheme="minorBidi"/>
          <w:sz w:val="22"/>
          <w:szCs w:val="22"/>
        </w:rPr>
      </w:pPr>
      <w:hyperlink w:anchor="_Toc289256737" w:history="1">
        <w:r w:rsidR="005D6836" w:rsidRPr="005E6D50">
          <w:rPr>
            <w:rStyle w:val="Hyperlink"/>
          </w:rPr>
          <w:t>5.1 Application of theory</w:t>
        </w:r>
        <w:r w:rsidR="005D6836">
          <w:rPr>
            <w:webHidden/>
          </w:rPr>
          <w:tab/>
        </w:r>
        <w:r>
          <w:rPr>
            <w:webHidden/>
          </w:rPr>
          <w:fldChar w:fldCharType="begin"/>
        </w:r>
        <w:r w:rsidR="005D6836">
          <w:rPr>
            <w:webHidden/>
          </w:rPr>
          <w:instrText xml:space="preserve"> PAGEREF _Toc289256737 \h </w:instrText>
        </w:r>
        <w:r>
          <w:rPr>
            <w:webHidden/>
          </w:rPr>
        </w:r>
        <w:r>
          <w:rPr>
            <w:webHidden/>
          </w:rPr>
          <w:fldChar w:fldCharType="separate"/>
        </w:r>
        <w:r w:rsidR="00CE6342">
          <w:rPr>
            <w:webHidden/>
          </w:rPr>
          <w:t>21</w:t>
        </w:r>
        <w:r>
          <w:rPr>
            <w:webHidden/>
          </w:rPr>
          <w:fldChar w:fldCharType="end"/>
        </w:r>
      </w:hyperlink>
    </w:p>
    <w:p w:rsidR="005D6836" w:rsidRDefault="00002B71">
      <w:pPr>
        <w:pStyle w:val="TOC3"/>
        <w:rPr>
          <w:rFonts w:asciiTheme="minorHAnsi" w:eastAsiaTheme="minorEastAsia" w:hAnsiTheme="minorHAnsi" w:cstheme="minorBidi"/>
          <w:sz w:val="22"/>
          <w:szCs w:val="22"/>
        </w:rPr>
      </w:pPr>
      <w:hyperlink w:anchor="_Toc289256738" w:history="1">
        <w:r w:rsidR="005D6836" w:rsidRPr="005E6D50">
          <w:rPr>
            <w:rStyle w:val="Hyperlink"/>
          </w:rPr>
          <w:t>5.2 What counts as evidence: qualitative and quantitative research</w:t>
        </w:r>
        <w:r w:rsidR="005D6836">
          <w:rPr>
            <w:webHidden/>
          </w:rPr>
          <w:tab/>
        </w:r>
        <w:r>
          <w:rPr>
            <w:webHidden/>
          </w:rPr>
          <w:fldChar w:fldCharType="begin"/>
        </w:r>
        <w:r w:rsidR="005D6836">
          <w:rPr>
            <w:webHidden/>
          </w:rPr>
          <w:instrText xml:space="preserve"> PAGEREF _Toc289256738 \h </w:instrText>
        </w:r>
        <w:r>
          <w:rPr>
            <w:webHidden/>
          </w:rPr>
        </w:r>
        <w:r>
          <w:rPr>
            <w:webHidden/>
          </w:rPr>
          <w:fldChar w:fldCharType="separate"/>
        </w:r>
        <w:r w:rsidR="00CE6342">
          <w:rPr>
            <w:webHidden/>
          </w:rPr>
          <w:t>21</w:t>
        </w:r>
        <w:r>
          <w:rPr>
            <w:webHidden/>
          </w:rPr>
          <w:fldChar w:fldCharType="end"/>
        </w:r>
      </w:hyperlink>
    </w:p>
    <w:p w:rsidR="005D6836" w:rsidRDefault="00002B71">
      <w:pPr>
        <w:pStyle w:val="TOC3"/>
        <w:rPr>
          <w:rFonts w:asciiTheme="minorHAnsi" w:eastAsiaTheme="minorEastAsia" w:hAnsiTheme="minorHAnsi" w:cstheme="minorBidi"/>
          <w:sz w:val="22"/>
          <w:szCs w:val="22"/>
        </w:rPr>
      </w:pPr>
      <w:hyperlink w:anchor="_Toc289256739" w:history="1">
        <w:r w:rsidR="005D6836" w:rsidRPr="005E6D50">
          <w:rPr>
            <w:rStyle w:val="Hyperlink"/>
          </w:rPr>
          <w:t>5.3 Importance of communication</w:t>
        </w:r>
        <w:r w:rsidR="005D6836">
          <w:rPr>
            <w:webHidden/>
          </w:rPr>
          <w:tab/>
        </w:r>
        <w:r>
          <w:rPr>
            <w:webHidden/>
          </w:rPr>
          <w:fldChar w:fldCharType="begin"/>
        </w:r>
        <w:r w:rsidR="005D6836">
          <w:rPr>
            <w:webHidden/>
          </w:rPr>
          <w:instrText xml:space="preserve"> PAGEREF _Toc289256739 \h </w:instrText>
        </w:r>
        <w:r>
          <w:rPr>
            <w:webHidden/>
          </w:rPr>
        </w:r>
        <w:r>
          <w:rPr>
            <w:webHidden/>
          </w:rPr>
          <w:fldChar w:fldCharType="separate"/>
        </w:r>
        <w:r w:rsidR="00CE6342">
          <w:rPr>
            <w:webHidden/>
          </w:rPr>
          <w:t>23</w:t>
        </w:r>
        <w:r>
          <w:rPr>
            <w:webHidden/>
          </w:rPr>
          <w:fldChar w:fldCharType="end"/>
        </w:r>
      </w:hyperlink>
    </w:p>
    <w:p w:rsidR="005D6836" w:rsidRDefault="00002B71">
      <w:pPr>
        <w:pStyle w:val="TOC1"/>
        <w:tabs>
          <w:tab w:val="right" w:leader="dot" w:pos="8296"/>
        </w:tabs>
        <w:rPr>
          <w:rFonts w:asciiTheme="minorHAnsi" w:eastAsiaTheme="minorEastAsia" w:hAnsiTheme="minorHAnsi" w:cstheme="minorBidi"/>
          <w:noProof/>
          <w:sz w:val="22"/>
          <w:szCs w:val="22"/>
        </w:rPr>
      </w:pPr>
      <w:hyperlink w:anchor="_Toc289256740" w:history="1">
        <w:r w:rsidR="005D6836" w:rsidRPr="005E6D50">
          <w:rPr>
            <w:rStyle w:val="Hyperlink"/>
            <w:noProof/>
          </w:rPr>
          <w:t>6.0 Key Contributions of Disciplines</w:t>
        </w:r>
        <w:r w:rsidR="005D6836">
          <w:rPr>
            <w:noProof/>
            <w:webHidden/>
          </w:rPr>
          <w:tab/>
        </w:r>
        <w:r>
          <w:rPr>
            <w:noProof/>
            <w:webHidden/>
          </w:rPr>
          <w:fldChar w:fldCharType="begin"/>
        </w:r>
        <w:r w:rsidR="005D6836">
          <w:rPr>
            <w:noProof/>
            <w:webHidden/>
          </w:rPr>
          <w:instrText xml:space="preserve"> PAGEREF _Toc289256740 \h </w:instrText>
        </w:r>
        <w:r>
          <w:rPr>
            <w:noProof/>
            <w:webHidden/>
          </w:rPr>
        </w:r>
        <w:r>
          <w:rPr>
            <w:noProof/>
            <w:webHidden/>
          </w:rPr>
          <w:fldChar w:fldCharType="separate"/>
        </w:r>
        <w:r w:rsidR="00CE6342">
          <w:rPr>
            <w:noProof/>
            <w:webHidden/>
          </w:rPr>
          <w:t>25</w:t>
        </w:r>
        <w:r>
          <w:rPr>
            <w:noProof/>
            <w:webHidden/>
          </w:rPr>
          <w:fldChar w:fldCharType="end"/>
        </w:r>
      </w:hyperlink>
    </w:p>
    <w:p w:rsidR="005D6836" w:rsidRDefault="00002B71">
      <w:pPr>
        <w:pStyle w:val="TOC3"/>
        <w:rPr>
          <w:rFonts w:asciiTheme="minorHAnsi" w:eastAsiaTheme="minorEastAsia" w:hAnsiTheme="minorHAnsi" w:cstheme="minorBidi"/>
          <w:sz w:val="22"/>
          <w:szCs w:val="22"/>
        </w:rPr>
      </w:pPr>
      <w:hyperlink w:anchor="_Toc289256741" w:history="1">
        <w:r w:rsidR="005D6836" w:rsidRPr="005E6D50">
          <w:rPr>
            <w:rStyle w:val="Hyperlink"/>
          </w:rPr>
          <w:t>6.1 Behavioural economics</w:t>
        </w:r>
        <w:r w:rsidR="005D6836">
          <w:rPr>
            <w:webHidden/>
          </w:rPr>
          <w:tab/>
        </w:r>
        <w:r>
          <w:rPr>
            <w:webHidden/>
          </w:rPr>
          <w:fldChar w:fldCharType="begin"/>
        </w:r>
        <w:r w:rsidR="005D6836">
          <w:rPr>
            <w:webHidden/>
          </w:rPr>
          <w:instrText xml:space="preserve"> PAGEREF _Toc289256741 \h </w:instrText>
        </w:r>
        <w:r>
          <w:rPr>
            <w:webHidden/>
          </w:rPr>
        </w:r>
        <w:r>
          <w:rPr>
            <w:webHidden/>
          </w:rPr>
          <w:fldChar w:fldCharType="separate"/>
        </w:r>
        <w:r w:rsidR="00CE6342">
          <w:rPr>
            <w:webHidden/>
          </w:rPr>
          <w:t>25</w:t>
        </w:r>
        <w:r>
          <w:rPr>
            <w:webHidden/>
          </w:rPr>
          <w:fldChar w:fldCharType="end"/>
        </w:r>
      </w:hyperlink>
    </w:p>
    <w:p w:rsidR="005D6836" w:rsidRDefault="00002B71">
      <w:pPr>
        <w:pStyle w:val="TOC3"/>
        <w:rPr>
          <w:rFonts w:asciiTheme="minorHAnsi" w:eastAsiaTheme="minorEastAsia" w:hAnsiTheme="minorHAnsi" w:cstheme="minorBidi"/>
          <w:sz w:val="22"/>
          <w:szCs w:val="22"/>
        </w:rPr>
      </w:pPr>
      <w:hyperlink w:anchor="_Toc289256742" w:history="1">
        <w:r w:rsidR="005D6836" w:rsidRPr="005E6D50">
          <w:rPr>
            <w:rStyle w:val="Hyperlink"/>
          </w:rPr>
          <w:t>6.2 Environmental planning and management</w:t>
        </w:r>
        <w:r w:rsidR="005D6836">
          <w:rPr>
            <w:webHidden/>
          </w:rPr>
          <w:tab/>
        </w:r>
        <w:r>
          <w:rPr>
            <w:webHidden/>
          </w:rPr>
          <w:fldChar w:fldCharType="begin"/>
        </w:r>
        <w:r w:rsidR="005D6836">
          <w:rPr>
            <w:webHidden/>
          </w:rPr>
          <w:instrText xml:space="preserve"> PAGEREF _Toc289256742 \h </w:instrText>
        </w:r>
        <w:r>
          <w:rPr>
            <w:webHidden/>
          </w:rPr>
        </w:r>
        <w:r>
          <w:rPr>
            <w:webHidden/>
          </w:rPr>
          <w:fldChar w:fldCharType="separate"/>
        </w:r>
        <w:r w:rsidR="00CE6342">
          <w:rPr>
            <w:webHidden/>
          </w:rPr>
          <w:t>26</w:t>
        </w:r>
        <w:r>
          <w:rPr>
            <w:webHidden/>
          </w:rPr>
          <w:fldChar w:fldCharType="end"/>
        </w:r>
      </w:hyperlink>
    </w:p>
    <w:p w:rsidR="005D6836" w:rsidRDefault="00002B71">
      <w:pPr>
        <w:pStyle w:val="TOC3"/>
        <w:rPr>
          <w:rFonts w:asciiTheme="minorHAnsi" w:eastAsiaTheme="minorEastAsia" w:hAnsiTheme="minorHAnsi" w:cstheme="minorBidi"/>
          <w:sz w:val="22"/>
          <w:szCs w:val="22"/>
        </w:rPr>
      </w:pPr>
      <w:hyperlink w:anchor="_Toc289256743" w:history="1">
        <w:r w:rsidR="005D6836" w:rsidRPr="005E6D50">
          <w:rPr>
            <w:rStyle w:val="Hyperlink"/>
          </w:rPr>
          <w:t>6.3 Organization development (OD)</w:t>
        </w:r>
        <w:r w:rsidR="005D6836">
          <w:rPr>
            <w:webHidden/>
          </w:rPr>
          <w:tab/>
        </w:r>
        <w:r>
          <w:rPr>
            <w:webHidden/>
          </w:rPr>
          <w:fldChar w:fldCharType="begin"/>
        </w:r>
        <w:r w:rsidR="005D6836">
          <w:rPr>
            <w:webHidden/>
          </w:rPr>
          <w:instrText xml:space="preserve"> PAGEREF _Toc289256743 \h </w:instrText>
        </w:r>
        <w:r>
          <w:rPr>
            <w:webHidden/>
          </w:rPr>
        </w:r>
        <w:r>
          <w:rPr>
            <w:webHidden/>
          </w:rPr>
          <w:fldChar w:fldCharType="separate"/>
        </w:r>
        <w:r w:rsidR="00CE6342">
          <w:rPr>
            <w:webHidden/>
          </w:rPr>
          <w:t>27</w:t>
        </w:r>
        <w:r>
          <w:rPr>
            <w:webHidden/>
          </w:rPr>
          <w:fldChar w:fldCharType="end"/>
        </w:r>
      </w:hyperlink>
    </w:p>
    <w:p w:rsidR="005D6836" w:rsidRDefault="00002B71">
      <w:pPr>
        <w:pStyle w:val="TOC3"/>
        <w:rPr>
          <w:rFonts w:asciiTheme="minorHAnsi" w:eastAsiaTheme="minorEastAsia" w:hAnsiTheme="minorHAnsi" w:cstheme="minorBidi"/>
          <w:sz w:val="22"/>
          <w:szCs w:val="22"/>
        </w:rPr>
      </w:pPr>
      <w:hyperlink w:anchor="_Toc289256744" w:history="1">
        <w:r w:rsidR="005D6836" w:rsidRPr="005E6D50">
          <w:rPr>
            <w:rStyle w:val="Hyperlink"/>
          </w:rPr>
          <w:t>6.4 Social marketing</w:t>
        </w:r>
        <w:r w:rsidR="005D6836">
          <w:rPr>
            <w:webHidden/>
          </w:rPr>
          <w:tab/>
        </w:r>
        <w:r>
          <w:rPr>
            <w:webHidden/>
          </w:rPr>
          <w:fldChar w:fldCharType="begin"/>
        </w:r>
        <w:r w:rsidR="005D6836">
          <w:rPr>
            <w:webHidden/>
          </w:rPr>
          <w:instrText xml:space="preserve"> PAGEREF _Toc289256744 \h </w:instrText>
        </w:r>
        <w:r>
          <w:rPr>
            <w:webHidden/>
          </w:rPr>
        </w:r>
        <w:r>
          <w:rPr>
            <w:webHidden/>
          </w:rPr>
          <w:fldChar w:fldCharType="separate"/>
        </w:r>
        <w:r w:rsidR="00CE6342">
          <w:rPr>
            <w:webHidden/>
          </w:rPr>
          <w:t>29</w:t>
        </w:r>
        <w:r>
          <w:rPr>
            <w:webHidden/>
          </w:rPr>
          <w:fldChar w:fldCharType="end"/>
        </w:r>
      </w:hyperlink>
    </w:p>
    <w:p w:rsidR="005D6836" w:rsidRDefault="00002B71">
      <w:pPr>
        <w:pStyle w:val="TOC3"/>
        <w:rPr>
          <w:rFonts w:asciiTheme="minorHAnsi" w:eastAsiaTheme="minorEastAsia" w:hAnsiTheme="minorHAnsi" w:cstheme="minorBidi"/>
          <w:sz w:val="22"/>
          <w:szCs w:val="22"/>
        </w:rPr>
      </w:pPr>
      <w:hyperlink w:anchor="_Toc289256745" w:history="1">
        <w:r w:rsidR="005D6836" w:rsidRPr="005E6D50">
          <w:rPr>
            <w:rStyle w:val="Hyperlink"/>
          </w:rPr>
          <w:t>6.5 Social psychology</w:t>
        </w:r>
        <w:r w:rsidR="005D6836">
          <w:rPr>
            <w:webHidden/>
          </w:rPr>
          <w:tab/>
        </w:r>
        <w:r>
          <w:rPr>
            <w:webHidden/>
          </w:rPr>
          <w:fldChar w:fldCharType="begin"/>
        </w:r>
        <w:r w:rsidR="005D6836">
          <w:rPr>
            <w:webHidden/>
          </w:rPr>
          <w:instrText xml:space="preserve"> PAGEREF _Toc289256745 \h </w:instrText>
        </w:r>
        <w:r>
          <w:rPr>
            <w:webHidden/>
          </w:rPr>
        </w:r>
        <w:r>
          <w:rPr>
            <w:webHidden/>
          </w:rPr>
          <w:fldChar w:fldCharType="separate"/>
        </w:r>
        <w:r w:rsidR="00CE6342">
          <w:rPr>
            <w:webHidden/>
          </w:rPr>
          <w:t>30</w:t>
        </w:r>
        <w:r>
          <w:rPr>
            <w:webHidden/>
          </w:rPr>
          <w:fldChar w:fldCharType="end"/>
        </w:r>
      </w:hyperlink>
    </w:p>
    <w:p w:rsidR="005D6836" w:rsidRDefault="00002B71">
      <w:pPr>
        <w:pStyle w:val="TOC3"/>
        <w:rPr>
          <w:rFonts w:asciiTheme="minorHAnsi" w:eastAsiaTheme="minorEastAsia" w:hAnsiTheme="minorHAnsi" w:cstheme="minorBidi"/>
          <w:sz w:val="22"/>
          <w:szCs w:val="22"/>
        </w:rPr>
      </w:pPr>
      <w:hyperlink w:anchor="_Toc289256746" w:history="1">
        <w:r w:rsidR="005D6836" w:rsidRPr="005E6D50">
          <w:rPr>
            <w:rStyle w:val="Hyperlink"/>
          </w:rPr>
          <w:t>6.6 Sociology, public health policy and applied political science perspectives</w:t>
        </w:r>
        <w:r w:rsidR="005D6836">
          <w:rPr>
            <w:webHidden/>
          </w:rPr>
          <w:tab/>
        </w:r>
        <w:r>
          <w:rPr>
            <w:webHidden/>
          </w:rPr>
          <w:fldChar w:fldCharType="begin"/>
        </w:r>
        <w:r w:rsidR="005D6836">
          <w:rPr>
            <w:webHidden/>
          </w:rPr>
          <w:instrText xml:space="preserve"> PAGEREF _Toc289256746 \h </w:instrText>
        </w:r>
        <w:r>
          <w:rPr>
            <w:webHidden/>
          </w:rPr>
        </w:r>
        <w:r>
          <w:rPr>
            <w:webHidden/>
          </w:rPr>
          <w:fldChar w:fldCharType="separate"/>
        </w:r>
        <w:r w:rsidR="00CE6342">
          <w:rPr>
            <w:webHidden/>
          </w:rPr>
          <w:t>33</w:t>
        </w:r>
        <w:r>
          <w:rPr>
            <w:webHidden/>
          </w:rPr>
          <w:fldChar w:fldCharType="end"/>
        </w:r>
      </w:hyperlink>
    </w:p>
    <w:p w:rsidR="005D6836" w:rsidRDefault="00002B71">
      <w:pPr>
        <w:pStyle w:val="TOC3"/>
        <w:rPr>
          <w:rFonts w:asciiTheme="minorHAnsi" w:eastAsiaTheme="minorEastAsia" w:hAnsiTheme="minorHAnsi" w:cstheme="minorBidi"/>
          <w:sz w:val="22"/>
          <w:szCs w:val="22"/>
        </w:rPr>
      </w:pPr>
      <w:hyperlink w:anchor="_Toc289256747" w:history="1">
        <w:r w:rsidR="005D6836" w:rsidRPr="005E6D50">
          <w:rPr>
            <w:rStyle w:val="Hyperlink"/>
          </w:rPr>
          <w:t>6.7 Wider factors influencing health, well-being and health inequalities</w:t>
        </w:r>
        <w:r w:rsidR="005D6836">
          <w:rPr>
            <w:webHidden/>
          </w:rPr>
          <w:tab/>
        </w:r>
        <w:r>
          <w:rPr>
            <w:webHidden/>
          </w:rPr>
          <w:fldChar w:fldCharType="begin"/>
        </w:r>
        <w:r w:rsidR="005D6836">
          <w:rPr>
            <w:webHidden/>
          </w:rPr>
          <w:instrText xml:space="preserve"> PAGEREF _Toc289256747 \h </w:instrText>
        </w:r>
        <w:r>
          <w:rPr>
            <w:webHidden/>
          </w:rPr>
        </w:r>
        <w:r>
          <w:rPr>
            <w:webHidden/>
          </w:rPr>
          <w:fldChar w:fldCharType="separate"/>
        </w:r>
        <w:r w:rsidR="00CE6342">
          <w:rPr>
            <w:webHidden/>
          </w:rPr>
          <w:t>35</w:t>
        </w:r>
        <w:r>
          <w:rPr>
            <w:webHidden/>
          </w:rPr>
          <w:fldChar w:fldCharType="end"/>
        </w:r>
      </w:hyperlink>
    </w:p>
    <w:p w:rsidR="005D6836" w:rsidRDefault="00002B71">
      <w:pPr>
        <w:pStyle w:val="TOC3"/>
        <w:rPr>
          <w:rFonts w:asciiTheme="minorHAnsi" w:eastAsiaTheme="minorEastAsia" w:hAnsiTheme="minorHAnsi" w:cstheme="minorBidi"/>
          <w:sz w:val="22"/>
          <w:szCs w:val="22"/>
        </w:rPr>
      </w:pPr>
      <w:hyperlink w:anchor="_Toc289256748" w:history="1">
        <w:r w:rsidR="005D6836" w:rsidRPr="005E6D50">
          <w:rPr>
            <w:rStyle w:val="Hyperlink"/>
          </w:rPr>
          <w:t>6.7.1 Health literacy</w:t>
        </w:r>
        <w:r w:rsidR="005D6836">
          <w:rPr>
            <w:webHidden/>
          </w:rPr>
          <w:tab/>
        </w:r>
        <w:r>
          <w:rPr>
            <w:webHidden/>
          </w:rPr>
          <w:fldChar w:fldCharType="begin"/>
        </w:r>
        <w:r w:rsidR="005D6836">
          <w:rPr>
            <w:webHidden/>
          </w:rPr>
          <w:instrText xml:space="preserve"> PAGEREF _Toc289256748 \h </w:instrText>
        </w:r>
        <w:r>
          <w:rPr>
            <w:webHidden/>
          </w:rPr>
        </w:r>
        <w:r>
          <w:rPr>
            <w:webHidden/>
          </w:rPr>
          <w:fldChar w:fldCharType="separate"/>
        </w:r>
        <w:r w:rsidR="00CE6342">
          <w:rPr>
            <w:webHidden/>
          </w:rPr>
          <w:t>35</w:t>
        </w:r>
        <w:r>
          <w:rPr>
            <w:webHidden/>
          </w:rPr>
          <w:fldChar w:fldCharType="end"/>
        </w:r>
      </w:hyperlink>
    </w:p>
    <w:p w:rsidR="005D6836" w:rsidRDefault="00002B71">
      <w:pPr>
        <w:pStyle w:val="TOC3"/>
        <w:rPr>
          <w:rFonts w:asciiTheme="minorHAnsi" w:eastAsiaTheme="minorEastAsia" w:hAnsiTheme="minorHAnsi" w:cstheme="minorBidi"/>
          <w:sz w:val="22"/>
          <w:szCs w:val="22"/>
        </w:rPr>
      </w:pPr>
      <w:hyperlink w:anchor="_Toc289256749" w:history="1">
        <w:r w:rsidR="005D6836" w:rsidRPr="005E6D50">
          <w:rPr>
            <w:rStyle w:val="Hyperlink"/>
          </w:rPr>
          <w:t>6.8 Fostering a balanced approach</w:t>
        </w:r>
        <w:r w:rsidR="005D6836">
          <w:rPr>
            <w:webHidden/>
          </w:rPr>
          <w:tab/>
        </w:r>
        <w:r>
          <w:rPr>
            <w:webHidden/>
          </w:rPr>
          <w:fldChar w:fldCharType="begin"/>
        </w:r>
        <w:r w:rsidR="005D6836">
          <w:rPr>
            <w:webHidden/>
          </w:rPr>
          <w:instrText xml:space="preserve"> PAGEREF _Toc289256749 \h </w:instrText>
        </w:r>
        <w:r>
          <w:rPr>
            <w:webHidden/>
          </w:rPr>
        </w:r>
        <w:r>
          <w:rPr>
            <w:webHidden/>
          </w:rPr>
          <w:fldChar w:fldCharType="separate"/>
        </w:r>
        <w:r w:rsidR="00CE6342">
          <w:rPr>
            <w:webHidden/>
          </w:rPr>
          <w:t>35</w:t>
        </w:r>
        <w:r>
          <w:rPr>
            <w:webHidden/>
          </w:rPr>
          <w:fldChar w:fldCharType="end"/>
        </w:r>
      </w:hyperlink>
    </w:p>
    <w:p w:rsidR="005D6836" w:rsidRDefault="00002B71">
      <w:pPr>
        <w:pStyle w:val="TOC3"/>
        <w:rPr>
          <w:rFonts w:asciiTheme="minorHAnsi" w:eastAsiaTheme="minorEastAsia" w:hAnsiTheme="minorHAnsi" w:cstheme="minorBidi"/>
          <w:sz w:val="22"/>
          <w:szCs w:val="22"/>
        </w:rPr>
      </w:pPr>
      <w:hyperlink w:anchor="_Toc289256750" w:history="1">
        <w:r w:rsidR="005D6836" w:rsidRPr="005E6D50">
          <w:rPr>
            <w:rStyle w:val="Hyperlink"/>
          </w:rPr>
          <w:t>6.9 Social networks: social norms, media influence and celebrity influence</w:t>
        </w:r>
        <w:r w:rsidR="005D6836">
          <w:rPr>
            <w:webHidden/>
          </w:rPr>
          <w:tab/>
        </w:r>
        <w:r>
          <w:rPr>
            <w:webHidden/>
          </w:rPr>
          <w:fldChar w:fldCharType="begin"/>
        </w:r>
        <w:r w:rsidR="005D6836">
          <w:rPr>
            <w:webHidden/>
          </w:rPr>
          <w:instrText xml:space="preserve"> PAGEREF _Toc289256750 \h </w:instrText>
        </w:r>
        <w:r>
          <w:rPr>
            <w:webHidden/>
          </w:rPr>
        </w:r>
        <w:r>
          <w:rPr>
            <w:webHidden/>
          </w:rPr>
          <w:fldChar w:fldCharType="separate"/>
        </w:r>
        <w:r w:rsidR="00CE6342">
          <w:rPr>
            <w:webHidden/>
          </w:rPr>
          <w:t>36</w:t>
        </w:r>
        <w:r>
          <w:rPr>
            <w:webHidden/>
          </w:rPr>
          <w:fldChar w:fldCharType="end"/>
        </w:r>
      </w:hyperlink>
    </w:p>
    <w:p w:rsidR="005D6836" w:rsidRDefault="00002B71">
      <w:pPr>
        <w:pStyle w:val="TOC1"/>
        <w:tabs>
          <w:tab w:val="right" w:leader="dot" w:pos="8296"/>
        </w:tabs>
        <w:rPr>
          <w:rFonts w:asciiTheme="minorHAnsi" w:eastAsiaTheme="minorEastAsia" w:hAnsiTheme="minorHAnsi" w:cstheme="minorBidi"/>
          <w:noProof/>
          <w:sz w:val="22"/>
          <w:szCs w:val="22"/>
        </w:rPr>
      </w:pPr>
      <w:hyperlink w:anchor="_Toc289256751" w:history="1">
        <w:r w:rsidR="005D6836" w:rsidRPr="005E6D50">
          <w:rPr>
            <w:rStyle w:val="Hyperlink"/>
            <w:noProof/>
          </w:rPr>
          <w:t>7.0 Important Outstanding Factors Not Addressed in the White Paper</w:t>
        </w:r>
        <w:r w:rsidR="005D6836">
          <w:rPr>
            <w:noProof/>
            <w:webHidden/>
          </w:rPr>
          <w:tab/>
        </w:r>
        <w:r>
          <w:rPr>
            <w:noProof/>
            <w:webHidden/>
          </w:rPr>
          <w:fldChar w:fldCharType="begin"/>
        </w:r>
        <w:r w:rsidR="005D6836">
          <w:rPr>
            <w:noProof/>
            <w:webHidden/>
          </w:rPr>
          <w:instrText xml:space="preserve"> PAGEREF _Toc289256751 \h </w:instrText>
        </w:r>
        <w:r>
          <w:rPr>
            <w:noProof/>
            <w:webHidden/>
          </w:rPr>
        </w:r>
        <w:r>
          <w:rPr>
            <w:noProof/>
            <w:webHidden/>
          </w:rPr>
          <w:fldChar w:fldCharType="separate"/>
        </w:r>
        <w:r w:rsidR="00CE6342">
          <w:rPr>
            <w:noProof/>
            <w:webHidden/>
          </w:rPr>
          <w:t>37</w:t>
        </w:r>
        <w:r>
          <w:rPr>
            <w:noProof/>
            <w:webHidden/>
          </w:rPr>
          <w:fldChar w:fldCharType="end"/>
        </w:r>
      </w:hyperlink>
    </w:p>
    <w:p w:rsidR="005D6836" w:rsidRDefault="00002B71">
      <w:pPr>
        <w:pStyle w:val="TOC3"/>
        <w:rPr>
          <w:rFonts w:asciiTheme="minorHAnsi" w:eastAsiaTheme="minorEastAsia" w:hAnsiTheme="minorHAnsi" w:cstheme="minorBidi"/>
          <w:sz w:val="22"/>
          <w:szCs w:val="22"/>
        </w:rPr>
      </w:pPr>
      <w:hyperlink w:anchor="_Toc289256752" w:history="1">
        <w:r w:rsidR="005D6836" w:rsidRPr="005E6D50">
          <w:rPr>
            <w:rStyle w:val="Hyperlink"/>
          </w:rPr>
          <w:t>7.1 Legitimacy and trust</w:t>
        </w:r>
        <w:r w:rsidR="005D6836">
          <w:rPr>
            <w:webHidden/>
          </w:rPr>
          <w:tab/>
        </w:r>
        <w:r>
          <w:rPr>
            <w:webHidden/>
          </w:rPr>
          <w:fldChar w:fldCharType="begin"/>
        </w:r>
        <w:r w:rsidR="005D6836">
          <w:rPr>
            <w:webHidden/>
          </w:rPr>
          <w:instrText xml:space="preserve"> PAGEREF _Toc289256752 \h </w:instrText>
        </w:r>
        <w:r>
          <w:rPr>
            <w:webHidden/>
          </w:rPr>
        </w:r>
        <w:r>
          <w:rPr>
            <w:webHidden/>
          </w:rPr>
          <w:fldChar w:fldCharType="separate"/>
        </w:r>
        <w:r w:rsidR="00CE6342">
          <w:rPr>
            <w:webHidden/>
          </w:rPr>
          <w:t>37</w:t>
        </w:r>
        <w:r>
          <w:rPr>
            <w:webHidden/>
          </w:rPr>
          <w:fldChar w:fldCharType="end"/>
        </w:r>
      </w:hyperlink>
    </w:p>
    <w:p w:rsidR="005D6836" w:rsidRDefault="00002B71">
      <w:pPr>
        <w:pStyle w:val="TOC3"/>
        <w:rPr>
          <w:rFonts w:asciiTheme="minorHAnsi" w:eastAsiaTheme="minorEastAsia" w:hAnsiTheme="minorHAnsi" w:cstheme="minorBidi"/>
          <w:sz w:val="22"/>
          <w:szCs w:val="22"/>
        </w:rPr>
      </w:pPr>
      <w:hyperlink w:anchor="_Toc289256753" w:history="1">
        <w:r w:rsidR="005D6836" w:rsidRPr="005E6D50">
          <w:rPr>
            <w:rStyle w:val="Hyperlink"/>
          </w:rPr>
          <w:t>7.1.1.  The source of information</w:t>
        </w:r>
        <w:r w:rsidR="005D6836">
          <w:rPr>
            <w:webHidden/>
          </w:rPr>
          <w:tab/>
        </w:r>
        <w:r>
          <w:rPr>
            <w:webHidden/>
          </w:rPr>
          <w:fldChar w:fldCharType="begin"/>
        </w:r>
        <w:r w:rsidR="005D6836">
          <w:rPr>
            <w:webHidden/>
          </w:rPr>
          <w:instrText xml:space="preserve"> PAGEREF _Toc289256753 \h </w:instrText>
        </w:r>
        <w:r>
          <w:rPr>
            <w:webHidden/>
          </w:rPr>
        </w:r>
        <w:r>
          <w:rPr>
            <w:webHidden/>
          </w:rPr>
          <w:fldChar w:fldCharType="separate"/>
        </w:r>
        <w:r w:rsidR="00CE6342">
          <w:rPr>
            <w:webHidden/>
          </w:rPr>
          <w:t>37</w:t>
        </w:r>
        <w:r>
          <w:rPr>
            <w:webHidden/>
          </w:rPr>
          <w:fldChar w:fldCharType="end"/>
        </w:r>
      </w:hyperlink>
    </w:p>
    <w:p w:rsidR="005D6836" w:rsidRDefault="00002B71">
      <w:pPr>
        <w:pStyle w:val="TOC3"/>
        <w:rPr>
          <w:rFonts w:asciiTheme="minorHAnsi" w:eastAsiaTheme="minorEastAsia" w:hAnsiTheme="minorHAnsi" w:cstheme="minorBidi"/>
          <w:sz w:val="22"/>
          <w:szCs w:val="22"/>
        </w:rPr>
      </w:pPr>
      <w:hyperlink w:anchor="_Toc289256754" w:history="1">
        <w:r w:rsidR="005D6836" w:rsidRPr="005E6D50">
          <w:rPr>
            <w:rStyle w:val="Hyperlink"/>
          </w:rPr>
          <w:t>7.2 Ethical issues in behaviour change programmes - Benefits, risk and unintended consequences</w:t>
        </w:r>
        <w:r w:rsidR="005D6836">
          <w:rPr>
            <w:webHidden/>
          </w:rPr>
          <w:tab/>
        </w:r>
        <w:r>
          <w:rPr>
            <w:webHidden/>
          </w:rPr>
          <w:fldChar w:fldCharType="begin"/>
        </w:r>
        <w:r w:rsidR="005D6836">
          <w:rPr>
            <w:webHidden/>
          </w:rPr>
          <w:instrText xml:space="preserve"> PAGEREF _Toc289256754 \h </w:instrText>
        </w:r>
        <w:r>
          <w:rPr>
            <w:webHidden/>
          </w:rPr>
        </w:r>
        <w:r>
          <w:rPr>
            <w:webHidden/>
          </w:rPr>
          <w:fldChar w:fldCharType="separate"/>
        </w:r>
        <w:r w:rsidR="00CE6342">
          <w:rPr>
            <w:webHidden/>
          </w:rPr>
          <w:t>38</w:t>
        </w:r>
        <w:r>
          <w:rPr>
            <w:webHidden/>
          </w:rPr>
          <w:fldChar w:fldCharType="end"/>
        </w:r>
      </w:hyperlink>
    </w:p>
    <w:p w:rsidR="005D6836" w:rsidRDefault="00002B71">
      <w:pPr>
        <w:pStyle w:val="TOC3"/>
        <w:rPr>
          <w:rFonts w:asciiTheme="minorHAnsi" w:eastAsiaTheme="minorEastAsia" w:hAnsiTheme="minorHAnsi" w:cstheme="minorBidi"/>
          <w:sz w:val="22"/>
          <w:szCs w:val="22"/>
        </w:rPr>
      </w:pPr>
      <w:hyperlink w:anchor="_Toc289256755" w:history="1">
        <w:r w:rsidR="005D6836" w:rsidRPr="005E6D50">
          <w:rPr>
            <w:rStyle w:val="Hyperlink"/>
          </w:rPr>
          <w:t>7.3 Risk and behaviour change programmes</w:t>
        </w:r>
        <w:r w:rsidR="005D6836">
          <w:rPr>
            <w:webHidden/>
          </w:rPr>
          <w:tab/>
        </w:r>
        <w:r>
          <w:rPr>
            <w:webHidden/>
          </w:rPr>
          <w:fldChar w:fldCharType="begin"/>
        </w:r>
        <w:r w:rsidR="005D6836">
          <w:rPr>
            <w:webHidden/>
          </w:rPr>
          <w:instrText xml:space="preserve"> PAGEREF _Toc289256755 \h </w:instrText>
        </w:r>
        <w:r>
          <w:rPr>
            <w:webHidden/>
          </w:rPr>
        </w:r>
        <w:r>
          <w:rPr>
            <w:webHidden/>
          </w:rPr>
          <w:fldChar w:fldCharType="separate"/>
        </w:r>
        <w:r w:rsidR="00CE6342">
          <w:rPr>
            <w:webHidden/>
          </w:rPr>
          <w:t>42</w:t>
        </w:r>
        <w:r>
          <w:rPr>
            <w:webHidden/>
          </w:rPr>
          <w:fldChar w:fldCharType="end"/>
        </w:r>
      </w:hyperlink>
    </w:p>
    <w:p w:rsidR="005D6836" w:rsidRDefault="00002B71">
      <w:pPr>
        <w:pStyle w:val="TOC1"/>
        <w:tabs>
          <w:tab w:val="right" w:leader="dot" w:pos="8296"/>
        </w:tabs>
        <w:rPr>
          <w:rFonts w:asciiTheme="minorHAnsi" w:eastAsiaTheme="minorEastAsia" w:hAnsiTheme="minorHAnsi" w:cstheme="minorBidi"/>
          <w:noProof/>
          <w:sz w:val="22"/>
          <w:szCs w:val="22"/>
        </w:rPr>
      </w:pPr>
      <w:hyperlink w:anchor="_Toc289256756" w:history="1">
        <w:r w:rsidR="005D6836" w:rsidRPr="005E6D50">
          <w:rPr>
            <w:rStyle w:val="Hyperlink"/>
            <w:noProof/>
          </w:rPr>
          <w:t>8.0 Intervening Effectively</w:t>
        </w:r>
        <w:r w:rsidR="005D6836">
          <w:rPr>
            <w:noProof/>
            <w:webHidden/>
          </w:rPr>
          <w:tab/>
        </w:r>
        <w:r>
          <w:rPr>
            <w:noProof/>
            <w:webHidden/>
          </w:rPr>
          <w:fldChar w:fldCharType="begin"/>
        </w:r>
        <w:r w:rsidR="005D6836">
          <w:rPr>
            <w:noProof/>
            <w:webHidden/>
          </w:rPr>
          <w:instrText xml:space="preserve"> PAGEREF _Toc289256756 \h </w:instrText>
        </w:r>
        <w:r>
          <w:rPr>
            <w:noProof/>
            <w:webHidden/>
          </w:rPr>
        </w:r>
        <w:r>
          <w:rPr>
            <w:noProof/>
            <w:webHidden/>
          </w:rPr>
          <w:fldChar w:fldCharType="separate"/>
        </w:r>
        <w:r w:rsidR="00CE6342">
          <w:rPr>
            <w:noProof/>
            <w:webHidden/>
          </w:rPr>
          <w:t>47</w:t>
        </w:r>
        <w:r>
          <w:rPr>
            <w:noProof/>
            <w:webHidden/>
          </w:rPr>
          <w:fldChar w:fldCharType="end"/>
        </w:r>
      </w:hyperlink>
    </w:p>
    <w:p w:rsidR="005D6836" w:rsidRDefault="00002B71">
      <w:pPr>
        <w:pStyle w:val="TOC3"/>
        <w:rPr>
          <w:rFonts w:asciiTheme="minorHAnsi" w:eastAsiaTheme="minorEastAsia" w:hAnsiTheme="minorHAnsi" w:cstheme="minorBidi"/>
          <w:sz w:val="22"/>
          <w:szCs w:val="22"/>
        </w:rPr>
      </w:pPr>
      <w:hyperlink w:anchor="_Toc289256757" w:history="1">
        <w:r w:rsidR="005D6836" w:rsidRPr="005E6D50">
          <w:rPr>
            <w:rStyle w:val="Hyperlink"/>
          </w:rPr>
          <w:t>8.1  Theoretical limitations</w:t>
        </w:r>
        <w:r w:rsidR="005D6836">
          <w:rPr>
            <w:webHidden/>
          </w:rPr>
          <w:tab/>
        </w:r>
        <w:r>
          <w:rPr>
            <w:webHidden/>
          </w:rPr>
          <w:fldChar w:fldCharType="begin"/>
        </w:r>
        <w:r w:rsidR="005D6836">
          <w:rPr>
            <w:webHidden/>
          </w:rPr>
          <w:instrText xml:space="preserve"> PAGEREF _Toc289256757 \h </w:instrText>
        </w:r>
        <w:r>
          <w:rPr>
            <w:webHidden/>
          </w:rPr>
        </w:r>
        <w:r>
          <w:rPr>
            <w:webHidden/>
          </w:rPr>
          <w:fldChar w:fldCharType="separate"/>
        </w:r>
        <w:r w:rsidR="00CE6342">
          <w:rPr>
            <w:webHidden/>
          </w:rPr>
          <w:t>47</w:t>
        </w:r>
        <w:r>
          <w:rPr>
            <w:webHidden/>
          </w:rPr>
          <w:fldChar w:fldCharType="end"/>
        </w:r>
      </w:hyperlink>
    </w:p>
    <w:p w:rsidR="005D6836" w:rsidRDefault="00002B71">
      <w:pPr>
        <w:pStyle w:val="TOC3"/>
        <w:rPr>
          <w:rFonts w:asciiTheme="minorHAnsi" w:eastAsiaTheme="minorEastAsia" w:hAnsiTheme="minorHAnsi" w:cstheme="minorBidi"/>
          <w:sz w:val="22"/>
          <w:szCs w:val="22"/>
        </w:rPr>
      </w:pPr>
      <w:hyperlink w:anchor="_Toc289256758" w:history="1">
        <w:r w:rsidR="005D6836" w:rsidRPr="005E6D50">
          <w:rPr>
            <w:rStyle w:val="Hyperlink"/>
          </w:rPr>
          <w:t>8.2 Behavioural economics / ‘Nudge’</w:t>
        </w:r>
        <w:r w:rsidR="005D6836">
          <w:rPr>
            <w:webHidden/>
          </w:rPr>
          <w:tab/>
        </w:r>
        <w:r>
          <w:rPr>
            <w:webHidden/>
          </w:rPr>
          <w:fldChar w:fldCharType="begin"/>
        </w:r>
        <w:r w:rsidR="005D6836">
          <w:rPr>
            <w:webHidden/>
          </w:rPr>
          <w:instrText xml:space="preserve"> PAGEREF _Toc289256758 \h </w:instrText>
        </w:r>
        <w:r>
          <w:rPr>
            <w:webHidden/>
          </w:rPr>
        </w:r>
        <w:r>
          <w:rPr>
            <w:webHidden/>
          </w:rPr>
          <w:fldChar w:fldCharType="separate"/>
        </w:r>
        <w:r w:rsidR="00CE6342">
          <w:rPr>
            <w:webHidden/>
          </w:rPr>
          <w:t>48</w:t>
        </w:r>
        <w:r>
          <w:rPr>
            <w:webHidden/>
          </w:rPr>
          <w:fldChar w:fldCharType="end"/>
        </w:r>
      </w:hyperlink>
    </w:p>
    <w:p w:rsidR="005D6836" w:rsidRDefault="00002B71">
      <w:pPr>
        <w:pStyle w:val="TOC3"/>
        <w:rPr>
          <w:rFonts w:asciiTheme="minorHAnsi" w:eastAsiaTheme="minorEastAsia" w:hAnsiTheme="minorHAnsi" w:cstheme="minorBidi"/>
          <w:sz w:val="22"/>
          <w:szCs w:val="22"/>
        </w:rPr>
      </w:pPr>
      <w:hyperlink w:anchor="_Toc289256759" w:history="1">
        <w:r w:rsidR="005D6836" w:rsidRPr="005E6D50">
          <w:rPr>
            <w:rStyle w:val="Hyperlink"/>
          </w:rPr>
          <w:t>8.3   Unintended consequences</w:t>
        </w:r>
        <w:r w:rsidR="005D6836">
          <w:rPr>
            <w:webHidden/>
          </w:rPr>
          <w:tab/>
        </w:r>
        <w:r>
          <w:rPr>
            <w:webHidden/>
          </w:rPr>
          <w:fldChar w:fldCharType="begin"/>
        </w:r>
        <w:r w:rsidR="005D6836">
          <w:rPr>
            <w:webHidden/>
          </w:rPr>
          <w:instrText xml:space="preserve"> PAGEREF _Toc289256759 \h </w:instrText>
        </w:r>
        <w:r>
          <w:rPr>
            <w:webHidden/>
          </w:rPr>
        </w:r>
        <w:r>
          <w:rPr>
            <w:webHidden/>
          </w:rPr>
          <w:fldChar w:fldCharType="separate"/>
        </w:r>
        <w:r w:rsidR="00CE6342">
          <w:rPr>
            <w:webHidden/>
          </w:rPr>
          <w:t>49</w:t>
        </w:r>
        <w:r>
          <w:rPr>
            <w:webHidden/>
          </w:rPr>
          <w:fldChar w:fldCharType="end"/>
        </w:r>
      </w:hyperlink>
    </w:p>
    <w:p w:rsidR="005D6836" w:rsidRDefault="00002B71">
      <w:pPr>
        <w:pStyle w:val="TOC3"/>
        <w:rPr>
          <w:rFonts w:asciiTheme="minorHAnsi" w:eastAsiaTheme="minorEastAsia" w:hAnsiTheme="minorHAnsi" w:cstheme="minorBidi"/>
          <w:sz w:val="22"/>
          <w:szCs w:val="22"/>
        </w:rPr>
      </w:pPr>
      <w:hyperlink w:anchor="_Toc289256760" w:history="1">
        <w:r w:rsidR="005D6836" w:rsidRPr="005E6D50">
          <w:rPr>
            <w:rStyle w:val="Hyperlink"/>
          </w:rPr>
          <w:t>8.4   Message framing</w:t>
        </w:r>
        <w:r w:rsidR="005D6836">
          <w:rPr>
            <w:webHidden/>
          </w:rPr>
          <w:tab/>
        </w:r>
        <w:r>
          <w:rPr>
            <w:webHidden/>
          </w:rPr>
          <w:fldChar w:fldCharType="begin"/>
        </w:r>
        <w:r w:rsidR="005D6836">
          <w:rPr>
            <w:webHidden/>
          </w:rPr>
          <w:instrText xml:space="preserve"> PAGEREF _Toc289256760 \h </w:instrText>
        </w:r>
        <w:r>
          <w:rPr>
            <w:webHidden/>
          </w:rPr>
        </w:r>
        <w:r>
          <w:rPr>
            <w:webHidden/>
          </w:rPr>
          <w:fldChar w:fldCharType="separate"/>
        </w:r>
        <w:r w:rsidR="00CE6342">
          <w:rPr>
            <w:webHidden/>
          </w:rPr>
          <w:t>49</w:t>
        </w:r>
        <w:r>
          <w:rPr>
            <w:webHidden/>
          </w:rPr>
          <w:fldChar w:fldCharType="end"/>
        </w:r>
      </w:hyperlink>
    </w:p>
    <w:p w:rsidR="005D6836" w:rsidRDefault="00002B71">
      <w:pPr>
        <w:pStyle w:val="TOC3"/>
        <w:rPr>
          <w:rFonts w:asciiTheme="minorHAnsi" w:eastAsiaTheme="minorEastAsia" w:hAnsiTheme="minorHAnsi" w:cstheme="minorBidi"/>
          <w:sz w:val="22"/>
          <w:szCs w:val="22"/>
        </w:rPr>
      </w:pPr>
      <w:hyperlink w:anchor="_Toc289256761" w:history="1">
        <w:r w:rsidR="005D6836" w:rsidRPr="005E6D50">
          <w:rPr>
            <w:rStyle w:val="Hyperlink"/>
          </w:rPr>
          <w:t>8.4.1 Message framing – positive messages</w:t>
        </w:r>
        <w:r w:rsidR="005D6836">
          <w:rPr>
            <w:webHidden/>
          </w:rPr>
          <w:tab/>
        </w:r>
        <w:r>
          <w:rPr>
            <w:webHidden/>
          </w:rPr>
          <w:fldChar w:fldCharType="begin"/>
        </w:r>
        <w:r w:rsidR="005D6836">
          <w:rPr>
            <w:webHidden/>
          </w:rPr>
          <w:instrText xml:space="preserve"> PAGEREF _Toc289256761 \h </w:instrText>
        </w:r>
        <w:r>
          <w:rPr>
            <w:webHidden/>
          </w:rPr>
        </w:r>
        <w:r>
          <w:rPr>
            <w:webHidden/>
          </w:rPr>
          <w:fldChar w:fldCharType="separate"/>
        </w:r>
        <w:r w:rsidR="00CE6342">
          <w:rPr>
            <w:webHidden/>
          </w:rPr>
          <w:t>50</w:t>
        </w:r>
        <w:r>
          <w:rPr>
            <w:webHidden/>
          </w:rPr>
          <w:fldChar w:fldCharType="end"/>
        </w:r>
      </w:hyperlink>
    </w:p>
    <w:p w:rsidR="005D6836" w:rsidRDefault="00002B71">
      <w:pPr>
        <w:pStyle w:val="TOC3"/>
        <w:rPr>
          <w:rFonts w:asciiTheme="minorHAnsi" w:eastAsiaTheme="minorEastAsia" w:hAnsiTheme="minorHAnsi" w:cstheme="minorBidi"/>
          <w:sz w:val="22"/>
          <w:szCs w:val="22"/>
        </w:rPr>
      </w:pPr>
      <w:hyperlink w:anchor="_Toc289256762" w:history="1">
        <w:r w:rsidR="005D6836" w:rsidRPr="005E6D50">
          <w:rPr>
            <w:rStyle w:val="Hyperlink"/>
          </w:rPr>
          <w:t>8.4.2 Message framing – fear appeals</w:t>
        </w:r>
        <w:r w:rsidR="005D6836">
          <w:rPr>
            <w:webHidden/>
          </w:rPr>
          <w:tab/>
        </w:r>
        <w:r>
          <w:rPr>
            <w:webHidden/>
          </w:rPr>
          <w:fldChar w:fldCharType="begin"/>
        </w:r>
        <w:r w:rsidR="005D6836">
          <w:rPr>
            <w:webHidden/>
          </w:rPr>
          <w:instrText xml:space="preserve"> PAGEREF _Toc289256762 \h </w:instrText>
        </w:r>
        <w:r>
          <w:rPr>
            <w:webHidden/>
          </w:rPr>
        </w:r>
        <w:r>
          <w:rPr>
            <w:webHidden/>
          </w:rPr>
          <w:fldChar w:fldCharType="separate"/>
        </w:r>
        <w:r w:rsidR="00CE6342">
          <w:rPr>
            <w:webHidden/>
          </w:rPr>
          <w:t>51</w:t>
        </w:r>
        <w:r>
          <w:rPr>
            <w:webHidden/>
          </w:rPr>
          <w:fldChar w:fldCharType="end"/>
        </w:r>
      </w:hyperlink>
    </w:p>
    <w:p w:rsidR="005D6836" w:rsidRDefault="00002B71">
      <w:pPr>
        <w:pStyle w:val="TOC3"/>
        <w:rPr>
          <w:rFonts w:asciiTheme="minorHAnsi" w:eastAsiaTheme="minorEastAsia" w:hAnsiTheme="minorHAnsi" w:cstheme="minorBidi"/>
          <w:sz w:val="22"/>
          <w:szCs w:val="22"/>
        </w:rPr>
      </w:pPr>
      <w:hyperlink w:anchor="_Toc289256763" w:history="1">
        <w:r w:rsidR="005D6836" w:rsidRPr="005E6D50">
          <w:rPr>
            <w:rStyle w:val="Hyperlink"/>
          </w:rPr>
          <w:t>8.5 Emphasis on the need for good leadership</w:t>
        </w:r>
        <w:r w:rsidR="005D6836">
          <w:rPr>
            <w:webHidden/>
          </w:rPr>
          <w:tab/>
        </w:r>
        <w:r>
          <w:rPr>
            <w:webHidden/>
          </w:rPr>
          <w:fldChar w:fldCharType="begin"/>
        </w:r>
        <w:r w:rsidR="005D6836">
          <w:rPr>
            <w:webHidden/>
          </w:rPr>
          <w:instrText xml:space="preserve"> PAGEREF _Toc289256763 \h </w:instrText>
        </w:r>
        <w:r>
          <w:rPr>
            <w:webHidden/>
          </w:rPr>
        </w:r>
        <w:r>
          <w:rPr>
            <w:webHidden/>
          </w:rPr>
          <w:fldChar w:fldCharType="separate"/>
        </w:r>
        <w:r w:rsidR="00CE6342">
          <w:rPr>
            <w:webHidden/>
          </w:rPr>
          <w:t>55</w:t>
        </w:r>
        <w:r>
          <w:rPr>
            <w:webHidden/>
          </w:rPr>
          <w:fldChar w:fldCharType="end"/>
        </w:r>
      </w:hyperlink>
    </w:p>
    <w:p w:rsidR="005D6836" w:rsidRDefault="00002B71">
      <w:pPr>
        <w:pStyle w:val="TOC3"/>
        <w:rPr>
          <w:rFonts w:asciiTheme="minorHAnsi" w:eastAsiaTheme="minorEastAsia" w:hAnsiTheme="minorHAnsi" w:cstheme="minorBidi"/>
          <w:sz w:val="22"/>
          <w:szCs w:val="22"/>
        </w:rPr>
      </w:pPr>
      <w:hyperlink w:anchor="_Toc289256764" w:history="1">
        <w:r w:rsidR="005D6836" w:rsidRPr="005E6D50">
          <w:rPr>
            <w:rStyle w:val="Hyperlink"/>
          </w:rPr>
          <w:t>8.6.  Different approaches for different stages in the life course</w:t>
        </w:r>
        <w:r w:rsidR="005D6836">
          <w:rPr>
            <w:webHidden/>
          </w:rPr>
          <w:tab/>
        </w:r>
        <w:r>
          <w:rPr>
            <w:webHidden/>
          </w:rPr>
          <w:fldChar w:fldCharType="begin"/>
        </w:r>
        <w:r w:rsidR="005D6836">
          <w:rPr>
            <w:webHidden/>
          </w:rPr>
          <w:instrText xml:space="preserve"> PAGEREF _Toc289256764 \h </w:instrText>
        </w:r>
        <w:r>
          <w:rPr>
            <w:webHidden/>
          </w:rPr>
        </w:r>
        <w:r>
          <w:rPr>
            <w:webHidden/>
          </w:rPr>
          <w:fldChar w:fldCharType="separate"/>
        </w:r>
        <w:r w:rsidR="00CE6342">
          <w:rPr>
            <w:webHidden/>
          </w:rPr>
          <w:t>56</w:t>
        </w:r>
        <w:r>
          <w:rPr>
            <w:webHidden/>
          </w:rPr>
          <w:fldChar w:fldCharType="end"/>
        </w:r>
      </w:hyperlink>
    </w:p>
    <w:p w:rsidR="005D6836" w:rsidRDefault="00002B71">
      <w:pPr>
        <w:pStyle w:val="TOC3"/>
        <w:rPr>
          <w:rFonts w:asciiTheme="minorHAnsi" w:eastAsiaTheme="minorEastAsia" w:hAnsiTheme="minorHAnsi" w:cstheme="minorBidi"/>
          <w:sz w:val="22"/>
          <w:szCs w:val="22"/>
        </w:rPr>
      </w:pPr>
      <w:hyperlink w:anchor="_Toc289256765" w:history="1">
        <w:r w:rsidR="005D6836" w:rsidRPr="005E6D50">
          <w:rPr>
            <w:rStyle w:val="Hyperlink"/>
          </w:rPr>
          <w:t>8.7  HLWP Reaching across and reaching out – addressing the root causes of ill health</w:t>
        </w:r>
        <w:r w:rsidR="005D6836">
          <w:rPr>
            <w:webHidden/>
          </w:rPr>
          <w:tab/>
        </w:r>
        <w:r>
          <w:rPr>
            <w:webHidden/>
          </w:rPr>
          <w:fldChar w:fldCharType="begin"/>
        </w:r>
        <w:r w:rsidR="005D6836">
          <w:rPr>
            <w:webHidden/>
          </w:rPr>
          <w:instrText xml:space="preserve"> PAGEREF _Toc289256765 \h </w:instrText>
        </w:r>
        <w:r>
          <w:rPr>
            <w:webHidden/>
          </w:rPr>
        </w:r>
        <w:r>
          <w:rPr>
            <w:webHidden/>
          </w:rPr>
          <w:fldChar w:fldCharType="separate"/>
        </w:r>
        <w:r w:rsidR="00CE6342">
          <w:rPr>
            <w:webHidden/>
          </w:rPr>
          <w:t>57</w:t>
        </w:r>
        <w:r>
          <w:rPr>
            <w:webHidden/>
          </w:rPr>
          <w:fldChar w:fldCharType="end"/>
        </w:r>
      </w:hyperlink>
    </w:p>
    <w:p w:rsidR="005D6836" w:rsidRDefault="00002B71">
      <w:pPr>
        <w:pStyle w:val="TOC3"/>
        <w:rPr>
          <w:rFonts w:asciiTheme="minorHAnsi" w:eastAsiaTheme="minorEastAsia" w:hAnsiTheme="minorHAnsi" w:cstheme="minorBidi"/>
          <w:sz w:val="22"/>
          <w:szCs w:val="22"/>
        </w:rPr>
      </w:pPr>
      <w:hyperlink w:anchor="_Toc289256766" w:history="1">
        <w:r w:rsidR="005D6836" w:rsidRPr="005E6D50">
          <w:rPr>
            <w:rStyle w:val="Hyperlink"/>
          </w:rPr>
          <w:t>8.8 HLWP Responsive – owned by communities, shaped to meet their needs</w:t>
        </w:r>
        <w:r w:rsidR="005D6836">
          <w:rPr>
            <w:webHidden/>
          </w:rPr>
          <w:tab/>
        </w:r>
        <w:r>
          <w:rPr>
            <w:webHidden/>
          </w:rPr>
          <w:fldChar w:fldCharType="begin"/>
        </w:r>
        <w:r w:rsidR="005D6836">
          <w:rPr>
            <w:webHidden/>
          </w:rPr>
          <w:instrText xml:space="preserve"> PAGEREF _Toc289256766 \h </w:instrText>
        </w:r>
        <w:r>
          <w:rPr>
            <w:webHidden/>
          </w:rPr>
        </w:r>
        <w:r>
          <w:rPr>
            <w:webHidden/>
          </w:rPr>
          <w:fldChar w:fldCharType="separate"/>
        </w:r>
        <w:r w:rsidR="00CE6342">
          <w:rPr>
            <w:webHidden/>
          </w:rPr>
          <w:t>58</w:t>
        </w:r>
        <w:r>
          <w:rPr>
            <w:webHidden/>
          </w:rPr>
          <w:fldChar w:fldCharType="end"/>
        </w:r>
      </w:hyperlink>
    </w:p>
    <w:p w:rsidR="005D6836" w:rsidRDefault="00002B71">
      <w:pPr>
        <w:pStyle w:val="TOC1"/>
        <w:tabs>
          <w:tab w:val="right" w:leader="dot" w:pos="8296"/>
        </w:tabs>
        <w:rPr>
          <w:rFonts w:asciiTheme="minorHAnsi" w:eastAsiaTheme="minorEastAsia" w:hAnsiTheme="minorHAnsi" w:cstheme="minorBidi"/>
          <w:noProof/>
          <w:sz w:val="22"/>
          <w:szCs w:val="22"/>
        </w:rPr>
      </w:pPr>
      <w:hyperlink w:anchor="_Toc289256767" w:history="1">
        <w:r w:rsidR="005D6836" w:rsidRPr="005E6D50">
          <w:rPr>
            <w:rStyle w:val="Hyperlink"/>
            <w:noProof/>
          </w:rPr>
          <w:t>9.  Effective Partnership Working:  The Importance of Outcomes</w:t>
        </w:r>
        <w:r w:rsidR="005D6836">
          <w:rPr>
            <w:noProof/>
            <w:webHidden/>
          </w:rPr>
          <w:tab/>
        </w:r>
        <w:r>
          <w:rPr>
            <w:noProof/>
            <w:webHidden/>
          </w:rPr>
          <w:fldChar w:fldCharType="begin"/>
        </w:r>
        <w:r w:rsidR="005D6836">
          <w:rPr>
            <w:noProof/>
            <w:webHidden/>
          </w:rPr>
          <w:instrText xml:space="preserve"> PAGEREF _Toc289256767 \h </w:instrText>
        </w:r>
        <w:r>
          <w:rPr>
            <w:noProof/>
            <w:webHidden/>
          </w:rPr>
        </w:r>
        <w:r>
          <w:rPr>
            <w:noProof/>
            <w:webHidden/>
          </w:rPr>
          <w:fldChar w:fldCharType="separate"/>
        </w:r>
        <w:r w:rsidR="00CE6342">
          <w:rPr>
            <w:noProof/>
            <w:webHidden/>
          </w:rPr>
          <w:t>59</w:t>
        </w:r>
        <w:r>
          <w:rPr>
            <w:noProof/>
            <w:webHidden/>
          </w:rPr>
          <w:fldChar w:fldCharType="end"/>
        </w:r>
      </w:hyperlink>
    </w:p>
    <w:p w:rsidR="005D6836" w:rsidRDefault="00002B71">
      <w:pPr>
        <w:pStyle w:val="TOC3"/>
        <w:rPr>
          <w:rFonts w:asciiTheme="minorHAnsi" w:eastAsiaTheme="minorEastAsia" w:hAnsiTheme="minorHAnsi" w:cstheme="minorBidi"/>
          <w:sz w:val="22"/>
          <w:szCs w:val="22"/>
        </w:rPr>
      </w:pPr>
      <w:hyperlink w:anchor="_Toc289256768" w:history="1">
        <w:r w:rsidR="005D6836" w:rsidRPr="005E6D50">
          <w:rPr>
            <w:rStyle w:val="Hyperlink"/>
          </w:rPr>
          <w:t>9.1   Evaluation of interventions hierarchy</w:t>
        </w:r>
        <w:r w:rsidR="005D6836">
          <w:rPr>
            <w:webHidden/>
          </w:rPr>
          <w:tab/>
        </w:r>
        <w:r>
          <w:rPr>
            <w:webHidden/>
          </w:rPr>
          <w:fldChar w:fldCharType="begin"/>
        </w:r>
        <w:r w:rsidR="005D6836">
          <w:rPr>
            <w:webHidden/>
          </w:rPr>
          <w:instrText xml:space="preserve"> PAGEREF _Toc289256768 \h </w:instrText>
        </w:r>
        <w:r>
          <w:rPr>
            <w:webHidden/>
          </w:rPr>
        </w:r>
        <w:r>
          <w:rPr>
            <w:webHidden/>
          </w:rPr>
          <w:fldChar w:fldCharType="separate"/>
        </w:r>
        <w:r w:rsidR="00CE6342">
          <w:rPr>
            <w:webHidden/>
          </w:rPr>
          <w:t>59</w:t>
        </w:r>
        <w:r>
          <w:rPr>
            <w:webHidden/>
          </w:rPr>
          <w:fldChar w:fldCharType="end"/>
        </w:r>
      </w:hyperlink>
    </w:p>
    <w:p w:rsidR="005D6836" w:rsidRDefault="00002B71">
      <w:pPr>
        <w:pStyle w:val="TOC3"/>
        <w:rPr>
          <w:rFonts w:asciiTheme="minorHAnsi" w:eastAsiaTheme="minorEastAsia" w:hAnsiTheme="minorHAnsi" w:cstheme="minorBidi"/>
          <w:sz w:val="22"/>
          <w:szCs w:val="22"/>
        </w:rPr>
      </w:pPr>
      <w:hyperlink w:anchor="_Toc289256769" w:history="1">
        <w:r w:rsidR="005D6836" w:rsidRPr="005E6D50">
          <w:rPr>
            <w:rStyle w:val="Hyperlink"/>
          </w:rPr>
          <w:t>9.2   Evaluating multi-partner interventions</w:t>
        </w:r>
        <w:r w:rsidR="005D6836">
          <w:rPr>
            <w:webHidden/>
          </w:rPr>
          <w:tab/>
        </w:r>
        <w:r>
          <w:rPr>
            <w:webHidden/>
          </w:rPr>
          <w:fldChar w:fldCharType="begin"/>
        </w:r>
        <w:r w:rsidR="005D6836">
          <w:rPr>
            <w:webHidden/>
          </w:rPr>
          <w:instrText xml:space="preserve"> PAGEREF _Toc289256769 \h </w:instrText>
        </w:r>
        <w:r>
          <w:rPr>
            <w:webHidden/>
          </w:rPr>
        </w:r>
        <w:r>
          <w:rPr>
            <w:webHidden/>
          </w:rPr>
          <w:fldChar w:fldCharType="separate"/>
        </w:r>
        <w:r w:rsidR="00CE6342">
          <w:rPr>
            <w:webHidden/>
          </w:rPr>
          <w:t>61</w:t>
        </w:r>
        <w:r>
          <w:rPr>
            <w:webHidden/>
          </w:rPr>
          <w:fldChar w:fldCharType="end"/>
        </w:r>
      </w:hyperlink>
    </w:p>
    <w:p w:rsidR="005D6836" w:rsidRDefault="00002B71">
      <w:pPr>
        <w:pStyle w:val="TOC3"/>
        <w:rPr>
          <w:rFonts w:asciiTheme="minorHAnsi" w:eastAsiaTheme="minorEastAsia" w:hAnsiTheme="minorHAnsi" w:cstheme="minorBidi"/>
          <w:sz w:val="22"/>
          <w:szCs w:val="22"/>
        </w:rPr>
      </w:pPr>
      <w:hyperlink w:anchor="_Toc289256770" w:history="1">
        <w:r w:rsidR="005D6836" w:rsidRPr="005E6D50">
          <w:rPr>
            <w:rStyle w:val="Hyperlink"/>
          </w:rPr>
          <w:t>HLWP4.  A new public health system with strong local and national leadership</w:t>
        </w:r>
        <w:r w:rsidR="005D6836">
          <w:rPr>
            <w:webHidden/>
          </w:rPr>
          <w:tab/>
        </w:r>
        <w:r>
          <w:rPr>
            <w:webHidden/>
          </w:rPr>
          <w:fldChar w:fldCharType="begin"/>
        </w:r>
        <w:r w:rsidR="005D6836">
          <w:rPr>
            <w:webHidden/>
          </w:rPr>
          <w:instrText xml:space="preserve"> PAGEREF _Toc289256770 \h </w:instrText>
        </w:r>
        <w:r>
          <w:rPr>
            <w:webHidden/>
          </w:rPr>
        </w:r>
        <w:r>
          <w:rPr>
            <w:webHidden/>
          </w:rPr>
          <w:fldChar w:fldCharType="separate"/>
        </w:r>
        <w:r w:rsidR="00CE6342">
          <w:rPr>
            <w:webHidden/>
          </w:rPr>
          <w:t>62</w:t>
        </w:r>
        <w:r>
          <w:rPr>
            <w:webHidden/>
          </w:rPr>
          <w:fldChar w:fldCharType="end"/>
        </w:r>
      </w:hyperlink>
    </w:p>
    <w:p w:rsidR="005D6836" w:rsidRDefault="00002B71">
      <w:pPr>
        <w:pStyle w:val="TOC3"/>
        <w:rPr>
          <w:rFonts w:asciiTheme="minorHAnsi" w:eastAsiaTheme="minorEastAsia" w:hAnsiTheme="minorHAnsi" w:cstheme="minorBidi"/>
          <w:sz w:val="22"/>
          <w:szCs w:val="22"/>
        </w:rPr>
      </w:pPr>
      <w:hyperlink w:anchor="_Toc289256771" w:history="1">
        <w:r w:rsidR="005D6836" w:rsidRPr="005E6D50">
          <w:rPr>
            <w:rStyle w:val="Hyperlink"/>
          </w:rPr>
          <w:t>HLWPA new role and freedoms for local government</w:t>
        </w:r>
        <w:r w:rsidR="005D6836">
          <w:rPr>
            <w:webHidden/>
          </w:rPr>
          <w:tab/>
        </w:r>
        <w:r>
          <w:rPr>
            <w:webHidden/>
          </w:rPr>
          <w:fldChar w:fldCharType="begin"/>
        </w:r>
        <w:r w:rsidR="005D6836">
          <w:rPr>
            <w:webHidden/>
          </w:rPr>
          <w:instrText xml:space="preserve"> PAGEREF _Toc289256771 \h </w:instrText>
        </w:r>
        <w:r>
          <w:rPr>
            <w:webHidden/>
          </w:rPr>
        </w:r>
        <w:r>
          <w:rPr>
            <w:webHidden/>
          </w:rPr>
          <w:fldChar w:fldCharType="separate"/>
        </w:r>
        <w:r w:rsidR="00CE6342">
          <w:rPr>
            <w:webHidden/>
          </w:rPr>
          <w:t>63</w:t>
        </w:r>
        <w:r>
          <w:rPr>
            <w:webHidden/>
          </w:rPr>
          <w:fldChar w:fldCharType="end"/>
        </w:r>
      </w:hyperlink>
    </w:p>
    <w:p w:rsidR="005D6836" w:rsidRDefault="00002B71">
      <w:pPr>
        <w:pStyle w:val="TOC1"/>
        <w:tabs>
          <w:tab w:val="right" w:leader="dot" w:pos="8296"/>
        </w:tabs>
        <w:rPr>
          <w:rFonts w:asciiTheme="minorHAnsi" w:eastAsiaTheme="minorEastAsia" w:hAnsiTheme="minorHAnsi" w:cstheme="minorBidi"/>
          <w:noProof/>
          <w:sz w:val="22"/>
          <w:szCs w:val="22"/>
        </w:rPr>
      </w:pPr>
      <w:hyperlink w:anchor="_Toc289256772" w:history="1">
        <w:r w:rsidR="005D6836" w:rsidRPr="005E6D50">
          <w:rPr>
            <w:rStyle w:val="Hyperlink"/>
            <w:noProof/>
          </w:rPr>
          <w:t>10. Conclusion</w:t>
        </w:r>
        <w:r w:rsidR="005D6836">
          <w:rPr>
            <w:noProof/>
            <w:webHidden/>
          </w:rPr>
          <w:tab/>
        </w:r>
        <w:r>
          <w:rPr>
            <w:noProof/>
            <w:webHidden/>
          </w:rPr>
          <w:fldChar w:fldCharType="begin"/>
        </w:r>
        <w:r w:rsidR="005D6836">
          <w:rPr>
            <w:noProof/>
            <w:webHidden/>
          </w:rPr>
          <w:instrText xml:space="preserve"> PAGEREF _Toc289256772 \h </w:instrText>
        </w:r>
        <w:r>
          <w:rPr>
            <w:noProof/>
            <w:webHidden/>
          </w:rPr>
        </w:r>
        <w:r>
          <w:rPr>
            <w:noProof/>
            <w:webHidden/>
          </w:rPr>
          <w:fldChar w:fldCharType="separate"/>
        </w:r>
        <w:r w:rsidR="00CE6342">
          <w:rPr>
            <w:noProof/>
            <w:webHidden/>
          </w:rPr>
          <w:t>65</w:t>
        </w:r>
        <w:r>
          <w:rPr>
            <w:noProof/>
            <w:webHidden/>
          </w:rPr>
          <w:fldChar w:fldCharType="end"/>
        </w:r>
      </w:hyperlink>
    </w:p>
    <w:p w:rsidR="005D6836" w:rsidRDefault="00002B71">
      <w:pPr>
        <w:pStyle w:val="TOC2"/>
        <w:tabs>
          <w:tab w:val="right" w:leader="dot" w:pos="8296"/>
        </w:tabs>
        <w:rPr>
          <w:rFonts w:asciiTheme="minorHAnsi" w:eastAsiaTheme="minorEastAsia" w:hAnsiTheme="minorHAnsi" w:cstheme="minorBidi"/>
          <w:noProof/>
          <w:sz w:val="22"/>
          <w:szCs w:val="22"/>
        </w:rPr>
      </w:pPr>
      <w:hyperlink w:anchor="_Toc289256773" w:history="1">
        <w:r w:rsidR="005D6836" w:rsidRPr="005E6D50">
          <w:rPr>
            <w:rStyle w:val="Hyperlink"/>
            <w:noProof/>
          </w:rPr>
          <w:t>Contributors</w:t>
        </w:r>
        <w:r w:rsidR="005D6836">
          <w:rPr>
            <w:noProof/>
            <w:webHidden/>
          </w:rPr>
          <w:tab/>
        </w:r>
        <w:r>
          <w:rPr>
            <w:noProof/>
            <w:webHidden/>
          </w:rPr>
          <w:fldChar w:fldCharType="begin"/>
        </w:r>
        <w:r w:rsidR="005D6836">
          <w:rPr>
            <w:noProof/>
            <w:webHidden/>
          </w:rPr>
          <w:instrText xml:space="preserve"> PAGEREF _Toc289256773 \h </w:instrText>
        </w:r>
        <w:r>
          <w:rPr>
            <w:noProof/>
            <w:webHidden/>
          </w:rPr>
        </w:r>
        <w:r>
          <w:rPr>
            <w:noProof/>
            <w:webHidden/>
          </w:rPr>
          <w:fldChar w:fldCharType="separate"/>
        </w:r>
        <w:r w:rsidR="00CE6342">
          <w:rPr>
            <w:noProof/>
            <w:webHidden/>
          </w:rPr>
          <w:t>66</w:t>
        </w:r>
        <w:r>
          <w:rPr>
            <w:noProof/>
            <w:webHidden/>
          </w:rPr>
          <w:fldChar w:fldCharType="end"/>
        </w:r>
      </w:hyperlink>
    </w:p>
    <w:p w:rsidR="005D6836" w:rsidRDefault="00002B71">
      <w:pPr>
        <w:pStyle w:val="TOC2"/>
        <w:tabs>
          <w:tab w:val="right" w:leader="dot" w:pos="8296"/>
        </w:tabs>
        <w:rPr>
          <w:rFonts w:asciiTheme="minorHAnsi" w:eastAsiaTheme="minorEastAsia" w:hAnsiTheme="minorHAnsi" w:cstheme="minorBidi"/>
          <w:noProof/>
          <w:sz w:val="22"/>
          <w:szCs w:val="22"/>
        </w:rPr>
      </w:pPr>
      <w:hyperlink w:anchor="_Toc289256774" w:history="1">
        <w:r w:rsidR="005D6836" w:rsidRPr="005E6D50">
          <w:rPr>
            <w:rStyle w:val="Hyperlink"/>
            <w:noProof/>
            <w:lang w:val="en-NZ"/>
          </w:rPr>
          <w:t>Appendix A:  Critical Review of the Potential Efficacy of Product Placement Regulations on Health-related Issues</w:t>
        </w:r>
        <w:r w:rsidR="005D6836">
          <w:rPr>
            <w:noProof/>
            <w:webHidden/>
          </w:rPr>
          <w:tab/>
        </w:r>
        <w:r>
          <w:rPr>
            <w:noProof/>
            <w:webHidden/>
          </w:rPr>
          <w:fldChar w:fldCharType="begin"/>
        </w:r>
        <w:r w:rsidR="005D6836">
          <w:rPr>
            <w:noProof/>
            <w:webHidden/>
          </w:rPr>
          <w:instrText xml:space="preserve"> PAGEREF _Toc289256774 \h </w:instrText>
        </w:r>
        <w:r>
          <w:rPr>
            <w:noProof/>
            <w:webHidden/>
          </w:rPr>
        </w:r>
        <w:r>
          <w:rPr>
            <w:noProof/>
            <w:webHidden/>
          </w:rPr>
          <w:fldChar w:fldCharType="separate"/>
        </w:r>
        <w:r w:rsidR="00CE6342">
          <w:rPr>
            <w:noProof/>
            <w:webHidden/>
          </w:rPr>
          <w:t>67</w:t>
        </w:r>
        <w:r>
          <w:rPr>
            <w:noProof/>
            <w:webHidden/>
          </w:rPr>
          <w:fldChar w:fldCharType="end"/>
        </w:r>
      </w:hyperlink>
    </w:p>
    <w:p w:rsidR="005D6836" w:rsidRDefault="00002B71">
      <w:pPr>
        <w:pStyle w:val="TOC1"/>
        <w:tabs>
          <w:tab w:val="right" w:leader="dot" w:pos="8296"/>
        </w:tabs>
        <w:rPr>
          <w:rFonts w:asciiTheme="minorHAnsi" w:eastAsiaTheme="minorEastAsia" w:hAnsiTheme="minorHAnsi" w:cstheme="minorBidi"/>
          <w:noProof/>
          <w:sz w:val="22"/>
          <w:szCs w:val="22"/>
        </w:rPr>
      </w:pPr>
      <w:hyperlink w:anchor="_Toc289256775" w:history="1">
        <w:r w:rsidR="005D6836" w:rsidRPr="005E6D50">
          <w:rPr>
            <w:rStyle w:val="Hyperlink"/>
            <w:noProof/>
            <w:lang w:val="en-NZ"/>
          </w:rPr>
          <w:t>References</w:t>
        </w:r>
        <w:r w:rsidR="005D6836">
          <w:rPr>
            <w:noProof/>
            <w:webHidden/>
          </w:rPr>
          <w:tab/>
        </w:r>
        <w:r>
          <w:rPr>
            <w:noProof/>
            <w:webHidden/>
          </w:rPr>
          <w:fldChar w:fldCharType="begin"/>
        </w:r>
        <w:r w:rsidR="005D6836">
          <w:rPr>
            <w:noProof/>
            <w:webHidden/>
          </w:rPr>
          <w:instrText xml:space="preserve"> PAGEREF _Toc289256775 \h </w:instrText>
        </w:r>
        <w:r>
          <w:rPr>
            <w:noProof/>
            <w:webHidden/>
          </w:rPr>
        </w:r>
        <w:r>
          <w:rPr>
            <w:noProof/>
            <w:webHidden/>
          </w:rPr>
          <w:fldChar w:fldCharType="separate"/>
        </w:r>
        <w:r w:rsidR="00CE6342">
          <w:rPr>
            <w:noProof/>
            <w:webHidden/>
          </w:rPr>
          <w:t>72</w:t>
        </w:r>
        <w:r>
          <w:rPr>
            <w:noProof/>
            <w:webHidden/>
          </w:rPr>
          <w:fldChar w:fldCharType="end"/>
        </w:r>
      </w:hyperlink>
    </w:p>
    <w:p w:rsidR="00C95CD2" w:rsidRDefault="00002B71">
      <w:r w:rsidRPr="00883E4D">
        <w:rPr>
          <w:rFonts w:asciiTheme="minorHAnsi" w:hAnsiTheme="minorHAnsi"/>
        </w:rPr>
        <w:fldChar w:fldCharType="end"/>
      </w:r>
    </w:p>
    <w:p w:rsidR="00A50E63" w:rsidRDefault="00A50E63">
      <w:pPr>
        <w:rPr>
          <w:rFonts w:asciiTheme="majorHAnsi" w:eastAsiaTheme="majorEastAsia" w:hAnsiTheme="majorHAnsi" w:cstheme="majorBidi"/>
          <w:b/>
          <w:bCs/>
          <w:color w:val="365F91" w:themeColor="accent1" w:themeShade="BF"/>
          <w:sz w:val="28"/>
          <w:szCs w:val="28"/>
        </w:rPr>
      </w:pPr>
      <w:r>
        <w:br w:type="page"/>
      </w:r>
    </w:p>
    <w:p w:rsidR="00C95CD2" w:rsidRPr="00C95CD2" w:rsidRDefault="00C95CD2" w:rsidP="00A541D4">
      <w:pPr>
        <w:pStyle w:val="Heading1"/>
      </w:pPr>
      <w:bookmarkStart w:id="0" w:name="_Toc289256725"/>
      <w:r w:rsidRPr="00C95CD2">
        <w:lastRenderedPageBreak/>
        <w:t>Executive Summary</w:t>
      </w:r>
      <w:bookmarkEnd w:id="0"/>
    </w:p>
    <w:p w:rsidR="00DB5AC1" w:rsidRDefault="00DB5AC1" w:rsidP="00C97857">
      <w:pPr>
        <w:jc w:val="both"/>
        <w:rPr>
          <w:rFonts w:asciiTheme="minorHAnsi" w:hAnsiTheme="minorHAnsi"/>
        </w:rPr>
      </w:pPr>
    </w:p>
    <w:p w:rsidR="00C97857" w:rsidRPr="00BE0F24" w:rsidRDefault="00C97857" w:rsidP="00C97857">
      <w:pPr>
        <w:jc w:val="both"/>
        <w:rPr>
          <w:rFonts w:asciiTheme="minorHAnsi" w:hAnsiTheme="minorHAnsi"/>
        </w:rPr>
      </w:pPr>
      <w:r w:rsidRPr="00BE0F24">
        <w:rPr>
          <w:rFonts w:asciiTheme="minorHAnsi" w:hAnsiTheme="minorHAnsi"/>
        </w:rPr>
        <w:t xml:space="preserve">This document provides a </w:t>
      </w:r>
      <w:r>
        <w:rPr>
          <w:rFonts w:asciiTheme="minorHAnsi" w:hAnsiTheme="minorHAnsi"/>
        </w:rPr>
        <w:t>transdisciplinary</w:t>
      </w:r>
      <w:r w:rsidRPr="00BE0F24">
        <w:rPr>
          <w:rFonts w:asciiTheme="minorHAnsi" w:hAnsiTheme="minorHAnsi"/>
        </w:rPr>
        <w:t xml:space="preserve"> response to the </w:t>
      </w:r>
      <w:r w:rsidRPr="00BE0F24">
        <w:rPr>
          <w:rFonts w:asciiTheme="minorHAnsi" w:hAnsiTheme="minorHAnsi"/>
          <w:i/>
        </w:rPr>
        <w:t>Healthy Lives, Healthy People: Our Strategy for Public Health in England</w:t>
      </w:r>
      <w:r w:rsidRPr="00BE0F24">
        <w:rPr>
          <w:rFonts w:asciiTheme="minorHAnsi" w:hAnsiTheme="minorHAnsi"/>
        </w:rPr>
        <w:t xml:space="preserve"> White Paper.  </w:t>
      </w:r>
      <w:r w:rsidR="00C54AA2">
        <w:rPr>
          <w:rFonts w:asciiTheme="minorHAnsi" w:hAnsiTheme="minorHAnsi"/>
        </w:rPr>
        <w:t>D</w:t>
      </w:r>
      <w:r w:rsidR="00C54AA2" w:rsidRPr="00BE0F24">
        <w:rPr>
          <w:rFonts w:asciiTheme="minorHAnsi" w:hAnsiTheme="minorHAnsi"/>
        </w:rPr>
        <w:t>ue to the complex range of influences on health-related behaviours</w:t>
      </w:r>
      <w:r w:rsidR="00C54AA2">
        <w:rPr>
          <w:rFonts w:asciiTheme="minorHAnsi" w:hAnsiTheme="minorHAnsi"/>
        </w:rPr>
        <w:t>,</w:t>
      </w:r>
      <w:r w:rsidR="00C54AA2" w:rsidRPr="00BE0F24">
        <w:rPr>
          <w:rFonts w:asciiTheme="minorHAnsi" w:hAnsiTheme="minorHAnsi"/>
        </w:rPr>
        <w:t xml:space="preserve"> </w:t>
      </w:r>
      <w:r w:rsidR="00C54AA2">
        <w:rPr>
          <w:rFonts w:asciiTheme="minorHAnsi" w:hAnsiTheme="minorHAnsi"/>
        </w:rPr>
        <w:t>a</w:t>
      </w:r>
      <w:r w:rsidRPr="00BE0F24">
        <w:rPr>
          <w:rFonts w:asciiTheme="minorHAnsi" w:hAnsiTheme="minorHAnsi"/>
        </w:rPr>
        <w:t xml:space="preserve"> </w:t>
      </w:r>
      <w:r>
        <w:rPr>
          <w:rFonts w:asciiTheme="minorHAnsi" w:hAnsiTheme="minorHAnsi"/>
        </w:rPr>
        <w:t>transdisciplinary</w:t>
      </w:r>
      <w:r w:rsidRPr="00BE0F24">
        <w:rPr>
          <w:rFonts w:asciiTheme="minorHAnsi" w:hAnsiTheme="minorHAnsi"/>
        </w:rPr>
        <w:t xml:space="preserve"> approach</w:t>
      </w:r>
      <w:r w:rsidR="00C54AA2">
        <w:rPr>
          <w:rFonts w:asciiTheme="minorHAnsi" w:hAnsiTheme="minorHAnsi"/>
        </w:rPr>
        <w:t xml:space="preserve"> </w:t>
      </w:r>
      <w:r w:rsidR="00C54AA2" w:rsidRPr="00BE0F24">
        <w:rPr>
          <w:rFonts w:asciiTheme="minorHAnsi" w:hAnsiTheme="minorHAnsi"/>
        </w:rPr>
        <w:t>is recommended to address the challenges facing public health</w:t>
      </w:r>
      <w:r w:rsidR="00C54AA2">
        <w:rPr>
          <w:rFonts w:asciiTheme="minorHAnsi" w:hAnsiTheme="minorHAnsi"/>
        </w:rPr>
        <w:t>. Accordingly, this</w:t>
      </w:r>
      <w:r w:rsidRPr="00BE0F24">
        <w:rPr>
          <w:rFonts w:asciiTheme="minorHAnsi" w:hAnsiTheme="minorHAnsi"/>
        </w:rPr>
        <w:t xml:space="preserve"> report presents an illustrative range of disciplines, concepts and theories that may be relevant to understanding the relative impact of </w:t>
      </w:r>
      <w:r w:rsidR="00C54AA2">
        <w:rPr>
          <w:rFonts w:asciiTheme="minorHAnsi" w:hAnsiTheme="minorHAnsi"/>
        </w:rPr>
        <w:t xml:space="preserve">different </w:t>
      </w:r>
      <w:r w:rsidRPr="00BE0F24">
        <w:rPr>
          <w:rFonts w:asciiTheme="minorHAnsi" w:hAnsiTheme="minorHAnsi"/>
        </w:rPr>
        <w:t xml:space="preserve">influences </w:t>
      </w:r>
      <w:r w:rsidR="00C54AA2">
        <w:rPr>
          <w:rFonts w:asciiTheme="minorHAnsi" w:hAnsiTheme="minorHAnsi"/>
        </w:rPr>
        <w:t xml:space="preserve">on health-related behaviours. It also documents </w:t>
      </w:r>
      <w:r w:rsidRPr="00BE0F24">
        <w:rPr>
          <w:rFonts w:asciiTheme="minorHAnsi" w:hAnsiTheme="minorHAnsi"/>
        </w:rPr>
        <w:t>the development of potential interventions that aim to achieve positive sustained behaviour change.</w:t>
      </w:r>
    </w:p>
    <w:p w:rsidR="00C97857" w:rsidRPr="00BE0F24" w:rsidRDefault="00C97857" w:rsidP="00C97857">
      <w:pPr>
        <w:jc w:val="both"/>
        <w:rPr>
          <w:rFonts w:asciiTheme="minorHAnsi" w:hAnsiTheme="minorHAnsi"/>
        </w:rPr>
      </w:pPr>
    </w:p>
    <w:p w:rsidR="00C97857" w:rsidRPr="008D2E5B" w:rsidRDefault="00C97857" w:rsidP="00C97857">
      <w:pPr>
        <w:jc w:val="both"/>
        <w:rPr>
          <w:rFonts w:asciiTheme="minorHAnsi" w:hAnsiTheme="minorHAnsi"/>
        </w:rPr>
      </w:pPr>
      <w:r w:rsidRPr="00BE0F24">
        <w:rPr>
          <w:rFonts w:asciiTheme="minorHAnsi" w:hAnsiTheme="minorHAnsi"/>
        </w:rPr>
        <w:t xml:space="preserve">The complexity of influences signals the need to identify concepts and theories that are appropriate for specific situations and population segments, and the need to consider the contribution of a wide range of potential </w:t>
      </w:r>
      <w:r w:rsidR="00C54AA2">
        <w:rPr>
          <w:rFonts w:asciiTheme="minorHAnsi" w:hAnsiTheme="minorHAnsi"/>
        </w:rPr>
        <w:t xml:space="preserve">forms of </w:t>
      </w:r>
      <w:r w:rsidRPr="00BE0F24">
        <w:rPr>
          <w:rFonts w:asciiTheme="minorHAnsi" w:hAnsiTheme="minorHAnsi"/>
        </w:rPr>
        <w:t>evidence, both qualitative and quantitative.</w:t>
      </w:r>
      <w:r>
        <w:rPr>
          <w:rFonts w:asciiTheme="minorHAnsi" w:hAnsiTheme="minorHAnsi"/>
        </w:rPr>
        <w:t xml:space="preserve"> </w:t>
      </w:r>
      <w:r w:rsidRPr="008D2E5B">
        <w:rPr>
          <w:rFonts w:asciiTheme="minorHAnsi" w:hAnsiTheme="minorHAnsi"/>
        </w:rPr>
        <w:t>While communications effectiveness is obviously a key factor in intervention success, there is a need to revisit, revise and extend communications models to encomp</w:t>
      </w:r>
      <w:r w:rsidR="00C54AA2">
        <w:rPr>
          <w:rFonts w:asciiTheme="minorHAnsi" w:hAnsiTheme="minorHAnsi"/>
        </w:rPr>
        <w:t>ass the role of new media forms;</w:t>
      </w:r>
      <w:r w:rsidRPr="008D2E5B">
        <w:rPr>
          <w:rFonts w:asciiTheme="minorHAnsi" w:hAnsiTheme="minorHAnsi"/>
        </w:rPr>
        <w:t xml:space="preserve"> </w:t>
      </w:r>
      <w:r w:rsidR="00C54AA2">
        <w:rPr>
          <w:rFonts w:asciiTheme="minorHAnsi" w:hAnsiTheme="minorHAnsi"/>
        </w:rPr>
        <w:t>this would include</w:t>
      </w:r>
      <w:r w:rsidRPr="008D2E5B">
        <w:rPr>
          <w:rFonts w:asciiTheme="minorHAnsi" w:hAnsiTheme="minorHAnsi"/>
        </w:rPr>
        <w:t xml:space="preserve"> social media</w:t>
      </w:r>
      <w:r>
        <w:rPr>
          <w:rFonts w:asciiTheme="minorHAnsi" w:hAnsiTheme="minorHAnsi"/>
        </w:rPr>
        <w:t xml:space="preserve"> along with more traditional media forms</w:t>
      </w:r>
      <w:r w:rsidRPr="008D2E5B">
        <w:rPr>
          <w:rFonts w:asciiTheme="minorHAnsi" w:hAnsiTheme="minorHAnsi"/>
        </w:rPr>
        <w:t>.</w:t>
      </w:r>
    </w:p>
    <w:p w:rsidR="00C97857" w:rsidRPr="008D2E5B" w:rsidRDefault="00C97857" w:rsidP="00C97857">
      <w:pPr>
        <w:jc w:val="both"/>
        <w:rPr>
          <w:rFonts w:asciiTheme="minorHAnsi" w:hAnsiTheme="minorHAnsi"/>
        </w:rPr>
      </w:pPr>
    </w:p>
    <w:p w:rsidR="00C97857" w:rsidRDefault="00C97857" w:rsidP="00C97857">
      <w:pPr>
        <w:jc w:val="both"/>
        <w:rPr>
          <w:rFonts w:asciiTheme="minorHAnsi" w:hAnsiTheme="minorHAnsi"/>
        </w:rPr>
      </w:pPr>
      <w:r w:rsidRPr="008D2E5B">
        <w:rPr>
          <w:rFonts w:asciiTheme="minorHAnsi" w:hAnsiTheme="minorHAnsi"/>
        </w:rPr>
        <w:t xml:space="preserve">Examples of specific strengths and competencies offered by individual disciplines illustrate potential synergies that could be achieved through a </w:t>
      </w:r>
      <w:r>
        <w:rPr>
          <w:rFonts w:asciiTheme="minorHAnsi" w:hAnsiTheme="minorHAnsi"/>
        </w:rPr>
        <w:t>transdisciplinary</w:t>
      </w:r>
      <w:r w:rsidRPr="008D2E5B">
        <w:rPr>
          <w:rFonts w:asciiTheme="minorHAnsi" w:hAnsiTheme="minorHAnsi"/>
        </w:rPr>
        <w:t xml:space="preserve"> approach</w:t>
      </w:r>
      <w:r>
        <w:rPr>
          <w:rFonts w:asciiTheme="minorHAnsi" w:hAnsiTheme="minorHAnsi"/>
        </w:rPr>
        <w:t xml:space="preserve"> are discussed</w:t>
      </w:r>
      <w:r w:rsidR="00C54AA2">
        <w:rPr>
          <w:rFonts w:asciiTheme="minorHAnsi" w:hAnsiTheme="minorHAnsi"/>
        </w:rPr>
        <w:t>.</w:t>
      </w:r>
      <w:r>
        <w:rPr>
          <w:rFonts w:asciiTheme="minorHAnsi" w:hAnsiTheme="minorHAnsi"/>
        </w:rPr>
        <w:t xml:space="preserve"> </w:t>
      </w:r>
      <w:r w:rsidR="00C54AA2">
        <w:rPr>
          <w:rFonts w:asciiTheme="minorHAnsi" w:hAnsiTheme="minorHAnsi"/>
        </w:rPr>
        <w:t>F</w:t>
      </w:r>
      <w:r>
        <w:rPr>
          <w:rFonts w:asciiTheme="minorHAnsi" w:hAnsiTheme="minorHAnsi"/>
        </w:rPr>
        <w:t>actors impacting all disciplines and influencing health outcomes such as health literacy, social networks and media influences</w:t>
      </w:r>
      <w:r w:rsidR="00C54AA2">
        <w:rPr>
          <w:rFonts w:asciiTheme="minorHAnsi" w:hAnsiTheme="minorHAnsi"/>
        </w:rPr>
        <w:t xml:space="preserve"> are also identified.</w:t>
      </w:r>
    </w:p>
    <w:p w:rsidR="00C97857" w:rsidRDefault="00C97857" w:rsidP="00C97857">
      <w:pPr>
        <w:jc w:val="both"/>
        <w:rPr>
          <w:rFonts w:asciiTheme="minorHAnsi" w:hAnsiTheme="minorHAnsi"/>
        </w:rPr>
      </w:pPr>
    </w:p>
    <w:p w:rsidR="00C97857" w:rsidRDefault="00C97857" w:rsidP="00C97857">
      <w:pPr>
        <w:jc w:val="both"/>
        <w:rPr>
          <w:rFonts w:asciiTheme="minorHAnsi" w:hAnsiTheme="minorHAnsi"/>
        </w:rPr>
      </w:pPr>
      <w:r>
        <w:rPr>
          <w:rFonts w:asciiTheme="minorHAnsi" w:hAnsiTheme="minorHAnsi"/>
        </w:rPr>
        <w:t>There are a number of factors not addressed in the White Paper that have potentially significance for health behaviour change activity.  These include legitimacy and trust, ethical issues and competing influences.  There is also a clear need for consistency and coordination across different health portfolios and to recognise and minimise the effects of counter marketing.</w:t>
      </w:r>
    </w:p>
    <w:p w:rsidR="00C97857" w:rsidRDefault="00C97857" w:rsidP="00C97857">
      <w:pPr>
        <w:jc w:val="both"/>
        <w:rPr>
          <w:rFonts w:asciiTheme="minorHAnsi" w:hAnsiTheme="minorHAnsi"/>
        </w:rPr>
      </w:pPr>
    </w:p>
    <w:p w:rsidR="00C97857" w:rsidRDefault="00C97857" w:rsidP="00C97857">
      <w:pPr>
        <w:jc w:val="both"/>
        <w:rPr>
          <w:rFonts w:asciiTheme="minorHAnsi" w:hAnsiTheme="minorHAnsi"/>
        </w:rPr>
      </w:pPr>
      <w:r>
        <w:rPr>
          <w:rFonts w:asciiTheme="minorHAnsi" w:hAnsiTheme="minorHAnsi"/>
        </w:rPr>
        <w:t>Issues impacting on effective interventions include the inability of extant theories to explain or predict the relative influence of all of the factors potentially impacting on health-related behaviours.  Some approaches may work better on unintentional/ automatic behaviours and not be as effective for other types of behaviour.  Coupled with this is the prospect of unintended consequences</w:t>
      </w:r>
      <w:r w:rsidR="00C54AA2">
        <w:rPr>
          <w:rFonts w:asciiTheme="minorHAnsi" w:hAnsiTheme="minorHAnsi"/>
        </w:rPr>
        <w:t>,</w:t>
      </w:r>
      <w:r>
        <w:rPr>
          <w:rFonts w:asciiTheme="minorHAnsi" w:hAnsiTheme="minorHAnsi"/>
        </w:rPr>
        <w:t xml:space="preserve"> such as</w:t>
      </w:r>
      <w:r w:rsidR="00C54AA2">
        <w:rPr>
          <w:rFonts w:asciiTheme="minorHAnsi" w:hAnsiTheme="minorHAnsi"/>
        </w:rPr>
        <w:t>,</w:t>
      </w:r>
      <w:r>
        <w:rPr>
          <w:rFonts w:asciiTheme="minorHAnsi" w:hAnsiTheme="minorHAnsi"/>
        </w:rPr>
        <w:t xml:space="preserve"> reactance or ‘boomerang’ effects</w:t>
      </w:r>
      <w:r w:rsidR="00C54AA2">
        <w:rPr>
          <w:rFonts w:asciiTheme="minorHAnsi" w:hAnsiTheme="minorHAnsi"/>
        </w:rPr>
        <w:t>,</w:t>
      </w:r>
      <w:r>
        <w:rPr>
          <w:rFonts w:asciiTheme="minorHAnsi" w:hAnsiTheme="minorHAnsi"/>
        </w:rPr>
        <w:t xml:space="preserve"> where behaviour change is resisted and negative behaviours possibly strengthened.  Consideration of the potential impact of different forms of message framing is a significant omission in the White Paper as is the context of advice or information.</w:t>
      </w:r>
    </w:p>
    <w:p w:rsidR="00C97857" w:rsidRDefault="00C97857" w:rsidP="00C97857">
      <w:pPr>
        <w:jc w:val="both"/>
        <w:rPr>
          <w:rFonts w:asciiTheme="minorHAnsi" w:hAnsiTheme="minorHAnsi"/>
        </w:rPr>
      </w:pPr>
    </w:p>
    <w:p w:rsidR="00C97857" w:rsidRPr="008D2E5B" w:rsidRDefault="00C54AA2" w:rsidP="00C97857">
      <w:pPr>
        <w:jc w:val="both"/>
        <w:rPr>
          <w:rFonts w:asciiTheme="minorHAnsi" w:hAnsiTheme="minorHAnsi"/>
        </w:rPr>
      </w:pPr>
      <w:r>
        <w:rPr>
          <w:rFonts w:asciiTheme="minorHAnsi" w:hAnsiTheme="minorHAnsi"/>
        </w:rPr>
        <w:t>A pervasive theme of the White Paper is the need for effective l</w:t>
      </w:r>
      <w:r w:rsidR="00C97857">
        <w:rPr>
          <w:rFonts w:asciiTheme="minorHAnsi" w:hAnsiTheme="minorHAnsi"/>
        </w:rPr>
        <w:t xml:space="preserve">eadership </w:t>
      </w:r>
      <w:r>
        <w:rPr>
          <w:rFonts w:asciiTheme="minorHAnsi" w:hAnsiTheme="minorHAnsi"/>
        </w:rPr>
        <w:t xml:space="preserve">at all levels of the health system in England. This report considers the implications of </w:t>
      </w:r>
      <w:r w:rsidR="009466C4">
        <w:rPr>
          <w:rFonts w:asciiTheme="minorHAnsi" w:hAnsiTheme="minorHAnsi"/>
        </w:rPr>
        <w:t xml:space="preserve">such an </w:t>
      </w:r>
      <w:r>
        <w:rPr>
          <w:rFonts w:asciiTheme="minorHAnsi" w:hAnsiTheme="minorHAnsi"/>
        </w:rPr>
        <w:t xml:space="preserve">imperative for research, leadership development and change interventions. </w:t>
      </w:r>
    </w:p>
    <w:p w:rsidR="00E22122" w:rsidRDefault="00E22122" w:rsidP="00BE65D9">
      <w:pPr>
        <w:jc w:val="both"/>
      </w:pPr>
    </w:p>
    <w:p w:rsidR="00BE65D9" w:rsidRDefault="00BE65D9" w:rsidP="00BE65D9">
      <w:pPr>
        <w:jc w:val="both"/>
      </w:pPr>
    </w:p>
    <w:p w:rsidR="00C95CD2" w:rsidRDefault="003401D6" w:rsidP="000D53B7">
      <w:pPr>
        <w:pStyle w:val="Heading1"/>
        <w:jc w:val="both"/>
      </w:pPr>
      <w:bookmarkStart w:id="1" w:name="_Toc289256726"/>
      <w:r>
        <w:lastRenderedPageBreak/>
        <w:t xml:space="preserve">1.0 </w:t>
      </w:r>
      <w:r w:rsidR="00C95CD2" w:rsidRPr="00C95CD2">
        <w:t>Introduction</w:t>
      </w:r>
      <w:bookmarkEnd w:id="1"/>
      <w:r w:rsidR="00C95CD2" w:rsidRPr="00C95CD2">
        <w:t xml:space="preserve"> </w:t>
      </w:r>
    </w:p>
    <w:p w:rsidR="001A05F5" w:rsidRDefault="001A05F5" w:rsidP="00D8679E">
      <w:pPr>
        <w:jc w:val="both"/>
        <w:rPr>
          <w:rFonts w:asciiTheme="minorHAnsi" w:hAnsiTheme="minorHAnsi"/>
        </w:rPr>
      </w:pPr>
    </w:p>
    <w:p w:rsidR="00D8679E" w:rsidRPr="00D8679E" w:rsidRDefault="00D8679E" w:rsidP="00D8679E">
      <w:pPr>
        <w:jc w:val="both"/>
        <w:rPr>
          <w:rFonts w:asciiTheme="minorHAnsi" w:hAnsiTheme="minorHAnsi" w:cstheme="minorHAnsi"/>
        </w:rPr>
      </w:pPr>
      <w:r w:rsidRPr="00D8679E">
        <w:rPr>
          <w:rFonts w:asciiTheme="minorHAnsi" w:hAnsiTheme="minorHAnsi"/>
        </w:rPr>
        <w:t>This document is a response to the Healthy Lives, Healthy People: Our Strategy for Public Health In England White Paper focussing on the question</w:t>
      </w:r>
      <w:r>
        <w:rPr>
          <w:rFonts w:asciiTheme="minorHAnsi" w:hAnsiTheme="minorHAnsi"/>
        </w:rPr>
        <w:t>:</w:t>
      </w:r>
      <w:r w:rsidRPr="00D8679E">
        <w:rPr>
          <w:rFonts w:asciiTheme="minorHAnsi" w:hAnsiTheme="minorHAnsi"/>
        </w:rPr>
        <w:t xml:space="preserve"> </w:t>
      </w:r>
      <w:r w:rsidR="00A42D2C">
        <w:rPr>
          <w:rFonts w:asciiTheme="minorHAnsi" w:hAnsiTheme="minorHAnsi"/>
        </w:rPr>
        <w:t>‘</w:t>
      </w:r>
      <w:r w:rsidRPr="00D8679E">
        <w:rPr>
          <w:rFonts w:asciiTheme="minorHAnsi" w:hAnsiTheme="minorHAnsi" w:cstheme="minorHAnsi"/>
        </w:rPr>
        <w:t>c. How can Public Health England address current gaps such as using the insights of behavioural science, tackling wider determinants of health, achieving cost effectivene</w:t>
      </w:r>
      <w:r w:rsidR="00A42D2C">
        <w:rPr>
          <w:rFonts w:asciiTheme="minorHAnsi" w:hAnsiTheme="minorHAnsi" w:cstheme="minorHAnsi"/>
        </w:rPr>
        <w:t>ss and tackling inequalities?’</w:t>
      </w:r>
      <w:r w:rsidRPr="00D8679E">
        <w:rPr>
          <w:rFonts w:asciiTheme="minorHAnsi" w:hAnsiTheme="minorHAnsi" w:cstheme="minorHAnsi"/>
        </w:rPr>
        <w:t xml:space="preserve"> (HLWP, p.71)</w:t>
      </w:r>
      <w:r w:rsidR="006C4C23">
        <w:rPr>
          <w:rStyle w:val="EndnoteReference"/>
          <w:rFonts w:asciiTheme="minorHAnsi" w:hAnsiTheme="minorHAnsi" w:cstheme="minorHAnsi"/>
        </w:rPr>
        <w:endnoteReference w:id="1"/>
      </w:r>
    </w:p>
    <w:p w:rsidR="00D8679E" w:rsidRDefault="00D8679E" w:rsidP="00D8679E"/>
    <w:p w:rsidR="00D8679E" w:rsidRPr="00F3562E" w:rsidRDefault="009E2C35" w:rsidP="00D8679E">
      <w:pPr>
        <w:jc w:val="both"/>
        <w:rPr>
          <w:rFonts w:asciiTheme="minorHAnsi" w:hAnsiTheme="minorHAnsi" w:cstheme="minorHAnsi"/>
        </w:rPr>
      </w:pPr>
      <w:r w:rsidRPr="00F3562E">
        <w:rPr>
          <w:rFonts w:asciiTheme="minorHAnsi" w:hAnsiTheme="minorHAnsi" w:cstheme="minorHAnsi"/>
        </w:rPr>
        <w:t xml:space="preserve">In this submission, the University of the West of England, in partnership with the South West Public Health Observatory and the Cornwall and Isles of Scilly PCT </w:t>
      </w:r>
      <w:r w:rsidR="00D8679E">
        <w:rPr>
          <w:rFonts w:asciiTheme="minorHAnsi" w:hAnsiTheme="minorHAnsi" w:cstheme="minorHAnsi"/>
        </w:rPr>
        <w:t xml:space="preserve">highlights the need for a transdisciplinary approach to behaviour change and gives a detailed overview of the range of disciplines and theories involved, </w:t>
      </w:r>
      <w:r w:rsidR="00C97857">
        <w:rPr>
          <w:rFonts w:asciiTheme="minorHAnsi" w:hAnsiTheme="minorHAnsi" w:cstheme="minorHAnsi"/>
        </w:rPr>
        <w:t xml:space="preserve">as well as </w:t>
      </w:r>
      <w:r w:rsidR="00D8679E">
        <w:rPr>
          <w:rFonts w:asciiTheme="minorHAnsi" w:hAnsiTheme="minorHAnsi" w:cstheme="minorHAnsi"/>
        </w:rPr>
        <w:t>the ethical considerations and counteracting forces that may inhibit behaviour change.</w:t>
      </w:r>
    </w:p>
    <w:p w:rsidR="00D8679E" w:rsidRPr="00F3562E" w:rsidRDefault="00D8679E" w:rsidP="00D8679E">
      <w:pPr>
        <w:jc w:val="both"/>
        <w:rPr>
          <w:rFonts w:asciiTheme="minorHAnsi" w:hAnsiTheme="minorHAnsi" w:cstheme="minorHAnsi"/>
        </w:rPr>
      </w:pPr>
    </w:p>
    <w:p w:rsidR="00D8679E" w:rsidRPr="00F3562E" w:rsidRDefault="00D8679E" w:rsidP="00D8679E">
      <w:pPr>
        <w:jc w:val="both"/>
        <w:rPr>
          <w:rFonts w:asciiTheme="minorHAnsi" w:hAnsiTheme="minorHAnsi" w:cstheme="minorHAnsi"/>
        </w:rPr>
      </w:pPr>
      <w:r w:rsidRPr="00F3562E">
        <w:rPr>
          <w:rFonts w:asciiTheme="minorHAnsi" w:hAnsiTheme="minorHAnsi" w:cstheme="minorHAnsi"/>
        </w:rPr>
        <w:t xml:space="preserve">This submission </w:t>
      </w:r>
      <w:r>
        <w:rPr>
          <w:rFonts w:asciiTheme="minorHAnsi" w:hAnsiTheme="minorHAnsi" w:cstheme="minorHAnsi"/>
        </w:rPr>
        <w:t xml:space="preserve">is the output from a transdisciplinary workshop held at the University of the West of England involving a number of departments with an interest in improving public health (listed at the end of this document) and partners from the Department of Health South West Public Health Group, the South West Public Health Observatory, The </w:t>
      </w:r>
      <w:r w:rsidRPr="00F3562E">
        <w:rPr>
          <w:rFonts w:asciiTheme="minorHAnsi" w:hAnsiTheme="minorHAnsi" w:cstheme="minorHAnsi"/>
        </w:rPr>
        <w:t xml:space="preserve">Cornwall and Isles of Scilly </w:t>
      </w:r>
      <w:r w:rsidR="00880319" w:rsidRPr="00F3562E">
        <w:rPr>
          <w:rFonts w:asciiTheme="minorHAnsi" w:hAnsiTheme="minorHAnsi" w:cstheme="minorHAnsi"/>
        </w:rPr>
        <w:t xml:space="preserve">PCT </w:t>
      </w:r>
      <w:r w:rsidR="00880319">
        <w:rPr>
          <w:rFonts w:asciiTheme="minorHAnsi" w:hAnsiTheme="minorHAnsi" w:cstheme="minorHAnsi"/>
        </w:rPr>
        <w:t>and</w:t>
      </w:r>
      <w:r>
        <w:rPr>
          <w:rFonts w:asciiTheme="minorHAnsi" w:hAnsiTheme="minorHAnsi" w:cstheme="minorHAnsi"/>
        </w:rPr>
        <w:t xml:space="preserve"> representation from the South West Public Health Transition </w:t>
      </w:r>
      <w:r w:rsidR="00F550FF">
        <w:rPr>
          <w:rFonts w:asciiTheme="minorHAnsi" w:hAnsiTheme="minorHAnsi" w:cstheme="minorHAnsi"/>
        </w:rPr>
        <w:t xml:space="preserve">Communications Sub </w:t>
      </w:r>
      <w:r>
        <w:rPr>
          <w:rFonts w:asciiTheme="minorHAnsi" w:hAnsiTheme="minorHAnsi" w:cstheme="minorHAnsi"/>
        </w:rPr>
        <w:t xml:space="preserve">Group. It is a true </w:t>
      </w:r>
      <w:r w:rsidR="00C97857">
        <w:rPr>
          <w:rFonts w:asciiTheme="minorHAnsi" w:hAnsiTheme="minorHAnsi" w:cstheme="minorHAnsi"/>
        </w:rPr>
        <w:t>transdisciplinary</w:t>
      </w:r>
      <w:r w:rsidRPr="00F3562E">
        <w:rPr>
          <w:rFonts w:asciiTheme="minorHAnsi" w:hAnsiTheme="minorHAnsi" w:cstheme="minorHAnsi"/>
        </w:rPr>
        <w:t xml:space="preserve"> </w:t>
      </w:r>
      <w:r>
        <w:rPr>
          <w:rFonts w:asciiTheme="minorHAnsi" w:hAnsiTheme="minorHAnsi" w:cstheme="minorHAnsi"/>
        </w:rPr>
        <w:t>response</w:t>
      </w:r>
      <w:r w:rsidRPr="00F3562E">
        <w:rPr>
          <w:rFonts w:asciiTheme="minorHAnsi" w:hAnsiTheme="minorHAnsi" w:cstheme="minorHAnsi"/>
        </w:rPr>
        <w:t xml:space="preserve"> for two principal reasons.  Firstly, the White Paper acknowledges the need to draw on behavioural sciences, but does not make their expected contributions explicit.  We </w:t>
      </w:r>
      <w:r>
        <w:rPr>
          <w:rFonts w:asciiTheme="minorHAnsi" w:hAnsiTheme="minorHAnsi" w:cstheme="minorHAnsi"/>
        </w:rPr>
        <w:t xml:space="preserve">outline the range of </w:t>
      </w:r>
      <w:r w:rsidR="00880319">
        <w:rPr>
          <w:rFonts w:asciiTheme="minorHAnsi" w:hAnsiTheme="minorHAnsi" w:cstheme="minorHAnsi"/>
        </w:rPr>
        <w:t>disciplines</w:t>
      </w:r>
      <w:r>
        <w:rPr>
          <w:rFonts w:asciiTheme="minorHAnsi" w:hAnsiTheme="minorHAnsi" w:cstheme="minorHAnsi"/>
        </w:rPr>
        <w:t xml:space="preserve"> which should be involved</w:t>
      </w:r>
      <w:r w:rsidRPr="00F3562E">
        <w:rPr>
          <w:rFonts w:asciiTheme="minorHAnsi" w:hAnsiTheme="minorHAnsi" w:cstheme="minorHAnsi"/>
        </w:rPr>
        <w:t>.  Secondly, there is an implicit expectation of integrated activity in the White Paper.  We therefore also suggest ways by which this could be achieved</w:t>
      </w:r>
      <w:r w:rsidR="0081481C">
        <w:rPr>
          <w:rFonts w:asciiTheme="minorHAnsi" w:hAnsiTheme="minorHAnsi" w:cstheme="minorHAnsi"/>
        </w:rPr>
        <w:t>.</w:t>
      </w:r>
    </w:p>
    <w:p w:rsidR="001F2953" w:rsidRPr="00917303" w:rsidRDefault="003401D6" w:rsidP="00D8679E">
      <w:pPr>
        <w:pStyle w:val="Heading1"/>
        <w:jc w:val="both"/>
      </w:pPr>
      <w:bookmarkStart w:id="2" w:name="_Toc289256727"/>
      <w:r>
        <w:t xml:space="preserve">2.0 </w:t>
      </w:r>
      <w:r w:rsidR="001F2953" w:rsidRPr="00917303">
        <w:t>Key objectives</w:t>
      </w:r>
      <w:bookmarkEnd w:id="2"/>
    </w:p>
    <w:p w:rsidR="001F2953" w:rsidRDefault="001F2953" w:rsidP="000D53B7">
      <w:pPr>
        <w:jc w:val="both"/>
      </w:pPr>
    </w:p>
    <w:p w:rsidR="00ED3523" w:rsidRDefault="00ED3523" w:rsidP="00ED3523">
      <w:pPr>
        <w:jc w:val="both"/>
        <w:rPr>
          <w:rFonts w:asciiTheme="minorHAnsi" w:hAnsiTheme="minorHAnsi" w:cstheme="minorHAnsi"/>
        </w:rPr>
      </w:pPr>
      <w:r>
        <w:rPr>
          <w:rFonts w:asciiTheme="minorHAnsi" w:hAnsiTheme="minorHAnsi" w:cstheme="minorHAnsi"/>
        </w:rPr>
        <w:t>The principal consultation question that we to respond to in this document is:</w:t>
      </w:r>
    </w:p>
    <w:p w:rsidR="00ED3523" w:rsidRPr="00520F72" w:rsidRDefault="00ED3523" w:rsidP="00ED3523">
      <w:pPr>
        <w:jc w:val="both"/>
        <w:rPr>
          <w:rFonts w:asciiTheme="minorHAnsi" w:hAnsiTheme="minorHAnsi" w:cstheme="minorHAnsi"/>
        </w:rPr>
      </w:pPr>
    </w:p>
    <w:p w:rsidR="00ED3523" w:rsidRDefault="00A42D2C" w:rsidP="00ED3523">
      <w:pPr>
        <w:ind w:left="720"/>
        <w:jc w:val="both"/>
        <w:rPr>
          <w:rFonts w:asciiTheme="minorHAnsi" w:hAnsiTheme="minorHAnsi" w:cstheme="minorHAnsi"/>
        </w:rPr>
      </w:pPr>
      <w:r>
        <w:rPr>
          <w:rFonts w:asciiTheme="minorHAnsi" w:hAnsiTheme="minorHAnsi" w:cstheme="minorHAnsi"/>
        </w:rPr>
        <w:t>‘</w:t>
      </w:r>
      <w:r w:rsidR="00ED3523" w:rsidRPr="00B1474E">
        <w:rPr>
          <w:rFonts w:asciiTheme="minorHAnsi" w:hAnsiTheme="minorHAnsi" w:cstheme="minorHAnsi"/>
        </w:rPr>
        <w:t>c. How can Public Health England address current gaps such as using the insights of behavioural science, tackling wider determinants of health, achieving cost effectiveness and tackling inequalities?</w:t>
      </w:r>
      <w:r>
        <w:rPr>
          <w:rFonts w:asciiTheme="minorHAnsi" w:hAnsiTheme="minorHAnsi" w:cstheme="minorHAnsi"/>
        </w:rPr>
        <w:t>’</w:t>
      </w:r>
      <w:r w:rsidR="00ED3523">
        <w:rPr>
          <w:rFonts w:asciiTheme="minorHAnsi" w:hAnsiTheme="minorHAnsi" w:cstheme="minorHAnsi"/>
        </w:rPr>
        <w:t xml:space="preserve"> (HLWP, p.71)</w:t>
      </w:r>
      <w:r w:rsidR="00D8679E">
        <w:rPr>
          <w:rFonts w:asciiTheme="minorHAnsi" w:hAnsiTheme="minorHAnsi" w:cstheme="minorHAnsi"/>
        </w:rPr>
        <w:t>.</w:t>
      </w:r>
    </w:p>
    <w:p w:rsidR="00ED3523" w:rsidRDefault="00ED3523" w:rsidP="00ED3523">
      <w:pPr>
        <w:jc w:val="both"/>
        <w:rPr>
          <w:rFonts w:asciiTheme="minorHAnsi" w:hAnsiTheme="minorHAnsi" w:cstheme="minorHAnsi"/>
        </w:rPr>
      </w:pPr>
    </w:p>
    <w:p w:rsidR="003401D6" w:rsidRDefault="003401D6" w:rsidP="003401D6">
      <w:pPr>
        <w:pStyle w:val="Heading5"/>
      </w:pPr>
      <w:r>
        <w:t>Primary Objective:</w:t>
      </w:r>
    </w:p>
    <w:p w:rsidR="001A05F5" w:rsidRDefault="001A05F5" w:rsidP="00ED3523">
      <w:pPr>
        <w:jc w:val="both"/>
        <w:rPr>
          <w:rFonts w:asciiTheme="minorHAnsi" w:hAnsiTheme="minorHAnsi" w:cstheme="minorHAnsi"/>
        </w:rPr>
      </w:pPr>
    </w:p>
    <w:p w:rsidR="00ED3523" w:rsidRDefault="00ED3523" w:rsidP="00ED3523">
      <w:pPr>
        <w:jc w:val="both"/>
        <w:rPr>
          <w:rFonts w:asciiTheme="minorHAnsi" w:hAnsiTheme="minorHAnsi" w:cstheme="minorHAnsi"/>
        </w:rPr>
      </w:pPr>
      <w:r>
        <w:rPr>
          <w:rFonts w:asciiTheme="minorHAnsi" w:hAnsiTheme="minorHAnsi" w:cstheme="minorHAnsi"/>
        </w:rPr>
        <w:t xml:space="preserve">We aim to identify a set of behavioural science disciplines that have the potential to assist Public Health England (PHE) address and implement its mission and goals. The unique approach adopted here, however, is not only to highlight key disciplines but also to indicate how they might be </w:t>
      </w:r>
      <w:r w:rsidR="00C97857">
        <w:rPr>
          <w:rFonts w:asciiTheme="minorHAnsi" w:hAnsiTheme="minorHAnsi" w:cstheme="minorHAnsi"/>
        </w:rPr>
        <w:t xml:space="preserve">effectively </w:t>
      </w:r>
      <w:r>
        <w:rPr>
          <w:rFonts w:asciiTheme="minorHAnsi" w:hAnsiTheme="minorHAnsi" w:cstheme="minorHAnsi"/>
        </w:rPr>
        <w:t xml:space="preserve">combined within a </w:t>
      </w:r>
      <w:r w:rsidR="00C97857">
        <w:rPr>
          <w:rFonts w:asciiTheme="minorHAnsi" w:hAnsiTheme="minorHAnsi" w:cstheme="minorHAnsi"/>
        </w:rPr>
        <w:t>transdisciplinary</w:t>
      </w:r>
      <w:r>
        <w:rPr>
          <w:rFonts w:asciiTheme="minorHAnsi" w:hAnsiTheme="minorHAnsi" w:cstheme="minorHAnsi"/>
        </w:rPr>
        <w:t xml:space="preserve"> framework to enhance effectiveness in bringing about behaviour change. We argue that no single behavioural science discipline, whatever the power of its insights, can effect the kinds of systemic change envisioned in the White Paper. Instead, scientific knowledge from multiple disciplines needs to be enrolled, combined and applied at differing levels of the social and organi</w:t>
      </w:r>
      <w:r w:rsidR="005E2DCC">
        <w:rPr>
          <w:rFonts w:asciiTheme="minorHAnsi" w:hAnsiTheme="minorHAnsi" w:cstheme="minorHAnsi"/>
        </w:rPr>
        <w:t>s</w:t>
      </w:r>
      <w:r>
        <w:rPr>
          <w:rFonts w:asciiTheme="minorHAnsi" w:hAnsiTheme="minorHAnsi" w:cstheme="minorHAnsi"/>
        </w:rPr>
        <w:t>ational systems implicated by PHE’s programme of change.</w:t>
      </w:r>
    </w:p>
    <w:p w:rsidR="003401D6" w:rsidRDefault="003401D6" w:rsidP="00ED3523">
      <w:pPr>
        <w:jc w:val="both"/>
        <w:rPr>
          <w:rFonts w:asciiTheme="minorHAnsi" w:hAnsiTheme="minorHAnsi" w:cstheme="minorHAnsi"/>
        </w:rPr>
      </w:pPr>
    </w:p>
    <w:p w:rsidR="003401D6" w:rsidRPr="00117A32" w:rsidRDefault="003401D6" w:rsidP="003401D6">
      <w:pPr>
        <w:pStyle w:val="Heading5"/>
      </w:pPr>
      <w:r>
        <w:t>Secondary Objective:</w:t>
      </w:r>
    </w:p>
    <w:p w:rsidR="001A05F5" w:rsidRDefault="001A05F5" w:rsidP="004C0DCA">
      <w:pPr>
        <w:jc w:val="both"/>
        <w:rPr>
          <w:rFonts w:asciiTheme="minorHAnsi" w:hAnsiTheme="minorHAnsi" w:cstheme="minorHAnsi"/>
        </w:rPr>
      </w:pPr>
    </w:p>
    <w:p w:rsidR="004C0DCA" w:rsidRPr="00117A32" w:rsidRDefault="004C0DCA" w:rsidP="004C0DCA">
      <w:pPr>
        <w:jc w:val="both"/>
        <w:rPr>
          <w:rFonts w:asciiTheme="minorHAnsi" w:hAnsiTheme="minorHAnsi" w:cstheme="minorHAnsi"/>
        </w:rPr>
      </w:pPr>
      <w:r>
        <w:rPr>
          <w:rFonts w:asciiTheme="minorHAnsi" w:hAnsiTheme="minorHAnsi" w:cstheme="minorHAnsi"/>
        </w:rPr>
        <w:t>T</w:t>
      </w:r>
      <w:r w:rsidRPr="00117A32">
        <w:rPr>
          <w:rFonts w:asciiTheme="minorHAnsi" w:hAnsiTheme="minorHAnsi" w:cstheme="minorHAnsi"/>
        </w:rPr>
        <w:t>o demonstrate t</w:t>
      </w:r>
      <w:r>
        <w:rPr>
          <w:rFonts w:asciiTheme="minorHAnsi" w:hAnsiTheme="minorHAnsi" w:cstheme="minorHAnsi"/>
        </w:rPr>
        <w:t xml:space="preserve">he benefits of a transdisciplinary approach, and the ways in which the joint efforts of the academic and service sectors are able to </w:t>
      </w:r>
      <w:r w:rsidRPr="00117A32">
        <w:rPr>
          <w:rFonts w:asciiTheme="minorHAnsi" w:hAnsiTheme="minorHAnsi" w:cstheme="minorHAnsi"/>
        </w:rPr>
        <w:t>drive improvements in public health</w:t>
      </w:r>
      <w:r>
        <w:rPr>
          <w:rFonts w:asciiTheme="minorHAnsi" w:hAnsiTheme="minorHAnsi" w:cstheme="minorHAnsi"/>
        </w:rPr>
        <w:t xml:space="preserve">, affirming </w:t>
      </w:r>
      <w:r w:rsidRPr="00117A32">
        <w:rPr>
          <w:rFonts w:asciiTheme="minorHAnsi" w:hAnsiTheme="minorHAnsi" w:cstheme="minorHAnsi"/>
        </w:rPr>
        <w:t>the plan to establish an NIHR School for Public Health Research.</w:t>
      </w:r>
    </w:p>
    <w:p w:rsidR="003401D6" w:rsidRPr="00117A32" w:rsidRDefault="003401D6" w:rsidP="003401D6">
      <w:pPr>
        <w:jc w:val="both"/>
        <w:rPr>
          <w:rFonts w:asciiTheme="minorHAnsi" w:hAnsiTheme="minorHAnsi" w:cstheme="minorHAnsi"/>
        </w:rPr>
      </w:pPr>
    </w:p>
    <w:p w:rsidR="001F2953" w:rsidRPr="00F3562E" w:rsidRDefault="001F2953" w:rsidP="000D53B7">
      <w:pPr>
        <w:jc w:val="both"/>
        <w:rPr>
          <w:rFonts w:asciiTheme="minorHAnsi" w:hAnsiTheme="minorHAnsi" w:cstheme="minorHAnsi"/>
        </w:rPr>
      </w:pPr>
    </w:p>
    <w:p w:rsidR="00F02A45" w:rsidRPr="00601DC1" w:rsidRDefault="00F02A45" w:rsidP="002B4566">
      <w:pPr>
        <w:rPr>
          <w:rFonts w:asciiTheme="minorHAnsi" w:hAnsiTheme="minorHAnsi"/>
        </w:rPr>
      </w:pPr>
      <w:r w:rsidRPr="00601DC1">
        <w:rPr>
          <w:rFonts w:asciiTheme="minorHAnsi" w:hAnsiTheme="minorHAnsi"/>
        </w:rPr>
        <w:t xml:space="preserve">The submission is structured as follows:  </w:t>
      </w:r>
    </w:p>
    <w:p w:rsidR="00F02A45" w:rsidRPr="00601DC1" w:rsidRDefault="00F02A45" w:rsidP="002B4566">
      <w:pPr>
        <w:rPr>
          <w:rFonts w:asciiTheme="minorHAnsi" w:hAnsiTheme="minorHAnsi"/>
        </w:rPr>
      </w:pPr>
    </w:p>
    <w:p w:rsidR="009A4152" w:rsidRDefault="00F02A45">
      <w:pPr>
        <w:pStyle w:val="ListParagraph"/>
        <w:numPr>
          <w:ilvl w:val="0"/>
          <w:numId w:val="26"/>
        </w:numPr>
        <w:jc w:val="both"/>
        <w:rPr>
          <w:rFonts w:asciiTheme="minorHAnsi" w:hAnsiTheme="minorHAnsi"/>
        </w:rPr>
      </w:pPr>
      <w:r w:rsidRPr="00601DC1">
        <w:rPr>
          <w:rFonts w:asciiTheme="minorHAnsi" w:hAnsiTheme="minorHAnsi"/>
        </w:rPr>
        <w:t xml:space="preserve">We commence with a discussion of the benefits of a truly </w:t>
      </w:r>
      <w:r w:rsidR="00C97857">
        <w:rPr>
          <w:rFonts w:asciiTheme="minorHAnsi" w:hAnsiTheme="minorHAnsi"/>
        </w:rPr>
        <w:t>transdisciplinary</w:t>
      </w:r>
      <w:r w:rsidRPr="00601DC1">
        <w:rPr>
          <w:rFonts w:asciiTheme="minorHAnsi" w:hAnsiTheme="minorHAnsi"/>
        </w:rPr>
        <w:t xml:space="preserve"> approach to health issues and illustrative examples of the contributions specific disciplines can offer.  We then discuss a number of specific topics that have not been specifically outlined in the </w:t>
      </w:r>
      <w:r w:rsidR="00C454B4" w:rsidRPr="00601DC1">
        <w:rPr>
          <w:rFonts w:asciiTheme="minorHAnsi" w:hAnsiTheme="minorHAnsi"/>
        </w:rPr>
        <w:t>HLWP</w:t>
      </w:r>
      <w:r w:rsidRPr="00601DC1">
        <w:rPr>
          <w:rFonts w:asciiTheme="minorHAnsi" w:hAnsiTheme="minorHAnsi"/>
        </w:rPr>
        <w:t>, and suggest ways in which their inclusion would strengthen the potential efficiency and effectiveness of intervention design and implementation.</w:t>
      </w:r>
    </w:p>
    <w:p w:rsidR="009A4152" w:rsidRDefault="009A4152">
      <w:pPr>
        <w:jc w:val="both"/>
        <w:rPr>
          <w:rFonts w:asciiTheme="minorHAnsi" w:hAnsiTheme="minorHAnsi"/>
        </w:rPr>
      </w:pPr>
    </w:p>
    <w:p w:rsidR="009A4152" w:rsidRDefault="00F02A45">
      <w:pPr>
        <w:pStyle w:val="ListParagraph"/>
        <w:numPr>
          <w:ilvl w:val="0"/>
          <w:numId w:val="27"/>
        </w:numPr>
        <w:jc w:val="both"/>
        <w:rPr>
          <w:rFonts w:asciiTheme="minorHAnsi" w:hAnsiTheme="minorHAnsi"/>
        </w:rPr>
      </w:pPr>
      <w:r w:rsidRPr="00601DC1">
        <w:rPr>
          <w:rFonts w:asciiTheme="minorHAnsi" w:hAnsiTheme="minorHAnsi"/>
        </w:rPr>
        <w:t xml:space="preserve">This is then followed by a discussion of a number of specific aspects of the </w:t>
      </w:r>
      <w:r w:rsidR="00C454B4" w:rsidRPr="00601DC1">
        <w:rPr>
          <w:rFonts w:asciiTheme="minorHAnsi" w:hAnsiTheme="minorHAnsi"/>
        </w:rPr>
        <w:t>HLWP</w:t>
      </w:r>
      <w:r w:rsidRPr="00601DC1">
        <w:rPr>
          <w:rFonts w:asciiTheme="minorHAnsi" w:hAnsiTheme="minorHAnsi"/>
        </w:rPr>
        <w:t xml:space="preserve"> relating to behaviour change </w:t>
      </w:r>
      <w:r w:rsidR="00C454B4" w:rsidRPr="00601DC1">
        <w:rPr>
          <w:rFonts w:asciiTheme="minorHAnsi" w:hAnsiTheme="minorHAnsi"/>
        </w:rPr>
        <w:t>and, where relevant, specific research agendas that would help remedy gaps in extant knowledge.</w:t>
      </w:r>
    </w:p>
    <w:p w:rsidR="00601DC1" w:rsidRPr="00601DC1" w:rsidRDefault="00601DC1">
      <w:pPr>
        <w:rPr>
          <w:rStyle w:val="Heading2Char"/>
          <w:rFonts w:asciiTheme="minorHAnsi" w:hAnsiTheme="minorHAnsi"/>
          <w:color w:val="365F91" w:themeColor="accent1" w:themeShade="BF"/>
          <w:sz w:val="24"/>
          <w:szCs w:val="24"/>
        </w:rPr>
      </w:pPr>
      <w:r w:rsidRPr="00601DC1">
        <w:rPr>
          <w:rStyle w:val="Heading2Char"/>
          <w:rFonts w:asciiTheme="minorHAnsi" w:hAnsiTheme="minorHAnsi"/>
          <w:b w:val="0"/>
          <w:bCs w:val="0"/>
          <w:color w:val="365F91" w:themeColor="accent1" w:themeShade="BF"/>
          <w:sz w:val="24"/>
          <w:szCs w:val="24"/>
        </w:rPr>
        <w:br w:type="page"/>
      </w:r>
    </w:p>
    <w:p w:rsidR="001F2953" w:rsidRPr="00A541D4" w:rsidRDefault="003401D6" w:rsidP="000D53B7">
      <w:pPr>
        <w:pStyle w:val="Heading1"/>
        <w:jc w:val="both"/>
      </w:pPr>
      <w:bookmarkStart w:id="3" w:name="_Toc289256728"/>
      <w:r>
        <w:rPr>
          <w:rStyle w:val="Heading2Char"/>
          <w:b/>
          <w:bCs/>
          <w:color w:val="365F91" w:themeColor="accent1" w:themeShade="BF"/>
          <w:sz w:val="28"/>
        </w:rPr>
        <w:lastRenderedPageBreak/>
        <w:t xml:space="preserve">3.0 </w:t>
      </w:r>
      <w:r w:rsidR="004D1744" w:rsidRPr="00A541D4">
        <w:rPr>
          <w:rStyle w:val="Heading2Char"/>
          <w:b/>
          <w:bCs/>
          <w:color w:val="365F91" w:themeColor="accent1" w:themeShade="BF"/>
          <w:sz w:val="28"/>
        </w:rPr>
        <w:t xml:space="preserve">Rationale for </w:t>
      </w:r>
      <w:r w:rsidR="008B4E09">
        <w:rPr>
          <w:rStyle w:val="Heading2Char"/>
          <w:b/>
          <w:bCs/>
          <w:color w:val="365F91" w:themeColor="accent1" w:themeShade="BF"/>
          <w:sz w:val="28"/>
        </w:rPr>
        <w:t>T</w:t>
      </w:r>
      <w:r w:rsidR="00C97857">
        <w:rPr>
          <w:rStyle w:val="Heading2Char"/>
          <w:b/>
          <w:bCs/>
          <w:color w:val="365F91" w:themeColor="accent1" w:themeShade="BF"/>
          <w:sz w:val="28"/>
        </w:rPr>
        <w:t>ransdisciplinary</w:t>
      </w:r>
      <w:r w:rsidR="004D1744" w:rsidRPr="00A541D4">
        <w:rPr>
          <w:rStyle w:val="Heading2Char"/>
          <w:b/>
          <w:bCs/>
          <w:color w:val="365F91" w:themeColor="accent1" w:themeShade="BF"/>
          <w:sz w:val="28"/>
        </w:rPr>
        <w:t xml:space="preserve"> </w:t>
      </w:r>
      <w:r w:rsidR="008B4E09">
        <w:rPr>
          <w:rStyle w:val="Heading2Char"/>
          <w:b/>
          <w:bCs/>
          <w:color w:val="365F91" w:themeColor="accent1" w:themeShade="BF"/>
          <w:sz w:val="28"/>
        </w:rPr>
        <w:t>A</w:t>
      </w:r>
      <w:r w:rsidR="004D1744" w:rsidRPr="00A541D4">
        <w:rPr>
          <w:rStyle w:val="Heading2Char"/>
          <w:b/>
          <w:bCs/>
          <w:color w:val="365F91" w:themeColor="accent1" w:themeShade="BF"/>
          <w:sz w:val="28"/>
        </w:rPr>
        <w:t>pproach</w:t>
      </w:r>
      <w:bookmarkEnd w:id="3"/>
      <w:r w:rsidR="004D1744" w:rsidRPr="00A541D4">
        <w:t xml:space="preserve"> </w:t>
      </w:r>
    </w:p>
    <w:p w:rsidR="00601DC1" w:rsidRDefault="00601DC1" w:rsidP="00601DC1">
      <w:pPr>
        <w:pStyle w:val="Heading3"/>
      </w:pPr>
      <w:bookmarkStart w:id="4" w:name="_Toc289256729"/>
      <w:r>
        <w:t xml:space="preserve">3.1   Contribution of </w:t>
      </w:r>
      <w:r w:rsidR="00373859">
        <w:t xml:space="preserve">a </w:t>
      </w:r>
      <w:r w:rsidR="00C97857">
        <w:t>Transdisciplinary</w:t>
      </w:r>
      <w:r>
        <w:t xml:space="preserve"> Approach to Health Challenges</w:t>
      </w:r>
      <w:bookmarkEnd w:id="4"/>
    </w:p>
    <w:p w:rsidR="001A05F5" w:rsidRDefault="001A05F5" w:rsidP="000D53B7">
      <w:pPr>
        <w:jc w:val="both"/>
        <w:rPr>
          <w:rFonts w:asciiTheme="minorHAnsi" w:hAnsiTheme="minorHAnsi" w:cstheme="minorHAnsi"/>
        </w:rPr>
      </w:pPr>
    </w:p>
    <w:p w:rsidR="001F2953" w:rsidRPr="00F3562E" w:rsidRDefault="00BE2219" w:rsidP="000D53B7">
      <w:pPr>
        <w:jc w:val="both"/>
        <w:rPr>
          <w:rFonts w:asciiTheme="minorHAnsi" w:hAnsiTheme="minorHAnsi" w:cstheme="minorHAnsi"/>
        </w:rPr>
      </w:pPr>
      <w:r w:rsidRPr="00F3562E">
        <w:rPr>
          <w:rFonts w:asciiTheme="minorHAnsi" w:hAnsiTheme="minorHAnsi" w:cstheme="minorHAnsi"/>
        </w:rPr>
        <w:t>Health behaviours are influenced by complex interaction between social, cultural and economic factors</w:t>
      </w:r>
      <w:r w:rsidRPr="00F3562E">
        <w:rPr>
          <w:rStyle w:val="EndnoteReference"/>
          <w:rFonts w:asciiTheme="minorHAnsi" w:hAnsiTheme="minorHAnsi" w:cstheme="minorHAnsi"/>
        </w:rPr>
        <w:endnoteReference w:id="2"/>
      </w:r>
      <w:r w:rsidRPr="00F3562E">
        <w:rPr>
          <w:rFonts w:asciiTheme="minorHAnsi" w:hAnsiTheme="minorHAnsi" w:cstheme="minorHAnsi"/>
        </w:rPr>
        <w:t xml:space="preserve">. A </w:t>
      </w:r>
      <w:r w:rsidR="00C97857">
        <w:rPr>
          <w:rFonts w:asciiTheme="minorHAnsi" w:hAnsiTheme="minorHAnsi" w:cstheme="minorHAnsi"/>
        </w:rPr>
        <w:t>transdisciplinary</w:t>
      </w:r>
      <w:r w:rsidRPr="00F3562E">
        <w:rPr>
          <w:rFonts w:asciiTheme="minorHAnsi" w:hAnsiTheme="minorHAnsi" w:cstheme="minorHAnsi"/>
        </w:rPr>
        <w:t xml:space="preserve"> approach can contribute to </w:t>
      </w:r>
      <w:r w:rsidR="007E5184" w:rsidRPr="00F3562E">
        <w:rPr>
          <w:rFonts w:asciiTheme="minorHAnsi" w:hAnsiTheme="minorHAnsi" w:cstheme="minorHAnsi"/>
        </w:rPr>
        <w:t>identifying and developing strategies to overcome obstacles to health behaviour</w:t>
      </w:r>
      <w:r w:rsidR="007E5184" w:rsidRPr="00F3562E">
        <w:rPr>
          <w:rStyle w:val="EndnoteReference"/>
          <w:rFonts w:asciiTheme="minorHAnsi" w:hAnsiTheme="minorHAnsi" w:cstheme="minorHAnsi"/>
        </w:rPr>
        <w:endnoteReference w:id="3"/>
      </w:r>
      <w:r w:rsidR="007E5184" w:rsidRPr="00F3562E">
        <w:rPr>
          <w:rFonts w:asciiTheme="minorHAnsi" w:hAnsiTheme="minorHAnsi" w:cstheme="minorHAnsi"/>
        </w:rPr>
        <w:t xml:space="preserve">.  In addition, a </w:t>
      </w:r>
      <w:r w:rsidR="00C97857">
        <w:rPr>
          <w:rFonts w:asciiTheme="minorHAnsi" w:hAnsiTheme="minorHAnsi" w:cstheme="minorHAnsi"/>
        </w:rPr>
        <w:t>transdisciplinary</w:t>
      </w:r>
      <w:r w:rsidR="007E5184" w:rsidRPr="00F3562E">
        <w:rPr>
          <w:rFonts w:asciiTheme="minorHAnsi" w:hAnsiTheme="minorHAnsi" w:cstheme="minorHAnsi"/>
        </w:rPr>
        <w:t xml:space="preserve"> approach can help policy makers to understand more comprehensively the contributions of their policies to improving or harming </w:t>
      </w:r>
      <w:r w:rsidR="00F3562E" w:rsidRPr="00F3562E">
        <w:rPr>
          <w:rFonts w:asciiTheme="minorHAnsi" w:hAnsiTheme="minorHAnsi" w:cstheme="minorHAnsi"/>
        </w:rPr>
        <w:t>constituents’</w:t>
      </w:r>
      <w:r w:rsidR="007E5184" w:rsidRPr="00F3562E">
        <w:rPr>
          <w:rFonts w:asciiTheme="minorHAnsi" w:hAnsiTheme="minorHAnsi" w:cstheme="minorHAnsi"/>
        </w:rPr>
        <w:t xml:space="preserve"> </w:t>
      </w:r>
      <w:r w:rsidR="00F3562E" w:rsidRPr="00F3562E">
        <w:rPr>
          <w:rFonts w:asciiTheme="minorHAnsi" w:hAnsiTheme="minorHAnsi" w:cstheme="minorHAnsi"/>
        </w:rPr>
        <w:t>health</w:t>
      </w:r>
      <w:r w:rsidR="007E5184" w:rsidRPr="00F3562E">
        <w:rPr>
          <w:rStyle w:val="EndnoteReference"/>
          <w:rFonts w:asciiTheme="minorHAnsi" w:hAnsiTheme="minorHAnsi" w:cstheme="minorHAnsi"/>
        </w:rPr>
        <w:endnoteReference w:id="4"/>
      </w:r>
      <w:r w:rsidR="00F3562E">
        <w:rPr>
          <w:rFonts w:asciiTheme="minorHAnsi" w:hAnsiTheme="minorHAnsi" w:cstheme="minorHAnsi"/>
        </w:rPr>
        <w:t>.</w:t>
      </w:r>
    </w:p>
    <w:p w:rsidR="001F2953" w:rsidRPr="00F3562E" w:rsidRDefault="001F2953" w:rsidP="000D53B7">
      <w:pPr>
        <w:jc w:val="both"/>
        <w:rPr>
          <w:rFonts w:asciiTheme="minorHAnsi" w:hAnsiTheme="minorHAnsi" w:cstheme="minorHAnsi"/>
        </w:rPr>
      </w:pPr>
    </w:p>
    <w:p w:rsidR="001F2953" w:rsidRDefault="00F3562E" w:rsidP="000D53B7">
      <w:pPr>
        <w:jc w:val="both"/>
        <w:rPr>
          <w:rFonts w:asciiTheme="minorHAnsi" w:hAnsiTheme="minorHAnsi" w:cstheme="minorHAnsi"/>
        </w:rPr>
      </w:pPr>
      <w:r>
        <w:rPr>
          <w:rFonts w:asciiTheme="minorHAnsi" w:hAnsiTheme="minorHAnsi" w:cstheme="minorHAnsi"/>
        </w:rPr>
        <w:t>There are three possible approaches to the combination of expertise from multiple disciplines</w:t>
      </w:r>
      <w:r w:rsidR="00ED3523">
        <w:rPr>
          <w:rFonts w:asciiTheme="minorHAnsi" w:hAnsiTheme="minorHAnsi" w:cstheme="minorHAnsi"/>
        </w:rPr>
        <w:t>:</w:t>
      </w:r>
      <w:r>
        <w:rPr>
          <w:rFonts w:asciiTheme="minorHAnsi" w:hAnsiTheme="minorHAnsi" w:cstheme="minorHAnsi"/>
        </w:rPr>
        <w:t xml:space="preserve"> multidisciplinary, interdisciplinary and </w:t>
      </w:r>
      <w:r w:rsidR="00C97857">
        <w:rPr>
          <w:rFonts w:asciiTheme="minorHAnsi" w:hAnsiTheme="minorHAnsi" w:cstheme="minorHAnsi"/>
        </w:rPr>
        <w:t>transdisciplinary</w:t>
      </w:r>
      <w:r>
        <w:rPr>
          <w:rFonts w:asciiTheme="minorHAnsi" w:hAnsiTheme="minorHAnsi" w:cstheme="minorHAnsi"/>
        </w:rPr>
        <w:t>.  Multidisciplinary approaches seek input from different disciplines but these are independent of each other and may create a mosaic of interventions</w:t>
      </w:r>
      <w:r w:rsidR="004023C3">
        <w:rPr>
          <w:rFonts w:asciiTheme="minorHAnsi" w:hAnsiTheme="minorHAnsi" w:cstheme="minorHAnsi"/>
        </w:rPr>
        <w:t>. In Interdisciplinary approaches, disciplines work together to provide input but individuals stay within their own disciplinary boundaries</w:t>
      </w:r>
      <w:r>
        <w:rPr>
          <w:rStyle w:val="EndnoteReference"/>
          <w:rFonts w:asciiTheme="minorHAnsi" w:hAnsiTheme="minorHAnsi" w:cstheme="minorHAnsi"/>
        </w:rPr>
        <w:endnoteReference w:id="5"/>
      </w:r>
      <w:r>
        <w:rPr>
          <w:rFonts w:asciiTheme="minorHAnsi" w:hAnsiTheme="minorHAnsi" w:cstheme="minorHAnsi"/>
        </w:rPr>
        <w:t xml:space="preserve">.   </w:t>
      </w:r>
    </w:p>
    <w:p w:rsidR="004023C3" w:rsidRDefault="004023C3" w:rsidP="000D53B7">
      <w:pPr>
        <w:jc w:val="both"/>
        <w:rPr>
          <w:rFonts w:asciiTheme="minorHAnsi" w:hAnsiTheme="minorHAnsi" w:cstheme="minorHAnsi"/>
        </w:rPr>
      </w:pPr>
    </w:p>
    <w:p w:rsidR="004023C3" w:rsidRDefault="004023C3" w:rsidP="000D53B7">
      <w:pPr>
        <w:jc w:val="both"/>
        <w:rPr>
          <w:rFonts w:asciiTheme="minorHAnsi" w:hAnsiTheme="minorHAnsi" w:cstheme="minorHAnsi"/>
        </w:rPr>
      </w:pPr>
      <w:r>
        <w:rPr>
          <w:rFonts w:asciiTheme="minorHAnsi" w:hAnsiTheme="minorHAnsi" w:cstheme="minorHAnsi"/>
        </w:rPr>
        <w:t xml:space="preserve">The </w:t>
      </w:r>
      <w:r w:rsidR="00C97857">
        <w:rPr>
          <w:rFonts w:asciiTheme="minorHAnsi" w:hAnsiTheme="minorHAnsi" w:cstheme="minorHAnsi"/>
        </w:rPr>
        <w:t>transdisciplinary</w:t>
      </w:r>
      <w:r>
        <w:rPr>
          <w:rFonts w:asciiTheme="minorHAnsi" w:hAnsiTheme="minorHAnsi" w:cstheme="minorHAnsi"/>
        </w:rPr>
        <w:t xml:space="preserve"> approach is synergistic in that it uses concepts, theories, research approaches, analytical methods and strategies for the interpretation of findings to develop shared conceptual frameworks that integrate and transcend individual disciplines</w:t>
      </w:r>
      <w:r w:rsidRPr="004A5D61">
        <w:rPr>
          <w:rStyle w:val="EndnoteReference"/>
          <w:rFonts w:asciiTheme="minorHAnsi" w:hAnsiTheme="minorHAnsi" w:cstheme="minorHAnsi"/>
        </w:rPr>
        <w:endnoteReference w:id="6"/>
      </w:r>
      <w:r w:rsidRPr="004A5D61">
        <w:rPr>
          <w:rFonts w:asciiTheme="minorHAnsi" w:hAnsiTheme="minorHAnsi" w:cstheme="minorHAnsi"/>
          <w:vertAlign w:val="superscript"/>
        </w:rPr>
        <w:t xml:space="preserve">, </w:t>
      </w:r>
      <w:r w:rsidRPr="004A5D61">
        <w:rPr>
          <w:rStyle w:val="EndnoteReference"/>
          <w:rFonts w:asciiTheme="minorHAnsi" w:hAnsiTheme="minorHAnsi" w:cstheme="minorHAnsi"/>
        </w:rPr>
        <w:endnoteReference w:id="7"/>
      </w:r>
      <w:r w:rsidRPr="004A5D61">
        <w:rPr>
          <w:rFonts w:asciiTheme="minorHAnsi" w:hAnsiTheme="minorHAnsi" w:cstheme="minorHAnsi"/>
          <w:vertAlign w:val="superscript"/>
        </w:rPr>
        <w:t>,</w:t>
      </w:r>
      <w:r>
        <w:rPr>
          <w:rFonts w:asciiTheme="minorHAnsi" w:hAnsiTheme="minorHAnsi" w:cstheme="minorHAnsi"/>
        </w:rPr>
        <w:t xml:space="preserve"> </w:t>
      </w:r>
      <w:r>
        <w:rPr>
          <w:rStyle w:val="EndnoteReference"/>
          <w:rFonts w:asciiTheme="minorHAnsi" w:hAnsiTheme="minorHAnsi" w:cstheme="minorHAnsi"/>
        </w:rPr>
        <w:endnoteReference w:id="8"/>
      </w:r>
      <w:r>
        <w:rPr>
          <w:rFonts w:asciiTheme="minorHAnsi" w:hAnsiTheme="minorHAnsi" w:cstheme="minorHAnsi"/>
        </w:rPr>
        <w:t xml:space="preserve">.  Key features of this approach include recognition that no one group has a monopoly on knowledge and that collaborations must be created </w:t>
      </w:r>
      <w:r w:rsidR="00A42D2C">
        <w:rPr>
          <w:rFonts w:asciiTheme="minorHAnsi" w:hAnsiTheme="minorHAnsi" w:cstheme="minorHAnsi"/>
        </w:rPr>
        <w:t>‘</w:t>
      </w:r>
      <w:r>
        <w:rPr>
          <w:rFonts w:asciiTheme="minorHAnsi" w:hAnsiTheme="minorHAnsi" w:cstheme="minorHAnsi"/>
        </w:rPr>
        <w:t>not only between different academic disciplines but between researchers and non-academic groups with a stake in the problem under investigation</w:t>
      </w:r>
      <w:r w:rsidR="00A42D2C">
        <w:rPr>
          <w:rFonts w:asciiTheme="minorHAnsi" w:hAnsiTheme="minorHAnsi" w:cstheme="minorHAnsi"/>
        </w:rPr>
        <w:t>’.</w:t>
      </w:r>
      <w:r w:rsidRPr="004A5D61">
        <w:rPr>
          <w:rStyle w:val="EndnoteReference"/>
          <w:rFonts w:asciiTheme="minorHAnsi" w:hAnsiTheme="minorHAnsi" w:cstheme="minorHAnsi"/>
        </w:rPr>
        <w:endnoteReference w:id="9"/>
      </w:r>
      <w:r w:rsidR="004A5D61" w:rsidRPr="004A5D61">
        <w:rPr>
          <w:rFonts w:asciiTheme="minorHAnsi" w:hAnsiTheme="minorHAnsi" w:cstheme="minorHAnsi"/>
          <w:vertAlign w:val="superscript"/>
        </w:rPr>
        <w:t xml:space="preserve">, </w:t>
      </w:r>
      <w:r w:rsidR="00A42D2C">
        <w:rPr>
          <w:rFonts w:asciiTheme="minorHAnsi" w:hAnsiTheme="minorHAnsi" w:cstheme="minorHAnsi"/>
          <w:vertAlign w:val="superscript"/>
        </w:rPr>
        <w:t>p.</w:t>
      </w:r>
      <w:r w:rsidR="004A5D61" w:rsidRPr="004A5D61">
        <w:rPr>
          <w:rFonts w:asciiTheme="minorHAnsi" w:hAnsiTheme="minorHAnsi" w:cstheme="minorHAnsi"/>
          <w:vertAlign w:val="superscript"/>
        </w:rPr>
        <w:t xml:space="preserve">161 </w:t>
      </w:r>
    </w:p>
    <w:p w:rsidR="003401D6" w:rsidRDefault="003401D6" w:rsidP="003401D6">
      <w:pPr>
        <w:jc w:val="both"/>
        <w:rPr>
          <w:rFonts w:asciiTheme="minorHAnsi" w:hAnsiTheme="minorHAnsi" w:cstheme="minorHAnsi"/>
        </w:rPr>
      </w:pPr>
    </w:p>
    <w:p w:rsidR="003401D6" w:rsidRDefault="003401D6" w:rsidP="003401D6">
      <w:pPr>
        <w:jc w:val="both"/>
        <w:rPr>
          <w:rFonts w:asciiTheme="minorHAnsi" w:hAnsiTheme="minorHAnsi" w:cstheme="minorHAnsi"/>
        </w:rPr>
      </w:pPr>
      <w:r w:rsidRPr="003421D7">
        <w:rPr>
          <w:rFonts w:asciiTheme="minorHAnsi" w:hAnsiTheme="minorHAnsi" w:cstheme="minorHAnsi"/>
        </w:rPr>
        <w:t xml:space="preserve">Public health is an ideal environment for </w:t>
      </w:r>
      <w:r w:rsidR="00C97857">
        <w:rPr>
          <w:rFonts w:asciiTheme="minorHAnsi" w:hAnsiTheme="minorHAnsi" w:cstheme="minorHAnsi"/>
        </w:rPr>
        <w:t>transdisciplinary</w:t>
      </w:r>
      <w:r w:rsidRPr="003421D7">
        <w:rPr>
          <w:rFonts w:asciiTheme="minorHAnsi" w:hAnsiTheme="minorHAnsi" w:cstheme="minorHAnsi"/>
        </w:rPr>
        <w:t xml:space="preserve"> approaches due to the influence of intrapersonal, interpersonal, organisational, community and societal influences and the multi-level interventions that will be required to address preventable causes of health problems</w:t>
      </w:r>
      <w:r w:rsidRPr="002A78CA">
        <w:rPr>
          <w:rStyle w:val="EndnoteReference"/>
          <w:rFonts w:asciiTheme="minorHAnsi" w:hAnsiTheme="minorHAnsi" w:cstheme="minorHAnsi"/>
        </w:rPr>
        <w:endnoteReference w:id="10"/>
      </w:r>
      <w:r w:rsidRPr="002A78CA">
        <w:rPr>
          <w:rFonts w:asciiTheme="minorHAnsi" w:hAnsiTheme="minorHAnsi" w:cstheme="minorHAnsi"/>
          <w:vertAlign w:val="superscript"/>
        </w:rPr>
        <w:t xml:space="preserve">, </w:t>
      </w:r>
      <w:r w:rsidRPr="002A78CA">
        <w:rPr>
          <w:rStyle w:val="EndnoteReference"/>
          <w:rFonts w:asciiTheme="minorHAnsi" w:hAnsiTheme="minorHAnsi" w:cstheme="minorHAnsi"/>
        </w:rPr>
        <w:endnoteReference w:id="11"/>
      </w:r>
      <w:r w:rsidRPr="003421D7">
        <w:rPr>
          <w:rFonts w:asciiTheme="minorHAnsi" w:hAnsiTheme="minorHAnsi" w:cstheme="minorHAnsi"/>
        </w:rPr>
        <w:t>.</w:t>
      </w:r>
    </w:p>
    <w:p w:rsidR="003401D6" w:rsidRDefault="003401D6" w:rsidP="003401D6">
      <w:pPr>
        <w:jc w:val="both"/>
        <w:rPr>
          <w:rFonts w:asciiTheme="minorHAnsi" w:hAnsiTheme="minorHAnsi" w:cstheme="minorHAnsi"/>
        </w:rPr>
      </w:pPr>
    </w:p>
    <w:p w:rsidR="003401D6" w:rsidRDefault="003401D6" w:rsidP="003401D6">
      <w:pPr>
        <w:pBdr>
          <w:top w:val="single" w:sz="4" w:space="1" w:color="auto"/>
          <w:left w:val="single" w:sz="4" w:space="4" w:color="auto"/>
          <w:bottom w:val="single" w:sz="4" w:space="1" w:color="auto"/>
          <w:right w:val="single" w:sz="4" w:space="4" w:color="auto"/>
        </w:pBdr>
        <w:shd w:val="clear" w:color="auto" w:fill="CCFFFF"/>
        <w:rPr>
          <w:rFonts w:asciiTheme="minorHAnsi" w:hAnsiTheme="minorHAnsi"/>
          <w:b/>
        </w:rPr>
      </w:pPr>
    </w:p>
    <w:p w:rsidR="003401D6" w:rsidRPr="000010E3" w:rsidRDefault="003401D6" w:rsidP="003401D6">
      <w:pPr>
        <w:pBdr>
          <w:top w:val="single" w:sz="4" w:space="1" w:color="auto"/>
          <w:left w:val="single" w:sz="4" w:space="4" w:color="auto"/>
          <w:bottom w:val="single" w:sz="4" w:space="1" w:color="auto"/>
          <w:right w:val="single" w:sz="4" w:space="4" w:color="auto"/>
        </w:pBdr>
        <w:shd w:val="clear" w:color="auto" w:fill="CCFFFF"/>
        <w:rPr>
          <w:rFonts w:asciiTheme="minorHAnsi" w:hAnsiTheme="minorHAnsi"/>
          <w:b/>
        </w:rPr>
      </w:pPr>
      <w:r w:rsidRPr="000010E3">
        <w:rPr>
          <w:rFonts w:asciiTheme="minorHAnsi" w:hAnsiTheme="minorHAnsi"/>
          <w:b/>
        </w:rPr>
        <w:t>Evidence of Success:  Transdisciplinary Approaches to Behaviour Change:</w:t>
      </w:r>
    </w:p>
    <w:p w:rsidR="003401D6" w:rsidRDefault="003401D6" w:rsidP="003401D6">
      <w:pPr>
        <w:pBdr>
          <w:top w:val="single" w:sz="4" w:space="1" w:color="auto"/>
          <w:left w:val="single" w:sz="4" w:space="4" w:color="auto"/>
          <w:bottom w:val="single" w:sz="4" w:space="1" w:color="auto"/>
          <w:right w:val="single" w:sz="4" w:space="4" w:color="auto"/>
        </w:pBdr>
        <w:shd w:val="clear" w:color="auto" w:fill="CCFFFF"/>
        <w:jc w:val="both"/>
        <w:rPr>
          <w:rFonts w:asciiTheme="minorHAnsi" w:hAnsiTheme="minorHAnsi" w:cstheme="minorHAnsi"/>
        </w:rPr>
      </w:pPr>
    </w:p>
    <w:p w:rsidR="003401D6" w:rsidRDefault="003401D6" w:rsidP="003401D6">
      <w:pPr>
        <w:pBdr>
          <w:top w:val="single" w:sz="4" w:space="1" w:color="auto"/>
          <w:left w:val="single" w:sz="4" w:space="4" w:color="auto"/>
          <w:bottom w:val="single" w:sz="4" w:space="1" w:color="auto"/>
          <w:right w:val="single" w:sz="4" w:space="4" w:color="auto"/>
        </w:pBdr>
        <w:shd w:val="clear" w:color="auto" w:fill="CCFFFF"/>
        <w:rPr>
          <w:rFonts w:asciiTheme="minorHAnsi" w:hAnsiTheme="minorHAnsi"/>
        </w:rPr>
      </w:pPr>
      <w:r w:rsidRPr="00287084">
        <w:rPr>
          <w:rFonts w:asciiTheme="minorHAnsi" w:hAnsiTheme="minorHAnsi"/>
        </w:rPr>
        <w:t xml:space="preserve">Much of the evaluation of </w:t>
      </w:r>
      <w:r w:rsidR="00C97857">
        <w:rPr>
          <w:rFonts w:asciiTheme="minorHAnsi" w:hAnsiTheme="minorHAnsi"/>
        </w:rPr>
        <w:t>transdisciplinary</w:t>
      </w:r>
      <w:r w:rsidRPr="00287084">
        <w:rPr>
          <w:rFonts w:asciiTheme="minorHAnsi" w:hAnsiTheme="minorHAnsi"/>
        </w:rPr>
        <w:t xml:space="preserve"> approaches has centred on processes rather than outcomes</w:t>
      </w:r>
      <w:r w:rsidRPr="00287084">
        <w:rPr>
          <w:rStyle w:val="EndnoteReference"/>
          <w:rFonts w:asciiTheme="minorHAnsi" w:eastAsiaTheme="majorEastAsia" w:hAnsiTheme="minorHAnsi"/>
        </w:rPr>
        <w:endnoteReference w:id="12"/>
      </w:r>
      <w:r w:rsidRPr="00287084">
        <w:rPr>
          <w:rFonts w:asciiTheme="minorHAnsi" w:hAnsiTheme="minorHAnsi"/>
        </w:rPr>
        <w:t xml:space="preserve">, however initial </w:t>
      </w:r>
      <w:r w:rsidR="001A05F5">
        <w:rPr>
          <w:rFonts w:asciiTheme="minorHAnsi" w:hAnsiTheme="minorHAnsi"/>
        </w:rPr>
        <w:t>studies in the area show success</w:t>
      </w:r>
      <w:r w:rsidRPr="00287084">
        <w:rPr>
          <w:rFonts w:asciiTheme="minorHAnsi" w:hAnsiTheme="minorHAnsi"/>
        </w:rPr>
        <w:t xml:space="preserve"> in areas such as risk perception and planned behaviour change in relation to cancer screening</w:t>
      </w:r>
      <w:r w:rsidRPr="00287084">
        <w:rPr>
          <w:rStyle w:val="EndnoteReference"/>
          <w:rFonts w:asciiTheme="minorHAnsi" w:eastAsiaTheme="majorEastAsia" w:hAnsiTheme="minorHAnsi"/>
        </w:rPr>
        <w:endnoteReference w:id="13"/>
      </w:r>
      <w:r>
        <w:rPr>
          <w:rFonts w:asciiTheme="minorHAnsi" w:hAnsiTheme="minorHAnsi"/>
        </w:rPr>
        <w:t xml:space="preserve">, </w:t>
      </w:r>
      <w:r>
        <w:rPr>
          <w:rStyle w:val="EndnoteReference"/>
          <w:rFonts w:asciiTheme="minorHAnsi" w:eastAsiaTheme="majorEastAsia" w:hAnsiTheme="minorHAnsi"/>
        </w:rPr>
        <w:endnoteReference w:id="14"/>
      </w:r>
      <w:r>
        <w:rPr>
          <w:rFonts w:asciiTheme="minorHAnsi" w:hAnsiTheme="minorHAnsi"/>
        </w:rPr>
        <w:t xml:space="preserve"> and sustainability</w:t>
      </w:r>
      <w:r>
        <w:rPr>
          <w:rStyle w:val="EndnoteReference"/>
          <w:rFonts w:asciiTheme="minorHAnsi" w:eastAsiaTheme="majorEastAsia" w:hAnsiTheme="minorHAnsi"/>
        </w:rPr>
        <w:endnoteReference w:id="15"/>
      </w:r>
      <w:r>
        <w:rPr>
          <w:rFonts w:asciiTheme="minorHAnsi" w:hAnsiTheme="minorHAnsi"/>
        </w:rPr>
        <w:t>.</w:t>
      </w:r>
    </w:p>
    <w:p w:rsidR="003401D6" w:rsidRDefault="003401D6" w:rsidP="003401D6">
      <w:pPr>
        <w:pBdr>
          <w:top w:val="single" w:sz="4" w:space="1" w:color="auto"/>
          <w:left w:val="single" w:sz="4" w:space="4" w:color="auto"/>
          <w:bottom w:val="single" w:sz="4" w:space="1" w:color="auto"/>
          <w:right w:val="single" w:sz="4" w:space="4" w:color="auto"/>
        </w:pBdr>
        <w:shd w:val="clear" w:color="auto" w:fill="CCFFFF"/>
        <w:jc w:val="both"/>
        <w:rPr>
          <w:rFonts w:asciiTheme="minorHAnsi" w:hAnsiTheme="minorHAnsi" w:cstheme="minorHAnsi"/>
        </w:rPr>
      </w:pPr>
    </w:p>
    <w:p w:rsidR="003401D6" w:rsidRDefault="003401D6" w:rsidP="003401D6">
      <w:pPr>
        <w:pBdr>
          <w:top w:val="single" w:sz="4" w:space="1" w:color="auto"/>
          <w:left w:val="single" w:sz="4" w:space="4" w:color="auto"/>
          <w:bottom w:val="single" w:sz="4" w:space="1" w:color="auto"/>
          <w:right w:val="single" w:sz="4" w:space="4" w:color="auto"/>
        </w:pBdr>
        <w:shd w:val="clear" w:color="auto" w:fill="CCFFFF"/>
        <w:jc w:val="both"/>
        <w:rPr>
          <w:rFonts w:asciiTheme="minorHAnsi" w:hAnsiTheme="minorHAnsi" w:cstheme="minorHAnsi"/>
        </w:rPr>
      </w:pPr>
    </w:p>
    <w:p w:rsidR="003401D6" w:rsidRDefault="003401D6" w:rsidP="003401D6">
      <w:pPr>
        <w:jc w:val="both"/>
        <w:rPr>
          <w:rFonts w:asciiTheme="minorHAnsi" w:hAnsiTheme="minorHAnsi" w:cstheme="minorHAnsi"/>
        </w:rPr>
      </w:pPr>
    </w:p>
    <w:p w:rsidR="004A5D61" w:rsidRDefault="004A5D61" w:rsidP="000D53B7">
      <w:pPr>
        <w:jc w:val="both"/>
        <w:rPr>
          <w:rFonts w:asciiTheme="minorHAnsi" w:hAnsiTheme="minorHAnsi" w:cstheme="minorHAnsi"/>
        </w:rPr>
      </w:pPr>
    </w:p>
    <w:p w:rsidR="00601DC1" w:rsidRDefault="00601DC1">
      <w:pPr>
        <w:rPr>
          <w:rFonts w:asciiTheme="minorHAnsi" w:hAnsiTheme="minorHAnsi" w:cstheme="minorHAnsi"/>
        </w:rPr>
      </w:pPr>
      <w:r>
        <w:rPr>
          <w:rFonts w:asciiTheme="minorHAnsi" w:hAnsiTheme="minorHAnsi" w:cstheme="minorHAnsi"/>
        </w:rPr>
        <w:br w:type="page"/>
      </w:r>
    </w:p>
    <w:p w:rsidR="004A5D61" w:rsidRDefault="004A5D61" w:rsidP="000D53B7">
      <w:pPr>
        <w:jc w:val="both"/>
        <w:rPr>
          <w:rFonts w:asciiTheme="minorHAnsi" w:hAnsiTheme="minorHAnsi" w:cstheme="minorHAnsi"/>
        </w:rPr>
      </w:pPr>
      <w:r>
        <w:rPr>
          <w:rFonts w:asciiTheme="minorHAnsi" w:hAnsiTheme="minorHAnsi" w:cstheme="minorHAnsi"/>
        </w:rPr>
        <w:lastRenderedPageBreak/>
        <w:t xml:space="preserve">Benefits include a true integration of knowledge to address linkages between the factors influencing health behaviours and to enable the following questions to be </w:t>
      </w:r>
      <w:r w:rsidR="001A05F5">
        <w:rPr>
          <w:rFonts w:asciiTheme="minorHAnsi" w:hAnsiTheme="minorHAnsi" w:cstheme="minorHAnsi"/>
        </w:rPr>
        <w:t xml:space="preserve">addressed </w:t>
      </w:r>
      <w:r>
        <w:rPr>
          <w:rFonts w:asciiTheme="minorHAnsi" w:hAnsiTheme="minorHAnsi" w:cstheme="minorHAnsi"/>
        </w:rPr>
        <w:t>effectively</w:t>
      </w:r>
      <w:r w:rsidR="00692B72">
        <w:rPr>
          <w:rStyle w:val="EndnoteReference"/>
          <w:rFonts w:asciiTheme="minorHAnsi" w:hAnsiTheme="minorHAnsi" w:cstheme="minorHAnsi"/>
        </w:rPr>
        <w:endnoteReference w:id="16"/>
      </w:r>
      <w:r>
        <w:rPr>
          <w:rFonts w:asciiTheme="minorHAnsi" w:hAnsiTheme="minorHAnsi" w:cstheme="minorHAnsi"/>
        </w:rPr>
        <w:t>:</w:t>
      </w:r>
    </w:p>
    <w:p w:rsidR="00756433" w:rsidRDefault="00002B71" w:rsidP="000D53B7">
      <w:pPr>
        <w:jc w:val="both"/>
        <w:rPr>
          <w:rFonts w:asciiTheme="minorHAnsi" w:hAnsiTheme="minorHAnsi" w:cstheme="minorHAnsi"/>
        </w:rPr>
      </w:pPr>
      <w:r w:rsidRPr="00002B71">
        <w:rPr>
          <w:rFonts w:asciiTheme="minorHAnsi" w:hAnsiTheme="minorHAnsi" w:cstheme="minorHAnsi"/>
          <w:noProof/>
          <w:lang w:val="en-US" w:eastAsia="zh-TW"/>
        </w:rPr>
        <w:pict>
          <v:shapetype id="_x0000_t202" coordsize="21600,21600" o:spt="202" path="m,l,21600r21600,l21600,xe">
            <v:stroke joinstyle="miter"/>
            <v:path gradientshapeok="t" o:connecttype="rect"/>
          </v:shapetype>
          <v:shape id="_x0000_s1213" type="#_x0000_t202" style="position:absolute;left:0;text-align:left;margin-left:0;margin-top:13.4pt;width:391.1pt;height:259.8pt;z-index:251717632;mso-position-horizontal:center;mso-width-relative:margin;mso-height-relative:margin" fillcolor="#cff">
            <v:textbox style="mso-next-textbox:#_x0000_s1213">
              <w:txbxContent>
                <w:p w:rsidR="002B3E5E" w:rsidRDefault="002B3E5E" w:rsidP="003401D6">
                  <w:pPr>
                    <w:pStyle w:val="ListParagraph"/>
                    <w:numPr>
                      <w:ilvl w:val="0"/>
                      <w:numId w:val="14"/>
                    </w:numPr>
                    <w:rPr>
                      <w:rFonts w:asciiTheme="minorHAnsi" w:hAnsiTheme="minorHAnsi" w:cstheme="minorHAnsi"/>
                      <w:i/>
                      <w:sz w:val="20"/>
                      <w:szCs w:val="20"/>
                    </w:rPr>
                  </w:pPr>
                  <w:r w:rsidRPr="00756433">
                    <w:rPr>
                      <w:rFonts w:asciiTheme="minorHAnsi" w:hAnsiTheme="minorHAnsi" w:cstheme="minorHAnsi"/>
                      <w:i/>
                      <w:sz w:val="20"/>
                      <w:szCs w:val="20"/>
                    </w:rPr>
                    <w:t>How does power operate in different social contexts to create and maintain disparities?</w:t>
                  </w:r>
                </w:p>
                <w:p w:rsidR="002B3E5E" w:rsidRPr="00756433" w:rsidRDefault="002B3E5E" w:rsidP="003401D6">
                  <w:pPr>
                    <w:pStyle w:val="ListParagraph"/>
                    <w:numPr>
                      <w:ilvl w:val="0"/>
                      <w:numId w:val="14"/>
                    </w:numPr>
                    <w:rPr>
                      <w:rFonts w:asciiTheme="minorHAnsi" w:hAnsiTheme="minorHAnsi" w:cstheme="minorHAnsi"/>
                      <w:i/>
                      <w:sz w:val="20"/>
                      <w:szCs w:val="20"/>
                    </w:rPr>
                  </w:pPr>
                  <w:r w:rsidRPr="00756433">
                    <w:rPr>
                      <w:rFonts w:asciiTheme="minorHAnsi" w:hAnsiTheme="minorHAnsi" w:cstheme="minorHAnsi"/>
                      <w:i/>
                      <w:sz w:val="20"/>
                      <w:szCs w:val="20"/>
                    </w:rPr>
                    <w:t xml:space="preserve">What factors exist in certain populations that protect them from major health issues?  </w:t>
                  </w:r>
                </w:p>
                <w:p w:rsidR="002B3E5E" w:rsidRPr="00756433" w:rsidRDefault="002B3E5E" w:rsidP="00692B72">
                  <w:pPr>
                    <w:pStyle w:val="ListParagraph"/>
                    <w:numPr>
                      <w:ilvl w:val="0"/>
                      <w:numId w:val="14"/>
                    </w:numPr>
                    <w:rPr>
                      <w:rFonts w:asciiTheme="minorHAnsi" w:hAnsiTheme="minorHAnsi" w:cstheme="minorHAnsi"/>
                      <w:i/>
                      <w:sz w:val="20"/>
                      <w:szCs w:val="20"/>
                    </w:rPr>
                  </w:pPr>
                  <w:r w:rsidRPr="00756433">
                    <w:rPr>
                      <w:rFonts w:asciiTheme="minorHAnsi" w:hAnsiTheme="minorHAnsi" w:cstheme="minorHAnsi"/>
                      <w:i/>
                      <w:sz w:val="20"/>
                      <w:szCs w:val="20"/>
                    </w:rPr>
                    <w:t>How do economics and the built environment such a</w:t>
                  </w:r>
                  <w:r>
                    <w:rPr>
                      <w:rFonts w:asciiTheme="minorHAnsi" w:hAnsiTheme="minorHAnsi" w:cstheme="minorHAnsi"/>
                      <w:i/>
                      <w:sz w:val="20"/>
                      <w:szCs w:val="20"/>
                    </w:rPr>
                    <w:t>s</w:t>
                  </w:r>
                  <w:r w:rsidRPr="00756433">
                    <w:rPr>
                      <w:rFonts w:asciiTheme="minorHAnsi" w:hAnsiTheme="minorHAnsi" w:cstheme="minorHAnsi"/>
                      <w:i/>
                      <w:sz w:val="20"/>
                      <w:szCs w:val="20"/>
                    </w:rPr>
                    <w:t xml:space="preserve"> the availability of housing and sidewalks affect health, and how can we encourage the urban design and planning of communities to eliminate health disparities?</w:t>
                  </w:r>
                </w:p>
                <w:p w:rsidR="002B3E5E" w:rsidRPr="00756433" w:rsidRDefault="002B3E5E" w:rsidP="00692B72">
                  <w:pPr>
                    <w:pStyle w:val="ListParagraph"/>
                    <w:numPr>
                      <w:ilvl w:val="0"/>
                      <w:numId w:val="14"/>
                    </w:numPr>
                    <w:rPr>
                      <w:rFonts w:asciiTheme="minorHAnsi" w:hAnsiTheme="minorHAnsi" w:cstheme="minorHAnsi"/>
                      <w:i/>
                      <w:sz w:val="20"/>
                      <w:szCs w:val="20"/>
                    </w:rPr>
                  </w:pPr>
                  <w:r w:rsidRPr="00756433">
                    <w:rPr>
                      <w:rFonts w:asciiTheme="minorHAnsi" w:hAnsiTheme="minorHAnsi" w:cstheme="minorHAnsi"/>
                      <w:i/>
                      <w:sz w:val="20"/>
                      <w:szCs w:val="20"/>
                    </w:rPr>
                    <w:t>How can health educators and society promote such protective factors?</w:t>
                  </w:r>
                </w:p>
                <w:p w:rsidR="002B3E5E" w:rsidRPr="00756433" w:rsidRDefault="002B3E5E" w:rsidP="00692B72">
                  <w:pPr>
                    <w:pStyle w:val="ListParagraph"/>
                    <w:numPr>
                      <w:ilvl w:val="0"/>
                      <w:numId w:val="14"/>
                    </w:numPr>
                    <w:rPr>
                      <w:rFonts w:asciiTheme="minorHAnsi" w:hAnsiTheme="minorHAnsi" w:cstheme="minorHAnsi"/>
                      <w:i/>
                      <w:sz w:val="20"/>
                      <w:szCs w:val="20"/>
                    </w:rPr>
                  </w:pPr>
                  <w:r w:rsidRPr="00756433">
                    <w:rPr>
                      <w:rFonts w:asciiTheme="minorHAnsi" w:hAnsiTheme="minorHAnsi" w:cstheme="minorHAnsi"/>
                      <w:i/>
                      <w:sz w:val="20"/>
                      <w:szCs w:val="20"/>
                    </w:rPr>
                    <w:t>How can we culturally tailor interventions to influence access to health services?</w:t>
                  </w:r>
                </w:p>
                <w:p w:rsidR="002B3E5E" w:rsidRPr="00756433" w:rsidRDefault="002B3E5E" w:rsidP="00692B72">
                  <w:pPr>
                    <w:pStyle w:val="ListParagraph"/>
                    <w:numPr>
                      <w:ilvl w:val="0"/>
                      <w:numId w:val="14"/>
                    </w:numPr>
                    <w:rPr>
                      <w:rFonts w:asciiTheme="minorHAnsi" w:hAnsiTheme="minorHAnsi" w:cstheme="minorHAnsi"/>
                      <w:i/>
                      <w:sz w:val="20"/>
                      <w:szCs w:val="20"/>
                    </w:rPr>
                  </w:pPr>
                  <w:r w:rsidRPr="00756433">
                    <w:rPr>
                      <w:rFonts w:asciiTheme="minorHAnsi" w:hAnsiTheme="minorHAnsi" w:cstheme="minorHAnsi"/>
                      <w:i/>
                      <w:sz w:val="20"/>
                      <w:szCs w:val="20"/>
                    </w:rPr>
                    <w:t>How do we engage and partner with policy makers in diffusing relevant research?</w:t>
                  </w:r>
                </w:p>
                <w:p w:rsidR="002B3E5E" w:rsidRPr="00756433" w:rsidRDefault="002B3E5E" w:rsidP="00692B72">
                  <w:pPr>
                    <w:pStyle w:val="ListParagraph"/>
                    <w:numPr>
                      <w:ilvl w:val="0"/>
                      <w:numId w:val="14"/>
                    </w:numPr>
                    <w:rPr>
                      <w:rFonts w:asciiTheme="minorHAnsi" w:hAnsiTheme="minorHAnsi" w:cstheme="minorHAnsi"/>
                      <w:i/>
                      <w:sz w:val="20"/>
                      <w:szCs w:val="20"/>
                    </w:rPr>
                  </w:pPr>
                  <w:r w:rsidRPr="00756433">
                    <w:rPr>
                      <w:rFonts w:asciiTheme="minorHAnsi" w:hAnsiTheme="minorHAnsi" w:cstheme="minorHAnsi"/>
                      <w:i/>
                      <w:sz w:val="20"/>
                      <w:szCs w:val="20"/>
                    </w:rPr>
                    <w:t>What information are consumers getting on health and how does this information differ by race, ethnicity, socioeconomic and cultural group?</w:t>
                  </w:r>
                </w:p>
                <w:p w:rsidR="002B3E5E" w:rsidRPr="00756433" w:rsidRDefault="002B3E5E" w:rsidP="00692B72">
                  <w:pPr>
                    <w:pStyle w:val="ListParagraph"/>
                    <w:numPr>
                      <w:ilvl w:val="0"/>
                      <w:numId w:val="14"/>
                    </w:numPr>
                    <w:rPr>
                      <w:rFonts w:asciiTheme="minorHAnsi" w:hAnsiTheme="minorHAnsi" w:cstheme="minorHAnsi"/>
                      <w:i/>
                      <w:sz w:val="20"/>
                      <w:szCs w:val="20"/>
                    </w:rPr>
                  </w:pPr>
                  <w:r w:rsidRPr="00756433">
                    <w:rPr>
                      <w:rFonts w:asciiTheme="minorHAnsi" w:hAnsiTheme="minorHAnsi" w:cstheme="minorHAnsi"/>
                      <w:i/>
                      <w:sz w:val="20"/>
                      <w:szCs w:val="20"/>
                    </w:rPr>
                    <w:t>What is the impact of health literacy on health status, and how can we improve message tailoring to reach different groups?</w:t>
                  </w:r>
                </w:p>
                <w:p w:rsidR="002B3E5E" w:rsidRPr="00756433" w:rsidRDefault="002B3E5E" w:rsidP="00692B72">
                  <w:pPr>
                    <w:pStyle w:val="ListParagraph"/>
                    <w:numPr>
                      <w:ilvl w:val="0"/>
                      <w:numId w:val="14"/>
                    </w:numPr>
                    <w:rPr>
                      <w:rFonts w:asciiTheme="minorHAnsi" w:hAnsiTheme="minorHAnsi" w:cstheme="minorHAnsi"/>
                      <w:i/>
                      <w:sz w:val="20"/>
                      <w:szCs w:val="20"/>
                    </w:rPr>
                  </w:pPr>
                  <w:r w:rsidRPr="00756433">
                    <w:rPr>
                      <w:rFonts w:asciiTheme="minorHAnsi" w:hAnsiTheme="minorHAnsi" w:cstheme="minorHAnsi"/>
                      <w:i/>
                      <w:sz w:val="20"/>
                      <w:szCs w:val="20"/>
                    </w:rPr>
                    <w:t>Does engagement in community-based participatory research alter engagement in community structures, processes and other attributes?</w:t>
                  </w:r>
                </w:p>
                <w:p w:rsidR="002B3E5E" w:rsidRPr="00A54D56" w:rsidRDefault="002B3E5E" w:rsidP="00692B72">
                  <w:pPr>
                    <w:pStyle w:val="ListParagraph"/>
                    <w:numPr>
                      <w:ilvl w:val="0"/>
                      <w:numId w:val="14"/>
                    </w:numPr>
                  </w:pPr>
                  <w:r w:rsidRPr="00A54D56">
                    <w:rPr>
                      <w:rFonts w:asciiTheme="minorHAnsi" w:hAnsiTheme="minorHAnsi" w:cstheme="minorHAnsi"/>
                      <w:i/>
                      <w:sz w:val="20"/>
                      <w:szCs w:val="20"/>
                    </w:rPr>
                    <w:t>How can we develop more evaluative instruments that assess dynamic, changing and social conditions?</w:t>
                  </w:r>
                </w:p>
                <w:p w:rsidR="002B3E5E" w:rsidRDefault="002B3E5E" w:rsidP="00692B72">
                  <w:pPr>
                    <w:pStyle w:val="ListParagraph"/>
                    <w:numPr>
                      <w:ilvl w:val="0"/>
                      <w:numId w:val="14"/>
                    </w:numPr>
                  </w:pPr>
                  <w:r w:rsidRPr="00692B72">
                    <w:rPr>
                      <w:rFonts w:asciiTheme="minorHAnsi" w:hAnsiTheme="minorHAnsi" w:cstheme="minorHAnsi"/>
                      <w:i/>
                      <w:sz w:val="20"/>
                      <w:szCs w:val="20"/>
                    </w:rPr>
                    <w:t>How can we improve the measurement of intended and unintended effects a</w:t>
                  </w:r>
                  <w:r>
                    <w:rPr>
                      <w:rFonts w:asciiTheme="minorHAnsi" w:hAnsiTheme="minorHAnsi" w:cstheme="minorHAnsi"/>
                      <w:i/>
                      <w:sz w:val="20"/>
                      <w:szCs w:val="20"/>
                    </w:rPr>
                    <w:t>n</w:t>
                  </w:r>
                  <w:r w:rsidRPr="00692B72">
                    <w:rPr>
                      <w:rFonts w:asciiTheme="minorHAnsi" w:hAnsiTheme="minorHAnsi" w:cstheme="minorHAnsi"/>
                      <w:i/>
                      <w:sz w:val="20"/>
                      <w:szCs w:val="20"/>
                    </w:rPr>
                    <w:t>d outcomes in evaluation studies?</w:t>
                  </w:r>
                </w:p>
              </w:txbxContent>
            </v:textbox>
          </v:shape>
        </w:pict>
      </w:r>
    </w:p>
    <w:p w:rsidR="00A64223" w:rsidRDefault="00A64223" w:rsidP="000D53B7">
      <w:pPr>
        <w:jc w:val="both"/>
        <w:rPr>
          <w:rFonts w:asciiTheme="minorHAnsi" w:hAnsiTheme="minorHAnsi" w:cstheme="minorHAnsi"/>
        </w:rPr>
      </w:pPr>
    </w:p>
    <w:p w:rsidR="00A64223" w:rsidRDefault="00A64223" w:rsidP="000D53B7">
      <w:pPr>
        <w:jc w:val="both"/>
        <w:rPr>
          <w:rFonts w:asciiTheme="minorHAnsi" w:hAnsiTheme="minorHAnsi" w:cstheme="minorHAnsi"/>
        </w:rPr>
      </w:pPr>
    </w:p>
    <w:p w:rsidR="00601DC1" w:rsidRDefault="00601DC1" w:rsidP="000D53B7">
      <w:pPr>
        <w:jc w:val="both"/>
        <w:rPr>
          <w:rFonts w:asciiTheme="minorHAnsi" w:hAnsiTheme="minorHAnsi" w:cstheme="minorHAnsi"/>
        </w:rPr>
      </w:pPr>
    </w:p>
    <w:p w:rsidR="00601DC1" w:rsidRDefault="00601DC1" w:rsidP="000D53B7">
      <w:pPr>
        <w:jc w:val="both"/>
        <w:rPr>
          <w:rFonts w:asciiTheme="minorHAnsi" w:hAnsiTheme="minorHAnsi" w:cstheme="minorHAnsi"/>
        </w:rPr>
      </w:pPr>
    </w:p>
    <w:p w:rsidR="00601DC1" w:rsidRDefault="00601DC1" w:rsidP="000D53B7">
      <w:pPr>
        <w:jc w:val="both"/>
        <w:rPr>
          <w:rFonts w:asciiTheme="minorHAnsi" w:hAnsiTheme="minorHAnsi" w:cstheme="minorHAnsi"/>
        </w:rPr>
      </w:pPr>
    </w:p>
    <w:p w:rsidR="00601DC1" w:rsidRDefault="00601DC1" w:rsidP="000D53B7">
      <w:pPr>
        <w:jc w:val="both"/>
        <w:rPr>
          <w:rFonts w:asciiTheme="minorHAnsi" w:hAnsiTheme="minorHAnsi" w:cstheme="minorHAnsi"/>
        </w:rPr>
      </w:pPr>
    </w:p>
    <w:p w:rsidR="00601DC1" w:rsidRDefault="00601DC1" w:rsidP="000D53B7">
      <w:pPr>
        <w:jc w:val="both"/>
        <w:rPr>
          <w:rFonts w:asciiTheme="minorHAnsi" w:hAnsiTheme="minorHAnsi" w:cstheme="minorHAnsi"/>
        </w:rPr>
      </w:pPr>
    </w:p>
    <w:p w:rsidR="00601DC1" w:rsidRDefault="00601DC1" w:rsidP="000D53B7">
      <w:pPr>
        <w:jc w:val="both"/>
        <w:rPr>
          <w:rFonts w:asciiTheme="minorHAnsi" w:hAnsiTheme="minorHAnsi" w:cstheme="minorHAnsi"/>
        </w:rPr>
      </w:pPr>
    </w:p>
    <w:p w:rsidR="00601DC1" w:rsidRDefault="00601DC1" w:rsidP="000D53B7">
      <w:pPr>
        <w:jc w:val="both"/>
        <w:rPr>
          <w:rFonts w:asciiTheme="minorHAnsi" w:hAnsiTheme="minorHAnsi" w:cstheme="minorHAnsi"/>
        </w:rPr>
      </w:pPr>
    </w:p>
    <w:p w:rsidR="00601DC1" w:rsidRDefault="00601DC1" w:rsidP="000D53B7">
      <w:pPr>
        <w:jc w:val="both"/>
        <w:rPr>
          <w:rFonts w:asciiTheme="minorHAnsi" w:hAnsiTheme="minorHAnsi" w:cstheme="minorHAnsi"/>
        </w:rPr>
      </w:pPr>
    </w:p>
    <w:p w:rsidR="00601DC1" w:rsidRDefault="00601DC1" w:rsidP="000D53B7">
      <w:pPr>
        <w:jc w:val="both"/>
        <w:rPr>
          <w:rFonts w:asciiTheme="minorHAnsi" w:hAnsiTheme="minorHAnsi" w:cstheme="minorHAnsi"/>
        </w:rPr>
      </w:pPr>
    </w:p>
    <w:p w:rsidR="00601DC1" w:rsidRDefault="00601DC1" w:rsidP="000D53B7">
      <w:pPr>
        <w:jc w:val="both"/>
        <w:rPr>
          <w:rFonts w:asciiTheme="minorHAnsi" w:hAnsiTheme="minorHAnsi" w:cstheme="minorHAnsi"/>
        </w:rPr>
      </w:pPr>
    </w:p>
    <w:p w:rsidR="00601DC1" w:rsidRDefault="00601DC1" w:rsidP="000D53B7">
      <w:pPr>
        <w:jc w:val="both"/>
        <w:rPr>
          <w:rFonts w:asciiTheme="minorHAnsi" w:hAnsiTheme="minorHAnsi" w:cstheme="minorHAnsi"/>
        </w:rPr>
      </w:pPr>
    </w:p>
    <w:p w:rsidR="00601DC1" w:rsidRDefault="00601DC1" w:rsidP="000D53B7">
      <w:pPr>
        <w:jc w:val="both"/>
        <w:rPr>
          <w:rFonts w:asciiTheme="minorHAnsi" w:hAnsiTheme="minorHAnsi" w:cstheme="minorHAnsi"/>
        </w:rPr>
      </w:pPr>
    </w:p>
    <w:p w:rsidR="00601DC1" w:rsidRDefault="00601DC1" w:rsidP="000D53B7">
      <w:pPr>
        <w:jc w:val="both"/>
        <w:rPr>
          <w:rFonts w:asciiTheme="minorHAnsi" w:hAnsiTheme="minorHAnsi" w:cstheme="minorHAnsi"/>
        </w:rPr>
      </w:pPr>
    </w:p>
    <w:p w:rsidR="00601DC1" w:rsidRDefault="00601DC1" w:rsidP="000D53B7">
      <w:pPr>
        <w:jc w:val="both"/>
        <w:rPr>
          <w:rFonts w:asciiTheme="minorHAnsi" w:hAnsiTheme="minorHAnsi" w:cstheme="minorHAnsi"/>
        </w:rPr>
      </w:pPr>
    </w:p>
    <w:p w:rsidR="00601DC1" w:rsidRDefault="00601DC1" w:rsidP="000D53B7">
      <w:pPr>
        <w:jc w:val="both"/>
        <w:rPr>
          <w:rFonts w:asciiTheme="minorHAnsi" w:hAnsiTheme="minorHAnsi" w:cstheme="minorHAnsi"/>
        </w:rPr>
      </w:pPr>
    </w:p>
    <w:p w:rsidR="00601DC1" w:rsidRDefault="00601DC1" w:rsidP="000D53B7">
      <w:pPr>
        <w:jc w:val="both"/>
        <w:rPr>
          <w:rFonts w:asciiTheme="minorHAnsi" w:hAnsiTheme="minorHAnsi" w:cstheme="minorHAnsi"/>
        </w:rPr>
      </w:pPr>
    </w:p>
    <w:p w:rsidR="00601DC1" w:rsidRDefault="00601DC1" w:rsidP="000D53B7">
      <w:pPr>
        <w:jc w:val="both"/>
        <w:rPr>
          <w:rFonts w:asciiTheme="minorHAnsi" w:hAnsiTheme="minorHAnsi" w:cstheme="minorHAnsi"/>
        </w:rPr>
      </w:pPr>
    </w:p>
    <w:p w:rsidR="00601DC1" w:rsidRDefault="00601DC1" w:rsidP="000D53B7">
      <w:pPr>
        <w:jc w:val="both"/>
        <w:rPr>
          <w:rFonts w:asciiTheme="minorHAnsi" w:hAnsiTheme="minorHAnsi" w:cstheme="minorHAnsi"/>
        </w:rPr>
      </w:pPr>
    </w:p>
    <w:p w:rsidR="00601DC1" w:rsidRDefault="00601DC1" w:rsidP="000D53B7">
      <w:pPr>
        <w:jc w:val="both"/>
        <w:rPr>
          <w:rFonts w:asciiTheme="minorHAnsi" w:hAnsiTheme="minorHAnsi" w:cstheme="minorHAnsi"/>
        </w:rPr>
      </w:pPr>
    </w:p>
    <w:p w:rsidR="00601DC1" w:rsidRDefault="00601DC1" w:rsidP="000D53B7">
      <w:pPr>
        <w:jc w:val="both"/>
        <w:rPr>
          <w:rFonts w:asciiTheme="minorHAnsi" w:hAnsiTheme="minorHAnsi" w:cstheme="minorHAnsi"/>
        </w:rPr>
      </w:pPr>
    </w:p>
    <w:p w:rsidR="00601DC1" w:rsidRDefault="00601DC1" w:rsidP="000D53B7">
      <w:pPr>
        <w:jc w:val="both"/>
        <w:rPr>
          <w:rFonts w:asciiTheme="minorHAnsi" w:hAnsiTheme="minorHAnsi" w:cstheme="minorHAnsi"/>
        </w:rPr>
      </w:pPr>
    </w:p>
    <w:p w:rsidR="00601DC1" w:rsidRDefault="00601DC1" w:rsidP="000D53B7">
      <w:pPr>
        <w:jc w:val="both"/>
        <w:rPr>
          <w:rFonts w:asciiTheme="minorHAnsi" w:hAnsiTheme="minorHAnsi" w:cstheme="minorHAnsi"/>
        </w:rPr>
      </w:pPr>
    </w:p>
    <w:p w:rsidR="00A64223" w:rsidRDefault="00A64223" w:rsidP="000D53B7">
      <w:pPr>
        <w:jc w:val="both"/>
        <w:rPr>
          <w:rFonts w:asciiTheme="minorHAnsi" w:hAnsiTheme="minorHAnsi" w:cstheme="minorHAnsi"/>
        </w:rPr>
      </w:pPr>
      <w:r>
        <w:rPr>
          <w:rFonts w:asciiTheme="minorHAnsi" w:hAnsiTheme="minorHAnsi" w:cstheme="minorHAnsi"/>
        </w:rPr>
        <w:br w:type="page"/>
      </w:r>
    </w:p>
    <w:p w:rsidR="003401D6" w:rsidRPr="0038434D" w:rsidRDefault="003401D6" w:rsidP="00843A3F">
      <w:pPr>
        <w:pStyle w:val="Heading1"/>
      </w:pPr>
      <w:bookmarkStart w:id="5" w:name="_Toc289256730"/>
      <w:r w:rsidRPr="006770FC">
        <w:lastRenderedPageBreak/>
        <w:t xml:space="preserve">4.0 A </w:t>
      </w:r>
      <w:r w:rsidR="008B4E09">
        <w:t>T</w:t>
      </w:r>
      <w:r w:rsidRPr="006770FC">
        <w:t xml:space="preserve">ransdisciplinary </w:t>
      </w:r>
      <w:r w:rsidR="008B4E09">
        <w:t>A</w:t>
      </w:r>
      <w:r w:rsidRPr="006770FC">
        <w:t xml:space="preserve">pproach </w:t>
      </w:r>
      <w:r>
        <w:t xml:space="preserve">to </w:t>
      </w:r>
      <w:r w:rsidR="008B4E09">
        <w:t>B</w:t>
      </w:r>
      <w:r>
        <w:t xml:space="preserve">ehaviour </w:t>
      </w:r>
      <w:r w:rsidR="008B4E09">
        <w:t>C</w:t>
      </w:r>
      <w:r>
        <w:t>hange</w:t>
      </w:r>
      <w:r w:rsidR="00373859">
        <w:t xml:space="preserve"> </w:t>
      </w:r>
      <w:r w:rsidRPr="006770FC">
        <w:t xml:space="preserve">– </w:t>
      </w:r>
      <w:r w:rsidR="008B4E09">
        <w:t>L</w:t>
      </w:r>
      <w:r w:rsidR="00373859">
        <w:t xml:space="preserve">ooking </w:t>
      </w:r>
      <w:r w:rsidR="008B4E09">
        <w:t>B</w:t>
      </w:r>
      <w:r w:rsidR="00373859">
        <w:t>eyond the</w:t>
      </w:r>
      <w:r w:rsidRPr="006770FC">
        <w:t xml:space="preserve"> </w:t>
      </w:r>
      <w:r w:rsidR="008B4E09">
        <w:t>W</w:t>
      </w:r>
      <w:r w:rsidRPr="006770FC">
        <w:t xml:space="preserve">ider </w:t>
      </w:r>
      <w:r w:rsidR="008B4E09">
        <w:t>D</w:t>
      </w:r>
      <w:r w:rsidRPr="006770FC">
        <w:t xml:space="preserve">eterminants of </w:t>
      </w:r>
      <w:r w:rsidR="008B4E09">
        <w:t>H</w:t>
      </w:r>
      <w:r w:rsidRPr="006770FC">
        <w:t>ealth</w:t>
      </w:r>
      <w:bookmarkEnd w:id="5"/>
    </w:p>
    <w:p w:rsidR="00A50E63" w:rsidRDefault="00A50E63" w:rsidP="00A50E63">
      <w:pPr>
        <w:pStyle w:val="Heading3"/>
      </w:pPr>
      <w:bookmarkStart w:id="6" w:name="_Toc289256731"/>
      <w:r>
        <w:t>4.1  Overview</w:t>
      </w:r>
      <w:bookmarkEnd w:id="6"/>
      <w:r>
        <w:t xml:space="preserve"> </w:t>
      </w:r>
    </w:p>
    <w:p w:rsidR="001A05F5" w:rsidRDefault="001A05F5" w:rsidP="00601DC1">
      <w:pPr>
        <w:jc w:val="both"/>
        <w:rPr>
          <w:rFonts w:asciiTheme="minorHAnsi" w:hAnsiTheme="minorHAnsi"/>
        </w:rPr>
      </w:pPr>
    </w:p>
    <w:p w:rsidR="003401D6" w:rsidRPr="00601DC1" w:rsidRDefault="003401D6" w:rsidP="00601DC1">
      <w:pPr>
        <w:jc w:val="both"/>
        <w:rPr>
          <w:rFonts w:asciiTheme="minorHAnsi" w:hAnsiTheme="minorHAnsi"/>
        </w:rPr>
      </w:pPr>
      <w:r w:rsidRPr="00601DC1">
        <w:rPr>
          <w:rFonts w:asciiTheme="minorHAnsi" w:hAnsiTheme="minorHAnsi"/>
        </w:rPr>
        <w:t xml:space="preserve">While the White Paper </w:t>
      </w:r>
      <w:r w:rsidRPr="00A42D2C">
        <w:rPr>
          <w:rFonts w:asciiTheme="minorHAnsi" w:hAnsiTheme="minorHAnsi"/>
          <w:i/>
        </w:rPr>
        <w:t>Healthy Lives Healthy People: Our Strate</w:t>
      </w:r>
      <w:r w:rsidR="00A42D2C" w:rsidRPr="00A42D2C">
        <w:rPr>
          <w:rFonts w:asciiTheme="minorHAnsi" w:hAnsiTheme="minorHAnsi"/>
          <w:i/>
        </w:rPr>
        <w:t>gy for Public Health in England</w:t>
      </w:r>
      <w:r w:rsidRPr="00601DC1">
        <w:rPr>
          <w:rFonts w:asciiTheme="minorHAnsi" w:hAnsiTheme="minorHAnsi"/>
        </w:rPr>
        <w:t xml:space="preserve"> tends to focus on behaviour change with respect to the broader determinants of health and primary or secondary prevention of disease, the behavioural change sciences would have a great deal to contribute to secondary and tertiary prevention approaches to improving quality and/or length of life.  Key examples of areas as yet relatively unexplored would include:</w:t>
      </w:r>
    </w:p>
    <w:p w:rsidR="003401D6" w:rsidRPr="00601DC1" w:rsidRDefault="003401D6" w:rsidP="00601DC1">
      <w:pPr>
        <w:jc w:val="both"/>
        <w:rPr>
          <w:rFonts w:asciiTheme="minorHAnsi" w:hAnsiTheme="minorHAnsi"/>
        </w:rPr>
      </w:pPr>
    </w:p>
    <w:p w:rsidR="003401D6" w:rsidRPr="00601DC1" w:rsidRDefault="003401D6" w:rsidP="00601DC1">
      <w:pPr>
        <w:pStyle w:val="ListParagraph"/>
        <w:numPr>
          <w:ilvl w:val="0"/>
          <w:numId w:val="28"/>
        </w:numPr>
        <w:contextualSpacing w:val="0"/>
        <w:jc w:val="both"/>
        <w:rPr>
          <w:rFonts w:asciiTheme="minorHAnsi" w:hAnsiTheme="minorHAnsi"/>
        </w:rPr>
      </w:pPr>
      <w:r w:rsidRPr="00601DC1">
        <w:rPr>
          <w:rFonts w:asciiTheme="minorHAnsi" w:hAnsiTheme="minorHAnsi"/>
        </w:rPr>
        <w:t>Expert patient programmes</w:t>
      </w:r>
    </w:p>
    <w:p w:rsidR="003401D6" w:rsidRPr="00601DC1" w:rsidRDefault="003401D6" w:rsidP="00601DC1">
      <w:pPr>
        <w:pStyle w:val="ListParagraph"/>
        <w:numPr>
          <w:ilvl w:val="0"/>
          <w:numId w:val="28"/>
        </w:numPr>
        <w:contextualSpacing w:val="0"/>
        <w:jc w:val="both"/>
        <w:rPr>
          <w:rFonts w:asciiTheme="minorHAnsi" w:hAnsiTheme="minorHAnsi"/>
        </w:rPr>
      </w:pPr>
      <w:r w:rsidRPr="00601DC1">
        <w:rPr>
          <w:rFonts w:asciiTheme="minorHAnsi" w:hAnsiTheme="minorHAnsi"/>
        </w:rPr>
        <w:t>Medication compliance</w:t>
      </w:r>
    </w:p>
    <w:p w:rsidR="003401D6" w:rsidRPr="00601DC1" w:rsidRDefault="003401D6" w:rsidP="00601DC1">
      <w:pPr>
        <w:pStyle w:val="ListParagraph"/>
        <w:numPr>
          <w:ilvl w:val="0"/>
          <w:numId w:val="28"/>
        </w:numPr>
        <w:contextualSpacing w:val="0"/>
        <w:jc w:val="both"/>
        <w:rPr>
          <w:rFonts w:asciiTheme="minorHAnsi" w:hAnsiTheme="minorHAnsi"/>
        </w:rPr>
      </w:pPr>
      <w:r w:rsidRPr="00601DC1">
        <w:rPr>
          <w:rFonts w:asciiTheme="minorHAnsi" w:hAnsiTheme="minorHAnsi"/>
        </w:rPr>
        <w:t>Rehabilitation programmes</w:t>
      </w:r>
    </w:p>
    <w:p w:rsidR="003401D6" w:rsidRDefault="003401D6" w:rsidP="00601DC1">
      <w:pPr>
        <w:pStyle w:val="ListParagraph"/>
        <w:numPr>
          <w:ilvl w:val="0"/>
          <w:numId w:val="28"/>
        </w:numPr>
        <w:contextualSpacing w:val="0"/>
        <w:jc w:val="both"/>
        <w:rPr>
          <w:rFonts w:asciiTheme="minorHAnsi" w:hAnsiTheme="minorHAnsi"/>
        </w:rPr>
      </w:pPr>
      <w:r w:rsidRPr="00601DC1">
        <w:rPr>
          <w:rFonts w:asciiTheme="minorHAnsi" w:hAnsiTheme="minorHAnsi"/>
        </w:rPr>
        <w:t>End of Life Care.</w:t>
      </w:r>
    </w:p>
    <w:p w:rsidR="00A42D2C" w:rsidRPr="00601DC1" w:rsidRDefault="00A42D2C" w:rsidP="001A05F5">
      <w:pPr>
        <w:pStyle w:val="ListParagraph"/>
        <w:contextualSpacing w:val="0"/>
        <w:jc w:val="both"/>
        <w:rPr>
          <w:rFonts w:asciiTheme="minorHAnsi" w:hAnsiTheme="minorHAnsi"/>
        </w:rPr>
      </w:pPr>
    </w:p>
    <w:p w:rsidR="003401D6" w:rsidRPr="00601DC1" w:rsidRDefault="003401D6" w:rsidP="00601DC1">
      <w:pPr>
        <w:pStyle w:val="ListParagraph"/>
        <w:ind w:left="0"/>
        <w:contextualSpacing w:val="0"/>
        <w:jc w:val="both"/>
        <w:rPr>
          <w:rFonts w:asciiTheme="minorHAnsi" w:hAnsiTheme="minorHAnsi"/>
        </w:rPr>
      </w:pPr>
      <w:r w:rsidRPr="00601DC1">
        <w:rPr>
          <w:rFonts w:asciiTheme="minorHAnsi" w:hAnsiTheme="minorHAnsi"/>
        </w:rPr>
        <w:t xml:space="preserve">Short sections will be devoted to the potential benefits </w:t>
      </w:r>
      <w:r w:rsidR="00601DC1">
        <w:rPr>
          <w:rFonts w:asciiTheme="minorHAnsi" w:hAnsiTheme="minorHAnsi"/>
        </w:rPr>
        <w:t xml:space="preserve">of </w:t>
      </w:r>
      <w:r w:rsidR="00C97857">
        <w:rPr>
          <w:rFonts w:asciiTheme="minorHAnsi" w:hAnsiTheme="minorHAnsi"/>
        </w:rPr>
        <w:t>transdisciplinary</w:t>
      </w:r>
      <w:r w:rsidR="00601DC1">
        <w:rPr>
          <w:rFonts w:asciiTheme="minorHAnsi" w:hAnsiTheme="minorHAnsi"/>
        </w:rPr>
        <w:t xml:space="preserve"> activity for these and other health challenges </w:t>
      </w:r>
      <w:r w:rsidRPr="00601DC1">
        <w:rPr>
          <w:rFonts w:asciiTheme="minorHAnsi" w:hAnsiTheme="minorHAnsi"/>
        </w:rPr>
        <w:t>later in this document.</w:t>
      </w:r>
    </w:p>
    <w:p w:rsidR="00A50E63" w:rsidRPr="00A50E63" w:rsidRDefault="00A50E63" w:rsidP="00A50E63">
      <w:pPr>
        <w:pStyle w:val="Heading3"/>
      </w:pPr>
      <w:bookmarkStart w:id="7" w:name="_Toc289256732"/>
      <w:r w:rsidRPr="00A50E63">
        <w:t>4.2 Complexity</w:t>
      </w:r>
      <w:bookmarkEnd w:id="7"/>
    </w:p>
    <w:p w:rsidR="00A50E63" w:rsidRDefault="00A50E63" w:rsidP="000D53B7">
      <w:pPr>
        <w:jc w:val="both"/>
        <w:rPr>
          <w:rFonts w:asciiTheme="minorHAnsi" w:hAnsiTheme="minorHAnsi" w:cstheme="minorHAnsi"/>
          <w:highlight w:val="yellow"/>
        </w:rPr>
      </w:pPr>
    </w:p>
    <w:p w:rsidR="009A4152" w:rsidRDefault="003E3041">
      <w:pPr>
        <w:jc w:val="both"/>
        <w:rPr>
          <w:rFonts w:asciiTheme="minorHAnsi" w:hAnsiTheme="minorHAnsi" w:cstheme="minorHAnsi"/>
        </w:rPr>
      </w:pPr>
      <w:r>
        <w:rPr>
          <w:rFonts w:asciiTheme="minorHAnsi" w:hAnsiTheme="minorHAnsi" w:cstheme="minorHAnsi"/>
        </w:rPr>
        <w:t>Foresight’s Obesity System Map</w:t>
      </w:r>
      <w:r w:rsidRPr="00B35E90">
        <w:rPr>
          <w:rStyle w:val="EndnoteReference"/>
          <w:rFonts w:asciiTheme="minorHAnsi" w:hAnsiTheme="minorHAnsi" w:cstheme="minorHAnsi"/>
        </w:rPr>
        <w:endnoteReference w:id="17"/>
      </w:r>
      <w:r w:rsidRPr="00B35E90">
        <w:rPr>
          <w:rFonts w:asciiTheme="minorHAnsi" w:hAnsiTheme="minorHAnsi" w:cstheme="minorHAnsi"/>
          <w:vertAlign w:val="superscript"/>
        </w:rPr>
        <w:t>: 56</w:t>
      </w:r>
      <w:r>
        <w:rPr>
          <w:rFonts w:asciiTheme="minorHAnsi" w:hAnsiTheme="minorHAnsi" w:cstheme="minorHAnsi"/>
          <w:noProof/>
        </w:rPr>
        <w:t xml:space="preserve"> </w:t>
      </w:r>
      <w:r>
        <w:rPr>
          <w:rFonts w:asciiTheme="minorHAnsi" w:hAnsiTheme="minorHAnsi" w:cstheme="minorHAnsi"/>
        </w:rPr>
        <w:t>is a</w:t>
      </w:r>
      <w:r w:rsidR="0081481C">
        <w:rPr>
          <w:rFonts w:asciiTheme="minorHAnsi" w:hAnsiTheme="minorHAnsi" w:cstheme="minorHAnsi"/>
        </w:rPr>
        <w:t>n</w:t>
      </w:r>
      <w:r>
        <w:rPr>
          <w:rFonts w:asciiTheme="minorHAnsi" w:hAnsiTheme="minorHAnsi" w:cstheme="minorHAnsi"/>
        </w:rPr>
        <w:t xml:space="preserve"> example of the complexities of the social determinants of any one health problem and can be found at: </w:t>
      </w:r>
      <w:hyperlink r:id="rId11" w:history="1">
        <w:r w:rsidR="003401D6" w:rsidRPr="005E7259">
          <w:rPr>
            <w:rStyle w:val="Hyperlink"/>
            <w:rFonts w:asciiTheme="minorHAnsi" w:hAnsiTheme="minorHAnsi" w:cstheme="minorHAnsi"/>
          </w:rPr>
          <w:t>http://www.civilservice.gov.uk/Assets/Behaviour_change_reference_report_tcm6-9697.pdf</w:t>
        </w:r>
      </w:hyperlink>
      <w:r w:rsidR="003401D6">
        <w:rPr>
          <w:rFonts w:asciiTheme="minorHAnsi" w:hAnsiTheme="minorHAnsi" w:cstheme="minorHAnsi"/>
        </w:rPr>
        <w:t xml:space="preserve"> </w:t>
      </w:r>
      <w:r w:rsidR="00060B9D">
        <w:rPr>
          <w:rFonts w:asciiTheme="minorHAnsi" w:hAnsiTheme="minorHAnsi" w:cstheme="minorHAnsi"/>
        </w:rPr>
        <w:t xml:space="preserve">. </w:t>
      </w:r>
      <w:r>
        <w:rPr>
          <w:rFonts w:asciiTheme="minorHAnsi" w:hAnsiTheme="minorHAnsi" w:cstheme="minorHAnsi"/>
        </w:rPr>
        <w:t xml:space="preserve">Additionally the complexities of disciplinary and practitioner responses to health related behaviours and issues are illustrated by Figure </w:t>
      </w:r>
      <w:r w:rsidR="0081481C">
        <w:rPr>
          <w:rFonts w:asciiTheme="minorHAnsi" w:hAnsiTheme="minorHAnsi" w:cstheme="minorHAnsi"/>
        </w:rPr>
        <w:t>1</w:t>
      </w:r>
      <w:r>
        <w:rPr>
          <w:rFonts w:asciiTheme="minorHAnsi" w:hAnsiTheme="minorHAnsi" w:cstheme="minorHAnsi"/>
        </w:rPr>
        <w:t xml:space="preserve"> and Figure </w:t>
      </w:r>
      <w:r w:rsidR="0081481C">
        <w:rPr>
          <w:rFonts w:asciiTheme="minorHAnsi" w:hAnsiTheme="minorHAnsi" w:cstheme="minorHAnsi"/>
        </w:rPr>
        <w:t>2</w:t>
      </w:r>
      <w:r w:rsidR="00AD5DFE">
        <w:rPr>
          <w:rFonts w:asciiTheme="minorHAnsi" w:hAnsiTheme="minorHAnsi" w:cstheme="minorHAnsi"/>
        </w:rPr>
        <w:t xml:space="preserve"> overleaf</w:t>
      </w:r>
      <w:r>
        <w:rPr>
          <w:rFonts w:asciiTheme="minorHAnsi" w:hAnsiTheme="minorHAnsi" w:cstheme="minorHAnsi"/>
        </w:rPr>
        <w:t xml:space="preserve"> which depict the different ways in which policy managers and clinicians might respond to any one topic. </w:t>
      </w:r>
    </w:p>
    <w:p w:rsidR="003E3041" w:rsidRDefault="003E3041" w:rsidP="003E3041">
      <w:pPr>
        <w:rPr>
          <w:rFonts w:asciiTheme="minorHAnsi" w:hAnsiTheme="minorHAnsi" w:cstheme="minorHAnsi"/>
        </w:rPr>
      </w:pPr>
    </w:p>
    <w:p w:rsidR="0081481C" w:rsidRDefault="0081481C">
      <w:pPr>
        <w:rPr>
          <w:rFonts w:ascii="Calibri" w:hAnsi="Calibri"/>
          <w:b/>
        </w:rPr>
      </w:pPr>
      <w:r>
        <w:rPr>
          <w:rFonts w:ascii="Calibri" w:hAnsi="Calibri"/>
          <w:b/>
        </w:rPr>
        <w:br w:type="page"/>
      </w:r>
    </w:p>
    <w:p w:rsidR="003E3041" w:rsidRPr="00132C10" w:rsidRDefault="003E3041" w:rsidP="003E3041">
      <w:pPr>
        <w:rPr>
          <w:rFonts w:ascii="Calibri" w:hAnsi="Calibri"/>
          <w:b/>
        </w:rPr>
      </w:pPr>
      <w:r w:rsidRPr="00132C10">
        <w:rPr>
          <w:rFonts w:ascii="Calibri" w:hAnsi="Calibri"/>
          <w:b/>
        </w:rPr>
        <w:lastRenderedPageBreak/>
        <w:t xml:space="preserve">Figure </w:t>
      </w:r>
      <w:r w:rsidR="0081481C">
        <w:rPr>
          <w:rFonts w:ascii="Calibri" w:hAnsi="Calibri"/>
          <w:b/>
        </w:rPr>
        <w:t>1</w:t>
      </w:r>
      <w:r w:rsidRPr="00132C10">
        <w:rPr>
          <w:rFonts w:ascii="Calibri" w:hAnsi="Calibri"/>
          <w:b/>
        </w:rPr>
        <w:t>: Causal loop as seen by Policy Managers</w:t>
      </w:r>
      <w:bookmarkStart w:id="8" w:name="_Ref286052183"/>
      <w:r w:rsidRPr="00132C10">
        <w:rPr>
          <w:rStyle w:val="EndnoteReference"/>
          <w:rFonts w:ascii="Calibri" w:hAnsi="Calibri"/>
        </w:rPr>
        <w:endnoteReference w:id="18"/>
      </w:r>
      <w:bookmarkEnd w:id="8"/>
      <w:r w:rsidRPr="00132C10">
        <w:rPr>
          <w:rFonts w:ascii="Calibri" w:hAnsi="Calibri"/>
          <w:vertAlign w:val="superscript"/>
        </w:rPr>
        <w:t>: 175</w:t>
      </w:r>
    </w:p>
    <w:p w:rsidR="003E3041" w:rsidRDefault="003E3041" w:rsidP="003E3041">
      <w:pPr>
        <w:jc w:val="both"/>
      </w:pPr>
    </w:p>
    <w:p w:rsidR="003E3041" w:rsidRDefault="003E3041">
      <w:r w:rsidRPr="003E3041">
        <w:rPr>
          <w:noProof/>
        </w:rPr>
        <w:drawing>
          <wp:inline distT="0" distB="0" distL="0" distR="0">
            <wp:extent cx="4067175" cy="3567337"/>
            <wp:effectExtent l="19050" t="0" r="9525" b="0"/>
            <wp:docPr id="14" name="Picture 2" descr="F:\BSMC\team papers\white paper response\initial_causal_loop_diag_policymanag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SMC\team papers\white paper response\initial_causal_loop_diag_policymanagers.jpg"/>
                    <pic:cNvPicPr>
                      <a:picLocks noChangeAspect="1" noChangeArrowheads="1"/>
                    </pic:cNvPicPr>
                  </pic:nvPicPr>
                  <pic:blipFill>
                    <a:blip r:embed="rId12" cstate="print"/>
                    <a:srcRect/>
                    <a:stretch>
                      <a:fillRect/>
                    </a:stretch>
                  </pic:blipFill>
                  <pic:spPr bwMode="auto">
                    <a:xfrm>
                      <a:off x="0" y="0"/>
                      <a:ext cx="4071096" cy="3570776"/>
                    </a:xfrm>
                    <a:prstGeom prst="rect">
                      <a:avLst/>
                    </a:prstGeom>
                    <a:noFill/>
                    <a:ln w="9525">
                      <a:noFill/>
                      <a:miter lim="800000"/>
                      <a:headEnd/>
                      <a:tailEnd/>
                    </a:ln>
                  </pic:spPr>
                </pic:pic>
              </a:graphicData>
            </a:graphic>
          </wp:inline>
        </w:drawing>
      </w:r>
    </w:p>
    <w:p w:rsidR="003E3041" w:rsidRDefault="003E3041">
      <w:pPr>
        <w:rPr>
          <w:b/>
        </w:rPr>
      </w:pPr>
    </w:p>
    <w:p w:rsidR="003E3041" w:rsidRDefault="00883E4D" w:rsidP="003E3041">
      <w:pPr>
        <w:jc w:val="both"/>
        <w:rPr>
          <w:vertAlign w:val="superscript"/>
        </w:rPr>
      </w:pPr>
      <w:r w:rsidRPr="00883E4D">
        <w:rPr>
          <w:rFonts w:asciiTheme="minorHAnsi" w:hAnsiTheme="minorHAnsi"/>
          <w:b/>
        </w:rPr>
        <w:t>Figure 2: Causal loop as seen by Clinicians</w:t>
      </w:r>
      <w:r w:rsidRPr="00883E4D">
        <w:rPr>
          <w:rFonts w:asciiTheme="minorHAnsi" w:hAnsiTheme="minorHAnsi"/>
          <w:vertAlign w:val="superscript"/>
        </w:rPr>
        <w:t>:</w:t>
      </w:r>
      <w:r w:rsidR="003E3041" w:rsidRPr="00132C10">
        <w:rPr>
          <w:vertAlign w:val="superscript"/>
        </w:rPr>
        <w:t xml:space="preserve"> 177</w:t>
      </w:r>
    </w:p>
    <w:p w:rsidR="003E3041" w:rsidRDefault="003E3041">
      <w:r w:rsidRPr="003E3041">
        <w:rPr>
          <w:noProof/>
        </w:rPr>
        <w:drawing>
          <wp:inline distT="0" distB="0" distL="0" distR="0">
            <wp:extent cx="4081150" cy="2867025"/>
            <wp:effectExtent l="19050" t="0" r="0" b="0"/>
            <wp:docPr id="15" name="Picture 3" descr="F:\BSMC\team papers\white paper response\initial_causal_loop_diag_clinici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SMC\team papers\white paper response\initial_causal_loop_diag_clinicians.jpg"/>
                    <pic:cNvPicPr>
                      <a:picLocks noChangeAspect="1" noChangeArrowheads="1"/>
                    </pic:cNvPicPr>
                  </pic:nvPicPr>
                  <pic:blipFill>
                    <a:blip r:embed="rId13" cstate="print"/>
                    <a:srcRect/>
                    <a:stretch>
                      <a:fillRect/>
                    </a:stretch>
                  </pic:blipFill>
                  <pic:spPr bwMode="auto">
                    <a:xfrm>
                      <a:off x="0" y="0"/>
                      <a:ext cx="4081150" cy="2867025"/>
                    </a:xfrm>
                    <a:prstGeom prst="rect">
                      <a:avLst/>
                    </a:prstGeom>
                    <a:noFill/>
                    <a:ln w="9525">
                      <a:noFill/>
                      <a:miter lim="800000"/>
                      <a:headEnd/>
                      <a:tailEnd/>
                    </a:ln>
                  </pic:spPr>
                </pic:pic>
              </a:graphicData>
            </a:graphic>
          </wp:inline>
        </w:drawing>
      </w:r>
    </w:p>
    <w:p w:rsidR="003E3041" w:rsidRDefault="003E3041">
      <w:r>
        <w:br w:type="page"/>
      </w:r>
    </w:p>
    <w:p w:rsidR="00A50E63" w:rsidRDefault="00A50E63" w:rsidP="00A50E63">
      <w:pPr>
        <w:pStyle w:val="Heading3"/>
      </w:pPr>
      <w:bookmarkStart w:id="9" w:name="_Toc289256733"/>
      <w:r>
        <w:lastRenderedPageBreak/>
        <w:t xml:space="preserve">4.3  Relevant </w:t>
      </w:r>
      <w:r w:rsidR="00DB5AC1">
        <w:t>d</w:t>
      </w:r>
      <w:r>
        <w:t>isciplines</w:t>
      </w:r>
      <w:bookmarkEnd w:id="9"/>
    </w:p>
    <w:p w:rsidR="001A05F5" w:rsidRDefault="001A05F5" w:rsidP="000D53B7">
      <w:pPr>
        <w:jc w:val="both"/>
      </w:pPr>
    </w:p>
    <w:p w:rsidR="00244E51" w:rsidRDefault="00556075" w:rsidP="000D53B7">
      <w:pPr>
        <w:jc w:val="both"/>
      </w:pPr>
      <w:r>
        <w:t>The following two figures have been drawn from a 2005 National Social Marketing Centre publication</w:t>
      </w:r>
      <w:r w:rsidR="004D1744" w:rsidRPr="00556075">
        <w:rPr>
          <w:rStyle w:val="EndnoteReference"/>
        </w:rPr>
        <w:endnoteReference w:id="19"/>
      </w:r>
      <w:r>
        <w:t>.  We suggest that, while the</w:t>
      </w:r>
      <w:r w:rsidR="00976468">
        <w:t>se</w:t>
      </w:r>
      <w:r>
        <w:t xml:space="preserve"> provide a useful provisional list of possible disciplines, concepts and theories that may be relevant to health interventions, neither is comprehensive.  We suggest that </w:t>
      </w:r>
      <w:r w:rsidR="00C65CEA" w:rsidRPr="00C65CEA">
        <w:rPr>
          <w:i/>
        </w:rPr>
        <w:t>any</w:t>
      </w:r>
      <w:r>
        <w:t xml:space="preserve"> discipline with a human dimension</w:t>
      </w:r>
      <w:r w:rsidR="00A96C20">
        <w:t>, not just those classified as behavioural sciences</w:t>
      </w:r>
      <w:r w:rsidR="002A78CA">
        <w:t>, is</w:t>
      </w:r>
      <w:r>
        <w:t xml:space="preserve"> likely to have valuable insights and</w:t>
      </w:r>
      <w:r w:rsidR="005609CC">
        <w:t xml:space="preserve"> </w:t>
      </w:r>
      <w:r>
        <w:t xml:space="preserve">contributions to make. </w:t>
      </w:r>
    </w:p>
    <w:p w:rsidR="00556075" w:rsidRDefault="00556075" w:rsidP="000D53B7">
      <w:pPr>
        <w:jc w:val="both"/>
      </w:pPr>
    </w:p>
    <w:p w:rsidR="00556075" w:rsidRPr="006F24D6" w:rsidRDefault="00556075" w:rsidP="000D53B7">
      <w:pPr>
        <w:jc w:val="both"/>
        <w:rPr>
          <w:i/>
        </w:rPr>
      </w:pPr>
    </w:p>
    <w:p w:rsidR="004D1744" w:rsidRPr="00661C24" w:rsidRDefault="00556075" w:rsidP="00556075">
      <w:pPr>
        <w:ind w:left="360"/>
        <w:jc w:val="both"/>
        <w:rPr>
          <w:b/>
        </w:rPr>
      </w:pPr>
      <w:r w:rsidRPr="00661C24">
        <w:rPr>
          <w:b/>
        </w:rPr>
        <w:t xml:space="preserve">Figure </w:t>
      </w:r>
      <w:r w:rsidR="0081481C">
        <w:rPr>
          <w:b/>
        </w:rPr>
        <w:t>3</w:t>
      </w:r>
      <w:r w:rsidRPr="00661C24">
        <w:rPr>
          <w:b/>
        </w:rPr>
        <w:t xml:space="preserve">:  National Social Marketing Centre’s </w:t>
      </w:r>
      <w:r w:rsidR="00A42D2C">
        <w:rPr>
          <w:b/>
        </w:rPr>
        <w:t>‘</w:t>
      </w:r>
      <w:r w:rsidRPr="00661C24">
        <w:rPr>
          <w:b/>
        </w:rPr>
        <w:t>Range of Disciplines Offering Potential Insights</w:t>
      </w:r>
      <w:r w:rsidR="00A42D2C">
        <w:rPr>
          <w:b/>
        </w:rPr>
        <w:t>’</w:t>
      </w:r>
    </w:p>
    <w:p w:rsidR="004D1744" w:rsidRDefault="004D1744" w:rsidP="000D53B7">
      <w:pPr>
        <w:jc w:val="both"/>
      </w:pPr>
      <w:r w:rsidRPr="004D1744">
        <w:rPr>
          <w:noProof/>
        </w:rPr>
        <w:drawing>
          <wp:inline distT="0" distB="0" distL="0" distR="0">
            <wp:extent cx="5274310" cy="3768347"/>
            <wp:effectExtent l="19050" t="0" r="2540" b="0"/>
            <wp:docPr id="3" name="Picture 4" descr="C:\Documents and Settings\lc-eagle\Local Settings\Temporary Internet Files\Content.Word\discip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c-eagle\Local Settings\Temporary Internet Files\Content.Word\disciplines.jpg"/>
                    <pic:cNvPicPr>
                      <a:picLocks noChangeAspect="1" noChangeArrowheads="1"/>
                    </pic:cNvPicPr>
                  </pic:nvPicPr>
                  <pic:blipFill>
                    <a:blip r:embed="rId14" cstate="print"/>
                    <a:srcRect/>
                    <a:stretch>
                      <a:fillRect/>
                    </a:stretch>
                  </pic:blipFill>
                  <pic:spPr bwMode="auto">
                    <a:xfrm>
                      <a:off x="0" y="0"/>
                      <a:ext cx="5274310" cy="3768347"/>
                    </a:xfrm>
                    <a:prstGeom prst="rect">
                      <a:avLst/>
                    </a:prstGeom>
                    <a:noFill/>
                    <a:ln w="9525">
                      <a:noFill/>
                      <a:miter lim="800000"/>
                      <a:headEnd/>
                      <a:tailEnd/>
                    </a:ln>
                  </pic:spPr>
                </pic:pic>
              </a:graphicData>
            </a:graphic>
          </wp:inline>
        </w:drawing>
      </w:r>
    </w:p>
    <w:p w:rsidR="004D1744" w:rsidRDefault="004D1744" w:rsidP="000D53B7">
      <w:pPr>
        <w:jc w:val="both"/>
      </w:pPr>
    </w:p>
    <w:p w:rsidR="00661C24" w:rsidRDefault="00661C24" w:rsidP="000D53B7">
      <w:pPr>
        <w:jc w:val="both"/>
        <w:rPr>
          <w:rFonts w:ascii="Calibri" w:hAnsi="Calibri" w:cs="Calibri"/>
        </w:rPr>
      </w:pPr>
    </w:p>
    <w:p w:rsidR="00661C24" w:rsidRDefault="00661C24" w:rsidP="000D53B7">
      <w:pPr>
        <w:jc w:val="both"/>
        <w:rPr>
          <w:rFonts w:ascii="Calibri" w:hAnsi="Calibri" w:cs="Calibri"/>
        </w:rPr>
      </w:pPr>
    </w:p>
    <w:p w:rsidR="00A541D4" w:rsidRDefault="00556075" w:rsidP="000D53B7">
      <w:pPr>
        <w:jc w:val="both"/>
        <w:rPr>
          <w:rFonts w:ascii="Calibri" w:hAnsi="Calibri" w:cs="Calibri"/>
        </w:rPr>
      </w:pPr>
      <w:r>
        <w:rPr>
          <w:rFonts w:ascii="Calibri" w:hAnsi="Calibri" w:cs="Calibri"/>
        </w:rPr>
        <w:t>A more comprehensive, but not exhaustive, list might be as follows:</w:t>
      </w:r>
    </w:p>
    <w:p w:rsidR="00556075" w:rsidRPr="005609CC" w:rsidRDefault="00556075" w:rsidP="005609CC">
      <w:pPr>
        <w:pStyle w:val="ListParagraph"/>
        <w:numPr>
          <w:ilvl w:val="0"/>
          <w:numId w:val="17"/>
        </w:numPr>
        <w:jc w:val="both"/>
        <w:rPr>
          <w:rFonts w:ascii="Calibri" w:hAnsi="Calibri" w:cs="Calibri"/>
        </w:rPr>
      </w:pPr>
      <w:r w:rsidRPr="005609CC">
        <w:rPr>
          <w:rFonts w:ascii="Calibri" w:hAnsi="Calibri" w:cs="Calibri"/>
        </w:rPr>
        <w:t>Advertising (now regarded as part of a wider Marketing Communications field)</w:t>
      </w:r>
    </w:p>
    <w:p w:rsidR="00556075" w:rsidRPr="005609CC" w:rsidRDefault="00556075" w:rsidP="005609CC">
      <w:pPr>
        <w:pStyle w:val="ListParagraph"/>
        <w:numPr>
          <w:ilvl w:val="0"/>
          <w:numId w:val="17"/>
        </w:numPr>
        <w:jc w:val="both"/>
        <w:rPr>
          <w:rFonts w:ascii="Calibri" w:hAnsi="Calibri" w:cs="Calibri"/>
        </w:rPr>
      </w:pPr>
      <w:r w:rsidRPr="005609CC">
        <w:rPr>
          <w:rFonts w:ascii="Calibri" w:hAnsi="Calibri" w:cs="Calibri"/>
        </w:rPr>
        <w:t>Anthropology</w:t>
      </w:r>
    </w:p>
    <w:p w:rsidR="00556075" w:rsidRPr="005609CC" w:rsidRDefault="00556075" w:rsidP="005609CC">
      <w:pPr>
        <w:pStyle w:val="ListParagraph"/>
        <w:numPr>
          <w:ilvl w:val="0"/>
          <w:numId w:val="17"/>
        </w:numPr>
        <w:jc w:val="both"/>
        <w:rPr>
          <w:rFonts w:ascii="Calibri" w:hAnsi="Calibri" w:cs="Calibri"/>
        </w:rPr>
      </w:pPr>
      <w:r w:rsidRPr="005609CC">
        <w:rPr>
          <w:rFonts w:ascii="Calibri" w:hAnsi="Calibri" w:cs="Calibri"/>
        </w:rPr>
        <w:t>Behavioural Economics</w:t>
      </w:r>
    </w:p>
    <w:p w:rsidR="00556075" w:rsidRPr="005609CC" w:rsidRDefault="00556075" w:rsidP="005609CC">
      <w:pPr>
        <w:pStyle w:val="ListParagraph"/>
        <w:numPr>
          <w:ilvl w:val="0"/>
          <w:numId w:val="17"/>
        </w:numPr>
        <w:jc w:val="both"/>
        <w:rPr>
          <w:rFonts w:ascii="Calibri" w:hAnsi="Calibri" w:cs="Calibri"/>
        </w:rPr>
      </w:pPr>
      <w:r w:rsidRPr="005609CC">
        <w:rPr>
          <w:rFonts w:ascii="Calibri" w:hAnsi="Calibri" w:cs="Calibri"/>
        </w:rPr>
        <w:t>Biology</w:t>
      </w:r>
    </w:p>
    <w:p w:rsidR="00556075" w:rsidRPr="005609CC" w:rsidRDefault="00556075" w:rsidP="005609CC">
      <w:pPr>
        <w:pStyle w:val="ListParagraph"/>
        <w:numPr>
          <w:ilvl w:val="0"/>
          <w:numId w:val="17"/>
        </w:numPr>
        <w:jc w:val="both"/>
        <w:rPr>
          <w:rFonts w:ascii="Calibri" w:hAnsi="Calibri" w:cs="Calibri"/>
        </w:rPr>
      </w:pPr>
      <w:r w:rsidRPr="005609CC">
        <w:rPr>
          <w:rFonts w:ascii="Calibri" w:hAnsi="Calibri" w:cs="Calibri"/>
        </w:rPr>
        <w:t>Built Environment</w:t>
      </w:r>
      <w:r w:rsidR="00B6590E">
        <w:rPr>
          <w:rFonts w:ascii="Calibri" w:hAnsi="Calibri" w:cs="Calibri"/>
        </w:rPr>
        <w:t xml:space="preserve"> / Architecture / Urban Design</w:t>
      </w:r>
    </w:p>
    <w:p w:rsidR="00556075" w:rsidRPr="005609CC" w:rsidRDefault="00556075" w:rsidP="005609CC">
      <w:pPr>
        <w:pStyle w:val="ListParagraph"/>
        <w:numPr>
          <w:ilvl w:val="0"/>
          <w:numId w:val="17"/>
        </w:numPr>
        <w:jc w:val="both"/>
        <w:rPr>
          <w:rFonts w:ascii="Calibri" w:hAnsi="Calibri" w:cs="Calibri"/>
        </w:rPr>
      </w:pPr>
      <w:r w:rsidRPr="005609CC">
        <w:rPr>
          <w:rFonts w:ascii="Calibri" w:hAnsi="Calibri" w:cs="Calibri"/>
        </w:rPr>
        <w:t>Communications Studies (including persuasive communication)</w:t>
      </w:r>
    </w:p>
    <w:p w:rsidR="00556075" w:rsidRPr="005609CC" w:rsidRDefault="00556075" w:rsidP="005609CC">
      <w:pPr>
        <w:pStyle w:val="ListParagraph"/>
        <w:numPr>
          <w:ilvl w:val="0"/>
          <w:numId w:val="17"/>
        </w:numPr>
        <w:jc w:val="both"/>
        <w:rPr>
          <w:rFonts w:ascii="Calibri" w:hAnsi="Calibri" w:cs="Calibri"/>
        </w:rPr>
      </w:pPr>
      <w:r w:rsidRPr="005609CC">
        <w:rPr>
          <w:rFonts w:ascii="Calibri" w:hAnsi="Calibri" w:cs="Calibri"/>
        </w:rPr>
        <w:t>Criminology (in conjunction with other branches of Law)</w:t>
      </w:r>
    </w:p>
    <w:p w:rsidR="00556075" w:rsidRPr="005609CC" w:rsidRDefault="00556075" w:rsidP="005609CC">
      <w:pPr>
        <w:pStyle w:val="ListParagraph"/>
        <w:numPr>
          <w:ilvl w:val="0"/>
          <w:numId w:val="17"/>
        </w:numPr>
        <w:jc w:val="both"/>
        <w:rPr>
          <w:rFonts w:ascii="Calibri" w:hAnsi="Calibri" w:cs="Calibri"/>
        </w:rPr>
      </w:pPr>
      <w:r w:rsidRPr="005609CC">
        <w:rPr>
          <w:rFonts w:ascii="Calibri" w:hAnsi="Calibri" w:cs="Calibri"/>
        </w:rPr>
        <w:t>Cultural Studies</w:t>
      </w:r>
    </w:p>
    <w:p w:rsidR="00556075" w:rsidRPr="005609CC" w:rsidRDefault="00556075" w:rsidP="005609CC">
      <w:pPr>
        <w:pStyle w:val="ListParagraph"/>
        <w:numPr>
          <w:ilvl w:val="0"/>
          <w:numId w:val="17"/>
        </w:numPr>
        <w:jc w:val="both"/>
        <w:rPr>
          <w:rFonts w:ascii="Calibri" w:hAnsi="Calibri" w:cs="Calibri"/>
        </w:rPr>
      </w:pPr>
      <w:r w:rsidRPr="005609CC">
        <w:rPr>
          <w:rFonts w:ascii="Calibri" w:hAnsi="Calibri" w:cs="Calibri"/>
        </w:rPr>
        <w:t xml:space="preserve">Design (including product and urban </w:t>
      </w:r>
      <w:r w:rsidR="005609CC" w:rsidRPr="005609CC">
        <w:rPr>
          <w:rFonts w:ascii="Calibri" w:hAnsi="Calibri" w:cs="Calibri"/>
        </w:rPr>
        <w:t>design</w:t>
      </w:r>
      <w:r w:rsidRPr="005609CC">
        <w:rPr>
          <w:rFonts w:ascii="Calibri" w:hAnsi="Calibri" w:cs="Calibri"/>
        </w:rPr>
        <w:t>, ergonomics etc)</w:t>
      </w:r>
    </w:p>
    <w:p w:rsidR="00556075" w:rsidRPr="005609CC" w:rsidRDefault="00556075" w:rsidP="005609CC">
      <w:pPr>
        <w:pStyle w:val="ListParagraph"/>
        <w:numPr>
          <w:ilvl w:val="0"/>
          <w:numId w:val="17"/>
        </w:numPr>
        <w:jc w:val="both"/>
        <w:rPr>
          <w:rFonts w:ascii="Calibri" w:hAnsi="Calibri" w:cs="Calibri"/>
        </w:rPr>
      </w:pPr>
      <w:r w:rsidRPr="005609CC">
        <w:rPr>
          <w:rFonts w:ascii="Calibri" w:hAnsi="Calibri" w:cs="Calibri"/>
        </w:rPr>
        <w:t>Ecology</w:t>
      </w:r>
    </w:p>
    <w:p w:rsidR="005609CC" w:rsidRPr="005609CC" w:rsidRDefault="005609CC" w:rsidP="005609CC">
      <w:pPr>
        <w:pStyle w:val="ListParagraph"/>
        <w:numPr>
          <w:ilvl w:val="0"/>
          <w:numId w:val="17"/>
        </w:numPr>
        <w:jc w:val="both"/>
        <w:rPr>
          <w:rFonts w:ascii="Calibri" w:hAnsi="Calibri" w:cs="Calibri"/>
        </w:rPr>
      </w:pPr>
      <w:r w:rsidRPr="005609CC">
        <w:rPr>
          <w:rFonts w:ascii="Calibri" w:hAnsi="Calibri" w:cs="Calibri"/>
        </w:rPr>
        <w:lastRenderedPageBreak/>
        <w:t>Economics</w:t>
      </w:r>
    </w:p>
    <w:p w:rsidR="00556075" w:rsidRPr="005609CC" w:rsidRDefault="005609CC" w:rsidP="005609CC">
      <w:pPr>
        <w:pStyle w:val="ListParagraph"/>
        <w:numPr>
          <w:ilvl w:val="0"/>
          <w:numId w:val="17"/>
        </w:numPr>
        <w:jc w:val="both"/>
        <w:rPr>
          <w:rFonts w:ascii="Calibri" w:hAnsi="Calibri" w:cs="Calibri"/>
        </w:rPr>
      </w:pPr>
      <w:r w:rsidRPr="005609CC">
        <w:rPr>
          <w:rFonts w:ascii="Calibri" w:hAnsi="Calibri" w:cs="Calibri"/>
        </w:rPr>
        <w:t>Education</w:t>
      </w:r>
    </w:p>
    <w:p w:rsidR="005609CC" w:rsidRPr="005609CC" w:rsidRDefault="005609CC" w:rsidP="005609CC">
      <w:pPr>
        <w:pStyle w:val="ListParagraph"/>
        <w:numPr>
          <w:ilvl w:val="0"/>
          <w:numId w:val="17"/>
        </w:numPr>
        <w:jc w:val="both"/>
        <w:rPr>
          <w:rFonts w:ascii="Calibri" w:hAnsi="Calibri" w:cs="Calibri"/>
        </w:rPr>
      </w:pPr>
      <w:r w:rsidRPr="005609CC">
        <w:rPr>
          <w:rFonts w:ascii="Calibri" w:hAnsi="Calibri" w:cs="Calibri"/>
        </w:rPr>
        <w:t>Engineering (multiple specialisations)</w:t>
      </w:r>
    </w:p>
    <w:p w:rsidR="005609CC" w:rsidRPr="005609CC" w:rsidRDefault="005609CC" w:rsidP="005609CC">
      <w:pPr>
        <w:pStyle w:val="ListParagraph"/>
        <w:numPr>
          <w:ilvl w:val="0"/>
          <w:numId w:val="17"/>
        </w:numPr>
        <w:jc w:val="both"/>
        <w:rPr>
          <w:rFonts w:ascii="Calibri" w:hAnsi="Calibri" w:cs="Calibri"/>
        </w:rPr>
      </w:pPr>
      <w:r w:rsidRPr="005609CC">
        <w:rPr>
          <w:rFonts w:ascii="Calibri" w:hAnsi="Calibri" w:cs="Calibri"/>
        </w:rPr>
        <w:t>Environmental Studies</w:t>
      </w:r>
    </w:p>
    <w:p w:rsidR="005609CC" w:rsidRPr="005609CC" w:rsidRDefault="005609CC" w:rsidP="005609CC">
      <w:pPr>
        <w:pStyle w:val="ListParagraph"/>
        <w:numPr>
          <w:ilvl w:val="0"/>
          <w:numId w:val="17"/>
        </w:numPr>
        <w:jc w:val="both"/>
        <w:rPr>
          <w:rFonts w:ascii="Calibri" w:hAnsi="Calibri" w:cs="Calibri"/>
        </w:rPr>
      </w:pPr>
      <w:r w:rsidRPr="005609CC">
        <w:rPr>
          <w:rFonts w:ascii="Calibri" w:hAnsi="Calibri" w:cs="Calibri"/>
        </w:rPr>
        <w:t>Ergonomics (see design)</w:t>
      </w:r>
    </w:p>
    <w:p w:rsidR="005609CC" w:rsidRPr="005609CC" w:rsidRDefault="005609CC" w:rsidP="005609CC">
      <w:pPr>
        <w:pStyle w:val="ListParagraph"/>
        <w:numPr>
          <w:ilvl w:val="0"/>
          <w:numId w:val="17"/>
        </w:numPr>
        <w:jc w:val="both"/>
        <w:rPr>
          <w:rFonts w:ascii="Calibri" w:hAnsi="Calibri" w:cs="Calibri"/>
        </w:rPr>
      </w:pPr>
      <w:r w:rsidRPr="005609CC">
        <w:rPr>
          <w:rFonts w:ascii="Calibri" w:hAnsi="Calibri" w:cs="Calibri"/>
        </w:rPr>
        <w:t>Ethics (including organisational and communication ethics)</w:t>
      </w:r>
    </w:p>
    <w:p w:rsidR="005609CC" w:rsidRPr="005609CC" w:rsidRDefault="005609CC" w:rsidP="005609CC">
      <w:pPr>
        <w:pStyle w:val="ListParagraph"/>
        <w:numPr>
          <w:ilvl w:val="0"/>
          <w:numId w:val="17"/>
        </w:numPr>
        <w:jc w:val="both"/>
        <w:rPr>
          <w:rFonts w:ascii="Calibri" w:hAnsi="Calibri" w:cs="Calibri"/>
        </w:rPr>
      </w:pPr>
      <w:r w:rsidRPr="005609CC">
        <w:rPr>
          <w:rFonts w:ascii="Calibri" w:hAnsi="Calibri" w:cs="Calibri"/>
        </w:rPr>
        <w:t>Genetics</w:t>
      </w:r>
    </w:p>
    <w:p w:rsidR="005609CC" w:rsidRPr="005609CC" w:rsidRDefault="005609CC" w:rsidP="005609CC">
      <w:pPr>
        <w:pStyle w:val="ListParagraph"/>
        <w:numPr>
          <w:ilvl w:val="0"/>
          <w:numId w:val="17"/>
        </w:numPr>
        <w:jc w:val="both"/>
        <w:rPr>
          <w:rFonts w:ascii="Calibri" w:hAnsi="Calibri" w:cs="Calibri"/>
        </w:rPr>
      </w:pPr>
      <w:r w:rsidRPr="005609CC">
        <w:rPr>
          <w:rFonts w:ascii="Calibri" w:hAnsi="Calibri" w:cs="Calibri"/>
        </w:rPr>
        <w:t>Geography</w:t>
      </w:r>
      <w:r w:rsidR="00661C24">
        <w:rPr>
          <w:rFonts w:ascii="Calibri" w:hAnsi="Calibri" w:cs="Calibri"/>
        </w:rPr>
        <w:t xml:space="preserve"> (including human, medical, physical and social specialisms)</w:t>
      </w:r>
    </w:p>
    <w:p w:rsidR="005609CC" w:rsidRPr="005609CC" w:rsidRDefault="005609CC" w:rsidP="005609CC">
      <w:pPr>
        <w:pStyle w:val="ListParagraph"/>
        <w:numPr>
          <w:ilvl w:val="0"/>
          <w:numId w:val="17"/>
        </w:numPr>
        <w:jc w:val="both"/>
        <w:rPr>
          <w:rFonts w:ascii="Calibri" w:hAnsi="Calibri" w:cs="Calibri"/>
        </w:rPr>
      </w:pPr>
      <w:r w:rsidRPr="005609CC">
        <w:rPr>
          <w:rFonts w:ascii="Calibri" w:hAnsi="Calibri" w:cs="Calibri"/>
        </w:rPr>
        <w:t>Journalism</w:t>
      </w:r>
      <w:r w:rsidR="00661C24">
        <w:rPr>
          <w:rFonts w:ascii="Calibri" w:hAnsi="Calibri" w:cs="Calibri"/>
        </w:rPr>
        <w:t xml:space="preserve"> </w:t>
      </w:r>
    </w:p>
    <w:p w:rsidR="005609CC" w:rsidRPr="005609CC" w:rsidRDefault="005609CC" w:rsidP="005609CC">
      <w:pPr>
        <w:pStyle w:val="ListParagraph"/>
        <w:numPr>
          <w:ilvl w:val="0"/>
          <w:numId w:val="17"/>
        </w:numPr>
        <w:jc w:val="both"/>
        <w:rPr>
          <w:rFonts w:ascii="Calibri" w:hAnsi="Calibri" w:cs="Calibri"/>
        </w:rPr>
      </w:pPr>
      <w:r w:rsidRPr="005609CC">
        <w:rPr>
          <w:rFonts w:ascii="Calibri" w:hAnsi="Calibri" w:cs="Calibri"/>
        </w:rPr>
        <w:t>Law (including environmental, family, public, health and criminology specialism’s)</w:t>
      </w:r>
    </w:p>
    <w:p w:rsidR="005609CC" w:rsidRPr="005609CC" w:rsidRDefault="005609CC" w:rsidP="005609CC">
      <w:pPr>
        <w:pStyle w:val="ListParagraph"/>
        <w:numPr>
          <w:ilvl w:val="0"/>
          <w:numId w:val="17"/>
        </w:numPr>
        <w:jc w:val="both"/>
        <w:rPr>
          <w:rFonts w:ascii="Calibri" w:hAnsi="Calibri" w:cs="Calibri"/>
        </w:rPr>
      </w:pPr>
      <w:r w:rsidRPr="005609CC">
        <w:rPr>
          <w:rFonts w:ascii="Calibri" w:hAnsi="Calibri" w:cs="Calibri"/>
        </w:rPr>
        <w:t>Leadership Studies</w:t>
      </w:r>
    </w:p>
    <w:p w:rsidR="005609CC" w:rsidRPr="005609CC" w:rsidRDefault="005609CC" w:rsidP="005609CC">
      <w:pPr>
        <w:pStyle w:val="ListParagraph"/>
        <w:numPr>
          <w:ilvl w:val="0"/>
          <w:numId w:val="17"/>
        </w:numPr>
        <w:jc w:val="both"/>
        <w:rPr>
          <w:rFonts w:ascii="Calibri" w:hAnsi="Calibri" w:cs="Calibri"/>
        </w:rPr>
      </w:pPr>
      <w:r w:rsidRPr="005609CC">
        <w:rPr>
          <w:rFonts w:ascii="Calibri" w:hAnsi="Calibri" w:cs="Calibri"/>
        </w:rPr>
        <w:t>Marketing (including marketing communications/advertising, hybrid and social media studies</w:t>
      </w:r>
      <w:r w:rsidR="00661C24">
        <w:rPr>
          <w:rFonts w:ascii="Calibri" w:hAnsi="Calibri" w:cs="Calibri"/>
        </w:rPr>
        <w:t>, public relations</w:t>
      </w:r>
      <w:r w:rsidRPr="005609CC">
        <w:rPr>
          <w:rFonts w:ascii="Calibri" w:hAnsi="Calibri" w:cs="Calibri"/>
        </w:rPr>
        <w:t>)</w:t>
      </w:r>
    </w:p>
    <w:p w:rsidR="005609CC" w:rsidRPr="005609CC" w:rsidRDefault="005609CC" w:rsidP="005609CC">
      <w:pPr>
        <w:pStyle w:val="ListParagraph"/>
        <w:numPr>
          <w:ilvl w:val="0"/>
          <w:numId w:val="17"/>
        </w:numPr>
        <w:jc w:val="both"/>
        <w:rPr>
          <w:rFonts w:ascii="Calibri" w:hAnsi="Calibri" w:cs="Calibri"/>
        </w:rPr>
      </w:pPr>
      <w:r w:rsidRPr="005609CC">
        <w:rPr>
          <w:rFonts w:ascii="Calibri" w:hAnsi="Calibri" w:cs="Calibri"/>
        </w:rPr>
        <w:t>Media Studies</w:t>
      </w:r>
      <w:r w:rsidR="00661C24">
        <w:rPr>
          <w:rFonts w:ascii="Calibri" w:hAnsi="Calibri" w:cs="Calibri"/>
        </w:rPr>
        <w:t xml:space="preserve"> (linked to both marketing and journalism)</w:t>
      </w:r>
    </w:p>
    <w:p w:rsidR="005609CC" w:rsidRPr="005609CC" w:rsidRDefault="005609CC" w:rsidP="005609CC">
      <w:pPr>
        <w:pStyle w:val="ListParagraph"/>
        <w:numPr>
          <w:ilvl w:val="0"/>
          <w:numId w:val="17"/>
        </w:numPr>
        <w:jc w:val="both"/>
        <w:rPr>
          <w:rFonts w:ascii="Calibri" w:hAnsi="Calibri" w:cs="Calibri"/>
        </w:rPr>
      </w:pPr>
      <w:r w:rsidRPr="005609CC">
        <w:rPr>
          <w:rFonts w:ascii="Calibri" w:hAnsi="Calibri" w:cs="Calibri"/>
        </w:rPr>
        <w:t>Medicine</w:t>
      </w:r>
      <w:r w:rsidR="00661C24">
        <w:rPr>
          <w:rFonts w:ascii="Calibri" w:hAnsi="Calibri" w:cs="Calibri"/>
        </w:rPr>
        <w:t xml:space="preserve"> (with a wide range of specialism)</w:t>
      </w:r>
    </w:p>
    <w:p w:rsidR="005609CC" w:rsidRPr="005609CC" w:rsidRDefault="005609CC" w:rsidP="005609CC">
      <w:pPr>
        <w:pStyle w:val="ListParagraph"/>
        <w:numPr>
          <w:ilvl w:val="0"/>
          <w:numId w:val="17"/>
        </w:numPr>
        <w:jc w:val="both"/>
        <w:rPr>
          <w:rFonts w:ascii="Calibri" w:hAnsi="Calibri" w:cs="Calibri"/>
        </w:rPr>
      </w:pPr>
      <w:r w:rsidRPr="005609CC">
        <w:rPr>
          <w:rFonts w:ascii="Calibri" w:hAnsi="Calibri" w:cs="Calibri"/>
        </w:rPr>
        <w:t>Neurology</w:t>
      </w:r>
    </w:p>
    <w:p w:rsidR="005609CC" w:rsidRPr="005609CC" w:rsidRDefault="005609CC" w:rsidP="005609CC">
      <w:pPr>
        <w:pStyle w:val="ListParagraph"/>
        <w:numPr>
          <w:ilvl w:val="0"/>
          <w:numId w:val="17"/>
        </w:numPr>
        <w:jc w:val="both"/>
        <w:rPr>
          <w:rFonts w:ascii="Calibri" w:hAnsi="Calibri" w:cs="Calibri"/>
        </w:rPr>
      </w:pPr>
      <w:r w:rsidRPr="005609CC">
        <w:rPr>
          <w:rFonts w:ascii="Calibri" w:hAnsi="Calibri" w:cs="Calibri"/>
        </w:rPr>
        <w:t>Operations Research</w:t>
      </w:r>
    </w:p>
    <w:p w:rsidR="005609CC" w:rsidRPr="005609CC" w:rsidRDefault="005609CC" w:rsidP="005609CC">
      <w:pPr>
        <w:pStyle w:val="ListParagraph"/>
        <w:numPr>
          <w:ilvl w:val="0"/>
          <w:numId w:val="17"/>
        </w:numPr>
        <w:jc w:val="both"/>
        <w:rPr>
          <w:rFonts w:ascii="Calibri" w:hAnsi="Calibri" w:cs="Calibri"/>
        </w:rPr>
      </w:pPr>
      <w:r w:rsidRPr="005609CC">
        <w:rPr>
          <w:rFonts w:ascii="Calibri" w:hAnsi="Calibri" w:cs="Calibri"/>
        </w:rPr>
        <w:t>Organisation Development</w:t>
      </w:r>
    </w:p>
    <w:p w:rsidR="005609CC" w:rsidRPr="005609CC" w:rsidRDefault="005609CC" w:rsidP="005609CC">
      <w:pPr>
        <w:pStyle w:val="ListParagraph"/>
        <w:numPr>
          <w:ilvl w:val="0"/>
          <w:numId w:val="17"/>
        </w:numPr>
        <w:jc w:val="both"/>
        <w:rPr>
          <w:rFonts w:ascii="Calibri" w:hAnsi="Calibri" w:cs="Calibri"/>
        </w:rPr>
      </w:pPr>
      <w:r w:rsidRPr="005609CC">
        <w:rPr>
          <w:rFonts w:ascii="Calibri" w:hAnsi="Calibri" w:cs="Calibri"/>
        </w:rPr>
        <w:t>Organisation Studies</w:t>
      </w:r>
    </w:p>
    <w:p w:rsidR="005609CC" w:rsidRPr="005609CC" w:rsidRDefault="005609CC" w:rsidP="005609CC">
      <w:pPr>
        <w:pStyle w:val="ListParagraph"/>
        <w:numPr>
          <w:ilvl w:val="0"/>
          <w:numId w:val="17"/>
        </w:numPr>
        <w:jc w:val="both"/>
        <w:rPr>
          <w:rFonts w:ascii="Calibri" w:hAnsi="Calibri" w:cs="Calibri"/>
        </w:rPr>
      </w:pPr>
      <w:r w:rsidRPr="005609CC">
        <w:rPr>
          <w:rFonts w:ascii="Calibri" w:hAnsi="Calibri" w:cs="Calibri"/>
        </w:rPr>
        <w:t>Pharmacology</w:t>
      </w:r>
    </w:p>
    <w:p w:rsidR="005609CC" w:rsidRPr="005609CC" w:rsidRDefault="005609CC" w:rsidP="005609CC">
      <w:pPr>
        <w:pStyle w:val="ListParagraph"/>
        <w:numPr>
          <w:ilvl w:val="0"/>
          <w:numId w:val="17"/>
        </w:numPr>
        <w:jc w:val="both"/>
        <w:rPr>
          <w:rFonts w:ascii="Calibri" w:hAnsi="Calibri" w:cs="Calibri"/>
        </w:rPr>
      </w:pPr>
      <w:r w:rsidRPr="005609CC">
        <w:rPr>
          <w:rFonts w:ascii="Calibri" w:hAnsi="Calibri" w:cs="Calibri"/>
        </w:rPr>
        <w:t>Philosophy (including applied ethics)</w:t>
      </w:r>
    </w:p>
    <w:p w:rsidR="005609CC" w:rsidRPr="005609CC" w:rsidRDefault="005609CC" w:rsidP="005609CC">
      <w:pPr>
        <w:pStyle w:val="ListParagraph"/>
        <w:numPr>
          <w:ilvl w:val="0"/>
          <w:numId w:val="17"/>
        </w:numPr>
        <w:jc w:val="both"/>
        <w:rPr>
          <w:rFonts w:ascii="Calibri" w:hAnsi="Calibri" w:cs="Calibri"/>
        </w:rPr>
      </w:pPr>
      <w:r w:rsidRPr="005609CC">
        <w:rPr>
          <w:rFonts w:ascii="Calibri" w:hAnsi="Calibri" w:cs="Calibri"/>
        </w:rPr>
        <w:t>Physics</w:t>
      </w:r>
    </w:p>
    <w:p w:rsidR="005609CC" w:rsidRPr="005609CC" w:rsidRDefault="005609CC" w:rsidP="005609CC">
      <w:pPr>
        <w:pStyle w:val="ListParagraph"/>
        <w:numPr>
          <w:ilvl w:val="0"/>
          <w:numId w:val="17"/>
        </w:numPr>
        <w:jc w:val="both"/>
        <w:rPr>
          <w:rFonts w:ascii="Calibri" w:hAnsi="Calibri" w:cs="Calibri"/>
        </w:rPr>
      </w:pPr>
      <w:r w:rsidRPr="005609CC">
        <w:rPr>
          <w:rFonts w:ascii="Calibri" w:hAnsi="Calibri" w:cs="Calibri"/>
        </w:rPr>
        <w:t>Physiology</w:t>
      </w:r>
    </w:p>
    <w:p w:rsidR="005609CC" w:rsidRPr="005609CC" w:rsidRDefault="005609CC" w:rsidP="005609CC">
      <w:pPr>
        <w:pStyle w:val="ListParagraph"/>
        <w:numPr>
          <w:ilvl w:val="0"/>
          <w:numId w:val="17"/>
        </w:numPr>
        <w:jc w:val="both"/>
        <w:rPr>
          <w:rFonts w:ascii="Calibri" w:hAnsi="Calibri" w:cs="Calibri"/>
        </w:rPr>
      </w:pPr>
      <w:r w:rsidRPr="005609CC">
        <w:rPr>
          <w:rFonts w:ascii="Calibri" w:hAnsi="Calibri" w:cs="Calibri"/>
        </w:rPr>
        <w:t>Planning</w:t>
      </w:r>
    </w:p>
    <w:p w:rsidR="005609CC" w:rsidRPr="005609CC" w:rsidRDefault="005609CC" w:rsidP="005609CC">
      <w:pPr>
        <w:pStyle w:val="ListParagraph"/>
        <w:numPr>
          <w:ilvl w:val="0"/>
          <w:numId w:val="17"/>
        </w:numPr>
        <w:jc w:val="both"/>
        <w:rPr>
          <w:rFonts w:ascii="Calibri" w:hAnsi="Calibri" w:cs="Calibri"/>
        </w:rPr>
      </w:pPr>
      <w:r w:rsidRPr="005609CC">
        <w:rPr>
          <w:rFonts w:ascii="Calibri" w:hAnsi="Calibri" w:cs="Calibri"/>
        </w:rPr>
        <w:t>Political Studies</w:t>
      </w:r>
    </w:p>
    <w:p w:rsidR="005609CC" w:rsidRPr="005609CC" w:rsidRDefault="005609CC" w:rsidP="005609CC">
      <w:pPr>
        <w:pStyle w:val="ListParagraph"/>
        <w:numPr>
          <w:ilvl w:val="0"/>
          <w:numId w:val="17"/>
        </w:numPr>
        <w:jc w:val="both"/>
        <w:rPr>
          <w:rFonts w:ascii="Calibri" w:hAnsi="Calibri" w:cs="Calibri"/>
        </w:rPr>
      </w:pPr>
      <w:r w:rsidRPr="005609CC">
        <w:rPr>
          <w:rFonts w:ascii="Calibri" w:hAnsi="Calibri" w:cs="Calibri"/>
        </w:rPr>
        <w:t>Psychiatry</w:t>
      </w:r>
    </w:p>
    <w:p w:rsidR="005609CC" w:rsidRPr="005609CC" w:rsidRDefault="005609CC" w:rsidP="005609CC">
      <w:pPr>
        <w:pStyle w:val="ListParagraph"/>
        <w:numPr>
          <w:ilvl w:val="0"/>
          <w:numId w:val="17"/>
        </w:numPr>
        <w:jc w:val="both"/>
        <w:rPr>
          <w:rFonts w:ascii="Calibri" w:hAnsi="Calibri" w:cs="Calibri"/>
        </w:rPr>
      </w:pPr>
      <w:r w:rsidRPr="005609CC">
        <w:rPr>
          <w:rFonts w:ascii="Calibri" w:hAnsi="Calibri" w:cs="Calibri"/>
        </w:rPr>
        <w:t>Psychology (including clinical, environmental, health and social specialisms)</w:t>
      </w:r>
    </w:p>
    <w:p w:rsidR="005609CC" w:rsidRPr="005609CC" w:rsidRDefault="005609CC" w:rsidP="005609CC">
      <w:pPr>
        <w:pStyle w:val="ListParagraph"/>
        <w:numPr>
          <w:ilvl w:val="0"/>
          <w:numId w:val="17"/>
        </w:numPr>
        <w:jc w:val="both"/>
        <w:rPr>
          <w:rFonts w:ascii="Calibri" w:hAnsi="Calibri" w:cs="Calibri"/>
        </w:rPr>
      </w:pPr>
      <w:r w:rsidRPr="005609CC">
        <w:rPr>
          <w:rFonts w:ascii="Calibri" w:hAnsi="Calibri" w:cs="Calibri"/>
        </w:rPr>
        <w:t>Public Health</w:t>
      </w:r>
    </w:p>
    <w:p w:rsidR="005609CC" w:rsidRPr="005609CC" w:rsidRDefault="005609CC" w:rsidP="005609CC">
      <w:pPr>
        <w:pStyle w:val="ListParagraph"/>
        <w:numPr>
          <w:ilvl w:val="0"/>
          <w:numId w:val="17"/>
        </w:numPr>
        <w:jc w:val="both"/>
        <w:rPr>
          <w:rFonts w:ascii="Calibri" w:hAnsi="Calibri" w:cs="Calibri"/>
        </w:rPr>
      </w:pPr>
      <w:r w:rsidRPr="005609CC">
        <w:rPr>
          <w:rFonts w:ascii="Calibri" w:hAnsi="Calibri" w:cs="Calibri"/>
        </w:rPr>
        <w:t>Sociology</w:t>
      </w:r>
    </w:p>
    <w:p w:rsidR="005609CC" w:rsidRPr="005609CC" w:rsidRDefault="005609CC" w:rsidP="005609CC">
      <w:pPr>
        <w:pStyle w:val="ListParagraph"/>
        <w:numPr>
          <w:ilvl w:val="0"/>
          <w:numId w:val="17"/>
        </w:numPr>
        <w:jc w:val="both"/>
        <w:rPr>
          <w:rFonts w:ascii="Calibri" w:hAnsi="Calibri" w:cs="Calibri"/>
        </w:rPr>
      </w:pPr>
      <w:r w:rsidRPr="005609CC">
        <w:rPr>
          <w:rFonts w:ascii="Calibri" w:hAnsi="Calibri" w:cs="Calibri"/>
        </w:rPr>
        <w:t>Social Policy</w:t>
      </w:r>
    </w:p>
    <w:p w:rsidR="005609CC" w:rsidRPr="005609CC" w:rsidRDefault="005609CC" w:rsidP="005609CC">
      <w:pPr>
        <w:pStyle w:val="ListParagraph"/>
        <w:numPr>
          <w:ilvl w:val="0"/>
          <w:numId w:val="17"/>
        </w:numPr>
        <w:jc w:val="both"/>
        <w:rPr>
          <w:rFonts w:ascii="Calibri" w:hAnsi="Calibri" w:cs="Calibri"/>
        </w:rPr>
      </w:pPr>
      <w:r w:rsidRPr="005609CC">
        <w:rPr>
          <w:rFonts w:ascii="Calibri" w:hAnsi="Calibri" w:cs="Calibri"/>
        </w:rPr>
        <w:t>Social Psychology (see psychology)</w:t>
      </w:r>
    </w:p>
    <w:p w:rsidR="005609CC" w:rsidRPr="005609CC" w:rsidRDefault="005609CC" w:rsidP="005609CC">
      <w:pPr>
        <w:pStyle w:val="ListParagraph"/>
        <w:numPr>
          <w:ilvl w:val="0"/>
          <w:numId w:val="17"/>
        </w:numPr>
        <w:jc w:val="both"/>
        <w:rPr>
          <w:rFonts w:ascii="Calibri" w:hAnsi="Calibri" w:cs="Calibri"/>
        </w:rPr>
      </w:pPr>
      <w:r w:rsidRPr="005609CC">
        <w:rPr>
          <w:rFonts w:ascii="Calibri" w:hAnsi="Calibri" w:cs="Calibri"/>
        </w:rPr>
        <w:t>Transport Studies</w:t>
      </w:r>
    </w:p>
    <w:p w:rsidR="005609CC" w:rsidRPr="005609CC" w:rsidRDefault="005609CC" w:rsidP="005609CC">
      <w:pPr>
        <w:pStyle w:val="ListParagraph"/>
        <w:numPr>
          <w:ilvl w:val="0"/>
          <w:numId w:val="17"/>
        </w:numPr>
        <w:jc w:val="both"/>
        <w:rPr>
          <w:rFonts w:ascii="Calibri" w:hAnsi="Calibri" w:cs="Calibri"/>
        </w:rPr>
      </w:pPr>
      <w:r w:rsidRPr="005609CC">
        <w:rPr>
          <w:rFonts w:ascii="Calibri" w:hAnsi="Calibri" w:cs="Calibri"/>
        </w:rPr>
        <w:t>Youth Studies</w:t>
      </w:r>
    </w:p>
    <w:p w:rsidR="00A50E63" w:rsidRDefault="00DB5AC1" w:rsidP="00A50E63">
      <w:pPr>
        <w:pStyle w:val="Heading3"/>
      </w:pPr>
      <w:bookmarkStart w:id="10" w:name="_Toc289256734"/>
      <w:r>
        <w:t>4.4 Range of re</w:t>
      </w:r>
      <w:r w:rsidR="00A50E63">
        <w:t xml:space="preserve">levant </w:t>
      </w:r>
      <w:r>
        <w:t>t</w:t>
      </w:r>
      <w:r w:rsidR="00A50E63">
        <w:t>heories</w:t>
      </w:r>
      <w:bookmarkEnd w:id="10"/>
    </w:p>
    <w:p w:rsidR="001A05F5" w:rsidRDefault="001A05F5" w:rsidP="00661C24">
      <w:pPr>
        <w:jc w:val="both"/>
        <w:rPr>
          <w:rFonts w:ascii="Calibri" w:hAnsi="Calibri" w:cs="Calibri"/>
        </w:rPr>
      </w:pPr>
    </w:p>
    <w:p w:rsidR="00661C24" w:rsidRDefault="005609CC" w:rsidP="00661C24">
      <w:pPr>
        <w:jc w:val="both"/>
        <w:rPr>
          <w:rFonts w:ascii="Calibri" w:hAnsi="Calibri" w:cs="Calibri"/>
        </w:rPr>
      </w:pPr>
      <w:r>
        <w:rPr>
          <w:rFonts w:ascii="Calibri" w:hAnsi="Calibri" w:cs="Calibri"/>
        </w:rPr>
        <w:t xml:space="preserve">Many of these disciplines </w:t>
      </w:r>
      <w:r w:rsidR="00661C24">
        <w:rPr>
          <w:rFonts w:ascii="Calibri" w:hAnsi="Calibri" w:cs="Calibri"/>
        </w:rPr>
        <w:t xml:space="preserve">share common concepts, theories and fields of investigation.  For example, Figure 3 provides a wide list of theories and/or groups of theories that may be relevant to health improvement. </w:t>
      </w:r>
      <w:r w:rsidR="00DD4F38">
        <w:rPr>
          <w:rFonts w:ascii="Calibri" w:hAnsi="Calibri" w:cs="Calibri"/>
        </w:rPr>
        <w:t xml:space="preserve">  A large body of research indicates that no single theory is appropriate in all situations, and improved efficacy may be possible by combining two or more theories.  Further, all major theories are subject to ongoing testing and refinement, therefore advancements in theory design and application are ongoing.</w:t>
      </w:r>
    </w:p>
    <w:p w:rsidR="00661C24" w:rsidRDefault="00661C24" w:rsidP="000D53B7">
      <w:pPr>
        <w:jc w:val="both"/>
        <w:rPr>
          <w:rFonts w:ascii="Calibri" w:hAnsi="Calibri" w:cs="Calibri"/>
        </w:rPr>
      </w:pPr>
    </w:p>
    <w:p w:rsidR="00661C24" w:rsidRDefault="00661C24" w:rsidP="000D53B7">
      <w:pPr>
        <w:jc w:val="both"/>
        <w:rPr>
          <w:rFonts w:ascii="Calibri" w:hAnsi="Calibri" w:cs="Calibri"/>
        </w:rPr>
      </w:pPr>
    </w:p>
    <w:p w:rsidR="00661C24" w:rsidRDefault="00661C24" w:rsidP="000D53B7">
      <w:pPr>
        <w:jc w:val="both"/>
        <w:rPr>
          <w:rFonts w:ascii="Calibri" w:hAnsi="Calibri" w:cs="Calibri"/>
        </w:rPr>
      </w:pPr>
    </w:p>
    <w:p w:rsidR="00661C24" w:rsidRDefault="00661C24" w:rsidP="000D53B7">
      <w:pPr>
        <w:jc w:val="both"/>
        <w:rPr>
          <w:rFonts w:ascii="Calibri" w:hAnsi="Calibri" w:cs="Calibri"/>
        </w:rPr>
      </w:pPr>
    </w:p>
    <w:p w:rsidR="00661C24" w:rsidRPr="00661C24" w:rsidRDefault="00661C24" w:rsidP="000D53B7">
      <w:pPr>
        <w:jc w:val="both"/>
        <w:rPr>
          <w:rFonts w:ascii="Calibri" w:hAnsi="Calibri" w:cs="Calibri"/>
          <w:b/>
        </w:rPr>
      </w:pPr>
      <w:r w:rsidRPr="00661C24">
        <w:rPr>
          <w:rFonts w:ascii="Calibri" w:hAnsi="Calibri" w:cs="Calibri"/>
          <w:b/>
        </w:rPr>
        <w:t xml:space="preserve">Figure </w:t>
      </w:r>
      <w:r w:rsidR="0081481C">
        <w:rPr>
          <w:rFonts w:ascii="Calibri" w:hAnsi="Calibri" w:cs="Calibri"/>
          <w:b/>
        </w:rPr>
        <w:t>4</w:t>
      </w:r>
      <w:r w:rsidRPr="00661C24">
        <w:rPr>
          <w:rFonts w:ascii="Calibri" w:hAnsi="Calibri" w:cs="Calibri"/>
          <w:b/>
        </w:rPr>
        <w:t xml:space="preserve">:  National Social Marketing Centre’s </w:t>
      </w:r>
      <w:r w:rsidR="00A42D2C">
        <w:rPr>
          <w:rFonts w:ascii="Calibri" w:hAnsi="Calibri" w:cs="Calibri"/>
          <w:b/>
        </w:rPr>
        <w:t>‘</w:t>
      </w:r>
      <w:r w:rsidRPr="00661C24">
        <w:rPr>
          <w:rFonts w:ascii="Calibri" w:hAnsi="Calibri" w:cs="Calibri"/>
          <w:b/>
        </w:rPr>
        <w:t xml:space="preserve">Behavioural influences – a basic </w:t>
      </w:r>
      <w:r w:rsidR="00DD4F38" w:rsidRPr="00661C24">
        <w:rPr>
          <w:rFonts w:ascii="Calibri" w:hAnsi="Calibri" w:cs="Calibri"/>
          <w:b/>
        </w:rPr>
        <w:t>theory</w:t>
      </w:r>
      <w:r w:rsidR="00A42D2C">
        <w:rPr>
          <w:rFonts w:ascii="Calibri" w:hAnsi="Calibri" w:cs="Calibri"/>
          <w:b/>
        </w:rPr>
        <w:t xml:space="preserve"> framework’</w:t>
      </w:r>
    </w:p>
    <w:p w:rsidR="00F3562E" w:rsidRDefault="00F3562E" w:rsidP="000D53B7">
      <w:pPr>
        <w:jc w:val="both"/>
        <w:rPr>
          <w:rFonts w:ascii="Calibri" w:hAnsi="Calibri" w:cs="Calibri"/>
        </w:rPr>
      </w:pPr>
      <w:r>
        <w:rPr>
          <w:noProof/>
        </w:rPr>
        <w:drawing>
          <wp:inline distT="0" distB="0" distL="0" distR="0">
            <wp:extent cx="5268386" cy="4238625"/>
            <wp:effectExtent l="19050" t="0" r="8464" b="0"/>
            <wp:docPr id="6" name="Picture 1" descr="C:\Documents and Settings\lc-eagle\Local Settings\Temporary Internet Files\Content.Word\theo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c-eagle\Local Settings\Temporary Internet Files\Content.Word\theories.jpg"/>
                    <pic:cNvPicPr>
                      <a:picLocks noChangeAspect="1" noChangeArrowheads="1"/>
                    </pic:cNvPicPr>
                  </pic:nvPicPr>
                  <pic:blipFill>
                    <a:blip r:embed="rId15" cstate="print"/>
                    <a:srcRect/>
                    <a:stretch>
                      <a:fillRect/>
                    </a:stretch>
                  </pic:blipFill>
                  <pic:spPr bwMode="auto">
                    <a:xfrm>
                      <a:off x="0" y="0"/>
                      <a:ext cx="5274310" cy="4243391"/>
                    </a:xfrm>
                    <a:prstGeom prst="rect">
                      <a:avLst/>
                    </a:prstGeom>
                    <a:noFill/>
                    <a:ln w="9525">
                      <a:noFill/>
                      <a:miter lim="800000"/>
                      <a:headEnd/>
                      <a:tailEnd/>
                    </a:ln>
                  </pic:spPr>
                </pic:pic>
              </a:graphicData>
            </a:graphic>
          </wp:inline>
        </w:drawing>
      </w:r>
    </w:p>
    <w:p w:rsidR="00F3562E" w:rsidRDefault="00F3562E" w:rsidP="000D53B7">
      <w:pPr>
        <w:jc w:val="both"/>
        <w:rPr>
          <w:rFonts w:ascii="Calibri" w:hAnsi="Calibri" w:cs="Calibri"/>
        </w:rPr>
      </w:pPr>
    </w:p>
    <w:p w:rsidR="00661C24" w:rsidRDefault="00661C24" w:rsidP="00661C24">
      <w:pPr>
        <w:jc w:val="both"/>
        <w:rPr>
          <w:rFonts w:ascii="Calibri" w:hAnsi="Calibri" w:cs="Calibri"/>
        </w:rPr>
      </w:pPr>
      <w:r>
        <w:rPr>
          <w:rFonts w:ascii="Calibri" w:hAnsi="Calibri" w:cs="Calibri"/>
        </w:rPr>
        <w:t>This list could also be considerably expanded, with the addition of the following (again, not an exhaustive listing)</w:t>
      </w:r>
      <w:r w:rsidR="000F63DD">
        <w:rPr>
          <w:rFonts w:ascii="Calibri" w:hAnsi="Calibri" w:cs="Calibri"/>
        </w:rPr>
        <w:t>.</w:t>
      </w:r>
      <w:r w:rsidR="00225AD5">
        <w:rPr>
          <w:rFonts w:ascii="Calibri" w:hAnsi="Calibri" w:cs="Calibri"/>
        </w:rPr>
        <w:t xml:space="preserve"> In the next section, we expand on a selection of these theories to illustrate the complexity of issues</w:t>
      </w:r>
      <w:r w:rsidR="000F63DD">
        <w:rPr>
          <w:rFonts w:ascii="Calibri" w:hAnsi="Calibri" w:cs="Calibri"/>
        </w:rPr>
        <w:t xml:space="preserve"> impacting on health behaviours</w:t>
      </w:r>
      <w:r>
        <w:rPr>
          <w:rFonts w:ascii="Calibri" w:hAnsi="Calibri" w:cs="Calibri"/>
        </w:rPr>
        <w:t xml:space="preserve">.  </w:t>
      </w:r>
    </w:p>
    <w:p w:rsidR="00661C24" w:rsidRDefault="00661C24" w:rsidP="00225AD5">
      <w:pPr>
        <w:pBdr>
          <w:top w:val="single" w:sz="4" w:space="1" w:color="auto"/>
          <w:left w:val="single" w:sz="4" w:space="4" w:color="auto"/>
          <w:bottom w:val="single" w:sz="4" w:space="1" w:color="auto"/>
          <w:right w:val="single" w:sz="4" w:space="4" w:color="auto"/>
        </w:pBdr>
        <w:jc w:val="both"/>
        <w:rPr>
          <w:rFonts w:ascii="Calibri" w:hAnsi="Calibri" w:cs="Calibri"/>
        </w:rPr>
      </w:pPr>
      <w:r>
        <w:rPr>
          <w:rFonts w:ascii="Calibri" w:hAnsi="Calibri" w:cs="Calibri"/>
        </w:rPr>
        <w:t>Communication Theories</w:t>
      </w:r>
    </w:p>
    <w:p w:rsidR="00661C24" w:rsidRDefault="00661C24" w:rsidP="00225AD5">
      <w:pPr>
        <w:pBdr>
          <w:top w:val="single" w:sz="4" w:space="1" w:color="auto"/>
          <w:left w:val="single" w:sz="4" w:space="4" w:color="auto"/>
          <w:bottom w:val="single" w:sz="4" w:space="1" w:color="auto"/>
          <w:right w:val="single" w:sz="4" w:space="4" w:color="auto"/>
        </w:pBdr>
        <w:jc w:val="both"/>
        <w:rPr>
          <w:rFonts w:ascii="Calibri" w:hAnsi="Calibri" w:cs="Calibri"/>
        </w:rPr>
      </w:pPr>
      <w:r>
        <w:rPr>
          <w:rFonts w:ascii="Calibri" w:hAnsi="Calibri" w:cs="Calibri"/>
        </w:rPr>
        <w:t>Complexity Theory</w:t>
      </w:r>
    </w:p>
    <w:p w:rsidR="00661C24" w:rsidRDefault="00661C24" w:rsidP="00225AD5">
      <w:pPr>
        <w:pBdr>
          <w:top w:val="single" w:sz="4" w:space="1" w:color="auto"/>
          <w:left w:val="single" w:sz="4" w:space="4" w:color="auto"/>
          <w:bottom w:val="single" w:sz="4" w:space="1" w:color="auto"/>
          <w:right w:val="single" w:sz="4" w:space="4" w:color="auto"/>
        </w:pBdr>
        <w:jc w:val="both"/>
        <w:rPr>
          <w:rFonts w:ascii="Calibri" w:hAnsi="Calibri" w:cs="Calibri"/>
        </w:rPr>
      </w:pPr>
      <w:r>
        <w:rPr>
          <w:rFonts w:ascii="Calibri" w:hAnsi="Calibri" w:cs="Calibri"/>
        </w:rPr>
        <w:t>Decision Theory</w:t>
      </w:r>
    </w:p>
    <w:p w:rsidR="00661C24" w:rsidRDefault="00661C24" w:rsidP="00225AD5">
      <w:pPr>
        <w:pBdr>
          <w:top w:val="single" w:sz="4" w:space="1" w:color="auto"/>
          <w:left w:val="single" w:sz="4" w:space="4" w:color="auto"/>
          <w:bottom w:val="single" w:sz="4" w:space="1" w:color="auto"/>
          <w:right w:val="single" w:sz="4" w:space="4" w:color="auto"/>
        </w:pBdr>
        <w:jc w:val="both"/>
        <w:rPr>
          <w:rFonts w:ascii="Calibri" w:hAnsi="Calibri" w:cs="Calibri"/>
        </w:rPr>
      </w:pPr>
      <w:r>
        <w:rPr>
          <w:rFonts w:ascii="Calibri" w:hAnsi="Calibri" w:cs="Calibri"/>
        </w:rPr>
        <w:t>Leadership Theory</w:t>
      </w:r>
    </w:p>
    <w:p w:rsidR="00661C24" w:rsidRDefault="00661C24" w:rsidP="00225AD5">
      <w:pPr>
        <w:pBdr>
          <w:top w:val="single" w:sz="4" w:space="1" w:color="auto"/>
          <w:left w:val="single" w:sz="4" w:space="4" w:color="auto"/>
          <w:bottom w:val="single" w:sz="4" w:space="1" w:color="auto"/>
          <w:right w:val="single" w:sz="4" w:space="4" w:color="auto"/>
        </w:pBdr>
        <w:jc w:val="both"/>
        <w:rPr>
          <w:rFonts w:ascii="Calibri" w:hAnsi="Calibri" w:cs="Calibri"/>
        </w:rPr>
      </w:pPr>
      <w:r>
        <w:rPr>
          <w:rFonts w:ascii="Calibri" w:hAnsi="Calibri" w:cs="Calibri"/>
        </w:rPr>
        <w:t>Organisation Theory</w:t>
      </w:r>
    </w:p>
    <w:p w:rsidR="00661C24" w:rsidRDefault="00661C24" w:rsidP="00225AD5">
      <w:pPr>
        <w:pBdr>
          <w:top w:val="single" w:sz="4" w:space="1" w:color="auto"/>
          <w:left w:val="single" w:sz="4" w:space="4" w:color="auto"/>
          <w:bottom w:val="single" w:sz="4" w:space="1" w:color="auto"/>
          <w:right w:val="single" w:sz="4" w:space="4" w:color="auto"/>
        </w:pBdr>
        <w:jc w:val="both"/>
        <w:rPr>
          <w:rFonts w:ascii="Calibri" w:hAnsi="Calibri" w:cs="Calibri"/>
        </w:rPr>
      </w:pPr>
      <w:r>
        <w:rPr>
          <w:rFonts w:ascii="Calibri" w:hAnsi="Calibri" w:cs="Calibri"/>
        </w:rPr>
        <w:t>Process Theory</w:t>
      </w:r>
    </w:p>
    <w:p w:rsidR="001A05F5" w:rsidRDefault="001A05F5" w:rsidP="00225AD5">
      <w:pPr>
        <w:pBdr>
          <w:top w:val="single" w:sz="4" w:space="1" w:color="auto"/>
          <w:left w:val="single" w:sz="4" w:space="4" w:color="auto"/>
          <w:bottom w:val="single" w:sz="4" w:space="1" w:color="auto"/>
          <w:right w:val="single" w:sz="4" w:space="4" w:color="auto"/>
        </w:pBdr>
        <w:jc w:val="both"/>
        <w:rPr>
          <w:rFonts w:ascii="Calibri" w:hAnsi="Calibri" w:cs="Calibri"/>
        </w:rPr>
      </w:pPr>
      <w:r>
        <w:rPr>
          <w:rFonts w:ascii="Calibri" w:hAnsi="Calibri" w:cs="Calibri"/>
        </w:rPr>
        <w:t>Risk Theory</w:t>
      </w:r>
    </w:p>
    <w:p w:rsidR="00880319" w:rsidRDefault="00661C24" w:rsidP="00225AD5">
      <w:pPr>
        <w:pBdr>
          <w:top w:val="single" w:sz="4" w:space="1" w:color="auto"/>
          <w:left w:val="single" w:sz="4" w:space="4" w:color="auto"/>
          <w:bottom w:val="single" w:sz="4" w:space="1" w:color="auto"/>
          <w:right w:val="single" w:sz="4" w:space="4" w:color="auto"/>
        </w:pBdr>
        <w:jc w:val="both"/>
        <w:rPr>
          <w:rFonts w:ascii="Calibri" w:hAnsi="Calibri" w:cs="Calibri"/>
        </w:rPr>
      </w:pPr>
      <w:r>
        <w:rPr>
          <w:rFonts w:ascii="Calibri" w:hAnsi="Calibri" w:cs="Calibri"/>
        </w:rPr>
        <w:t>Socio-technical</w:t>
      </w:r>
      <w:r w:rsidR="001A05F5">
        <w:rPr>
          <w:rFonts w:ascii="Calibri" w:hAnsi="Calibri" w:cs="Calibri"/>
        </w:rPr>
        <w:t xml:space="preserve"> Systems</w:t>
      </w:r>
      <w:r>
        <w:rPr>
          <w:rFonts w:ascii="Calibri" w:hAnsi="Calibri" w:cs="Calibri"/>
        </w:rPr>
        <w:t xml:space="preserve"> Theory</w:t>
      </w:r>
      <w:r w:rsidR="005E2DCC">
        <w:rPr>
          <w:rFonts w:ascii="Calibri" w:hAnsi="Calibri" w:cs="Calibri"/>
        </w:rPr>
        <w:t xml:space="preserve"> </w:t>
      </w:r>
    </w:p>
    <w:p w:rsidR="00880319" w:rsidRDefault="00661C24" w:rsidP="00225AD5">
      <w:pPr>
        <w:pBdr>
          <w:top w:val="single" w:sz="4" w:space="1" w:color="auto"/>
          <w:left w:val="single" w:sz="4" w:space="4" w:color="auto"/>
          <w:bottom w:val="single" w:sz="4" w:space="1" w:color="auto"/>
          <w:right w:val="single" w:sz="4" w:space="4" w:color="auto"/>
        </w:pBdr>
        <w:jc w:val="both"/>
        <w:rPr>
          <w:rFonts w:ascii="Calibri" w:hAnsi="Calibri" w:cs="Calibri"/>
        </w:rPr>
      </w:pPr>
      <w:r>
        <w:rPr>
          <w:rFonts w:ascii="Calibri" w:hAnsi="Calibri" w:cs="Calibri"/>
        </w:rPr>
        <w:t>Social Practice Theory</w:t>
      </w:r>
      <w:r w:rsidR="005E2DCC">
        <w:rPr>
          <w:rFonts w:ascii="Calibri" w:hAnsi="Calibri" w:cs="Calibri"/>
        </w:rPr>
        <w:t xml:space="preserve">   </w:t>
      </w:r>
    </w:p>
    <w:p w:rsidR="00973CF3" w:rsidRDefault="00661C24" w:rsidP="00225AD5">
      <w:pPr>
        <w:pBdr>
          <w:top w:val="single" w:sz="4" w:space="1" w:color="auto"/>
          <w:left w:val="single" w:sz="4" w:space="4" w:color="auto"/>
          <w:bottom w:val="single" w:sz="4" w:space="1" w:color="auto"/>
          <w:right w:val="single" w:sz="4" w:space="4" w:color="auto"/>
        </w:pBdr>
        <w:jc w:val="both"/>
        <w:rPr>
          <w:rFonts w:ascii="Calibri" w:hAnsi="Calibri" w:cs="Calibri"/>
        </w:rPr>
      </w:pPr>
      <w:r>
        <w:rPr>
          <w:rFonts w:ascii="Calibri" w:hAnsi="Calibri" w:cs="Calibri"/>
        </w:rPr>
        <w:t>Stakeholder Theory</w:t>
      </w:r>
      <w:r w:rsidR="00973CF3">
        <w:rPr>
          <w:rFonts w:ascii="Calibri" w:hAnsi="Calibri" w:cs="Calibri"/>
        </w:rPr>
        <w:t xml:space="preserve"> </w:t>
      </w:r>
    </w:p>
    <w:p w:rsidR="00973CF3" w:rsidRDefault="001A05F5" w:rsidP="00225AD5">
      <w:pPr>
        <w:pBdr>
          <w:top w:val="single" w:sz="4" w:space="1" w:color="auto"/>
          <w:left w:val="single" w:sz="4" w:space="4" w:color="auto"/>
          <w:bottom w:val="single" w:sz="4" w:space="1" w:color="auto"/>
          <w:right w:val="single" w:sz="4" w:space="4" w:color="auto"/>
        </w:pBdr>
        <w:jc w:val="both"/>
        <w:rPr>
          <w:rFonts w:ascii="Calibri" w:hAnsi="Calibri" w:cs="Calibri"/>
        </w:rPr>
      </w:pPr>
      <w:r>
        <w:rPr>
          <w:rFonts w:ascii="Calibri" w:hAnsi="Calibri" w:cs="Calibri"/>
        </w:rPr>
        <w:t>Systems Theory</w:t>
      </w:r>
      <w:r w:rsidR="00661C24">
        <w:rPr>
          <w:rFonts w:ascii="Calibri" w:hAnsi="Calibri" w:cs="Calibri"/>
        </w:rPr>
        <w:t xml:space="preserve"> </w:t>
      </w:r>
    </w:p>
    <w:p w:rsidR="00973CF3" w:rsidRDefault="00973CF3" w:rsidP="00225AD5">
      <w:pPr>
        <w:pBdr>
          <w:top w:val="single" w:sz="4" w:space="1" w:color="auto"/>
          <w:left w:val="single" w:sz="4" w:space="4" w:color="auto"/>
          <w:bottom w:val="single" w:sz="4" w:space="1" w:color="auto"/>
          <w:right w:val="single" w:sz="4" w:space="4" w:color="auto"/>
        </w:pBdr>
        <w:jc w:val="both"/>
        <w:rPr>
          <w:rFonts w:ascii="Calibri" w:hAnsi="Calibri" w:cs="Calibri"/>
        </w:rPr>
      </w:pPr>
      <w:r>
        <w:rPr>
          <w:rFonts w:ascii="Calibri" w:hAnsi="Calibri" w:cs="Calibri"/>
        </w:rPr>
        <w:t>Theory of Complex Responsive Processes</w:t>
      </w:r>
    </w:p>
    <w:p w:rsidR="00973CF3" w:rsidRDefault="00973CF3" w:rsidP="00225AD5">
      <w:pPr>
        <w:pBdr>
          <w:top w:val="single" w:sz="4" w:space="1" w:color="auto"/>
          <w:left w:val="single" w:sz="4" w:space="4" w:color="auto"/>
          <w:bottom w:val="single" w:sz="4" w:space="1" w:color="auto"/>
          <w:right w:val="single" w:sz="4" w:space="4" w:color="auto"/>
        </w:pBdr>
        <w:jc w:val="both"/>
        <w:rPr>
          <w:rFonts w:ascii="Calibri" w:hAnsi="Calibri" w:cs="Calibri"/>
        </w:rPr>
      </w:pPr>
      <w:r>
        <w:rPr>
          <w:rFonts w:ascii="Calibri" w:hAnsi="Calibri" w:cs="Calibri"/>
        </w:rPr>
        <w:t>Theory of Inter-personal Relationships</w:t>
      </w:r>
    </w:p>
    <w:p w:rsidR="00973CF3" w:rsidRDefault="00973CF3" w:rsidP="00225AD5">
      <w:pPr>
        <w:pBdr>
          <w:top w:val="single" w:sz="4" w:space="1" w:color="auto"/>
          <w:left w:val="single" w:sz="4" w:space="4" w:color="auto"/>
          <w:bottom w:val="single" w:sz="4" w:space="1" w:color="auto"/>
          <w:right w:val="single" w:sz="4" w:space="4" w:color="auto"/>
        </w:pBdr>
        <w:jc w:val="both"/>
        <w:rPr>
          <w:rFonts w:ascii="Calibri" w:hAnsi="Calibri" w:cs="Calibri"/>
        </w:rPr>
      </w:pPr>
      <w:r>
        <w:rPr>
          <w:rFonts w:ascii="Calibri" w:hAnsi="Calibri" w:cs="Calibri"/>
        </w:rPr>
        <w:t>Triandis’ Theory of Interpersonal Behaviour</w:t>
      </w:r>
    </w:p>
    <w:p w:rsidR="00661C24" w:rsidRDefault="00661C24" w:rsidP="00661C24">
      <w:pPr>
        <w:jc w:val="both"/>
        <w:rPr>
          <w:rFonts w:ascii="Calibri" w:hAnsi="Calibri" w:cs="Calibri"/>
        </w:rPr>
      </w:pPr>
    </w:p>
    <w:p w:rsidR="00661C24" w:rsidRDefault="00973CF3" w:rsidP="00661C24">
      <w:pPr>
        <w:jc w:val="both"/>
        <w:rPr>
          <w:rFonts w:ascii="Calibri" w:hAnsi="Calibri" w:cs="Calibri"/>
        </w:rPr>
      </w:pPr>
      <w:r>
        <w:rPr>
          <w:rFonts w:ascii="Calibri" w:hAnsi="Calibri" w:cs="Calibri"/>
        </w:rPr>
        <w:lastRenderedPageBreak/>
        <w:t xml:space="preserve">A systematic analysis of the potential contributions of both individual disciplines and their associated theories to an integrated, truly </w:t>
      </w:r>
      <w:r w:rsidR="00C97857">
        <w:rPr>
          <w:rFonts w:ascii="Calibri" w:hAnsi="Calibri" w:cs="Calibri"/>
        </w:rPr>
        <w:t>transdisciplinary</w:t>
      </w:r>
      <w:r>
        <w:rPr>
          <w:rFonts w:ascii="Calibri" w:hAnsi="Calibri" w:cs="Calibri"/>
        </w:rPr>
        <w:t xml:space="preserve"> approach to sustained behaviour change would strengthen the potential efficacy of the reforms under consideration.</w:t>
      </w:r>
      <w:r w:rsidR="00DD4F38">
        <w:rPr>
          <w:rFonts w:ascii="Calibri" w:hAnsi="Calibri" w:cs="Calibri"/>
        </w:rPr>
        <w:t xml:space="preserve">   </w:t>
      </w:r>
      <w:r w:rsidR="00720B73">
        <w:rPr>
          <w:rFonts w:ascii="Calibri" w:hAnsi="Calibri" w:cs="Calibri"/>
        </w:rPr>
        <w:t>The White Paper explicitly acknowledged that:</w:t>
      </w:r>
    </w:p>
    <w:p w:rsidR="00720B73" w:rsidRPr="00A42D2C" w:rsidRDefault="00720B73" w:rsidP="00661C24">
      <w:pPr>
        <w:jc w:val="both"/>
        <w:rPr>
          <w:rFonts w:ascii="Calibri" w:hAnsi="Calibri" w:cs="Calibri"/>
        </w:rPr>
      </w:pPr>
    </w:p>
    <w:p w:rsidR="00720B73" w:rsidRPr="00A42D2C" w:rsidRDefault="00720B73" w:rsidP="00720B73">
      <w:pPr>
        <w:ind w:left="284" w:right="284"/>
        <w:jc w:val="both"/>
        <w:rPr>
          <w:rFonts w:ascii="Calibri" w:hAnsi="Calibri" w:cs="Calibri"/>
        </w:rPr>
      </w:pPr>
      <w:r w:rsidRPr="00A42D2C">
        <w:rPr>
          <w:rFonts w:ascii="Calibri" w:hAnsi="Calibri" w:cs="Calibri"/>
        </w:rPr>
        <w:t>Recent years have proved that one-size-fits-all solutions are no good when public health challenges vary fro</w:t>
      </w:r>
      <w:r w:rsidR="00A42D2C" w:rsidRPr="00A42D2C">
        <w:rPr>
          <w:rFonts w:ascii="Calibri" w:hAnsi="Calibri" w:cs="Calibri"/>
        </w:rPr>
        <w:t>m one neighbourhood to the next.</w:t>
      </w:r>
    </w:p>
    <w:p w:rsidR="00720B73" w:rsidRDefault="00720B73" w:rsidP="00661C24">
      <w:pPr>
        <w:jc w:val="both"/>
        <w:rPr>
          <w:rFonts w:ascii="Calibri" w:hAnsi="Calibri" w:cs="Calibri"/>
        </w:rPr>
      </w:pPr>
    </w:p>
    <w:p w:rsidR="00720B73" w:rsidRDefault="00720B73" w:rsidP="00661C24">
      <w:pPr>
        <w:jc w:val="both"/>
        <w:rPr>
          <w:rFonts w:ascii="Calibri" w:hAnsi="Calibri" w:cs="Calibri"/>
        </w:rPr>
      </w:pPr>
      <w:r>
        <w:rPr>
          <w:rFonts w:ascii="Calibri" w:hAnsi="Calibri" w:cs="Calibri"/>
        </w:rPr>
        <w:t>In considering the complexity of factors impacting on health, we believe that the key question in addressing the behavioural change question that is the focus of this paper is:</w:t>
      </w:r>
    </w:p>
    <w:p w:rsidR="00A42D2C" w:rsidRDefault="00A42D2C" w:rsidP="00661C24">
      <w:pPr>
        <w:jc w:val="both"/>
        <w:rPr>
          <w:rFonts w:ascii="Calibri" w:hAnsi="Calibri" w:cs="Calibri"/>
        </w:rPr>
      </w:pPr>
    </w:p>
    <w:p w:rsidR="00720B73" w:rsidRPr="00A42D2C" w:rsidRDefault="00720B73" w:rsidP="00720B73">
      <w:pPr>
        <w:ind w:left="284" w:right="284"/>
        <w:jc w:val="both"/>
        <w:rPr>
          <w:rFonts w:ascii="Calibri" w:hAnsi="Calibri" w:cs="Calibri"/>
        </w:rPr>
      </w:pPr>
      <w:r w:rsidRPr="00A42D2C">
        <w:rPr>
          <w:rFonts w:ascii="Calibri" w:hAnsi="Calibri" w:cs="Calibri"/>
        </w:rPr>
        <w:t xml:space="preserve">What works, for whom, in what </w:t>
      </w:r>
      <w:r w:rsidR="00A42D2C" w:rsidRPr="00A42D2C">
        <w:rPr>
          <w:rFonts w:ascii="Calibri" w:hAnsi="Calibri" w:cs="Calibri"/>
        </w:rPr>
        <w:t>circumstances, and for how long.</w:t>
      </w:r>
      <w:bookmarkStart w:id="11" w:name="_Ref284832128"/>
      <w:r w:rsidRPr="00A42D2C">
        <w:rPr>
          <w:rStyle w:val="EndnoteReference"/>
          <w:rFonts w:ascii="Calibri" w:hAnsi="Calibri" w:cs="Calibri"/>
        </w:rPr>
        <w:endnoteReference w:id="20"/>
      </w:r>
      <w:bookmarkEnd w:id="11"/>
      <w:r w:rsidR="001A05F5" w:rsidRPr="001A05F5">
        <w:rPr>
          <w:rFonts w:ascii="Calibri" w:hAnsi="Calibri" w:cs="Calibri"/>
          <w:vertAlign w:val="superscript"/>
        </w:rPr>
        <w:t>, p.</w:t>
      </w:r>
      <w:r w:rsidRPr="00A42D2C">
        <w:rPr>
          <w:rFonts w:ascii="Calibri" w:hAnsi="Calibri" w:cs="Calibri"/>
          <w:vertAlign w:val="superscript"/>
        </w:rPr>
        <w:t>2</w:t>
      </w:r>
      <w:r w:rsidR="002A78CA" w:rsidRPr="00A42D2C">
        <w:rPr>
          <w:rFonts w:ascii="Calibri" w:hAnsi="Calibri" w:cs="Calibri"/>
          <w:vertAlign w:val="superscript"/>
        </w:rPr>
        <w:t>64</w:t>
      </w:r>
    </w:p>
    <w:p w:rsidR="00720B73" w:rsidRDefault="00720B73" w:rsidP="00661C24">
      <w:pPr>
        <w:jc w:val="both"/>
        <w:rPr>
          <w:rFonts w:ascii="Calibri" w:hAnsi="Calibri" w:cs="Calibri"/>
        </w:rPr>
      </w:pPr>
    </w:p>
    <w:p w:rsidR="00443FFD" w:rsidRDefault="00443FFD" w:rsidP="00443FFD">
      <w:pPr>
        <w:jc w:val="both"/>
        <w:rPr>
          <w:rFonts w:asciiTheme="minorHAnsi" w:hAnsiTheme="minorHAnsi" w:cstheme="minorHAnsi"/>
        </w:rPr>
      </w:pPr>
      <w:r>
        <w:rPr>
          <w:rFonts w:asciiTheme="minorHAnsi" w:hAnsiTheme="minorHAnsi" w:cstheme="minorHAnsi"/>
        </w:rPr>
        <w:t>This also applie</w:t>
      </w:r>
      <w:r w:rsidR="00F452FA">
        <w:rPr>
          <w:rFonts w:asciiTheme="minorHAnsi" w:hAnsiTheme="minorHAnsi" w:cstheme="minorHAnsi"/>
        </w:rPr>
        <w:t>s</w:t>
      </w:r>
      <w:r>
        <w:rPr>
          <w:rFonts w:asciiTheme="minorHAnsi" w:hAnsiTheme="minorHAnsi" w:cstheme="minorHAnsi"/>
        </w:rPr>
        <w:t xml:space="preserve"> to the selection of the most applicable theories to guide intervention development and implementation.  There is: </w:t>
      </w:r>
    </w:p>
    <w:p w:rsidR="00207B24" w:rsidRDefault="00207B24" w:rsidP="00443FFD">
      <w:pPr>
        <w:jc w:val="both"/>
        <w:rPr>
          <w:rFonts w:asciiTheme="minorHAnsi" w:hAnsiTheme="minorHAnsi" w:cstheme="minorHAnsi"/>
        </w:rPr>
      </w:pPr>
    </w:p>
    <w:p w:rsidR="00443FFD" w:rsidRPr="00A42D2C" w:rsidRDefault="00443FFD" w:rsidP="00443FFD">
      <w:pPr>
        <w:ind w:left="284" w:right="284"/>
        <w:jc w:val="both"/>
        <w:rPr>
          <w:rFonts w:asciiTheme="minorHAnsi" w:hAnsiTheme="minorHAnsi" w:cstheme="minorHAnsi"/>
        </w:rPr>
      </w:pPr>
      <w:r w:rsidRPr="00A42D2C">
        <w:rPr>
          <w:rFonts w:asciiTheme="minorHAnsi" w:hAnsiTheme="minorHAnsi" w:cstheme="minorHAnsi"/>
        </w:rPr>
        <w:t xml:space="preserve">Increasing evidence </w:t>
      </w:r>
      <w:r w:rsidR="002B0020" w:rsidRPr="00A42D2C">
        <w:rPr>
          <w:rFonts w:asciiTheme="minorHAnsi" w:hAnsiTheme="minorHAnsi" w:cstheme="minorHAnsi"/>
        </w:rPr>
        <w:t>[to suggest]</w:t>
      </w:r>
      <w:r w:rsidRPr="00A42D2C">
        <w:rPr>
          <w:rFonts w:asciiTheme="minorHAnsi" w:hAnsiTheme="minorHAnsi" w:cstheme="minorHAnsi"/>
        </w:rPr>
        <w:t xml:space="preserve"> that public health and health-promotion interventions that are based on social and behavioural science theories are more effective than those lacking a theoretical bas</w:t>
      </w:r>
      <w:r w:rsidR="00A42D2C" w:rsidRPr="00A42D2C">
        <w:rPr>
          <w:rFonts w:asciiTheme="minorHAnsi" w:hAnsiTheme="minorHAnsi" w:cstheme="minorHAnsi"/>
        </w:rPr>
        <w:t>e.</w:t>
      </w:r>
      <w:r w:rsidRPr="00A42D2C">
        <w:rPr>
          <w:rStyle w:val="EndnoteReference"/>
          <w:rFonts w:asciiTheme="minorHAnsi" w:hAnsiTheme="minorHAnsi" w:cstheme="minorHAnsi"/>
        </w:rPr>
        <w:endnoteReference w:id="21"/>
      </w:r>
      <w:r w:rsidRPr="00A42D2C">
        <w:rPr>
          <w:rFonts w:asciiTheme="minorHAnsi" w:hAnsiTheme="minorHAnsi" w:cstheme="minorHAnsi"/>
          <w:vertAlign w:val="superscript"/>
        </w:rPr>
        <w:t xml:space="preserve">, p. 399  </w:t>
      </w:r>
    </w:p>
    <w:p w:rsidR="00443FFD" w:rsidRDefault="00443FFD" w:rsidP="00443FFD">
      <w:pPr>
        <w:jc w:val="both"/>
        <w:rPr>
          <w:rFonts w:asciiTheme="minorHAnsi" w:hAnsiTheme="minorHAnsi" w:cstheme="minorHAnsi"/>
          <w:highlight w:val="yellow"/>
        </w:rPr>
      </w:pPr>
    </w:p>
    <w:p w:rsidR="00AD1D41" w:rsidRDefault="00443FFD" w:rsidP="00443FFD">
      <w:pPr>
        <w:jc w:val="both"/>
        <w:rPr>
          <w:rFonts w:ascii="Calibri" w:hAnsi="Calibri" w:cs="Calibri"/>
        </w:rPr>
      </w:pPr>
      <w:r>
        <w:rPr>
          <w:rFonts w:ascii="Calibri" w:hAnsi="Calibri" w:cs="Calibri"/>
        </w:rPr>
        <w:t xml:space="preserve">We do not intend providing a comprehensive discussion of all possible theories; this type of analysis has been the subject of several texts and recent reports (see, for example, </w:t>
      </w:r>
      <w:r w:rsidRPr="00207B24">
        <w:rPr>
          <w:rStyle w:val="EndnoteReference"/>
          <w:rFonts w:ascii="Calibri" w:hAnsi="Calibri" w:cs="Calibri"/>
        </w:rPr>
        <w:endnoteReference w:id="22"/>
      </w:r>
      <w:r w:rsidR="00207B24" w:rsidRPr="00207B24">
        <w:rPr>
          <w:rFonts w:ascii="Calibri" w:hAnsi="Calibri" w:cs="Calibri"/>
          <w:vertAlign w:val="superscript"/>
        </w:rPr>
        <w:t xml:space="preserve">, </w:t>
      </w:r>
      <w:r w:rsidR="00207B24">
        <w:rPr>
          <w:rStyle w:val="EndnoteReference"/>
          <w:rFonts w:ascii="Calibri" w:hAnsi="Calibri" w:cs="Calibri"/>
        </w:rPr>
        <w:endnoteReference w:id="23"/>
      </w:r>
      <w:r w:rsidR="00C65CEA" w:rsidRPr="00C65CEA">
        <w:rPr>
          <w:rFonts w:ascii="Calibri" w:hAnsi="Calibri" w:cs="Calibri"/>
        </w:rPr>
        <w:t>)</w:t>
      </w:r>
      <w:r w:rsidR="00207B24">
        <w:rPr>
          <w:rFonts w:ascii="Calibri" w:hAnsi="Calibri" w:cs="Calibri"/>
        </w:rPr>
        <w:t xml:space="preserve">. We have selected a limited number of </w:t>
      </w:r>
      <w:r w:rsidR="00AD1D41">
        <w:rPr>
          <w:rFonts w:ascii="Calibri" w:hAnsi="Calibri" w:cs="Calibri"/>
        </w:rPr>
        <w:t xml:space="preserve"> social learning theories </w:t>
      </w:r>
      <w:r w:rsidR="00207B24">
        <w:rPr>
          <w:rFonts w:ascii="Calibri" w:hAnsi="Calibri" w:cs="Calibri"/>
        </w:rPr>
        <w:t xml:space="preserve">to </w:t>
      </w:r>
      <w:r w:rsidR="002A788E">
        <w:rPr>
          <w:rFonts w:ascii="Calibri" w:hAnsi="Calibri" w:cs="Calibri"/>
        </w:rPr>
        <w:t>illustrate</w:t>
      </w:r>
      <w:r w:rsidR="00AD1D41">
        <w:rPr>
          <w:rFonts w:ascii="Calibri" w:hAnsi="Calibri" w:cs="Calibri"/>
        </w:rPr>
        <w:t xml:space="preserve"> both the complexity of factors influencing behaviours and the way in which different disciplines can contribute to understanding the factors and using this knowledge to develop effective interventions.</w:t>
      </w:r>
      <w:r w:rsidR="00DB5AC1">
        <w:rPr>
          <w:rFonts w:ascii="Calibri" w:hAnsi="Calibri" w:cs="Calibri"/>
        </w:rPr>
        <w:t xml:space="preserve"> </w:t>
      </w:r>
    </w:p>
    <w:p w:rsidR="00DB5AC1" w:rsidRDefault="00DB5AC1" w:rsidP="00443FFD">
      <w:pPr>
        <w:jc w:val="both"/>
        <w:rPr>
          <w:rFonts w:ascii="Calibri" w:hAnsi="Calibri" w:cs="Calibri"/>
        </w:rPr>
      </w:pPr>
    </w:p>
    <w:p w:rsidR="002A788E" w:rsidRDefault="00A50E63" w:rsidP="007868B9">
      <w:pPr>
        <w:pStyle w:val="Heading3"/>
      </w:pPr>
      <w:bookmarkStart w:id="12" w:name="_Toc289256735"/>
      <w:r>
        <w:t xml:space="preserve">4.5 </w:t>
      </w:r>
      <w:r w:rsidR="007868B9">
        <w:t xml:space="preserve">Overview – </w:t>
      </w:r>
      <w:r w:rsidR="00DB5AC1">
        <w:t>s</w:t>
      </w:r>
      <w:r w:rsidR="007868B9">
        <w:t xml:space="preserve">elected </w:t>
      </w:r>
      <w:r w:rsidR="00DB5AC1">
        <w:t>t</w:t>
      </w:r>
      <w:r w:rsidR="007868B9">
        <w:t>heories</w:t>
      </w:r>
      <w:bookmarkEnd w:id="12"/>
    </w:p>
    <w:p w:rsidR="00B86E4C" w:rsidRDefault="00B86E4C" w:rsidP="000D53B7">
      <w:pPr>
        <w:jc w:val="both"/>
        <w:rPr>
          <w:rFonts w:ascii="Calibri" w:hAnsi="Calibri" w:cs="Calibri"/>
          <w:b/>
          <w:u w:val="single"/>
        </w:rPr>
      </w:pPr>
    </w:p>
    <w:p w:rsidR="002A788E" w:rsidRPr="005E2DCC" w:rsidRDefault="00C65CEA" w:rsidP="000D53B7">
      <w:pPr>
        <w:jc w:val="both"/>
        <w:rPr>
          <w:rFonts w:ascii="Calibri" w:hAnsi="Calibri" w:cs="Calibri"/>
          <w:b/>
        </w:rPr>
      </w:pPr>
      <w:r w:rsidRPr="00C65CEA">
        <w:rPr>
          <w:rFonts w:ascii="Calibri" w:hAnsi="Calibri" w:cs="Calibri"/>
          <w:b/>
        </w:rPr>
        <w:t>Social Cognitive Theory</w:t>
      </w:r>
      <w:r w:rsidR="002A788E" w:rsidRPr="005E2DCC">
        <w:rPr>
          <w:rFonts w:ascii="Calibri" w:hAnsi="Calibri" w:cs="Calibri"/>
          <w:b/>
        </w:rPr>
        <w:t xml:space="preserve"> (SCT)</w:t>
      </w:r>
    </w:p>
    <w:p w:rsidR="00AD1D41" w:rsidRDefault="00AD1D41" w:rsidP="000D53B7">
      <w:pPr>
        <w:jc w:val="both"/>
        <w:rPr>
          <w:rFonts w:ascii="Calibri" w:hAnsi="Calibri" w:cs="Calibri"/>
        </w:rPr>
      </w:pPr>
      <w:r w:rsidRPr="000D5FFC">
        <w:rPr>
          <w:rFonts w:ascii="Calibri" w:hAnsi="Calibri" w:cs="Calibri"/>
        </w:rPr>
        <w:t>SCT</w:t>
      </w:r>
      <w:r w:rsidR="002A788E" w:rsidRPr="000D5FFC">
        <w:rPr>
          <w:rStyle w:val="EndnoteReference"/>
          <w:rFonts w:ascii="Calibri" w:hAnsi="Calibri" w:cs="Calibri"/>
        </w:rPr>
        <w:endnoteReference w:id="24"/>
      </w:r>
      <w:r w:rsidR="002A788E" w:rsidRPr="000D5FFC">
        <w:rPr>
          <w:rFonts w:ascii="Calibri" w:hAnsi="Calibri" w:cs="Calibri"/>
          <w:vertAlign w:val="superscript"/>
        </w:rPr>
        <w:t>,</w:t>
      </w:r>
      <w:r w:rsidR="002A788E" w:rsidRPr="000D5FFC">
        <w:rPr>
          <w:rStyle w:val="EndnoteReference"/>
          <w:rFonts w:ascii="Calibri" w:hAnsi="Calibri" w:cs="Calibri"/>
        </w:rPr>
        <w:endnoteReference w:id="25"/>
      </w:r>
      <w:r w:rsidR="002A788E" w:rsidRPr="000D5FFC">
        <w:rPr>
          <w:rFonts w:ascii="Calibri" w:hAnsi="Calibri" w:cs="Calibri"/>
        </w:rPr>
        <w:t xml:space="preserve"> </w:t>
      </w:r>
      <w:r w:rsidRPr="000D5FFC">
        <w:rPr>
          <w:rFonts w:ascii="Calibri" w:hAnsi="Calibri" w:cs="Calibri"/>
        </w:rPr>
        <w:t xml:space="preserve"> proposes that behavioural, personal and environmental factors are reciprocal, interacting determinants of each other (reciprocal determinism), so changing one element has implications for the others (Figure</w:t>
      </w:r>
      <w:r w:rsidR="002A788E">
        <w:rPr>
          <w:rFonts w:ascii="Calibri" w:hAnsi="Calibri" w:cs="Calibri"/>
        </w:rPr>
        <w:t xml:space="preserve">  </w:t>
      </w:r>
      <w:r w:rsidR="0081481C">
        <w:rPr>
          <w:rFonts w:ascii="Calibri" w:hAnsi="Calibri" w:cs="Calibri"/>
        </w:rPr>
        <w:t>5</w:t>
      </w:r>
      <w:r w:rsidRPr="000D5FFC">
        <w:rPr>
          <w:rFonts w:ascii="Calibri" w:hAnsi="Calibri" w:cs="Calibri"/>
        </w:rPr>
        <w:t xml:space="preserve"> </w:t>
      </w:r>
      <w:r w:rsidR="002A788E">
        <w:rPr>
          <w:rFonts w:ascii="Calibri" w:hAnsi="Calibri" w:cs="Calibri"/>
        </w:rPr>
        <w:t xml:space="preserve">) </w:t>
      </w:r>
    </w:p>
    <w:p w:rsidR="002A788E" w:rsidRDefault="002A788E" w:rsidP="000D53B7">
      <w:pPr>
        <w:jc w:val="both"/>
        <w:rPr>
          <w:rFonts w:ascii="Calibri" w:hAnsi="Calibri" w:cs="Calibri"/>
        </w:rPr>
      </w:pPr>
    </w:p>
    <w:p w:rsidR="002A788E" w:rsidRPr="000D53B7" w:rsidRDefault="002A788E" w:rsidP="000D53B7">
      <w:pPr>
        <w:jc w:val="both"/>
        <w:rPr>
          <w:rFonts w:ascii="Calibri" w:hAnsi="Calibri" w:cs="Calibri"/>
          <w:b/>
        </w:rPr>
      </w:pPr>
      <w:r w:rsidRPr="000D53B7">
        <w:rPr>
          <w:rFonts w:ascii="Calibri" w:hAnsi="Calibri" w:cs="Calibri"/>
          <w:b/>
        </w:rPr>
        <w:t>Figure</w:t>
      </w:r>
      <w:r w:rsidR="00692B72" w:rsidRPr="000D53B7">
        <w:rPr>
          <w:rFonts w:ascii="Calibri" w:hAnsi="Calibri" w:cs="Calibri"/>
          <w:b/>
        </w:rPr>
        <w:t xml:space="preserve"> </w:t>
      </w:r>
      <w:r w:rsidR="0081481C">
        <w:rPr>
          <w:rFonts w:ascii="Calibri" w:hAnsi="Calibri" w:cs="Calibri"/>
          <w:b/>
        </w:rPr>
        <w:t>5</w:t>
      </w:r>
      <w:r w:rsidR="00B86E4C">
        <w:rPr>
          <w:rFonts w:ascii="Calibri" w:hAnsi="Calibri" w:cs="Calibri"/>
          <w:b/>
        </w:rPr>
        <w:t>:</w:t>
      </w:r>
      <w:r w:rsidRPr="000D53B7">
        <w:rPr>
          <w:rFonts w:ascii="Calibri" w:hAnsi="Calibri" w:cs="Calibri"/>
          <w:b/>
        </w:rPr>
        <w:t xml:space="preserve"> Social Cognitive Theory Components</w:t>
      </w:r>
    </w:p>
    <w:p w:rsidR="002A788E" w:rsidRDefault="002A788E" w:rsidP="000D53B7">
      <w:pPr>
        <w:jc w:val="both"/>
        <w:rPr>
          <w:rFonts w:ascii="Calibri" w:hAnsi="Calibri" w:cs="Calibri"/>
        </w:rPr>
      </w:pPr>
    </w:p>
    <w:p w:rsidR="00AD1D41" w:rsidRDefault="00002B71" w:rsidP="000D53B7">
      <w:pPr>
        <w:jc w:val="both"/>
        <w:rPr>
          <w:rFonts w:ascii="Calibri" w:hAnsi="Calibri" w:cs="Calibri"/>
        </w:rPr>
      </w:pPr>
      <w:r>
        <w:rPr>
          <w:rFonts w:ascii="Calibri" w:hAnsi="Calibri" w:cs="Calibri"/>
          <w:noProof/>
        </w:rPr>
        <w:pict>
          <v:group id="_x0000_s1156" style="position:absolute;left:0;text-align:left;margin-left:42pt;margin-top:2.45pt;width:333pt;height:165.6pt;z-index:251661312" coordorigin="2759,5959" coordsize="6660,3312">
            <v:shape id="_x0000_s1157" type="#_x0000_t202" style="position:absolute;left:2759;top:6139;width:1980;height:360" fillcolor="#cff" strokecolor="teal">
              <v:textbox style="mso-next-textbox:#_x0000_s1157">
                <w:txbxContent>
                  <w:p w:rsidR="002B3E5E" w:rsidRDefault="002B3E5E" w:rsidP="002A788E">
                    <w:pPr>
                      <w:pStyle w:val="BodyText3"/>
                    </w:pPr>
                    <w:r>
                      <w:t>BEHAVIOUR</w:t>
                    </w:r>
                  </w:p>
                  <w:p w:rsidR="002B3E5E" w:rsidRDefault="002B3E5E" w:rsidP="002A788E"/>
                </w:txbxContent>
              </v:textbox>
            </v:shape>
            <v:shape id="_x0000_s1158" type="#_x0000_t202" style="position:absolute;left:4559;top:8551;width:1980;height:720" fillcolor="#cff" strokecolor="teal">
              <v:textbox style="mso-next-textbox:#_x0000_s1158">
                <w:txbxContent>
                  <w:p w:rsidR="002B3E5E" w:rsidRDefault="002B3E5E" w:rsidP="002A788E">
                    <w:pPr>
                      <w:pStyle w:val="BodyText3"/>
                    </w:pPr>
                    <w:r>
                      <w:t>EXTERNAL ENVIRONMENT</w:t>
                    </w:r>
                  </w:p>
                  <w:p w:rsidR="002B3E5E" w:rsidRDefault="002B3E5E" w:rsidP="002A788E"/>
                </w:txbxContent>
              </v:textbox>
            </v:shape>
            <v:shape id="_x0000_s1159" type="#_x0000_t202" style="position:absolute;left:6719;top:5959;width:2700;height:900" fillcolor="#cff" strokecolor="teal">
              <v:textbox style="mso-next-textbox:#_x0000_s1159">
                <w:txbxContent>
                  <w:p w:rsidR="002B3E5E" w:rsidRDefault="002B3E5E" w:rsidP="002A788E">
                    <w:pPr>
                      <w:pStyle w:val="BodyText3"/>
                    </w:pPr>
                    <w:r>
                      <w:t>COGNITIVE AND OTHER PERSONAL FACTORS</w:t>
                    </w:r>
                  </w:p>
                  <w:p w:rsidR="002B3E5E" w:rsidRDefault="002B3E5E" w:rsidP="002A788E"/>
                </w:txbxContent>
              </v:textbox>
            </v:shape>
            <v:line id="_x0000_s1160" style="position:absolute" from="4739,6319" to="6719,6319" strokecolor="teal">
              <v:stroke startarrow="block" endarrow="block"/>
            </v:line>
            <v:line id="_x0000_s1161" style="position:absolute;flip:y" from="6539,6859" to="7439,8552" strokecolor="teal">
              <v:stroke startarrow="block" endarrow="block"/>
            </v:line>
            <v:line id="_x0000_s1162" style="position:absolute" from="3659,6499" to="4559,8552" strokecolor="teal">
              <v:stroke startarrow="block" endarrow="block"/>
            </v:line>
            <w10:wrap type="square"/>
          </v:group>
        </w:pict>
      </w:r>
    </w:p>
    <w:p w:rsidR="00AD1D41" w:rsidRDefault="00AD1D41" w:rsidP="000D53B7">
      <w:pPr>
        <w:jc w:val="both"/>
        <w:rPr>
          <w:rFonts w:ascii="Calibri" w:hAnsi="Calibri" w:cs="Calibri"/>
        </w:rPr>
      </w:pPr>
    </w:p>
    <w:p w:rsidR="002A788E" w:rsidRDefault="002A788E" w:rsidP="000D53B7">
      <w:pPr>
        <w:jc w:val="both"/>
        <w:rPr>
          <w:rFonts w:ascii="Calibri" w:hAnsi="Calibri" w:cs="Calibri"/>
        </w:rPr>
      </w:pPr>
    </w:p>
    <w:p w:rsidR="002A788E" w:rsidRDefault="002A788E" w:rsidP="000D53B7">
      <w:pPr>
        <w:jc w:val="both"/>
        <w:rPr>
          <w:rFonts w:ascii="Calibri" w:hAnsi="Calibri" w:cs="Calibri"/>
        </w:rPr>
      </w:pPr>
    </w:p>
    <w:p w:rsidR="002A788E" w:rsidRDefault="002A788E" w:rsidP="000D53B7">
      <w:pPr>
        <w:jc w:val="both"/>
        <w:rPr>
          <w:rFonts w:ascii="Calibri" w:hAnsi="Calibri" w:cs="Calibri"/>
        </w:rPr>
      </w:pPr>
    </w:p>
    <w:p w:rsidR="002A788E" w:rsidRDefault="002A788E" w:rsidP="000D53B7">
      <w:pPr>
        <w:jc w:val="both"/>
        <w:rPr>
          <w:rFonts w:ascii="Calibri" w:hAnsi="Calibri" w:cs="Calibri"/>
        </w:rPr>
      </w:pPr>
    </w:p>
    <w:p w:rsidR="002A788E" w:rsidRDefault="002A788E" w:rsidP="000D53B7">
      <w:pPr>
        <w:jc w:val="both"/>
        <w:rPr>
          <w:rFonts w:ascii="Calibri" w:hAnsi="Calibri" w:cs="Calibri"/>
        </w:rPr>
      </w:pPr>
    </w:p>
    <w:p w:rsidR="002A788E" w:rsidRDefault="002A788E" w:rsidP="000D53B7">
      <w:pPr>
        <w:jc w:val="both"/>
        <w:rPr>
          <w:rFonts w:ascii="Calibri" w:hAnsi="Calibri" w:cs="Calibri"/>
        </w:rPr>
      </w:pPr>
    </w:p>
    <w:p w:rsidR="002A788E" w:rsidRDefault="002A788E" w:rsidP="000D53B7">
      <w:pPr>
        <w:jc w:val="both"/>
        <w:rPr>
          <w:rFonts w:ascii="Calibri" w:hAnsi="Calibri" w:cs="Calibri"/>
        </w:rPr>
      </w:pPr>
    </w:p>
    <w:p w:rsidR="002A788E" w:rsidRDefault="002A788E" w:rsidP="000D53B7">
      <w:pPr>
        <w:jc w:val="both"/>
        <w:rPr>
          <w:rFonts w:ascii="Calibri" w:hAnsi="Calibri" w:cs="Calibri"/>
        </w:rPr>
      </w:pPr>
    </w:p>
    <w:p w:rsidR="002A788E" w:rsidRDefault="00C65CEA" w:rsidP="000D53B7">
      <w:pPr>
        <w:jc w:val="both"/>
        <w:rPr>
          <w:rStyle w:val="PageNumber"/>
          <w:rFonts w:ascii="Calibri" w:hAnsi="Calibri" w:cs="Calibri"/>
        </w:rPr>
      </w:pPr>
      <w:r w:rsidRPr="00C65CEA">
        <w:rPr>
          <w:rFonts w:ascii="Calibri" w:hAnsi="Calibri" w:cs="Calibri"/>
          <w:b/>
        </w:rPr>
        <w:lastRenderedPageBreak/>
        <w:t>Integrated Model of Behaviour Prediction and Change:</w:t>
      </w:r>
      <w:r w:rsidR="00DA34CE" w:rsidRPr="005E2DCC">
        <w:rPr>
          <w:rFonts w:ascii="Calibri" w:hAnsi="Calibri" w:cs="Calibri"/>
          <w:b/>
        </w:rPr>
        <w:t xml:space="preserve"> </w:t>
      </w:r>
      <w:r w:rsidR="002A788E">
        <w:rPr>
          <w:rFonts w:ascii="Calibri" w:hAnsi="Calibri" w:cs="Calibri"/>
        </w:rPr>
        <w:t xml:space="preserve">Related to </w:t>
      </w:r>
      <w:r w:rsidR="00DA34CE">
        <w:rPr>
          <w:rFonts w:ascii="Calibri" w:hAnsi="Calibri" w:cs="Calibri"/>
        </w:rPr>
        <w:t>SCT</w:t>
      </w:r>
      <w:r w:rsidR="002A788E">
        <w:rPr>
          <w:rFonts w:ascii="Calibri" w:hAnsi="Calibri" w:cs="Calibri"/>
        </w:rPr>
        <w:t xml:space="preserve"> theory and reflecting ongoing development from, and extension of</w:t>
      </w:r>
      <w:r w:rsidR="002B0020">
        <w:rPr>
          <w:rFonts w:ascii="Calibri" w:hAnsi="Calibri" w:cs="Calibri"/>
        </w:rPr>
        <w:t>,</w:t>
      </w:r>
      <w:r w:rsidR="002A788E">
        <w:rPr>
          <w:rFonts w:ascii="Calibri" w:hAnsi="Calibri" w:cs="Calibri"/>
        </w:rPr>
        <w:t xml:space="preserve"> the widely used </w:t>
      </w:r>
      <w:r w:rsidR="002A788E" w:rsidRPr="000D5FFC">
        <w:rPr>
          <w:rStyle w:val="PageNumber"/>
          <w:rFonts w:ascii="Calibri" w:hAnsi="Calibri" w:cs="Calibri"/>
        </w:rPr>
        <w:t>Theory of Reasoned Action</w:t>
      </w:r>
      <w:r w:rsidR="002A788E" w:rsidRPr="000D5FFC">
        <w:rPr>
          <w:rFonts w:ascii="Calibri" w:hAnsi="Calibri" w:cs="Calibri"/>
        </w:rPr>
        <w:t xml:space="preserve"> (TRA)</w:t>
      </w:r>
      <w:r w:rsidR="002A788E" w:rsidRPr="000D5FFC">
        <w:rPr>
          <w:rStyle w:val="EndnoteReference"/>
          <w:rFonts w:ascii="Calibri" w:hAnsi="Calibri" w:cs="Calibri"/>
        </w:rPr>
        <w:endnoteReference w:id="26"/>
      </w:r>
      <w:r w:rsidR="002A788E" w:rsidRPr="000D5FFC">
        <w:rPr>
          <w:rFonts w:ascii="Calibri" w:hAnsi="Calibri" w:cs="Calibri"/>
          <w:vertAlign w:val="superscript"/>
        </w:rPr>
        <w:t>,</w:t>
      </w:r>
      <w:r w:rsidR="002A788E" w:rsidRPr="000D5FFC">
        <w:rPr>
          <w:rStyle w:val="EndnoteReference"/>
          <w:rFonts w:ascii="Calibri" w:hAnsi="Calibri" w:cs="Calibri"/>
        </w:rPr>
        <w:endnoteReference w:id="27"/>
      </w:r>
      <w:r w:rsidR="002A788E" w:rsidRPr="000D5FFC">
        <w:rPr>
          <w:rFonts w:ascii="Calibri" w:hAnsi="Calibri" w:cs="Calibri"/>
        </w:rPr>
        <w:t xml:space="preserve"> </w:t>
      </w:r>
      <w:r w:rsidR="002A788E" w:rsidRPr="000D5FFC">
        <w:rPr>
          <w:rStyle w:val="PageNumber"/>
          <w:rFonts w:ascii="Calibri" w:hAnsi="Calibri" w:cs="Calibri"/>
        </w:rPr>
        <w:t>and its successor the Theory of Planned Behaviour</w:t>
      </w:r>
      <w:r w:rsidR="002A788E" w:rsidRPr="000D5FFC">
        <w:rPr>
          <w:rStyle w:val="EndnoteReference"/>
          <w:rFonts w:ascii="Calibri" w:hAnsi="Calibri" w:cs="Calibri"/>
        </w:rPr>
        <w:t xml:space="preserve"> </w:t>
      </w:r>
      <w:r w:rsidR="002A788E" w:rsidRPr="000D5FFC">
        <w:rPr>
          <w:rFonts w:ascii="Calibri" w:hAnsi="Calibri" w:cs="Calibri"/>
        </w:rPr>
        <w:t>(TPB)</w:t>
      </w:r>
      <w:r w:rsidR="002A788E" w:rsidRPr="000D5FFC">
        <w:rPr>
          <w:rStyle w:val="EndnoteReference"/>
          <w:rFonts w:ascii="Calibri" w:hAnsi="Calibri" w:cs="Calibri"/>
        </w:rPr>
        <w:endnoteReference w:id="28"/>
      </w:r>
      <w:r w:rsidR="002B0020">
        <w:rPr>
          <w:rFonts w:ascii="Calibri" w:hAnsi="Calibri" w:cs="Calibri"/>
        </w:rPr>
        <w:t>,</w:t>
      </w:r>
      <w:r w:rsidR="00DA34CE" w:rsidRPr="00DA34CE">
        <w:rPr>
          <w:rStyle w:val="PageNumber"/>
          <w:rFonts w:ascii="Calibri" w:hAnsi="Calibri" w:cs="Calibri"/>
        </w:rPr>
        <w:t xml:space="preserve"> </w:t>
      </w:r>
      <w:r w:rsidR="00DA34CE">
        <w:rPr>
          <w:rStyle w:val="PageNumber"/>
          <w:rFonts w:ascii="Calibri" w:hAnsi="Calibri" w:cs="Calibri"/>
        </w:rPr>
        <w:t xml:space="preserve">is the more complex Integrative Model of Behaviour Prediction and Change (IM) shown in </w:t>
      </w:r>
      <w:r w:rsidR="001A05F5">
        <w:rPr>
          <w:rStyle w:val="PageNumber"/>
          <w:rFonts w:ascii="Calibri" w:hAnsi="Calibri" w:cs="Calibri"/>
        </w:rPr>
        <w:t>F</w:t>
      </w:r>
      <w:r w:rsidR="00DA34CE">
        <w:rPr>
          <w:rStyle w:val="PageNumber"/>
          <w:rFonts w:ascii="Calibri" w:hAnsi="Calibri" w:cs="Calibri"/>
        </w:rPr>
        <w:t>igure</w:t>
      </w:r>
      <w:r w:rsidR="001A05F5">
        <w:rPr>
          <w:rStyle w:val="PageNumber"/>
          <w:rFonts w:ascii="Calibri" w:hAnsi="Calibri" w:cs="Calibri"/>
        </w:rPr>
        <w:t xml:space="preserve"> 6</w:t>
      </w:r>
      <w:r w:rsidR="00DA34CE" w:rsidRPr="000D5FFC">
        <w:rPr>
          <w:rStyle w:val="PageNumber"/>
          <w:rFonts w:ascii="Calibri" w:hAnsi="Calibri" w:cs="Calibri"/>
        </w:rPr>
        <w:t>.</w:t>
      </w:r>
      <w:r w:rsidR="00DA34CE">
        <w:rPr>
          <w:rStyle w:val="PageNumber"/>
          <w:rFonts w:ascii="Calibri" w:hAnsi="Calibri" w:cs="Calibri"/>
        </w:rPr>
        <w:t xml:space="preserve"> </w:t>
      </w:r>
      <w:r w:rsidR="002A788E">
        <w:rPr>
          <w:rStyle w:val="PageNumber"/>
          <w:rFonts w:ascii="Calibri" w:hAnsi="Calibri" w:cs="Calibri"/>
        </w:rPr>
        <w:t xml:space="preserve">This Model </w:t>
      </w:r>
      <w:r w:rsidR="00DA34CE">
        <w:rPr>
          <w:rFonts w:ascii="Calibri" w:hAnsi="Calibri" w:cs="Calibri"/>
        </w:rPr>
        <w:t>s</w:t>
      </w:r>
      <w:r w:rsidR="002A788E">
        <w:rPr>
          <w:rFonts w:ascii="Calibri" w:hAnsi="Calibri" w:cs="Calibri"/>
        </w:rPr>
        <w:t xml:space="preserve">hares many attributes of its predecessor in </w:t>
      </w:r>
      <w:r w:rsidR="002A788E" w:rsidRPr="000D5FFC">
        <w:rPr>
          <w:rStyle w:val="PageNumber"/>
          <w:rFonts w:ascii="Calibri" w:hAnsi="Calibri" w:cs="Calibri"/>
        </w:rPr>
        <w:t>explain</w:t>
      </w:r>
      <w:r w:rsidR="002A788E">
        <w:rPr>
          <w:rStyle w:val="PageNumber"/>
          <w:rFonts w:ascii="Calibri" w:hAnsi="Calibri" w:cs="Calibri"/>
        </w:rPr>
        <w:t>ing</w:t>
      </w:r>
      <w:r w:rsidR="002A788E" w:rsidRPr="000D5FFC">
        <w:rPr>
          <w:rStyle w:val="PageNumber"/>
          <w:rFonts w:ascii="Calibri" w:hAnsi="Calibri" w:cs="Calibri"/>
        </w:rPr>
        <w:t xml:space="preserve"> behaviour change as the outcome of behavioural intention, and behavioural intention as the outcome of social norms and an individual’s attitude to the behaviour</w:t>
      </w:r>
      <w:r w:rsidR="002B0020">
        <w:rPr>
          <w:rStyle w:val="PageNumber"/>
          <w:rFonts w:ascii="Calibri" w:hAnsi="Calibri" w:cs="Calibri"/>
        </w:rPr>
        <w:t xml:space="preserve"> in question</w:t>
      </w:r>
      <w:r w:rsidR="002A788E" w:rsidRPr="000D5FFC">
        <w:rPr>
          <w:rStyle w:val="PageNumber"/>
          <w:rFonts w:ascii="Calibri" w:hAnsi="Calibri" w:cs="Calibri"/>
        </w:rPr>
        <w:t xml:space="preserve">. </w:t>
      </w:r>
      <w:r w:rsidR="00F3562E">
        <w:rPr>
          <w:rStyle w:val="PageNumber"/>
          <w:rFonts w:ascii="Calibri" w:hAnsi="Calibri" w:cs="Calibri"/>
        </w:rPr>
        <w:t>T</w:t>
      </w:r>
      <w:r w:rsidR="002A788E" w:rsidRPr="000D5FFC">
        <w:rPr>
          <w:rStyle w:val="PageNumber"/>
          <w:rFonts w:ascii="Calibri" w:hAnsi="Calibri" w:cs="Calibri"/>
        </w:rPr>
        <w:t>he element of perceived behavioural control (PBC) account</w:t>
      </w:r>
      <w:r w:rsidR="00A72256">
        <w:rPr>
          <w:rStyle w:val="PageNumber"/>
          <w:rFonts w:ascii="Calibri" w:hAnsi="Calibri" w:cs="Calibri"/>
        </w:rPr>
        <w:t>s</w:t>
      </w:r>
      <w:r w:rsidR="002A788E" w:rsidRPr="000D5FFC">
        <w:rPr>
          <w:rStyle w:val="PageNumber"/>
          <w:rFonts w:ascii="Calibri" w:hAnsi="Calibri" w:cs="Calibri"/>
        </w:rPr>
        <w:t xml:space="preserve"> for variance in behaviours with incomplete volitional control i.e. where individual’s lack complete control of the behaviour</w:t>
      </w:r>
      <w:r w:rsidR="00A72256">
        <w:rPr>
          <w:rStyle w:val="PageNumber"/>
          <w:rFonts w:ascii="Calibri" w:hAnsi="Calibri" w:cs="Calibri"/>
        </w:rPr>
        <w:t xml:space="preserve"> and are therefore unable to change behaviours</w:t>
      </w:r>
      <w:r w:rsidR="002A788E" w:rsidRPr="000D5FFC">
        <w:rPr>
          <w:rStyle w:val="PageNumber"/>
          <w:rFonts w:ascii="Calibri" w:hAnsi="Calibri" w:cs="Calibri"/>
        </w:rPr>
        <w:t>.</w:t>
      </w:r>
    </w:p>
    <w:p w:rsidR="00F3562E" w:rsidRDefault="00F3562E" w:rsidP="000D53B7">
      <w:pPr>
        <w:jc w:val="both"/>
        <w:rPr>
          <w:rStyle w:val="PageNumber"/>
          <w:rFonts w:ascii="Calibri" w:hAnsi="Calibri" w:cs="Calibri"/>
        </w:rPr>
      </w:pPr>
    </w:p>
    <w:p w:rsidR="00207B24" w:rsidRDefault="00F3562E" w:rsidP="005F1B78">
      <w:pPr>
        <w:jc w:val="both"/>
        <w:rPr>
          <w:rFonts w:asciiTheme="minorHAnsi" w:hAnsiTheme="minorHAnsi"/>
        </w:rPr>
      </w:pPr>
      <w:r>
        <w:rPr>
          <w:rStyle w:val="PageNumber"/>
          <w:rFonts w:ascii="Calibri" w:hAnsi="Calibri" w:cs="Calibri"/>
        </w:rPr>
        <w:t xml:space="preserve">The Integrative Model places more stress on the influence of background factors, including, importantly, the role of intervention activity and media exposure </w:t>
      </w:r>
      <w:r w:rsidR="00A72256">
        <w:rPr>
          <w:rStyle w:val="PageNumber"/>
          <w:rFonts w:ascii="Calibri" w:hAnsi="Calibri" w:cs="Calibri"/>
        </w:rPr>
        <w:t xml:space="preserve">(see later discussions of social networks, media and celebrity influences on health).  </w:t>
      </w:r>
      <w:r w:rsidR="00A96C20">
        <w:rPr>
          <w:rStyle w:val="PageNumber"/>
          <w:rFonts w:ascii="Calibri" w:hAnsi="Calibri" w:cs="Calibri"/>
        </w:rPr>
        <w:t xml:space="preserve"> A key contribution of research underpinning the effective use of this theory is that different population segments may be driven more strongly by attitudinal factors, normative influences or perceived self efficacy, i.e. ability to change behaviour and sustain the change</w:t>
      </w:r>
      <w:r w:rsidR="00A96C20">
        <w:rPr>
          <w:rStyle w:val="EndnoteReference"/>
          <w:rFonts w:ascii="Calibri" w:hAnsi="Calibri" w:cs="Calibri"/>
        </w:rPr>
        <w:endnoteReference w:id="29"/>
      </w:r>
      <w:r w:rsidR="00A96C20">
        <w:rPr>
          <w:rStyle w:val="PageNumber"/>
          <w:rFonts w:ascii="Calibri" w:hAnsi="Calibri" w:cs="Calibri"/>
        </w:rPr>
        <w:t>.   This indicates that very different intervention strategies may be needed for different population segments</w:t>
      </w:r>
      <w:r w:rsidR="00DD4F38" w:rsidRPr="002B0020">
        <w:rPr>
          <w:rStyle w:val="EndnoteReference"/>
          <w:rFonts w:ascii="Calibri" w:hAnsi="Calibri" w:cs="Calibri"/>
        </w:rPr>
        <w:endnoteReference w:id="30"/>
      </w:r>
      <w:r w:rsidR="00C65CEA" w:rsidRPr="00C65CEA">
        <w:rPr>
          <w:rStyle w:val="PageNumber"/>
          <w:rFonts w:ascii="Calibri" w:hAnsi="Calibri" w:cs="Calibri"/>
          <w:vertAlign w:val="superscript"/>
        </w:rPr>
        <w:t xml:space="preserve">, </w:t>
      </w:r>
      <w:r w:rsidR="00DD4F38" w:rsidRPr="002B0020">
        <w:rPr>
          <w:rStyle w:val="EndnoteReference"/>
          <w:rFonts w:ascii="Calibri" w:hAnsi="Calibri" w:cs="Calibri"/>
        </w:rPr>
        <w:endnoteReference w:id="31"/>
      </w:r>
      <w:r w:rsidR="00A96C20">
        <w:rPr>
          <w:rStyle w:val="PageNumber"/>
          <w:rFonts w:ascii="Calibri" w:hAnsi="Calibri" w:cs="Calibri"/>
        </w:rPr>
        <w:t>.</w:t>
      </w:r>
      <w:r w:rsidR="00207B24" w:rsidRPr="00207B24">
        <w:rPr>
          <w:rFonts w:asciiTheme="minorHAnsi" w:hAnsiTheme="minorHAnsi"/>
        </w:rPr>
        <w:t xml:space="preserve"> </w:t>
      </w:r>
    </w:p>
    <w:p w:rsidR="00207B24" w:rsidRDefault="00207B24" w:rsidP="00207B24">
      <w:pPr>
        <w:rPr>
          <w:rFonts w:asciiTheme="minorHAnsi" w:hAnsiTheme="minorHAnsi"/>
        </w:rPr>
      </w:pPr>
    </w:p>
    <w:p w:rsidR="00207B24" w:rsidRPr="00A836F4" w:rsidRDefault="00207B24" w:rsidP="00207B24">
      <w:pPr>
        <w:rPr>
          <w:rFonts w:asciiTheme="minorHAnsi" w:hAnsiTheme="minorHAnsi"/>
        </w:rPr>
      </w:pPr>
      <w:r>
        <w:rPr>
          <w:rFonts w:asciiTheme="minorHAnsi" w:hAnsiTheme="minorHAnsi"/>
        </w:rPr>
        <w:t xml:space="preserve">Further considerations illustrated by this model are the </w:t>
      </w:r>
      <w:r w:rsidRPr="00A836F4">
        <w:rPr>
          <w:rFonts w:asciiTheme="minorHAnsi" w:hAnsiTheme="minorHAnsi"/>
        </w:rPr>
        <w:t>relative importance of attitude, perceived norms and self-efficacy:</w:t>
      </w:r>
    </w:p>
    <w:p w:rsidR="00FB1195" w:rsidRDefault="00FB1195" w:rsidP="00207B24">
      <w:pPr>
        <w:rPr>
          <w:rFonts w:asciiTheme="minorHAnsi" w:hAnsiTheme="minorHAnsi"/>
        </w:rPr>
      </w:pPr>
    </w:p>
    <w:p w:rsidR="00207B24" w:rsidRPr="00A42D2C" w:rsidRDefault="00207B24" w:rsidP="00FB1195">
      <w:pPr>
        <w:ind w:left="284" w:right="284"/>
        <w:rPr>
          <w:rFonts w:asciiTheme="minorHAnsi" w:hAnsiTheme="minorHAnsi"/>
        </w:rPr>
      </w:pPr>
      <w:r w:rsidRPr="00A42D2C">
        <w:rPr>
          <w:rFonts w:asciiTheme="minorHAnsi" w:hAnsiTheme="minorHAnsi"/>
          <w:iCs/>
        </w:rPr>
        <w:t>The relative importance of these psychosocial variables as determinants of intention will depend upon both the behaviour and the population being considered</w:t>
      </w:r>
      <w:r w:rsidR="003C2DC5" w:rsidRPr="00A42D2C">
        <w:rPr>
          <w:rFonts w:asciiTheme="minorHAnsi" w:hAnsiTheme="minorHAnsi"/>
        </w:rPr>
        <w:t>.</w:t>
      </w:r>
      <w:r w:rsidRPr="00A42D2C">
        <w:rPr>
          <w:rFonts w:asciiTheme="minorHAnsi" w:hAnsiTheme="minorHAnsi"/>
        </w:rPr>
        <w:t xml:space="preserve"> </w:t>
      </w:r>
    </w:p>
    <w:p w:rsidR="003C2DC5" w:rsidRPr="00A42D2C" w:rsidRDefault="003C2DC5" w:rsidP="00FB1195">
      <w:pPr>
        <w:ind w:left="284" w:right="284"/>
        <w:rPr>
          <w:rFonts w:asciiTheme="minorHAnsi" w:hAnsiTheme="minorHAnsi"/>
        </w:rPr>
      </w:pPr>
    </w:p>
    <w:p w:rsidR="003C2DC5" w:rsidRPr="00A42D2C" w:rsidRDefault="003C2DC5" w:rsidP="003C2DC5">
      <w:pPr>
        <w:jc w:val="center"/>
        <w:rPr>
          <w:rFonts w:asciiTheme="minorHAnsi" w:hAnsiTheme="minorHAnsi"/>
        </w:rPr>
      </w:pPr>
      <w:r w:rsidRPr="00A42D2C">
        <w:rPr>
          <w:rFonts w:asciiTheme="minorHAnsi" w:hAnsiTheme="minorHAnsi"/>
        </w:rPr>
        <w:t xml:space="preserve">and: </w:t>
      </w:r>
    </w:p>
    <w:p w:rsidR="003C2DC5" w:rsidRPr="00A42D2C" w:rsidRDefault="003C2DC5" w:rsidP="00207B24">
      <w:pPr>
        <w:rPr>
          <w:rFonts w:asciiTheme="minorHAnsi" w:hAnsiTheme="minorHAnsi"/>
        </w:rPr>
      </w:pPr>
    </w:p>
    <w:p w:rsidR="00207B24" w:rsidRPr="00A42D2C" w:rsidRDefault="00207B24" w:rsidP="00FB1195">
      <w:pPr>
        <w:ind w:left="284" w:right="284"/>
        <w:rPr>
          <w:rFonts w:asciiTheme="minorHAnsi" w:hAnsiTheme="minorHAnsi"/>
        </w:rPr>
      </w:pPr>
      <w:r w:rsidRPr="00A42D2C">
        <w:rPr>
          <w:rFonts w:asciiTheme="minorHAnsi" w:hAnsiTheme="minorHAnsi"/>
          <w:iCs/>
        </w:rPr>
        <w:t>one behaviour may be primarily determined by attitudinal considerations, whereas another m</w:t>
      </w:r>
      <w:r w:rsidR="003C2DC5" w:rsidRPr="00A42D2C">
        <w:rPr>
          <w:rFonts w:asciiTheme="minorHAnsi" w:hAnsiTheme="minorHAnsi"/>
          <w:iCs/>
        </w:rPr>
        <w:t>a</w:t>
      </w:r>
      <w:r w:rsidRPr="00A42D2C">
        <w:rPr>
          <w:rFonts w:asciiTheme="minorHAnsi" w:hAnsiTheme="minorHAnsi"/>
          <w:iCs/>
        </w:rPr>
        <w:t>y be primarily influenced by self-efficacy.  Similarly, a behaviour that is attitudinally driven in one population or culture may be normatively driven in another</w:t>
      </w:r>
      <w:r w:rsidR="00A42D2C" w:rsidRPr="00A42D2C">
        <w:rPr>
          <w:rFonts w:asciiTheme="minorHAnsi" w:hAnsiTheme="minorHAnsi"/>
        </w:rPr>
        <w:t>.</w:t>
      </w:r>
      <w:r w:rsidR="003C2DC5" w:rsidRPr="00A42D2C">
        <w:rPr>
          <w:rFonts w:asciiTheme="minorHAnsi" w:hAnsiTheme="minorHAnsi"/>
        </w:rPr>
        <w:t xml:space="preserve"> </w:t>
      </w:r>
      <w:bookmarkStart w:id="13" w:name="_Ref285706191"/>
      <w:r w:rsidR="003C2DC5" w:rsidRPr="00A42D2C">
        <w:rPr>
          <w:rStyle w:val="EndnoteReference"/>
          <w:rFonts w:asciiTheme="minorHAnsi" w:hAnsiTheme="minorHAnsi"/>
        </w:rPr>
        <w:endnoteReference w:id="32"/>
      </w:r>
      <w:bookmarkEnd w:id="13"/>
      <w:r w:rsidR="003C2DC5" w:rsidRPr="00A42D2C">
        <w:rPr>
          <w:rFonts w:asciiTheme="minorHAnsi" w:hAnsiTheme="minorHAnsi"/>
          <w:vertAlign w:val="superscript"/>
        </w:rPr>
        <w:t>, S3</w:t>
      </w:r>
      <w:r w:rsidRPr="00A42D2C">
        <w:rPr>
          <w:rFonts w:asciiTheme="minorHAnsi" w:hAnsiTheme="minorHAnsi"/>
        </w:rPr>
        <w:t xml:space="preserve"> </w:t>
      </w:r>
    </w:p>
    <w:p w:rsidR="00F3562E" w:rsidRDefault="00F3562E" w:rsidP="000D53B7">
      <w:pPr>
        <w:jc w:val="both"/>
        <w:rPr>
          <w:rFonts w:ascii="Calibri" w:hAnsi="Calibri" w:cs="Calibri"/>
        </w:rPr>
      </w:pPr>
    </w:p>
    <w:p w:rsidR="002A788E" w:rsidRDefault="002A788E" w:rsidP="000D53B7">
      <w:pPr>
        <w:jc w:val="both"/>
        <w:rPr>
          <w:rFonts w:ascii="Calibri" w:hAnsi="Calibri" w:cs="Calibri"/>
        </w:rPr>
      </w:pPr>
    </w:p>
    <w:p w:rsidR="000D53B7" w:rsidRDefault="000D53B7">
      <w:pPr>
        <w:rPr>
          <w:rFonts w:ascii="Calibri" w:hAnsi="Calibri" w:cs="Calibri"/>
        </w:rPr>
      </w:pPr>
    </w:p>
    <w:p w:rsidR="003C2DC5" w:rsidRDefault="003C2DC5">
      <w:pPr>
        <w:rPr>
          <w:rFonts w:ascii="Calibri" w:hAnsi="Calibri" w:cs="Calibri"/>
          <w:b/>
        </w:rPr>
      </w:pPr>
      <w:r>
        <w:rPr>
          <w:rFonts w:ascii="Calibri" w:hAnsi="Calibri" w:cs="Calibri"/>
          <w:b/>
        </w:rPr>
        <w:br w:type="page"/>
      </w:r>
    </w:p>
    <w:p w:rsidR="002A788E" w:rsidRDefault="002A788E" w:rsidP="000D53B7">
      <w:pPr>
        <w:jc w:val="both"/>
        <w:rPr>
          <w:rFonts w:ascii="Calibri" w:hAnsi="Calibri" w:cs="Calibri"/>
          <w:vertAlign w:val="superscript"/>
        </w:rPr>
      </w:pPr>
      <w:r w:rsidRPr="000D53B7">
        <w:rPr>
          <w:rFonts w:ascii="Calibri" w:hAnsi="Calibri" w:cs="Calibri"/>
          <w:b/>
        </w:rPr>
        <w:lastRenderedPageBreak/>
        <w:t xml:space="preserve">Figure </w:t>
      </w:r>
      <w:r w:rsidR="0081481C">
        <w:rPr>
          <w:rFonts w:ascii="Calibri" w:hAnsi="Calibri" w:cs="Calibri"/>
          <w:b/>
        </w:rPr>
        <w:t>6</w:t>
      </w:r>
      <w:r w:rsidR="00B86E4C">
        <w:rPr>
          <w:rFonts w:ascii="Calibri" w:hAnsi="Calibri" w:cs="Calibri"/>
          <w:b/>
        </w:rPr>
        <w:t>:</w:t>
      </w:r>
      <w:r w:rsidRPr="000D53B7">
        <w:rPr>
          <w:rFonts w:ascii="Calibri" w:hAnsi="Calibri" w:cs="Calibri"/>
          <w:b/>
        </w:rPr>
        <w:t xml:space="preserve"> Fishbein et al. Integrative Model of Behavio</w:t>
      </w:r>
      <w:r w:rsidR="0006116C">
        <w:rPr>
          <w:rFonts w:ascii="Calibri" w:hAnsi="Calibri" w:cs="Calibri"/>
          <w:b/>
        </w:rPr>
        <w:t>u</w:t>
      </w:r>
      <w:r w:rsidRPr="000D53B7">
        <w:rPr>
          <w:rFonts w:ascii="Calibri" w:hAnsi="Calibri" w:cs="Calibri"/>
          <w:b/>
        </w:rPr>
        <w:t>ral Prediction and Change</w:t>
      </w:r>
      <w:r w:rsidRPr="000D5FFC">
        <w:rPr>
          <w:rFonts w:ascii="Calibri" w:hAnsi="Calibri" w:cs="Calibri"/>
        </w:rPr>
        <w:t xml:space="preserve">  </w:t>
      </w:r>
      <w:r w:rsidRPr="000D53B7">
        <w:rPr>
          <w:rFonts w:ascii="Calibri" w:hAnsi="Calibri" w:cs="Calibri"/>
          <w:sz w:val="16"/>
        </w:rPr>
        <w:t>(</w:t>
      </w:r>
      <w:r w:rsidR="000D53B7" w:rsidRPr="000D53B7">
        <w:rPr>
          <w:rFonts w:ascii="Calibri" w:hAnsi="Calibri" w:cs="Calibri"/>
          <w:sz w:val="16"/>
        </w:rPr>
        <w:t xml:space="preserve">originally developed by </w:t>
      </w:r>
      <w:r w:rsidR="001A05F5">
        <w:rPr>
          <w:rFonts w:ascii="Calibri" w:hAnsi="Calibri" w:cs="Calibri"/>
          <w:sz w:val="16"/>
        </w:rPr>
        <w:t xml:space="preserve">Fishbein </w:t>
      </w:r>
      <w:r w:rsidRPr="000D53B7">
        <w:rPr>
          <w:rFonts w:ascii="Calibri" w:hAnsi="Calibri" w:cs="Calibri"/>
          <w:sz w:val="16"/>
        </w:rPr>
        <w:t xml:space="preserve"> – </w:t>
      </w:r>
      <w:r w:rsidR="001A05F5">
        <w:rPr>
          <w:rFonts w:ascii="Calibri" w:hAnsi="Calibri" w:cs="Calibri"/>
          <w:sz w:val="16"/>
        </w:rPr>
        <w:t xml:space="preserve"> </w:t>
      </w:r>
      <w:r w:rsidRPr="000D53B7">
        <w:rPr>
          <w:rFonts w:ascii="Calibri" w:hAnsi="Calibri" w:cs="Calibri"/>
          <w:sz w:val="16"/>
        </w:rPr>
        <w:t>and subsequently refined, for example, Fishbein &amp; Cappella</w:t>
      </w:r>
      <w:fldSimple w:instr=" NOTEREF _Ref285706191 \h  \* MERGEFORMAT ">
        <w:r w:rsidR="00CE6342" w:rsidRPr="00CE6342">
          <w:rPr>
            <w:rFonts w:ascii="Calibri" w:hAnsi="Calibri" w:cs="Calibri"/>
            <w:sz w:val="20"/>
            <w:szCs w:val="20"/>
            <w:vertAlign w:val="superscript"/>
          </w:rPr>
          <w:t>32</w:t>
        </w:r>
      </w:fldSimple>
    </w:p>
    <w:p w:rsidR="000D53B7" w:rsidRPr="000D5FFC" w:rsidRDefault="000D53B7" w:rsidP="000D53B7">
      <w:pPr>
        <w:jc w:val="both"/>
        <w:rPr>
          <w:rFonts w:ascii="Calibri" w:hAnsi="Calibri" w:cs="Calibri"/>
        </w:rPr>
      </w:pPr>
    </w:p>
    <w:p w:rsidR="002A788E" w:rsidRDefault="00002B71" w:rsidP="000D53B7">
      <w:pPr>
        <w:jc w:val="both"/>
        <w:rPr>
          <w:rFonts w:asciiTheme="majorHAnsi" w:eastAsiaTheme="majorEastAsia" w:hAnsiTheme="majorHAnsi" w:cstheme="majorBidi"/>
          <w:b/>
          <w:bCs/>
          <w:sz w:val="26"/>
          <w:szCs w:val="26"/>
        </w:rPr>
      </w:pPr>
      <w:r w:rsidRPr="00002B71">
        <w:rPr>
          <w:rFonts w:ascii="Calibri" w:hAnsi="Calibri" w:cs="Calibri"/>
          <w:lang w:val="en-US"/>
        </w:rPr>
      </w:r>
      <w:r w:rsidRPr="00002B71">
        <w:rPr>
          <w:rFonts w:ascii="Calibri" w:hAnsi="Calibri" w:cs="Calibri"/>
          <w:lang w:val="en-US"/>
        </w:rPr>
        <w:pict>
          <v:group id="_x0000_s1126" editas="canvas" style="width:476.8pt;height:281.9pt;mso-position-horizontal-relative:char;mso-position-vertical-relative:line" coordorigin="2991,6652" coordsize="8293,501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7" type="#_x0000_t75" style="position:absolute;left:2991;top:6652;width:8293;height:5012" o:preferrelative="f">
              <v:fill o:detectmouseclick="t"/>
              <v:path o:extrusionok="t" o:connecttype="none"/>
              <o:lock v:ext="edit" text="t"/>
            </v:shape>
            <v:shape id="_x0000_s1128" type="#_x0000_t202" style="position:absolute;left:3262;top:6652;width:1983;height:4781" fillcolor="#8db3e2 [1311]">
              <v:textbox style="mso-next-textbox:#_x0000_s1128">
                <w:txbxContent>
                  <w:p w:rsidR="002B3E5E" w:rsidRPr="00FB564E" w:rsidRDefault="002B3E5E" w:rsidP="002A788E">
                    <w:pPr>
                      <w:rPr>
                        <w:i/>
                        <w:sz w:val="20"/>
                        <w:szCs w:val="20"/>
                      </w:rPr>
                    </w:pPr>
                    <w:r w:rsidRPr="00FB564E">
                      <w:rPr>
                        <w:i/>
                        <w:sz w:val="20"/>
                        <w:szCs w:val="20"/>
                      </w:rPr>
                      <w:t>Background influence</w:t>
                    </w:r>
                  </w:p>
                </w:txbxContent>
              </v:textbox>
            </v:shape>
            <v:shape id="_x0000_s1129" type="#_x0000_t202" style="position:absolute;left:3513;top:7811;width:1565;height:573">
              <v:textbox style="mso-next-textbox:#_x0000_s1129">
                <w:txbxContent>
                  <w:p w:rsidR="002B3E5E" w:rsidRPr="00FB564E" w:rsidRDefault="002B3E5E" w:rsidP="002A788E">
                    <w:pPr>
                      <w:rPr>
                        <w:sz w:val="16"/>
                        <w:szCs w:val="16"/>
                      </w:rPr>
                    </w:pPr>
                    <w:r w:rsidRPr="00FB564E">
                      <w:rPr>
                        <w:sz w:val="16"/>
                        <w:szCs w:val="16"/>
                      </w:rPr>
                      <w:t>Demographic</w:t>
                    </w:r>
                    <w:r>
                      <w:rPr>
                        <w:sz w:val="16"/>
                        <w:szCs w:val="16"/>
                      </w:rPr>
                      <w:t>s &amp; culture</w:t>
                    </w:r>
                  </w:p>
                </w:txbxContent>
              </v:textbox>
            </v:shape>
            <v:shape id="_x0000_s1130" type="#_x0000_t202" style="position:absolute;left:3513;top:8391;width:1565;height:640">
              <v:textbox style="mso-next-textbox:#_x0000_s1130">
                <w:txbxContent>
                  <w:p w:rsidR="002B3E5E" w:rsidRPr="00FB564E" w:rsidRDefault="002B3E5E" w:rsidP="002A788E">
                    <w:pPr>
                      <w:rPr>
                        <w:sz w:val="16"/>
                        <w:szCs w:val="16"/>
                      </w:rPr>
                    </w:pPr>
                    <w:r w:rsidRPr="00FB564E">
                      <w:rPr>
                        <w:sz w:val="16"/>
                        <w:szCs w:val="16"/>
                      </w:rPr>
                      <w:t>Attitudes towards targets (stereotypes &amp;</w:t>
                    </w:r>
                    <w:r>
                      <w:rPr>
                        <w:sz w:val="20"/>
                        <w:szCs w:val="20"/>
                      </w:rPr>
                      <w:t xml:space="preserve"> </w:t>
                    </w:r>
                    <w:r w:rsidRPr="00FB564E">
                      <w:rPr>
                        <w:sz w:val="16"/>
                        <w:szCs w:val="16"/>
                      </w:rPr>
                      <w:t>stigma</w:t>
                    </w:r>
                    <w:r>
                      <w:rPr>
                        <w:sz w:val="16"/>
                        <w:szCs w:val="16"/>
                      </w:rPr>
                      <w:t>)</w:t>
                    </w:r>
                  </w:p>
                </w:txbxContent>
              </v:textbox>
            </v:shape>
            <v:shape id="_x0000_s1131" type="#_x0000_t202" style="position:absolute;left:3513;top:8970;width:1564;height:580">
              <v:textbox style="mso-next-textbox:#_x0000_s1131">
                <w:txbxContent>
                  <w:p w:rsidR="002B3E5E" w:rsidRPr="00FB564E" w:rsidRDefault="002B3E5E" w:rsidP="002A788E">
                    <w:pPr>
                      <w:rPr>
                        <w:sz w:val="16"/>
                        <w:szCs w:val="16"/>
                      </w:rPr>
                    </w:pPr>
                    <w:r w:rsidRPr="00FB564E">
                      <w:rPr>
                        <w:sz w:val="16"/>
                        <w:szCs w:val="16"/>
                      </w:rPr>
                      <w:t xml:space="preserve">Personality </w:t>
                    </w:r>
                    <w:r>
                      <w:rPr>
                        <w:sz w:val="16"/>
                        <w:szCs w:val="16"/>
                      </w:rPr>
                      <w:t>Moods and emotions</w:t>
                    </w:r>
                  </w:p>
                </w:txbxContent>
              </v:textbox>
            </v:shape>
            <v:shape id="_x0000_s1132" type="#_x0000_t202" style="position:absolute;left:5600;top:7376;width:1253;height:1020" fillcolor="yellow">
              <v:textbox style="mso-next-textbox:#_x0000_s1132">
                <w:txbxContent>
                  <w:p w:rsidR="002B3E5E" w:rsidRPr="00FF705C" w:rsidRDefault="002B3E5E" w:rsidP="002A788E">
                    <w:pPr>
                      <w:rPr>
                        <w:sz w:val="16"/>
                        <w:szCs w:val="16"/>
                      </w:rPr>
                    </w:pPr>
                    <w:r w:rsidRPr="00FF705C">
                      <w:rPr>
                        <w:sz w:val="16"/>
                        <w:szCs w:val="16"/>
                      </w:rPr>
                      <w:t xml:space="preserve">Behavioural Beliefs </w:t>
                    </w:r>
                  </w:p>
                  <w:p w:rsidR="002B3E5E" w:rsidRPr="00FF705C" w:rsidRDefault="002B3E5E" w:rsidP="002A788E">
                    <w:pPr>
                      <w:rPr>
                        <w:sz w:val="16"/>
                        <w:szCs w:val="16"/>
                      </w:rPr>
                    </w:pPr>
                    <w:r w:rsidRPr="00FF705C">
                      <w:rPr>
                        <w:sz w:val="16"/>
                        <w:szCs w:val="16"/>
                      </w:rPr>
                      <w:t>and Outcome Evaluations</w:t>
                    </w:r>
                  </w:p>
                </w:txbxContent>
              </v:textbox>
            </v:shape>
            <v:shape id="_x0000_s1133" type="#_x0000_t202" style="position:absolute;left:7145;top:7612;width:939;height:480" fillcolor="#96f">
              <v:textbox style="mso-next-textbox:#_x0000_s1133">
                <w:txbxContent>
                  <w:p w:rsidR="002B3E5E" w:rsidRPr="00FF705C" w:rsidRDefault="002B3E5E" w:rsidP="002A788E">
                    <w:pPr>
                      <w:rPr>
                        <w:sz w:val="16"/>
                        <w:szCs w:val="16"/>
                      </w:rPr>
                    </w:pPr>
                    <w:r w:rsidRPr="00FF705C">
                      <w:rPr>
                        <w:sz w:val="16"/>
                        <w:szCs w:val="16"/>
                      </w:rPr>
                      <w:t>Attitude</w:t>
                    </w:r>
                  </w:p>
                </w:txbxContent>
              </v:textbox>
            </v:shape>
            <v:shape id="_x0000_s1134" type="#_x0000_t202" style="position:absolute;left:5600;top:8680;width:1253;height:1015" fillcolor="#ffc000">
              <v:textbox style="mso-next-textbox:#_x0000_s1134">
                <w:txbxContent>
                  <w:p w:rsidR="002B3E5E" w:rsidRPr="00FF705C" w:rsidRDefault="002B3E5E" w:rsidP="002A788E">
                    <w:pPr>
                      <w:rPr>
                        <w:sz w:val="16"/>
                        <w:szCs w:val="16"/>
                      </w:rPr>
                    </w:pPr>
                    <w:r w:rsidRPr="00FF705C">
                      <w:rPr>
                        <w:sz w:val="16"/>
                        <w:szCs w:val="16"/>
                      </w:rPr>
                      <w:t>Normative Beliefs and Motivation to Comply</w:t>
                    </w:r>
                  </w:p>
                </w:txbxContent>
              </v:textbox>
            </v:shape>
            <v:shape id="_x0000_s1135" type="#_x0000_t202" style="position:absolute;left:7145;top:8732;width:939;height:480" fillcolor="#06f">
              <v:textbox style="mso-next-textbox:#_x0000_s1135">
                <w:txbxContent>
                  <w:p w:rsidR="002B3E5E" w:rsidRPr="00FF705C" w:rsidRDefault="002B3E5E" w:rsidP="002A788E">
                    <w:pPr>
                      <w:rPr>
                        <w:sz w:val="16"/>
                        <w:szCs w:val="16"/>
                      </w:rPr>
                    </w:pPr>
                    <w:r w:rsidRPr="00FF705C">
                      <w:rPr>
                        <w:sz w:val="16"/>
                        <w:szCs w:val="16"/>
                      </w:rPr>
                      <w:t>Norm</w:t>
                    </w:r>
                  </w:p>
                </w:txbxContent>
              </v:textbox>
            </v:shape>
            <v:shape id="_x0000_s1136" type="#_x0000_t202" style="position:absolute;left:7145;top:9692;width:939;height:640" fillcolor="#ccc0d9 [1303]">
              <v:textbox style="mso-next-textbox:#_x0000_s1136">
                <w:txbxContent>
                  <w:p w:rsidR="002B3E5E" w:rsidRPr="00FF705C" w:rsidRDefault="002B3E5E" w:rsidP="002A788E">
                    <w:pPr>
                      <w:rPr>
                        <w:sz w:val="16"/>
                        <w:szCs w:val="16"/>
                      </w:rPr>
                    </w:pPr>
                    <w:r w:rsidRPr="00FF705C">
                      <w:rPr>
                        <w:sz w:val="16"/>
                        <w:szCs w:val="16"/>
                      </w:rPr>
                      <w:t>Self Efficacy</w:t>
                    </w:r>
                  </w:p>
                </w:txbxContent>
              </v:textbox>
            </v:shape>
            <v:shape id="_x0000_s1137" type="#_x0000_t202" style="position:absolute;left:8397;top:8732;width:939;height:480" fillcolor="#eaf1dd [662]">
              <v:textbox style="mso-next-textbox:#_x0000_s1137">
                <w:txbxContent>
                  <w:p w:rsidR="002B3E5E" w:rsidRPr="009E681E" w:rsidRDefault="002B3E5E" w:rsidP="002A788E">
                    <w:pPr>
                      <w:rPr>
                        <w:sz w:val="20"/>
                        <w:szCs w:val="20"/>
                      </w:rPr>
                    </w:pPr>
                    <w:r w:rsidRPr="009E681E">
                      <w:rPr>
                        <w:sz w:val="20"/>
                        <w:szCs w:val="20"/>
                      </w:rPr>
                      <w:t>Intention</w:t>
                    </w:r>
                  </w:p>
                </w:txbxContent>
              </v:textbox>
            </v:shape>
            <v:shape id="_x0000_s1138" type="#_x0000_t202" style="position:absolute;left:8418;top:7811;width:1356;height:523" fillcolor="#9bbb59 [3206]">
              <v:textbox style="mso-next-textbox:#_x0000_s1138">
                <w:txbxContent>
                  <w:p w:rsidR="002B3E5E" w:rsidRPr="00FF705C" w:rsidRDefault="002B3E5E" w:rsidP="002A788E">
                    <w:pPr>
                      <w:rPr>
                        <w:sz w:val="16"/>
                        <w:szCs w:val="16"/>
                      </w:rPr>
                    </w:pPr>
                    <w:r>
                      <w:rPr>
                        <w:sz w:val="16"/>
                        <w:szCs w:val="16"/>
                      </w:rPr>
                      <w:t>Environmental factors</w:t>
                    </w:r>
                  </w:p>
                </w:txbxContent>
              </v:textbox>
            </v:shape>
            <v:shape id="_x0000_s1139" type="#_x0000_t202" style="position:absolute;left:5579;top:10012;width:1253;height:987" fillcolor="#d99594 [1941]">
              <v:textbox style="mso-next-textbox:#_x0000_s1139">
                <w:txbxContent>
                  <w:p w:rsidR="002B3E5E" w:rsidRPr="00FF705C" w:rsidRDefault="002B3E5E" w:rsidP="002A788E">
                    <w:pPr>
                      <w:rPr>
                        <w:sz w:val="16"/>
                        <w:szCs w:val="16"/>
                      </w:rPr>
                    </w:pPr>
                    <w:r w:rsidRPr="00FF705C">
                      <w:rPr>
                        <w:sz w:val="16"/>
                        <w:szCs w:val="16"/>
                      </w:rPr>
                      <w:t>Control Beliefs and Perceived Power</w:t>
                    </w:r>
                  </w:p>
                </w:txbxContent>
              </v:textbox>
            </v:shape>
            <v:shape id="_x0000_s1140" type="#_x0000_t202" style="position:absolute;left:8397;top:9736;width:1408;height:800" fillcolor="#fabf8f [1945]">
              <v:textbox style="mso-next-textbox:#_x0000_s1140">
                <w:txbxContent>
                  <w:p w:rsidR="002B3E5E" w:rsidRPr="00FF705C" w:rsidRDefault="002B3E5E" w:rsidP="002A788E">
                    <w:pPr>
                      <w:rPr>
                        <w:sz w:val="16"/>
                        <w:szCs w:val="16"/>
                      </w:rPr>
                    </w:pPr>
                    <w:r w:rsidRPr="00FF705C">
                      <w:rPr>
                        <w:sz w:val="16"/>
                        <w:szCs w:val="16"/>
                      </w:rPr>
                      <w:t>Skills and abilities</w:t>
                    </w:r>
                  </w:p>
                </w:txbxContent>
              </v:textbox>
            </v:shape>
            <v:line id="_x0000_s1141" style="position:absolute;flip:y" from="5266,8252" to="5579,9372">
              <v:stroke dashstyle="1 1" endarrow="block"/>
            </v:line>
            <v:line id="_x0000_s1142" style="position:absolute" from="5266,9372" to="5579,9372">
              <v:stroke dashstyle="1 1" endarrow="block"/>
            </v:line>
            <v:line id="_x0000_s1143" style="position:absolute" from="5266,9372" to="5579,10172">
              <v:stroke dashstyle="1 1" endarrow="block"/>
            </v:line>
            <v:line id="_x0000_s1144" style="position:absolute" from="6832,7772" to="7145,7772">
              <v:stroke endarrow="block"/>
            </v:line>
            <v:line id="_x0000_s1145" style="position:absolute" from="6832,9052" to="7145,9052">
              <v:stroke endarrow="block"/>
            </v:line>
            <v:line id="_x0000_s1146" style="position:absolute" from="6832,10172" to="7145,10172">
              <v:stroke endarrow="block"/>
            </v:line>
            <v:line id="_x0000_s1147" style="position:absolute" from="8084,9052" to="8397,9052">
              <v:stroke endarrow="block"/>
            </v:line>
            <v:line id="_x0000_s1148" style="position:absolute;flip:y" from="8084,9052" to="8397,10172">
              <v:stroke endarrow="block"/>
            </v:line>
            <v:line id="_x0000_s1149" style="position:absolute" from="8084,7772" to="8397,9052">
              <v:stroke endarrow="block"/>
            </v:line>
            <v:shape id="_x0000_s1150" type="#_x0000_t202" style="position:absolute;left:3513;top:7232;width:1565;height:579">
              <v:textbox style="mso-next-textbox:#_x0000_s1150">
                <w:txbxContent>
                  <w:p w:rsidR="002B3E5E" w:rsidRPr="00FB564E" w:rsidRDefault="002B3E5E" w:rsidP="002A788E">
                    <w:pPr>
                      <w:rPr>
                        <w:sz w:val="16"/>
                        <w:szCs w:val="16"/>
                      </w:rPr>
                    </w:pPr>
                    <w:r w:rsidRPr="00FB564E">
                      <w:rPr>
                        <w:sz w:val="16"/>
                        <w:szCs w:val="16"/>
                      </w:rPr>
                      <w:t>Past behaviour</w:t>
                    </w:r>
                  </w:p>
                </w:txbxContent>
              </v:textbox>
            </v:shape>
            <v:shape id="_x0000_s1151" type="#_x0000_t202" style="position:absolute;left:3513;top:10274;width:1565;height:725">
              <v:textbox style="mso-next-textbox:#_x0000_s1151">
                <w:txbxContent>
                  <w:p w:rsidR="002B3E5E" w:rsidRPr="00FB564E" w:rsidRDefault="002B3E5E" w:rsidP="002A788E">
                    <w:pPr>
                      <w:rPr>
                        <w:sz w:val="16"/>
                        <w:szCs w:val="16"/>
                      </w:rPr>
                    </w:pPr>
                    <w:r w:rsidRPr="00FB564E">
                      <w:rPr>
                        <w:sz w:val="16"/>
                        <w:szCs w:val="16"/>
                      </w:rPr>
                      <w:t>Intervention exposure</w:t>
                    </w:r>
                    <w:r>
                      <w:t xml:space="preserve"> </w:t>
                    </w:r>
                    <w:r w:rsidRPr="00FB564E">
                      <w:rPr>
                        <w:sz w:val="16"/>
                        <w:szCs w:val="16"/>
                      </w:rPr>
                      <w:t>Media exposure</w:t>
                    </w:r>
                  </w:p>
                </w:txbxContent>
              </v:textbox>
            </v:shape>
            <v:shape id="_x0000_s1152" type="#_x0000_t202" style="position:absolute;left:3513;top:9550;width:1572;height:800">
              <v:textbox style="mso-next-textbox:#_x0000_s1152">
                <w:txbxContent>
                  <w:p w:rsidR="002B3E5E" w:rsidRPr="00FB564E" w:rsidRDefault="002B3E5E" w:rsidP="002A788E">
                    <w:pPr>
                      <w:rPr>
                        <w:sz w:val="16"/>
                        <w:szCs w:val="16"/>
                      </w:rPr>
                    </w:pPr>
                    <w:r w:rsidRPr="00FB564E">
                      <w:rPr>
                        <w:sz w:val="16"/>
                        <w:szCs w:val="16"/>
                      </w:rPr>
                      <w:t>Other individual difference variables (perceived risk)</w:t>
                    </w:r>
                  </w:p>
                </w:txbxContent>
              </v:textbox>
            </v:shape>
            <v:line id="_x0000_s1153" style="position:absolute" from="9357,8970" to="10296,8970">
              <v:stroke endarrow="block"/>
            </v:line>
            <v:line id="_x0000_s1154" style="position:absolute;flip:y" from="9774,8970" to="10087,9695">
              <v:stroke endarrow="block"/>
            </v:line>
            <v:line id="_x0000_s1155" style="position:absolute" from="9774,8101" to="10087,8970">
              <v:stroke endarrow="block"/>
            </v:line>
            <v:shape id="_x0000_s1179" type="#_x0000_t202" style="position:absolute;left:10296;top:8569;width:988;height:874" fillcolor="red">
              <v:textbox style="mso-next-textbox:#_x0000_s1179">
                <w:txbxContent>
                  <w:p w:rsidR="002B3E5E" w:rsidRDefault="002B3E5E" w:rsidP="003E3041">
                    <w:pPr>
                      <w:shd w:val="clear" w:color="auto" w:fill="FF3300"/>
                      <w:jc w:val="center"/>
                      <w:rPr>
                        <w:sz w:val="18"/>
                        <w:szCs w:val="18"/>
                      </w:rPr>
                    </w:pPr>
                  </w:p>
                  <w:p w:rsidR="002B3E5E" w:rsidRPr="003E3041" w:rsidRDefault="002B3E5E" w:rsidP="003E3041">
                    <w:pPr>
                      <w:shd w:val="clear" w:color="auto" w:fill="FF3300"/>
                      <w:jc w:val="center"/>
                      <w:rPr>
                        <w:b/>
                        <w:sz w:val="18"/>
                        <w:szCs w:val="18"/>
                      </w:rPr>
                    </w:pPr>
                    <w:r w:rsidRPr="003E3041">
                      <w:rPr>
                        <w:b/>
                        <w:sz w:val="18"/>
                        <w:szCs w:val="18"/>
                      </w:rPr>
                      <w:t>Behaviour</w:t>
                    </w:r>
                  </w:p>
                </w:txbxContent>
              </v:textbox>
            </v:shape>
            <w10:wrap type="none" side="left"/>
            <w10:anchorlock/>
          </v:group>
        </w:pict>
      </w:r>
    </w:p>
    <w:p w:rsidR="003E3041" w:rsidRDefault="003E3041" w:rsidP="005E2DCC">
      <w:pPr>
        <w:jc w:val="both"/>
        <w:rPr>
          <w:rFonts w:asciiTheme="minorHAnsi" w:hAnsiTheme="minorHAnsi"/>
        </w:rPr>
      </w:pPr>
    </w:p>
    <w:p w:rsidR="003E3041" w:rsidRPr="003E3041" w:rsidRDefault="003E3041" w:rsidP="005E2DCC">
      <w:pPr>
        <w:jc w:val="both"/>
        <w:rPr>
          <w:rFonts w:asciiTheme="minorHAnsi" w:hAnsiTheme="minorHAnsi"/>
          <w:b/>
        </w:rPr>
      </w:pPr>
      <w:r w:rsidRPr="003E3041">
        <w:rPr>
          <w:rFonts w:asciiTheme="minorHAnsi" w:hAnsiTheme="minorHAnsi"/>
          <w:b/>
        </w:rPr>
        <w:t>Tria</w:t>
      </w:r>
      <w:r>
        <w:rPr>
          <w:rFonts w:asciiTheme="minorHAnsi" w:hAnsiTheme="minorHAnsi"/>
          <w:b/>
        </w:rPr>
        <w:t>n</w:t>
      </w:r>
      <w:r w:rsidRPr="003E3041">
        <w:rPr>
          <w:rFonts w:asciiTheme="minorHAnsi" w:hAnsiTheme="minorHAnsi"/>
          <w:b/>
        </w:rPr>
        <w:t>dis’ Model of Interpersonal Behavio</w:t>
      </w:r>
      <w:r w:rsidR="0006116C">
        <w:rPr>
          <w:rFonts w:asciiTheme="minorHAnsi" w:hAnsiTheme="minorHAnsi"/>
          <w:b/>
        </w:rPr>
        <w:t>u</w:t>
      </w:r>
      <w:r w:rsidRPr="003E3041">
        <w:rPr>
          <w:rFonts w:asciiTheme="minorHAnsi" w:hAnsiTheme="minorHAnsi"/>
          <w:b/>
        </w:rPr>
        <w:t>r</w:t>
      </w:r>
    </w:p>
    <w:p w:rsidR="005E2DCC" w:rsidRDefault="005E2DCC" w:rsidP="005E2DCC">
      <w:pPr>
        <w:jc w:val="both"/>
        <w:rPr>
          <w:rFonts w:asciiTheme="minorHAnsi" w:hAnsiTheme="minorHAnsi"/>
        </w:rPr>
      </w:pPr>
      <w:r w:rsidRPr="00990959">
        <w:rPr>
          <w:rFonts w:asciiTheme="minorHAnsi" w:hAnsiTheme="minorHAnsi"/>
        </w:rPr>
        <w:t>Triandis proposed a framework in which affective factors were shown as impacting on behaviours</w:t>
      </w:r>
      <w:r w:rsidRPr="00990959">
        <w:rPr>
          <w:rStyle w:val="EndnoteReference"/>
          <w:rFonts w:asciiTheme="minorHAnsi" w:eastAsia="Cambria" w:hAnsiTheme="minorHAnsi"/>
        </w:rPr>
        <w:endnoteReference w:id="33"/>
      </w:r>
      <w:r w:rsidRPr="00990959">
        <w:rPr>
          <w:rFonts w:asciiTheme="minorHAnsi" w:hAnsiTheme="minorHAnsi"/>
        </w:rPr>
        <w:t xml:space="preserve">.  His model shares many similarities with the Theory of Planned Behaviour and related theories, but adds two additional dimensions – habits and role beliefs, as shown in </w:t>
      </w:r>
      <w:r>
        <w:rPr>
          <w:rFonts w:asciiTheme="minorHAnsi" w:hAnsiTheme="minorHAnsi"/>
        </w:rPr>
        <w:t>F</w:t>
      </w:r>
      <w:r w:rsidRPr="00990959">
        <w:rPr>
          <w:rFonts w:asciiTheme="minorHAnsi" w:hAnsiTheme="minorHAnsi"/>
        </w:rPr>
        <w:t xml:space="preserve">igure </w:t>
      </w:r>
      <w:r w:rsidR="0081481C">
        <w:rPr>
          <w:rFonts w:asciiTheme="minorHAnsi" w:hAnsiTheme="minorHAnsi"/>
        </w:rPr>
        <w:t>7</w:t>
      </w:r>
      <w:r>
        <w:rPr>
          <w:rFonts w:asciiTheme="minorHAnsi" w:hAnsiTheme="minorHAnsi"/>
        </w:rPr>
        <w:t>.</w:t>
      </w:r>
    </w:p>
    <w:p w:rsidR="005E2DCC" w:rsidRDefault="005E2DCC" w:rsidP="005E2DCC">
      <w:pPr>
        <w:jc w:val="both"/>
        <w:rPr>
          <w:rFonts w:asciiTheme="minorHAnsi" w:hAnsiTheme="minorHAnsi" w:cstheme="minorHAnsi"/>
        </w:rPr>
      </w:pPr>
    </w:p>
    <w:p w:rsidR="005E2DCC" w:rsidRDefault="005E2DCC" w:rsidP="003E3041">
      <w:pPr>
        <w:jc w:val="both"/>
        <w:rPr>
          <w:rFonts w:asciiTheme="minorHAnsi" w:hAnsiTheme="minorHAnsi"/>
        </w:rPr>
      </w:pPr>
      <w:r>
        <w:rPr>
          <w:rFonts w:asciiTheme="minorHAnsi" w:hAnsiTheme="minorHAnsi" w:cstheme="minorHAnsi"/>
        </w:rPr>
        <w:t xml:space="preserve">The model was originally developed in the 1970s but did not </w:t>
      </w:r>
      <w:r w:rsidR="001D47C3">
        <w:rPr>
          <w:rFonts w:asciiTheme="minorHAnsi" w:hAnsiTheme="minorHAnsi" w:cstheme="minorHAnsi"/>
        </w:rPr>
        <w:t>receive</w:t>
      </w:r>
      <w:r>
        <w:rPr>
          <w:rFonts w:asciiTheme="minorHAnsi" w:hAnsiTheme="minorHAnsi" w:cstheme="minorHAnsi"/>
        </w:rPr>
        <w:t xml:space="preserve"> considerable at</w:t>
      </w:r>
      <w:r w:rsidR="001A05F5">
        <w:rPr>
          <w:rFonts w:asciiTheme="minorHAnsi" w:hAnsiTheme="minorHAnsi" w:cstheme="minorHAnsi"/>
        </w:rPr>
        <w:t>tention till much more recently.</w:t>
      </w:r>
      <w:r>
        <w:rPr>
          <w:rFonts w:asciiTheme="minorHAnsi" w:hAnsiTheme="minorHAnsi" w:cstheme="minorHAnsi"/>
        </w:rPr>
        <w:t xml:space="preserve"> </w:t>
      </w:r>
      <w:r w:rsidR="001A05F5">
        <w:rPr>
          <w:rFonts w:asciiTheme="minorHAnsi" w:hAnsiTheme="minorHAnsi" w:cstheme="minorHAnsi"/>
        </w:rPr>
        <w:t>T</w:t>
      </w:r>
      <w:r>
        <w:rPr>
          <w:rFonts w:asciiTheme="minorHAnsi" w:hAnsiTheme="minorHAnsi" w:cstheme="minorHAnsi"/>
        </w:rPr>
        <w:t xml:space="preserve">he Theory of Interpersonal Behaviour has been receiving particular attention in the field of pro-environmental behaviours.  </w:t>
      </w:r>
      <w:r w:rsidR="00E814BE">
        <w:rPr>
          <w:rFonts w:asciiTheme="minorHAnsi" w:hAnsiTheme="minorHAnsi" w:cstheme="minorHAnsi"/>
        </w:rPr>
        <w:t xml:space="preserve">It identifies </w:t>
      </w:r>
      <w:r>
        <w:rPr>
          <w:rFonts w:asciiTheme="minorHAnsi" w:hAnsiTheme="minorHAnsi" w:cstheme="minorHAnsi"/>
        </w:rPr>
        <w:t xml:space="preserve">a process of </w:t>
      </w:r>
      <w:r w:rsidRPr="00E814BE">
        <w:rPr>
          <w:rFonts w:asciiTheme="minorHAnsi" w:hAnsiTheme="minorHAnsi" w:cstheme="minorHAnsi"/>
          <w:i/>
        </w:rPr>
        <w:t xml:space="preserve">intention </w:t>
      </w:r>
      <w:r>
        <w:rPr>
          <w:rFonts w:asciiTheme="minorHAnsi" w:hAnsiTheme="minorHAnsi" w:cstheme="minorHAnsi"/>
        </w:rPr>
        <w:t>formation which is made up of</w:t>
      </w:r>
      <w:r w:rsidR="00E814BE">
        <w:rPr>
          <w:rFonts w:asciiTheme="minorHAnsi" w:hAnsiTheme="minorHAnsi" w:cstheme="minorHAnsi"/>
        </w:rPr>
        <w:t>: (a)</w:t>
      </w:r>
      <w:r>
        <w:rPr>
          <w:rFonts w:asciiTheme="minorHAnsi" w:hAnsiTheme="minorHAnsi" w:cstheme="minorHAnsi"/>
        </w:rPr>
        <w:t xml:space="preserve"> personal rational evaluations based on beliefs about the likely outcomes of certain actions, </w:t>
      </w:r>
      <w:r w:rsidR="00E814BE">
        <w:rPr>
          <w:rFonts w:asciiTheme="minorHAnsi" w:hAnsiTheme="minorHAnsi" w:cstheme="minorHAnsi"/>
        </w:rPr>
        <w:t xml:space="preserve">(b) </w:t>
      </w:r>
      <w:r>
        <w:rPr>
          <w:rFonts w:asciiTheme="minorHAnsi" w:hAnsiTheme="minorHAnsi" w:cstheme="minorHAnsi"/>
        </w:rPr>
        <w:t xml:space="preserve">a reaction to social factors such as social norms and concepts such as societal roles, and </w:t>
      </w:r>
      <w:r w:rsidR="00E814BE">
        <w:rPr>
          <w:rFonts w:asciiTheme="minorHAnsi" w:hAnsiTheme="minorHAnsi" w:cstheme="minorHAnsi"/>
        </w:rPr>
        <w:t xml:space="preserve">(c) </w:t>
      </w:r>
      <w:r>
        <w:rPr>
          <w:rFonts w:asciiTheme="minorHAnsi" w:hAnsiTheme="minorHAnsi" w:cstheme="minorHAnsi"/>
        </w:rPr>
        <w:t xml:space="preserve">an emotional component </w:t>
      </w:r>
      <w:r w:rsidRPr="00C63E2E">
        <w:rPr>
          <w:rFonts w:asciiTheme="minorHAnsi" w:hAnsiTheme="minorHAnsi" w:cstheme="minorHAnsi"/>
        </w:rPr>
        <w:t>w</w:t>
      </w:r>
      <w:r>
        <w:rPr>
          <w:rFonts w:asciiTheme="minorHAnsi" w:hAnsiTheme="minorHAnsi" w:cstheme="minorHAnsi"/>
        </w:rPr>
        <w:t>hich can include both values and morals, but also more immediate reactions such as disgust.</w:t>
      </w:r>
      <w:r w:rsidR="00E814BE">
        <w:rPr>
          <w:rFonts w:asciiTheme="minorHAnsi" w:hAnsiTheme="minorHAnsi" w:cstheme="minorHAnsi"/>
        </w:rPr>
        <w:t xml:space="preserve"> In addition to intentions</w:t>
      </w:r>
      <w:r>
        <w:rPr>
          <w:rFonts w:asciiTheme="minorHAnsi" w:hAnsiTheme="minorHAnsi" w:cstheme="minorHAnsi"/>
        </w:rPr>
        <w:t xml:space="preserve">, there are </w:t>
      </w:r>
      <w:r w:rsidR="002B0020" w:rsidRPr="00E814BE">
        <w:rPr>
          <w:rFonts w:asciiTheme="minorHAnsi" w:hAnsiTheme="minorHAnsi" w:cstheme="minorHAnsi"/>
          <w:i/>
        </w:rPr>
        <w:t>h</w:t>
      </w:r>
      <w:r w:rsidRPr="00E814BE">
        <w:rPr>
          <w:rFonts w:asciiTheme="minorHAnsi" w:hAnsiTheme="minorHAnsi" w:cstheme="minorHAnsi"/>
          <w:i/>
        </w:rPr>
        <w:t>abits</w:t>
      </w:r>
      <w:r>
        <w:rPr>
          <w:rFonts w:asciiTheme="minorHAnsi" w:hAnsiTheme="minorHAnsi" w:cstheme="minorHAnsi"/>
        </w:rPr>
        <w:t xml:space="preserve"> which influence behaviour in an entirely separate way to conscious</w:t>
      </w:r>
      <w:r w:rsidR="00E814BE">
        <w:rPr>
          <w:rFonts w:asciiTheme="minorHAnsi" w:hAnsiTheme="minorHAnsi" w:cstheme="minorHAnsi"/>
        </w:rPr>
        <w:t>ly formed intentions.  Triandis</w:t>
      </w:r>
      <w:r>
        <w:rPr>
          <w:rFonts w:asciiTheme="minorHAnsi" w:hAnsiTheme="minorHAnsi" w:cstheme="minorHAnsi"/>
        </w:rPr>
        <w:t xml:space="preserve"> originally defined habits as being determined solely by the frequency of past behaviour, however more recently other work has come to see habits as being better defined by </w:t>
      </w:r>
      <w:r>
        <w:rPr>
          <w:rFonts w:asciiTheme="minorHAnsi" w:hAnsiTheme="minorHAnsi" w:cstheme="minorHAnsi"/>
          <w:i/>
        </w:rPr>
        <w:t>automaticity</w:t>
      </w:r>
      <w:r w:rsidR="002B0020">
        <w:rPr>
          <w:rFonts w:asciiTheme="minorHAnsi" w:hAnsiTheme="minorHAnsi" w:cstheme="minorHAnsi"/>
          <w:i/>
        </w:rPr>
        <w:t xml:space="preserve">. </w:t>
      </w:r>
      <w:r w:rsidR="002B0020">
        <w:rPr>
          <w:rFonts w:asciiTheme="minorHAnsi" w:hAnsiTheme="minorHAnsi" w:cstheme="minorHAnsi"/>
        </w:rPr>
        <w:t>Bargh</w:t>
      </w:r>
      <w:r w:rsidRPr="004978D4">
        <w:rPr>
          <w:rStyle w:val="EndnoteReference"/>
          <w:rFonts w:asciiTheme="minorHAnsi" w:hAnsiTheme="minorHAnsi"/>
        </w:rPr>
        <w:endnoteReference w:id="34"/>
      </w:r>
      <w:r w:rsidRPr="004978D4">
        <w:rPr>
          <w:rFonts w:asciiTheme="minorHAnsi" w:hAnsiTheme="minorHAnsi"/>
        </w:rPr>
        <w:t xml:space="preserve"> </w:t>
      </w:r>
      <w:r w:rsidR="002B0020">
        <w:rPr>
          <w:rFonts w:asciiTheme="minorHAnsi" w:hAnsiTheme="minorHAnsi"/>
        </w:rPr>
        <w:t xml:space="preserve">defines automaticity </w:t>
      </w:r>
      <w:r w:rsidRPr="004978D4">
        <w:rPr>
          <w:rFonts w:asciiTheme="minorHAnsi" w:hAnsiTheme="minorHAnsi"/>
        </w:rPr>
        <w:t xml:space="preserve">as: lacking awareness of our action; lacking conscious intent; being difficult to control; and having efficiency, and </w:t>
      </w:r>
      <w:r w:rsidR="002B0020">
        <w:rPr>
          <w:rFonts w:asciiTheme="minorHAnsi" w:hAnsiTheme="minorHAnsi"/>
        </w:rPr>
        <w:t xml:space="preserve">dependent on </w:t>
      </w:r>
      <w:r w:rsidRPr="004978D4">
        <w:rPr>
          <w:rFonts w:asciiTheme="minorHAnsi" w:hAnsiTheme="minorHAnsi"/>
        </w:rPr>
        <w:t>a stable context (habits cannot be continued if circumstances are significantly altered)</w:t>
      </w:r>
      <w:r w:rsidR="003E3041">
        <w:rPr>
          <w:rFonts w:asciiTheme="minorHAnsi" w:hAnsiTheme="minorHAnsi"/>
        </w:rPr>
        <w:t>.</w:t>
      </w:r>
    </w:p>
    <w:p w:rsidR="00922BC4" w:rsidRDefault="00922BC4" w:rsidP="00922BC4">
      <w:pPr>
        <w:rPr>
          <w:rFonts w:asciiTheme="minorHAnsi" w:hAnsiTheme="minorHAnsi"/>
        </w:rPr>
      </w:pPr>
    </w:p>
    <w:p w:rsidR="005E2DCC" w:rsidRDefault="005E2DCC">
      <w:pPr>
        <w:rPr>
          <w:rFonts w:asciiTheme="minorHAnsi" w:hAnsiTheme="minorHAnsi"/>
          <w:b/>
        </w:rPr>
      </w:pPr>
      <w:r>
        <w:rPr>
          <w:rFonts w:asciiTheme="minorHAnsi" w:hAnsiTheme="minorHAnsi"/>
          <w:b/>
        </w:rPr>
        <w:br w:type="page"/>
      </w:r>
    </w:p>
    <w:p w:rsidR="00922BC4" w:rsidRPr="006866FC" w:rsidRDefault="00922BC4" w:rsidP="00922BC4">
      <w:pPr>
        <w:rPr>
          <w:rFonts w:asciiTheme="minorHAnsi" w:hAnsiTheme="minorHAnsi"/>
          <w:b/>
        </w:rPr>
      </w:pPr>
      <w:r w:rsidRPr="006866FC">
        <w:rPr>
          <w:rFonts w:asciiTheme="minorHAnsi" w:hAnsiTheme="minorHAnsi"/>
          <w:b/>
        </w:rPr>
        <w:lastRenderedPageBreak/>
        <w:t xml:space="preserve">Figure </w:t>
      </w:r>
      <w:r w:rsidR="0081481C">
        <w:rPr>
          <w:rFonts w:asciiTheme="minorHAnsi" w:hAnsiTheme="minorHAnsi"/>
          <w:b/>
        </w:rPr>
        <w:t>7</w:t>
      </w:r>
      <w:r w:rsidRPr="006866FC">
        <w:rPr>
          <w:rFonts w:asciiTheme="minorHAnsi" w:hAnsiTheme="minorHAnsi"/>
          <w:b/>
        </w:rPr>
        <w:t xml:space="preserve"> Triandis’ Theory of Interpersonal Behavio</w:t>
      </w:r>
      <w:r w:rsidR="0006116C">
        <w:rPr>
          <w:rFonts w:asciiTheme="minorHAnsi" w:hAnsiTheme="minorHAnsi"/>
          <w:b/>
        </w:rPr>
        <w:t>u</w:t>
      </w:r>
      <w:r w:rsidRPr="006866FC">
        <w:rPr>
          <w:rFonts w:asciiTheme="minorHAnsi" w:hAnsiTheme="minorHAnsi"/>
          <w:b/>
        </w:rPr>
        <w:t>r (TIB) (1977)</w:t>
      </w:r>
    </w:p>
    <w:p w:rsidR="00922BC4" w:rsidRPr="00990959" w:rsidRDefault="00002B71" w:rsidP="00922BC4">
      <w:pPr>
        <w:rPr>
          <w:rFonts w:asciiTheme="minorHAnsi" w:hAnsiTheme="minorHAnsi"/>
        </w:rPr>
      </w:pPr>
      <w:r>
        <w:rPr>
          <w:rFonts w:asciiTheme="minorHAnsi" w:hAnsiTheme="minorHAnsi"/>
          <w:noProof/>
        </w:rPr>
        <w:pict>
          <v:shape id="_x0000_s1238" type="#_x0000_t202" style="position:absolute;margin-left:-3pt;margin-top:5.8pt;width:88.5pt;height:37.7pt;z-index:251739136" fillcolor="#ffc000">
            <v:textbox style="mso-next-textbox:#_x0000_s1238">
              <w:txbxContent>
                <w:p w:rsidR="002B3E5E" w:rsidRPr="006866FC" w:rsidRDefault="002B3E5E" w:rsidP="00922BC4">
                  <w:pPr>
                    <w:rPr>
                      <w:rFonts w:asciiTheme="minorHAnsi" w:hAnsiTheme="minorHAnsi"/>
                      <w:b/>
                    </w:rPr>
                  </w:pPr>
                  <w:r w:rsidRPr="006866FC">
                    <w:rPr>
                      <w:rFonts w:asciiTheme="minorHAnsi" w:hAnsiTheme="minorHAnsi"/>
                      <w:b/>
                    </w:rPr>
                    <w:t>Beliefs about outcomes</w:t>
                  </w:r>
                </w:p>
              </w:txbxContent>
            </v:textbox>
          </v:shape>
        </w:pict>
      </w:r>
    </w:p>
    <w:p w:rsidR="00922BC4" w:rsidRDefault="00002B71" w:rsidP="00922BC4">
      <w:r>
        <w:rPr>
          <w:noProof/>
        </w:rPr>
        <w:pict>
          <v:shapetype id="_x0000_t32" coordsize="21600,21600" o:spt="32" o:oned="t" path="m,l21600,21600e" filled="f">
            <v:path arrowok="t" fillok="f" o:connecttype="none"/>
            <o:lock v:ext="edit" shapetype="t"/>
          </v:shapetype>
          <v:shape id="_x0000_s1252" type="#_x0000_t32" style="position:absolute;margin-left:85.5pt;margin-top:10.1pt;width:36.75pt;height:12.2pt;z-index:251753472" o:connectortype="straight">
            <v:stroke endarrow="block"/>
          </v:shape>
        </w:pict>
      </w:r>
      <w:r>
        <w:rPr>
          <w:noProof/>
        </w:rPr>
        <w:pict>
          <v:shape id="_x0000_s1244" type="#_x0000_t202" style="position:absolute;margin-left:122.25pt;margin-top:10.1pt;width:91.5pt;height:30pt;z-index:251745280" fillcolor="#c2d69b [1942]">
            <v:textbox style="mso-next-textbox:#_x0000_s1244">
              <w:txbxContent>
                <w:p w:rsidR="002B3E5E" w:rsidRPr="006866FC" w:rsidRDefault="002B3E5E" w:rsidP="00922BC4">
                  <w:pPr>
                    <w:rPr>
                      <w:rFonts w:asciiTheme="minorHAnsi" w:hAnsiTheme="minorHAnsi"/>
                      <w:b/>
                    </w:rPr>
                  </w:pPr>
                  <w:r w:rsidRPr="006866FC">
                    <w:rPr>
                      <w:rFonts w:asciiTheme="minorHAnsi" w:hAnsiTheme="minorHAnsi"/>
                      <w:b/>
                    </w:rPr>
                    <w:t>Attitude</w:t>
                  </w:r>
                </w:p>
              </w:txbxContent>
            </v:textbox>
          </v:shape>
        </w:pict>
      </w:r>
    </w:p>
    <w:p w:rsidR="00922BC4" w:rsidRDefault="00002B71" w:rsidP="00922BC4">
      <w:r>
        <w:rPr>
          <w:noProof/>
        </w:rPr>
        <w:pict>
          <v:shape id="_x0000_s1259" type="#_x0000_t32" style="position:absolute;margin-left:213.75pt;margin-top:8.5pt;width:66.75pt;height:83.8pt;z-index:251760640" o:connectortype="straight">
            <v:stroke endarrow="block"/>
          </v:shape>
        </w:pict>
      </w:r>
      <w:r>
        <w:rPr>
          <w:noProof/>
        </w:rPr>
        <w:pict>
          <v:shape id="_x0000_s1253" type="#_x0000_t32" style="position:absolute;margin-left:85.5pt;margin-top:8.5pt;width:36.75pt;height:30.75pt;flip:y;z-index:251754496" o:connectortype="straight">
            <v:stroke endarrow="block"/>
          </v:shape>
        </w:pict>
      </w:r>
    </w:p>
    <w:p w:rsidR="00922BC4" w:rsidRDefault="00002B71" w:rsidP="00922BC4">
      <w:r>
        <w:rPr>
          <w:noProof/>
        </w:rPr>
        <w:pict>
          <v:shape id="_x0000_s1250" type="#_x0000_t202" style="position:absolute;margin-left:342pt;margin-top:1.25pt;width:84pt;height:39pt;z-index:251751424" fillcolor="#963">
            <v:textbox style="mso-next-textbox:#_x0000_s1250">
              <w:txbxContent>
                <w:p w:rsidR="002B3E5E" w:rsidRPr="006866FC" w:rsidRDefault="002B3E5E" w:rsidP="00922BC4">
                  <w:pPr>
                    <w:rPr>
                      <w:b/>
                    </w:rPr>
                  </w:pPr>
                  <w:r w:rsidRPr="006866FC">
                    <w:rPr>
                      <w:b/>
                    </w:rPr>
                    <w:t>Facilitating conditions</w:t>
                  </w:r>
                </w:p>
              </w:txbxContent>
            </v:textbox>
          </v:shape>
        </w:pict>
      </w:r>
      <w:r>
        <w:rPr>
          <w:noProof/>
        </w:rPr>
        <w:pict>
          <v:shape id="_x0000_s1239" type="#_x0000_t202" style="position:absolute;margin-left:-3pt;margin-top:7.25pt;width:88.5pt;height:38.25pt;z-index:251740160" fillcolor="#92d050">
            <v:textbox style="mso-next-textbox:#_x0000_s1239">
              <w:txbxContent>
                <w:p w:rsidR="002B3E5E" w:rsidRPr="006866FC" w:rsidRDefault="002B3E5E" w:rsidP="00922BC4">
                  <w:pPr>
                    <w:rPr>
                      <w:rFonts w:asciiTheme="minorHAnsi" w:hAnsiTheme="minorHAnsi"/>
                      <w:b/>
                    </w:rPr>
                  </w:pPr>
                  <w:r w:rsidRPr="006866FC">
                    <w:rPr>
                      <w:rFonts w:asciiTheme="minorHAnsi" w:hAnsiTheme="minorHAnsi"/>
                      <w:b/>
                    </w:rPr>
                    <w:t>Evaluation of outcomes</w:t>
                  </w:r>
                </w:p>
              </w:txbxContent>
            </v:textbox>
          </v:shape>
        </w:pict>
      </w:r>
    </w:p>
    <w:p w:rsidR="00922BC4" w:rsidRDefault="00922BC4" w:rsidP="00922BC4"/>
    <w:p w:rsidR="00922BC4" w:rsidRDefault="00002B71" w:rsidP="00922BC4">
      <w:r>
        <w:rPr>
          <w:noProof/>
        </w:rPr>
        <w:pict>
          <v:shape id="_x0000_s1261" type="#_x0000_t32" style="position:absolute;margin-left:357pt;margin-top:12.65pt;width:0;height:135.2pt;z-index:251762688" o:connectortype="straight">
            <v:stroke endarrow="block"/>
          </v:shape>
        </w:pict>
      </w:r>
    </w:p>
    <w:p w:rsidR="00922BC4" w:rsidRDefault="00002B71" w:rsidP="00922BC4">
      <w:r>
        <w:rPr>
          <w:noProof/>
        </w:rPr>
        <w:pict>
          <v:shape id="_x0000_s1241" type="#_x0000_t202" style="position:absolute;margin-left:-3pt;margin-top:11.6pt;width:88.5pt;height:25.5pt;z-index:251742208" fillcolor="#0070c0">
            <v:textbox style="mso-next-textbox:#_x0000_s1241">
              <w:txbxContent>
                <w:p w:rsidR="002B3E5E" w:rsidRPr="006866FC" w:rsidRDefault="002B3E5E" w:rsidP="00922BC4">
                  <w:pPr>
                    <w:rPr>
                      <w:rFonts w:asciiTheme="minorHAnsi" w:hAnsiTheme="minorHAnsi"/>
                      <w:b/>
                    </w:rPr>
                  </w:pPr>
                  <w:r w:rsidRPr="006866FC">
                    <w:rPr>
                      <w:rFonts w:asciiTheme="minorHAnsi" w:hAnsiTheme="minorHAnsi"/>
                      <w:b/>
                    </w:rPr>
                    <w:t>Norms</w:t>
                  </w:r>
                </w:p>
              </w:txbxContent>
            </v:textbox>
          </v:shape>
        </w:pict>
      </w:r>
    </w:p>
    <w:p w:rsidR="00922BC4" w:rsidRDefault="00002B71" w:rsidP="00922BC4">
      <w:r>
        <w:rPr>
          <w:noProof/>
        </w:rPr>
        <w:pict>
          <v:shape id="_x0000_s1254" type="#_x0000_t32" style="position:absolute;margin-left:85.5pt;margin-top:10.75pt;width:36.75pt;height:28.5pt;z-index:251755520" o:connectortype="straight">
            <v:stroke endarrow="block"/>
          </v:shape>
        </w:pict>
      </w:r>
    </w:p>
    <w:p w:rsidR="00922BC4" w:rsidRDefault="00002B71" w:rsidP="00922BC4">
      <w:r>
        <w:rPr>
          <w:noProof/>
        </w:rPr>
        <w:pict>
          <v:shape id="_x0000_s1248" type="#_x0000_t202" style="position:absolute;margin-left:245.25pt;margin-top:12.5pt;width:91.5pt;height:32.25pt;z-index:251749376" fillcolor="#ff6">
            <v:textbox style="mso-next-textbox:#_x0000_s1248">
              <w:txbxContent>
                <w:p w:rsidR="002B3E5E" w:rsidRPr="006866FC" w:rsidRDefault="002B3E5E" w:rsidP="00922BC4">
                  <w:pPr>
                    <w:rPr>
                      <w:b/>
                    </w:rPr>
                  </w:pPr>
                  <w:r w:rsidRPr="006866FC">
                    <w:rPr>
                      <w:b/>
                    </w:rPr>
                    <w:t>Intention</w:t>
                  </w:r>
                </w:p>
              </w:txbxContent>
            </v:textbox>
          </v:shape>
        </w:pict>
      </w:r>
      <w:r>
        <w:rPr>
          <w:noProof/>
        </w:rPr>
        <w:pict>
          <v:shape id="_x0000_s1245" type="#_x0000_t202" style="position:absolute;margin-left:122.25pt;margin-top:12.5pt;width:91.5pt;height:32.25pt;z-index:251746304" fillcolor="#b8cce4 [1300]">
            <v:textbox style="mso-next-textbox:#_x0000_s1245">
              <w:txbxContent>
                <w:p w:rsidR="002B3E5E" w:rsidRPr="006866FC" w:rsidRDefault="002B3E5E" w:rsidP="00922BC4">
                  <w:pPr>
                    <w:rPr>
                      <w:rFonts w:asciiTheme="minorHAnsi" w:hAnsiTheme="minorHAnsi"/>
                      <w:b/>
                    </w:rPr>
                  </w:pPr>
                  <w:r w:rsidRPr="006866FC">
                    <w:rPr>
                      <w:rFonts w:asciiTheme="minorHAnsi" w:hAnsiTheme="minorHAnsi"/>
                      <w:b/>
                    </w:rPr>
                    <w:t>Social factors</w:t>
                  </w:r>
                </w:p>
              </w:txbxContent>
            </v:textbox>
          </v:shape>
        </w:pict>
      </w:r>
    </w:p>
    <w:p w:rsidR="00922BC4" w:rsidRDefault="00002B71" w:rsidP="00922BC4">
      <w:r>
        <w:rPr>
          <w:noProof/>
        </w:rPr>
        <w:pict>
          <v:shape id="_x0000_s1258" type="#_x0000_t32" style="position:absolute;margin-left:213.75pt;margin-top:11.65pt;width:31.5pt;height:0;z-index:251759616" o:connectortype="straight">
            <v:stroke endarrow="block"/>
          </v:shape>
        </w:pict>
      </w:r>
      <w:r>
        <w:rPr>
          <w:noProof/>
        </w:rPr>
        <w:pict>
          <v:shape id="_x0000_s1256" type="#_x0000_t32" style="position:absolute;margin-left:85.5pt;margin-top:11.65pt;width:33pt;height:31.5pt;flip:y;z-index:251757568" o:connectortype="straight">
            <v:stroke endarrow="block"/>
          </v:shape>
        </w:pict>
      </w:r>
      <w:r>
        <w:rPr>
          <w:noProof/>
        </w:rPr>
        <w:pict>
          <v:shape id="_x0000_s1255" type="#_x0000_t32" style="position:absolute;margin-left:85.5pt;margin-top:11.65pt;width:36.75pt;height:0;z-index:251756544" o:connectortype="straight">
            <v:stroke endarrow="block"/>
          </v:shape>
        </w:pict>
      </w:r>
      <w:r>
        <w:rPr>
          <w:noProof/>
        </w:rPr>
        <w:pict>
          <v:shape id="_x0000_s1242" type="#_x0000_t202" style="position:absolute;margin-left:-3pt;margin-top:1.7pt;width:88.5pt;height:21.75pt;z-index:251743232" fillcolor="#7030a0">
            <v:textbox style="mso-next-textbox:#_x0000_s1242">
              <w:txbxContent>
                <w:p w:rsidR="002B3E5E" w:rsidRPr="006866FC" w:rsidRDefault="002B3E5E" w:rsidP="00922BC4">
                  <w:pPr>
                    <w:rPr>
                      <w:rFonts w:asciiTheme="minorHAnsi" w:hAnsiTheme="minorHAnsi"/>
                      <w:b/>
                    </w:rPr>
                  </w:pPr>
                  <w:r w:rsidRPr="006866FC">
                    <w:rPr>
                      <w:rFonts w:asciiTheme="minorHAnsi" w:hAnsiTheme="minorHAnsi"/>
                      <w:b/>
                    </w:rPr>
                    <w:t>Roles</w:t>
                  </w:r>
                </w:p>
              </w:txbxContent>
            </v:textbox>
          </v:shape>
        </w:pict>
      </w:r>
    </w:p>
    <w:p w:rsidR="00922BC4" w:rsidRDefault="00922BC4" w:rsidP="00922BC4"/>
    <w:p w:rsidR="00922BC4" w:rsidRDefault="00002B71" w:rsidP="00922BC4">
      <w:r>
        <w:rPr>
          <w:noProof/>
        </w:rPr>
        <w:pict>
          <v:shape id="_x0000_s1264" type="#_x0000_t32" style="position:absolute;margin-left:316.5pt;margin-top:3.35pt;width:33pt;height:62.45pt;z-index:251765760" o:connectortype="straight">
            <v:stroke endarrow="block"/>
          </v:shape>
        </w:pict>
      </w:r>
      <w:r>
        <w:rPr>
          <w:noProof/>
        </w:rPr>
        <w:pict>
          <v:shape id="_x0000_s1260" type="#_x0000_t32" style="position:absolute;margin-left:213.75pt;margin-top:3.35pt;width:66.75pt;height:68.45pt;flip:y;z-index:251761664" o:connectortype="straight">
            <v:stroke endarrow="block"/>
          </v:shape>
        </w:pict>
      </w:r>
      <w:r>
        <w:rPr>
          <w:noProof/>
        </w:rPr>
        <w:pict>
          <v:shape id="_x0000_s1240" type="#_x0000_t202" style="position:absolute;margin-left:-3pt;margin-top:3.35pt;width:88.5pt;height:27pt;z-index:251741184" fillcolor="#e5b8b7 [1301]">
            <v:textbox style="mso-next-textbox:#_x0000_s1240">
              <w:txbxContent>
                <w:p w:rsidR="002B3E5E" w:rsidRPr="006866FC" w:rsidRDefault="002B3E5E" w:rsidP="00922BC4">
                  <w:pPr>
                    <w:rPr>
                      <w:rFonts w:asciiTheme="minorHAnsi" w:hAnsiTheme="minorHAnsi"/>
                      <w:b/>
                    </w:rPr>
                  </w:pPr>
                  <w:r w:rsidRPr="006866FC">
                    <w:rPr>
                      <w:rFonts w:asciiTheme="minorHAnsi" w:hAnsiTheme="minorHAnsi"/>
                      <w:b/>
                    </w:rPr>
                    <w:t>Self-concept</w:t>
                  </w:r>
                </w:p>
              </w:txbxContent>
            </v:textbox>
          </v:shape>
        </w:pict>
      </w:r>
    </w:p>
    <w:p w:rsidR="00922BC4" w:rsidRDefault="00922BC4" w:rsidP="00922BC4"/>
    <w:p w:rsidR="00922BC4" w:rsidRDefault="00002B71" w:rsidP="00922BC4">
      <w:r>
        <w:rPr>
          <w:noProof/>
        </w:rPr>
        <w:pict>
          <v:shape id="_x0000_s1265" type="#_x0000_t32" style="position:absolute;margin-left:349.5pt;margin-top:37.5pt;width:18pt;height:.75pt;z-index:251766784" o:connectortype="straight">
            <v:stroke endarrow="block"/>
          </v:shape>
        </w:pict>
      </w:r>
      <w:r>
        <w:rPr>
          <w:noProof/>
        </w:rPr>
        <w:pict>
          <v:shape id="_x0000_s1263" type="#_x0000_t32" style="position:absolute;margin-left:342pt;margin-top:38.25pt;width:7.5pt;height:82.5pt;flip:y;z-index:251764736" o:connectortype="straight">
            <v:stroke endarrow="block"/>
          </v:shape>
        </w:pict>
      </w:r>
      <w:r>
        <w:rPr>
          <w:noProof/>
        </w:rPr>
        <w:pict>
          <v:shape id="_x0000_s1262" type="#_x0000_t32" style="position:absolute;margin-left:234pt;margin-top:124.5pt;width:36pt;height:1.5pt;z-index:251763712" o:connectortype="straight">
            <v:stroke endarrow="block"/>
          </v:shape>
        </w:pict>
      </w:r>
      <w:r>
        <w:rPr>
          <w:noProof/>
        </w:rPr>
        <w:pict>
          <v:shape id="_x0000_s1257" type="#_x0000_t32" style="position:absolute;margin-left:85.5pt;margin-top:43.5pt;width:36.75pt;height:.75pt;z-index:251758592" o:connectortype="straight">
            <v:stroke endarrow="block"/>
          </v:shape>
        </w:pict>
      </w:r>
      <w:r>
        <w:rPr>
          <w:noProof/>
        </w:rPr>
        <w:pict>
          <v:shape id="_x0000_s1251" type="#_x0000_t202" style="position:absolute;margin-left:367.5pt;margin-top:24.75pt;width:1in;height:31.5pt;z-index:251752448" fillcolor="red" strokecolor="black [3213]" strokeweight="3pt">
            <v:shadow on="t" type="perspective" color="#622423 [1605]" opacity=".5" offset="1pt" offset2="-1pt"/>
            <v:textbox style="mso-next-textbox:#_x0000_s1251">
              <w:txbxContent>
                <w:p w:rsidR="002B3E5E" w:rsidRPr="006866FC" w:rsidRDefault="002B3E5E" w:rsidP="00922BC4">
                  <w:pPr>
                    <w:rPr>
                      <w:rFonts w:asciiTheme="minorHAnsi" w:hAnsiTheme="minorHAnsi"/>
                      <w:b/>
                    </w:rPr>
                  </w:pPr>
                  <w:r w:rsidRPr="006866FC">
                    <w:rPr>
                      <w:rFonts w:asciiTheme="minorHAnsi" w:hAnsiTheme="minorHAnsi"/>
                      <w:b/>
                    </w:rPr>
                    <w:t>Behavio</w:t>
                  </w:r>
                  <w:r>
                    <w:rPr>
                      <w:rFonts w:asciiTheme="minorHAnsi" w:hAnsiTheme="minorHAnsi"/>
                      <w:b/>
                    </w:rPr>
                    <w:t>u</w:t>
                  </w:r>
                  <w:r w:rsidRPr="006866FC">
                    <w:rPr>
                      <w:rFonts w:asciiTheme="minorHAnsi" w:hAnsiTheme="minorHAnsi"/>
                      <w:b/>
                    </w:rPr>
                    <w:t>r</w:t>
                  </w:r>
                </w:p>
              </w:txbxContent>
            </v:textbox>
          </v:shape>
        </w:pict>
      </w:r>
      <w:r>
        <w:rPr>
          <w:noProof/>
        </w:rPr>
        <w:pict>
          <v:shape id="_x0000_s1249" type="#_x0000_t202" style="position:absolute;margin-left:270pt;margin-top:103.5pt;width:1in;height:39.75pt;z-index:251750400" fillcolor="#8db3e2 [1311]">
            <v:textbox style="mso-next-textbox:#_x0000_s1249">
              <w:txbxContent>
                <w:p w:rsidR="002B3E5E" w:rsidRPr="006866FC" w:rsidRDefault="002B3E5E" w:rsidP="00922BC4">
                  <w:pPr>
                    <w:rPr>
                      <w:rFonts w:asciiTheme="minorHAnsi" w:hAnsiTheme="minorHAnsi"/>
                      <w:b/>
                    </w:rPr>
                  </w:pPr>
                  <w:r w:rsidRPr="006866FC">
                    <w:rPr>
                      <w:rFonts w:asciiTheme="minorHAnsi" w:hAnsiTheme="minorHAnsi"/>
                      <w:b/>
                    </w:rPr>
                    <w:t>Habits</w:t>
                  </w:r>
                </w:p>
              </w:txbxContent>
            </v:textbox>
          </v:shape>
        </w:pict>
      </w:r>
      <w:r>
        <w:rPr>
          <w:noProof/>
        </w:rPr>
        <w:pict>
          <v:shape id="_x0000_s1246" type="#_x0000_t202" style="position:absolute;margin-left:122.25pt;margin-top:29pt;width:91.5pt;height:32.25pt;z-index:251747328" fillcolor="#b2a1c7 [1943]" strokecolor="black [3213]" strokeweight=".25pt">
            <v:textbox style="mso-next-textbox:#_x0000_s1246">
              <w:txbxContent>
                <w:p w:rsidR="002B3E5E" w:rsidRPr="006866FC" w:rsidRDefault="002B3E5E" w:rsidP="00922BC4">
                  <w:pPr>
                    <w:rPr>
                      <w:rFonts w:asciiTheme="minorHAnsi" w:hAnsiTheme="minorHAnsi"/>
                      <w:b/>
                    </w:rPr>
                  </w:pPr>
                  <w:r w:rsidRPr="006866FC">
                    <w:rPr>
                      <w:rFonts w:asciiTheme="minorHAnsi" w:hAnsiTheme="minorHAnsi"/>
                      <w:b/>
                    </w:rPr>
                    <w:t>Affect</w:t>
                  </w:r>
                </w:p>
              </w:txbxContent>
            </v:textbox>
          </v:shape>
        </w:pict>
      </w:r>
      <w:r>
        <w:rPr>
          <w:noProof/>
        </w:rPr>
        <w:pict>
          <v:shape id="_x0000_s1247" type="#_x0000_t202" style="position:absolute;margin-left:142.5pt;margin-top:103.5pt;width:91.5pt;height:39.75pt;z-index:251748352" fillcolor="#938953 [1614]">
            <v:textbox style="mso-next-textbox:#_x0000_s1247">
              <w:txbxContent>
                <w:p w:rsidR="002B3E5E" w:rsidRPr="006866FC" w:rsidRDefault="002B3E5E" w:rsidP="00922BC4">
                  <w:pPr>
                    <w:rPr>
                      <w:rFonts w:asciiTheme="minorHAnsi" w:hAnsiTheme="minorHAnsi"/>
                      <w:b/>
                    </w:rPr>
                  </w:pPr>
                  <w:r w:rsidRPr="006866FC">
                    <w:rPr>
                      <w:rFonts w:asciiTheme="minorHAnsi" w:hAnsiTheme="minorHAnsi"/>
                      <w:b/>
                    </w:rPr>
                    <w:t>Frequency of past behavio</w:t>
                  </w:r>
                  <w:r>
                    <w:rPr>
                      <w:rFonts w:asciiTheme="minorHAnsi" w:hAnsiTheme="minorHAnsi"/>
                      <w:b/>
                    </w:rPr>
                    <w:t>u</w:t>
                  </w:r>
                  <w:r w:rsidRPr="006866FC">
                    <w:rPr>
                      <w:rFonts w:asciiTheme="minorHAnsi" w:hAnsiTheme="minorHAnsi"/>
                      <w:b/>
                    </w:rPr>
                    <w:t>r</w:t>
                  </w:r>
                </w:p>
              </w:txbxContent>
            </v:textbox>
          </v:shape>
        </w:pict>
      </w:r>
      <w:r>
        <w:rPr>
          <w:noProof/>
        </w:rPr>
        <w:pict>
          <v:shape id="_x0000_s1243" type="#_x0000_t202" style="position:absolute;margin-left:-3pt;margin-top:29pt;width:88.5pt;height:32.25pt;z-index:251744256" fillcolor="#e36c0a [2409]">
            <v:textbox style="mso-next-textbox:#_x0000_s1243">
              <w:txbxContent>
                <w:p w:rsidR="002B3E5E" w:rsidRPr="006866FC" w:rsidRDefault="002B3E5E" w:rsidP="00922BC4">
                  <w:pPr>
                    <w:rPr>
                      <w:rFonts w:asciiTheme="minorHAnsi" w:hAnsiTheme="minorHAnsi"/>
                      <w:b/>
                    </w:rPr>
                  </w:pPr>
                  <w:r w:rsidRPr="006866FC">
                    <w:rPr>
                      <w:rFonts w:asciiTheme="minorHAnsi" w:hAnsiTheme="minorHAnsi"/>
                      <w:b/>
                    </w:rPr>
                    <w:t>Emotions</w:t>
                  </w:r>
                </w:p>
              </w:txbxContent>
            </v:textbox>
          </v:shape>
        </w:pict>
      </w:r>
    </w:p>
    <w:p w:rsidR="002D77FB" w:rsidRDefault="002D77FB" w:rsidP="00922BC4">
      <w:pPr>
        <w:jc w:val="both"/>
        <w:rPr>
          <w:rFonts w:asciiTheme="minorHAnsi" w:hAnsiTheme="minorHAnsi"/>
        </w:rPr>
      </w:pPr>
    </w:p>
    <w:p w:rsidR="002D77FB" w:rsidRDefault="002D77FB" w:rsidP="00922BC4">
      <w:pPr>
        <w:jc w:val="both"/>
        <w:rPr>
          <w:rFonts w:asciiTheme="minorHAnsi" w:hAnsiTheme="minorHAnsi"/>
        </w:rPr>
      </w:pPr>
    </w:p>
    <w:p w:rsidR="002D77FB" w:rsidRDefault="002D77FB" w:rsidP="00922BC4">
      <w:pPr>
        <w:jc w:val="both"/>
        <w:rPr>
          <w:rFonts w:asciiTheme="minorHAnsi" w:hAnsiTheme="minorHAnsi"/>
        </w:rPr>
      </w:pPr>
    </w:p>
    <w:p w:rsidR="002D77FB" w:rsidRDefault="002D77FB" w:rsidP="00922BC4">
      <w:pPr>
        <w:jc w:val="both"/>
        <w:rPr>
          <w:rFonts w:asciiTheme="minorHAnsi" w:hAnsiTheme="minorHAnsi"/>
        </w:rPr>
      </w:pPr>
    </w:p>
    <w:p w:rsidR="002D77FB" w:rsidRDefault="002D77FB" w:rsidP="00922BC4">
      <w:pPr>
        <w:jc w:val="both"/>
        <w:rPr>
          <w:rFonts w:asciiTheme="minorHAnsi" w:hAnsiTheme="minorHAnsi"/>
        </w:rPr>
      </w:pPr>
    </w:p>
    <w:p w:rsidR="005E2DCC" w:rsidRDefault="005E2DCC" w:rsidP="00922BC4">
      <w:pPr>
        <w:jc w:val="both"/>
        <w:rPr>
          <w:rFonts w:asciiTheme="minorHAnsi" w:hAnsiTheme="minorHAnsi"/>
        </w:rPr>
      </w:pPr>
    </w:p>
    <w:p w:rsidR="005E2DCC" w:rsidRDefault="005E2DCC" w:rsidP="00922BC4">
      <w:pPr>
        <w:jc w:val="both"/>
        <w:rPr>
          <w:rFonts w:asciiTheme="minorHAnsi" w:hAnsiTheme="minorHAnsi"/>
        </w:rPr>
      </w:pPr>
    </w:p>
    <w:p w:rsidR="005E2DCC" w:rsidRDefault="005E2DCC" w:rsidP="00922BC4">
      <w:pPr>
        <w:jc w:val="both"/>
        <w:rPr>
          <w:rFonts w:asciiTheme="minorHAnsi" w:hAnsiTheme="minorHAnsi"/>
        </w:rPr>
      </w:pPr>
    </w:p>
    <w:p w:rsidR="005E2DCC" w:rsidRDefault="005E2DCC" w:rsidP="00922BC4">
      <w:pPr>
        <w:jc w:val="both"/>
        <w:rPr>
          <w:rFonts w:asciiTheme="minorHAnsi" w:hAnsiTheme="minorHAnsi"/>
        </w:rPr>
      </w:pPr>
    </w:p>
    <w:p w:rsidR="005E2DCC" w:rsidRDefault="005E2DCC" w:rsidP="00922BC4">
      <w:pPr>
        <w:jc w:val="both"/>
        <w:rPr>
          <w:rFonts w:asciiTheme="minorHAnsi" w:hAnsiTheme="minorHAnsi"/>
        </w:rPr>
      </w:pPr>
    </w:p>
    <w:p w:rsidR="005E2DCC" w:rsidRDefault="005E2DCC" w:rsidP="00922BC4">
      <w:pPr>
        <w:jc w:val="both"/>
        <w:rPr>
          <w:rFonts w:asciiTheme="minorHAnsi" w:hAnsiTheme="minorHAnsi"/>
        </w:rPr>
      </w:pPr>
    </w:p>
    <w:p w:rsidR="005E2DCC" w:rsidRDefault="005E2DCC" w:rsidP="00922BC4">
      <w:pPr>
        <w:jc w:val="both"/>
        <w:rPr>
          <w:rFonts w:asciiTheme="minorHAnsi" w:hAnsiTheme="minorHAnsi"/>
        </w:rPr>
      </w:pPr>
    </w:p>
    <w:p w:rsidR="00922BC4" w:rsidRDefault="00922BC4" w:rsidP="00922BC4">
      <w:pPr>
        <w:jc w:val="both"/>
        <w:rPr>
          <w:rFonts w:asciiTheme="minorHAnsi" w:hAnsiTheme="minorHAnsi"/>
        </w:rPr>
      </w:pPr>
      <w:r w:rsidRPr="00B44C63">
        <w:rPr>
          <w:rFonts w:asciiTheme="minorHAnsi" w:hAnsiTheme="minorHAnsi"/>
        </w:rPr>
        <w:t xml:space="preserve">In this model, the probability of performing a behaviour is affected by intentions, facilitating conditions and habits, i.e. behaviour that has become automatic. </w:t>
      </w:r>
      <w:r w:rsidR="00CF58B1">
        <w:rPr>
          <w:rFonts w:asciiTheme="minorHAnsi" w:hAnsiTheme="minorHAnsi"/>
        </w:rPr>
        <w:t>As behaviours are repeated, habit becomes a better predictor of behaviour than intentions</w:t>
      </w:r>
      <w:r w:rsidR="00CF58B1">
        <w:rPr>
          <w:rStyle w:val="EndnoteReference"/>
          <w:rFonts w:asciiTheme="minorHAnsi" w:hAnsiTheme="minorHAnsi"/>
        </w:rPr>
        <w:endnoteReference w:id="35"/>
      </w:r>
      <w:r w:rsidR="002B0020">
        <w:rPr>
          <w:rFonts w:asciiTheme="minorHAnsi" w:hAnsiTheme="minorHAnsi"/>
        </w:rPr>
        <w:t>.</w:t>
      </w:r>
    </w:p>
    <w:p w:rsidR="005E2DCC" w:rsidRDefault="005E2DCC" w:rsidP="00922BC4">
      <w:pPr>
        <w:jc w:val="both"/>
        <w:rPr>
          <w:rFonts w:asciiTheme="minorHAnsi" w:hAnsiTheme="minorHAnsi"/>
        </w:rPr>
      </w:pPr>
    </w:p>
    <w:p w:rsidR="005E2DCC" w:rsidRDefault="005E2DCC" w:rsidP="00922BC4">
      <w:pPr>
        <w:jc w:val="both"/>
        <w:rPr>
          <w:rFonts w:asciiTheme="minorHAnsi" w:hAnsiTheme="minorHAnsi"/>
        </w:rPr>
      </w:pPr>
    </w:p>
    <w:p w:rsidR="005E2DCC" w:rsidRPr="005E2DCC" w:rsidRDefault="005E2DCC" w:rsidP="005E2DCC">
      <w:pPr>
        <w:jc w:val="both"/>
        <w:rPr>
          <w:rFonts w:asciiTheme="minorHAnsi" w:hAnsiTheme="minorHAnsi" w:cstheme="minorHAnsi"/>
          <w:b/>
        </w:rPr>
      </w:pPr>
      <w:r w:rsidRPr="005E2DCC">
        <w:rPr>
          <w:rFonts w:asciiTheme="minorHAnsi" w:hAnsiTheme="minorHAnsi" w:cstheme="minorHAnsi"/>
          <w:b/>
        </w:rPr>
        <w:t>Social Practice Theory - 3 Elements Model</w:t>
      </w:r>
    </w:p>
    <w:p w:rsidR="005E2DCC" w:rsidRDefault="005E2DCC" w:rsidP="005E2DCC">
      <w:pPr>
        <w:jc w:val="both"/>
        <w:rPr>
          <w:rFonts w:asciiTheme="minorHAnsi" w:hAnsiTheme="minorHAnsi" w:cstheme="minorHAnsi"/>
        </w:rPr>
      </w:pPr>
      <w:r w:rsidRPr="004978D4">
        <w:rPr>
          <w:rFonts w:asciiTheme="minorHAnsi" w:hAnsiTheme="minorHAnsi" w:cstheme="minorHAnsi"/>
        </w:rPr>
        <w:t>Th</w:t>
      </w:r>
      <w:r w:rsidR="00880319">
        <w:rPr>
          <w:rFonts w:asciiTheme="minorHAnsi" w:hAnsiTheme="minorHAnsi" w:cstheme="minorHAnsi"/>
        </w:rPr>
        <w:t>e 3 Elements</w:t>
      </w:r>
      <w:r w:rsidRPr="004978D4">
        <w:rPr>
          <w:rFonts w:asciiTheme="minorHAnsi" w:hAnsiTheme="minorHAnsi" w:cstheme="minorHAnsi"/>
        </w:rPr>
        <w:t xml:space="preserve"> model, developed by sociologist Elizabeth Shove, takes a radically different approach to studying behaviour that may provide a suitable way for looking at health issues that have a significant level of social determination</w:t>
      </w:r>
      <w:r w:rsidR="002B0020">
        <w:rPr>
          <w:rFonts w:asciiTheme="minorHAnsi" w:hAnsiTheme="minorHAnsi" w:cstheme="minorHAnsi"/>
        </w:rPr>
        <w:t xml:space="preserve"> </w:t>
      </w:r>
      <w:r w:rsidRPr="004978D4">
        <w:rPr>
          <w:rFonts w:asciiTheme="minorHAnsi" w:hAnsiTheme="minorHAnsi" w:cstheme="minorHAnsi"/>
        </w:rPr>
        <w:t xml:space="preserve">- and the obesogenic environment is a very strong example.  The model was primarily derived though looking at </w:t>
      </w:r>
      <w:r w:rsidR="00880319">
        <w:rPr>
          <w:rFonts w:asciiTheme="minorHAnsi" w:hAnsiTheme="minorHAnsi" w:cstheme="minorHAnsi"/>
        </w:rPr>
        <w:t xml:space="preserve">personal </w:t>
      </w:r>
      <w:r w:rsidRPr="004978D4">
        <w:rPr>
          <w:rFonts w:asciiTheme="minorHAnsi" w:hAnsiTheme="minorHAnsi" w:cstheme="minorHAnsi"/>
        </w:rPr>
        <w:t xml:space="preserve">energy usage </w:t>
      </w:r>
      <w:r w:rsidR="001371A5">
        <w:rPr>
          <w:rFonts w:asciiTheme="minorHAnsi" w:hAnsiTheme="minorHAnsi" w:cstheme="minorHAnsi"/>
        </w:rPr>
        <w:t xml:space="preserve">within the context of climate change </w:t>
      </w:r>
      <w:r w:rsidRPr="004978D4">
        <w:rPr>
          <w:rFonts w:asciiTheme="minorHAnsi" w:hAnsiTheme="minorHAnsi" w:cstheme="minorHAnsi"/>
        </w:rPr>
        <w:t>and the key determining feature is that the individual is no longer the unit of enquiry</w:t>
      </w:r>
      <w:r w:rsidR="00880319" w:rsidRPr="00880319">
        <w:rPr>
          <w:rStyle w:val="EndnoteReference"/>
          <w:rFonts w:asciiTheme="minorHAnsi" w:hAnsiTheme="minorHAnsi" w:cstheme="minorHAnsi"/>
        </w:rPr>
        <w:endnoteReference w:id="36"/>
      </w:r>
      <w:r w:rsidR="00880319" w:rsidRPr="00880319">
        <w:rPr>
          <w:rFonts w:asciiTheme="minorHAnsi" w:hAnsiTheme="minorHAnsi" w:cstheme="minorHAnsi"/>
          <w:vertAlign w:val="superscript"/>
        </w:rPr>
        <w:t xml:space="preserve">, </w:t>
      </w:r>
      <w:r w:rsidR="00880319">
        <w:rPr>
          <w:rStyle w:val="EndnoteReference"/>
          <w:rFonts w:asciiTheme="minorHAnsi" w:hAnsiTheme="minorHAnsi" w:cstheme="minorHAnsi"/>
        </w:rPr>
        <w:endnoteReference w:id="37"/>
      </w:r>
      <w:r w:rsidRPr="004978D4">
        <w:rPr>
          <w:rFonts w:asciiTheme="minorHAnsi" w:hAnsiTheme="minorHAnsi" w:cstheme="minorHAnsi"/>
        </w:rPr>
        <w:t>.</w:t>
      </w:r>
      <w:r>
        <w:rPr>
          <w:rFonts w:asciiTheme="minorHAnsi" w:hAnsiTheme="minorHAnsi" w:cstheme="minorHAnsi"/>
        </w:rPr>
        <w:t xml:space="preserve">  </w:t>
      </w:r>
    </w:p>
    <w:p w:rsidR="00880319" w:rsidRPr="00AE2C73" w:rsidRDefault="00880319" w:rsidP="005E2DCC">
      <w:pPr>
        <w:jc w:val="both"/>
        <w:rPr>
          <w:rFonts w:asciiTheme="minorHAnsi" w:hAnsiTheme="minorHAnsi" w:cstheme="minorHAnsi"/>
        </w:rPr>
      </w:pPr>
    </w:p>
    <w:p w:rsidR="005E2DCC" w:rsidRPr="004978D4" w:rsidRDefault="005E2DCC" w:rsidP="005E2DCC">
      <w:pPr>
        <w:spacing w:after="240"/>
        <w:jc w:val="both"/>
        <w:rPr>
          <w:rFonts w:asciiTheme="minorHAnsi" w:hAnsiTheme="minorHAnsi" w:cstheme="minorHAnsi"/>
        </w:rPr>
      </w:pPr>
      <w:r w:rsidRPr="004978D4">
        <w:rPr>
          <w:rFonts w:asciiTheme="minorHAnsi" w:hAnsiTheme="minorHAnsi" w:cstheme="minorHAnsi"/>
        </w:rPr>
        <w:t xml:space="preserve">Instead </w:t>
      </w:r>
      <w:r w:rsidR="00A42D2C">
        <w:rPr>
          <w:rFonts w:asciiTheme="minorHAnsi" w:hAnsiTheme="minorHAnsi" w:cstheme="minorHAnsi"/>
        </w:rPr>
        <w:t>‘</w:t>
      </w:r>
      <w:r w:rsidRPr="004978D4">
        <w:rPr>
          <w:rFonts w:asciiTheme="minorHAnsi" w:hAnsiTheme="minorHAnsi" w:cstheme="minorHAnsi"/>
        </w:rPr>
        <w:t>behaviour</w:t>
      </w:r>
      <w:r w:rsidR="00A42D2C">
        <w:rPr>
          <w:rFonts w:asciiTheme="minorHAnsi" w:hAnsiTheme="minorHAnsi" w:cstheme="minorHAnsi"/>
        </w:rPr>
        <w:t>’</w:t>
      </w:r>
      <w:r w:rsidRPr="004978D4">
        <w:rPr>
          <w:rFonts w:asciiTheme="minorHAnsi" w:hAnsiTheme="minorHAnsi" w:cstheme="minorHAnsi"/>
        </w:rPr>
        <w:t xml:space="preserve"> is seen as consisting of sets of ‘social practices’ that exist and occur outside any individual (re) enactment of them.  These practices relate to how things are don</w:t>
      </w:r>
      <w:r w:rsidR="002B0020">
        <w:rPr>
          <w:rFonts w:asciiTheme="minorHAnsi" w:hAnsiTheme="minorHAnsi" w:cstheme="minorHAnsi"/>
        </w:rPr>
        <w:t>e</w:t>
      </w:r>
      <w:r w:rsidRPr="004978D4">
        <w:rPr>
          <w:rFonts w:asciiTheme="minorHAnsi" w:hAnsiTheme="minorHAnsi" w:cstheme="minorHAnsi"/>
        </w:rPr>
        <w:t xml:space="preserve"> (and in some cases whether things are done at all).  This model sees these practices as emerging from the relationship between three elements: Material, Meanings and Procedures</w:t>
      </w:r>
      <w:r w:rsidR="001371A5">
        <w:rPr>
          <w:rFonts w:asciiTheme="minorHAnsi" w:hAnsiTheme="minorHAnsi" w:cstheme="minorHAnsi"/>
        </w:rPr>
        <w:t>.</w:t>
      </w:r>
    </w:p>
    <w:p w:rsidR="009A4152" w:rsidRDefault="005E2DCC">
      <w:pPr>
        <w:spacing w:after="240"/>
        <w:jc w:val="both"/>
        <w:rPr>
          <w:rFonts w:asciiTheme="minorHAnsi" w:hAnsiTheme="minorHAnsi"/>
        </w:rPr>
      </w:pPr>
      <w:r w:rsidRPr="004978D4">
        <w:rPr>
          <w:rFonts w:asciiTheme="minorHAnsi" w:hAnsiTheme="minorHAnsi"/>
          <w:b/>
        </w:rPr>
        <w:lastRenderedPageBreak/>
        <w:t xml:space="preserve">Materials:  </w:t>
      </w:r>
      <w:r w:rsidRPr="004978D4">
        <w:rPr>
          <w:rFonts w:asciiTheme="minorHAnsi" w:hAnsiTheme="minorHAnsi"/>
        </w:rPr>
        <w:t>Physical objects which permit or facilitate certain activities to be performed in specific ways</w:t>
      </w:r>
      <w:r w:rsidR="00766E33">
        <w:rPr>
          <w:rFonts w:asciiTheme="minorHAnsi" w:hAnsiTheme="minorHAnsi"/>
        </w:rPr>
        <w:t>.</w:t>
      </w:r>
    </w:p>
    <w:p w:rsidR="009A4152" w:rsidRDefault="005E2DCC">
      <w:pPr>
        <w:spacing w:after="240"/>
        <w:jc w:val="both"/>
        <w:rPr>
          <w:rFonts w:asciiTheme="minorHAnsi" w:hAnsiTheme="minorHAnsi"/>
          <w:b/>
        </w:rPr>
      </w:pPr>
      <w:r w:rsidRPr="004978D4">
        <w:rPr>
          <w:rFonts w:asciiTheme="minorHAnsi" w:hAnsiTheme="minorHAnsi"/>
          <w:b/>
        </w:rPr>
        <w:t xml:space="preserve">Meanings:  </w:t>
      </w:r>
      <w:r w:rsidRPr="004978D4">
        <w:rPr>
          <w:rFonts w:asciiTheme="minorHAnsi" w:hAnsiTheme="minorHAnsi"/>
        </w:rPr>
        <w:t>Images, interpretations or concepts associated with activities that determine how and when they might be performed</w:t>
      </w:r>
      <w:r w:rsidR="00766E33">
        <w:rPr>
          <w:rFonts w:asciiTheme="minorHAnsi" w:hAnsiTheme="minorHAnsi"/>
        </w:rPr>
        <w:t>.</w:t>
      </w:r>
      <w:r w:rsidRPr="004978D4">
        <w:rPr>
          <w:rFonts w:asciiTheme="minorHAnsi" w:hAnsiTheme="minorHAnsi"/>
        </w:rPr>
        <w:t xml:space="preserve"> </w:t>
      </w:r>
    </w:p>
    <w:p w:rsidR="009A4152" w:rsidRDefault="005E2DCC">
      <w:pPr>
        <w:spacing w:after="240"/>
        <w:jc w:val="both"/>
        <w:rPr>
          <w:rFonts w:asciiTheme="minorHAnsi" w:hAnsiTheme="minorHAnsi"/>
        </w:rPr>
      </w:pPr>
      <w:r w:rsidRPr="004978D4">
        <w:rPr>
          <w:rFonts w:asciiTheme="minorHAnsi" w:hAnsiTheme="minorHAnsi"/>
          <w:b/>
        </w:rPr>
        <w:t xml:space="preserve">Procedures:  </w:t>
      </w:r>
      <w:r w:rsidRPr="004978D4">
        <w:rPr>
          <w:rFonts w:asciiTheme="minorHAnsi" w:hAnsiTheme="minorHAnsi"/>
        </w:rPr>
        <w:t>Skills, know-how or competencies that permit, or lead to activities being undertaken in certain ways</w:t>
      </w:r>
      <w:r>
        <w:rPr>
          <w:rFonts w:asciiTheme="minorHAnsi" w:hAnsiTheme="minorHAnsi"/>
        </w:rPr>
        <w:t>.</w:t>
      </w:r>
    </w:p>
    <w:p w:rsidR="009A4152" w:rsidRDefault="005E2DCC">
      <w:pPr>
        <w:jc w:val="both"/>
        <w:rPr>
          <w:rFonts w:asciiTheme="minorHAnsi" w:hAnsiTheme="minorHAnsi"/>
        </w:rPr>
      </w:pPr>
      <w:r w:rsidRPr="004978D4">
        <w:rPr>
          <w:rFonts w:asciiTheme="minorHAnsi" w:hAnsiTheme="minorHAnsi"/>
        </w:rPr>
        <w:t xml:space="preserve">These three elements are not all independent from each other, there will be interactions.  Practices (represented by the dotted line) can be seen as </w:t>
      </w:r>
      <w:r w:rsidRPr="004978D4">
        <w:rPr>
          <w:rFonts w:asciiTheme="minorHAnsi" w:hAnsiTheme="minorHAnsi"/>
          <w:i/>
        </w:rPr>
        <w:t>emergent properties</w:t>
      </w:r>
      <w:r w:rsidRPr="004978D4">
        <w:rPr>
          <w:rFonts w:asciiTheme="minorHAnsi" w:hAnsiTheme="minorHAnsi"/>
        </w:rPr>
        <w:t xml:space="preserve">, arising from the interaction of these factors – they do not come about as a direct and linear result of the various elements.  They become normal through a gradual alignment of the three elements, resulting in new sets of societal expectations or conventions.  Consequently taking this approach means accepting that policies will need to be designed to encompass a wide range of actors, and they may need to accept a more complex approach as to how specific outcomes might be achieved.  </w:t>
      </w:r>
    </w:p>
    <w:p w:rsidR="009A4152" w:rsidRDefault="009A4152">
      <w:pPr>
        <w:jc w:val="both"/>
        <w:rPr>
          <w:rFonts w:asciiTheme="minorHAnsi" w:hAnsiTheme="minorHAnsi"/>
        </w:rPr>
      </w:pPr>
    </w:p>
    <w:p w:rsidR="009A4152" w:rsidRDefault="005E2DCC">
      <w:pPr>
        <w:jc w:val="both"/>
        <w:rPr>
          <w:rFonts w:asciiTheme="minorHAnsi" w:hAnsiTheme="minorHAnsi"/>
        </w:rPr>
      </w:pPr>
      <w:r>
        <w:rPr>
          <w:rFonts w:asciiTheme="minorHAnsi" w:hAnsiTheme="minorHAnsi"/>
        </w:rPr>
        <w:t xml:space="preserve">This approach is receiving increasing </w:t>
      </w:r>
      <w:r w:rsidR="00766E33">
        <w:rPr>
          <w:rFonts w:asciiTheme="minorHAnsi" w:hAnsiTheme="minorHAnsi"/>
        </w:rPr>
        <w:t xml:space="preserve">recognition </w:t>
      </w:r>
      <w:r>
        <w:rPr>
          <w:rFonts w:asciiTheme="minorHAnsi" w:hAnsiTheme="minorHAnsi"/>
        </w:rPr>
        <w:t xml:space="preserve">from a number of government departments – including </w:t>
      </w:r>
      <w:r w:rsidR="00766E33">
        <w:rPr>
          <w:rFonts w:asciiTheme="minorHAnsi" w:hAnsiTheme="minorHAnsi"/>
        </w:rPr>
        <w:t xml:space="preserve">the </w:t>
      </w:r>
      <w:r>
        <w:rPr>
          <w:rFonts w:asciiTheme="minorHAnsi" w:hAnsiTheme="minorHAnsi"/>
        </w:rPr>
        <w:t>D</w:t>
      </w:r>
      <w:r w:rsidR="00766E33">
        <w:rPr>
          <w:rFonts w:asciiTheme="minorHAnsi" w:hAnsiTheme="minorHAnsi"/>
        </w:rPr>
        <w:t xml:space="preserve">epartment of </w:t>
      </w:r>
      <w:r>
        <w:rPr>
          <w:rFonts w:asciiTheme="minorHAnsi" w:hAnsiTheme="minorHAnsi"/>
        </w:rPr>
        <w:t>E</w:t>
      </w:r>
      <w:r w:rsidR="00766E33">
        <w:rPr>
          <w:rFonts w:asciiTheme="minorHAnsi" w:hAnsiTheme="minorHAnsi"/>
        </w:rPr>
        <w:t xml:space="preserve">nergy and </w:t>
      </w:r>
      <w:r>
        <w:rPr>
          <w:rFonts w:asciiTheme="minorHAnsi" w:hAnsiTheme="minorHAnsi"/>
        </w:rPr>
        <w:t>C</w:t>
      </w:r>
      <w:r w:rsidR="00766E33">
        <w:rPr>
          <w:rFonts w:asciiTheme="minorHAnsi" w:hAnsiTheme="minorHAnsi"/>
        </w:rPr>
        <w:t xml:space="preserve">limate </w:t>
      </w:r>
      <w:r>
        <w:rPr>
          <w:rFonts w:asciiTheme="minorHAnsi" w:hAnsiTheme="minorHAnsi"/>
        </w:rPr>
        <w:t>C</w:t>
      </w:r>
      <w:r w:rsidR="00766E33">
        <w:rPr>
          <w:rFonts w:asciiTheme="minorHAnsi" w:hAnsiTheme="minorHAnsi"/>
        </w:rPr>
        <w:t>hange</w:t>
      </w:r>
      <w:r>
        <w:rPr>
          <w:rFonts w:asciiTheme="minorHAnsi" w:hAnsiTheme="minorHAnsi"/>
        </w:rPr>
        <w:t>,</w:t>
      </w:r>
      <w:r w:rsidR="00766E33">
        <w:rPr>
          <w:rFonts w:asciiTheme="minorHAnsi" w:hAnsiTheme="minorHAnsi"/>
        </w:rPr>
        <w:t xml:space="preserve"> the</w:t>
      </w:r>
      <w:r>
        <w:rPr>
          <w:rFonts w:asciiTheme="minorHAnsi" w:hAnsiTheme="minorHAnsi"/>
        </w:rPr>
        <w:t xml:space="preserve"> D</w:t>
      </w:r>
      <w:r w:rsidR="00766E33">
        <w:rPr>
          <w:rFonts w:asciiTheme="minorHAnsi" w:hAnsiTheme="minorHAnsi"/>
        </w:rPr>
        <w:t xml:space="preserve">epartment for Food and Rural Affairs </w:t>
      </w:r>
      <w:r>
        <w:rPr>
          <w:rFonts w:asciiTheme="minorHAnsi" w:hAnsiTheme="minorHAnsi"/>
        </w:rPr>
        <w:t xml:space="preserve">and </w:t>
      </w:r>
      <w:r w:rsidR="00766E33">
        <w:rPr>
          <w:rFonts w:asciiTheme="minorHAnsi" w:hAnsiTheme="minorHAnsi"/>
        </w:rPr>
        <w:t xml:space="preserve">the </w:t>
      </w:r>
      <w:r>
        <w:rPr>
          <w:rFonts w:asciiTheme="minorHAnsi" w:hAnsiTheme="minorHAnsi"/>
        </w:rPr>
        <w:t>D</w:t>
      </w:r>
      <w:r w:rsidR="00766E33">
        <w:rPr>
          <w:rFonts w:asciiTheme="minorHAnsi" w:hAnsiTheme="minorHAnsi"/>
        </w:rPr>
        <w:t xml:space="preserve">epartment for </w:t>
      </w:r>
      <w:r>
        <w:rPr>
          <w:rFonts w:asciiTheme="minorHAnsi" w:hAnsiTheme="minorHAnsi"/>
        </w:rPr>
        <w:t>C</w:t>
      </w:r>
      <w:r w:rsidR="00766E33">
        <w:rPr>
          <w:rFonts w:asciiTheme="minorHAnsi" w:hAnsiTheme="minorHAnsi"/>
        </w:rPr>
        <w:t xml:space="preserve">ommunities and </w:t>
      </w:r>
      <w:r>
        <w:rPr>
          <w:rFonts w:asciiTheme="minorHAnsi" w:hAnsiTheme="minorHAnsi"/>
        </w:rPr>
        <w:t>L</w:t>
      </w:r>
      <w:r w:rsidR="00766E33">
        <w:rPr>
          <w:rFonts w:asciiTheme="minorHAnsi" w:hAnsiTheme="minorHAnsi"/>
        </w:rPr>
        <w:t xml:space="preserve">ocal </w:t>
      </w:r>
      <w:r>
        <w:rPr>
          <w:rFonts w:asciiTheme="minorHAnsi" w:hAnsiTheme="minorHAnsi"/>
        </w:rPr>
        <w:t>G</w:t>
      </w:r>
      <w:r w:rsidR="00766E33">
        <w:rPr>
          <w:rFonts w:asciiTheme="minorHAnsi" w:hAnsiTheme="minorHAnsi"/>
        </w:rPr>
        <w:t>overnment</w:t>
      </w:r>
      <w:r>
        <w:rPr>
          <w:rFonts w:asciiTheme="minorHAnsi" w:hAnsiTheme="minorHAnsi"/>
        </w:rPr>
        <w:t xml:space="preserve">. </w:t>
      </w:r>
    </w:p>
    <w:p w:rsidR="005E2DCC" w:rsidRDefault="005E2DCC" w:rsidP="005E2DCC">
      <w:pPr>
        <w:jc w:val="both"/>
        <w:rPr>
          <w:rFonts w:asciiTheme="minorHAnsi" w:hAnsiTheme="minorHAnsi" w:cstheme="minorHAnsi"/>
          <w:highlight w:val="yellow"/>
        </w:rPr>
      </w:pPr>
    </w:p>
    <w:p w:rsidR="005E2DCC" w:rsidRDefault="005E2DCC" w:rsidP="005E2DCC">
      <w:pPr>
        <w:jc w:val="both"/>
        <w:rPr>
          <w:rFonts w:asciiTheme="minorHAnsi" w:hAnsiTheme="minorHAnsi" w:cstheme="minorHAnsi"/>
          <w:b/>
        </w:rPr>
      </w:pPr>
    </w:p>
    <w:p w:rsidR="005E2DCC" w:rsidRPr="005E2DCC" w:rsidRDefault="005E2DCC" w:rsidP="005E2DCC">
      <w:pPr>
        <w:pStyle w:val="Caption"/>
        <w:rPr>
          <w:rFonts w:asciiTheme="minorHAnsi" w:hAnsiTheme="minorHAnsi" w:cstheme="minorHAnsi"/>
          <w:color w:val="auto"/>
          <w:sz w:val="22"/>
          <w:szCs w:val="22"/>
        </w:rPr>
      </w:pPr>
      <w:r w:rsidRPr="005E2DCC">
        <w:rPr>
          <w:rFonts w:asciiTheme="minorHAnsi" w:hAnsiTheme="minorHAnsi"/>
          <w:color w:val="auto"/>
          <w:sz w:val="22"/>
          <w:szCs w:val="22"/>
        </w:rPr>
        <w:t xml:space="preserve">Figure </w:t>
      </w:r>
      <w:r w:rsidR="0081481C">
        <w:rPr>
          <w:rFonts w:asciiTheme="minorHAnsi" w:hAnsiTheme="minorHAnsi"/>
          <w:color w:val="auto"/>
          <w:sz w:val="22"/>
          <w:szCs w:val="22"/>
        </w:rPr>
        <w:t>8</w:t>
      </w:r>
      <w:r w:rsidR="00B86E4C">
        <w:rPr>
          <w:rFonts w:asciiTheme="minorHAnsi" w:hAnsiTheme="minorHAnsi"/>
          <w:color w:val="auto"/>
          <w:sz w:val="22"/>
          <w:szCs w:val="22"/>
        </w:rPr>
        <w:t>:</w:t>
      </w:r>
      <w:r w:rsidRPr="005E2DCC">
        <w:rPr>
          <w:rFonts w:asciiTheme="minorHAnsi" w:hAnsiTheme="minorHAnsi"/>
          <w:color w:val="auto"/>
          <w:sz w:val="22"/>
          <w:szCs w:val="22"/>
        </w:rPr>
        <w:t xml:space="preserve"> Elements Model of Social Practices</w:t>
      </w:r>
    </w:p>
    <w:p w:rsidR="005E2DCC" w:rsidRDefault="005E2DCC" w:rsidP="00922BC4">
      <w:pPr>
        <w:jc w:val="both"/>
        <w:rPr>
          <w:rFonts w:asciiTheme="minorHAnsi" w:hAnsiTheme="minorHAnsi"/>
        </w:rPr>
      </w:pPr>
      <w:r w:rsidRPr="005E2DCC">
        <w:rPr>
          <w:rFonts w:asciiTheme="minorHAnsi" w:hAnsiTheme="minorHAnsi"/>
          <w:noProof/>
        </w:rPr>
        <w:drawing>
          <wp:inline distT="0" distB="0" distL="0" distR="0">
            <wp:extent cx="4573498" cy="3223642"/>
            <wp:effectExtent l="19050" t="19050" r="17552" b="14858"/>
            <wp:docPr id="9" name="Picture 2" descr="3 El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Elements.jpg"/>
                    <pic:cNvPicPr/>
                  </pic:nvPicPr>
                  <pic:blipFill>
                    <a:blip r:embed="rId16" cstate="print"/>
                    <a:stretch>
                      <a:fillRect/>
                    </a:stretch>
                  </pic:blipFill>
                  <pic:spPr>
                    <a:xfrm>
                      <a:off x="0" y="0"/>
                      <a:ext cx="4586715" cy="3232958"/>
                    </a:xfrm>
                    <a:prstGeom prst="rect">
                      <a:avLst/>
                    </a:prstGeom>
                    <a:ln>
                      <a:solidFill>
                        <a:schemeClr val="tx1"/>
                      </a:solidFill>
                    </a:ln>
                  </pic:spPr>
                </pic:pic>
              </a:graphicData>
            </a:graphic>
          </wp:inline>
        </w:drawing>
      </w:r>
    </w:p>
    <w:p w:rsidR="005E2DCC" w:rsidRDefault="005E2DCC" w:rsidP="00922BC4">
      <w:pPr>
        <w:jc w:val="both"/>
        <w:rPr>
          <w:rFonts w:asciiTheme="minorHAnsi" w:hAnsiTheme="minorHAnsi"/>
        </w:rPr>
      </w:pPr>
    </w:p>
    <w:p w:rsidR="005E2DCC" w:rsidRDefault="005E2DCC" w:rsidP="00922BC4">
      <w:pPr>
        <w:jc w:val="both"/>
        <w:rPr>
          <w:rFonts w:asciiTheme="minorHAnsi" w:hAnsiTheme="minorHAnsi"/>
        </w:rPr>
      </w:pPr>
    </w:p>
    <w:p w:rsidR="00880319" w:rsidRDefault="00880319">
      <w:pPr>
        <w:rPr>
          <w:rFonts w:asciiTheme="minorHAnsi" w:hAnsiTheme="minorHAnsi"/>
        </w:rPr>
      </w:pPr>
      <w:r>
        <w:rPr>
          <w:rFonts w:asciiTheme="minorHAnsi" w:hAnsiTheme="minorHAnsi"/>
        </w:rPr>
        <w:br w:type="page"/>
      </w:r>
    </w:p>
    <w:p w:rsidR="00A076D5" w:rsidRDefault="00A076D5" w:rsidP="00A076D5">
      <w:pPr>
        <w:jc w:val="both"/>
        <w:rPr>
          <w:rFonts w:asciiTheme="minorHAnsi" w:hAnsiTheme="minorHAnsi"/>
        </w:rPr>
      </w:pPr>
      <w:r>
        <w:rPr>
          <w:rFonts w:asciiTheme="minorHAnsi" w:hAnsiTheme="minorHAnsi"/>
        </w:rPr>
        <w:lastRenderedPageBreak/>
        <w:t>Theories of Social Practice are also closely related to a large body of work on socio-technical systems which look at the interactions between people and technology in society, and how technologies tend to drive and control behaviours.  This also feeds in to work on ‘Transitions Theory’ which looks at how widespread changes in society come about, or can be influenced.  These theories are currently very prominent in the field of climate change and the need to move to a low-carbon economy (see</w:t>
      </w:r>
      <w:r w:rsidR="005B2C35">
        <w:rPr>
          <w:rFonts w:asciiTheme="minorHAnsi" w:hAnsiTheme="minorHAnsi"/>
        </w:rPr>
        <w:t xml:space="preserve"> </w:t>
      </w:r>
      <w:r>
        <w:rPr>
          <w:rStyle w:val="EndnoteReference"/>
        </w:rPr>
        <w:endnoteReference w:id="38"/>
      </w:r>
      <w:r>
        <w:rPr>
          <w:rFonts w:asciiTheme="minorHAnsi" w:hAnsiTheme="minorHAnsi"/>
        </w:rPr>
        <w:t xml:space="preserve">).  However, they can also offer much to the field of public health, particularly when it is accepted that the problem is influenced by the wider societal landscape, and is not just a consequence of the isolated choices of individuals.  The use of models like the one shown in </w:t>
      </w:r>
      <w:r w:rsidR="00AA18C1">
        <w:rPr>
          <w:rFonts w:asciiTheme="minorHAnsi" w:hAnsiTheme="minorHAnsi"/>
        </w:rPr>
        <w:t xml:space="preserve">Figure </w:t>
      </w:r>
      <w:r w:rsidR="0081481C">
        <w:rPr>
          <w:rFonts w:asciiTheme="minorHAnsi" w:hAnsiTheme="minorHAnsi"/>
        </w:rPr>
        <w:t>9</w:t>
      </w:r>
      <w:r w:rsidR="00AA18C1">
        <w:rPr>
          <w:rFonts w:asciiTheme="minorHAnsi" w:hAnsiTheme="minorHAnsi"/>
        </w:rPr>
        <w:t xml:space="preserve"> </w:t>
      </w:r>
      <w:r>
        <w:rPr>
          <w:rFonts w:asciiTheme="minorHAnsi" w:hAnsiTheme="minorHAnsi"/>
        </w:rPr>
        <w:t>can be useful in identifying either negative trends and actors in society that will, unless anticipated and managed, drive behaviours in an anti-health direction, or positive trends which can be accelerated and ‘mainst</w:t>
      </w:r>
      <w:r w:rsidR="00AC76D1">
        <w:rPr>
          <w:rFonts w:asciiTheme="minorHAnsi" w:hAnsiTheme="minorHAnsi"/>
        </w:rPr>
        <w:t>r</w:t>
      </w:r>
      <w:r>
        <w:rPr>
          <w:rFonts w:asciiTheme="minorHAnsi" w:hAnsiTheme="minorHAnsi"/>
        </w:rPr>
        <w:t>eamed’.</w:t>
      </w:r>
    </w:p>
    <w:p w:rsidR="00B86E4C" w:rsidRDefault="00B86E4C" w:rsidP="00A076D5">
      <w:pPr>
        <w:jc w:val="both"/>
        <w:rPr>
          <w:rFonts w:asciiTheme="minorHAnsi" w:hAnsiTheme="minorHAnsi"/>
        </w:rPr>
      </w:pPr>
    </w:p>
    <w:p w:rsidR="00B86E4C" w:rsidRPr="00B86E4C" w:rsidRDefault="00B86E4C" w:rsidP="00A076D5">
      <w:pPr>
        <w:jc w:val="both"/>
        <w:rPr>
          <w:rFonts w:asciiTheme="minorHAnsi" w:hAnsiTheme="minorHAnsi"/>
          <w:b/>
        </w:rPr>
      </w:pPr>
      <w:r w:rsidRPr="00B86E4C">
        <w:rPr>
          <w:rFonts w:asciiTheme="minorHAnsi" w:hAnsiTheme="minorHAnsi"/>
          <w:b/>
        </w:rPr>
        <w:t xml:space="preserve">Figure </w:t>
      </w:r>
      <w:r w:rsidR="0081481C">
        <w:rPr>
          <w:rFonts w:asciiTheme="minorHAnsi" w:hAnsiTheme="minorHAnsi"/>
          <w:b/>
        </w:rPr>
        <w:t>9</w:t>
      </w:r>
      <w:r w:rsidRPr="00B86E4C">
        <w:rPr>
          <w:rFonts w:asciiTheme="minorHAnsi" w:hAnsiTheme="minorHAnsi"/>
          <w:b/>
        </w:rPr>
        <w:t>:  Example of Social Practice Model</w:t>
      </w:r>
    </w:p>
    <w:p w:rsidR="00A076D5" w:rsidRDefault="00A076D5" w:rsidP="00A076D5"/>
    <w:p w:rsidR="00A076D5" w:rsidRDefault="008C2912" w:rsidP="00A076D5">
      <w:r>
        <w:rPr>
          <w:noProof/>
        </w:rPr>
        <w:drawing>
          <wp:inline distT="0" distB="0" distL="0" distR="0">
            <wp:extent cx="5274310" cy="5173778"/>
            <wp:effectExtent l="19050" t="0" r="2540" b="0"/>
            <wp:docPr id="13"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7" cstate="print"/>
                    <a:srcRect/>
                    <a:stretch>
                      <a:fillRect/>
                    </a:stretch>
                  </pic:blipFill>
                  <pic:spPr bwMode="auto">
                    <a:xfrm>
                      <a:off x="0" y="0"/>
                      <a:ext cx="5274310" cy="5173778"/>
                    </a:xfrm>
                    <a:prstGeom prst="rect">
                      <a:avLst/>
                    </a:prstGeom>
                    <a:noFill/>
                    <a:ln w="9525">
                      <a:noFill/>
                      <a:miter lim="800000"/>
                      <a:headEnd/>
                      <a:tailEnd/>
                    </a:ln>
                  </pic:spPr>
                </pic:pic>
              </a:graphicData>
            </a:graphic>
          </wp:inline>
        </w:drawing>
      </w:r>
    </w:p>
    <w:p w:rsidR="00A24503" w:rsidRDefault="00A24503">
      <w:pPr>
        <w:rPr>
          <w:rFonts w:asciiTheme="minorHAnsi" w:hAnsiTheme="minorHAnsi"/>
        </w:rPr>
      </w:pPr>
      <w:r>
        <w:rPr>
          <w:rFonts w:asciiTheme="minorHAnsi" w:hAnsiTheme="minorHAnsi"/>
        </w:rPr>
        <w:br w:type="page"/>
      </w:r>
    </w:p>
    <w:p w:rsidR="00A076D5" w:rsidRDefault="00B86E4C" w:rsidP="00A24503">
      <w:pPr>
        <w:rPr>
          <w:rFonts w:ascii="Calibri" w:hAnsi="Calibri" w:cs="Calibri"/>
        </w:rPr>
      </w:pPr>
      <w:r>
        <w:rPr>
          <w:rFonts w:ascii="Calibri" w:hAnsi="Calibri" w:cs="Calibri"/>
        </w:rPr>
        <w:lastRenderedPageBreak/>
        <w:t>Examples of the linkage of models and theories to determinants of health is shown in Figure 1</w:t>
      </w:r>
      <w:r w:rsidR="0081481C">
        <w:rPr>
          <w:rFonts w:ascii="Calibri" w:hAnsi="Calibri" w:cs="Calibri"/>
        </w:rPr>
        <w:t>0</w:t>
      </w:r>
      <w:r>
        <w:rPr>
          <w:rFonts w:ascii="Calibri" w:hAnsi="Calibri" w:cs="Calibri"/>
        </w:rPr>
        <w:t>.   These are purely illustrative and are not intended to be a exhaustive list</w:t>
      </w:r>
      <w:r w:rsidR="00CB2BF9">
        <w:rPr>
          <w:rFonts w:ascii="Calibri" w:hAnsi="Calibri" w:cs="Calibri"/>
        </w:rPr>
        <w:t>; they reinforce the earlier comments regarding the complexity of factors potentially impacting on health-related behaviours</w:t>
      </w:r>
      <w:r>
        <w:rPr>
          <w:rFonts w:ascii="Calibri" w:hAnsi="Calibri" w:cs="Calibri"/>
        </w:rPr>
        <w:t>.</w:t>
      </w:r>
    </w:p>
    <w:p w:rsidR="00A076D5" w:rsidRDefault="00A076D5" w:rsidP="00A24503">
      <w:pPr>
        <w:rPr>
          <w:rFonts w:ascii="Calibri" w:hAnsi="Calibri" w:cs="Calibri"/>
        </w:rPr>
      </w:pPr>
    </w:p>
    <w:p w:rsidR="00A076D5" w:rsidRPr="00BB676B" w:rsidRDefault="0081481C" w:rsidP="00A24503">
      <w:pPr>
        <w:rPr>
          <w:rFonts w:ascii="Calibri" w:hAnsi="Calibri" w:cs="Calibri"/>
        </w:rPr>
      </w:pPr>
      <w:r>
        <w:rPr>
          <w:rFonts w:ascii="Calibri" w:hAnsi="Calibri" w:cs="Calibri"/>
          <w:b/>
        </w:rPr>
        <w:t>Figure 10</w:t>
      </w:r>
      <w:r w:rsidR="00AD5DFE">
        <w:rPr>
          <w:rFonts w:ascii="Calibri" w:hAnsi="Calibri" w:cs="Calibri"/>
          <w:b/>
        </w:rPr>
        <w:t>:</w:t>
      </w:r>
      <w:r w:rsidR="002C6EBC" w:rsidRPr="00CB2BF9">
        <w:rPr>
          <w:rFonts w:ascii="Calibri" w:hAnsi="Calibri" w:cs="Calibri"/>
          <w:b/>
        </w:rPr>
        <w:t xml:space="preserve"> Da</w:t>
      </w:r>
      <w:r w:rsidR="00AC76D1">
        <w:rPr>
          <w:rFonts w:ascii="Calibri" w:hAnsi="Calibri" w:cs="Calibri"/>
          <w:b/>
        </w:rPr>
        <w:t>h</w:t>
      </w:r>
      <w:r w:rsidR="002C6EBC" w:rsidRPr="00CB2BF9">
        <w:rPr>
          <w:rFonts w:ascii="Calibri" w:hAnsi="Calibri" w:cs="Calibri"/>
          <w:b/>
        </w:rPr>
        <w:t>lgren &amp; Whitehead Model of the Main Determinants of Health</w:t>
      </w:r>
      <w:r w:rsidR="00CB2BF9" w:rsidRPr="00CB2BF9">
        <w:rPr>
          <w:rFonts w:ascii="Calibri" w:hAnsi="Calibri" w:cs="Calibri"/>
          <w:b/>
        </w:rPr>
        <w:t xml:space="preserve"> With Appropriate Theory Linkages</w:t>
      </w:r>
      <w:r w:rsidR="00A076D5">
        <w:rPr>
          <w:rFonts w:ascii="Calibri" w:hAnsi="Calibri" w:cs="Calibri"/>
        </w:rPr>
        <w:t xml:space="preserve"> </w:t>
      </w:r>
      <w:r w:rsidR="002C6EBC" w:rsidRPr="002C6EBC">
        <w:rPr>
          <w:rStyle w:val="EndnoteReference"/>
        </w:rPr>
        <w:endnoteReference w:id="39"/>
      </w:r>
      <w:r w:rsidR="002C6EBC">
        <w:t xml:space="preserve">   </w:t>
      </w:r>
    </w:p>
    <w:p w:rsidR="00A24503" w:rsidRDefault="00A24503" w:rsidP="00A24503"/>
    <w:p w:rsidR="00A24503" w:rsidRDefault="00002B71" w:rsidP="00A24503">
      <w:r>
        <w:rPr>
          <w:noProof/>
        </w:rPr>
        <w:pict>
          <v:shape id="_x0000_s1300" type="#_x0000_t32" style="position:absolute;margin-left:45pt;margin-top:90pt;width:104.3pt;height:88.45pt;z-index:251801600" o:connectortype="straight" strokecolor="#e36c0a [2409]" strokeweight="2.25pt">
            <v:stroke endarrow="block"/>
          </v:shape>
        </w:pict>
      </w:r>
      <w:r>
        <w:rPr>
          <w:noProof/>
        </w:rPr>
        <w:pict>
          <v:shape id="_x0000_s1299" type="#_x0000_t32" style="position:absolute;margin-left:45pt;margin-top:90pt;width:24pt;height:31.85pt;z-index:251800576" o:connectortype="straight" strokecolor="#e36c0a [2409]" strokeweight="2.25pt">
            <v:stroke endarrow="block"/>
          </v:shape>
        </w:pict>
      </w:r>
      <w:r>
        <w:rPr>
          <w:noProof/>
        </w:rPr>
        <w:pict>
          <v:shape id="_x0000_s1298" type="#_x0000_t32" style="position:absolute;margin-left:387pt;margin-top:202.4pt;width:51pt;height:66.1pt;flip:x y;z-index:251799552" o:connectortype="straight" strokecolor="#e36c0a [2409]" strokeweight="2.25pt">
            <v:stroke endarrow="block"/>
          </v:shape>
        </w:pict>
      </w:r>
      <w:r>
        <w:rPr>
          <w:noProof/>
        </w:rPr>
        <w:pict>
          <v:shape id="_x0000_s1296" type="#_x0000_t32" style="position:absolute;margin-left:292.5pt;margin-top:189.65pt;width:145.5pt;height:78.85pt;flip:x y;z-index:251798528" o:connectortype="straight" strokecolor="#e36c0a [2409]" strokeweight="2.25pt">
            <v:stroke endarrow="block"/>
          </v:shape>
        </w:pict>
      </w:r>
      <w:r>
        <w:rPr>
          <w:noProof/>
        </w:rPr>
        <w:pict>
          <v:shape id="_x0000_s1295" type="#_x0000_t32" style="position:absolute;margin-left:244.5pt;margin-top:90pt;width:40.5pt;height:178.5pt;flip:x y;z-index:251797504" o:connectortype="straight" strokecolor="#e36c0a [2409]" strokeweight="2.25pt">
            <v:stroke endarrow="block"/>
          </v:shape>
        </w:pict>
      </w:r>
      <w:r>
        <w:rPr>
          <w:noProof/>
        </w:rPr>
        <w:pict>
          <v:shape id="_x0000_s1294" type="#_x0000_t32" style="position:absolute;margin-left:285pt;margin-top:198pt;width:7.5pt;height:70.5pt;flip:y;z-index:251796480" o:connectortype="straight" strokecolor="#e36c0a [2409]" strokeweight="2.25pt">
            <v:stroke endarrow="block"/>
          </v:shape>
        </w:pict>
      </w:r>
      <w:r>
        <w:rPr>
          <w:noProof/>
        </w:rPr>
        <w:pict>
          <v:shape id="_x0000_s1293" type="#_x0000_t32" style="position:absolute;margin-left:284.25pt;margin-top:2in;width:.75pt;height:124.5pt;flip:y;z-index:251795456" o:connectortype="straight" strokecolor="#e36c0a [2409]" strokeweight="2.25pt">
            <v:stroke endarrow="block"/>
          </v:shape>
        </w:pict>
      </w:r>
      <w:r>
        <w:rPr>
          <w:noProof/>
        </w:rPr>
        <w:pict>
          <v:shape id="_x0000_s1292" type="#_x0000_t32" style="position:absolute;margin-left:306pt;margin-top:219.35pt;width:40.5pt;height:49.15pt;flip:x y;z-index:251794432" o:connectortype="straight" strokecolor="#e36c0a [2409]" strokeweight="2.25pt">
            <v:stroke endarrow="block"/>
          </v:shape>
        </w:pict>
      </w:r>
      <w:r>
        <w:rPr>
          <w:noProof/>
        </w:rPr>
        <w:pict>
          <v:shape id="_x0000_s1290" type="#_x0000_t32" style="position:absolute;margin-left:315pt;margin-top:219.35pt;width:123pt;height:49.15pt;flip:x y;z-index:251792384" o:connectortype="straight" strokecolor="#e36c0a [2409]" strokeweight="2.25pt">
            <v:stroke endarrow="block"/>
          </v:shape>
        </w:pict>
      </w:r>
      <w:r>
        <w:rPr>
          <w:noProof/>
        </w:rPr>
        <w:pict>
          <v:shape id="_x0000_s1289" type="#_x0000_t32" style="position:absolute;margin-left:187.5pt;margin-top:121.85pt;width:60.75pt;height:146.65pt;flip:y;z-index:251791360" o:connectortype="straight" strokecolor="#e36c0a [2409]" strokeweight="2.25pt">
            <v:stroke endarrow="block"/>
          </v:shape>
        </w:pict>
      </w:r>
      <w:r>
        <w:rPr>
          <w:noProof/>
        </w:rPr>
        <w:pict>
          <v:shape id="_x0000_s1288" type="#_x0000_t32" style="position:absolute;margin-left:187.5pt;margin-top:163.85pt;width:84.75pt;height:104.65pt;flip:y;z-index:251790336" o:connectortype="straight" strokecolor="#e36c0a [2409]" strokeweight="2.25pt">
            <v:stroke endarrow="block"/>
          </v:shape>
        </w:pict>
      </w:r>
      <w:r>
        <w:rPr>
          <w:noProof/>
        </w:rPr>
        <w:pict>
          <v:shape id="_x0000_s1287" type="#_x0000_t32" style="position:absolute;margin-left:187.5pt;margin-top:198pt;width:143.25pt;height:70.5pt;flip:y;z-index:251789312" o:connectortype="straight" strokecolor="#e36c0a [2409]" strokeweight="2.25pt">
            <v:stroke endarrow="block"/>
            <v:shadow type="perspective" color="#974706 [1609]" opacity=".5" offset="1pt" offset2="-1pt"/>
          </v:shape>
        </w:pict>
      </w:r>
      <w:r>
        <w:rPr>
          <w:noProof/>
        </w:rPr>
        <w:pict>
          <v:shape id="_x0000_s1286" type="#_x0000_t32" style="position:absolute;margin-left:2in;margin-top:117pt;width:43.5pt;height:151.5pt;flip:x y;z-index:251788288" o:connectortype="straight" strokecolor="#e36c0a [2409]" strokeweight="2.25pt">
            <v:stroke endarrow="block"/>
            <v:shadow type="perspective" color="#974706 [1609]" opacity=".5" offset="1pt" offset2="-1pt"/>
          </v:shape>
        </w:pict>
      </w:r>
      <w:r>
        <w:rPr>
          <w:noProof/>
        </w:rPr>
        <w:pict>
          <v:shape id="_x0000_s1285" type="#_x0000_t32" style="position:absolute;margin-left:187.5pt;margin-top:90pt;width:18.15pt;height:178.5pt;flip:y;z-index:251787264" o:connectortype="straight" strokecolor="#e36c0a [2409]" strokeweight="2.25pt">
            <v:stroke endarrow="block"/>
            <v:shadow type="perspective" color="#974706 [1609]" opacity=".5" offset="1pt" offset2="-1pt"/>
          </v:shape>
        </w:pict>
      </w:r>
      <w:r>
        <w:rPr>
          <w:noProof/>
        </w:rPr>
        <w:pict>
          <v:line id="_x0000_s1278" style="position:absolute;z-index:251780096" from="45pt,90pt" to="2in,2in" strokecolor="#f60" strokeweight="2pt">
            <v:stroke endarrow="block"/>
          </v:line>
        </w:pict>
      </w:r>
      <w:r>
        <w:rPr>
          <w:noProof/>
        </w:rPr>
        <w:pict>
          <v:line id="_x0000_s1282" style="position:absolute;flip:x;z-index:251784192" from="5in,1in" to="387pt,108pt" strokecolor="#f60" strokeweight="2pt">
            <v:stroke endarrow="block"/>
          </v:line>
        </w:pict>
      </w:r>
      <w:r>
        <w:rPr>
          <w:noProof/>
        </w:rPr>
        <w:pict>
          <v:shape id="_x0000_s1279" type="#_x0000_t202" style="position:absolute;margin-left:387pt;margin-top:63pt;width:99pt;height:45pt;z-index:251781120">
            <v:textbox style="mso-next-textbox:#_x0000_s1279">
              <w:txbxContent>
                <w:p w:rsidR="002B3E5E" w:rsidRDefault="002B3E5E" w:rsidP="00A24503">
                  <w:pPr>
                    <w:jc w:val="center"/>
                    <w:rPr>
                      <w:rFonts w:ascii="Calibri" w:hAnsi="Calibri" w:cs="Calibri"/>
                      <w:sz w:val="20"/>
                      <w:szCs w:val="20"/>
                    </w:rPr>
                  </w:pPr>
                  <w:r>
                    <w:rPr>
                      <w:rFonts w:ascii="Calibri" w:hAnsi="Calibri" w:cs="Calibri"/>
                      <w:sz w:val="20"/>
                      <w:szCs w:val="20"/>
                    </w:rPr>
                    <w:t xml:space="preserve">Environmental </w:t>
                  </w:r>
                </w:p>
                <w:p w:rsidR="002B3E5E" w:rsidRDefault="002B3E5E" w:rsidP="00A24503">
                  <w:pPr>
                    <w:jc w:val="center"/>
                    <w:rPr>
                      <w:rFonts w:ascii="Calibri" w:hAnsi="Calibri" w:cs="Calibri"/>
                      <w:sz w:val="20"/>
                      <w:szCs w:val="20"/>
                    </w:rPr>
                  </w:pPr>
                  <w:r>
                    <w:rPr>
                      <w:rFonts w:ascii="Calibri" w:hAnsi="Calibri" w:cs="Calibri"/>
                      <w:sz w:val="20"/>
                      <w:szCs w:val="20"/>
                    </w:rPr>
                    <w:t>Studies</w:t>
                  </w:r>
                </w:p>
                <w:p w:rsidR="002B3E5E" w:rsidRPr="00AC5400" w:rsidRDefault="002B3E5E" w:rsidP="00A24503">
                  <w:pPr>
                    <w:jc w:val="center"/>
                    <w:rPr>
                      <w:rFonts w:ascii="Calibri" w:hAnsi="Calibri" w:cs="Calibri"/>
                      <w:sz w:val="20"/>
                      <w:szCs w:val="20"/>
                    </w:rPr>
                  </w:pPr>
                </w:p>
              </w:txbxContent>
            </v:textbox>
          </v:shape>
        </w:pict>
      </w:r>
      <w:r>
        <w:rPr>
          <w:noProof/>
        </w:rPr>
        <w:pict>
          <v:shape id="_x0000_s1277" type="#_x0000_t202" style="position:absolute;margin-left:-54pt;margin-top:1in;width:99pt;height:45pt;z-index:251779072">
            <v:textbox style="mso-next-textbox:#_x0000_s1277">
              <w:txbxContent>
                <w:p w:rsidR="002B3E5E" w:rsidRDefault="002B3E5E" w:rsidP="00A24503">
                  <w:pPr>
                    <w:jc w:val="center"/>
                    <w:rPr>
                      <w:rFonts w:ascii="Calibri" w:hAnsi="Calibri" w:cs="Calibri"/>
                      <w:sz w:val="20"/>
                      <w:szCs w:val="20"/>
                    </w:rPr>
                  </w:pPr>
                  <w:r>
                    <w:rPr>
                      <w:rFonts w:ascii="Calibri" w:hAnsi="Calibri" w:cs="Calibri"/>
                      <w:sz w:val="20"/>
                      <w:szCs w:val="20"/>
                    </w:rPr>
                    <w:t>Sociology and Social Psychology</w:t>
                  </w:r>
                </w:p>
                <w:p w:rsidR="002B3E5E" w:rsidRDefault="002B3E5E" w:rsidP="00A24503">
                  <w:pPr>
                    <w:jc w:val="center"/>
                    <w:rPr>
                      <w:rFonts w:ascii="Calibri" w:hAnsi="Calibri" w:cs="Calibri"/>
                      <w:sz w:val="20"/>
                      <w:szCs w:val="20"/>
                    </w:rPr>
                  </w:pPr>
                  <w:r>
                    <w:rPr>
                      <w:rFonts w:ascii="Calibri" w:hAnsi="Calibri" w:cs="Calibri"/>
                      <w:sz w:val="20"/>
                      <w:szCs w:val="20"/>
                    </w:rPr>
                    <w:t>Theory</w:t>
                  </w:r>
                </w:p>
                <w:p w:rsidR="002B3E5E" w:rsidRPr="00AC5400" w:rsidRDefault="002B3E5E" w:rsidP="00A24503">
                  <w:pPr>
                    <w:jc w:val="center"/>
                    <w:rPr>
                      <w:rFonts w:ascii="Calibri" w:hAnsi="Calibri" w:cs="Calibri"/>
                      <w:sz w:val="20"/>
                      <w:szCs w:val="20"/>
                    </w:rPr>
                  </w:pPr>
                </w:p>
              </w:txbxContent>
            </v:textbox>
          </v:shape>
        </w:pict>
      </w:r>
      <w:r>
        <w:rPr>
          <w:noProof/>
        </w:rPr>
        <w:pict>
          <v:line id="_x0000_s1276" style="position:absolute;z-index:251778048" from="81pt,45pt" to="134.85pt,99pt" strokecolor="#f60" strokeweight="2pt">
            <v:stroke endarrow="block"/>
          </v:line>
        </w:pict>
      </w:r>
      <w:r>
        <w:rPr>
          <w:noProof/>
        </w:rPr>
        <w:pict>
          <v:shape id="_x0000_s1268" type="#_x0000_t202" style="position:absolute;margin-left:-18pt;margin-top:18pt;width:99pt;height:45pt;z-index:251769856">
            <v:textbox style="mso-next-textbox:#_x0000_s1268">
              <w:txbxContent>
                <w:p w:rsidR="002B3E5E" w:rsidRPr="00AC5400" w:rsidRDefault="002B3E5E" w:rsidP="00A24503">
                  <w:pPr>
                    <w:jc w:val="center"/>
                    <w:rPr>
                      <w:rFonts w:ascii="Calibri" w:hAnsi="Calibri" w:cs="Calibri"/>
                      <w:sz w:val="20"/>
                      <w:szCs w:val="20"/>
                    </w:rPr>
                  </w:pPr>
                  <w:r>
                    <w:rPr>
                      <w:rFonts w:ascii="Calibri" w:hAnsi="Calibri" w:cs="Calibri"/>
                      <w:sz w:val="20"/>
                      <w:szCs w:val="20"/>
                    </w:rPr>
                    <w:t>Organisation</w:t>
                  </w:r>
                  <w:r w:rsidRPr="00AC5400">
                    <w:rPr>
                      <w:rFonts w:ascii="Calibri" w:hAnsi="Calibri" w:cs="Calibri"/>
                      <w:sz w:val="20"/>
                      <w:szCs w:val="20"/>
                    </w:rPr>
                    <w:t xml:space="preserve"> Development Theory</w:t>
                  </w:r>
                </w:p>
              </w:txbxContent>
            </v:textbox>
          </v:shape>
        </w:pict>
      </w:r>
      <w:r>
        <w:rPr>
          <w:noProof/>
        </w:rPr>
        <w:pict>
          <v:line id="_x0000_s1275" style="position:absolute;flip:y;z-index:251777024" from="99pt,198pt" to="126pt,270pt" strokecolor="#f60" strokeweight="2pt">
            <v:stroke endarrow="block"/>
          </v:line>
        </w:pict>
      </w:r>
      <w:r>
        <w:rPr>
          <w:noProof/>
        </w:rPr>
        <w:pict>
          <v:line id="_x0000_s1273" style="position:absolute;flip:x;z-index:251774976" from="324pt,36pt" to="351pt,1in" strokecolor="#f60" strokeweight="2pt">
            <v:stroke endarrow="block"/>
          </v:line>
        </w:pict>
      </w:r>
      <w:r>
        <w:rPr>
          <w:noProof/>
        </w:rPr>
        <w:pict>
          <v:shape id="_x0000_s1269" type="#_x0000_t202" style="position:absolute;margin-left:351pt;margin-top:9pt;width:99pt;height:45pt;z-index:251770880">
            <v:textbox style="mso-next-textbox:#_x0000_s1269">
              <w:txbxContent>
                <w:p w:rsidR="002B3E5E" w:rsidRDefault="002B3E5E" w:rsidP="00A24503">
                  <w:pPr>
                    <w:jc w:val="center"/>
                    <w:rPr>
                      <w:rFonts w:ascii="Calibri" w:hAnsi="Calibri" w:cs="Calibri"/>
                      <w:sz w:val="20"/>
                      <w:szCs w:val="20"/>
                    </w:rPr>
                  </w:pPr>
                  <w:r>
                    <w:rPr>
                      <w:rFonts w:ascii="Calibri" w:hAnsi="Calibri" w:cs="Calibri"/>
                      <w:sz w:val="20"/>
                      <w:szCs w:val="20"/>
                    </w:rPr>
                    <w:t>Complexity</w:t>
                  </w:r>
                </w:p>
                <w:p w:rsidR="002B3E5E" w:rsidRPr="00AC5400" w:rsidRDefault="002B3E5E" w:rsidP="00A24503">
                  <w:pPr>
                    <w:jc w:val="center"/>
                    <w:rPr>
                      <w:rFonts w:ascii="Calibri" w:hAnsi="Calibri" w:cs="Calibri"/>
                      <w:sz w:val="20"/>
                      <w:szCs w:val="20"/>
                    </w:rPr>
                  </w:pPr>
                  <w:r w:rsidRPr="00AC5400">
                    <w:rPr>
                      <w:rFonts w:ascii="Calibri" w:hAnsi="Calibri" w:cs="Calibri"/>
                      <w:sz w:val="20"/>
                      <w:szCs w:val="20"/>
                    </w:rPr>
                    <w:t xml:space="preserve"> Theory</w:t>
                  </w:r>
                </w:p>
              </w:txbxContent>
            </v:textbox>
          </v:shape>
        </w:pict>
      </w:r>
      <w:r w:rsidR="00A24503">
        <w:t xml:space="preserve">          </w:t>
      </w:r>
      <w:r w:rsidR="00A24503">
        <w:rPr>
          <w:noProof/>
        </w:rPr>
        <w:drawing>
          <wp:inline distT="0" distB="0" distL="0" distR="0">
            <wp:extent cx="4772025" cy="3371850"/>
            <wp:effectExtent l="19050" t="0" r="9525" b="0"/>
            <wp:docPr id="12" name="Picture 3" descr="http://www.pharmacymeetspublichealth.org.uk/images/healthdeterminants-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harmacymeetspublichealth.org.uk/images/healthdeterminants-diagram.gif"/>
                    <pic:cNvPicPr>
                      <a:picLocks noChangeAspect="1" noChangeArrowheads="1"/>
                    </pic:cNvPicPr>
                  </pic:nvPicPr>
                  <pic:blipFill>
                    <a:blip r:embed="rId18" cstate="print"/>
                    <a:srcRect/>
                    <a:stretch>
                      <a:fillRect/>
                    </a:stretch>
                  </pic:blipFill>
                  <pic:spPr bwMode="auto">
                    <a:xfrm>
                      <a:off x="0" y="0"/>
                      <a:ext cx="4772025" cy="3371850"/>
                    </a:xfrm>
                    <a:prstGeom prst="rect">
                      <a:avLst/>
                    </a:prstGeom>
                    <a:noFill/>
                    <a:ln w="9525">
                      <a:noFill/>
                      <a:miter lim="800000"/>
                      <a:headEnd/>
                      <a:tailEnd/>
                    </a:ln>
                  </pic:spPr>
                </pic:pic>
              </a:graphicData>
            </a:graphic>
          </wp:inline>
        </w:drawing>
      </w:r>
    </w:p>
    <w:p w:rsidR="00A24503" w:rsidRDefault="00002B71" w:rsidP="00A24503">
      <w:r>
        <w:rPr>
          <w:noProof/>
        </w:rPr>
        <w:pict>
          <v:shape id="_x0000_s1291" type="#_x0000_t202" style="position:absolute;margin-left:225pt;margin-top:3pt;width:86.25pt;height:42.4pt;z-index:251793408">
            <v:textbox style="mso-next-textbox:#_x0000_s1291">
              <w:txbxContent>
                <w:p w:rsidR="002B3E5E" w:rsidRPr="002C6EBC" w:rsidRDefault="002B3E5E">
                  <w:pPr>
                    <w:rPr>
                      <w:rFonts w:asciiTheme="minorHAnsi" w:hAnsiTheme="minorHAnsi"/>
                      <w:sz w:val="20"/>
                      <w:szCs w:val="20"/>
                    </w:rPr>
                  </w:pPr>
                  <w:r w:rsidRPr="002C6EBC">
                    <w:rPr>
                      <w:rFonts w:asciiTheme="minorHAnsi" w:hAnsiTheme="minorHAnsi"/>
                      <w:sz w:val="20"/>
                      <w:szCs w:val="20"/>
                    </w:rPr>
                    <w:t>Triandis’ Theory of Interpersonal Behaviour</w:t>
                  </w:r>
                </w:p>
              </w:txbxContent>
            </v:textbox>
          </v:shape>
        </w:pict>
      </w:r>
      <w:r>
        <w:rPr>
          <w:noProof/>
        </w:rPr>
        <w:pict>
          <v:shape id="_x0000_s1272" type="#_x0000_t202" style="position:absolute;margin-left:324pt;margin-top:3pt;width:67.5pt;height:45pt;z-index:251773952">
            <v:textbox style="mso-next-textbox:#_x0000_s1272">
              <w:txbxContent>
                <w:p w:rsidR="002B3E5E" w:rsidRDefault="002B3E5E" w:rsidP="00A24503">
                  <w:pPr>
                    <w:jc w:val="center"/>
                    <w:rPr>
                      <w:rFonts w:ascii="Calibri" w:hAnsi="Calibri" w:cs="Calibri"/>
                      <w:sz w:val="20"/>
                      <w:szCs w:val="20"/>
                    </w:rPr>
                  </w:pPr>
                  <w:r>
                    <w:rPr>
                      <w:rFonts w:ascii="Calibri" w:hAnsi="Calibri" w:cs="Calibri"/>
                      <w:sz w:val="20"/>
                      <w:szCs w:val="20"/>
                    </w:rPr>
                    <w:t>Decision</w:t>
                  </w:r>
                </w:p>
                <w:p w:rsidR="002B3E5E" w:rsidRPr="00AC5400" w:rsidRDefault="002B3E5E" w:rsidP="00A24503">
                  <w:pPr>
                    <w:jc w:val="center"/>
                    <w:rPr>
                      <w:rFonts w:ascii="Calibri" w:hAnsi="Calibri" w:cs="Calibri"/>
                      <w:sz w:val="20"/>
                      <w:szCs w:val="20"/>
                    </w:rPr>
                  </w:pPr>
                  <w:r w:rsidRPr="00AC5400">
                    <w:rPr>
                      <w:rFonts w:ascii="Calibri" w:hAnsi="Calibri" w:cs="Calibri"/>
                      <w:sz w:val="20"/>
                      <w:szCs w:val="20"/>
                    </w:rPr>
                    <w:t xml:space="preserve"> Theory</w:t>
                  </w:r>
                </w:p>
              </w:txbxContent>
            </v:textbox>
          </v:shape>
        </w:pict>
      </w:r>
      <w:r w:rsidRPr="00002B71">
        <w:rPr>
          <w:noProof/>
          <w:lang w:val="en-US" w:eastAsia="zh-TW"/>
        </w:rPr>
        <w:pict>
          <v:shape id="_x0000_s1284" type="#_x0000_t202" style="position:absolute;margin-left:113.25pt;margin-top:3pt;width:104.25pt;height:43.9pt;z-index:251786240;mso-width-relative:margin;mso-height-relative:margin">
            <v:textbox style="mso-next-textbox:#_x0000_s1284">
              <w:txbxContent>
                <w:p w:rsidR="002B3E5E" w:rsidRPr="00B86E4C" w:rsidRDefault="002B3E5E">
                  <w:pPr>
                    <w:rPr>
                      <w:rFonts w:asciiTheme="minorHAnsi" w:hAnsiTheme="minorHAnsi"/>
                      <w:sz w:val="20"/>
                      <w:szCs w:val="20"/>
                    </w:rPr>
                  </w:pPr>
                  <w:r w:rsidRPr="00B86E4C">
                    <w:rPr>
                      <w:rFonts w:asciiTheme="minorHAnsi" w:hAnsiTheme="minorHAnsi"/>
                      <w:sz w:val="20"/>
                      <w:szCs w:val="20"/>
                    </w:rPr>
                    <w:t>Integrative Model of Behaviour Change and Prediction</w:t>
                  </w:r>
                  <w:r>
                    <w:rPr>
                      <w:rFonts w:asciiTheme="minorHAnsi" w:hAnsiTheme="minorHAnsi"/>
                      <w:sz w:val="20"/>
                      <w:szCs w:val="20"/>
                    </w:rPr>
                    <w:t xml:space="preserve"> </w:t>
                  </w:r>
                </w:p>
                <w:p w:rsidR="002B3E5E" w:rsidRDefault="002B3E5E"/>
              </w:txbxContent>
            </v:textbox>
          </v:shape>
        </w:pict>
      </w:r>
      <w:r>
        <w:rPr>
          <w:noProof/>
        </w:rPr>
        <w:pict>
          <v:shape id="_x0000_s1271" type="#_x0000_t202" style="position:absolute;margin-left:45pt;margin-top:3pt;width:64.5pt;height:45pt;z-index:251772928">
            <v:textbox style="mso-next-textbox:#_x0000_s1271">
              <w:txbxContent>
                <w:p w:rsidR="002B3E5E" w:rsidRDefault="002B3E5E" w:rsidP="00A24503">
                  <w:pPr>
                    <w:jc w:val="center"/>
                    <w:rPr>
                      <w:rFonts w:ascii="Calibri" w:hAnsi="Calibri" w:cs="Calibri"/>
                      <w:sz w:val="20"/>
                      <w:szCs w:val="20"/>
                    </w:rPr>
                  </w:pPr>
                  <w:r>
                    <w:rPr>
                      <w:rFonts w:ascii="Calibri" w:hAnsi="Calibri" w:cs="Calibri"/>
                      <w:sz w:val="20"/>
                      <w:szCs w:val="20"/>
                    </w:rPr>
                    <w:t>Stakeholder</w:t>
                  </w:r>
                </w:p>
                <w:p w:rsidR="002B3E5E" w:rsidRPr="00AC5400" w:rsidRDefault="002B3E5E" w:rsidP="00A24503">
                  <w:pPr>
                    <w:jc w:val="center"/>
                    <w:rPr>
                      <w:rFonts w:ascii="Calibri" w:hAnsi="Calibri" w:cs="Calibri"/>
                      <w:sz w:val="20"/>
                      <w:szCs w:val="20"/>
                    </w:rPr>
                  </w:pPr>
                  <w:r w:rsidRPr="00AC5400">
                    <w:rPr>
                      <w:rFonts w:ascii="Calibri" w:hAnsi="Calibri" w:cs="Calibri"/>
                      <w:sz w:val="20"/>
                      <w:szCs w:val="20"/>
                    </w:rPr>
                    <w:t xml:space="preserve"> Theory</w:t>
                  </w:r>
                </w:p>
              </w:txbxContent>
            </v:textbox>
          </v:shape>
        </w:pict>
      </w:r>
      <w:r>
        <w:rPr>
          <w:noProof/>
        </w:rPr>
        <w:pict>
          <v:shape id="_x0000_s1280" type="#_x0000_t202" style="position:absolute;margin-left:398.25pt;margin-top:3pt;width:69.75pt;height:45pt;z-index:251782144">
            <v:textbox style="mso-next-textbox:#_x0000_s1280">
              <w:txbxContent>
                <w:p w:rsidR="002B3E5E" w:rsidRDefault="002B3E5E" w:rsidP="00A24503">
                  <w:pPr>
                    <w:jc w:val="center"/>
                    <w:rPr>
                      <w:rFonts w:ascii="Calibri" w:hAnsi="Calibri" w:cs="Calibri"/>
                      <w:sz w:val="20"/>
                      <w:szCs w:val="20"/>
                    </w:rPr>
                  </w:pPr>
                  <w:r>
                    <w:rPr>
                      <w:rFonts w:ascii="Calibri" w:hAnsi="Calibri" w:cs="Calibri"/>
                      <w:sz w:val="20"/>
                      <w:szCs w:val="20"/>
                    </w:rPr>
                    <w:t>Psychology</w:t>
                  </w:r>
                </w:p>
                <w:p w:rsidR="002B3E5E" w:rsidRPr="00AC5400" w:rsidRDefault="002B3E5E" w:rsidP="00A24503">
                  <w:pPr>
                    <w:jc w:val="center"/>
                    <w:rPr>
                      <w:rFonts w:ascii="Calibri" w:hAnsi="Calibri" w:cs="Calibri"/>
                      <w:sz w:val="20"/>
                      <w:szCs w:val="20"/>
                    </w:rPr>
                  </w:pPr>
                </w:p>
              </w:txbxContent>
            </v:textbox>
          </v:shape>
        </w:pict>
      </w:r>
    </w:p>
    <w:p w:rsidR="00A24503" w:rsidRDefault="00A24503" w:rsidP="00A24503"/>
    <w:p w:rsidR="00A24503" w:rsidRDefault="00A24503" w:rsidP="00A24503"/>
    <w:p w:rsidR="00A24503" w:rsidRDefault="00A24503" w:rsidP="00A24503"/>
    <w:p w:rsidR="00A24503" w:rsidRDefault="00A24503">
      <w:bookmarkStart w:id="14" w:name="_Toc284837361"/>
    </w:p>
    <w:p w:rsidR="00A24503" w:rsidRDefault="00A24503"/>
    <w:p w:rsidR="00A24503" w:rsidRDefault="00A24503">
      <w:pPr>
        <w:rPr>
          <w:rFonts w:asciiTheme="majorHAnsi" w:eastAsiaTheme="majorEastAsia" w:hAnsiTheme="majorHAnsi" w:cstheme="majorBidi"/>
          <w:b/>
          <w:bCs/>
          <w:color w:val="365F91" w:themeColor="accent1" w:themeShade="BF"/>
          <w:sz w:val="28"/>
          <w:szCs w:val="28"/>
        </w:rPr>
      </w:pPr>
      <w:r>
        <w:br w:type="page"/>
      </w:r>
    </w:p>
    <w:p w:rsidR="00A24503" w:rsidRPr="00D7332B" w:rsidRDefault="005F1B78" w:rsidP="00A24503">
      <w:pPr>
        <w:pStyle w:val="Heading1"/>
        <w:jc w:val="both"/>
      </w:pPr>
      <w:bookmarkStart w:id="15" w:name="_Toc289256736"/>
      <w:bookmarkEnd w:id="14"/>
      <w:r>
        <w:lastRenderedPageBreak/>
        <w:t>5.0 From</w:t>
      </w:r>
      <w:r w:rsidR="00AD5DFE">
        <w:t xml:space="preserve"> Theory to Application</w:t>
      </w:r>
      <w:bookmarkEnd w:id="15"/>
    </w:p>
    <w:p w:rsidR="005E2DCC" w:rsidRDefault="005E2DCC" w:rsidP="00922BC4">
      <w:pPr>
        <w:jc w:val="both"/>
        <w:rPr>
          <w:rFonts w:asciiTheme="minorHAnsi" w:hAnsiTheme="minorHAnsi"/>
        </w:rPr>
      </w:pPr>
    </w:p>
    <w:p w:rsidR="005E2DCC" w:rsidRPr="005E2DCC" w:rsidRDefault="00843A3F" w:rsidP="00843A3F">
      <w:pPr>
        <w:pStyle w:val="Heading3"/>
      </w:pPr>
      <w:bookmarkStart w:id="16" w:name="_Toc289256737"/>
      <w:r>
        <w:t xml:space="preserve">5.1 </w:t>
      </w:r>
      <w:r w:rsidR="005E2DCC" w:rsidRPr="005E2DCC">
        <w:t xml:space="preserve">Application of </w:t>
      </w:r>
      <w:r w:rsidR="00DB5AC1">
        <w:t>t</w:t>
      </w:r>
      <w:r w:rsidR="005E2DCC" w:rsidRPr="005E2DCC">
        <w:t>heory</w:t>
      </w:r>
      <w:bookmarkEnd w:id="16"/>
    </w:p>
    <w:p w:rsidR="00401ACC" w:rsidRDefault="00401ACC" w:rsidP="00AD5DFE">
      <w:pPr>
        <w:jc w:val="both"/>
        <w:rPr>
          <w:rFonts w:asciiTheme="minorHAnsi" w:hAnsiTheme="minorHAnsi"/>
        </w:rPr>
      </w:pPr>
    </w:p>
    <w:p w:rsidR="005E2DCC" w:rsidRDefault="005E2DCC" w:rsidP="00AD5DFE">
      <w:pPr>
        <w:jc w:val="both"/>
        <w:rPr>
          <w:rFonts w:asciiTheme="minorHAnsi" w:hAnsiTheme="minorHAnsi"/>
        </w:rPr>
      </w:pPr>
      <w:r>
        <w:rPr>
          <w:rFonts w:asciiTheme="minorHAnsi" w:hAnsiTheme="minorHAnsi"/>
        </w:rPr>
        <w:t>Understanding the determinants of behaviour is crucial:</w:t>
      </w:r>
    </w:p>
    <w:p w:rsidR="003C2DC5" w:rsidRDefault="003C2DC5" w:rsidP="00AD5DFE">
      <w:pPr>
        <w:jc w:val="both"/>
        <w:rPr>
          <w:rFonts w:asciiTheme="minorHAnsi" w:hAnsiTheme="minorHAnsi"/>
        </w:rPr>
      </w:pPr>
    </w:p>
    <w:p w:rsidR="00C85B49" w:rsidRPr="00A42D2C" w:rsidRDefault="00C85B49" w:rsidP="00AD5DFE">
      <w:pPr>
        <w:ind w:left="284" w:right="284"/>
        <w:jc w:val="both"/>
        <w:rPr>
          <w:rFonts w:asciiTheme="minorHAnsi" w:hAnsiTheme="minorHAnsi"/>
        </w:rPr>
      </w:pPr>
      <w:r w:rsidRPr="00A42D2C">
        <w:rPr>
          <w:rFonts w:asciiTheme="minorHAnsi" w:hAnsiTheme="minorHAnsi"/>
        </w:rPr>
        <w:t>Interventions are likely to be more effective if they target causal determinants of behaviour and behaviour change; this requires understanding these causal determinants, i.e. theoretical mechanisms of change.</w:t>
      </w:r>
      <w:r w:rsidRPr="00A42D2C">
        <w:rPr>
          <w:rStyle w:val="EndnoteReference"/>
          <w:rFonts w:asciiTheme="minorHAnsi" w:eastAsiaTheme="majorEastAsia" w:hAnsiTheme="minorHAnsi"/>
        </w:rPr>
        <w:endnoteReference w:id="40"/>
      </w:r>
    </w:p>
    <w:p w:rsidR="00C85B49" w:rsidRDefault="00C85B49" w:rsidP="00AD5DFE">
      <w:pPr>
        <w:jc w:val="both"/>
        <w:rPr>
          <w:rFonts w:asciiTheme="minorHAnsi" w:hAnsiTheme="minorHAnsi"/>
        </w:rPr>
      </w:pPr>
    </w:p>
    <w:p w:rsidR="003C2DC5" w:rsidRDefault="003C2DC5" w:rsidP="00AD5DFE">
      <w:pPr>
        <w:jc w:val="both"/>
        <w:rPr>
          <w:rFonts w:asciiTheme="minorHAnsi" w:hAnsiTheme="minorHAnsi"/>
        </w:rPr>
      </w:pPr>
      <w:r>
        <w:rPr>
          <w:rFonts w:asciiTheme="minorHAnsi" w:hAnsiTheme="minorHAnsi"/>
        </w:rPr>
        <w:t>Behaviour change theories rarely specify which techniques should be used to change behaviour</w:t>
      </w:r>
      <w:r>
        <w:rPr>
          <w:rStyle w:val="EndnoteReference"/>
          <w:rFonts w:asciiTheme="minorHAnsi" w:eastAsiaTheme="majorEastAsia" w:hAnsiTheme="minorHAnsi"/>
        </w:rPr>
        <w:endnoteReference w:id="41"/>
      </w:r>
      <w:r>
        <w:rPr>
          <w:rFonts w:asciiTheme="minorHAnsi" w:hAnsiTheme="minorHAnsi"/>
        </w:rPr>
        <w:t xml:space="preserve"> and interventions are more commonly informed by theory or utilize theory in development phases; testing and revising/expanding theories are less common</w:t>
      </w:r>
      <w:r w:rsidR="0059615F">
        <w:rPr>
          <w:rFonts w:asciiTheme="minorHAnsi" w:hAnsiTheme="minorHAnsi"/>
        </w:rPr>
        <w:t xml:space="preserve">. Glanz &amp; Bishop </w:t>
      </w:r>
      <w:fldSimple w:instr=" NOTEREF _Ref286580077 \h  \* MERGEFORMAT ">
        <w:r w:rsidR="00CE6342" w:rsidRPr="00CE6342">
          <w:rPr>
            <w:rFonts w:asciiTheme="minorHAnsi" w:hAnsiTheme="minorHAnsi"/>
            <w:vertAlign w:val="superscript"/>
          </w:rPr>
          <w:t>47</w:t>
        </w:r>
      </w:fldSimple>
      <w:r w:rsidR="00AD5DFE">
        <w:t>,</w:t>
      </w:r>
      <w:r w:rsidR="0059615F">
        <w:rPr>
          <w:rFonts w:asciiTheme="minorHAnsi" w:hAnsiTheme="minorHAnsi"/>
        </w:rPr>
        <w:t xml:space="preserve"> Noar &amp; Zimmerman</w:t>
      </w:r>
      <w:r w:rsidR="0059615F">
        <w:rPr>
          <w:rStyle w:val="EndnoteReference"/>
          <w:rFonts w:asciiTheme="minorHAnsi" w:hAnsiTheme="minorHAnsi"/>
        </w:rPr>
        <w:endnoteReference w:id="42"/>
      </w:r>
      <w:r w:rsidR="0059615F">
        <w:rPr>
          <w:rFonts w:asciiTheme="minorHAnsi" w:hAnsiTheme="minorHAnsi"/>
        </w:rPr>
        <w:t xml:space="preserve"> and Weinstein &amp; Rothman</w:t>
      </w:r>
      <w:r w:rsidR="0063016A">
        <w:rPr>
          <w:rStyle w:val="EndnoteReference"/>
          <w:rFonts w:asciiTheme="minorHAnsi" w:hAnsiTheme="minorHAnsi"/>
        </w:rPr>
        <w:endnoteReference w:id="43"/>
      </w:r>
      <w:r w:rsidR="0059615F">
        <w:rPr>
          <w:rFonts w:asciiTheme="minorHAnsi" w:hAnsiTheme="minorHAnsi"/>
        </w:rPr>
        <w:t xml:space="preserve"> have called for the application and testing of health behaviour theories in order to advance science and develop successful health interventions. </w:t>
      </w:r>
      <w:r>
        <w:rPr>
          <w:rFonts w:asciiTheme="minorHAnsi" w:hAnsiTheme="minorHAnsi"/>
        </w:rPr>
        <w:t xml:space="preserve">  There is also evidence that theories have failed to predict some behaviours, due either to inapplicability of the theoretical constructs to specific populations or to the impact of personal, social or environmental mediators on behaviour</w:t>
      </w:r>
      <w:r>
        <w:rPr>
          <w:rStyle w:val="EndnoteReference"/>
          <w:rFonts w:asciiTheme="minorHAnsi" w:eastAsiaTheme="majorEastAsia" w:hAnsiTheme="minorHAnsi"/>
        </w:rPr>
        <w:endnoteReference w:id="44"/>
      </w:r>
      <w:r>
        <w:rPr>
          <w:rFonts w:asciiTheme="minorHAnsi" w:hAnsiTheme="minorHAnsi"/>
        </w:rPr>
        <w:t>.</w:t>
      </w:r>
    </w:p>
    <w:p w:rsidR="003C2DC5" w:rsidRDefault="003C2DC5" w:rsidP="00AD5DFE">
      <w:pPr>
        <w:jc w:val="both"/>
        <w:rPr>
          <w:rFonts w:asciiTheme="minorHAnsi" w:hAnsiTheme="minorHAnsi"/>
        </w:rPr>
      </w:pPr>
    </w:p>
    <w:p w:rsidR="003E3041" w:rsidRDefault="00843A3F" w:rsidP="00843A3F">
      <w:pPr>
        <w:pStyle w:val="Heading3"/>
      </w:pPr>
      <w:bookmarkStart w:id="17" w:name="_Toc289256738"/>
      <w:r>
        <w:t xml:space="preserve">5.2 </w:t>
      </w:r>
      <w:r w:rsidR="003E3041">
        <w:t>What counts as evidence: qualitative and quantitative research</w:t>
      </w:r>
      <w:bookmarkEnd w:id="17"/>
    </w:p>
    <w:p w:rsidR="00401ACC" w:rsidRDefault="00401ACC" w:rsidP="003E3041">
      <w:pPr>
        <w:jc w:val="both"/>
        <w:rPr>
          <w:rFonts w:asciiTheme="minorHAnsi" w:hAnsiTheme="minorHAnsi" w:cstheme="minorHAnsi"/>
        </w:rPr>
      </w:pPr>
    </w:p>
    <w:p w:rsidR="003E3041" w:rsidRDefault="003E3041" w:rsidP="003E3041">
      <w:pPr>
        <w:jc w:val="both"/>
        <w:rPr>
          <w:rFonts w:asciiTheme="minorHAnsi" w:hAnsiTheme="minorHAnsi" w:cstheme="minorHAnsi"/>
        </w:rPr>
      </w:pPr>
      <w:r>
        <w:rPr>
          <w:rFonts w:asciiTheme="minorHAnsi" w:hAnsiTheme="minorHAnsi" w:cstheme="minorHAnsi"/>
        </w:rPr>
        <w:t>A debate, or position, about what constitutes legitimate knowledge</w:t>
      </w:r>
      <w:bookmarkStart w:id="18" w:name="_Ref286054572"/>
      <w:r>
        <w:rPr>
          <w:rStyle w:val="EndnoteReference"/>
          <w:rFonts w:asciiTheme="minorHAnsi" w:hAnsiTheme="minorHAnsi" w:cstheme="minorHAnsi"/>
        </w:rPr>
        <w:endnoteReference w:id="45"/>
      </w:r>
      <w:bookmarkEnd w:id="18"/>
      <w:r>
        <w:rPr>
          <w:rFonts w:asciiTheme="minorHAnsi" w:hAnsiTheme="minorHAnsi" w:cstheme="minorHAnsi"/>
        </w:rPr>
        <w:t xml:space="preserve"> and the ways in which knowledge is evidenced, directly and indirectly informs much behavioural and public health research. A great deal of public health research utilises quantitative measures, and in particular, randomised control trials to establish cause-and-effect relationships between behaviours and outcomes. While we do not dispute the value of this research we argue that there is a strong case for the use of qualitative research methods in public health research. Furthermore, we argue that while quantitative and qualitative methods can be used complementarily, qualitative methods enable deeper, multifaceted understandings of the social contexts, experiences and actions that inform people’s health behaviours and decisions.    </w:t>
      </w:r>
    </w:p>
    <w:p w:rsidR="003E3041" w:rsidRDefault="003E3041" w:rsidP="003E3041">
      <w:pPr>
        <w:jc w:val="both"/>
        <w:rPr>
          <w:rFonts w:asciiTheme="minorHAnsi" w:hAnsiTheme="minorHAnsi" w:cstheme="minorHAnsi"/>
        </w:rPr>
      </w:pPr>
    </w:p>
    <w:p w:rsidR="00AD5DFE" w:rsidRDefault="003E3041" w:rsidP="00AD5DFE">
      <w:pPr>
        <w:jc w:val="both"/>
        <w:rPr>
          <w:rFonts w:ascii="Calibri" w:hAnsi="Calibri" w:cs="Calibri"/>
        </w:rPr>
      </w:pPr>
      <w:r>
        <w:rPr>
          <w:rFonts w:asciiTheme="minorHAnsi" w:hAnsiTheme="minorHAnsi" w:cstheme="minorHAnsi"/>
        </w:rPr>
        <w:t>While it is important not to polarise quantitative and qualitative methods, it is also important to recognise that they derive from different epistemological positions. Quantitative research derives from an ‘experimental’, ‘hypothetico-deductive’ or ‘positivist’ position</w:t>
      </w:r>
      <w:r w:rsidR="007868B9">
        <w:rPr>
          <w:rFonts w:asciiTheme="minorHAnsi" w:hAnsiTheme="minorHAnsi" w:cstheme="minorHAnsi"/>
        </w:rPr>
        <w:t xml:space="preserve"> </w:t>
      </w:r>
      <w:fldSimple w:instr=" NOTEREF _Ref286054572 \h  \* MERGEFORMAT ">
        <w:r w:rsidR="00CE6342" w:rsidRPr="00CE6342">
          <w:rPr>
            <w:rFonts w:asciiTheme="minorHAnsi" w:hAnsiTheme="minorHAnsi" w:cstheme="minorHAnsi"/>
            <w:vertAlign w:val="superscript"/>
          </w:rPr>
          <w:t>45</w:t>
        </w:r>
      </w:fldSimple>
      <w:r w:rsidR="00401ACC">
        <w:rPr>
          <w:rFonts w:asciiTheme="minorHAnsi" w:hAnsiTheme="minorHAnsi" w:cstheme="minorHAnsi"/>
          <w:vertAlign w:val="superscript"/>
        </w:rPr>
        <w:t>,</w:t>
      </w:r>
      <w:r w:rsidRPr="00CB4FA9">
        <w:rPr>
          <w:rFonts w:asciiTheme="minorHAnsi" w:hAnsiTheme="minorHAnsi" w:cstheme="minorHAnsi"/>
          <w:vertAlign w:val="superscript"/>
        </w:rPr>
        <w:t xml:space="preserve"> </w:t>
      </w:r>
      <w:r w:rsidR="00A42D2C">
        <w:rPr>
          <w:rFonts w:asciiTheme="minorHAnsi" w:hAnsiTheme="minorHAnsi" w:cstheme="minorHAnsi"/>
          <w:vertAlign w:val="superscript"/>
        </w:rPr>
        <w:t>p.</w:t>
      </w:r>
      <w:r w:rsidRPr="00CB4FA9">
        <w:rPr>
          <w:rFonts w:asciiTheme="minorHAnsi" w:hAnsiTheme="minorHAnsi" w:cstheme="minorHAnsi"/>
          <w:vertAlign w:val="superscript"/>
        </w:rPr>
        <w:t>98</w:t>
      </w:r>
      <w:r>
        <w:rPr>
          <w:rFonts w:asciiTheme="minorHAnsi" w:hAnsiTheme="minorHAnsi" w:cstheme="minorHAnsi"/>
        </w:rPr>
        <w:t xml:space="preserve"> which </w:t>
      </w:r>
      <w:r w:rsidR="00A42D2C">
        <w:rPr>
          <w:rFonts w:asciiTheme="minorHAnsi" w:hAnsiTheme="minorHAnsi" w:cstheme="minorHAnsi"/>
        </w:rPr>
        <w:t>‘</w:t>
      </w:r>
      <w:r>
        <w:rPr>
          <w:rFonts w:asciiTheme="minorHAnsi" w:hAnsiTheme="minorHAnsi" w:cstheme="minorHAnsi"/>
        </w:rPr>
        <w:t>emphasizes universal laws of cause and effect based on an explanatory framework which assumes a realist ontology; this is, that reality consists of a world of objectively defined facts</w:t>
      </w:r>
      <w:r w:rsidR="00A42D2C">
        <w:rPr>
          <w:rFonts w:asciiTheme="minorHAnsi" w:hAnsiTheme="minorHAnsi" w:cstheme="minorHAnsi"/>
        </w:rPr>
        <w:t>’</w:t>
      </w:r>
      <w:r>
        <w:rPr>
          <w:rFonts w:asciiTheme="minorHAnsi" w:hAnsiTheme="minorHAnsi" w:cstheme="minorHAnsi"/>
        </w:rPr>
        <w:t xml:space="preserve">. The primary strategy adopted by researchers in this paradigm involves the experimental control of subsets of variables in the service of testing (either verification or falsification) of </w:t>
      </w:r>
      <w:r w:rsidRPr="00CB0E32">
        <w:rPr>
          <w:rFonts w:asciiTheme="minorHAnsi" w:hAnsiTheme="minorHAnsi" w:cstheme="minorHAnsi"/>
          <w:i/>
        </w:rPr>
        <w:t>prior</w:t>
      </w:r>
      <w:r w:rsidR="00A42D2C">
        <w:rPr>
          <w:rFonts w:asciiTheme="minorHAnsi" w:hAnsiTheme="minorHAnsi" w:cstheme="minorHAnsi"/>
        </w:rPr>
        <w:t xml:space="preserve"> theory</w:t>
      </w:r>
      <w:r>
        <w:rPr>
          <w:rFonts w:asciiTheme="minorHAnsi" w:hAnsiTheme="minorHAnsi" w:cstheme="minorHAnsi"/>
        </w:rPr>
        <w:t>.</w:t>
      </w:r>
      <w:r w:rsidRPr="00CB4FA9">
        <w:rPr>
          <w:rFonts w:asciiTheme="minorHAnsi" w:hAnsiTheme="minorHAnsi" w:cstheme="minorHAnsi"/>
          <w:vertAlign w:val="superscript"/>
        </w:rPr>
        <w:t xml:space="preserve"> </w:t>
      </w:r>
      <w:fldSimple w:instr=" NOTEREF _Ref286054572 \h  \* MERGEFORMAT ">
        <w:r w:rsidR="00CE6342" w:rsidRPr="00CE6342">
          <w:rPr>
            <w:rFonts w:asciiTheme="minorHAnsi" w:hAnsiTheme="minorHAnsi" w:cstheme="minorHAnsi"/>
            <w:vertAlign w:val="superscript"/>
          </w:rPr>
          <w:t>45</w:t>
        </w:r>
      </w:fldSimple>
      <w:r w:rsidR="00CF58B1" w:rsidRPr="00CF58B1">
        <w:rPr>
          <w:vertAlign w:val="superscript"/>
        </w:rPr>
        <w:t>, p.</w:t>
      </w:r>
      <w:r w:rsidRPr="00CF58B1">
        <w:rPr>
          <w:rFonts w:asciiTheme="minorHAnsi" w:hAnsiTheme="minorHAnsi" w:cstheme="minorHAnsi"/>
          <w:vertAlign w:val="superscript"/>
        </w:rPr>
        <w:t>98</w:t>
      </w:r>
      <w:r>
        <w:rPr>
          <w:rFonts w:asciiTheme="minorHAnsi" w:hAnsiTheme="minorHAnsi" w:cstheme="minorHAnsi"/>
        </w:rPr>
        <w:t xml:space="preserve"> </w:t>
      </w:r>
      <w:r w:rsidR="00AD5DFE">
        <w:rPr>
          <w:rFonts w:ascii="Calibri" w:hAnsi="Calibri" w:cs="Calibri"/>
        </w:rPr>
        <w:t>These quantitative studies usually require very large numbers and resources to achieve stati</w:t>
      </w:r>
      <w:r w:rsidR="00A42D2C">
        <w:rPr>
          <w:rFonts w:ascii="Calibri" w:hAnsi="Calibri" w:cs="Calibri"/>
        </w:rPr>
        <w:t>stical significance and if not ‘</w:t>
      </w:r>
      <w:r w:rsidR="00AD5DFE">
        <w:rPr>
          <w:rFonts w:ascii="Calibri" w:hAnsi="Calibri" w:cs="Calibri"/>
        </w:rPr>
        <w:t>perfectly</w:t>
      </w:r>
      <w:r w:rsidR="00A42D2C">
        <w:rPr>
          <w:rFonts w:ascii="Calibri" w:hAnsi="Calibri" w:cs="Calibri"/>
        </w:rPr>
        <w:t>’</w:t>
      </w:r>
      <w:r w:rsidR="00AD5DFE">
        <w:rPr>
          <w:rFonts w:ascii="Calibri" w:hAnsi="Calibri" w:cs="Calibri"/>
        </w:rPr>
        <w:t xml:space="preserve"> conducted to eliminate biases and without sufficient ‘statistical power’ are subject to criticism</w:t>
      </w:r>
      <w:r w:rsidR="00002AC0">
        <w:rPr>
          <w:rFonts w:ascii="Calibri" w:hAnsi="Calibri" w:cs="Calibri"/>
        </w:rPr>
        <w:t>.</w:t>
      </w:r>
    </w:p>
    <w:p w:rsidR="00AD5DFE" w:rsidRDefault="00AD5DFE" w:rsidP="00AD5DFE">
      <w:pPr>
        <w:jc w:val="both"/>
      </w:pPr>
    </w:p>
    <w:p w:rsidR="003E3041" w:rsidRDefault="003E3041" w:rsidP="00AD5DFE">
      <w:pPr>
        <w:jc w:val="both"/>
        <w:rPr>
          <w:rFonts w:asciiTheme="minorHAnsi" w:hAnsiTheme="minorHAnsi" w:cstheme="minorHAnsi"/>
        </w:rPr>
      </w:pPr>
      <w:r>
        <w:rPr>
          <w:rFonts w:asciiTheme="minorHAnsi" w:hAnsiTheme="minorHAnsi" w:cstheme="minorHAnsi"/>
        </w:rPr>
        <w:lastRenderedPageBreak/>
        <w:t>However, there is a long history of critique levelled against this approach because of its reductionist view of human experience and meaning</w:t>
      </w:r>
      <w:r w:rsidR="00401ACC">
        <w:rPr>
          <w:rFonts w:asciiTheme="minorHAnsi" w:hAnsiTheme="minorHAnsi" w:cstheme="minorHAnsi"/>
        </w:rPr>
        <w:t>.</w:t>
      </w:r>
      <w:fldSimple w:instr=" NOTEREF _Ref286054572 \h  \* MERGEFORMAT ">
        <w:r w:rsidR="00CE6342" w:rsidRPr="00CE6342">
          <w:rPr>
            <w:rFonts w:asciiTheme="minorHAnsi" w:hAnsiTheme="minorHAnsi" w:cstheme="minorHAnsi"/>
            <w:vertAlign w:val="superscript"/>
          </w:rPr>
          <w:t>45</w:t>
        </w:r>
      </w:fldSimple>
      <w:r>
        <w:rPr>
          <w:rFonts w:asciiTheme="minorHAnsi" w:hAnsiTheme="minorHAnsi" w:cstheme="minorHAnsi"/>
          <w:vertAlign w:val="superscript"/>
        </w:rPr>
        <w:t xml:space="preserve"> </w:t>
      </w:r>
      <w:r>
        <w:rPr>
          <w:rFonts w:asciiTheme="minorHAnsi" w:hAnsiTheme="minorHAnsi" w:cstheme="minorHAnsi"/>
        </w:rPr>
        <w:t>Qualitative research, on the other hand, derives from a ‘naturalistic’ or ‘interpretative’ paradigm</w:t>
      </w:r>
      <w:r w:rsidR="00401ACC">
        <w:rPr>
          <w:rFonts w:asciiTheme="minorHAnsi" w:hAnsiTheme="minorHAnsi" w:cstheme="minorHAnsi"/>
        </w:rPr>
        <w:t>.</w:t>
      </w:r>
      <w:fldSimple w:instr=" NOTEREF _Ref286054572 \h  \* MERGEFORMAT ">
        <w:r w:rsidR="00CE6342" w:rsidRPr="00CE6342">
          <w:rPr>
            <w:rFonts w:asciiTheme="minorHAnsi" w:hAnsiTheme="minorHAnsi" w:cstheme="minorHAnsi"/>
            <w:vertAlign w:val="superscript"/>
          </w:rPr>
          <w:t>45</w:t>
        </w:r>
      </w:fldSimple>
      <w:r>
        <w:rPr>
          <w:rFonts w:asciiTheme="minorHAnsi" w:hAnsiTheme="minorHAnsi" w:cstheme="minorHAnsi"/>
        </w:rPr>
        <w:t xml:space="preserve"> Qualitative research is </w:t>
      </w:r>
      <w:r w:rsidR="00A42D2C">
        <w:rPr>
          <w:rFonts w:asciiTheme="minorHAnsi" w:hAnsiTheme="minorHAnsi" w:cstheme="minorHAnsi"/>
        </w:rPr>
        <w:t>‘</w:t>
      </w:r>
      <w:r>
        <w:rPr>
          <w:rFonts w:asciiTheme="minorHAnsi" w:hAnsiTheme="minorHAnsi" w:cstheme="minorHAnsi"/>
        </w:rPr>
        <w:t>concerned with meaning … with how people make sense of the world and … experience events</w:t>
      </w:r>
      <w:r w:rsidR="00A42D2C">
        <w:rPr>
          <w:rFonts w:asciiTheme="minorHAnsi" w:hAnsiTheme="minorHAnsi" w:cstheme="minorHAnsi"/>
        </w:rPr>
        <w:t>’</w:t>
      </w:r>
      <w:r>
        <w:rPr>
          <w:rFonts w:asciiTheme="minorHAnsi" w:hAnsiTheme="minorHAnsi" w:cstheme="minorHAnsi"/>
        </w:rPr>
        <w:t>.</w:t>
      </w:r>
      <w:bookmarkStart w:id="19" w:name="_Ref286055018"/>
      <w:r>
        <w:rPr>
          <w:rStyle w:val="EndnoteReference"/>
          <w:rFonts w:asciiTheme="minorHAnsi" w:hAnsiTheme="minorHAnsi" w:cstheme="minorHAnsi"/>
        </w:rPr>
        <w:endnoteReference w:id="46"/>
      </w:r>
      <w:bookmarkEnd w:id="19"/>
      <w:r w:rsidR="00A42D2C">
        <w:rPr>
          <w:rFonts w:asciiTheme="minorHAnsi" w:hAnsiTheme="minorHAnsi" w:cstheme="minorHAnsi"/>
        </w:rPr>
        <w:t xml:space="preserve"> Qualitative researchers ‘</w:t>
      </w:r>
      <w:r>
        <w:rPr>
          <w:rFonts w:asciiTheme="minorHAnsi" w:hAnsiTheme="minorHAnsi" w:cstheme="minorHAnsi"/>
        </w:rPr>
        <w:t>aim to understand what it is like to experience particular conditions (such as living with a chronic illness, or being unemployed) … and study people in their own territory, within naturally occurring settings (home, schools, hospitals, and the street)</w:t>
      </w:r>
      <w:r w:rsidR="00A42D2C">
        <w:rPr>
          <w:rFonts w:asciiTheme="minorHAnsi" w:hAnsiTheme="minorHAnsi" w:cstheme="minorHAnsi"/>
        </w:rPr>
        <w:t>’</w:t>
      </w:r>
      <w:r>
        <w:rPr>
          <w:rFonts w:asciiTheme="minorHAnsi" w:hAnsiTheme="minorHAnsi" w:cstheme="minorHAnsi"/>
        </w:rPr>
        <w:t>.</w:t>
      </w:r>
      <w:fldSimple w:instr=" NOTEREF _Ref286055018 \h  \* MERGEFORMAT ">
        <w:r w:rsidR="00CE6342" w:rsidRPr="00CE6342">
          <w:rPr>
            <w:rFonts w:asciiTheme="minorHAnsi" w:hAnsiTheme="minorHAnsi" w:cstheme="minorHAnsi"/>
            <w:vertAlign w:val="superscript"/>
          </w:rPr>
          <w:t>46</w:t>
        </w:r>
      </w:fldSimple>
      <w:r w:rsidR="00401ACC" w:rsidRPr="00401ACC">
        <w:rPr>
          <w:vertAlign w:val="superscript"/>
        </w:rPr>
        <w:t>,</w:t>
      </w:r>
      <w:r w:rsidRPr="006E40C2">
        <w:rPr>
          <w:rFonts w:asciiTheme="minorHAnsi" w:hAnsiTheme="minorHAnsi" w:cstheme="minorHAnsi"/>
          <w:vertAlign w:val="superscript"/>
        </w:rPr>
        <w:t xml:space="preserve"> </w:t>
      </w:r>
      <w:r w:rsidR="00A42D2C">
        <w:rPr>
          <w:rFonts w:asciiTheme="minorHAnsi" w:hAnsiTheme="minorHAnsi" w:cstheme="minorHAnsi"/>
          <w:vertAlign w:val="superscript"/>
        </w:rPr>
        <w:t>p.</w:t>
      </w:r>
      <w:r w:rsidRPr="006E40C2">
        <w:rPr>
          <w:rFonts w:asciiTheme="minorHAnsi" w:hAnsiTheme="minorHAnsi" w:cstheme="minorHAnsi"/>
          <w:vertAlign w:val="superscript"/>
        </w:rPr>
        <w:t>9</w:t>
      </w:r>
      <w:r>
        <w:rPr>
          <w:rFonts w:asciiTheme="minorHAnsi" w:hAnsiTheme="minorHAnsi" w:cstheme="minorHAnsi"/>
        </w:rPr>
        <w:t xml:space="preserve"> Arguably these priorities, and the level of understanding they engender, are crucial for the design of public health campaigns and interventions. Glanz &amp; Bishop</w:t>
      </w:r>
      <w:bookmarkStart w:id="20" w:name="_Ref286580077"/>
      <w:r w:rsidRPr="00DC79D5">
        <w:rPr>
          <w:rStyle w:val="EndnoteReference"/>
          <w:rFonts w:asciiTheme="minorHAnsi" w:hAnsiTheme="minorHAnsi" w:cstheme="minorHAnsi"/>
        </w:rPr>
        <w:endnoteReference w:id="47"/>
      </w:r>
      <w:bookmarkEnd w:id="20"/>
      <w:r w:rsidR="00401ACC">
        <w:rPr>
          <w:rFonts w:asciiTheme="minorHAnsi" w:hAnsiTheme="minorHAnsi" w:cstheme="minorHAnsi"/>
          <w:vertAlign w:val="superscript"/>
        </w:rPr>
        <w:t>,</w:t>
      </w:r>
      <w:r>
        <w:rPr>
          <w:rFonts w:asciiTheme="minorHAnsi" w:hAnsiTheme="minorHAnsi" w:cstheme="minorHAnsi"/>
          <w:vertAlign w:val="superscript"/>
        </w:rPr>
        <w:t xml:space="preserve"> </w:t>
      </w:r>
      <w:r w:rsidR="00A42D2C">
        <w:rPr>
          <w:rFonts w:asciiTheme="minorHAnsi" w:hAnsiTheme="minorHAnsi" w:cstheme="minorHAnsi"/>
          <w:vertAlign w:val="superscript"/>
        </w:rPr>
        <w:t>p.</w:t>
      </w:r>
      <w:r w:rsidRPr="00DC79D5">
        <w:rPr>
          <w:rFonts w:asciiTheme="minorHAnsi" w:hAnsiTheme="minorHAnsi" w:cstheme="minorHAnsi"/>
          <w:vertAlign w:val="superscript"/>
        </w:rPr>
        <w:t>400</w:t>
      </w:r>
      <w:r w:rsidR="00A42D2C">
        <w:rPr>
          <w:rFonts w:asciiTheme="minorHAnsi" w:hAnsiTheme="minorHAnsi" w:cstheme="minorHAnsi"/>
        </w:rPr>
        <w:t xml:space="preserve"> state that ‘</w:t>
      </w:r>
      <w:r>
        <w:rPr>
          <w:rFonts w:asciiTheme="minorHAnsi" w:hAnsiTheme="minorHAnsi" w:cstheme="minorHAnsi"/>
        </w:rPr>
        <w:t>the most successful public health programmes and initiatives are based on an understanding of health behaviours and the contexts in which the</w:t>
      </w:r>
      <w:r w:rsidR="00A42D2C">
        <w:rPr>
          <w:rFonts w:asciiTheme="minorHAnsi" w:hAnsiTheme="minorHAnsi" w:cstheme="minorHAnsi"/>
        </w:rPr>
        <w:t>y occur’</w:t>
      </w:r>
      <w:r>
        <w:rPr>
          <w:rFonts w:asciiTheme="minorHAnsi" w:hAnsiTheme="minorHAnsi" w:cstheme="minorHAnsi"/>
        </w:rPr>
        <w:t xml:space="preserve">. </w:t>
      </w:r>
    </w:p>
    <w:p w:rsidR="003E3041" w:rsidRDefault="003E3041" w:rsidP="003E3041">
      <w:pPr>
        <w:jc w:val="both"/>
        <w:rPr>
          <w:rFonts w:asciiTheme="minorHAnsi" w:hAnsiTheme="minorHAnsi" w:cstheme="minorHAnsi"/>
        </w:rPr>
      </w:pPr>
    </w:p>
    <w:p w:rsidR="00C71103" w:rsidRDefault="003E3041" w:rsidP="003E3041">
      <w:pPr>
        <w:jc w:val="both"/>
        <w:rPr>
          <w:rFonts w:asciiTheme="minorHAnsi" w:hAnsiTheme="minorHAnsi" w:cstheme="minorHAnsi"/>
        </w:rPr>
      </w:pPr>
      <w:r>
        <w:rPr>
          <w:rFonts w:asciiTheme="minorHAnsi" w:hAnsiTheme="minorHAnsi" w:cstheme="minorHAnsi"/>
        </w:rPr>
        <w:t>Criticisms levelled against qualitative research concern how to measure the validity of research that is conducted outside of laboratory settings, as well as issues to do with generalisability.  However, there are several ways of establishing validity in qualitative research as outlined by Willig</w:t>
      </w:r>
      <w:fldSimple w:instr=" NOTEREF _Ref286055018 \h  \* MERGEFORMAT ">
        <w:r w:rsidR="00CE6342" w:rsidRPr="00CE6342">
          <w:rPr>
            <w:rFonts w:asciiTheme="minorHAnsi" w:hAnsiTheme="minorHAnsi" w:cstheme="minorHAnsi"/>
            <w:vertAlign w:val="superscript"/>
          </w:rPr>
          <w:t>46</w:t>
        </w:r>
      </w:fldSimple>
      <w:r w:rsidR="00401ACC" w:rsidRPr="00401ACC">
        <w:rPr>
          <w:vertAlign w:val="superscript"/>
        </w:rPr>
        <w:t>,</w:t>
      </w:r>
      <w:r w:rsidRPr="00DC79D5">
        <w:rPr>
          <w:rFonts w:asciiTheme="minorHAnsi" w:hAnsiTheme="minorHAnsi" w:cstheme="minorHAnsi"/>
          <w:vertAlign w:val="superscript"/>
        </w:rPr>
        <w:t xml:space="preserve"> </w:t>
      </w:r>
      <w:r w:rsidR="00AD5DFE">
        <w:rPr>
          <w:rFonts w:asciiTheme="minorHAnsi" w:hAnsiTheme="minorHAnsi" w:cstheme="minorHAnsi"/>
          <w:vertAlign w:val="superscript"/>
        </w:rPr>
        <w:t>p.</w:t>
      </w:r>
      <w:r w:rsidRPr="00DC79D5">
        <w:rPr>
          <w:rFonts w:asciiTheme="minorHAnsi" w:hAnsiTheme="minorHAnsi" w:cstheme="minorHAnsi"/>
          <w:vertAlign w:val="superscript"/>
        </w:rPr>
        <w:t>16</w:t>
      </w:r>
      <w:r w:rsidR="00AD5DFE">
        <w:rPr>
          <w:rFonts w:asciiTheme="minorHAnsi" w:hAnsiTheme="minorHAnsi" w:cstheme="minorHAnsi"/>
        </w:rPr>
        <w:t>.</w:t>
      </w:r>
      <w:r>
        <w:rPr>
          <w:rFonts w:asciiTheme="minorHAnsi" w:hAnsiTheme="minorHAnsi" w:cstheme="minorHAnsi"/>
        </w:rPr>
        <w:t xml:space="preserve"> Firstly, qualitative research strives to ensure that the meanings and understandings generated during the research are shared by, or make sense to, participants (participant validation), and that participants are free to challenge, and if necessary correct, the researcher’s assumptions. Secondly, unlike most quantitative research, qualitative data collection takes place in real-life settings and contexts and therefore has a higher ecological validity than experimental research which has to extrapolate from the laboratory to the real world. Thirdly, the process of reflexivity – whereby the ways in which a researcher’s particular background, assumptions, class, race, gender etc., and the epistemological framework of the research are scrutinised in order to unpack how these will shape the data – makes it less easy for the researcher to impose their own meanings on the data outright. </w:t>
      </w:r>
    </w:p>
    <w:p w:rsidR="00C71103" w:rsidRDefault="00C71103" w:rsidP="003E3041">
      <w:pPr>
        <w:jc w:val="both"/>
        <w:rPr>
          <w:rFonts w:asciiTheme="minorHAnsi" w:hAnsiTheme="minorHAnsi" w:cstheme="minorHAnsi"/>
        </w:rPr>
      </w:pPr>
    </w:p>
    <w:p w:rsidR="003E3041" w:rsidRDefault="003E3041" w:rsidP="003E3041">
      <w:pPr>
        <w:jc w:val="both"/>
      </w:pPr>
      <w:r>
        <w:rPr>
          <w:rFonts w:asciiTheme="minorHAnsi" w:hAnsiTheme="minorHAnsi" w:cstheme="minorHAnsi"/>
        </w:rPr>
        <w:t>In general qualitative research is difficult to generalise because of the small specific samples it works with, however, Willig</w:t>
      </w:r>
      <w:fldSimple w:instr=" NOTEREF _Ref286055018 \h  \* MERGEFORMAT ">
        <w:r w:rsidR="00CE6342" w:rsidRPr="00CE6342">
          <w:rPr>
            <w:rFonts w:asciiTheme="minorHAnsi" w:hAnsiTheme="minorHAnsi" w:cstheme="minorHAnsi"/>
            <w:vertAlign w:val="superscript"/>
          </w:rPr>
          <w:t>46</w:t>
        </w:r>
      </w:fldSimple>
      <w:r>
        <w:rPr>
          <w:rFonts w:asciiTheme="minorHAnsi" w:hAnsiTheme="minorHAnsi" w:cstheme="minorHAnsi"/>
        </w:rPr>
        <w:t xml:space="preserve"> and Haug</w:t>
      </w:r>
      <w:r>
        <w:rPr>
          <w:rStyle w:val="EndnoteReference"/>
          <w:rFonts w:asciiTheme="minorHAnsi" w:hAnsiTheme="minorHAnsi" w:cstheme="minorHAnsi"/>
        </w:rPr>
        <w:endnoteReference w:id="48"/>
      </w:r>
      <w:r>
        <w:rPr>
          <w:rFonts w:asciiTheme="minorHAnsi" w:hAnsiTheme="minorHAnsi" w:cstheme="minorHAnsi"/>
        </w:rPr>
        <w:t xml:space="preserve"> claim that once we have identified a certain experience or understanding in research it is arguable that this is available as a general experience or understanding in our society and culture.  Furthermore, generalisability can be achieved by the use of accumulative techniques in which findings from comparable studies can be drawn upon in order to make wider conclusions. </w:t>
      </w:r>
    </w:p>
    <w:p w:rsidR="003E3041" w:rsidRDefault="003E3041" w:rsidP="003E3041">
      <w:pPr>
        <w:jc w:val="both"/>
        <w:rPr>
          <w:rFonts w:asciiTheme="minorHAnsi" w:hAnsiTheme="minorHAnsi" w:cstheme="minorHAnsi"/>
        </w:rPr>
      </w:pPr>
    </w:p>
    <w:p w:rsidR="00601DC1" w:rsidRPr="00601DC1" w:rsidRDefault="00601DC1" w:rsidP="00601DC1">
      <w:pPr>
        <w:jc w:val="both"/>
        <w:rPr>
          <w:rFonts w:asciiTheme="minorHAnsi" w:hAnsiTheme="minorHAnsi" w:cstheme="minorHAnsi"/>
        </w:rPr>
      </w:pPr>
      <w:r w:rsidRPr="00601DC1">
        <w:rPr>
          <w:rFonts w:asciiTheme="minorHAnsi" w:hAnsiTheme="minorHAnsi" w:cs="Tahoma"/>
          <w:color w:val="000000"/>
        </w:rPr>
        <w:t xml:space="preserve">The most important thing for improving future health for the population of England, in line with the Marmot review, is to understand the most effective ways of bringing about behaviour change. We need to embrace a wide range of research methodologies and would therefore recommend, in consideration of the new programme for NiHR's new school for public health, that </w:t>
      </w:r>
      <w:r w:rsidR="00C97857">
        <w:rPr>
          <w:rFonts w:asciiTheme="minorHAnsi" w:hAnsiTheme="minorHAnsi" w:cs="Tahoma"/>
          <w:color w:val="000000"/>
        </w:rPr>
        <w:t>transdisciplinary</w:t>
      </w:r>
      <w:r w:rsidRPr="00601DC1">
        <w:rPr>
          <w:rFonts w:asciiTheme="minorHAnsi" w:hAnsiTheme="minorHAnsi" w:cs="Tahoma"/>
          <w:color w:val="000000"/>
        </w:rPr>
        <w:t xml:space="preserve"> behaviour change research has a top priority.</w:t>
      </w:r>
    </w:p>
    <w:p w:rsidR="00601DC1" w:rsidRPr="00601DC1" w:rsidRDefault="00601DC1" w:rsidP="00601DC1">
      <w:pPr>
        <w:jc w:val="both"/>
        <w:rPr>
          <w:rFonts w:asciiTheme="minorHAnsi" w:hAnsiTheme="minorHAnsi" w:cstheme="minorHAnsi"/>
        </w:rPr>
      </w:pPr>
    </w:p>
    <w:p w:rsidR="00601DC1" w:rsidRPr="00601DC1" w:rsidRDefault="00601DC1" w:rsidP="003E3041">
      <w:pPr>
        <w:jc w:val="both"/>
        <w:rPr>
          <w:rFonts w:asciiTheme="minorHAnsi" w:hAnsiTheme="minorHAnsi" w:cstheme="minorHAnsi"/>
        </w:rPr>
      </w:pPr>
    </w:p>
    <w:p w:rsidR="00601DC1" w:rsidRDefault="00601DC1">
      <w:pPr>
        <w:rPr>
          <w:rFonts w:asciiTheme="majorHAnsi" w:eastAsiaTheme="majorEastAsia" w:hAnsiTheme="majorHAnsi" w:cstheme="majorBidi"/>
          <w:b/>
          <w:bCs/>
          <w:color w:val="4F81BD" w:themeColor="accent1"/>
        </w:rPr>
      </w:pPr>
      <w:r>
        <w:br w:type="page"/>
      </w:r>
    </w:p>
    <w:p w:rsidR="00922BC4" w:rsidRPr="00207B24" w:rsidRDefault="00843A3F" w:rsidP="00207B24">
      <w:pPr>
        <w:pStyle w:val="Heading3"/>
      </w:pPr>
      <w:bookmarkStart w:id="21" w:name="_Toc289256739"/>
      <w:r>
        <w:lastRenderedPageBreak/>
        <w:t xml:space="preserve">5.3 </w:t>
      </w:r>
      <w:r w:rsidR="00DB5AC1">
        <w:t>Importance of c</w:t>
      </w:r>
      <w:r w:rsidR="00207B24" w:rsidRPr="00207B24">
        <w:t>ommunication</w:t>
      </w:r>
      <w:bookmarkEnd w:id="21"/>
    </w:p>
    <w:p w:rsidR="00401ACC" w:rsidRDefault="00401ACC" w:rsidP="00A37542">
      <w:pPr>
        <w:jc w:val="both"/>
        <w:rPr>
          <w:rFonts w:asciiTheme="minorHAnsi" w:hAnsiTheme="minorHAnsi" w:cstheme="minorHAnsi"/>
        </w:rPr>
      </w:pPr>
    </w:p>
    <w:p w:rsidR="00207B24" w:rsidRPr="00207B24" w:rsidRDefault="00207B24" w:rsidP="00A37542">
      <w:pPr>
        <w:jc w:val="both"/>
        <w:rPr>
          <w:rFonts w:asciiTheme="minorHAnsi" w:hAnsiTheme="minorHAnsi" w:cstheme="minorHAnsi"/>
        </w:rPr>
      </w:pPr>
      <w:r w:rsidRPr="00207B24">
        <w:rPr>
          <w:rFonts w:asciiTheme="minorHAnsi" w:hAnsiTheme="minorHAnsi" w:cstheme="minorHAnsi"/>
        </w:rPr>
        <w:t xml:space="preserve">A key factor in </w:t>
      </w:r>
      <w:r>
        <w:rPr>
          <w:rFonts w:asciiTheme="minorHAnsi" w:hAnsiTheme="minorHAnsi" w:cstheme="minorHAnsi"/>
        </w:rPr>
        <w:t xml:space="preserve">intervention implementation effectiveness is communication, both through </w:t>
      </w:r>
      <w:r w:rsidR="003C2DC5">
        <w:rPr>
          <w:rFonts w:asciiTheme="minorHAnsi" w:hAnsiTheme="minorHAnsi" w:cstheme="minorHAnsi"/>
        </w:rPr>
        <w:t>conventional mass media, newer electronic media forms including social media and inter-personal communications.</w:t>
      </w:r>
    </w:p>
    <w:p w:rsidR="00922BC4" w:rsidRPr="00207B24" w:rsidRDefault="00922BC4" w:rsidP="00A37542">
      <w:pPr>
        <w:jc w:val="both"/>
        <w:rPr>
          <w:rFonts w:asciiTheme="minorHAnsi" w:hAnsiTheme="minorHAnsi" w:cstheme="minorHAnsi"/>
        </w:rPr>
      </w:pPr>
    </w:p>
    <w:p w:rsidR="003C2DC5" w:rsidRPr="00A42D2C" w:rsidRDefault="00443FFD" w:rsidP="003C2DC5">
      <w:pPr>
        <w:ind w:left="284" w:right="284"/>
        <w:rPr>
          <w:rFonts w:asciiTheme="minorHAnsi" w:hAnsiTheme="minorHAnsi"/>
        </w:rPr>
      </w:pPr>
      <w:r w:rsidRPr="00A42D2C">
        <w:rPr>
          <w:rFonts w:asciiTheme="minorHAnsi" w:hAnsiTheme="minorHAnsi"/>
        </w:rPr>
        <w:t>Communications can attempt to increase the strength of beliefs that will promote healthy behaviours, reduce the strength of beliefs that promote risky behaviours (i.e. increase their accessibility) so that these beliefs will carry more weight as determinants of attitudes, norms self efficacy and intentions</w:t>
      </w:r>
      <w:r w:rsidR="00A42D2C" w:rsidRPr="00A42D2C">
        <w:rPr>
          <w:rFonts w:asciiTheme="minorHAnsi" w:hAnsiTheme="minorHAnsi"/>
        </w:rPr>
        <w:t>.</w:t>
      </w:r>
      <w:r w:rsidR="003C2DC5" w:rsidRPr="00A42D2C">
        <w:rPr>
          <w:rFonts w:asciiTheme="minorHAnsi" w:hAnsiTheme="minorHAnsi"/>
        </w:rPr>
        <w:t xml:space="preserve"> </w:t>
      </w:r>
      <w:fldSimple w:instr=" NOTEREF _Ref285706191 \h  \* MERGEFORMAT ">
        <w:r w:rsidR="00CE6342" w:rsidRPr="00CE6342">
          <w:rPr>
            <w:rFonts w:asciiTheme="minorHAnsi" w:hAnsiTheme="minorHAnsi"/>
            <w:vertAlign w:val="superscript"/>
          </w:rPr>
          <w:t>32</w:t>
        </w:r>
      </w:fldSimple>
      <w:r w:rsidR="002D77FB" w:rsidRPr="00A42D2C">
        <w:rPr>
          <w:rFonts w:asciiTheme="minorHAnsi" w:hAnsiTheme="minorHAnsi"/>
          <w:vertAlign w:val="superscript"/>
        </w:rPr>
        <w:t>, p. 14</w:t>
      </w:r>
      <w:r w:rsidRPr="00A42D2C">
        <w:rPr>
          <w:rFonts w:asciiTheme="minorHAnsi" w:hAnsiTheme="minorHAnsi"/>
          <w:vertAlign w:val="superscript"/>
        </w:rPr>
        <w:t xml:space="preserve"> </w:t>
      </w:r>
      <w:r w:rsidR="000010E3" w:rsidRPr="00A42D2C">
        <w:rPr>
          <w:rFonts w:asciiTheme="minorHAnsi" w:hAnsiTheme="minorHAnsi"/>
        </w:rPr>
        <w:t xml:space="preserve"> </w:t>
      </w:r>
    </w:p>
    <w:p w:rsidR="003C2DC5" w:rsidRPr="00A42D2C" w:rsidRDefault="003C2DC5" w:rsidP="000010E3">
      <w:pPr>
        <w:rPr>
          <w:rFonts w:asciiTheme="minorHAnsi" w:hAnsiTheme="minorHAnsi"/>
        </w:rPr>
      </w:pPr>
    </w:p>
    <w:p w:rsidR="003C2DC5" w:rsidRPr="00A42D2C" w:rsidRDefault="003C2DC5" w:rsidP="000010E3">
      <w:pPr>
        <w:rPr>
          <w:rFonts w:asciiTheme="minorHAnsi" w:hAnsiTheme="minorHAnsi"/>
        </w:rPr>
      </w:pPr>
      <w:r w:rsidRPr="00A42D2C">
        <w:rPr>
          <w:rFonts w:asciiTheme="minorHAnsi" w:hAnsiTheme="minorHAnsi"/>
        </w:rPr>
        <w:t xml:space="preserve">This presents another challenge as:  </w:t>
      </w:r>
    </w:p>
    <w:p w:rsidR="00A42D2C" w:rsidRPr="00A42D2C" w:rsidRDefault="00A42D2C" w:rsidP="000010E3">
      <w:pPr>
        <w:rPr>
          <w:rFonts w:asciiTheme="minorHAnsi" w:hAnsiTheme="minorHAnsi"/>
        </w:rPr>
      </w:pPr>
    </w:p>
    <w:p w:rsidR="000010E3" w:rsidRPr="00A836F4" w:rsidRDefault="000010E3" w:rsidP="002D77FB">
      <w:pPr>
        <w:ind w:left="284" w:right="284"/>
        <w:rPr>
          <w:rFonts w:asciiTheme="minorHAnsi" w:hAnsiTheme="minorHAnsi"/>
        </w:rPr>
      </w:pPr>
      <w:r w:rsidRPr="00A42D2C">
        <w:rPr>
          <w:rFonts w:asciiTheme="minorHAnsi" w:hAnsiTheme="minorHAnsi"/>
          <w:iCs/>
        </w:rPr>
        <w:t>Behavioural theories do not tell us how best to design messages so that they will be attended to, accepted, and yielded to.  We would argue that this is the role of theories of communication</w:t>
      </w:r>
      <w:r w:rsidR="00A42D2C" w:rsidRPr="00A42D2C">
        <w:rPr>
          <w:rFonts w:asciiTheme="minorHAnsi" w:hAnsiTheme="minorHAnsi"/>
        </w:rPr>
        <w:t>.</w:t>
      </w:r>
      <w:r w:rsidR="002D77FB">
        <w:rPr>
          <w:rFonts w:asciiTheme="minorHAnsi" w:hAnsiTheme="minorHAnsi"/>
        </w:rPr>
        <w:t xml:space="preserve"> </w:t>
      </w:r>
      <w:fldSimple w:instr=" NOTEREF _Ref285706191 \h  \* MERGEFORMAT ">
        <w:r w:rsidR="00CE6342" w:rsidRPr="00CE6342">
          <w:rPr>
            <w:rFonts w:asciiTheme="minorHAnsi" w:hAnsiTheme="minorHAnsi"/>
            <w:vertAlign w:val="superscript"/>
          </w:rPr>
          <w:t>32</w:t>
        </w:r>
      </w:fldSimple>
      <w:r w:rsidR="002D77FB" w:rsidRPr="002D77FB">
        <w:rPr>
          <w:rFonts w:asciiTheme="minorHAnsi" w:hAnsiTheme="minorHAnsi"/>
          <w:vertAlign w:val="superscript"/>
        </w:rPr>
        <w:t>, p. 14</w:t>
      </w:r>
      <w:r w:rsidR="002D77FB">
        <w:rPr>
          <w:rFonts w:asciiTheme="minorHAnsi" w:hAnsiTheme="minorHAnsi"/>
        </w:rPr>
        <w:t xml:space="preserve"> </w:t>
      </w:r>
    </w:p>
    <w:p w:rsidR="000010E3" w:rsidRPr="00A836F4" w:rsidRDefault="000010E3" w:rsidP="002D77FB">
      <w:pPr>
        <w:ind w:left="284" w:right="284"/>
        <w:rPr>
          <w:rFonts w:asciiTheme="minorHAnsi" w:hAnsiTheme="minorHAnsi"/>
        </w:rPr>
      </w:pPr>
    </w:p>
    <w:p w:rsidR="00FD26B8" w:rsidRDefault="00922BC4" w:rsidP="000D53B7">
      <w:pPr>
        <w:jc w:val="both"/>
        <w:rPr>
          <w:rFonts w:asciiTheme="minorHAnsi" w:hAnsiTheme="minorHAnsi"/>
        </w:rPr>
      </w:pPr>
      <w:r w:rsidRPr="009B16CB">
        <w:rPr>
          <w:rFonts w:asciiTheme="minorHAnsi" w:hAnsiTheme="minorHAnsi"/>
        </w:rPr>
        <w:t>The emergence of new media forms (including social media and hybrid media forms such as advergames) presents challenges to the existing foundations of marketing communications theory.  Traditional communications theories and models such as Hierarchy of Effects models (e.g. AIDA, originally developed a century ago in the personal selling domain)</w:t>
      </w:r>
      <w:r w:rsidRPr="009B16CB">
        <w:rPr>
          <w:rFonts w:asciiTheme="minorHAnsi" w:hAnsiTheme="minorHAnsi"/>
          <w:vertAlign w:val="superscript"/>
        </w:rPr>
        <w:endnoteReference w:id="49"/>
      </w:r>
      <w:r w:rsidRPr="009B16CB">
        <w:rPr>
          <w:rFonts w:asciiTheme="minorHAnsi" w:hAnsiTheme="minorHAnsi"/>
          <w:vertAlign w:val="superscript"/>
        </w:rPr>
        <w:t>,</w:t>
      </w:r>
      <w:r w:rsidRPr="009B16CB">
        <w:rPr>
          <w:rFonts w:asciiTheme="minorHAnsi" w:hAnsiTheme="minorHAnsi"/>
          <w:vertAlign w:val="superscript"/>
        </w:rPr>
        <w:endnoteReference w:id="50"/>
      </w:r>
      <w:r w:rsidRPr="009B16CB">
        <w:rPr>
          <w:rFonts w:asciiTheme="minorHAnsi" w:hAnsiTheme="minorHAnsi"/>
        </w:rPr>
        <w:t>, DAGMAR (Defining Advertising Goals for Measured Advertising Response)</w:t>
      </w:r>
      <w:r w:rsidRPr="009B16CB">
        <w:rPr>
          <w:rStyle w:val="EndnoteReference"/>
          <w:rFonts w:asciiTheme="minorHAnsi" w:eastAsia="Cambria" w:hAnsiTheme="minorHAnsi"/>
        </w:rPr>
        <w:endnoteReference w:id="51"/>
      </w:r>
      <w:r w:rsidRPr="009B16CB">
        <w:rPr>
          <w:rFonts w:asciiTheme="minorHAnsi" w:hAnsiTheme="minorHAnsi"/>
        </w:rPr>
        <w:t xml:space="preserve"> and the Elaboration Likelihood Model</w:t>
      </w:r>
      <w:r w:rsidRPr="009B16CB">
        <w:rPr>
          <w:rFonts w:asciiTheme="minorHAnsi" w:hAnsiTheme="minorHAnsi"/>
          <w:vertAlign w:val="superscript"/>
        </w:rPr>
        <w:endnoteReference w:id="52"/>
      </w:r>
      <w:r w:rsidRPr="009B16CB">
        <w:rPr>
          <w:rFonts w:asciiTheme="minorHAnsi" w:hAnsiTheme="minorHAnsi"/>
        </w:rPr>
        <w:t xml:space="preserve"> became prominent during an era in which mass media were dominant and the prevailing belief, particularly in the USA, was that advertising was a strongly persuasive force and people </w:t>
      </w:r>
      <w:r w:rsidR="00401ACC">
        <w:rPr>
          <w:rFonts w:asciiTheme="minorHAnsi" w:hAnsiTheme="minorHAnsi"/>
        </w:rPr>
        <w:t xml:space="preserve">conceived of as </w:t>
      </w:r>
      <w:r w:rsidRPr="009B16CB">
        <w:rPr>
          <w:rFonts w:asciiTheme="minorHAnsi" w:hAnsiTheme="minorHAnsi"/>
        </w:rPr>
        <w:t xml:space="preserve">passive recipients of communication messages.  </w:t>
      </w:r>
    </w:p>
    <w:p w:rsidR="00FD26B8" w:rsidRDefault="00FD26B8" w:rsidP="000D53B7">
      <w:pPr>
        <w:jc w:val="both"/>
        <w:rPr>
          <w:rFonts w:asciiTheme="minorHAnsi" w:hAnsiTheme="minorHAnsi"/>
        </w:rPr>
      </w:pPr>
    </w:p>
    <w:p w:rsidR="000010E3" w:rsidRDefault="00922BC4" w:rsidP="000D53B7">
      <w:pPr>
        <w:jc w:val="both"/>
        <w:rPr>
          <w:rFonts w:asciiTheme="minorHAnsi" w:hAnsiTheme="minorHAnsi"/>
        </w:rPr>
      </w:pPr>
      <w:r w:rsidRPr="009B16CB">
        <w:rPr>
          <w:rFonts w:asciiTheme="minorHAnsi" w:hAnsiTheme="minorHAnsi"/>
        </w:rPr>
        <w:t>These models became prevailing wisdom, if not dominant paradigms, in spite of considerable evidence that they were not universally applicable</w:t>
      </w:r>
      <w:r w:rsidRPr="009B16CB">
        <w:rPr>
          <w:rFonts w:asciiTheme="minorHAnsi" w:hAnsiTheme="minorHAnsi"/>
          <w:vertAlign w:val="superscript"/>
        </w:rPr>
        <w:endnoteReference w:id="53"/>
      </w:r>
      <w:r w:rsidRPr="009B16CB">
        <w:rPr>
          <w:rFonts w:asciiTheme="minorHAnsi" w:hAnsiTheme="minorHAnsi"/>
          <w:vertAlign w:val="superscript"/>
        </w:rPr>
        <w:t>,</w:t>
      </w:r>
      <w:r w:rsidRPr="009B16CB">
        <w:rPr>
          <w:rFonts w:asciiTheme="minorHAnsi" w:hAnsiTheme="minorHAnsi"/>
          <w:vertAlign w:val="superscript"/>
        </w:rPr>
        <w:endnoteReference w:id="54"/>
      </w:r>
      <w:r w:rsidRPr="009B16CB">
        <w:rPr>
          <w:rFonts w:asciiTheme="minorHAnsi" w:hAnsiTheme="minorHAnsi"/>
          <w:vertAlign w:val="superscript"/>
        </w:rPr>
        <w:t>,</w:t>
      </w:r>
      <w:r w:rsidRPr="009B16CB">
        <w:rPr>
          <w:rFonts w:asciiTheme="minorHAnsi" w:hAnsiTheme="minorHAnsi"/>
          <w:vertAlign w:val="superscript"/>
        </w:rPr>
        <w:endnoteReference w:id="55"/>
      </w:r>
      <w:r w:rsidRPr="009B16CB">
        <w:rPr>
          <w:rFonts w:asciiTheme="minorHAnsi" w:hAnsiTheme="minorHAnsi"/>
        </w:rPr>
        <w:t>.  There is a clear need to re-examine the relevance of traditional communication theories for the 21st century environment</w:t>
      </w:r>
      <w:r w:rsidRPr="009B16CB">
        <w:rPr>
          <w:rStyle w:val="EndnoteReference"/>
          <w:rFonts w:asciiTheme="minorHAnsi" w:eastAsia="Cambria" w:hAnsiTheme="minorHAnsi"/>
        </w:rPr>
        <w:endnoteReference w:id="56"/>
      </w:r>
      <w:r w:rsidRPr="009B16CB">
        <w:rPr>
          <w:rFonts w:asciiTheme="minorHAnsi" w:hAnsiTheme="minorHAnsi"/>
        </w:rPr>
        <w:t>, together with newer, but in this context largely untested models</w:t>
      </w:r>
      <w:r w:rsidR="00401ACC">
        <w:rPr>
          <w:rFonts w:asciiTheme="minorHAnsi" w:hAnsiTheme="minorHAnsi"/>
        </w:rPr>
        <w:t>,</w:t>
      </w:r>
      <w:r w:rsidRPr="009B16CB">
        <w:rPr>
          <w:rFonts w:asciiTheme="minorHAnsi" w:hAnsiTheme="minorHAnsi"/>
        </w:rPr>
        <w:t xml:space="preserve"> such as</w:t>
      </w:r>
      <w:r w:rsidR="00401ACC">
        <w:rPr>
          <w:rFonts w:asciiTheme="minorHAnsi" w:hAnsiTheme="minorHAnsi"/>
        </w:rPr>
        <w:t>,</w:t>
      </w:r>
      <w:r w:rsidRPr="009B16CB">
        <w:rPr>
          <w:rFonts w:asciiTheme="minorHAnsi" w:hAnsiTheme="minorHAnsi"/>
        </w:rPr>
        <w:t xml:space="preserve"> the Technology Acceptance Model and the Innovation Diffusion Model</w:t>
      </w:r>
      <w:r w:rsidRPr="009B16CB">
        <w:rPr>
          <w:rFonts w:asciiTheme="minorHAnsi" w:hAnsiTheme="minorHAnsi"/>
          <w:vertAlign w:val="superscript"/>
        </w:rPr>
        <w:endnoteReference w:id="57"/>
      </w:r>
      <w:r w:rsidRPr="009B16CB">
        <w:rPr>
          <w:rFonts w:asciiTheme="minorHAnsi" w:hAnsiTheme="minorHAnsi"/>
          <w:vertAlign w:val="superscript"/>
        </w:rPr>
        <w:t>,</w:t>
      </w:r>
      <w:r w:rsidRPr="009B16CB">
        <w:rPr>
          <w:rFonts w:asciiTheme="minorHAnsi" w:hAnsiTheme="minorHAnsi"/>
          <w:vertAlign w:val="superscript"/>
        </w:rPr>
        <w:endnoteReference w:id="58"/>
      </w:r>
      <w:r w:rsidRPr="009B16CB">
        <w:rPr>
          <w:rFonts w:asciiTheme="minorHAnsi" w:hAnsiTheme="minorHAnsi"/>
        </w:rPr>
        <w:t xml:space="preserve"> and various hybrid models that combine the Technology Acceptance Model with more widely known models such as the Theory of Planned Behaviour and the Theory of Reasoned Action</w:t>
      </w:r>
      <w:r w:rsidRPr="009B16CB">
        <w:rPr>
          <w:rFonts w:asciiTheme="minorHAnsi" w:hAnsiTheme="minorHAnsi"/>
          <w:vertAlign w:val="superscript"/>
        </w:rPr>
        <w:endnoteReference w:id="59"/>
      </w:r>
      <w:r w:rsidRPr="009B16CB">
        <w:rPr>
          <w:rFonts w:asciiTheme="minorHAnsi" w:hAnsiTheme="minorHAnsi"/>
        </w:rPr>
        <w:t xml:space="preserve">.   </w:t>
      </w:r>
    </w:p>
    <w:p w:rsidR="00D44344" w:rsidRDefault="00D44344" w:rsidP="000D53B7">
      <w:pPr>
        <w:jc w:val="both"/>
        <w:rPr>
          <w:rFonts w:asciiTheme="minorHAnsi" w:hAnsiTheme="minorHAnsi"/>
        </w:rPr>
      </w:pPr>
    </w:p>
    <w:p w:rsidR="00601DC1" w:rsidRDefault="00D44344" w:rsidP="00D44344">
      <w:pPr>
        <w:jc w:val="both"/>
        <w:rPr>
          <w:rFonts w:asciiTheme="minorHAnsi" w:hAnsiTheme="minorHAnsi"/>
        </w:rPr>
      </w:pPr>
      <w:r w:rsidRPr="00443FFD">
        <w:rPr>
          <w:rFonts w:asciiTheme="minorHAnsi" w:hAnsiTheme="minorHAnsi"/>
        </w:rPr>
        <w:t>In order to understand the impact of new electronic media and, especially, social media, we recommend research to address the following questions:</w:t>
      </w:r>
    </w:p>
    <w:p w:rsidR="00601DC1" w:rsidRDefault="00601DC1">
      <w:pPr>
        <w:rPr>
          <w:rFonts w:asciiTheme="minorHAnsi" w:hAnsiTheme="minorHAnsi"/>
        </w:rPr>
      </w:pPr>
      <w:r>
        <w:rPr>
          <w:rFonts w:asciiTheme="minorHAnsi" w:hAnsiTheme="minorHAnsi"/>
        </w:rPr>
        <w:br w:type="page"/>
      </w:r>
    </w:p>
    <w:p w:rsidR="00D44344" w:rsidRPr="00443FFD" w:rsidRDefault="00D44344" w:rsidP="00D44344">
      <w:pPr>
        <w:jc w:val="both"/>
        <w:rPr>
          <w:rFonts w:asciiTheme="minorHAnsi" w:hAnsiTheme="minorHAnsi"/>
        </w:rPr>
      </w:pPr>
    </w:p>
    <w:p w:rsidR="000010E3" w:rsidRPr="00443FFD" w:rsidRDefault="000010E3" w:rsidP="000D53B7">
      <w:pPr>
        <w:jc w:val="both"/>
        <w:rPr>
          <w:rFonts w:asciiTheme="minorHAnsi" w:hAnsiTheme="minorHAnsi" w:cstheme="minorHAnsi"/>
          <w:highlight w:val="yellow"/>
        </w:rPr>
      </w:pPr>
    </w:p>
    <w:p w:rsidR="002D77FB" w:rsidRDefault="002D77FB" w:rsidP="002D77FB">
      <w:pPr>
        <w:pBdr>
          <w:top w:val="single" w:sz="4" w:space="1" w:color="auto"/>
          <w:left w:val="single" w:sz="4" w:space="4" w:color="auto"/>
          <w:bottom w:val="single" w:sz="4" w:space="1" w:color="auto"/>
          <w:right w:val="single" w:sz="4" w:space="4" w:color="auto"/>
        </w:pBdr>
        <w:shd w:val="clear" w:color="auto" w:fill="CCFFFF"/>
        <w:ind w:right="284"/>
        <w:rPr>
          <w:rFonts w:asciiTheme="minorHAnsi" w:hAnsiTheme="minorHAnsi" w:cstheme="minorHAnsi"/>
          <w:b/>
          <w:i/>
          <w:color w:val="000000"/>
          <w:sz w:val="22"/>
          <w:szCs w:val="22"/>
        </w:rPr>
      </w:pPr>
    </w:p>
    <w:p w:rsidR="00443FFD" w:rsidRPr="00AC76D1" w:rsidRDefault="00443FFD" w:rsidP="002D77FB">
      <w:pPr>
        <w:pBdr>
          <w:top w:val="single" w:sz="4" w:space="1" w:color="auto"/>
          <w:left w:val="single" w:sz="4" w:space="4" w:color="auto"/>
          <w:bottom w:val="single" w:sz="4" w:space="1" w:color="auto"/>
          <w:right w:val="single" w:sz="4" w:space="4" w:color="auto"/>
        </w:pBdr>
        <w:shd w:val="clear" w:color="auto" w:fill="CCFFFF"/>
        <w:ind w:right="284"/>
        <w:jc w:val="center"/>
        <w:rPr>
          <w:rFonts w:asciiTheme="minorHAnsi" w:hAnsiTheme="minorHAnsi" w:cstheme="minorHAnsi"/>
          <w:b/>
          <w:i/>
          <w:color w:val="000000"/>
          <w:sz w:val="22"/>
          <w:szCs w:val="22"/>
        </w:rPr>
      </w:pPr>
      <w:r w:rsidRPr="00AC76D1">
        <w:rPr>
          <w:rFonts w:asciiTheme="minorHAnsi" w:hAnsiTheme="minorHAnsi" w:cstheme="minorHAnsi"/>
          <w:b/>
          <w:i/>
          <w:color w:val="000000"/>
          <w:sz w:val="22"/>
          <w:szCs w:val="22"/>
        </w:rPr>
        <w:t>Research Agenda:  New Media Use, Effects and Effectiveness</w:t>
      </w:r>
    </w:p>
    <w:p w:rsidR="00D44344" w:rsidRPr="00AC76D1" w:rsidRDefault="00D44344" w:rsidP="002D77FB">
      <w:pPr>
        <w:numPr>
          <w:ilvl w:val="0"/>
          <w:numId w:val="11"/>
        </w:numPr>
        <w:pBdr>
          <w:top w:val="single" w:sz="4" w:space="1" w:color="auto"/>
          <w:left w:val="single" w:sz="4" w:space="4" w:color="auto"/>
          <w:bottom w:val="single" w:sz="4" w:space="1" w:color="auto"/>
          <w:right w:val="single" w:sz="4" w:space="4" w:color="auto"/>
        </w:pBdr>
        <w:shd w:val="clear" w:color="auto" w:fill="CCFFFF"/>
        <w:ind w:left="357" w:right="284" w:hanging="357"/>
        <w:rPr>
          <w:rFonts w:asciiTheme="minorHAnsi" w:hAnsiTheme="minorHAnsi" w:cstheme="minorHAnsi"/>
          <w:i/>
          <w:color w:val="000000"/>
          <w:sz w:val="22"/>
          <w:szCs w:val="22"/>
        </w:rPr>
      </w:pPr>
      <w:r w:rsidRPr="00AC76D1">
        <w:rPr>
          <w:rFonts w:asciiTheme="minorHAnsi" w:hAnsiTheme="minorHAnsi" w:cstheme="minorHAnsi"/>
          <w:i/>
          <w:color w:val="000000"/>
          <w:sz w:val="22"/>
          <w:szCs w:val="22"/>
        </w:rPr>
        <w:t xml:space="preserve">To what extent are new media important, and how do individuals and groups use </w:t>
      </w:r>
      <w:r w:rsidR="00C71103">
        <w:rPr>
          <w:rFonts w:asciiTheme="minorHAnsi" w:hAnsiTheme="minorHAnsi" w:cstheme="minorHAnsi"/>
          <w:i/>
          <w:color w:val="000000"/>
          <w:sz w:val="22"/>
          <w:szCs w:val="22"/>
        </w:rPr>
        <w:t xml:space="preserve">features, such as those that enable </w:t>
      </w:r>
      <w:r w:rsidRPr="00AC76D1">
        <w:rPr>
          <w:rFonts w:asciiTheme="minorHAnsi" w:hAnsiTheme="minorHAnsi" w:cstheme="minorHAnsi"/>
          <w:i/>
          <w:color w:val="000000"/>
          <w:sz w:val="22"/>
          <w:szCs w:val="22"/>
        </w:rPr>
        <w:t>user-generated content</w:t>
      </w:r>
      <w:r w:rsidR="00C71103">
        <w:rPr>
          <w:rFonts w:asciiTheme="minorHAnsi" w:hAnsiTheme="minorHAnsi" w:cstheme="minorHAnsi"/>
          <w:i/>
          <w:color w:val="000000"/>
          <w:sz w:val="22"/>
          <w:szCs w:val="22"/>
        </w:rPr>
        <w:t xml:space="preserve">, </w:t>
      </w:r>
      <w:r w:rsidRPr="00AC76D1">
        <w:rPr>
          <w:rFonts w:asciiTheme="minorHAnsi" w:hAnsiTheme="minorHAnsi" w:cstheme="minorHAnsi"/>
          <w:i/>
          <w:color w:val="000000"/>
          <w:sz w:val="22"/>
          <w:szCs w:val="22"/>
        </w:rPr>
        <w:t>to gather information and</w:t>
      </w:r>
      <w:r w:rsidR="00C71103">
        <w:rPr>
          <w:rFonts w:asciiTheme="minorHAnsi" w:hAnsiTheme="minorHAnsi" w:cstheme="minorHAnsi"/>
          <w:i/>
          <w:color w:val="000000"/>
          <w:sz w:val="22"/>
          <w:szCs w:val="22"/>
        </w:rPr>
        <w:t xml:space="preserve"> in</w:t>
      </w:r>
      <w:r w:rsidRPr="00AC76D1">
        <w:rPr>
          <w:rFonts w:asciiTheme="minorHAnsi" w:hAnsiTheme="minorHAnsi" w:cstheme="minorHAnsi"/>
          <w:i/>
          <w:color w:val="000000"/>
          <w:sz w:val="22"/>
          <w:szCs w:val="22"/>
        </w:rPr>
        <w:t>form opinion</w:t>
      </w:r>
      <w:r w:rsidR="00C71103">
        <w:rPr>
          <w:rFonts w:asciiTheme="minorHAnsi" w:hAnsiTheme="minorHAnsi" w:cstheme="minorHAnsi"/>
          <w:i/>
          <w:color w:val="000000"/>
          <w:sz w:val="22"/>
          <w:szCs w:val="22"/>
        </w:rPr>
        <w:t>s</w:t>
      </w:r>
      <w:r w:rsidRPr="00AC76D1">
        <w:rPr>
          <w:rFonts w:asciiTheme="minorHAnsi" w:hAnsiTheme="minorHAnsi" w:cstheme="minorHAnsi"/>
          <w:i/>
          <w:color w:val="000000"/>
          <w:sz w:val="22"/>
          <w:szCs w:val="22"/>
        </w:rPr>
        <w:t xml:space="preserve"> that shape behaviour?</w:t>
      </w:r>
    </w:p>
    <w:p w:rsidR="00D44344" w:rsidRPr="00AC76D1" w:rsidRDefault="00D44344" w:rsidP="002D77FB">
      <w:pPr>
        <w:numPr>
          <w:ilvl w:val="0"/>
          <w:numId w:val="11"/>
        </w:numPr>
        <w:pBdr>
          <w:top w:val="single" w:sz="4" w:space="1" w:color="auto"/>
          <w:left w:val="single" w:sz="4" w:space="4" w:color="auto"/>
          <w:bottom w:val="single" w:sz="4" w:space="1" w:color="auto"/>
          <w:right w:val="single" w:sz="4" w:space="4" w:color="auto"/>
        </w:pBdr>
        <w:shd w:val="clear" w:color="auto" w:fill="CCFFFF"/>
        <w:ind w:left="357" w:right="284" w:hanging="357"/>
        <w:rPr>
          <w:rFonts w:asciiTheme="minorHAnsi" w:hAnsiTheme="minorHAnsi" w:cstheme="minorHAnsi"/>
          <w:i/>
          <w:sz w:val="22"/>
          <w:szCs w:val="22"/>
        </w:rPr>
      </w:pPr>
      <w:r w:rsidRPr="00AC76D1">
        <w:rPr>
          <w:rFonts w:asciiTheme="minorHAnsi" w:hAnsiTheme="minorHAnsi" w:cstheme="minorHAnsi"/>
          <w:i/>
          <w:sz w:val="22"/>
          <w:szCs w:val="22"/>
        </w:rPr>
        <w:t>How well do traditional communications models and theories describe, explain or enable prediction of persuasive social marketing communication processes in the 21</w:t>
      </w:r>
      <w:r w:rsidRPr="00AC76D1">
        <w:rPr>
          <w:rFonts w:asciiTheme="minorHAnsi" w:hAnsiTheme="minorHAnsi" w:cstheme="minorHAnsi"/>
          <w:i/>
          <w:sz w:val="22"/>
          <w:szCs w:val="22"/>
          <w:vertAlign w:val="superscript"/>
        </w:rPr>
        <w:t>st</w:t>
      </w:r>
      <w:r w:rsidRPr="00AC76D1">
        <w:rPr>
          <w:rFonts w:asciiTheme="minorHAnsi" w:hAnsiTheme="minorHAnsi" w:cstheme="minorHAnsi"/>
          <w:i/>
          <w:sz w:val="22"/>
          <w:szCs w:val="22"/>
        </w:rPr>
        <w:t xml:space="preserve"> century, particularly for new media forms such as social networks, where  content is created and managed by users? </w:t>
      </w:r>
    </w:p>
    <w:p w:rsidR="00D44344" w:rsidRPr="00AC76D1" w:rsidRDefault="00D44344" w:rsidP="002D77FB">
      <w:pPr>
        <w:numPr>
          <w:ilvl w:val="0"/>
          <w:numId w:val="11"/>
        </w:numPr>
        <w:pBdr>
          <w:top w:val="single" w:sz="4" w:space="1" w:color="auto"/>
          <w:left w:val="single" w:sz="4" w:space="4" w:color="auto"/>
          <w:bottom w:val="single" w:sz="4" w:space="1" w:color="auto"/>
          <w:right w:val="single" w:sz="4" w:space="4" w:color="auto"/>
        </w:pBdr>
        <w:shd w:val="clear" w:color="auto" w:fill="CCFFFF"/>
        <w:ind w:left="357" w:right="284" w:hanging="357"/>
        <w:rPr>
          <w:rFonts w:asciiTheme="minorHAnsi" w:hAnsiTheme="minorHAnsi" w:cstheme="minorHAnsi"/>
          <w:i/>
          <w:sz w:val="22"/>
          <w:szCs w:val="22"/>
        </w:rPr>
      </w:pPr>
      <w:r w:rsidRPr="00AC76D1">
        <w:rPr>
          <w:rFonts w:asciiTheme="minorHAnsi" w:hAnsiTheme="minorHAnsi" w:cstheme="minorHAnsi"/>
          <w:i/>
          <w:sz w:val="22"/>
          <w:szCs w:val="22"/>
        </w:rPr>
        <w:t xml:space="preserve">How </w:t>
      </w:r>
      <w:r w:rsidR="00443FFD" w:rsidRPr="00AC76D1">
        <w:rPr>
          <w:rFonts w:asciiTheme="minorHAnsi" w:hAnsiTheme="minorHAnsi" w:cstheme="minorHAnsi"/>
          <w:i/>
          <w:sz w:val="22"/>
          <w:szCs w:val="22"/>
        </w:rPr>
        <w:t xml:space="preserve">are </w:t>
      </w:r>
      <w:r w:rsidRPr="00AC76D1">
        <w:rPr>
          <w:rFonts w:asciiTheme="minorHAnsi" w:hAnsiTheme="minorHAnsi" w:cstheme="minorHAnsi"/>
          <w:i/>
          <w:sz w:val="22"/>
          <w:szCs w:val="22"/>
        </w:rPr>
        <w:t xml:space="preserve">these media used, and what impact </w:t>
      </w:r>
      <w:r w:rsidR="00C71103">
        <w:rPr>
          <w:rFonts w:asciiTheme="minorHAnsi" w:hAnsiTheme="minorHAnsi" w:cstheme="minorHAnsi"/>
          <w:i/>
          <w:sz w:val="22"/>
          <w:szCs w:val="22"/>
        </w:rPr>
        <w:t xml:space="preserve">do </w:t>
      </w:r>
      <w:r w:rsidRPr="00AC76D1">
        <w:rPr>
          <w:rFonts w:asciiTheme="minorHAnsi" w:hAnsiTheme="minorHAnsi" w:cstheme="minorHAnsi"/>
          <w:i/>
          <w:sz w:val="22"/>
          <w:szCs w:val="22"/>
        </w:rPr>
        <w:t xml:space="preserve">they have on the lives of users and the effectiveness of the media for communicating persuasive health-related messages. </w:t>
      </w:r>
    </w:p>
    <w:p w:rsidR="00D44344" w:rsidRPr="00AC76D1" w:rsidRDefault="00D44344" w:rsidP="002D77FB">
      <w:pPr>
        <w:numPr>
          <w:ilvl w:val="0"/>
          <w:numId w:val="11"/>
        </w:numPr>
        <w:pBdr>
          <w:top w:val="single" w:sz="4" w:space="1" w:color="auto"/>
          <w:left w:val="single" w:sz="4" w:space="4" w:color="auto"/>
          <w:bottom w:val="single" w:sz="4" w:space="1" w:color="auto"/>
          <w:right w:val="single" w:sz="4" w:space="4" w:color="auto"/>
        </w:pBdr>
        <w:shd w:val="clear" w:color="auto" w:fill="CCFFFF"/>
        <w:ind w:left="357" w:right="284" w:hanging="357"/>
        <w:rPr>
          <w:rFonts w:asciiTheme="minorHAnsi" w:hAnsiTheme="minorHAnsi" w:cstheme="minorHAnsi"/>
          <w:i/>
          <w:sz w:val="22"/>
          <w:szCs w:val="22"/>
        </w:rPr>
      </w:pPr>
      <w:r w:rsidRPr="00AC76D1">
        <w:rPr>
          <w:rFonts w:asciiTheme="minorHAnsi" w:hAnsiTheme="minorHAnsi" w:cstheme="minorHAnsi"/>
          <w:i/>
          <w:sz w:val="22"/>
          <w:szCs w:val="22"/>
        </w:rPr>
        <w:t xml:space="preserve">How </w:t>
      </w:r>
      <w:r w:rsidR="00443FFD" w:rsidRPr="00AC76D1">
        <w:rPr>
          <w:rFonts w:asciiTheme="minorHAnsi" w:hAnsiTheme="minorHAnsi" w:cstheme="minorHAnsi"/>
          <w:i/>
          <w:sz w:val="22"/>
          <w:szCs w:val="22"/>
        </w:rPr>
        <w:t xml:space="preserve">do </w:t>
      </w:r>
      <w:r w:rsidRPr="00AC76D1">
        <w:rPr>
          <w:rFonts w:asciiTheme="minorHAnsi" w:hAnsiTheme="minorHAnsi" w:cstheme="minorHAnsi"/>
          <w:i/>
          <w:sz w:val="22"/>
          <w:szCs w:val="22"/>
        </w:rPr>
        <w:t xml:space="preserve">individuals behave in user-generated content environments: </w:t>
      </w:r>
      <w:r w:rsidR="00443FFD" w:rsidRPr="00AC76D1">
        <w:rPr>
          <w:rFonts w:asciiTheme="minorHAnsi" w:hAnsiTheme="minorHAnsi" w:cstheme="minorHAnsi"/>
          <w:i/>
          <w:sz w:val="22"/>
          <w:szCs w:val="22"/>
        </w:rPr>
        <w:t xml:space="preserve">how does </w:t>
      </w:r>
      <w:r w:rsidRPr="00AC76D1">
        <w:rPr>
          <w:rFonts w:asciiTheme="minorHAnsi" w:hAnsiTheme="minorHAnsi" w:cstheme="minorHAnsi"/>
          <w:i/>
          <w:sz w:val="22"/>
          <w:szCs w:val="22"/>
        </w:rPr>
        <w:t>the role of flow and interaction</w:t>
      </w:r>
      <w:r w:rsidR="00443FFD" w:rsidRPr="00AC76D1">
        <w:rPr>
          <w:rFonts w:asciiTheme="minorHAnsi" w:hAnsiTheme="minorHAnsi" w:cstheme="minorHAnsi"/>
          <w:i/>
          <w:sz w:val="22"/>
          <w:szCs w:val="22"/>
        </w:rPr>
        <w:t xml:space="preserve"> impact on health-related decisions?</w:t>
      </w:r>
      <w:r w:rsidRPr="00AC76D1">
        <w:rPr>
          <w:rFonts w:asciiTheme="minorHAnsi" w:hAnsiTheme="minorHAnsi" w:cstheme="minorHAnsi"/>
          <w:i/>
          <w:sz w:val="22"/>
          <w:szCs w:val="22"/>
        </w:rPr>
        <w:t xml:space="preserve"> </w:t>
      </w:r>
    </w:p>
    <w:p w:rsidR="002D77FB" w:rsidRPr="00AC76D1" w:rsidRDefault="00443FFD" w:rsidP="002D77FB">
      <w:pPr>
        <w:numPr>
          <w:ilvl w:val="0"/>
          <w:numId w:val="11"/>
        </w:numPr>
        <w:pBdr>
          <w:top w:val="single" w:sz="4" w:space="1" w:color="auto"/>
          <w:left w:val="single" w:sz="4" w:space="4" w:color="auto"/>
          <w:bottom w:val="single" w:sz="4" w:space="1" w:color="auto"/>
          <w:right w:val="single" w:sz="4" w:space="4" w:color="auto"/>
        </w:pBdr>
        <w:shd w:val="clear" w:color="auto" w:fill="CCFFFF"/>
        <w:ind w:left="357" w:right="284" w:hanging="357"/>
        <w:rPr>
          <w:rFonts w:asciiTheme="minorHAnsi" w:hAnsiTheme="minorHAnsi" w:cstheme="minorHAnsi"/>
          <w:i/>
          <w:color w:val="000000"/>
          <w:sz w:val="22"/>
          <w:szCs w:val="22"/>
        </w:rPr>
      </w:pPr>
      <w:r w:rsidRPr="00AC76D1">
        <w:rPr>
          <w:rFonts w:asciiTheme="minorHAnsi" w:hAnsiTheme="minorHAnsi" w:cstheme="minorHAnsi"/>
          <w:i/>
          <w:sz w:val="22"/>
          <w:szCs w:val="22"/>
        </w:rPr>
        <w:t xml:space="preserve">Can we </w:t>
      </w:r>
      <w:r w:rsidR="001449E9" w:rsidRPr="00AC76D1">
        <w:rPr>
          <w:rFonts w:asciiTheme="minorHAnsi" w:hAnsiTheme="minorHAnsi" w:cstheme="minorHAnsi"/>
          <w:i/>
          <w:sz w:val="22"/>
          <w:szCs w:val="22"/>
        </w:rPr>
        <w:t>develop an</w:t>
      </w:r>
      <w:r w:rsidR="00D44344" w:rsidRPr="00AC76D1">
        <w:rPr>
          <w:rFonts w:asciiTheme="minorHAnsi" w:hAnsiTheme="minorHAnsi" w:cstheme="minorHAnsi"/>
          <w:i/>
          <w:sz w:val="22"/>
          <w:szCs w:val="22"/>
        </w:rPr>
        <w:t xml:space="preserve"> integrated model of communication effectiveness, taking this new context and new communication theories into account</w:t>
      </w:r>
      <w:r w:rsidRPr="00AC76D1">
        <w:rPr>
          <w:rFonts w:asciiTheme="minorHAnsi" w:hAnsiTheme="minorHAnsi" w:cstheme="minorHAnsi"/>
          <w:i/>
          <w:sz w:val="22"/>
          <w:szCs w:val="22"/>
        </w:rPr>
        <w:t>?</w:t>
      </w:r>
    </w:p>
    <w:p w:rsidR="002D77FB" w:rsidRPr="00AC76D1" w:rsidRDefault="00D44344" w:rsidP="002D77FB">
      <w:pPr>
        <w:numPr>
          <w:ilvl w:val="0"/>
          <w:numId w:val="11"/>
        </w:numPr>
        <w:pBdr>
          <w:top w:val="single" w:sz="4" w:space="1" w:color="auto"/>
          <w:left w:val="single" w:sz="4" w:space="4" w:color="auto"/>
          <w:bottom w:val="single" w:sz="4" w:space="1" w:color="auto"/>
          <w:right w:val="single" w:sz="4" w:space="4" w:color="auto"/>
        </w:pBdr>
        <w:shd w:val="clear" w:color="auto" w:fill="CCFFFF"/>
        <w:ind w:left="357" w:right="284" w:hanging="357"/>
        <w:rPr>
          <w:rFonts w:asciiTheme="minorHAnsi" w:hAnsiTheme="minorHAnsi" w:cstheme="minorHAnsi"/>
          <w:i/>
          <w:color w:val="000000"/>
          <w:sz w:val="22"/>
          <w:szCs w:val="22"/>
        </w:rPr>
      </w:pPr>
      <w:r w:rsidRPr="00AC76D1">
        <w:rPr>
          <w:rFonts w:asciiTheme="minorHAnsi" w:hAnsiTheme="minorHAnsi" w:cstheme="minorHAnsi"/>
          <w:i/>
          <w:color w:val="000000"/>
          <w:sz w:val="22"/>
          <w:szCs w:val="22"/>
        </w:rPr>
        <w:t>How can interactive media and consumer generated content (e.g. blogs and forums on specific health issues) be used to develop desirable health behaviour for each life stage?</w:t>
      </w:r>
    </w:p>
    <w:p w:rsidR="002D77FB" w:rsidRPr="00AC76D1" w:rsidRDefault="00D44344" w:rsidP="002D77FB">
      <w:pPr>
        <w:numPr>
          <w:ilvl w:val="0"/>
          <w:numId w:val="11"/>
        </w:numPr>
        <w:pBdr>
          <w:top w:val="single" w:sz="4" w:space="1" w:color="auto"/>
          <w:left w:val="single" w:sz="4" w:space="4" w:color="auto"/>
          <w:bottom w:val="single" w:sz="4" w:space="1" w:color="auto"/>
          <w:right w:val="single" w:sz="4" w:space="4" w:color="auto"/>
        </w:pBdr>
        <w:shd w:val="clear" w:color="auto" w:fill="CCFFFF"/>
        <w:ind w:left="357" w:right="284" w:hanging="357"/>
        <w:rPr>
          <w:rFonts w:asciiTheme="minorHAnsi" w:hAnsiTheme="minorHAnsi" w:cstheme="minorHAnsi"/>
          <w:i/>
          <w:color w:val="000000"/>
          <w:sz w:val="22"/>
          <w:szCs w:val="22"/>
        </w:rPr>
      </w:pPr>
      <w:r w:rsidRPr="00AC76D1">
        <w:rPr>
          <w:rFonts w:asciiTheme="minorHAnsi" w:hAnsiTheme="minorHAnsi" w:cstheme="minorHAnsi"/>
          <w:i/>
          <w:color w:val="000000"/>
          <w:sz w:val="22"/>
          <w:szCs w:val="22"/>
        </w:rPr>
        <w:t>What is the effectiveness of the placement of health behaviour issues in editorial content (similar to brand placement in television programmes and movies).</w:t>
      </w:r>
    </w:p>
    <w:p w:rsidR="00D44344" w:rsidRPr="00AC76D1" w:rsidRDefault="00D44344" w:rsidP="002D77FB">
      <w:pPr>
        <w:numPr>
          <w:ilvl w:val="0"/>
          <w:numId w:val="11"/>
        </w:numPr>
        <w:pBdr>
          <w:top w:val="single" w:sz="4" w:space="1" w:color="auto"/>
          <w:left w:val="single" w:sz="4" w:space="4" w:color="auto"/>
          <w:bottom w:val="single" w:sz="4" w:space="1" w:color="auto"/>
          <w:right w:val="single" w:sz="4" w:space="4" w:color="auto"/>
        </w:pBdr>
        <w:shd w:val="clear" w:color="auto" w:fill="CCFFFF"/>
        <w:ind w:left="357" w:right="284" w:hanging="357"/>
        <w:rPr>
          <w:rFonts w:asciiTheme="minorHAnsi" w:hAnsiTheme="minorHAnsi" w:cstheme="minorHAnsi"/>
          <w:i/>
          <w:color w:val="000000"/>
          <w:sz w:val="22"/>
          <w:szCs w:val="22"/>
        </w:rPr>
      </w:pPr>
      <w:r w:rsidRPr="00AC76D1">
        <w:rPr>
          <w:rFonts w:asciiTheme="minorHAnsi" w:hAnsiTheme="minorHAnsi" w:cstheme="minorHAnsi"/>
          <w:i/>
          <w:color w:val="000000"/>
          <w:sz w:val="22"/>
          <w:szCs w:val="22"/>
        </w:rPr>
        <w:t xml:space="preserve">How can  this knowledge </w:t>
      </w:r>
      <w:r w:rsidR="002D77FB" w:rsidRPr="00AC76D1">
        <w:rPr>
          <w:rFonts w:asciiTheme="minorHAnsi" w:hAnsiTheme="minorHAnsi" w:cstheme="minorHAnsi"/>
          <w:i/>
          <w:color w:val="000000"/>
          <w:sz w:val="22"/>
          <w:szCs w:val="22"/>
        </w:rPr>
        <w:t xml:space="preserve">best be used </w:t>
      </w:r>
      <w:r w:rsidRPr="00AC76D1">
        <w:rPr>
          <w:rFonts w:asciiTheme="minorHAnsi" w:hAnsiTheme="minorHAnsi" w:cstheme="minorHAnsi"/>
          <w:i/>
          <w:color w:val="000000"/>
          <w:sz w:val="22"/>
          <w:szCs w:val="22"/>
        </w:rPr>
        <w:t>in developing and implementing interventions aimed at achieving l</w:t>
      </w:r>
      <w:r w:rsidR="002D77FB" w:rsidRPr="00AC76D1">
        <w:rPr>
          <w:rFonts w:asciiTheme="minorHAnsi" w:hAnsiTheme="minorHAnsi" w:cstheme="minorHAnsi"/>
          <w:i/>
          <w:color w:val="000000"/>
          <w:sz w:val="22"/>
          <w:szCs w:val="22"/>
        </w:rPr>
        <w:t>o</w:t>
      </w:r>
      <w:r w:rsidRPr="00AC76D1">
        <w:rPr>
          <w:rFonts w:asciiTheme="minorHAnsi" w:hAnsiTheme="minorHAnsi" w:cstheme="minorHAnsi"/>
          <w:i/>
          <w:color w:val="000000"/>
          <w:sz w:val="22"/>
          <w:szCs w:val="22"/>
        </w:rPr>
        <w:t>ng term sustained behaviour change.</w:t>
      </w:r>
    </w:p>
    <w:p w:rsidR="00601DC1" w:rsidRDefault="00601DC1">
      <w:pPr>
        <w:rPr>
          <w:rFonts w:asciiTheme="majorHAnsi" w:eastAsiaTheme="majorEastAsia" w:hAnsiTheme="majorHAnsi" w:cstheme="majorBidi"/>
          <w:b/>
          <w:bCs/>
          <w:color w:val="365F91" w:themeColor="accent1" w:themeShade="BF"/>
          <w:sz w:val="28"/>
          <w:szCs w:val="28"/>
        </w:rPr>
      </w:pPr>
      <w:r>
        <w:br w:type="page"/>
      </w:r>
    </w:p>
    <w:p w:rsidR="00244E51" w:rsidRPr="008B4E09" w:rsidRDefault="007C6320" w:rsidP="007A3E26">
      <w:pPr>
        <w:pStyle w:val="Heading1"/>
        <w:rPr>
          <w:rStyle w:val="Heading3Char"/>
          <w:sz w:val="28"/>
          <w:szCs w:val="28"/>
        </w:rPr>
      </w:pPr>
      <w:bookmarkStart w:id="22" w:name="_Toc289256740"/>
      <w:r w:rsidRPr="008B4E09">
        <w:rPr>
          <w:rStyle w:val="Heading3Char"/>
          <w:sz w:val="28"/>
          <w:szCs w:val="28"/>
        </w:rPr>
        <w:lastRenderedPageBreak/>
        <w:t>6.</w:t>
      </w:r>
      <w:r w:rsidR="00843A3F" w:rsidRPr="008B4E09">
        <w:rPr>
          <w:rStyle w:val="Heading3Char"/>
          <w:sz w:val="28"/>
          <w:szCs w:val="28"/>
        </w:rPr>
        <w:t>0</w:t>
      </w:r>
      <w:r w:rsidRPr="008B4E09">
        <w:rPr>
          <w:rStyle w:val="Heading3Char"/>
          <w:sz w:val="28"/>
          <w:szCs w:val="28"/>
        </w:rPr>
        <w:t xml:space="preserve"> </w:t>
      </w:r>
      <w:r w:rsidR="001F2953" w:rsidRPr="008B4E09">
        <w:rPr>
          <w:rStyle w:val="Heading3Char"/>
          <w:sz w:val="28"/>
          <w:szCs w:val="28"/>
        </w:rPr>
        <w:t>Key Contributions of Disciplines</w:t>
      </w:r>
      <w:bookmarkEnd w:id="22"/>
    </w:p>
    <w:p w:rsidR="00922BC4" w:rsidRDefault="00922BC4">
      <w:pPr>
        <w:rPr>
          <w:rFonts w:asciiTheme="minorHAnsi" w:hAnsiTheme="minorHAnsi" w:cstheme="minorHAnsi"/>
          <w:i/>
        </w:rPr>
      </w:pPr>
    </w:p>
    <w:p w:rsidR="00B6590E" w:rsidRDefault="00843A3F">
      <w:pPr>
        <w:rPr>
          <w:rFonts w:asciiTheme="minorHAnsi" w:hAnsiTheme="minorHAnsi" w:cstheme="minorHAnsi"/>
          <w:i/>
        </w:rPr>
      </w:pPr>
      <w:bookmarkStart w:id="23" w:name="_Toc289256741"/>
      <w:r w:rsidRPr="00843A3F">
        <w:rPr>
          <w:rStyle w:val="Heading3Char"/>
        </w:rPr>
        <w:t xml:space="preserve">6.1 </w:t>
      </w:r>
      <w:r w:rsidR="00DB5AC1">
        <w:rPr>
          <w:rStyle w:val="Heading3Char"/>
        </w:rPr>
        <w:t>Behavioural e</w:t>
      </w:r>
      <w:r w:rsidR="00922BC4" w:rsidRPr="00843A3F">
        <w:rPr>
          <w:rStyle w:val="Heading3Char"/>
        </w:rPr>
        <w:t>conomics</w:t>
      </w:r>
      <w:bookmarkEnd w:id="23"/>
    </w:p>
    <w:p w:rsidR="00401ACC" w:rsidRDefault="00401ACC" w:rsidP="00607886">
      <w:pPr>
        <w:rPr>
          <w:rFonts w:asciiTheme="minorHAnsi" w:hAnsiTheme="minorHAnsi" w:cstheme="minorHAnsi"/>
          <w:iCs/>
        </w:rPr>
      </w:pPr>
    </w:p>
    <w:p w:rsidR="009A4152" w:rsidRDefault="00607886">
      <w:pPr>
        <w:jc w:val="both"/>
        <w:rPr>
          <w:rFonts w:asciiTheme="minorHAnsi" w:hAnsiTheme="minorHAnsi" w:cstheme="minorHAnsi"/>
          <w:iCs/>
        </w:rPr>
      </w:pPr>
      <w:r w:rsidRPr="005A31B8">
        <w:rPr>
          <w:rFonts w:asciiTheme="minorHAnsi" w:hAnsiTheme="minorHAnsi" w:cstheme="minorHAnsi"/>
          <w:iCs/>
        </w:rPr>
        <w:t>Neoclassical economics has been applied to understand, predict, and influence the behaviour of individuals in a wide range of contexts. According to its main assumptions, individuals are largely assumed to make choices which are rational, consistent, perfectly informed and which maximise their economic utility by trading off between costs and benefits</w:t>
      </w:r>
      <w:r>
        <w:rPr>
          <w:rStyle w:val="EndnoteReference"/>
          <w:rFonts w:asciiTheme="minorHAnsi" w:eastAsiaTheme="majorEastAsia" w:hAnsiTheme="minorHAnsi" w:cstheme="minorHAnsi"/>
          <w:iCs/>
          <w:sz w:val="22"/>
          <w:szCs w:val="22"/>
        </w:rPr>
        <w:endnoteReference w:id="60"/>
      </w:r>
      <w:r>
        <w:rPr>
          <w:rFonts w:asciiTheme="minorHAnsi" w:hAnsiTheme="minorHAnsi" w:cstheme="minorHAnsi"/>
          <w:iCs/>
          <w:sz w:val="22"/>
          <w:szCs w:val="22"/>
        </w:rPr>
        <w:t>.</w:t>
      </w:r>
      <w:r>
        <w:rPr>
          <w:rFonts w:asciiTheme="minorHAnsi" w:hAnsiTheme="minorHAnsi" w:cstheme="minorHAnsi"/>
          <w:iCs/>
        </w:rPr>
        <w:t xml:space="preserve"> Research in behaviour sciences, especially cognitive psychology, indicates that individuals' choices in a wide range of contexts deviate from the predictions of neoclassical economics. Many of these deviations are systematic, consistent, robust and therefore largely predictable</w:t>
      </w:r>
      <w:r w:rsidR="008C24D6">
        <w:rPr>
          <w:rFonts w:asciiTheme="minorHAnsi" w:hAnsiTheme="minorHAnsi" w:cstheme="minorHAnsi"/>
          <w:iCs/>
        </w:rPr>
        <w:t>.</w:t>
      </w:r>
      <w:r>
        <w:rPr>
          <w:rStyle w:val="EndnoteReference"/>
          <w:rFonts w:asciiTheme="minorHAnsi" w:eastAsiaTheme="majorEastAsia" w:hAnsiTheme="minorHAnsi" w:cstheme="minorHAnsi"/>
          <w:iCs/>
          <w:sz w:val="22"/>
          <w:szCs w:val="22"/>
        </w:rPr>
        <w:endnoteReference w:id="61"/>
      </w:r>
      <w:r>
        <w:rPr>
          <w:rFonts w:asciiTheme="minorHAnsi" w:hAnsiTheme="minorHAnsi" w:cstheme="minorHAnsi"/>
          <w:iCs/>
          <w:sz w:val="22"/>
          <w:szCs w:val="22"/>
        </w:rPr>
        <w:t xml:space="preserve"> </w:t>
      </w:r>
      <w:r>
        <w:rPr>
          <w:rStyle w:val="EndnoteReference"/>
          <w:rFonts w:asciiTheme="minorHAnsi" w:eastAsiaTheme="majorEastAsia" w:hAnsiTheme="minorHAnsi" w:cstheme="minorHAnsi"/>
          <w:iCs/>
          <w:sz w:val="22"/>
          <w:szCs w:val="22"/>
        </w:rPr>
        <w:endnoteReference w:id="62"/>
      </w:r>
      <w:r>
        <w:rPr>
          <w:rFonts w:asciiTheme="minorHAnsi" w:hAnsiTheme="minorHAnsi" w:cstheme="minorHAnsi"/>
          <w:iCs/>
          <w:sz w:val="22"/>
          <w:szCs w:val="22"/>
        </w:rPr>
        <w:t xml:space="preserve"> </w:t>
      </w:r>
      <w:r>
        <w:rPr>
          <w:rStyle w:val="EndnoteReference"/>
          <w:rFonts w:asciiTheme="minorHAnsi" w:eastAsiaTheme="majorEastAsia" w:hAnsiTheme="minorHAnsi" w:cstheme="minorHAnsi"/>
          <w:iCs/>
          <w:sz w:val="22"/>
          <w:szCs w:val="22"/>
        </w:rPr>
        <w:endnoteReference w:id="63"/>
      </w:r>
      <w:r>
        <w:rPr>
          <w:rFonts w:asciiTheme="minorHAnsi" w:hAnsiTheme="minorHAnsi" w:cstheme="minorHAnsi"/>
          <w:iCs/>
          <w:sz w:val="22"/>
          <w:szCs w:val="22"/>
        </w:rPr>
        <w:t xml:space="preserve"> </w:t>
      </w:r>
      <w:r>
        <w:rPr>
          <w:rStyle w:val="EndnoteReference"/>
          <w:rFonts w:asciiTheme="minorHAnsi" w:eastAsiaTheme="majorEastAsia" w:hAnsiTheme="minorHAnsi" w:cstheme="minorHAnsi"/>
          <w:iCs/>
          <w:sz w:val="22"/>
          <w:szCs w:val="22"/>
        </w:rPr>
        <w:endnoteReference w:id="64"/>
      </w:r>
      <w:r>
        <w:rPr>
          <w:rFonts w:asciiTheme="minorHAnsi" w:hAnsiTheme="minorHAnsi" w:cstheme="minorHAnsi"/>
          <w:iCs/>
          <w:sz w:val="22"/>
          <w:szCs w:val="22"/>
        </w:rPr>
        <w:t xml:space="preserve"> </w:t>
      </w:r>
      <w:r>
        <w:rPr>
          <w:rFonts w:asciiTheme="minorHAnsi" w:hAnsiTheme="minorHAnsi" w:cstheme="minorHAnsi"/>
          <w:iCs/>
        </w:rPr>
        <w:t xml:space="preserve"> </w:t>
      </w:r>
      <w:r w:rsidRPr="009E416C">
        <w:rPr>
          <w:rFonts w:asciiTheme="minorHAnsi" w:hAnsiTheme="minorHAnsi" w:cstheme="minorHAnsi"/>
          <w:i/>
        </w:rPr>
        <w:t>Behavioural economics</w:t>
      </w:r>
      <w:r>
        <w:rPr>
          <w:rFonts w:asciiTheme="minorHAnsi" w:hAnsiTheme="minorHAnsi" w:cstheme="minorHAnsi"/>
          <w:iCs/>
        </w:rPr>
        <w:t xml:space="preserve"> is an emerging body of research seeking to understand behaviour by incorporating insights from behavioural sciences into economics. The approach differs from the traditional, neoclassical economics mainly by giving more weight to what are sometimes called 'irrational' motives and behaviours.</w:t>
      </w:r>
    </w:p>
    <w:p w:rsidR="009A4152" w:rsidRDefault="009A4152">
      <w:pPr>
        <w:jc w:val="both"/>
        <w:rPr>
          <w:rFonts w:asciiTheme="minorHAnsi" w:hAnsiTheme="minorHAnsi" w:cstheme="minorHAnsi"/>
          <w:iCs/>
        </w:rPr>
      </w:pPr>
    </w:p>
    <w:p w:rsidR="009A4152" w:rsidRDefault="00607886">
      <w:pPr>
        <w:jc w:val="both"/>
        <w:rPr>
          <w:rFonts w:asciiTheme="minorHAnsi" w:hAnsiTheme="minorHAnsi" w:cstheme="minorHAnsi"/>
          <w:iCs/>
        </w:rPr>
      </w:pPr>
      <w:r>
        <w:rPr>
          <w:rFonts w:asciiTheme="minorHAnsi" w:hAnsiTheme="minorHAnsi" w:cstheme="minorHAnsi"/>
          <w:iCs/>
        </w:rPr>
        <w:t>Financial incentives have been applied to encourage a wide range of healthy behaviours, such as smoking cessation, healthy eating, sexual behaviour, and drug misuse (for a review see Marteau et al.</w:t>
      </w:r>
      <w:r w:rsidRPr="00A60390">
        <w:rPr>
          <w:rStyle w:val="EndnoteReference"/>
          <w:rFonts w:asciiTheme="minorHAnsi" w:eastAsiaTheme="majorEastAsia" w:hAnsiTheme="minorHAnsi" w:cstheme="minorHAnsi"/>
          <w:iCs/>
          <w:sz w:val="22"/>
          <w:szCs w:val="22"/>
        </w:rPr>
        <w:t xml:space="preserve"> </w:t>
      </w:r>
      <w:r w:rsidRPr="003236A5">
        <w:rPr>
          <w:rStyle w:val="EndnoteReference"/>
          <w:rFonts w:asciiTheme="minorHAnsi" w:eastAsiaTheme="majorEastAsia" w:hAnsiTheme="minorHAnsi" w:cstheme="minorHAnsi"/>
          <w:iCs/>
          <w:sz w:val="22"/>
          <w:szCs w:val="22"/>
        </w:rPr>
        <w:endnoteReference w:id="65"/>
      </w:r>
      <w:r>
        <w:rPr>
          <w:rFonts w:asciiTheme="minorHAnsi" w:hAnsiTheme="minorHAnsi" w:cstheme="minorHAnsi"/>
          <w:iCs/>
        </w:rPr>
        <w:t>). One of the interesting findings of behavioural economics is related to the limitations of financial (dis)incentives to motivate behaviour change. In many contexts, when prices are not mentioned, individuals tend to apply social norms to determine their choices and effort</w:t>
      </w:r>
      <w:r w:rsidRPr="003236A5">
        <w:rPr>
          <w:rStyle w:val="EndnoteReference"/>
          <w:rFonts w:asciiTheme="minorHAnsi" w:eastAsiaTheme="majorEastAsia" w:hAnsiTheme="minorHAnsi" w:cstheme="minorHAnsi"/>
          <w:iCs/>
          <w:sz w:val="22"/>
          <w:szCs w:val="22"/>
        </w:rPr>
        <w:endnoteReference w:id="66"/>
      </w:r>
      <w:r>
        <w:rPr>
          <w:rFonts w:asciiTheme="minorHAnsi" w:hAnsiTheme="minorHAnsi" w:cstheme="minorHAnsi"/>
          <w:iCs/>
        </w:rPr>
        <w:t>. Financial incentives might crowd out feelings of civic responsibility and may actually discourage the kinds of behaviours needed to solve collective social problems</w:t>
      </w:r>
      <w:r w:rsidRPr="003236A5">
        <w:rPr>
          <w:rStyle w:val="EndnoteReference"/>
          <w:rFonts w:asciiTheme="minorHAnsi" w:eastAsiaTheme="majorEastAsia" w:hAnsiTheme="minorHAnsi" w:cstheme="minorHAnsi"/>
          <w:iCs/>
          <w:sz w:val="22"/>
          <w:szCs w:val="22"/>
        </w:rPr>
        <w:endnoteReference w:id="67"/>
      </w:r>
      <w:r>
        <w:rPr>
          <w:rFonts w:asciiTheme="minorHAnsi" w:hAnsiTheme="minorHAnsi" w:cstheme="minorHAnsi"/>
          <w:iCs/>
        </w:rPr>
        <w:t>. It is therefore relevant to incorporate insights from behavioural economics to the design of behaviour change interventions that incorporate financial incentives.</w:t>
      </w:r>
    </w:p>
    <w:p w:rsidR="009A4152" w:rsidRDefault="009A4152">
      <w:pPr>
        <w:jc w:val="both"/>
        <w:rPr>
          <w:rFonts w:asciiTheme="minorHAnsi" w:hAnsiTheme="minorHAnsi" w:cstheme="minorHAnsi"/>
          <w:iCs/>
        </w:rPr>
      </w:pPr>
    </w:p>
    <w:p w:rsidR="009A4152" w:rsidRDefault="00607886">
      <w:pPr>
        <w:jc w:val="both"/>
        <w:rPr>
          <w:rFonts w:asciiTheme="minorHAnsi" w:hAnsiTheme="minorHAnsi" w:cstheme="minorHAnsi"/>
          <w:iCs/>
        </w:rPr>
      </w:pPr>
      <w:r w:rsidRPr="003236A5">
        <w:rPr>
          <w:rFonts w:asciiTheme="minorHAnsi" w:hAnsiTheme="minorHAnsi" w:cstheme="minorHAnsi"/>
          <w:iCs/>
        </w:rPr>
        <w:t xml:space="preserve">The </w:t>
      </w:r>
      <w:r w:rsidRPr="003236A5">
        <w:rPr>
          <w:rFonts w:asciiTheme="minorHAnsi" w:hAnsiTheme="minorHAnsi" w:cstheme="minorHAnsi"/>
          <w:i/>
        </w:rPr>
        <w:t>'predicted irrationality</w:t>
      </w:r>
      <w:r w:rsidRPr="003236A5">
        <w:rPr>
          <w:rFonts w:asciiTheme="minorHAnsi" w:hAnsiTheme="minorHAnsi" w:cstheme="minorHAnsi"/>
          <w:iCs/>
        </w:rPr>
        <w:t>' (a term coined by Ariely</w:t>
      </w:r>
      <w:r w:rsidRPr="003236A5">
        <w:rPr>
          <w:rStyle w:val="EndnoteReference"/>
          <w:rFonts w:asciiTheme="minorHAnsi" w:eastAsiaTheme="majorEastAsia" w:hAnsiTheme="minorHAnsi" w:cstheme="minorHAnsi"/>
          <w:iCs/>
          <w:sz w:val="22"/>
          <w:szCs w:val="22"/>
        </w:rPr>
        <w:endnoteReference w:id="68"/>
      </w:r>
      <w:r w:rsidRPr="003236A5">
        <w:rPr>
          <w:rFonts w:asciiTheme="minorHAnsi" w:hAnsiTheme="minorHAnsi" w:cstheme="minorHAnsi"/>
          <w:iCs/>
        </w:rPr>
        <w:t xml:space="preserve">) of individuals could, and some </w:t>
      </w:r>
      <w:r w:rsidR="00AC5E31">
        <w:rPr>
          <w:rFonts w:asciiTheme="minorHAnsi" w:hAnsiTheme="minorHAnsi" w:cstheme="minorHAnsi"/>
          <w:iCs/>
        </w:rPr>
        <w:t>a</w:t>
      </w:r>
      <w:r w:rsidRPr="003236A5">
        <w:rPr>
          <w:rFonts w:asciiTheme="minorHAnsi" w:hAnsiTheme="minorHAnsi" w:cstheme="minorHAnsi"/>
          <w:iCs/>
        </w:rPr>
        <w:t>rgue should, play a role in the design of behaviour change interventions. Thaler and Sunstein</w:t>
      </w:r>
      <w:r w:rsidRPr="003236A5">
        <w:rPr>
          <w:rStyle w:val="EndnoteReference"/>
          <w:rFonts w:asciiTheme="minorHAnsi" w:eastAsiaTheme="majorEastAsia" w:hAnsiTheme="minorHAnsi" w:cstheme="minorHAnsi"/>
          <w:iCs/>
          <w:sz w:val="22"/>
          <w:szCs w:val="22"/>
        </w:rPr>
        <w:endnoteReference w:id="69"/>
      </w:r>
      <w:r w:rsidRPr="003236A5">
        <w:rPr>
          <w:rFonts w:asciiTheme="minorHAnsi" w:hAnsiTheme="minorHAnsi" w:cstheme="minorHAnsi"/>
          <w:iCs/>
        </w:rPr>
        <w:t xml:space="preserve"> advocate the use of 'nudges', small features designed in the environment of decision making, to highlight the better choices for individuals, to help them overcome cognitive biases, and to support behaviour change. </w:t>
      </w:r>
      <w:r>
        <w:rPr>
          <w:rFonts w:asciiTheme="minorHAnsi" w:hAnsiTheme="minorHAnsi" w:cstheme="minorHAnsi"/>
          <w:iCs/>
        </w:rPr>
        <w:t xml:space="preserve"> </w:t>
      </w:r>
    </w:p>
    <w:p w:rsidR="009A4152" w:rsidRDefault="009A4152">
      <w:pPr>
        <w:jc w:val="both"/>
        <w:rPr>
          <w:rFonts w:asciiTheme="minorHAnsi" w:hAnsiTheme="minorHAnsi" w:cstheme="minorHAnsi"/>
          <w:iCs/>
        </w:rPr>
      </w:pPr>
    </w:p>
    <w:p w:rsidR="009A4152" w:rsidRDefault="00607886">
      <w:pPr>
        <w:jc w:val="both"/>
        <w:rPr>
          <w:rFonts w:asciiTheme="minorHAnsi" w:hAnsiTheme="minorHAnsi" w:cstheme="minorHAnsi"/>
          <w:iCs/>
        </w:rPr>
      </w:pPr>
      <w:r>
        <w:rPr>
          <w:rFonts w:asciiTheme="minorHAnsi" w:hAnsiTheme="minorHAnsi" w:cstheme="minorHAnsi"/>
          <w:iCs/>
        </w:rPr>
        <w:t>Applying nudges in a context of government policy is a rather new concept. Examples include, among others,  techniques and concepts such as default setting, framing information in terms of gains and losses, provision of immediate and direct feedback, and 'social nudges'. Influencing individual behaviour through 'choice architecture' and the design of nudges is a subject of many on-going research studies (for example, in an on-going research UWE is developing information provision tools for communicating low carbon messages in a travel behaviour context</w:t>
      </w:r>
      <w:r w:rsidRPr="003236A5">
        <w:rPr>
          <w:rStyle w:val="EndnoteReference"/>
          <w:rFonts w:asciiTheme="minorHAnsi" w:eastAsiaTheme="majorEastAsia" w:hAnsiTheme="minorHAnsi" w:cstheme="minorHAnsi"/>
          <w:iCs/>
          <w:sz w:val="22"/>
          <w:szCs w:val="22"/>
        </w:rPr>
        <w:endnoteReference w:id="70"/>
      </w:r>
      <w:r>
        <w:rPr>
          <w:rFonts w:asciiTheme="minorHAnsi" w:hAnsiTheme="minorHAnsi" w:cstheme="minorHAnsi"/>
          <w:iCs/>
        </w:rPr>
        <w:t xml:space="preserve">). </w:t>
      </w:r>
    </w:p>
    <w:p w:rsidR="009A4152" w:rsidRDefault="00607886">
      <w:pPr>
        <w:jc w:val="both"/>
        <w:rPr>
          <w:rFonts w:asciiTheme="minorHAnsi" w:hAnsiTheme="minorHAnsi" w:cstheme="minorHAnsi"/>
          <w:iCs/>
        </w:rPr>
      </w:pPr>
      <w:r>
        <w:rPr>
          <w:rFonts w:asciiTheme="minorHAnsi" w:hAnsiTheme="minorHAnsi" w:cstheme="minorHAnsi"/>
          <w:iCs/>
        </w:rPr>
        <w:t>Avineri &amp; Goodwin</w:t>
      </w:r>
      <w:r>
        <w:rPr>
          <w:rStyle w:val="EndnoteReference"/>
          <w:rFonts w:asciiTheme="minorHAnsi" w:eastAsiaTheme="majorEastAsia" w:hAnsiTheme="minorHAnsi" w:cstheme="minorHAnsi"/>
          <w:iCs/>
          <w:sz w:val="22"/>
          <w:szCs w:val="22"/>
        </w:rPr>
        <w:endnoteReference w:id="71"/>
      </w:r>
      <w:r>
        <w:rPr>
          <w:rFonts w:asciiTheme="minorHAnsi" w:hAnsiTheme="minorHAnsi" w:cstheme="minorHAnsi"/>
          <w:iCs/>
        </w:rPr>
        <w:t xml:space="preserve"> argue that one of the limitations of the nudge approach is that being designed to influence individuals' behaviour through intuitive and impulsive processes, they do not directly address the fundamental problem of behaviour change, as they do not lead directly to a real change to the individual's knowledge, attitudes, believes, and values. It is therefore difficult to maintain and achieve long-term and sustainable behavioural change without introducing in parallel a set of </w:t>
      </w:r>
      <w:r>
        <w:rPr>
          <w:rFonts w:asciiTheme="minorHAnsi" w:hAnsiTheme="minorHAnsi" w:cstheme="minorHAnsi"/>
          <w:iCs/>
        </w:rPr>
        <w:lastRenderedPageBreak/>
        <w:t>more substantial interventions to support it. The real promise of the nudge approach seems rather to help the design the bigger initiatives better, that is to add 'nudges' to improve or speed up behavioural change effects rather than as a replacement to other initiatives.</w:t>
      </w:r>
    </w:p>
    <w:p w:rsidR="00DB5AC1" w:rsidRPr="003236A5" w:rsidRDefault="00DB5AC1" w:rsidP="00607886">
      <w:pPr>
        <w:rPr>
          <w:rFonts w:asciiTheme="minorHAnsi" w:hAnsiTheme="minorHAnsi" w:cstheme="minorHAnsi"/>
          <w:iCs/>
        </w:rPr>
      </w:pPr>
    </w:p>
    <w:p w:rsidR="005E2DCC" w:rsidRPr="00C63E2E" w:rsidRDefault="00843A3F" w:rsidP="00843A3F">
      <w:pPr>
        <w:pStyle w:val="Heading3"/>
      </w:pPr>
      <w:bookmarkStart w:id="24" w:name="_Toc289256742"/>
      <w:r>
        <w:t xml:space="preserve">6.2 </w:t>
      </w:r>
      <w:r w:rsidR="005E2DCC" w:rsidRPr="004978D4">
        <w:t xml:space="preserve">Environmental </w:t>
      </w:r>
      <w:r w:rsidR="00DB5AC1">
        <w:t>p</w:t>
      </w:r>
      <w:r w:rsidR="005E2DCC" w:rsidRPr="004978D4">
        <w:t xml:space="preserve">lanning and </w:t>
      </w:r>
      <w:r w:rsidR="00DB5AC1">
        <w:t>m</w:t>
      </w:r>
      <w:r w:rsidR="005E2DCC" w:rsidRPr="004978D4">
        <w:t>anagement</w:t>
      </w:r>
      <w:bookmarkEnd w:id="24"/>
    </w:p>
    <w:p w:rsidR="00AC5E31" w:rsidRDefault="00AC5E31" w:rsidP="00601DC1">
      <w:pPr>
        <w:jc w:val="both"/>
        <w:rPr>
          <w:rFonts w:asciiTheme="minorHAnsi" w:hAnsiTheme="minorHAnsi"/>
        </w:rPr>
      </w:pPr>
    </w:p>
    <w:p w:rsidR="005E2DCC" w:rsidRDefault="005E2DCC" w:rsidP="00601DC1">
      <w:pPr>
        <w:jc w:val="both"/>
        <w:rPr>
          <w:rFonts w:asciiTheme="minorHAnsi" w:hAnsiTheme="minorHAnsi"/>
        </w:rPr>
      </w:pPr>
      <w:r w:rsidRPr="004978D4">
        <w:rPr>
          <w:rFonts w:asciiTheme="minorHAnsi" w:hAnsiTheme="minorHAnsi"/>
        </w:rPr>
        <w:t xml:space="preserve">Environmental </w:t>
      </w:r>
      <w:r>
        <w:rPr>
          <w:rFonts w:asciiTheme="minorHAnsi" w:hAnsiTheme="minorHAnsi"/>
        </w:rPr>
        <w:t xml:space="preserve">planning and </w:t>
      </w:r>
      <w:r w:rsidRPr="004978D4">
        <w:rPr>
          <w:rFonts w:asciiTheme="minorHAnsi" w:hAnsiTheme="minorHAnsi"/>
        </w:rPr>
        <w:t>management</w:t>
      </w:r>
      <w:r>
        <w:rPr>
          <w:rFonts w:asciiTheme="minorHAnsi" w:hAnsiTheme="minorHAnsi"/>
        </w:rPr>
        <w:t xml:space="preserve"> have a considerable amount to contribute to the field of public health.  Although somewhat separated from public health for some time due to governance and policy structures, environmental health is increasing</w:t>
      </w:r>
      <w:r w:rsidR="001449E9">
        <w:rPr>
          <w:rFonts w:asciiTheme="minorHAnsi" w:hAnsiTheme="minorHAnsi"/>
        </w:rPr>
        <w:t>ly</w:t>
      </w:r>
      <w:r>
        <w:rPr>
          <w:rFonts w:asciiTheme="minorHAnsi" w:hAnsiTheme="minorHAnsi"/>
        </w:rPr>
        <w:t xml:space="preserve"> running parallel to public health in </w:t>
      </w:r>
      <w:r w:rsidR="001449E9">
        <w:rPr>
          <w:rFonts w:asciiTheme="minorHAnsi" w:hAnsiTheme="minorHAnsi"/>
        </w:rPr>
        <w:t>many</w:t>
      </w:r>
      <w:r>
        <w:rPr>
          <w:rFonts w:asciiTheme="minorHAnsi" w:hAnsiTheme="minorHAnsi"/>
        </w:rPr>
        <w:t xml:space="preserve"> areas – particularly areas such as food, licensing, transport and air pollution – issues right at the core of some of our major public health issues.  As the social (and therefore environmental) determinants of health are seen as playing an increasingly key role, planning is becoming more important in ensuring that different social groups have appropriate access to suitable facilities</w:t>
      </w:r>
      <w:r w:rsidR="00AC5E31">
        <w:rPr>
          <w:rFonts w:asciiTheme="minorHAnsi" w:hAnsiTheme="minorHAnsi"/>
        </w:rPr>
        <w:t xml:space="preserve"> (see Figure 11)</w:t>
      </w:r>
      <w:r>
        <w:rPr>
          <w:rFonts w:asciiTheme="minorHAnsi" w:hAnsiTheme="minorHAnsi"/>
        </w:rPr>
        <w:t>.</w:t>
      </w:r>
    </w:p>
    <w:p w:rsidR="00AC5E31" w:rsidRDefault="00AC5E31" w:rsidP="00601DC1">
      <w:pPr>
        <w:jc w:val="both"/>
        <w:rPr>
          <w:rFonts w:asciiTheme="minorHAnsi" w:hAnsiTheme="minorHAnsi"/>
        </w:rPr>
      </w:pPr>
    </w:p>
    <w:p w:rsidR="00AC5E31" w:rsidRDefault="00AC5E31" w:rsidP="00AC5E31">
      <w:pPr>
        <w:rPr>
          <w:rFonts w:asciiTheme="minorHAnsi" w:hAnsiTheme="minorHAnsi"/>
        </w:rPr>
      </w:pPr>
      <w:r>
        <w:rPr>
          <w:rFonts w:asciiTheme="minorHAnsi" w:hAnsiTheme="minorHAnsi"/>
          <w:b/>
        </w:rPr>
        <w:t>Figure 11</w:t>
      </w:r>
      <w:r w:rsidRPr="00AC5E31">
        <w:rPr>
          <w:rFonts w:asciiTheme="minorHAnsi" w:hAnsiTheme="minorHAnsi"/>
          <w:noProof/>
        </w:rPr>
        <w:drawing>
          <wp:inline distT="0" distB="0" distL="0" distR="0">
            <wp:extent cx="5274310" cy="4360545"/>
            <wp:effectExtent l="19050" t="0" r="2540" b="0"/>
            <wp:docPr id="8" name="Picture 3" descr="fig11_pla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_places.jpg"/>
                    <pic:cNvPicPr/>
                  </pic:nvPicPr>
                  <pic:blipFill>
                    <a:blip r:embed="rId19" cstate="print"/>
                    <a:stretch>
                      <a:fillRect/>
                    </a:stretch>
                  </pic:blipFill>
                  <pic:spPr>
                    <a:xfrm>
                      <a:off x="0" y="0"/>
                      <a:ext cx="5274310" cy="4360545"/>
                    </a:xfrm>
                    <a:prstGeom prst="rect">
                      <a:avLst/>
                    </a:prstGeom>
                  </pic:spPr>
                </pic:pic>
              </a:graphicData>
            </a:graphic>
          </wp:inline>
        </w:drawing>
      </w:r>
    </w:p>
    <w:p w:rsidR="00AC5E31" w:rsidRDefault="00AC5E31" w:rsidP="00601DC1">
      <w:pPr>
        <w:jc w:val="both"/>
        <w:rPr>
          <w:rFonts w:asciiTheme="minorHAnsi" w:hAnsiTheme="minorHAnsi"/>
        </w:rPr>
      </w:pPr>
    </w:p>
    <w:p w:rsidR="005E2DCC" w:rsidRDefault="005E2DCC" w:rsidP="00601DC1">
      <w:pPr>
        <w:jc w:val="both"/>
        <w:rPr>
          <w:rFonts w:asciiTheme="minorHAnsi" w:hAnsiTheme="minorHAnsi"/>
        </w:rPr>
      </w:pPr>
    </w:p>
    <w:p w:rsidR="00601DC1" w:rsidRDefault="005E2DCC" w:rsidP="00601DC1">
      <w:pPr>
        <w:rPr>
          <w:rFonts w:asciiTheme="minorHAnsi" w:hAnsiTheme="minorHAnsi"/>
        </w:rPr>
      </w:pPr>
      <w:r>
        <w:rPr>
          <w:rFonts w:asciiTheme="minorHAnsi" w:hAnsiTheme="minorHAnsi"/>
        </w:rPr>
        <w:t xml:space="preserve">The areas of planning and management can be folded together under the general </w:t>
      </w:r>
      <w:r w:rsidR="00AB5895">
        <w:rPr>
          <w:rFonts w:asciiTheme="minorHAnsi" w:hAnsiTheme="minorHAnsi"/>
        </w:rPr>
        <w:t>term</w:t>
      </w:r>
      <w:r>
        <w:rPr>
          <w:rFonts w:asciiTheme="minorHAnsi" w:hAnsiTheme="minorHAnsi"/>
        </w:rPr>
        <w:t xml:space="preserve"> Environmental Governance.  This field has a long history of combining different approaches to problems in order to achieve goals. </w:t>
      </w:r>
    </w:p>
    <w:p w:rsidR="00CE6342" w:rsidRDefault="00002B71">
      <w:pPr>
        <w:rPr>
          <w:b/>
          <w:bCs/>
          <w:color w:val="4F81BD" w:themeColor="accent1"/>
          <w:sz w:val="18"/>
          <w:szCs w:val="18"/>
        </w:rPr>
      </w:pPr>
      <w:r>
        <w:rPr>
          <w:rFonts w:asciiTheme="minorHAnsi" w:hAnsiTheme="minorHAnsi"/>
        </w:rPr>
        <w:lastRenderedPageBreak/>
        <w:fldChar w:fldCharType="begin"/>
      </w:r>
      <w:r w:rsidR="005E2DCC">
        <w:rPr>
          <w:rFonts w:asciiTheme="minorHAnsi" w:hAnsiTheme="minorHAnsi"/>
        </w:rPr>
        <w:instrText xml:space="preserve"> REF _Ref285518034 \h </w:instrText>
      </w:r>
      <w:r>
        <w:rPr>
          <w:rFonts w:asciiTheme="minorHAnsi" w:hAnsiTheme="minorHAnsi"/>
        </w:rPr>
      </w:r>
      <w:r>
        <w:rPr>
          <w:rFonts w:asciiTheme="minorHAnsi" w:hAnsiTheme="minorHAnsi"/>
        </w:rPr>
        <w:fldChar w:fldCharType="separate"/>
      </w:r>
    </w:p>
    <w:p w:rsidR="005E2DCC" w:rsidRDefault="00CE6342" w:rsidP="00601DC1">
      <w:pPr>
        <w:rPr>
          <w:rFonts w:asciiTheme="minorHAnsi" w:hAnsiTheme="minorHAnsi"/>
        </w:rPr>
      </w:pPr>
      <w:r w:rsidRPr="005E2DCC">
        <w:rPr>
          <w:rFonts w:asciiTheme="minorHAnsi" w:hAnsiTheme="minorHAnsi"/>
        </w:rPr>
        <w:t xml:space="preserve">Figure </w:t>
      </w:r>
      <w:r w:rsidR="00002B71">
        <w:rPr>
          <w:rFonts w:asciiTheme="minorHAnsi" w:hAnsiTheme="minorHAnsi"/>
        </w:rPr>
        <w:fldChar w:fldCharType="end"/>
      </w:r>
      <w:r w:rsidR="005E2DCC">
        <w:rPr>
          <w:rFonts w:asciiTheme="minorHAnsi" w:hAnsiTheme="minorHAnsi"/>
        </w:rPr>
        <w:t xml:space="preserve"> </w:t>
      </w:r>
      <w:r w:rsidR="00225AD5">
        <w:rPr>
          <w:rFonts w:asciiTheme="minorHAnsi" w:hAnsiTheme="minorHAnsi"/>
        </w:rPr>
        <w:t>1</w:t>
      </w:r>
      <w:r w:rsidR="00A076D5">
        <w:rPr>
          <w:rFonts w:asciiTheme="minorHAnsi" w:hAnsiTheme="minorHAnsi"/>
        </w:rPr>
        <w:t>2</w:t>
      </w:r>
      <w:r w:rsidR="00225AD5">
        <w:rPr>
          <w:rFonts w:asciiTheme="minorHAnsi" w:hAnsiTheme="minorHAnsi"/>
        </w:rPr>
        <w:t xml:space="preserve"> </w:t>
      </w:r>
      <w:r w:rsidR="005E2DCC">
        <w:rPr>
          <w:rFonts w:asciiTheme="minorHAnsi" w:hAnsiTheme="minorHAnsi"/>
        </w:rPr>
        <w:t>shows a theoretical diagram of the Environmental Governance Cycle from work undertaken by UWE with the Department for Environment, Tourism and Rural Affairs in South Africa.  The cycle clearly shows roles for both encouraging behaviour change through awareness raising, but also the role of regulation and enforcement.  The view of the process as a cycle is a clear reminder that no single policy is likely to achieve all desired goals, and so a continual approach of policy setting, implementation, evaluation and development of new strategies and policies is required.</w:t>
      </w:r>
    </w:p>
    <w:p w:rsidR="005E2DCC" w:rsidRDefault="005E2DCC" w:rsidP="005E2DCC">
      <w:pPr>
        <w:jc w:val="both"/>
        <w:rPr>
          <w:rFonts w:asciiTheme="minorHAnsi" w:hAnsiTheme="minorHAnsi"/>
        </w:rPr>
      </w:pPr>
    </w:p>
    <w:p w:rsidR="005E2DCC" w:rsidRDefault="005E2DCC">
      <w:pPr>
        <w:rPr>
          <w:b/>
          <w:bCs/>
          <w:color w:val="4F81BD" w:themeColor="accent1"/>
          <w:sz w:val="18"/>
          <w:szCs w:val="18"/>
        </w:rPr>
      </w:pPr>
      <w:bookmarkStart w:id="25" w:name="_Ref285518034"/>
    </w:p>
    <w:p w:rsidR="005E2DCC" w:rsidRPr="005E2DCC" w:rsidRDefault="005E2DCC" w:rsidP="005E2DCC">
      <w:pPr>
        <w:pStyle w:val="Caption"/>
        <w:rPr>
          <w:rFonts w:asciiTheme="minorHAnsi" w:hAnsiTheme="minorHAnsi"/>
          <w:color w:val="auto"/>
          <w:sz w:val="24"/>
          <w:szCs w:val="24"/>
        </w:rPr>
      </w:pPr>
      <w:r w:rsidRPr="005E2DCC">
        <w:rPr>
          <w:rFonts w:asciiTheme="minorHAnsi" w:hAnsiTheme="minorHAnsi"/>
          <w:color w:val="auto"/>
          <w:sz w:val="24"/>
          <w:szCs w:val="24"/>
        </w:rPr>
        <w:t xml:space="preserve">Figure </w:t>
      </w:r>
      <w:bookmarkEnd w:id="25"/>
      <w:r w:rsidR="00AB5895">
        <w:rPr>
          <w:rFonts w:asciiTheme="minorHAnsi" w:hAnsiTheme="minorHAnsi"/>
          <w:color w:val="auto"/>
          <w:sz w:val="24"/>
          <w:szCs w:val="24"/>
        </w:rPr>
        <w:t>1</w:t>
      </w:r>
      <w:r w:rsidR="00A076D5">
        <w:rPr>
          <w:rFonts w:asciiTheme="minorHAnsi" w:hAnsiTheme="minorHAnsi"/>
          <w:color w:val="auto"/>
          <w:sz w:val="24"/>
          <w:szCs w:val="24"/>
        </w:rPr>
        <w:t>2</w:t>
      </w:r>
      <w:r w:rsidRPr="005E2DCC">
        <w:rPr>
          <w:rFonts w:asciiTheme="minorHAnsi" w:hAnsiTheme="minorHAnsi"/>
          <w:color w:val="auto"/>
          <w:sz w:val="24"/>
          <w:szCs w:val="24"/>
        </w:rPr>
        <w:t>: Environmental Governance Cycle (Department for Environment, Tourism and Rural Affairs, South Africa)</w:t>
      </w:r>
    </w:p>
    <w:p w:rsidR="005E2DCC" w:rsidRDefault="005E2DCC">
      <w:pPr>
        <w:rPr>
          <w:rFonts w:asciiTheme="minorHAnsi" w:hAnsiTheme="minorHAnsi" w:cstheme="minorHAnsi"/>
          <w:i/>
        </w:rPr>
      </w:pPr>
    </w:p>
    <w:p w:rsidR="00922BC4" w:rsidRDefault="008C2912">
      <w:pPr>
        <w:rPr>
          <w:rFonts w:asciiTheme="minorHAnsi" w:hAnsiTheme="minorHAnsi" w:cstheme="minorHAnsi"/>
          <w:i/>
        </w:rPr>
      </w:pPr>
      <w:r>
        <w:rPr>
          <w:rFonts w:asciiTheme="minorHAnsi" w:hAnsiTheme="minorHAnsi" w:cstheme="minorHAnsi"/>
          <w:i/>
          <w:noProof/>
        </w:rPr>
        <w:drawing>
          <wp:inline distT="0" distB="0" distL="0" distR="0">
            <wp:extent cx="4648200" cy="2723945"/>
            <wp:effectExtent l="19050" t="0" r="0" b="0"/>
            <wp:docPr id="5" name="Picture 3" descr="D:\BSMC\team papers\white paper response\d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SMC\team papers\white paper response\deat.jpg"/>
                    <pic:cNvPicPr>
                      <a:picLocks noChangeAspect="1" noChangeArrowheads="1"/>
                    </pic:cNvPicPr>
                  </pic:nvPicPr>
                  <pic:blipFill>
                    <a:blip r:embed="rId20" cstate="print"/>
                    <a:srcRect/>
                    <a:stretch>
                      <a:fillRect/>
                    </a:stretch>
                  </pic:blipFill>
                  <pic:spPr bwMode="auto">
                    <a:xfrm>
                      <a:off x="0" y="0"/>
                      <a:ext cx="4658262" cy="2729842"/>
                    </a:xfrm>
                    <a:prstGeom prst="rect">
                      <a:avLst/>
                    </a:prstGeom>
                    <a:noFill/>
                    <a:ln w="9525">
                      <a:noFill/>
                      <a:miter lim="800000"/>
                      <a:headEnd/>
                      <a:tailEnd/>
                    </a:ln>
                  </pic:spPr>
                </pic:pic>
              </a:graphicData>
            </a:graphic>
          </wp:inline>
        </w:drawing>
      </w:r>
    </w:p>
    <w:p w:rsidR="00244E51" w:rsidRPr="00F3562E" w:rsidRDefault="00244E51" w:rsidP="000D53B7">
      <w:pPr>
        <w:jc w:val="both"/>
        <w:rPr>
          <w:rFonts w:asciiTheme="minorHAnsi" w:hAnsiTheme="minorHAnsi" w:cstheme="minorHAnsi"/>
          <w:i/>
        </w:rPr>
      </w:pPr>
    </w:p>
    <w:p w:rsidR="001F2953" w:rsidRPr="00F3562E" w:rsidRDefault="001F2953" w:rsidP="000D53B7">
      <w:pPr>
        <w:jc w:val="both"/>
        <w:rPr>
          <w:rFonts w:asciiTheme="minorHAnsi" w:hAnsiTheme="minorHAnsi" w:cstheme="minorHAnsi"/>
        </w:rPr>
      </w:pPr>
    </w:p>
    <w:p w:rsidR="007736E4" w:rsidRDefault="00843A3F" w:rsidP="00ED3523">
      <w:pPr>
        <w:jc w:val="both"/>
      </w:pPr>
      <w:bookmarkStart w:id="26" w:name="_Toc289256743"/>
      <w:r w:rsidRPr="00A50E63">
        <w:rPr>
          <w:rStyle w:val="Heading3Char"/>
        </w:rPr>
        <w:t xml:space="preserve">6.3 </w:t>
      </w:r>
      <w:r w:rsidR="00DB5AC1">
        <w:rPr>
          <w:rStyle w:val="Heading3Char"/>
        </w:rPr>
        <w:t>Organization d</w:t>
      </w:r>
      <w:r w:rsidR="00ED3523" w:rsidRPr="00A50E63">
        <w:rPr>
          <w:rStyle w:val="Heading3Char"/>
        </w:rPr>
        <w:t>evelopmen</w:t>
      </w:r>
      <w:r w:rsidR="00DB5AC1">
        <w:rPr>
          <w:rStyle w:val="Heading3Char"/>
        </w:rPr>
        <w:t>t (OD)</w:t>
      </w:r>
      <w:bookmarkEnd w:id="26"/>
      <w:r w:rsidR="00ED3523">
        <w:t xml:space="preserve"> </w:t>
      </w:r>
    </w:p>
    <w:p w:rsidR="007736E4" w:rsidRPr="00AC5E31" w:rsidRDefault="007736E4" w:rsidP="00ED3523">
      <w:pPr>
        <w:jc w:val="both"/>
        <w:rPr>
          <w:rFonts w:asciiTheme="minorHAnsi" w:hAnsiTheme="minorHAnsi" w:cstheme="minorHAnsi"/>
        </w:rPr>
      </w:pPr>
    </w:p>
    <w:p w:rsidR="00ED3523" w:rsidRPr="00AC5E31" w:rsidRDefault="00ED3523" w:rsidP="00ED3523">
      <w:pPr>
        <w:jc w:val="both"/>
        <w:rPr>
          <w:rFonts w:asciiTheme="minorHAnsi" w:hAnsiTheme="minorHAnsi" w:cstheme="minorHAnsi"/>
        </w:rPr>
      </w:pPr>
      <w:r w:rsidRPr="00AC5E31">
        <w:rPr>
          <w:rFonts w:asciiTheme="minorHAnsi" w:hAnsiTheme="minorHAnsi" w:cstheme="minorHAnsi"/>
        </w:rPr>
        <w:t>(OD) can be defined as:</w:t>
      </w:r>
    </w:p>
    <w:p w:rsidR="00AC5E31" w:rsidRPr="00AC5E31" w:rsidRDefault="00AC5E31" w:rsidP="00ED3523">
      <w:pPr>
        <w:jc w:val="both"/>
        <w:rPr>
          <w:rFonts w:asciiTheme="minorHAnsi" w:hAnsiTheme="minorHAnsi" w:cstheme="minorHAnsi"/>
        </w:rPr>
      </w:pPr>
    </w:p>
    <w:p w:rsidR="00ED3523" w:rsidRPr="00AC5E31" w:rsidRDefault="00A42D2C" w:rsidP="004732CF">
      <w:pPr>
        <w:ind w:left="284" w:right="284"/>
        <w:jc w:val="both"/>
        <w:rPr>
          <w:rFonts w:asciiTheme="minorHAnsi" w:hAnsiTheme="minorHAnsi" w:cstheme="minorHAnsi"/>
          <w:i/>
        </w:rPr>
      </w:pPr>
      <w:r w:rsidRPr="00AC5E31">
        <w:rPr>
          <w:rFonts w:asciiTheme="minorHAnsi" w:hAnsiTheme="minorHAnsi" w:cstheme="minorHAnsi"/>
        </w:rPr>
        <w:t xml:space="preserve"> </w:t>
      </w:r>
      <w:r w:rsidR="00ED3523" w:rsidRPr="00AC5E31">
        <w:rPr>
          <w:rFonts w:asciiTheme="minorHAnsi" w:hAnsiTheme="minorHAnsi" w:cstheme="minorHAnsi"/>
        </w:rPr>
        <w:t>[A] process by which behavioural science knowledge and practices are used to help organizations achieve greater effectiveness, including quality of life, increased productivity, and improved product and service quality... the focus is on improving the organization’s ability to assess and to solve its own problems. Moreover, OD is oriented to improving the total system – the organization and its parts in the context of the larger environment that impacts upon them</w:t>
      </w:r>
      <w:r w:rsidRPr="00AC5E31">
        <w:rPr>
          <w:rFonts w:asciiTheme="minorHAnsi" w:hAnsiTheme="minorHAnsi" w:cstheme="minorHAnsi"/>
        </w:rPr>
        <w:t>.</w:t>
      </w:r>
      <w:r w:rsidR="00ED3523" w:rsidRPr="00AC5E31">
        <w:rPr>
          <w:rStyle w:val="EndnoteReference"/>
          <w:rFonts w:asciiTheme="minorHAnsi" w:hAnsiTheme="minorHAnsi" w:cstheme="minorHAnsi"/>
        </w:rPr>
        <w:endnoteReference w:id="72"/>
      </w:r>
      <w:r w:rsidR="00AC5E31" w:rsidRPr="00AC5E31">
        <w:rPr>
          <w:rFonts w:asciiTheme="minorHAnsi" w:hAnsiTheme="minorHAnsi" w:cstheme="minorHAnsi"/>
          <w:vertAlign w:val="superscript"/>
        </w:rPr>
        <w:t>,</w:t>
      </w:r>
      <w:r w:rsidRPr="00AC5E31">
        <w:rPr>
          <w:rFonts w:asciiTheme="minorHAnsi" w:hAnsiTheme="minorHAnsi" w:cstheme="minorHAnsi"/>
          <w:vertAlign w:val="superscript"/>
        </w:rPr>
        <w:t xml:space="preserve"> p.</w:t>
      </w:r>
      <w:r w:rsidR="00C65CEA" w:rsidRPr="00AC5E31">
        <w:rPr>
          <w:rFonts w:asciiTheme="minorHAnsi" w:hAnsiTheme="minorHAnsi" w:cstheme="minorHAnsi"/>
          <w:vertAlign w:val="superscript"/>
        </w:rPr>
        <w:t>1</w:t>
      </w:r>
    </w:p>
    <w:p w:rsidR="00ED3523" w:rsidRPr="00AC5E31" w:rsidRDefault="00ED3523" w:rsidP="00ED3523">
      <w:pPr>
        <w:jc w:val="both"/>
        <w:rPr>
          <w:rFonts w:asciiTheme="minorHAnsi" w:hAnsiTheme="minorHAnsi" w:cstheme="minorHAnsi"/>
          <w:i/>
        </w:rPr>
      </w:pPr>
    </w:p>
    <w:p w:rsidR="00ED3523" w:rsidRPr="00AC5E31" w:rsidRDefault="00ED3523" w:rsidP="00ED3523">
      <w:pPr>
        <w:jc w:val="both"/>
        <w:rPr>
          <w:rFonts w:asciiTheme="minorHAnsi" w:hAnsiTheme="minorHAnsi" w:cstheme="minorHAnsi"/>
        </w:rPr>
      </w:pPr>
      <w:r w:rsidRPr="00AC5E31">
        <w:rPr>
          <w:rFonts w:asciiTheme="minorHAnsi" w:hAnsiTheme="minorHAnsi" w:cstheme="minorHAnsi"/>
        </w:rPr>
        <w:t xml:space="preserve">OD consultancy interventions entail a process of working collaboratively with client groups within a context of strategic change to diagnose problems at particular levels of the organizational system with a view to finding practical ways of driving the behaviour change agenda forward. Problems and conflicts should be confronted, and not disguised or avoided and the people affected by change should be involved in its </w:t>
      </w:r>
      <w:r w:rsidRPr="00AC5E31">
        <w:rPr>
          <w:rFonts w:asciiTheme="minorHAnsi" w:hAnsiTheme="minorHAnsi" w:cstheme="minorHAnsi"/>
        </w:rPr>
        <w:lastRenderedPageBreak/>
        <w:t>implementation</w:t>
      </w:r>
      <w:r w:rsidR="00AC5E31">
        <w:rPr>
          <w:rFonts w:asciiTheme="minorHAnsi" w:hAnsiTheme="minorHAnsi" w:cstheme="minorHAnsi"/>
        </w:rPr>
        <w:t>.</w:t>
      </w:r>
      <w:r w:rsidRPr="00AC5E31">
        <w:rPr>
          <w:rStyle w:val="EndnoteReference"/>
          <w:rFonts w:asciiTheme="minorHAnsi" w:hAnsiTheme="minorHAnsi" w:cstheme="minorHAnsi"/>
        </w:rPr>
        <w:endnoteReference w:id="73"/>
      </w:r>
      <w:r w:rsidRPr="00AC5E31">
        <w:rPr>
          <w:rFonts w:asciiTheme="minorHAnsi" w:hAnsiTheme="minorHAnsi" w:cstheme="minorHAnsi"/>
        </w:rPr>
        <w:t xml:space="preserve"> Consultants in behaviour change using an OD framework typically facilitate ‘action learning sets’ with organizational participants representing different stakeholder interests to diagnose problems and collaborate on practical, ‘joined up’, solutions. Recent development in the field of organization studies combine insights from complexity theory with established processes of OD intervention. There is a growing appreciation of the way in which complex organizations must be understood as complex adaptive systems. Ralph Stacey, a pioneer in this field, lays stress on harnessing the inherent potential of creativity and innovation within systems to self-organize in response to environmental change:</w:t>
      </w:r>
    </w:p>
    <w:p w:rsidR="00ED3523" w:rsidRPr="00AC5E31" w:rsidRDefault="00ED3523" w:rsidP="00ED3523">
      <w:pPr>
        <w:jc w:val="both"/>
        <w:rPr>
          <w:rFonts w:asciiTheme="minorHAnsi" w:hAnsiTheme="minorHAnsi" w:cstheme="minorHAnsi"/>
        </w:rPr>
      </w:pPr>
    </w:p>
    <w:p w:rsidR="00ED3523" w:rsidRPr="00AC5E31" w:rsidRDefault="00A42D2C" w:rsidP="004732CF">
      <w:pPr>
        <w:ind w:left="284" w:right="284"/>
        <w:jc w:val="both"/>
        <w:rPr>
          <w:rFonts w:asciiTheme="minorHAnsi" w:hAnsiTheme="minorHAnsi" w:cstheme="minorHAnsi"/>
        </w:rPr>
      </w:pPr>
      <w:r w:rsidRPr="00AC5E31">
        <w:rPr>
          <w:rFonts w:asciiTheme="minorHAnsi" w:hAnsiTheme="minorHAnsi" w:cstheme="minorHAnsi"/>
        </w:rPr>
        <w:t xml:space="preserve"> C</w:t>
      </w:r>
      <w:r w:rsidR="00ED3523" w:rsidRPr="00AC5E31">
        <w:rPr>
          <w:rFonts w:asciiTheme="minorHAnsi" w:hAnsiTheme="minorHAnsi" w:cstheme="minorHAnsi"/>
        </w:rPr>
        <w:t>reative systems spontaneously sustain themselves in a critical state at the</w:t>
      </w:r>
    </w:p>
    <w:p w:rsidR="00ED3523" w:rsidRPr="00AC5E31" w:rsidRDefault="00ED3523" w:rsidP="004732CF">
      <w:pPr>
        <w:ind w:left="284" w:right="284"/>
        <w:jc w:val="both"/>
        <w:rPr>
          <w:rFonts w:asciiTheme="minorHAnsi" w:hAnsiTheme="minorHAnsi" w:cstheme="minorHAnsi"/>
        </w:rPr>
      </w:pPr>
      <w:r w:rsidRPr="00AC5E31">
        <w:rPr>
          <w:rFonts w:asciiTheme="minorHAnsi" w:hAnsiTheme="minorHAnsi" w:cstheme="minorHAnsi"/>
        </w:rPr>
        <w:t xml:space="preserve"> edge of disintegration where they are not adapted to their environments: they</w:t>
      </w:r>
    </w:p>
    <w:p w:rsidR="00ED3523" w:rsidRPr="00AC5E31" w:rsidRDefault="00ED3523" w:rsidP="004732CF">
      <w:pPr>
        <w:ind w:left="284" w:right="284"/>
        <w:jc w:val="both"/>
        <w:rPr>
          <w:rFonts w:asciiTheme="minorHAnsi" w:hAnsiTheme="minorHAnsi" w:cstheme="minorHAnsi"/>
        </w:rPr>
      </w:pPr>
      <w:r w:rsidRPr="00AC5E31">
        <w:rPr>
          <w:rFonts w:asciiTheme="minorHAnsi" w:hAnsiTheme="minorHAnsi" w:cstheme="minorHAnsi"/>
        </w:rPr>
        <w:t xml:space="preserve"> co</w:t>
      </w:r>
      <w:r w:rsidR="000445F2" w:rsidRPr="00AC5E31">
        <w:rPr>
          <w:rFonts w:asciiTheme="minorHAnsi" w:hAnsiTheme="minorHAnsi" w:cstheme="minorHAnsi"/>
        </w:rPr>
        <w:t>-</w:t>
      </w:r>
      <w:r w:rsidRPr="00AC5E31">
        <w:rPr>
          <w:rFonts w:asciiTheme="minorHAnsi" w:hAnsiTheme="minorHAnsi" w:cstheme="minorHAnsi"/>
        </w:rPr>
        <w:t>evolve with the other systems they interact with and together they create</w:t>
      </w:r>
    </w:p>
    <w:p w:rsidR="00ED3523" w:rsidRPr="00AC5E31" w:rsidRDefault="00ED3523" w:rsidP="004732CF">
      <w:pPr>
        <w:ind w:left="284" w:right="284"/>
        <w:jc w:val="both"/>
        <w:rPr>
          <w:rFonts w:asciiTheme="minorHAnsi" w:hAnsiTheme="minorHAnsi" w:cstheme="minorHAnsi"/>
        </w:rPr>
      </w:pPr>
      <w:r w:rsidRPr="00AC5E31">
        <w:rPr>
          <w:rFonts w:asciiTheme="minorHAnsi" w:hAnsiTheme="minorHAnsi" w:cstheme="minorHAnsi"/>
        </w:rPr>
        <w:t xml:space="preserve"> their own new future... Such systems spontaneously produce emergent new</w:t>
      </w:r>
    </w:p>
    <w:p w:rsidR="00ED3523" w:rsidRPr="00AC5E31" w:rsidRDefault="00ED3523" w:rsidP="004732CF">
      <w:pPr>
        <w:ind w:left="284" w:right="284"/>
        <w:jc w:val="both"/>
        <w:rPr>
          <w:rFonts w:asciiTheme="minorHAnsi" w:hAnsiTheme="minorHAnsi" w:cstheme="minorHAnsi"/>
        </w:rPr>
      </w:pPr>
      <w:r w:rsidRPr="00AC5E31">
        <w:rPr>
          <w:rFonts w:asciiTheme="minorHAnsi" w:hAnsiTheme="minorHAnsi" w:cstheme="minorHAnsi"/>
        </w:rPr>
        <w:t xml:space="preserve"> order out of disorder throug</w:t>
      </w:r>
      <w:r w:rsidR="00A42D2C" w:rsidRPr="00AC5E31">
        <w:rPr>
          <w:rFonts w:asciiTheme="minorHAnsi" w:hAnsiTheme="minorHAnsi" w:cstheme="minorHAnsi"/>
        </w:rPr>
        <w:t>h a process of self-organization.</w:t>
      </w:r>
      <w:r w:rsidRPr="00AC5E31">
        <w:rPr>
          <w:rStyle w:val="EndnoteReference"/>
          <w:rFonts w:asciiTheme="minorHAnsi" w:hAnsiTheme="minorHAnsi" w:cstheme="minorHAnsi"/>
        </w:rPr>
        <w:endnoteReference w:id="74"/>
      </w:r>
      <w:r w:rsidR="00AC5E31" w:rsidRPr="00AC5E31">
        <w:rPr>
          <w:rFonts w:asciiTheme="minorHAnsi" w:hAnsiTheme="minorHAnsi" w:cstheme="minorHAnsi"/>
          <w:vertAlign w:val="superscript"/>
        </w:rPr>
        <w:t>,</w:t>
      </w:r>
      <w:r w:rsidR="00A42D2C" w:rsidRPr="00AC5E31">
        <w:rPr>
          <w:rFonts w:asciiTheme="minorHAnsi" w:hAnsiTheme="minorHAnsi" w:cstheme="minorHAnsi"/>
          <w:vertAlign w:val="superscript"/>
        </w:rPr>
        <w:t xml:space="preserve"> p.</w:t>
      </w:r>
      <w:r w:rsidR="00C65CEA" w:rsidRPr="00AC5E31">
        <w:rPr>
          <w:rFonts w:asciiTheme="minorHAnsi" w:hAnsiTheme="minorHAnsi" w:cstheme="minorHAnsi"/>
          <w:vertAlign w:val="superscript"/>
        </w:rPr>
        <w:t>245</w:t>
      </w:r>
    </w:p>
    <w:p w:rsidR="00ED3523" w:rsidRPr="00AC5E31" w:rsidRDefault="00ED3523" w:rsidP="00ED3523">
      <w:pPr>
        <w:jc w:val="both"/>
        <w:rPr>
          <w:rFonts w:asciiTheme="minorHAnsi" w:hAnsiTheme="minorHAnsi" w:cstheme="minorHAnsi"/>
        </w:rPr>
      </w:pPr>
    </w:p>
    <w:p w:rsidR="00ED3523" w:rsidRPr="00AC5E31" w:rsidRDefault="00ED3523" w:rsidP="00ED3523">
      <w:pPr>
        <w:jc w:val="both"/>
        <w:rPr>
          <w:rFonts w:asciiTheme="minorHAnsi" w:hAnsiTheme="minorHAnsi" w:cstheme="minorHAnsi"/>
        </w:rPr>
      </w:pPr>
      <w:r w:rsidRPr="00AC5E31">
        <w:rPr>
          <w:rFonts w:asciiTheme="minorHAnsi" w:hAnsiTheme="minorHAnsi" w:cstheme="minorHAnsi"/>
        </w:rPr>
        <w:t>Again, OD consultants applying lessons from this theory to bring about behaviour change emphasise being willing to act on local knowledge. Change leaders/champions need to recognise that they can influence the environment/system (e.g., ‘cascading’ the change agenda through processes of consultation, action learning set</w:t>
      </w:r>
      <w:r w:rsidR="00AC5E31">
        <w:rPr>
          <w:rFonts w:asciiTheme="minorHAnsi" w:hAnsiTheme="minorHAnsi" w:cstheme="minorHAnsi"/>
        </w:rPr>
        <w:t>s</w:t>
      </w:r>
      <w:r w:rsidRPr="00AC5E31">
        <w:rPr>
          <w:rFonts w:asciiTheme="minorHAnsi" w:hAnsiTheme="minorHAnsi" w:cstheme="minorHAnsi"/>
        </w:rPr>
        <w:t>, workshops, etc.) but not determine how others will respond. OD processes of intervention and leadership that employ complexity theory cultivate self-knowledge and reflective practice. There is a small but growing body of literature concerning the application of complexity science to the promotion of health</w:t>
      </w:r>
      <w:r w:rsidR="00AC5E31">
        <w:rPr>
          <w:rFonts w:asciiTheme="minorHAnsi" w:hAnsiTheme="minorHAnsi" w:cstheme="minorHAnsi"/>
        </w:rPr>
        <w:t>.</w:t>
      </w:r>
      <w:r w:rsidRPr="00AC5E31">
        <w:rPr>
          <w:rStyle w:val="EndnoteReference"/>
          <w:rFonts w:asciiTheme="minorHAnsi" w:hAnsiTheme="minorHAnsi" w:cstheme="minorHAnsi"/>
        </w:rPr>
        <w:endnoteReference w:id="75"/>
      </w:r>
      <w:r w:rsidR="00C65CEA" w:rsidRPr="00AC5E31">
        <w:rPr>
          <w:rFonts w:asciiTheme="minorHAnsi" w:hAnsiTheme="minorHAnsi" w:cstheme="minorHAnsi"/>
          <w:vertAlign w:val="superscript"/>
        </w:rPr>
        <w:t xml:space="preserve">, </w:t>
      </w:r>
      <w:r w:rsidRPr="00AC5E31">
        <w:rPr>
          <w:rStyle w:val="EndnoteReference"/>
          <w:rFonts w:asciiTheme="minorHAnsi" w:hAnsiTheme="minorHAnsi" w:cstheme="minorHAnsi"/>
        </w:rPr>
        <w:endnoteReference w:id="76"/>
      </w:r>
    </w:p>
    <w:p w:rsidR="00ED3523" w:rsidRPr="00AC5E31" w:rsidRDefault="00ED3523" w:rsidP="00ED3523">
      <w:pPr>
        <w:jc w:val="both"/>
        <w:rPr>
          <w:rFonts w:asciiTheme="minorHAnsi" w:hAnsiTheme="minorHAnsi" w:cstheme="minorHAnsi"/>
        </w:rPr>
      </w:pPr>
    </w:p>
    <w:p w:rsidR="00ED3523" w:rsidRPr="00AC5E31" w:rsidRDefault="00ED3523" w:rsidP="00ED3523">
      <w:pPr>
        <w:jc w:val="both"/>
        <w:rPr>
          <w:rFonts w:asciiTheme="minorHAnsi" w:hAnsiTheme="minorHAnsi" w:cstheme="minorHAnsi"/>
        </w:rPr>
      </w:pPr>
      <w:r w:rsidRPr="00AC5E31">
        <w:rPr>
          <w:rFonts w:asciiTheme="minorHAnsi" w:hAnsiTheme="minorHAnsi" w:cstheme="minorHAnsi"/>
        </w:rPr>
        <w:t>The manner is which a behavioural change agenda is led or championed will be a crucial determinant of its relative success. Leading change in complex systems requires collective effort and leadership therefore needs to be distributed throughout the system</w:t>
      </w:r>
      <w:r w:rsidR="00AC5E31">
        <w:rPr>
          <w:rFonts w:asciiTheme="minorHAnsi" w:hAnsiTheme="minorHAnsi" w:cstheme="minorHAnsi"/>
        </w:rPr>
        <w:t>.</w:t>
      </w:r>
      <w:r w:rsidRPr="00AC5E31">
        <w:rPr>
          <w:rStyle w:val="EndnoteReference"/>
          <w:rFonts w:asciiTheme="minorHAnsi" w:hAnsiTheme="minorHAnsi" w:cstheme="minorHAnsi"/>
        </w:rPr>
        <w:endnoteReference w:id="77"/>
      </w:r>
      <w:r w:rsidRPr="00AC5E31">
        <w:rPr>
          <w:rFonts w:asciiTheme="minorHAnsi" w:hAnsiTheme="minorHAnsi" w:cstheme="minorHAnsi"/>
        </w:rPr>
        <w:t xml:space="preserve"> Initiatives</w:t>
      </w:r>
      <w:r w:rsidR="00AC5E31">
        <w:rPr>
          <w:rFonts w:asciiTheme="minorHAnsi" w:hAnsiTheme="minorHAnsi" w:cstheme="minorHAnsi"/>
        </w:rPr>
        <w:t xml:space="preserve"> and</w:t>
      </w:r>
      <w:r w:rsidRPr="00AC5E31">
        <w:rPr>
          <w:rFonts w:asciiTheme="minorHAnsi" w:hAnsiTheme="minorHAnsi" w:cstheme="minorHAnsi"/>
        </w:rPr>
        <w:t xml:space="preserve"> key messages of behaviour change may originate at the top of the hierarchy but complexity theory dictates that they will be interpreted, adjusted and accommodated by different parts of the system in different ways. This has to be expected and the resulting energies contained within boundaries set by agents of change</w:t>
      </w:r>
      <w:r w:rsidR="00AC5E31">
        <w:rPr>
          <w:rFonts w:asciiTheme="minorHAnsi" w:hAnsiTheme="minorHAnsi" w:cstheme="minorHAnsi"/>
        </w:rPr>
        <w:t>.</w:t>
      </w:r>
      <w:r w:rsidRPr="00AC5E31">
        <w:rPr>
          <w:rStyle w:val="EndnoteReference"/>
          <w:rFonts w:asciiTheme="minorHAnsi" w:hAnsiTheme="minorHAnsi" w:cstheme="minorHAnsi"/>
        </w:rPr>
        <w:endnoteReference w:id="78"/>
      </w:r>
    </w:p>
    <w:p w:rsidR="00ED3523" w:rsidRPr="00AC5E31" w:rsidRDefault="00ED3523" w:rsidP="00ED3523">
      <w:pPr>
        <w:jc w:val="both"/>
        <w:rPr>
          <w:rFonts w:asciiTheme="minorHAnsi" w:hAnsiTheme="minorHAnsi" w:cstheme="minorHAnsi"/>
        </w:rPr>
      </w:pPr>
    </w:p>
    <w:p w:rsidR="00AC5E31" w:rsidRDefault="00ED3523" w:rsidP="00ED3523">
      <w:pPr>
        <w:jc w:val="both"/>
        <w:rPr>
          <w:rFonts w:asciiTheme="minorHAnsi" w:hAnsiTheme="minorHAnsi" w:cstheme="minorHAnsi"/>
        </w:rPr>
      </w:pPr>
      <w:r w:rsidRPr="00AC5E31">
        <w:rPr>
          <w:rFonts w:asciiTheme="minorHAnsi" w:hAnsiTheme="minorHAnsi" w:cstheme="minorHAnsi"/>
        </w:rPr>
        <w:t>OD can be usefully combined with stakeholder theory and analysis within the social system in order to identify and enrol parties who are strategically implicated within the change agenda. Stakeholder theory requires that behaviour change be understood within the context of systemic relationships. Behaviour change interventions take place at a nodal point within a network of interrelated stakeholder interests: e.g., the public/local communities, national government policy, GP consortia/health professionals, local government health providers, social enterprises, etc. OD can be used to manage stakeholder interests through appropriately targeted intervention within social systems/organizations at both strategic and tactical levels</w:t>
      </w:r>
      <w:r w:rsidRPr="00AC5E31">
        <w:rPr>
          <w:rStyle w:val="EndnoteReference"/>
          <w:rFonts w:asciiTheme="minorHAnsi" w:hAnsiTheme="minorHAnsi" w:cstheme="minorHAnsi"/>
        </w:rPr>
        <w:endnoteReference w:id="79"/>
      </w:r>
      <w:r w:rsidRPr="00AC5E31">
        <w:rPr>
          <w:rFonts w:asciiTheme="minorHAnsi" w:hAnsiTheme="minorHAnsi" w:cstheme="minorHAnsi"/>
        </w:rPr>
        <w:t xml:space="preserve"> (see Figure </w:t>
      </w:r>
      <w:r w:rsidR="00AD5DFE" w:rsidRPr="00AC5E31">
        <w:rPr>
          <w:rFonts w:asciiTheme="minorHAnsi" w:hAnsiTheme="minorHAnsi" w:cstheme="minorHAnsi"/>
        </w:rPr>
        <w:t>13</w:t>
      </w:r>
      <w:r w:rsidRPr="00AC5E31">
        <w:rPr>
          <w:rFonts w:asciiTheme="minorHAnsi" w:hAnsiTheme="minorHAnsi" w:cstheme="minorHAnsi"/>
        </w:rPr>
        <w:t>)</w:t>
      </w:r>
      <w:r w:rsidR="00AC5E31">
        <w:rPr>
          <w:rFonts w:asciiTheme="minorHAnsi" w:hAnsiTheme="minorHAnsi" w:cstheme="minorHAnsi"/>
        </w:rPr>
        <w:t>.</w:t>
      </w:r>
    </w:p>
    <w:p w:rsidR="00AC5E31" w:rsidRDefault="00AC5E31" w:rsidP="00ED3523">
      <w:pPr>
        <w:jc w:val="both"/>
        <w:rPr>
          <w:rFonts w:asciiTheme="minorHAnsi" w:hAnsiTheme="minorHAnsi" w:cstheme="minorHAnsi"/>
        </w:rPr>
      </w:pPr>
    </w:p>
    <w:p w:rsidR="00ED3523" w:rsidRPr="00AC5E31" w:rsidRDefault="00ED3523" w:rsidP="00ED3523">
      <w:pPr>
        <w:jc w:val="both"/>
        <w:rPr>
          <w:rFonts w:asciiTheme="minorHAnsi" w:hAnsiTheme="minorHAnsi" w:cstheme="minorHAnsi"/>
        </w:rPr>
      </w:pPr>
      <w:r w:rsidRPr="00AC5E31">
        <w:rPr>
          <w:rFonts w:asciiTheme="minorHAnsi" w:hAnsiTheme="minorHAnsi" w:cstheme="minorHAnsi"/>
        </w:rPr>
        <w:t xml:space="preserve"> </w:t>
      </w:r>
    </w:p>
    <w:p w:rsidR="00ED3523" w:rsidRPr="00AC5E31" w:rsidRDefault="00ED3523" w:rsidP="00ED3523">
      <w:pPr>
        <w:jc w:val="both"/>
        <w:rPr>
          <w:rFonts w:asciiTheme="minorHAnsi" w:hAnsiTheme="minorHAnsi" w:cstheme="minorHAnsi"/>
        </w:rPr>
      </w:pPr>
    </w:p>
    <w:p w:rsidR="00ED3523" w:rsidRPr="00AC5E31" w:rsidRDefault="00ED3523" w:rsidP="00ED3523">
      <w:pPr>
        <w:jc w:val="both"/>
        <w:rPr>
          <w:rFonts w:asciiTheme="minorHAnsi" w:hAnsiTheme="minorHAnsi" w:cstheme="minorHAnsi"/>
          <w:b/>
        </w:rPr>
      </w:pPr>
      <w:r w:rsidRPr="00AC5E31">
        <w:rPr>
          <w:rFonts w:asciiTheme="minorHAnsi" w:hAnsiTheme="minorHAnsi" w:cstheme="minorHAnsi"/>
          <w:b/>
        </w:rPr>
        <w:t xml:space="preserve">Figure </w:t>
      </w:r>
      <w:r w:rsidR="00AD5DFE" w:rsidRPr="00AC5E31">
        <w:rPr>
          <w:rFonts w:asciiTheme="minorHAnsi" w:hAnsiTheme="minorHAnsi" w:cstheme="minorHAnsi"/>
          <w:b/>
        </w:rPr>
        <w:t>13</w:t>
      </w:r>
      <w:r w:rsidRPr="00AC5E31">
        <w:rPr>
          <w:rFonts w:asciiTheme="minorHAnsi" w:hAnsiTheme="minorHAnsi" w:cstheme="minorHAnsi"/>
          <w:b/>
        </w:rPr>
        <w:t xml:space="preserve"> – Generic model of stakeholder management</w:t>
      </w:r>
    </w:p>
    <w:p w:rsidR="00ED3523" w:rsidRPr="00AC5E31" w:rsidRDefault="00ED3523" w:rsidP="00ED3523">
      <w:pPr>
        <w:jc w:val="both"/>
        <w:rPr>
          <w:rFonts w:asciiTheme="minorHAnsi" w:hAnsiTheme="minorHAnsi" w:cstheme="minorHAnsi"/>
          <w:b/>
        </w:rPr>
      </w:pPr>
    </w:p>
    <w:p w:rsidR="00ED3523" w:rsidRPr="00AC5E31" w:rsidRDefault="00ED3523" w:rsidP="002D77FB">
      <w:pPr>
        <w:jc w:val="center"/>
        <w:rPr>
          <w:rFonts w:asciiTheme="minorHAnsi" w:hAnsiTheme="minorHAnsi" w:cstheme="minorHAnsi"/>
        </w:rPr>
      </w:pPr>
      <w:r w:rsidRPr="00AC5E31">
        <w:rPr>
          <w:rFonts w:asciiTheme="minorHAnsi" w:hAnsiTheme="minorHAnsi" w:cstheme="minorHAnsi"/>
          <w:noProof/>
          <w:sz w:val="20"/>
          <w:szCs w:val="20"/>
        </w:rPr>
        <w:drawing>
          <wp:inline distT="0" distB="0" distL="0" distR="0">
            <wp:extent cx="3733648" cy="2810827"/>
            <wp:effectExtent l="19050" t="0" r="152" b="0"/>
            <wp:docPr id="2" name="il_fi" descr="http://leadershipchamps.files.wordpress.com/2008/03/stakeholder-management-process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eadershipchamps.files.wordpress.com/2008/03/stakeholder-management-processes-1.jpg"/>
                    <pic:cNvPicPr>
                      <a:picLocks noChangeAspect="1" noChangeArrowheads="1"/>
                    </pic:cNvPicPr>
                  </pic:nvPicPr>
                  <pic:blipFill>
                    <a:blip r:embed="rId21" cstate="print"/>
                    <a:srcRect/>
                    <a:stretch>
                      <a:fillRect/>
                    </a:stretch>
                  </pic:blipFill>
                  <pic:spPr bwMode="auto">
                    <a:xfrm>
                      <a:off x="0" y="0"/>
                      <a:ext cx="3733770" cy="2810919"/>
                    </a:xfrm>
                    <a:prstGeom prst="rect">
                      <a:avLst/>
                    </a:prstGeom>
                    <a:noFill/>
                    <a:ln w="9525">
                      <a:noFill/>
                      <a:miter lim="800000"/>
                      <a:headEnd/>
                      <a:tailEnd/>
                    </a:ln>
                  </pic:spPr>
                </pic:pic>
              </a:graphicData>
            </a:graphic>
          </wp:inline>
        </w:drawing>
      </w:r>
    </w:p>
    <w:p w:rsidR="00ED3523" w:rsidRPr="00AC5E31" w:rsidRDefault="00ED3523" w:rsidP="00ED3523">
      <w:pPr>
        <w:jc w:val="both"/>
        <w:rPr>
          <w:rFonts w:asciiTheme="minorHAnsi" w:hAnsiTheme="minorHAnsi" w:cstheme="minorHAnsi"/>
        </w:rPr>
      </w:pPr>
    </w:p>
    <w:p w:rsidR="00ED3523" w:rsidRPr="00AC5E31" w:rsidRDefault="00ED3523" w:rsidP="00ED3523">
      <w:pPr>
        <w:jc w:val="both"/>
        <w:rPr>
          <w:rFonts w:asciiTheme="minorHAnsi" w:hAnsiTheme="minorHAnsi" w:cstheme="minorHAnsi"/>
        </w:rPr>
      </w:pPr>
    </w:p>
    <w:p w:rsidR="00ED3523" w:rsidRPr="00AC5E31" w:rsidRDefault="00ED3523" w:rsidP="00ED3523">
      <w:pPr>
        <w:jc w:val="both"/>
        <w:rPr>
          <w:rFonts w:asciiTheme="minorHAnsi" w:hAnsiTheme="minorHAnsi" w:cstheme="minorHAnsi"/>
        </w:rPr>
      </w:pPr>
    </w:p>
    <w:p w:rsidR="001F2953" w:rsidRPr="00B56CB3" w:rsidRDefault="00843A3F" w:rsidP="00A50E63">
      <w:pPr>
        <w:pStyle w:val="Heading3"/>
      </w:pPr>
      <w:bookmarkStart w:id="27" w:name="_Toc289256744"/>
      <w:r>
        <w:t xml:space="preserve">6.4 </w:t>
      </w:r>
      <w:r w:rsidR="001F2953" w:rsidRPr="00B56CB3">
        <w:t xml:space="preserve">Social </w:t>
      </w:r>
      <w:r w:rsidR="00DB5AC1">
        <w:t>m</w:t>
      </w:r>
      <w:r w:rsidR="001F2953" w:rsidRPr="00B56CB3">
        <w:t>arketing</w:t>
      </w:r>
      <w:bookmarkEnd w:id="27"/>
      <w:r w:rsidR="00D7332B" w:rsidRPr="00B56CB3">
        <w:t xml:space="preserve"> </w:t>
      </w:r>
      <w:r w:rsidR="001F2953" w:rsidRPr="00B56CB3">
        <w:t xml:space="preserve">  </w:t>
      </w:r>
    </w:p>
    <w:p w:rsidR="00AC5E31" w:rsidRDefault="00AC5E31" w:rsidP="00A42D2C">
      <w:pPr>
        <w:ind w:right="284"/>
        <w:jc w:val="both"/>
        <w:rPr>
          <w:rFonts w:ascii="Calibri" w:hAnsi="Calibri"/>
        </w:rPr>
      </w:pPr>
    </w:p>
    <w:p w:rsidR="001F2953" w:rsidRPr="00A42D2C" w:rsidRDefault="001F2953" w:rsidP="00A42D2C">
      <w:pPr>
        <w:ind w:right="284"/>
        <w:jc w:val="both"/>
        <w:rPr>
          <w:rFonts w:ascii="Calibri" w:hAnsi="Calibri"/>
        </w:rPr>
      </w:pPr>
      <w:r w:rsidRPr="00BE2219">
        <w:rPr>
          <w:rFonts w:ascii="Calibri" w:hAnsi="Calibri"/>
        </w:rPr>
        <w:t>Social marketing is</w:t>
      </w:r>
      <w:r w:rsidRPr="00836382">
        <w:rPr>
          <w:rFonts w:ascii="Calibri" w:hAnsi="Calibri"/>
          <w:i/>
        </w:rPr>
        <w:t xml:space="preserve"> </w:t>
      </w:r>
      <w:r w:rsidR="00A42D2C" w:rsidRPr="00A42D2C">
        <w:rPr>
          <w:rFonts w:ascii="Calibri" w:hAnsi="Calibri"/>
        </w:rPr>
        <w:t>‘</w:t>
      </w:r>
      <w:r w:rsidRPr="00A42D2C">
        <w:rPr>
          <w:rFonts w:ascii="Calibri" w:hAnsi="Calibri"/>
        </w:rPr>
        <w:t>the systematic application of marketing concepts and techniques to achieve specific behavioural goals, for a social or public good</w:t>
      </w:r>
      <w:r w:rsidR="00A42D2C" w:rsidRPr="00A42D2C">
        <w:rPr>
          <w:rFonts w:ascii="Calibri" w:hAnsi="Calibri"/>
        </w:rPr>
        <w:t>’</w:t>
      </w:r>
      <w:r w:rsidR="00A42D2C">
        <w:rPr>
          <w:rFonts w:ascii="Calibri" w:hAnsi="Calibri"/>
        </w:rPr>
        <w:t xml:space="preserve"> and </w:t>
      </w:r>
      <w:r w:rsidR="00A42D2C" w:rsidRPr="00A42D2C">
        <w:rPr>
          <w:rFonts w:ascii="Calibri" w:hAnsi="Calibri"/>
          <w:i/>
        </w:rPr>
        <w:t>h</w:t>
      </w:r>
      <w:r w:rsidRPr="00A42D2C">
        <w:rPr>
          <w:rFonts w:ascii="Calibri" w:hAnsi="Calibri"/>
          <w:i/>
        </w:rPr>
        <w:t>ealth-related social marketing</w:t>
      </w:r>
      <w:r w:rsidRPr="00A42D2C">
        <w:rPr>
          <w:rFonts w:ascii="Calibri" w:hAnsi="Calibri"/>
        </w:rPr>
        <w:t xml:space="preserve"> is </w:t>
      </w:r>
      <w:r w:rsidR="00A42D2C">
        <w:rPr>
          <w:rFonts w:ascii="Calibri" w:hAnsi="Calibri"/>
        </w:rPr>
        <w:t>‘</w:t>
      </w:r>
      <w:r w:rsidRPr="00A42D2C">
        <w:rPr>
          <w:rFonts w:ascii="Calibri" w:hAnsi="Calibri"/>
        </w:rPr>
        <w:t>the systematic application of marketing concepts and techniques to achieve specific behavioural goal</w:t>
      </w:r>
      <w:r w:rsidR="00696F0C" w:rsidRPr="00A42D2C">
        <w:rPr>
          <w:rFonts w:ascii="Calibri" w:hAnsi="Calibri"/>
        </w:rPr>
        <w:t>s</w:t>
      </w:r>
      <w:r w:rsidRPr="00A42D2C">
        <w:rPr>
          <w:rFonts w:ascii="Calibri" w:hAnsi="Calibri"/>
        </w:rPr>
        <w:t>, to improve health and reduce health inequalities</w:t>
      </w:r>
      <w:r w:rsidR="00A42D2C">
        <w:rPr>
          <w:rFonts w:ascii="Calibri" w:hAnsi="Calibri"/>
        </w:rPr>
        <w:t>.</w:t>
      </w:r>
      <w:r w:rsidR="0019067B">
        <w:rPr>
          <w:rStyle w:val="EndnoteReference"/>
          <w:rFonts w:ascii="Calibri" w:hAnsi="Calibri"/>
        </w:rPr>
        <w:endnoteReference w:id="80"/>
      </w:r>
      <w:r w:rsidR="0019067B" w:rsidRPr="0019067B">
        <w:rPr>
          <w:rFonts w:ascii="Calibri" w:hAnsi="Calibri"/>
          <w:vertAlign w:val="superscript"/>
        </w:rPr>
        <w:t>, p.1</w:t>
      </w:r>
    </w:p>
    <w:p w:rsidR="00D7332B" w:rsidRDefault="00D7332B" w:rsidP="000D53B7">
      <w:pPr>
        <w:jc w:val="both"/>
        <w:rPr>
          <w:rFonts w:ascii="Calibri" w:hAnsi="Calibri"/>
        </w:rPr>
      </w:pPr>
    </w:p>
    <w:p w:rsidR="001F2953" w:rsidRDefault="00D7332B" w:rsidP="000D53B7">
      <w:pPr>
        <w:jc w:val="both"/>
        <w:rPr>
          <w:rFonts w:ascii="Calibri" w:hAnsi="Calibri"/>
        </w:rPr>
      </w:pPr>
      <w:r>
        <w:rPr>
          <w:rFonts w:ascii="Calibri" w:hAnsi="Calibri"/>
        </w:rPr>
        <w:t xml:space="preserve">A more detailed operational </w:t>
      </w:r>
      <w:r w:rsidR="00FC62F3">
        <w:rPr>
          <w:rFonts w:ascii="Calibri" w:hAnsi="Calibri"/>
        </w:rPr>
        <w:t>definition for</w:t>
      </w:r>
      <w:r>
        <w:rPr>
          <w:rFonts w:ascii="Calibri" w:hAnsi="Calibri"/>
        </w:rPr>
        <w:t xml:space="preserve"> social marketing is:</w:t>
      </w:r>
    </w:p>
    <w:p w:rsidR="00A42D2C" w:rsidRDefault="00A42D2C" w:rsidP="000D53B7">
      <w:pPr>
        <w:jc w:val="both"/>
        <w:rPr>
          <w:rFonts w:ascii="Calibri" w:hAnsi="Calibri"/>
        </w:rPr>
      </w:pPr>
    </w:p>
    <w:p w:rsidR="00D7332B" w:rsidRPr="00A42D2C" w:rsidRDefault="00D7332B" w:rsidP="000D53B7">
      <w:pPr>
        <w:ind w:left="284" w:right="284"/>
        <w:jc w:val="both"/>
        <w:rPr>
          <w:rFonts w:ascii="Calibri" w:hAnsi="Calibri"/>
        </w:rPr>
      </w:pPr>
      <w:r w:rsidRPr="00A42D2C">
        <w:rPr>
          <w:rFonts w:ascii="Calibri" w:hAnsi="Calibri"/>
          <w:sz w:val="22"/>
          <w:szCs w:val="22"/>
        </w:rPr>
        <w:t>A social change management technology involving the design, implementation and control of programs aimed at increasing the acceptability of a social idea or practice in one or more groups of target adopters. It utilizes concepts of market segmentation, consumer research, product concept development and testing, directed communication, facilitation, incentives and exchange theory to maximise the target adopter’s response</w:t>
      </w:r>
      <w:r w:rsidR="00A42D2C" w:rsidRPr="00A42D2C">
        <w:rPr>
          <w:rFonts w:ascii="Calibri" w:hAnsi="Calibri"/>
          <w:sz w:val="22"/>
          <w:szCs w:val="22"/>
        </w:rPr>
        <w:t>.</w:t>
      </w:r>
      <w:r w:rsidRPr="00A42D2C">
        <w:rPr>
          <w:rStyle w:val="EndnoteReference"/>
          <w:rFonts w:ascii="Calibri" w:hAnsi="Calibri"/>
        </w:rPr>
        <w:endnoteReference w:id="81"/>
      </w:r>
      <w:r w:rsidR="00D86C77" w:rsidRPr="00D86C77">
        <w:rPr>
          <w:rFonts w:ascii="Calibri" w:hAnsi="Calibri"/>
          <w:sz w:val="22"/>
          <w:szCs w:val="22"/>
          <w:vertAlign w:val="superscript"/>
        </w:rPr>
        <w:t>,</w:t>
      </w:r>
      <w:r w:rsidRPr="00A42D2C">
        <w:rPr>
          <w:rFonts w:ascii="Calibri" w:hAnsi="Calibri"/>
        </w:rPr>
        <w:t xml:space="preserve"> </w:t>
      </w:r>
      <w:r w:rsidRPr="00A42D2C">
        <w:rPr>
          <w:rFonts w:ascii="Calibri" w:hAnsi="Calibri"/>
          <w:vertAlign w:val="superscript"/>
        </w:rPr>
        <w:t>p.7</w:t>
      </w:r>
    </w:p>
    <w:p w:rsidR="00D7332B" w:rsidRDefault="00D7332B" w:rsidP="000D53B7">
      <w:pPr>
        <w:jc w:val="both"/>
        <w:rPr>
          <w:rFonts w:ascii="Calibri" w:hAnsi="Calibri"/>
        </w:rPr>
      </w:pPr>
    </w:p>
    <w:p w:rsidR="001F2953" w:rsidRPr="001371A5" w:rsidRDefault="001F2953" w:rsidP="000D53B7">
      <w:pPr>
        <w:jc w:val="both"/>
        <w:rPr>
          <w:rFonts w:asciiTheme="minorHAnsi" w:hAnsiTheme="minorHAnsi"/>
        </w:rPr>
      </w:pPr>
      <w:r w:rsidRPr="001371A5">
        <w:rPr>
          <w:rFonts w:asciiTheme="minorHAnsi" w:hAnsiTheme="minorHAnsi"/>
        </w:rPr>
        <w:t xml:space="preserve">In the UK, a </w:t>
      </w:r>
      <w:r w:rsidR="00FC62F3" w:rsidRPr="001371A5">
        <w:rPr>
          <w:rFonts w:asciiTheme="minorHAnsi" w:hAnsiTheme="minorHAnsi"/>
        </w:rPr>
        <w:t>previous</w:t>
      </w:r>
      <w:r w:rsidR="00D86C77">
        <w:rPr>
          <w:rFonts w:asciiTheme="minorHAnsi" w:hAnsiTheme="minorHAnsi"/>
        </w:rPr>
        <w:t xml:space="preserve"> W</w:t>
      </w:r>
      <w:r w:rsidRPr="001371A5">
        <w:rPr>
          <w:rFonts w:asciiTheme="minorHAnsi" w:hAnsiTheme="minorHAnsi"/>
        </w:rPr>
        <w:t xml:space="preserve">hite </w:t>
      </w:r>
      <w:r w:rsidR="00D86C77">
        <w:rPr>
          <w:rFonts w:asciiTheme="minorHAnsi" w:hAnsiTheme="minorHAnsi"/>
        </w:rPr>
        <w:t>P</w:t>
      </w:r>
      <w:r w:rsidRPr="001371A5">
        <w:rPr>
          <w:rFonts w:asciiTheme="minorHAnsi" w:hAnsiTheme="minorHAnsi"/>
        </w:rPr>
        <w:t xml:space="preserve">aper </w:t>
      </w:r>
      <w:r w:rsidRPr="001371A5">
        <w:rPr>
          <w:rFonts w:asciiTheme="minorHAnsi" w:hAnsiTheme="minorHAnsi"/>
          <w:i/>
        </w:rPr>
        <w:t>Choosing Health</w:t>
      </w:r>
      <w:r w:rsidRPr="0019067B">
        <w:rPr>
          <w:rStyle w:val="EndnoteReference"/>
          <w:rFonts w:asciiTheme="minorHAnsi" w:hAnsiTheme="minorHAnsi"/>
        </w:rPr>
        <w:endnoteReference w:id="82"/>
      </w:r>
      <w:r w:rsidRPr="001371A5">
        <w:rPr>
          <w:rFonts w:asciiTheme="minorHAnsi" w:hAnsiTheme="minorHAnsi"/>
        </w:rPr>
        <w:t xml:space="preserve"> specifically advocated the adoption of the principles underpinning social marketing in order to more effectively promote public health issues, acknowledging that existing communication strategies were not effective.</w:t>
      </w:r>
      <w:r w:rsidR="00ED3523" w:rsidRPr="001371A5">
        <w:rPr>
          <w:rFonts w:asciiTheme="minorHAnsi" w:hAnsiTheme="minorHAnsi"/>
        </w:rPr>
        <w:t xml:space="preserve"> The centrality of social marketing in the dissemination of innovation in health promotion is also acknowledged in the academic literature</w:t>
      </w:r>
      <w:bookmarkStart w:id="28" w:name="_Ref284759937"/>
      <w:r w:rsidR="00ED3523" w:rsidRPr="001371A5">
        <w:rPr>
          <w:rStyle w:val="EndnoteReference"/>
          <w:rFonts w:asciiTheme="minorHAnsi" w:hAnsiTheme="minorHAnsi"/>
        </w:rPr>
        <w:endnoteReference w:id="83"/>
      </w:r>
      <w:bookmarkEnd w:id="28"/>
      <w:r w:rsidR="00ED3523" w:rsidRPr="001371A5">
        <w:rPr>
          <w:rFonts w:asciiTheme="minorHAnsi" w:hAnsiTheme="minorHAnsi"/>
        </w:rPr>
        <w:t>.</w:t>
      </w:r>
    </w:p>
    <w:p w:rsidR="00B56CB3" w:rsidRPr="001371A5" w:rsidRDefault="00B56CB3" w:rsidP="000D53B7">
      <w:pPr>
        <w:jc w:val="both"/>
        <w:rPr>
          <w:rFonts w:asciiTheme="minorHAnsi" w:hAnsiTheme="minorHAnsi"/>
        </w:rPr>
      </w:pPr>
    </w:p>
    <w:p w:rsidR="00FC62F3" w:rsidRPr="001371A5" w:rsidRDefault="00B56CB3" w:rsidP="00CF58B1">
      <w:pPr>
        <w:spacing w:after="60"/>
        <w:jc w:val="both"/>
        <w:rPr>
          <w:rFonts w:asciiTheme="minorHAnsi" w:hAnsiTheme="minorHAnsi"/>
        </w:rPr>
      </w:pPr>
      <w:r w:rsidRPr="001371A5">
        <w:rPr>
          <w:rFonts w:asciiTheme="minorHAnsi" w:hAnsiTheme="minorHAnsi"/>
        </w:rPr>
        <w:t xml:space="preserve">Social marketing </w:t>
      </w:r>
      <w:r w:rsidR="00FC62F3" w:rsidRPr="001371A5">
        <w:rPr>
          <w:rFonts w:asciiTheme="minorHAnsi" w:hAnsiTheme="minorHAnsi"/>
        </w:rPr>
        <w:t xml:space="preserve">focuses on the generation of insights into attitudes, beliefs and values that underpin actual behaviours, thus helping to bridge intention-behaviour gaps.  It </w:t>
      </w:r>
      <w:r w:rsidRPr="001371A5">
        <w:rPr>
          <w:rFonts w:asciiTheme="minorHAnsi" w:hAnsiTheme="minorHAnsi"/>
        </w:rPr>
        <w:t xml:space="preserve">draws on many disciplines to bring about voluntary behaviour change as </w:t>
      </w:r>
      <w:r w:rsidRPr="001371A5">
        <w:rPr>
          <w:rFonts w:asciiTheme="minorHAnsi" w:hAnsiTheme="minorHAnsi"/>
        </w:rPr>
        <w:lastRenderedPageBreak/>
        <w:t>well as addressing ‘upstream’ factors such as supporting policy and environmental change</w:t>
      </w:r>
      <w:r w:rsidRPr="001371A5">
        <w:rPr>
          <w:rStyle w:val="EndnoteReference"/>
          <w:rFonts w:asciiTheme="minorHAnsi" w:hAnsiTheme="minorHAnsi"/>
        </w:rPr>
        <w:endnoteReference w:id="84"/>
      </w:r>
      <w:r w:rsidR="00FC62F3" w:rsidRPr="001371A5">
        <w:rPr>
          <w:rFonts w:asciiTheme="minorHAnsi" w:hAnsiTheme="minorHAnsi"/>
        </w:rPr>
        <w:t>.  Key elements include</w:t>
      </w:r>
      <w:r w:rsidR="00CF58B1" w:rsidRPr="001371A5">
        <w:rPr>
          <w:rFonts w:asciiTheme="minorHAnsi" w:hAnsiTheme="minorHAnsi"/>
        </w:rPr>
        <w:t xml:space="preserve"> creating satisfying exchanges, use of integrated strategies to develop interventions, and the use of competitive analysis and segmentation.  Consistent with Triandis’ model discussed earlier, by making exchanges satisfying, i.e. providing positive outcomes for the individual, new or amended behaviours will become routine</w:t>
      </w:r>
      <w:r w:rsidR="00CF58B1" w:rsidRPr="001371A5">
        <w:rPr>
          <w:rStyle w:val="EndnoteReference"/>
          <w:rFonts w:asciiTheme="minorHAnsi" w:hAnsiTheme="minorHAnsi"/>
        </w:rPr>
        <w:endnoteReference w:id="85"/>
      </w:r>
      <w:r w:rsidR="00CF58B1" w:rsidRPr="001371A5">
        <w:rPr>
          <w:rFonts w:asciiTheme="minorHAnsi" w:hAnsiTheme="minorHAnsi"/>
        </w:rPr>
        <w:t>.</w:t>
      </w:r>
    </w:p>
    <w:p w:rsidR="00BE2219" w:rsidRPr="00AC76D1" w:rsidRDefault="00FC62F3" w:rsidP="00AC76D1">
      <w:pPr>
        <w:spacing w:before="120"/>
        <w:jc w:val="both"/>
        <w:rPr>
          <w:rFonts w:asciiTheme="minorHAnsi" w:hAnsiTheme="minorHAnsi"/>
          <w:sz w:val="16"/>
          <w:szCs w:val="16"/>
        </w:rPr>
      </w:pPr>
      <w:r w:rsidRPr="00AC76D1">
        <w:rPr>
          <w:rFonts w:asciiTheme="minorHAnsi" w:hAnsiTheme="minorHAnsi"/>
          <w:b/>
          <w:sz w:val="22"/>
          <w:szCs w:val="22"/>
        </w:rPr>
        <w:t>Table 1:  Social Marketing Benchmarks</w:t>
      </w:r>
      <w:r w:rsidR="00BE2219" w:rsidRPr="00AC76D1">
        <w:rPr>
          <w:rFonts w:asciiTheme="minorHAnsi" w:hAnsiTheme="minorHAnsi"/>
          <w:sz w:val="22"/>
          <w:szCs w:val="22"/>
        </w:rPr>
        <w:t xml:space="preserve">   </w:t>
      </w:r>
      <w:r w:rsidR="00BE2219" w:rsidRPr="00AC76D1">
        <w:rPr>
          <w:rFonts w:asciiTheme="minorHAnsi" w:hAnsiTheme="minorHAnsi"/>
          <w:sz w:val="20"/>
          <w:szCs w:val="20"/>
          <w:vertAlign w:val="superscript"/>
        </w:rPr>
        <w:t>adapted from</w:t>
      </w:r>
      <w:r w:rsidRPr="00AC76D1">
        <w:rPr>
          <w:rStyle w:val="EndnoteReference"/>
          <w:rFonts w:asciiTheme="minorHAnsi" w:hAnsiTheme="minorHAnsi"/>
          <w:sz w:val="20"/>
          <w:szCs w:val="20"/>
        </w:rPr>
        <w:endnoteReference w:id="86"/>
      </w:r>
      <w:r w:rsidR="00BE2219" w:rsidRPr="00AC76D1">
        <w:rPr>
          <w:rFonts w:asciiTheme="minorHAnsi" w:hAnsiTheme="minorHAnsi"/>
          <w:sz w:val="16"/>
          <w:szCs w:val="16"/>
        </w:rPr>
        <w:t xml:space="preserve"> </w:t>
      </w:r>
      <w:r w:rsidR="007868B9" w:rsidRPr="00AC76D1">
        <w:rPr>
          <w:rFonts w:asciiTheme="minorHAnsi" w:hAnsiTheme="minorHAnsi"/>
          <w:sz w:val="16"/>
          <w:szCs w:val="16"/>
        </w:rPr>
        <w:t>(note:  this Table has been extended by other</w:t>
      </w:r>
      <w:r w:rsidR="001371A5" w:rsidRPr="00AC76D1">
        <w:rPr>
          <w:rFonts w:asciiTheme="minorHAnsi" w:hAnsiTheme="minorHAnsi"/>
          <w:sz w:val="16"/>
          <w:szCs w:val="16"/>
        </w:rPr>
        <w:t>s</w:t>
      </w:r>
      <w:r w:rsidR="007868B9" w:rsidRPr="00AC76D1">
        <w:rPr>
          <w:rFonts w:asciiTheme="minorHAnsi" w:hAnsiTheme="minorHAnsi"/>
          <w:sz w:val="16"/>
          <w:szCs w:val="16"/>
        </w:rPr>
        <w:t>)</w:t>
      </w:r>
    </w:p>
    <w:tbl>
      <w:tblPr>
        <w:tblStyle w:val="TableGrid"/>
        <w:tblW w:w="0" w:type="auto"/>
        <w:tblLook w:val="04A0"/>
      </w:tblPr>
      <w:tblGrid>
        <w:gridCol w:w="1536"/>
        <w:gridCol w:w="6986"/>
      </w:tblGrid>
      <w:tr w:rsidR="00FC62F3" w:rsidRPr="00AC76D1" w:rsidTr="00AC76D1">
        <w:tc>
          <w:tcPr>
            <w:tcW w:w="1536" w:type="dxa"/>
            <w:shd w:val="clear" w:color="auto" w:fill="D9D9D9" w:themeFill="background1" w:themeFillShade="D9"/>
          </w:tcPr>
          <w:p w:rsidR="00FC62F3" w:rsidRPr="00AC76D1" w:rsidRDefault="00FC62F3" w:rsidP="000D53B7">
            <w:pPr>
              <w:jc w:val="both"/>
              <w:rPr>
                <w:rFonts w:asciiTheme="minorHAnsi" w:hAnsiTheme="minorHAnsi"/>
                <w:b/>
                <w:sz w:val="22"/>
                <w:szCs w:val="22"/>
              </w:rPr>
            </w:pPr>
            <w:r w:rsidRPr="00AC76D1">
              <w:rPr>
                <w:rFonts w:asciiTheme="minorHAnsi" w:hAnsiTheme="minorHAnsi"/>
                <w:b/>
                <w:sz w:val="22"/>
                <w:szCs w:val="22"/>
              </w:rPr>
              <w:t>Benchmark</w:t>
            </w:r>
          </w:p>
        </w:tc>
        <w:tc>
          <w:tcPr>
            <w:tcW w:w="6986" w:type="dxa"/>
            <w:shd w:val="clear" w:color="auto" w:fill="D9D9D9" w:themeFill="background1" w:themeFillShade="D9"/>
          </w:tcPr>
          <w:p w:rsidR="00FC62F3" w:rsidRPr="00AC76D1" w:rsidRDefault="00FC62F3" w:rsidP="000D53B7">
            <w:pPr>
              <w:jc w:val="both"/>
              <w:rPr>
                <w:rFonts w:asciiTheme="minorHAnsi" w:hAnsiTheme="minorHAnsi"/>
                <w:b/>
                <w:sz w:val="22"/>
                <w:szCs w:val="22"/>
              </w:rPr>
            </w:pPr>
            <w:r w:rsidRPr="00AC76D1">
              <w:rPr>
                <w:rFonts w:asciiTheme="minorHAnsi" w:hAnsiTheme="minorHAnsi"/>
                <w:b/>
                <w:sz w:val="22"/>
                <w:szCs w:val="22"/>
              </w:rPr>
              <w:t>Objective</w:t>
            </w:r>
          </w:p>
        </w:tc>
      </w:tr>
      <w:tr w:rsidR="00FC62F3" w:rsidRPr="00AC76D1" w:rsidTr="00AC76D1">
        <w:tc>
          <w:tcPr>
            <w:tcW w:w="1536" w:type="dxa"/>
            <w:shd w:val="clear" w:color="auto" w:fill="FFFF99"/>
          </w:tcPr>
          <w:p w:rsidR="00FC62F3" w:rsidRPr="00AC76D1" w:rsidRDefault="00FC62F3" w:rsidP="000D53B7">
            <w:pPr>
              <w:jc w:val="both"/>
              <w:rPr>
                <w:rFonts w:asciiTheme="minorHAnsi" w:hAnsiTheme="minorHAnsi"/>
                <w:b/>
                <w:sz w:val="22"/>
                <w:szCs w:val="22"/>
              </w:rPr>
            </w:pPr>
            <w:r w:rsidRPr="00AC76D1">
              <w:rPr>
                <w:rFonts w:asciiTheme="minorHAnsi" w:hAnsiTheme="minorHAnsi"/>
                <w:b/>
                <w:sz w:val="22"/>
                <w:szCs w:val="22"/>
              </w:rPr>
              <w:t>Behaviour change</w:t>
            </w:r>
          </w:p>
        </w:tc>
        <w:tc>
          <w:tcPr>
            <w:tcW w:w="6986" w:type="dxa"/>
            <w:shd w:val="clear" w:color="auto" w:fill="FFFF99"/>
          </w:tcPr>
          <w:p w:rsidR="00FC62F3" w:rsidRPr="00AC76D1" w:rsidRDefault="00FC62F3" w:rsidP="000D53B7">
            <w:pPr>
              <w:jc w:val="both"/>
              <w:rPr>
                <w:rFonts w:asciiTheme="minorHAnsi" w:hAnsiTheme="minorHAnsi"/>
                <w:b/>
                <w:sz w:val="22"/>
                <w:szCs w:val="22"/>
              </w:rPr>
            </w:pPr>
            <w:r w:rsidRPr="00AC76D1">
              <w:rPr>
                <w:rFonts w:asciiTheme="minorHAnsi" w:hAnsiTheme="minorHAnsi"/>
                <w:b/>
                <w:sz w:val="22"/>
                <w:szCs w:val="22"/>
              </w:rPr>
              <w:t>Intervention seeks to change behaviour and has specific measurable behavioural objectives</w:t>
            </w:r>
          </w:p>
        </w:tc>
      </w:tr>
      <w:tr w:rsidR="00FC62F3" w:rsidRPr="00AC76D1" w:rsidTr="00AC76D1">
        <w:tc>
          <w:tcPr>
            <w:tcW w:w="1536" w:type="dxa"/>
            <w:shd w:val="clear" w:color="auto" w:fill="CCFFFF"/>
          </w:tcPr>
          <w:p w:rsidR="00FC62F3" w:rsidRPr="00AC76D1" w:rsidRDefault="00FC62F3" w:rsidP="000D53B7">
            <w:pPr>
              <w:jc w:val="both"/>
              <w:rPr>
                <w:rFonts w:asciiTheme="minorHAnsi" w:hAnsiTheme="minorHAnsi"/>
                <w:b/>
                <w:sz w:val="22"/>
                <w:szCs w:val="22"/>
              </w:rPr>
            </w:pPr>
            <w:r w:rsidRPr="00AC76D1">
              <w:rPr>
                <w:rFonts w:asciiTheme="minorHAnsi" w:hAnsiTheme="minorHAnsi"/>
                <w:b/>
                <w:sz w:val="22"/>
                <w:szCs w:val="22"/>
              </w:rPr>
              <w:t>Segmentation and targeting</w:t>
            </w:r>
          </w:p>
        </w:tc>
        <w:tc>
          <w:tcPr>
            <w:tcW w:w="6986" w:type="dxa"/>
            <w:shd w:val="clear" w:color="auto" w:fill="CCFFFF"/>
          </w:tcPr>
          <w:p w:rsidR="00FC62F3" w:rsidRPr="00AC76D1" w:rsidRDefault="00FC62F3" w:rsidP="000D53B7">
            <w:pPr>
              <w:jc w:val="both"/>
              <w:rPr>
                <w:rFonts w:asciiTheme="minorHAnsi" w:hAnsiTheme="minorHAnsi"/>
                <w:b/>
                <w:sz w:val="22"/>
                <w:szCs w:val="22"/>
              </w:rPr>
            </w:pPr>
            <w:r w:rsidRPr="00AC76D1">
              <w:rPr>
                <w:rFonts w:asciiTheme="minorHAnsi" w:hAnsiTheme="minorHAnsi"/>
                <w:b/>
                <w:sz w:val="22"/>
                <w:szCs w:val="22"/>
              </w:rPr>
              <w:t>Different segmentation variables are considered when selecting the intervention target group.  Intervention strategy is tailored for the selected segment(s)</w:t>
            </w:r>
          </w:p>
        </w:tc>
      </w:tr>
      <w:tr w:rsidR="00FC62F3" w:rsidRPr="00AC76D1" w:rsidTr="00AC76D1">
        <w:tc>
          <w:tcPr>
            <w:tcW w:w="1536" w:type="dxa"/>
            <w:shd w:val="clear" w:color="auto" w:fill="FFCC99"/>
          </w:tcPr>
          <w:p w:rsidR="00FC62F3" w:rsidRPr="00AC76D1" w:rsidRDefault="00FC62F3" w:rsidP="000D53B7">
            <w:pPr>
              <w:jc w:val="both"/>
              <w:rPr>
                <w:rFonts w:asciiTheme="minorHAnsi" w:hAnsiTheme="minorHAnsi"/>
                <w:b/>
                <w:sz w:val="22"/>
                <w:szCs w:val="22"/>
              </w:rPr>
            </w:pPr>
            <w:r w:rsidRPr="00AC76D1">
              <w:rPr>
                <w:rFonts w:asciiTheme="minorHAnsi" w:hAnsiTheme="minorHAnsi"/>
                <w:b/>
                <w:sz w:val="22"/>
                <w:szCs w:val="22"/>
              </w:rPr>
              <w:t>Marketing mix</w:t>
            </w:r>
          </w:p>
        </w:tc>
        <w:tc>
          <w:tcPr>
            <w:tcW w:w="6986" w:type="dxa"/>
            <w:shd w:val="clear" w:color="auto" w:fill="FFCC99"/>
          </w:tcPr>
          <w:p w:rsidR="00FC62F3" w:rsidRPr="00AC76D1" w:rsidRDefault="00FC62F3" w:rsidP="000D53B7">
            <w:pPr>
              <w:jc w:val="both"/>
              <w:rPr>
                <w:rFonts w:asciiTheme="minorHAnsi" w:hAnsiTheme="minorHAnsi"/>
                <w:b/>
                <w:sz w:val="22"/>
                <w:szCs w:val="22"/>
              </w:rPr>
            </w:pPr>
            <w:r w:rsidRPr="00AC76D1">
              <w:rPr>
                <w:rFonts w:asciiTheme="minorHAnsi" w:hAnsiTheme="minorHAnsi"/>
                <w:b/>
                <w:sz w:val="22"/>
                <w:szCs w:val="22"/>
              </w:rPr>
              <w:t>Intervention considers as the best strategic application of the ‘marketing mix’ which consists of the four ‘Ps’ of ‘product’, ‘price’, ‘place’ and ‘promotion’</w:t>
            </w:r>
            <w:r w:rsidR="00BE2219" w:rsidRPr="00AC76D1">
              <w:rPr>
                <w:rFonts w:asciiTheme="minorHAnsi" w:hAnsiTheme="minorHAnsi"/>
                <w:b/>
                <w:sz w:val="22"/>
                <w:szCs w:val="22"/>
              </w:rPr>
              <w:t>.  Other ‘Ps’ might include ‘policy change’ or ‘people’ (e.g. training is provided to intervention delivery agents)</w:t>
            </w:r>
          </w:p>
        </w:tc>
      </w:tr>
      <w:tr w:rsidR="00FC62F3" w:rsidRPr="00AC76D1" w:rsidTr="00AC76D1">
        <w:tc>
          <w:tcPr>
            <w:tcW w:w="1536" w:type="dxa"/>
            <w:shd w:val="clear" w:color="auto" w:fill="DBE5F1" w:themeFill="accent1" w:themeFillTint="33"/>
          </w:tcPr>
          <w:p w:rsidR="00FC62F3" w:rsidRPr="00AC76D1" w:rsidRDefault="00BE2219" w:rsidP="000D53B7">
            <w:pPr>
              <w:jc w:val="both"/>
              <w:rPr>
                <w:rFonts w:asciiTheme="minorHAnsi" w:hAnsiTheme="minorHAnsi"/>
                <w:b/>
                <w:sz w:val="22"/>
                <w:szCs w:val="22"/>
              </w:rPr>
            </w:pPr>
            <w:r w:rsidRPr="00AC76D1">
              <w:rPr>
                <w:rFonts w:asciiTheme="minorHAnsi" w:hAnsiTheme="minorHAnsi"/>
                <w:b/>
                <w:sz w:val="22"/>
                <w:szCs w:val="22"/>
              </w:rPr>
              <w:t>Exchange</w:t>
            </w:r>
          </w:p>
        </w:tc>
        <w:tc>
          <w:tcPr>
            <w:tcW w:w="6986" w:type="dxa"/>
            <w:shd w:val="clear" w:color="auto" w:fill="DBE5F1" w:themeFill="accent1" w:themeFillTint="33"/>
          </w:tcPr>
          <w:p w:rsidR="00FC62F3" w:rsidRPr="00AC76D1" w:rsidRDefault="00BE2219" w:rsidP="000D53B7">
            <w:pPr>
              <w:jc w:val="both"/>
              <w:rPr>
                <w:rFonts w:asciiTheme="minorHAnsi" w:hAnsiTheme="minorHAnsi"/>
                <w:b/>
                <w:sz w:val="22"/>
                <w:szCs w:val="22"/>
              </w:rPr>
            </w:pPr>
            <w:r w:rsidRPr="00AC76D1">
              <w:rPr>
                <w:rFonts w:asciiTheme="minorHAnsi" w:hAnsiTheme="minorHAnsi"/>
                <w:b/>
                <w:sz w:val="22"/>
                <w:szCs w:val="22"/>
              </w:rPr>
              <w:t>Intervention considers what will motivate individuals to engage voluntarily with the intervention and offers them something beneficial in return (the offered benefit may be tangible or intangible).</w:t>
            </w:r>
          </w:p>
        </w:tc>
      </w:tr>
      <w:tr w:rsidR="00FC62F3" w:rsidRPr="00AC76D1" w:rsidTr="00AC76D1">
        <w:tc>
          <w:tcPr>
            <w:tcW w:w="1536" w:type="dxa"/>
            <w:shd w:val="clear" w:color="auto" w:fill="FFCCFF"/>
          </w:tcPr>
          <w:p w:rsidR="00FC62F3" w:rsidRPr="00AC76D1" w:rsidRDefault="00BE2219" w:rsidP="000D53B7">
            <w:pPr>
              <w:jc w:val="both"/>
              <w:rPr>
                <w:rFonts w:asciiTheme="minorHAnsi" w:hAnsiTheme="minorHAnsi"/>
                <w:b/>
                <w:sz w:val="22"/>
                <w:szCs w:val="22"/>
              </w:rPr>
            </w:pPr>
            <w:r w:rsidRPr="00AC76D1">
              <w:rPr>
                <w:rFonts w:asciiTheme="minorHAnsi" w:hAnsiTheme="minorHAnsi"/>
                <w:b/>
                <w:sz w:val="22"/>
                <w:szCs w:val="22"/>
              </w:rPr>
              <w:t>Competition</w:t>
            </w:r>
          </w:p>
        </w:tc>
        <w:tc>
          <w:tcPr>
            <w:tcW w:w="6986" w:type="dxa"/>
            <w:shd w:val="clear" w:color="auto" w:fill="FFCCFF"/>
          </w:tcPr>
          <w:p w:rsidR="00FC62F3" w:rsidRPr="00AC76D1" w:rsidRDefault="00BE2219" w:rsidP="000D53B7">
            <w:pPr>
              <w:jc w:val="both"/>
              <w:rPr>
                <w:rFonts w:asciiTheme="minorHAnsi" w:hAnsiTheme="minorHAnsi"/>
                <w:b/>
                <w:sz w:val="22"/>
                <w:szCs w:val="22"/>
              </w:rPr>
            </w:pPr>
            <w:r w:rsidRPr="00AC76D1">
              <w:rPr>
                <w:rFonts w:asciiTheme="minorHAnsi" w:hAnsiTheme="minorHAnsi"/>
                <w:b/>
                <w:sz w:val="22"/>
                <w:szCs w:val="22"/>
              </w:rPr>
              <w:t>Competing forces to the behaviour change are analysed.  Intervention considers the appeal of competing behaviours (including the current behaviour) and uses strategies that seek to remove or minimise this competition.</w:t>
            </w:r>
          </w:p>
        </w:tc>
      </w:tr>
    </w:tbl>
    <w:p w:rsidR="001371A5" w:rsidRDefault="001371A5" w:rsidP="000D53B7">
      <w:pPr>
        <w:jc w:val="both"/>
        <w:rPr>
          <w:sz w:val="20"/>
          <w:szCs w:val="20"/>
        </w:rPr>
      </w:pPr>
    </w:p>
    <w:p w:rsidR="002948A5" w:rsidRDefault="002948A5" w:rsidP="000D53B7">
      <w:pPr>
        <w:jc w:val="both"/>
        <w:rPr>
          <w:sz w:val="20"/>
          <w:szCs w:val="20"/>
        </w:rPr>
      </w:pPr>
    </w:p>
    <w:p w:rsidR="002948A5" w:rsidRPr="002948A5" w:rsidRDefault="002948A5" w:rsidP="002948A5">
      <w:pPr>
        <w:pBdr>
          <w:top w:val="single" w:sz="4" w:space="1" w:color="auto"/>
          <w:left w:val="single" w:sz="4" w:space="4" w:color="auto"/>
          <w:bottom w:val="single" w:sz="4" w:space="1" w:color="auto"/>
          <w:right w:val="single" w:sz="4" w:space="4" w:color="auto"/>
        </w:pBdr>
        <w:shd w:val="clear" w:color="auto" w:fill="CCFFFF"/>
        <w:rPr>
          <w:rFonts w:asciiTheme="minorHAnsi" w:hAnsiTheme="minorHAnsi"/>
          <w:b/>
          <w:sz w:val="16"/>
          <w:szCs w:val="16"/>
        </w:rPr>
      </w:pPr>
      <w:bookmarkStart w:id="29" w:name="_Toc289256745"/>
    </w:p>
    <w:p w:rsidR="002948A5" w:rsidRPr="002948A5" w:rsidRDefault="002948A5" w:rsidP="002948A5">
      <w:pPr>
        <w:pBdr>
          <w:top w:val="single" w:sz="4" w:space="1" w:color="auto"/>
          <w:left w:val="single" w:sz="4" w:space="4" w:color="auto"/>
          <w:bottom w:val="single" w:sz="4" w:space="1" w:color="auto"/>
          <w:right w:val="single" w:sz="4" w:space="4" w:color="auto"/>
        </w:pBdr>
        <w:shd w:val="clear" w:color="auto" w:fill="CCFFFF"/>
        <w:jc w:val="center"/>
        <w:rPr>
          <w:rFonts w:asciiTheme="minorHAnsi" w:hAnsiTheme="minorHAnsi"/>
          <w:b/>
          <w:sz w:val="16"/>
          <w:szCs w:val="16"/>
        </w:rPr>
      </w:pPr>
      <w:r w:rsidRPr="002948A5">
        <w:rPr>
          <w:rFonts w:asciiTheme="minorHAnsi" w:hAnsiTheme="minorHAnsi"/>
          <w:b/>
          <w:sz w:val="16"/>
          <w:szCs w:val="16"/>
        </w:rPr>
        <w:t>Evidence of Social Marketing Success:</w:t>
      </w:r>
    </w:p>
    <w:p w:rsidR="002948A5" w:rsidRPr="002948A5" w:rsidRDefault="002948A5" w:rsidP="002948A5">
      <w:pPr>
        <w:pBdr>
          <w:top w:val="single" w:sz="4" w:space="1" w:color="auto"/>
          <w:left w:val="single" w:sz="4" w:space="4" w:color="auto"/>
          <w:bottom w:val="single" w:sz="4" w:space="1" w:color="auto"/>
          <w:right w:val="single" w:sz="4" w:space="4" w:color="auto"/>
        </w:pBdr>
        <w:shd w:val="clear" w:color="auto" w:fill="CCFFFF"/>
        <w:rPr>
          <w:rFonts w:asciiTheme="minorHAnsi" w:hAnsiTheme="minorHAnsi"/>
          <w:sz w:val="16"/>
          <w:szCs w:val="16"/>
        </w:rPr>
      </w:pPr>
    </w:p>
    <w:p w:rsidR="002948A5" w:rsidRPr="002948A5" w:rsidRDefault="002948A5" w:rsidP="002948A5">
      <w:pPr>
        <w:pBdr>
          <w:top w:val="single" w:sz="4" w:space="1" w:color="auto"/>
          <w:left w:val="single" w:sz="4" w:space="4" w:color="auto"/>
          <w:bottom w:val="single" w:sz="4" w:space="1" w:color="auto"/>
          <w:right w:val="single" w:sz="4" w:space="4" w:color="auto"/>
        </w:pBdr>
        <w:shd w:val="clear" w:color="auto" w:fill="CCFFFF"/>
        <w:rPr>
          <w:rFonts w:asciiTheme="minorHAnsi" w:hAnsiTheme="minorHAnsi"/>
          <w:sz w:val="16"/>
          <w:szCs w:val="16"/>
        </w:rPr>
      </w:pPr>
      <w:r w:rsidRPr="002948A5">
        <w:rPr>
          <w:rFonts w:asciiTheme="minorHAnsi" w:hAnsiTheme="minorHAnsi"/>
          <w:sz w:val="16"/>
          <w:szCs w:val="16"/>
        </w:rPr>
        <w:t xml:space="preserve">The selection of social marketing entries, including many award winners, from recent communications industry effectiveness (i.e. demonstrable impact / return on investment) awards (Source:  World Advertising Research Centre: </w:t>
      </w:r>
      <w:hyperlink r:id="rId22" w:history="1">
        <w:r w:rsidRPr="002948A5">
          <w:rPr>
            <w:rStyle w:val="Hyperlink"/>
            <w:rFonts w:asciiTheme="minorHAnsi" w:eastAsia="Cambria" w:hAnsiTheme="minorHAnsi"/>
            <w:sz w:val="16"/>
            <w:szCs w:val="16"/>
          </w:rPr>
          <w:t>www.warc.com</w:t>
        </w:r>
      </w:hyperlink>
      <w:r w:rsidRPr="002948A5">
        <w:rPr>
          <w:rFonts w:asciiTheme="minorHAnsi" w:hAnsiTheme="minorHAnsi"/>
          <w:sz w:val="16"/>
          <w:szCs w:val="16"/>
        </w:rPr>
        <w:t xml:space="preserve"> ) below illustrates the success of social marketing interventions across a wide range of topic areas.</w:t>
      </w:r>
    </w:p>
    <w:p w:rsidR="002948A5" w:rsidRPr="002948A5" w:rsidRDefault="002948A5" w:rsidP="002948A5">
      <w:pPr>
        <w:pBdr>
          <w:top w:val="single" w:sz="4" w:space="1" w:color="auto"/>
          <w:left w:val="single" w:sz="4" w:space="4" w:color="auto"/>
          <w:bottom w:val="single" w:sz="4" w:space="1" w:color="auto"/>
          <w:right w:val="single" w:sz="4" w:space="4" w:color="auto"/>
        </w:pBdr>
        <w:shd w:val="clear" w:color="auto" w:fill="CCFFFF"/>
        <w:rPr>
          <w:rFonts w:asciiTheme="minorHAnsi" w:hAnsiTheme="minorHAnsi"/>
          <w:sz w:val="16"/>
          <w:szCs w:val="16"/>
        </w:rPr>
      </w:pPr>
      <w:r w:rsidRPr="002948A5">
        <w:rPr>
          <w:rFonts w:asciiTheme="minorHAnsi" w:hAnsiTheme="minorHAnsi"/>
          <w:sz w:val="16"/>
          <w:szCs w:val="16"/>
          <w:u w:val="single"/>
        </w:rPr>
        <w:t>Cycling safety:</w:t>
      </w:r>
      <w:r w:rsidRPr="002948A5">
        <w:rPr>
          <w:rFonts w:asciiTheme="minorHAnsi" w:hAnsiTheme="minorHAnsi"/>
          <w:sz w:val="16"/>
          <w:szCs w:val="16"/>
        </w:rPr>
        <w:t xml:space="preserve"> “Cyclists should be seen and not hurt” – an intervention aimed at reducing bicycle traffic casualties in London is estimated to  have saved £2.3 million in the year following the intervention due to reduced cycling accidents.  Won Gold:  IPA Effectiveness Awards, 2009.</w:t>
      </w:r>
    </w:p>
    <w:p w:rsidR="002948A5" w:rsidRPr="002948A5" w:rsidRDefault="002948A5" w:rsidP="002948A5">
      <w:pPr>
        <w:pBdr>
          <w:top w:val="single" w:sz="4" w:space="1" w:color="auto"/>
          <w:left w:val="single" w:sz="4" w:space="4" w:color="auto"/>
          <w:bottom w:val="single" w:sz="4" w:space="1" w:color="auto"/>
          <w:right w:val="single" w:sz="4" w:space="4" w:color="auto"/>
        </w:pBdr>
        <w:shd w:val="clear" w:color="auto" w:fill="CCFFFF"/>
        <w:rPr>
          <w:rFonts w:asciiTheme="minorHAnsi" w:hAnsiTheme="minorHAnsi"/>
          <w:sz w:val="16"/>
          <w:szCs w:val="16"/>
        </w:rPr>
      </w:pPr>
    </w:p>
    <w:p w:rsidR="002948A5" w:rsidRPr="002948A5" w:rsidRDefault="002948A5" w:rsidP="002948A5">
      <w:pPr>
        <w:pBdr>
          <w:top w:val="single" w:sz="4" w:space="1" w:color="auto"/>
          <w:left w:val="single" w:sz="4" w:space="4" w:color="auto"/>
          <w:bottom w:val="single" w:sz="4" w:space="1" w:color="auto"/>
          <w:right w:val="single" w:sz="4" w:space="4" w:color="auto"/>
        </w:pBdr>
        <w:shd w:val="clear" w:color="auto" w:fill="CCFFFF"/>
        <w:rPr>
          <w:rFonts w:asciiTheme="minorHAnsi" w:hAnsiTheme="minorHAnsi"/>
          <w:sz w:val="16"/>
          <w:szCs w:val="16"/>
        </w:rPr>
      </w:pPr>
      <w:r w:rsidRPr="002948A5">
        <w:rPr>
          <w:rFonts w:asciiTheme="minorHAnsi" w:hAnsiTheme="minorHAnsi"/>
          <w:sz w:val="16"/>
          <w:szCs w:val="16"/>
          <w:u w:val="single"/>
        </w:rPr>
        <w:t>British Heart Foundation:</w:t>
      </w:r>
      <w:r w:rsidRPr="002948A5">
        <w:rPr>
          <w:rFonts w:asciiTheme="minorHAnsi" w:hAnsiTheme="minorHAnsi"/>
          <w:sz w:val="16"/>
          <w:szCs w:val="16"/>
        </w:rPr>
        <w:t xml:space="preserve">  “Under the Skin” Smoking Cessation – led to an estimated 5,600 lives saved through smokers successfully quitting smoking permanently and returning £600 of value for every £1 invested.  Won Silver:  IPA Effectiveness Awards, 2006.</w:t>
      </w:r>
    </w:p>
    <w:p w:rsidR="002948A5" w:rsidRPr="002948A5" w:rsidRDefault="002948A5" w:rsidP="002948A5">
      <w:pPr>
        <w:pBdr>
          <w:top w:val="single" w:sz="4" w:space="1" w:color="auto"/>
          <w:left w:val="single" w:sz="4" w:space="4" w:color="auto"/>
          <w:bottom w:val="single" w:sz="4" w:space="1" w:color="auto"/>
          <w:right w:val="single" w:sz="4" w:space="4" w:color="auto"/>
        </w:pBdr>
        <w:shd w:val="clear" w:color="auto" w:fill="CCFFFF"/>
        <w:rPr>
          <w:rFonts w:asciiTheme="minorHAnsi" w:hAnsiTheme="minorHAnsi"/>
          <w:sz w:val="16"/>
          <w:szCs w:val="16"/>
        </w:rPr>
      </w:pPr>
    </w:p>
    <w:p w:rsidR="002948A5" w:rsidRPr="002948A5" w:rsidRDefault="002948A5" w:rsidP="002948A5">
      <w:pPr>
        <w:pBdr>
          <w:top w:val="single" w:sz="4" w:space="1" w:color="auto"/>
          <w:left w:val="single" w:sz="4" w:space="4" w:color="auto"/>
          <w:bottom w:val="single" w:sz="4" w:space="1" w:color="auto"/>
          <w:right w:val="single" w:sz="4" w:space="4" w:color="auto"/>
        </w:pBdr>
        <w:shd w:val="clear" w:color="auto" w:fill="CCFFFF"/>
        <w:rPr>
          <w:rFonts w:asciiTheme="minorHAnsi" w:hAnsiTheme="minorHAnsi"/>
          <w:sz w:val="16"/>
          <w:szCs w:val="16"/>
        </w:rPr>
      </w:pPr>
      <w:r w:rsidRPr="002948A5">
        <w:rPr>
          <w:rFonts w:asciiTheme="minorHAnsi" w:hAnsiTheme="minorHAnsi"/>
          <w:sz w:val="16"/>
          <w:szCs w:val="16"/>
          <w:u w:val="single"/>
        </w:rPr>
        <w:t>Greater Manchester PCT:</w:t>
      </w:r>
      <w:r w:rsidRPr="002948A5">
        <w:rPr>
          <w:rFonts w:asciiTheme="minorHAnsi" w:hAnsiTheme="minorHAnsi"/>
          <w:sz w:val="16"/>
          <w:szCs w:val="16"/>
        </w:rPr>
        <w:t xml:space="preserve">  “Don’t be a Cancer Chancer” led to significant increases in GP consultation and a 20% increase in referrals to hospitals for breast, colorectal and lung cancer investigation or treatment.  Referrals from the most deprived wards increased by 48%. Won Bronze for Best Media, IPA Effectiveness Awards, 2009.</w:t>
      </w:r>
    </w:p>
    <w:p w:rsidR="002948A5" w:rsidRPr="002948A5" w:rsidRDefault="002948A5" w:rsidP="002948A5">
      <w:pPr>
        <w:pBdr>
          <w:top w:val="single" w:sz="4" w:space="1" w:color="auto"/>
          <w:left w:val="single" w:sz="4" w:space="4" w:color="auto"/>
          <w:bottom w:val="single" w:sz="4" w:space="1" w:color="auto"/>
          <w:right w:val="single" w:sz="4" w:space="4" w:color="auto"/>
        </w:pBdr>
        <w:shd w:val="clear" w:color="auto" w:fill="CCFFFF"/>
        <w:rPr>
          <w:rFonts w:asciiTheme="minorHAnsi" w:hAnsiTheme="minorHAnsi"/>
          <w:sz w:val="16"/>
          <w:szCs w:val="16"/>
        </w:rPr>
      </w:pPr>
    </w:p>
    <w:p w:rsidR="002948A5" w:rsidRPr="002948A5" w:rsidRDefault="002948A5" w:rsidP="002948A5">
      <w:pPr>
        <w:pBdr>
          <w:top w:val="single" w:sz="4" w:space="1" w:color="auto"/>
          <w:left w:val="single" w:sz="4" w:space="4" w:color="auto"/>
          <w:bottom w:val="single" w:sz="4" w:space="1" w:color="auto"/>
          <w:right w:val="single" w:sz="4" w:space="4" w:color="auto"/>
        </w:pBdr>
        <w:shd w:val="clear" w:color="auto" w:fill="CCFFFF"/>
        <w:rPr>
          <w:rFonts w:asciiTheme="minorHAnsi" w:hAnsiTheme="minorHAnsi"/>
          <w:sz w:val="16"/>
          <w:szCs w:val="16"/>
        </w:rPr>
      </w:pPr>
      <w:r w:rsidRPr="002948A5">
        <w:rPr>
          <w:rFonts w:asciiTheme="minorHAnsi" w:hAnsiTheme="minorHAnsi"/>
          <w:sz w:val="16"/>
          <w:szCs w:val="16"/>
          <w:u w:val="single"/>
        </w:rPr>
        <w:t>Tower Hamlets Recycling</w:t>
      </w:r>
      <w:r w:rsidRPr="002948A5">
        <w:rPr>
          <w:rFonts w:asciiTheme="minorHAnsi" w:hAnsiTheme="minorHAnsi"/>
          <w:sz w:val="16"/>
          <w:szCs w:val="16"/>
        </w:rPr>
        <w:t xml:space="preserve">: led to an increase in annual recycling rates from 12.89% to 19.51%.  Won Bronze, Design Effectiveness Awards, 2009.  </w:t>
      </w:r>
    </w:p>
    <w:p w:rsidR="002948A5" w:rsidRPr="002948A5" w:rsidRDefault="002948A5" w:rsidP="002948A5">
      <w:pPr>
        <w:pBdr>
          <w:top w:val="single" w:sz="4" w:space="1" w:color="auto"/>
          <w:left w:val="single" w:sz="4" w:space="4" w:color="auto"/>
          <w:bottom w:val="single" w:sz="4" w:space="1" w:color="auto"/>
          <w:right w:val="single" w:sz="4" w:space="4" w:color="auto"/>
        </w:pBdr>
        <w:shd w:val="clear" w:color="auto" w:fill="CCFFFF"/>
        <w:rPr>
          <w:rFonts w:asciiTheme="minorHAnsi" w:hAnsiTheme="minorHAnsi"/>
          <w:sz w:val="16"/>
          <w:szCs w:val="16"/>
        </w:rPr>
      </w:pPr>
    </w:p>
    <w:p w:rsidR="002948A5" w:rsidRPr="002948A5" w:rsidRDefault="002948A5" w:rsidP="002948A5">
      <w:pPr>
        <w:pBdr>
          <w:top w:val="single" w:sz="4" w:space="1" w:color="auto"/>
          <w:left w:val="single" w:sz="4" w:space="4" w:color="auto"/>
          <w:bottom w:val="single" w:sz="4" w:space="1" w:color="auto"/>
          <w:right w:val="single" w:sz="4" w:space="4" w:color="auto"/>
        </w:pBdr>
        <w:shd w:val="clear" w:color="auto" w:fill="CCFFFF"/>
        <w:rPr>
          <w:rFonts w:asciiTheme="minorHAnsi" w:hAnsiTheme="minorHAnsi"/>
          <w:sz w:val="16"/>
          <w:szCs w:val="16"/>
        </w:rPr>
      </w:pPr>
      <w:r w:rsidRPr="002948A5">
        <w:rPr>
          <w:rFonts w:asciiTheme="minorHAnsi" w:hAnsiTheme="minorHAnsi"/>
          <w:sz w:val="16"/>
          <w:szCs w:val="16"/>
          <w:u w:val="single"/>
        </w:rPr>
        <w:t>Central Lancashire PCT:</w:t>
      </w:r>
      <w:r w:rsidRPr="002948A5">
        <w:rPr>
          <w:rFonts w:asciiTheme="minorHAnsi" w:hAnsiTheme="minorHAnsi"/>
          <w:sz w:val="16"/>
          <w:szCs w:val="16"/>
        </w:rPr>
        <w:t xml:space="preserve">  “Breast Feed, Be A Star” – a peer support programme for young n=mothers from deprived areas, led to breast feeding rates increasing from 52% to 65.^% in the first month; rates were maintained for several months.  The increased led to savings for the NHS on treatments for conditions such as gastroenteritis.  Won Gold, Design Effectiveness Awards, 2009.</w:t>
      </w:r>
    </w:p>
    <w:p w:rsidR="002948A5" w:rsidRPr="002948A5" w:rsidRDefault="002948A5" w:rsidP="002948A5">
      <w:pPr>
        <w:pBdr>
          <w:top w:val="single" w:sz="4" w:space="1" w:color="auto"/>
          <w:left w:val="single" w:sz="4" w:space="4" w:color="auto"/>
          <w:bottom w:val="single" w:sz="4" w:space="1" w:color="auto"/>
          <w:right w:val="single" w:sz="4" w:space="4" w:color="auto"/>
        </w:pBdr>
        <w:shd w:val="clear" w:color="auto" w:fill="CCFFFF"/>
        <w:rPr>
          <w:rFonts w:asciiTheme="minorHAnsi" w:hAnsiTheme="minorHAnsi"/>
          <w:sz w:val="16"/>
          <w:szCs w:val="16"/>
        </w:rPr>
      </w:pPr>
    </w:p>
    <w:p w:rsidR="002948A5" w:rsidRPr="002948A5" w:rsidRDefault="002948A5" w:rsidP="002948A5">
      <w:pPr>
        <w:pBdr>
          <w:top w:val="single" w:sz="4" w:space="1" w:color="auto"/>
          <w:left w:val="single" w:sz="4" w:space="4" w:color="auto"/>
          <w:bottom w:val="single" w:sz="4" w:space="1" w:color="auto"/>
          <w:right w:val="single" w:sz="4" w:space="4" w:color="auto"/>
        </w:pBdr>
        <w:shd w:val="clear" w:color="auto" w:fill="CCFFFF"/>
        <w:rPr>
          <w:rFonts w:asciiTheme="minorHAnsi" w:hAnsiTheme="minorHAnsi"/>
          <w:sz w:val="16"/>
          <w:szCs w:val="16"/>
        </w:rPr>
      </w:pPr>
      <w:r w:rsidRPr="002948A5">
        <w:rPr>
          <w:rFonts w:asciiTheme="minorHAnsi" w:hAnsiTheme="minorHAnsi"/>
          <w:sz w:val="16"/>
          <w:szCs w:val="16"/>
          <w:u w:val="single"/>
        </w:rPr>
        <w:t>Northern Ireland Fire Safety /Smoke Alarms:</w:t>
      </w:r>
      <w:r w:rsidRPr="002948A5">
        <w:rPr>
          <w:rFonts w:asciiTheme="minorHAnsi" w:hAnsiTheme="minorHAnsi"/>
          <w:sz w:val="16"/>
          <w:szCs w:val="16"/>
        </w:rPr>
        <w:t xml:space="preserve">  a sustained multi-faceted intervention  aimed at reducing domestic fires and increasing properly fitted and maintained smoke alarms reduced fire incidents by 24%, fire-related injuries by 23% and saved an estimated £132.9 million in value of lives saved, almost £4 million through not having to mobilise NIFRS and over £44 million in savings against damage to domestic property, with an overall return on investment of over 80:1 over the 2003 – 2008 period.</w:t>
      </w:r>
    </w:p>
    <w:p w:rsidR="002948A5" w:rsidRDefault="002948A5" w:rsidP="002948A5">
      <w:pPr>
        <w:pBdr>
          <w:top w:val="single" w:sz="4" w:space="1" w:color="auto"/>
          <w:left w:val="single" w:sz="4" w:space="4" w:color="auto"/>
          <w:bottom w:val="single" w:sz="4" w:space="1" w:color="auto"/>
          <w:right w:val="single" w:sz="4" w:space="4" w:color="auto"/>
        </w:pBdr>
        <w:shd w:val="clear" w:color="auto" w:fill="CCFFFF"/>
      </w:pPr>
    </w:p>
    <w:p w:rsidR="002948A5" w:rsidRDefault="002948A5" w:rsidP="002948A5">
      <w:pPr>
        <w:pBdr>
          <w:top w:val="single" w:sz="4" w:space="1" w:color="auto"/>
          <w:left w:val="single" w:sz="4" w:space="4" w:color="auto"/>
          <w:bottom w:val="single" w:sz="4" w:space="1" w:color="auto"/>
          <w:right w:val="single" w:sz="4" w:space="4" w:color="auto"/>
        </w:pBdr>
        <w:shd w:val="clear" w:color="auto" w:fill="CCFFFF"/>
      </w:pPr>
    </w:p>
    <w:p w:rsidR="002948A5" w:rsidRDefault="002948A5">
      <w:pPr>
        <w:rPr>
          <w:rFonts w:asciiTheme="majorHAnsi" w:eastAsiaTheme="majorEastAsia" w:hAnsiTheme="majorHAnsi" w:cstheme="majorBidi"/>
          <w:b/>
          <w:bCs/>
          <w:color w:val="4F81BD" w:themeColor="accent1"/>
        </w:rPr>
      </w:pPr>
      <w:r>
        <w:br w:type="page"/>
      </w:r>
    </w:p>
    <w:p w:rsidR="00CF3CCC" w:rsidRDefault="00843A3F" w:rsidP="007736E4">
      <w:pPr>
        <w:pStyle w:val="Heading3"/>
      </w:pPr>
      <w:r>
        <w:lastRenderedPageBreak/>
        <w:t xml:space="preserve">6.5 </w:t>
      </w:r>
      <w:r w:rsidR="00DB5AC1">
        <w:t>Social p</w:t>
      </w:r>
      <w:r w:rsidR="00CF3CCC" w:rsidRPr="00C554FA">
        <w:t>sychology</w:t>
      </w:r>
      <w:bookmarkEnd w:id="29"/>
    </w:p>
    <w:p w:rsidR="00D86C77" w:rsidRDefault="00D86C77" w:rsidP="00CF3CCC">
      <w:pPr>
        <w:jc w:val="both"/>
      </w:pPr>
    </w:p>
    <w:p w:rsidR="00CF3CCC" w:rsidRPr="00002AC0" w:rsidRDefault="00883E4D" w:rsidP="00CF3CCC">
      <w:pPr>
        <w:jc w:val="both"/>
        <w:rPr>
          <w:rFonts w:asciiTheme="minorHAnsi" w:hAnsiTheme="minorHAnsi"/>
        </w:rPr>
      </w:pPr>
      <w:r w:rsidRPr="00883E4D">
        <w:rPr>
          <w:rFonts w:asciiTheme="minorHAnsi" w:hAnsiTheme="minorHAnsi"/>
        </w:rPr>
        <w:t>Social Psychology is an extremely broad discipline that is difficult to pin down with one definition. However, two broad approaches or schools of thought can be identified as ‘experimental’ and ‘critical’ (or ‘discursive’/’social constructionist’) approaches</w:t>
      </w:r>
      <w:bookmarkStart w:id="30" w:name="_Ref284336685"/>
      <w:r w:rsidRPr="00883E4D">
        <w:rPr>
          <w:rStyle w:val="EndnoteReference"/>
          <w:rFonts w:asciiTheme="minorHAnsi" w:hAnsiTheme="minorHAnsi"/>
        </w:rPr>
        <w:endnoteReference w:id="87"/>
      </w:r>
      <w:bookmarkEnd w:id="30"/>
      <w:r w:rsidRPr="00883E4D">
        <w:rPr>
          <w:rFonts w:asciiTheme="minorHAnsi" w:hAnsiTheme="minorHAnsi"/>
        </w:rPr>
        <w:t xml:space="preserve">  – both of which will bring distinctly different but valuable contributions to bear on questions concerning the determinants of behaviour and behaviour change.  </w:t>
      </w:r>
    </w:p>
    <w:p w:rsidR="00CF3CCC" w:rsidRPr="00002AC0" w:rsidRDefault="00CF3CCC" w:rsidP="00CF3CCC">
      <w:pPr>
        <w:jc w:val="both"/>
        <w:rPr>
          <w:rFonts w:asciiTheme="minorHAnsi" w:hAnsiTheme="minorHAnsi"/>
        </w:rPr>
      </w:pPr>
    </w:p>
    <w:p w:rsidR="00ED3523" w:rsidRPr="00002AC0" w:rsidRDefault="00883E4D" w:rsidP="00CF3CCC">
      <w:pPr>
        <w:jc w:val="both"/>
        <w:rPr>
          <w:rFonts w:asciiTheme="minorHAnsi" w:hAnsiTheme="minorHAnsi"/>
        </w:rPr>
      </w:pPr>
      <w:r w:rsidRPr="00883E4D">
        <w:rPr>
          <w:rFonts w:asciiTheme="minorHAnsi" w:hAnsiTheme="minorHAnsi"/>
        </w:rPr>
        <w:t xml:space="preserve">Experimental or traditional social psychology is concerned with how aspects of the individual such as attitudes, personality, behaviour and beliefs are influenced by the social contexts they find themselves in. Stated differently, it explores the interaction between the psychological processes that go on in individual’s minds and the social forces that exist on the outside </w:t>
      </w:r>
      <w:fldSimple w:instr=" NOTEREF _Ref284336685 \h  \* MERGEFORMAT ">
        <w:r w:rsidR="00CE6342" w:rsidRPr="00CE6342">
          <w:rPr>
            <w:rFonts w:asciiTheme="minorHAnsi" w:hAnsiTheme="minorHAnsi"/>
            <w:vertAlign w:val="superscript"/>
          </w:rPr>
          <w:t>87</w:t>
        </w:r>
      </w:fldSimple>
      <w:r w:rsidRPr="00883E4D">
        <w:rPr>
          <w:rFonts w:asciiTheme="minorHAnsi" w:hAnsiTheme="minorHAnsi"/>
        </w:rPr>
        <w:t>. Key topics of interest in this approach include perception of self and others, perception of groups (stereotypes, prejudice, and racism), attitudes and persuasion (conformity, compliance and obedience, including social norms), interpersonal perception and attraction, antisocial and prosocial behaviour (aggression, violence and altruism) and leadership.</w:t>
      </w:r>
      <w:r w:rsidRPr="00883E4D">
        <w:rPr>
          <w:rStyle w:val="EndnoteReference"/>
          <w:rFonts w:asciiTheme="minorHAnsi" w:hAnsiTheme="minorHAnsi"/>
        </w:rPr>
        <w:endnoteReference w:id="88"/>
      </w:r>
    </w:p>
    <w:p w:rsidR="00ED3523" w:rsidRPr="00002AC0" w:rsidRDefault="00ED3523" w:rsidP="00CF3CCC">
      <w:pPr>
        <w:jc w:val="both"/>
        <w:rPr>
          <w:rFonts w:asciiTheme="minorHAnsi" w:hAnsiTheme="minorHAnsi"/>
        </w:rPr>
      </w:pPr>
    </w:p>
    <w:p w:rsidR="00CF3CCC" w:rsidRPr="00002AC0" w:rsidRDefault="00883E4D" w:rsidP="00CF3CCC">
      <w:pPr>
        <w:jc w:val="both"/>
        <w:rPr>
          <w:rFonts w:asciiTheme="minorHAnsi" w:hAnsiTheme="minorHAnsi"/>
        </w:rPr>
      </w:pPr>
      <w:r w:rsidRPr="00883E4D">
        <w:rPr>
          <w:rFonts w:asciiTheme="minorHAnsi" w:hAnsiTheme="minorHAnsi"/>
        </w:rPr>
        <w:t>Social psychological thinking around these topics is informed by a large number of theories and models, and many of these have direct implications for understandings of how individuals think about their choices and behaviours in relation to health, for example: attribution theory (concerned with the ways in which people explain the behaviour of others); cognitive dissonance (how changes in attitude or behaviour occur as a result of the discomfort of holding conflicting ideas simultaneously); elaboration likelihood model (information processing, particularly in the case of a persuasion attempt, can be divided into two separate processes based on whether the person engages critically with the message content, or whether they respond to the superficial aspects of the message); and observational or social learning theory (behaviour is acquired through the observation and imitation of others).  Both experimental and critical approaches are applied approaches. As the name suggests experimental social psychological research tends to be quantitative, involving laboratory experiments, field/quasi-experiments and surveys. This kind of research has been applied to a wide range of disciplines and areas including: the environment, marketing, leisure, business and management, health and preventive medicine, social geography and gerontology among others.</w:t>
      </w:r>
      <w:r w:rsidRPr="00883E4D">
        <w:rPr>
          <w:rStyle w:val="EndnoteReference"/>
          <w:rFonts w:asciiTheme="minorHAnsi" w:hAnsiTheme="minorHAnsi"/>
        </w:rPr>
        <w:endnoteReference w:id="89"/>
      </w:r>
      <w:r w:rsidRPr="00883E4D">
        <w:rPr>
          <w:rFonts w:asciiTheme="minorHAnsi" w:hAnsiTheme="minorHAnsi"/>
        </w:rPr>
        <w:t xml:space="preserve"> </w:t>
      </w:r>
    </w:p>
    <w:p w:rsidR="00CF3CCC" w:rsidRPr="00002AC0" w:rsidRDefault="00CF3CCC" w:rsidP="00CF3CCC">
      <w:pPr>
        <w:jc w:val="both"/>
        <w:rPr>
          <w:rFonts w:asciiTheme="minorHAnsi" w:hAnsiTheme="minorHAnsi"/>
        </w:rPr>
      </w:pPr>
    </w:p>
    <w:p w:rsidR="00DD4F38" w:rsidRPr="00002AC0" w:rsidRDefault="00883E4D" w:rsidP="00CF3CCC">
      <w:pPr>
        <w:jc w:val="both"/>
        <w:rPr>
          <w:rFonts w:asciiTheme="minorHAnsi" w:hAnsiTheme="minorHAnsi"/>
        </w:rPr>
      </w:pPr>
      <w:r w:rsidRPr="00883E4D">
        <w:rPr>
          <w:rFonts w:asciiTheme="minorHAnsi" w:hAnsiTheme="minorHAnsi"/>
        </w:rPr>
        <w:t>Critical (discursive/social constructionist) social psychology differs from experimental psychology as it views the social world as something that is created and recreated by individuals.</w:t>
      </w:r>
      <w:fldSimple w:instr=" NOTEREF _Ref284336685 \h  \* MERGEFORMAT ">
        <w:r w:rsidR="00CE6342" w:rsidRPr="00CE6342">
          <w:rPr>
            <w:rFonts w:asciiTheme="minorHAnsi" w:hAnsiTheme="minorHAnsi"/>
            <w:vertAlign w:val="superscript"/>
          </w:rPr>
          <w:t>87</w:t>
        </w:r>
      </w:fldSimple>
      <w:r w:rsidRPr="00883E4D">
        <w:rPr>
          <w:rFonts w:asciiTheme="minorHAnsi" w:hAnsiTheme="minorHAnsi"/>
        </w:rPr>
        <w:t xml:space="preserve"> It is concerned with people’s experiences, the understandings and meanings they have about themselves and others, and the world around them, and believes that the scientific method adopted by the experimental approach does not provide access to this. It takes a critical stance towards all knowledge, claiming that knowledge is a construct – a product of discourse, or the sets of beliefs and ‘truths’ that exist about a specific topic within a certain cultural and historical context – and seeks to explore how things like knowledge, facts, attitudes, beliefs etc. come to be </w:t>
      </w:r>
      <w:r w:rsidRPr="00883E4D">
        <w:rPr>
          <w:rFonts w:asciiTheme="minorHAnsi" w:hAnsiTheme="minorHAnsi"/>
        </w:rPr>
        <w:lastRenderedPageBreak/>
        <w:t xml:space="preserve">taken for granted. Language, and the ideological effects of language, or the ways in which language is tied up with power, are key to this approach. </w:t>
      </w:r>
    </w:p>
    <w:p w:rsidR="00DD4F38" w:rsidRPr="00002AC0" w:rsidRDefault="00DD4F38" w:rsidP="00CF3CCC">
      <w:pPr>
        <w:jc w:val="both"/>
        <w:rPr>
          <w:rFonts w:asciiTheme="minorHAnsi" w:hAnsiTheme="minorHAnsi"/>
        </w:rPr>
      </w:pPr>
    </w:p>
    <w:p w:rsidR="00CF3CCC" w:rsidRPr="00002AC0" w:rsidRDefault="00883E4D" w:rsidP="00CF3CCC">
      <w:pPr>
        <w:jc w:val="both"/>
        <w:rPr>
          <w:rFonts w:asciiTheme="minorHAnsi" w:hAnsiTheme="minorHAnsi"/>
        </w:rPr>
      </w:pPr>
      <w:r w:rsidRPr="00883E4D">
        <w:rPr>
          <w:rFonts w:asciiTheme="minorHAnsi" w:hAnsiTheme="minorHAnsi"/>
        </w:rPr>
        <w:t>Social constructionist theorists</w:t>
      </w:r>
      <w:r w:rsidRPr="00883E4D">
        <w:rPr>
          <w:rStyle w:val="EndnoteReference"/>
          <w:rFonts w:asciiTheme="minorHAnsi" w:hAnsiTheme="minorHAnsi"/>
        </w:rPr>
        <w:endnoteReference w:id="90"/>
      </w:r>
      <w:r w:rsidRPr="00883E4D">
        <w:rPr>
          <w:rFonts w:asciiTheme="minorHAnsi" w:hAnsiTheme="minorHAnsi"/>
        </w:rPr>
        <w:t xml:space="preserve"> emphasise how people’s accounts of themselves are constructed like stories or narratives – hence it is important to be able to access and engage with these stories and narratives to understand how they reinforce and feed into larger cultural understandings and discursive practices. As such critical social psychological research is nearly always qualitative and employs a wide variety of methods. Data collection often involves conducting ethnographic fieldwork, in-depth interviews and focus groups in order to gain access to the understandings and meanings attached to particular topics and practices or behaviours. Different kinds of text (e.g. health leaflets or other health promotional material) can be analysed using thematic analysis or discourse analysis to explore what kinds of work the texts are doing – what view of the world are they reproducing – and whether or not this is successful. Despite objections from experimental social psychologists that these methods or not objective or neutral, and therefore not scientific, critical social psychology provides extremely rich, complex and multilayered understandings of social phenomena. </w:t>
      </w:r>
    </w:p>
    <w:p w:rsidR="00CF3CCC" w:rsidRDefault="00CF3CCC" w:rsidP="00CF3CCC">
      <w:pPr>
        <w:jc w:val="both"/>
      </w:pPr>
    </w:p>
    <w:p w:rsidR="00CF3CCC" w:rsidRDefault="00CF3CCC"/>
    <w:p w:rsidR="00CF3CCC" w:rsidRPr="00AC76D1" w:rsidRDefault="00CF3CCC" w:rsidP="00CF3CCC">
      <w:pPr>
        <w:jc w:val="both"/>
        <w:rPr>
          <w:rFonts w:asciiTheme="minorHAnsi" w:hAnsiTheme="minorHAnsi"/>
        </w:rPr>
      </w:pPr>
      <w:r w:rsidRPr="00AC76D1">
        <w:rPr>
          <w:rFonts w:asciiTheme="minorHAnsi" w:hAnsiTheme="minorHAnsi"/>
          <w:b/>
        </w:rPr>
        <w:t xml:space="preserve">Table </w:t>
      </w:r>
      <w:r w:rsidR="003421D7" w:rsidRPr="00AC76D1">
        <w:rPr>
          <w:rFonts w:asciiTheme="minorHAnsi" w:hAnsiTheme="minorHAnsi"/>
          <w:b/>
        </w:rPr>
        <w:t>2:  D</w:t>
      </w:r>
      <w:r w:rsidRPr="00AC76D1">
        <w:rPr>
          <w:rFonts w:asciiTheme="minorHAnsi" w:hAnsiTheme="minorHAnsi"/>
          <w:b/>
        </w:rPr>
        <w:t>ifferences between experimental and critical social psychology</w:t>
      </w:r>
      <w:fldSimple w:instr=" NOTEREF _Ref284336685 \h  \* MERGEFORMAT ">
        <w:r w:rsidR="00CE6342" w:rsidRPr="00CE6342">
          <w:rPr>
            <w:rFonts w:asciiTheme="minorHAnsi" w:hAnsiTheme="minorHAnsi"/>
            <w:vertAlign w:val="superscript"/>
          </w:rPr>
          <w:t>87</w:t>
        </w:r>
      </w:fldSimple>
      <w:r w:rsidR="00D86C77" w:rsidRPr="00D86C77">
        <w:rPr>
          <w:vertAlign w:val="superscript"/>
        </w:rPr>
        <w:t>, p.</w:t>
      </w:r>
      <w:r w:rsidRPr="00AC76D1">
        <w:rPr>
          <w:rFonts w:asciiTheme="minorHAnsi" w:hAnsiTheme="minorHAnsi"/>
          <w:vertAlign w:val="superscript"/>
        </w:rPr>
        <w:t>58</w:t>
      </w:r>
    </w:p>
    <w:tbl>
      <w:tblPr>
        <w:tblStyle w:val="TableGrid"/>
        <w:tblW w:w="0" w:type="auto"/>
        <w:tblLook w:val="04A0"/>
      </w:tblPr>
      <w:tblGrid>
        <w:gridCol w:w="4261"/>
        <w:gridCol w:w="4261"/>
      </w:tblGrid>
      <w:tr w:rsidR="00CF3CCC" w:rsidRPr="00AC76D1" w:rsidTr="00B370B8">
        <w:tc>
          <w:tcPr>
            <w:tcW w:w="4261" w:type="dxa"/>
            <w:shd w:val="clear" w:color="auto" w:fill="BFBFBF" w:themeFill="background1" w:themeFillShade="BF"/>
          </w:tcPr>
          <w:p w:rsidR="00CF3CCC" w:rsidRPr="007654B7" w:rsidRDefault="00CF3CCC" w:rsidP="00CF3CCC">
            <w:pPr>
              <w:jc w:val="both"/>
              <w:rPr>
                <w:rFonts w:asciiTheme="minorHAnsi" w:hAnsiTheme="minorHAnsi"/>
                <w:b/>
                <w:sz w:val="22"/>
                <w:szCs w:val="22"/>
              </w:rPr>
            </w:pPr>
            <w:r w:rsidRPr="007654B7">
              <w:rPr>
                <w:rFonts w:asciiTheme="minorHAnsi" w:hAnsiTheme="minorHAnsi"/>
                <w:b/>
                <w:sz w:val="22"/>
                <w:szCs w:val="22"/>
              </w:rPr>
              <w:t>Experimental social psychology</w:t>
            </w:r>
          </w:p>
        </w:tc>
        <w:tc>
          <w:tcPr>
            <w:tcW w:w="4261" w:type="dxa"/>
            <w:shd w:val="clear" w:color="auto" w:fill="BFBFBF" w:themeFill="background1" w:themeFillShade="BF"/>
          </w:tcPr>
          <w:p w:rsidR="00CF3CCC" w:rsidRPr="007654B7" w:rsidRDefault="00CF3CCC" w:rsidP="00CF3CCC">
            <w:pPr>
              <w:jc w:val="both"/>
              <w:rPr>
                <w:rFonts w:asciiTheme="minorHAnsi" w:hAnsiTheme="minorHAnsi"/>
                <w:b/>
                <w:sz w:val="22"/>
                <w:szCs w:val="22"/>
              </w:rPr>
            </w:pPr>
            <w:r w:rsidRPr="007654B7">
              <w:rPr>
                <w:rFonts w:asciiTheme="minorHAnsi" w:hAnsiTheme="minorHAnsi"/>
                <w:b/>
                <w:sz w:val="22"/>
                <w:szCs w:val="22"/>
              </w:rPr>
              <w:t>Critical social psychology</w:t>
            </w:r>
          </w:p>
        </w:tc>
      </w:tr>
      <w:tr w:rsidR="00CF3CCC" w:rsidRPr="00AC76D1" w:rsidTr="00B370B8">
        <w:tc>
          <w:tcPr>
            <w:tcW w:w="4261" w:type="dxa"/>
            <w:shd w:val="clear" w:color="auto" w:fill="FFFF66"/>
          </w:tcPr>
          <w:p w:rsidR="00CF3CCC" w:rsidRPr="007654B7" w:rsidRDefault="00CF3CCC" w:rsidP="00CF3CCC">
            <w:pPr>
              <w:jc w:val="both"/>
              <w:rPr>
                <w:rFonts w:asciiTheme="minorHAnsi" w:hAnsiTheme="minorHAnsi"/>
                <w:sz w:val="22"/>
                <w:szCs w:val="22"/>
              </w:rPr>
            </w:pPr>
            <w:r w:rsidRPr="007654B7">
              <w:rPr>
                <w:rFonts w:asciiTheme="minorHAnsi" w:hAnsiTheme="minorHAnsi"/>
                <w:sz w:val="22"/>
                <w:szCs w:val="22"/>
              </w:rPr>
              <w:t xml:space="preserve">Operates within Modernism </w:t>
            </w:r>
          </w:p>
        </w:tc>
        <w:tc>
          <w:tcPr>
            <w:tcW w:w="4261" w:type="dxa"/>
            <w:shd w:val="clear" w:color="auto" w:fill="FFFF66"/>
          </w:tcPr>
          <w:p w:rsidR="00CF3CCC" w:rsidRPr="007654B7" w:rsidRDefault="00CF3CCC" w:rsidP="00CF3CCC">
            <w:pPr>
              <w:jc w:val="both"/>
              <w:rPr>
                <w:rFonts w:asciiTheme="minorHAnsi" w:hAnsiTheme="minorHAnsi"/>
                <w:sz w:val="22"/>
                <w:szCs w:val="22"/>
              </w:rPr>
            </w:pPr>
            <w:r w:rsidRPr="007654B7">
              <w:rPr>
                <w:rFonts w:asciiTheme="minorHAnsi" w:hAnsiTheme="minorHAnsi"/>
                <w:sz w:val="22"/>
                <w:szCs w:val="22"/>
              </w:rPr>
              <w:t>Operates within Postmodernism</w:t>
            </w:r>
          </w:p>
        </w:tc>
      </w:tr>
      <w:tr w:rsidR="00CF3CCC" w:rsidRPr="00AC76D1" w:rsidTr="00B370B8">
        <w:tc>
          <w:tcPr>
            <w:tcW w:w="4261" w:type="dxa"/>
            <w:shd w:val="clear" w:color="auto" w:fill="99FF99"/>
          </w:tcPr>
          <w:p w:rsidR="00CF3CCC" w:rsidRPr="007654B7" w:rsidRDefault="00CF3CCC" w:rsidP="00CF3CCC">
            <w:pPr>
              <w:jc w:val="both"/>
              <w:rPr>
                <w:rFonts w:asciiTheme="minorHAnsi" w:hAnsiTheme="minorHAnsi"/>
                <w:sz w:val="22"/>
                <w:szCs w:val="22"/>
              </w:rPr>
            </w:pPr>
            <w:r w:rsidRPr="007654B7">
              <w:rPr>
                <w:rFonts w:asciiTheme="minorHAnsi" w:hAnsiTheme="minorHAnsi"/>
                <w:sz w:val="22"/>
                <w:szCs w:val="22"/>
              </w:rPr>
              <w:t>Views the social world as ‘out there’ external to and separate from people</w:t>
            </w:r>
          </w:p>
        </w:tc>
        <w:tc>
          <w:tcPr>
            <w:tcW w:w="4261" w:type="dxa"/>
            <w:shd w:val="clear" w:color="auto" w:fill="99FF99"/>
          </w:tcPr>
          <w:p w:rsidR="00CF3CCC" w:rsidRPr="007654B7" w:rsidRDefault="00CF3CCC" w:rsidP="00CF3CCC">
            <w:pPr>
              <w:jc w:val="both"/>
              <w:rPr>
                <w:rFonts w:asciiTheme="minorHAnsi" w:hAnsiTheme="minorHAnsi"/>
                <w:sz w:val="22"/>
                <w:szCs w:val="22"/>
              </w:rPr>
            </w:pPr>
            <w:r w:rsidRPr="007654B7">
              <w:rPr>
                <w:rFonts w:asciiTheme="minorHAnsi" w:hAnsiTheme="minorHAnsi"/>
                <w:sz w:val="22"/>
                <w:szCs w:val="22"/>
              </w:rPr>
              <w:t>Views the social world as made by people, and not separate from them</w:t>
            </w:r>
          </w:p>
        </w:tc>
      </w:tr>
      <w:tr w:rsidR="00CF3CCC" w:rsidRPr="00AC76D1" w:rsidTr="00B370B8">
        <w:tc>
          <w:tcPr>
            <w:tcW w:w="4261" w:type="dxa"/>
            <w:shd w:val="clear" w:color="auto" w:fill="F2DBDB" w:themeFill="accent2" w:themeFillTint="33"/>
          </w:tcPr>
          <w:p w:rsidR="00CF3CCC" w:rsidRPr="007654B7" w:rsidRDefault="00CF3CCC" w:rsidP="00CF3CCC">
            <w:pPr>
              <w:jc w:val="both"/>
              <w:rPr>
                <w:rFonts w:asciiTheme="minorHAnsi" w:hAnsiTheme="minorHAnsi"/>
                <w:sz w:val="22"/>
                <w:szCs w:val="22"/>
              </w:rPr>
            </w:pPr>
            <w:r w:rsidRPr="007654B7">
              <w:rPr>
                <w:rFonts w:asciiTheme="minorHAnsi" w:hAnsiTheme="minorHAnsi"/>
                <w:sz w:val="22"/>
                <w:szCs w:val="22"/>
              </w:rPr>
              <w:t>Views knowledge as based on facts that are ‘out-there-in-the-world’ waiting to be discovered</w:t>
            </w:r>
          </w:p>
        </w:tc>
        <w:tc>
          <w:tcPr>
            <w:tcW w:w="4261" w:type="dxa"/>
            <w:shd w:val="clear" w:color="auto" w:fill="F2DBDB" w:themeFill="accent2" w:themeFillTint="33"/>
          </w:tcPr>
          <w:p w:rsidR="00CF3CCC" w:rsidRPr="007654B7" w:rsidRDefault="00CF3CCC" w:rsidP="00CF3CCC">
            <w:pPr>
              <w:jc w:val="both"/>
              <w:rPr>
                <w:rFonts w:asciiTheme="minorHAnsi" w:hAnsiTheme="minorHAnsi"/>
                <w:sz w:val="22"/>
                <w:szCs w:val="22"/>
              </w:rPr>
            </w:pPr>
            <w:r w:rsidRPr="007654B7">
              <w:rPr>
                <w:rFonts w:asciiTheme="minorHAnsi" w:hAnsiTheme="minorHAnsi"/>
                <w:sz w:val="22"/>
                <w:szCs w:val="22"/>
              </w:rPr>
              <w:t>Views knowledges as constructed through people’s meaning-making</w:t>
            </w:r>
          </w:p>
        </w:tc>
      </w:tr>
      <w:tr w:rsidR="00CF3CCC" w:rsidRPr="00AC76D1" w:rsidTr="00B370B8">
        <w:tc>
          <w:tcPr>
            <w:tcW w:w="4261" w:type="dxa"/>
            <w:shd w:val="clear" w:color="auto" w:fill="DBE5F1" w:themeFill="accent1" w:themeFillTint="33"/>
          </w:tcPr>
          <w:p w:rsidR="00CF3CCC" w:rsidRPr="007654B7" w:rsidRDefault="00CF3CCC" w:rsidP="00CF3CCC">
            <w:pPr>
              <w:jc w:val="both"/>
              <w:rPr>
                <w:rFonts w:asciiTheme="minorHAnsi" w:hAnsiTheme="minorHAnsi"/>
                <w:sz w:val="22"/>
                <w:szCs w:val="22"/>
              </w:rPr>
            </w:pPr>
            <w:r w:rsidRPr="007654B7">
              <w:rPr>
                <w:rFonts w:asciiTheme="minorHAnsi" w:hAnsiTheme="minorHAnsi"/>
                <w:sz w:val="22"/>
                <w:szCs w:val="22"/>
              </w:rPr>
              <w:t>Asserts that there is only one true, objective knowledge that transcends time and cultural location</w:t>
            </w:r>
          </w:p>
        </w:tc>
        <w:tc>
          <w:tcPr>
            <w:tcW w:w="4261" w:type="dxa"/>
            <w:shd w:val="clear" w:color="auto" w:fill="DBE5F1" w:themeFill="accent1" w:themeFillTint="33"/>
          </w:tcPr>
          <w:p w:rsidR="00CF3CCC" w:rsidRPr="007654B7" w:rsidRDefault="00CF3CCC" w:rsidP="00CF3CCC">
            <w:pPr>
              <w:jc w:val="both"/>
              <w:rPr>
                <w:rFonts w:asciiTheme="minorHAnsi" w:hAnsiTheme="minorHAnsi"/>
                <w:sz w:val="22"/>
                <w:szCs w:val="22"/>
              </w:rPr>
            </w:pPr>
            <w:r w:rsidRPr="007654B7">
              <w:rPr>
                <w:rFonts w:asciiTheme="minorHAnsi" w:hAnsiTheme="minorHAnsi"/>
                <w:sz w:val="22"/>
                <w:szCs w:val="22"/>
              </w:rPr>
              <w:t>Accepts that there are multiple knowledges, and that knowledge is highly contingent on time and cultural location</w:t>
            </w:r>
          </w:p>
        </w:tc>
      </w:tr>
      <w:tr w:rsidR="00CF3CCC" w:rsidRPr="00AC76D1" w:rsidTr="00B370B8">
        <w:tc>
          <w:tcPr>
            <w:tcW w:w="4261" w:type="dxa"/>
            <w:shd w:val="clear" w:color="auto" w:fill="CCC0D9" w:themeFill="accent4" w:themeFillTint="66"/>
          </w:tcPr>
          <w:p w:rsidR="00CF3CCC" w:rsidRPr="007654B7" w:rsidRDefault="00CF3CCC" w:rsidP="00CF3CCC">
            <w:pPr>
              <w:jc w:val="both"/>
              <w:rPr>
                <w:rFonts w:asciiTheme="minorHAnsi" w:hAnsiTheme="minorHAnsi"/>
                <w:sz w:val="22"/>
                <w:szCs w:val="22"/>
              </w:rPr>
            </w:pPr>
            <w:r w:rsidRPr="007654B7">
              <w:rPr>
                <w:rFonts w:asciiTheme="minorHAnsi" w:hAnsiTheme="minorHAnsi"/>
                <w:sz w:val="22"/>
                <w:szCs w:val="22"/>
              </w:rPr>
              <w:t>Asks of knowledge ‘is it true’?</w:t>
            </w:r>
          </w:p>
        </w:tc>
        <w:tc>
          <w:tcPr>
            <w:tcW w:w="4261" w:type="dxa"/>
            <w:shd w:val="clear" w:color="auto" w:fill="CCC0D9" w:themeFill="accent4" w:themeFillTint="66"/>
          </w:tcPr>
          <w:p w:rsidR="00CF3CCC" w:rsidRPr="007654B7" w:rsidRDefault="00CF3CCC" w:rsidP="00CF3CCC">
            <w:pPr>
              <w:jc w:val="both"/>
              <w:rPr>
                <w:rFonts w:asciiTheme="minorHAnsi" w:hAnsiTheme="minorHAnsi"/>
                <w:sz w:val="22"/>
                <w:szCs w:val="22"/>
              </w:rPr>
            </w:pPr>
            <w:r w:rsidRPr="007654B7">
              <w:rPr>
                <w:rFonts w:asciiTheme="minorHAnsi" w:hAnsiTheme="minorHAnsi"/>
                <w:sz w:val="22"/>
                <w:szCs w:val="22"/>
              </w:rPr>
              <w:t>Asks of knowledge ‘what does it do?’, ‘how can it be used – by whom, and to what ends?’, ‘whose interest does it serve?’, ‘what does it make possible?’</w:t>
            </w:r>
          </w:p>
        </w:tc>
      </w:tr>
      <w:tr w:rsidR="00CF3CCC" w:rsidRPr="00AC76D1" w:rsidTr="00B370B8">
        <w:tc>
          <w:tcPr>
            <w:tcW w:w="4261" w:type="dxa"/>
            <w:shd w:val="clear" w:color="auto" w:fill="FABF8F" w:themeFill="accent6" w:themeFillTint="99"/>
          </w:tcPr>
          <w:p w:rsidR="00CF3CCC" w:rsidRPr="007654B7" w:rsidRDefault="00CF3CCC" w:rsidP="00CF3CCC">
            <w:pPr>
              <w:jc w:val="both"/>
              <w:rPr>
                <w:rFonts w:asciiTheme="minorHAnsi" w:hAnsiTheme="minorHAnsi"/>
                <w:sz w:val="22"/>
                <w:szCs w:val="22"/>
              </w:rPr>
            </w:pPr>
            <w:r w:rsidRPr="007654B7">
              <w:rPr>
                <w:rFonts w:asciiTheme="minorHAnsi" w:hAnsiTheme="minorHAnsi"/>
                <w:sz w:val="22"/>
                <w:szCs w:val="22"/>
              </w:rPr>
              <w:t>Seeks to gain knowledge primarily through hypothetico-deductive testing of theory</w:t>
            </w:r>
          </w:p>
        </w:tc>
        <w:tc>
          <w:tcPr>
            <w:tcW w:w="4261" w:type="dxa"/>
            <w:shd w:val="clear" w:color="auto" w:fill="FABF8F" w:themeFill="accent6" w:themeFillTint="99"/>
          </w:tcPr>
          <w:p w:rsidR="00CF3CCC" w:rsidRPr="007654B7" w:rsidRDefault="00CF3CCC" w:rsidP="00CF3CCC">
            <w:pPr>
              <w:jc w:val="both"/>
              <w:rPr>
                <w:rFonts w:asciiTheme="minorHAnsi" w:hAnsiTheme="minorHAnsi"/>
                <w:sz w:val="22"/>
                <w:szCs w:val="22"/>
              </w:rPr>
            </w:pPr>
            <w:r w:rsidRPr="007654B7">
              <w:rPr>
                <w:rFonts w:asciiTheme="minorHAnsi" w:hAnsiTheme="minorHAnsi"/>
                <w:sz w:val="22"/>
                <w:szCs w:val="22"/>
              </w:rPr>
              <w:t>Seeks to gain knowledge primarily through abduction – looking for anomalies and trying to puzzle them out</w:t>
            </w:r>
          </w:p>
        </w:tc>
      </w:tr>
      <w:tr w:rsidR="00CF3CCC" w:rsidRPr="00AC76D1" w:rsidTr="00B370B8">
        <w:tc>
          <w:tcPr>
            <w:tcW w:w="4261" w:type="dxa"/>
            <w:shd w:val="clear" w:color="auto" w:fill="DBE5F1" w:themeFill="accent1" w:themeFillTint="33"/>
          </w:tcPr>
          <w:p w:rsidR="00CF3CCC" w:rsidRPr="007654B7" w:rsidRDefault="00CF3CCC" w:rsidP="00CF3CCC">
            <w:pPr>
              <w:jc w:val="both"/>
              <w:rPr>
                <w:rFonts w:asciiTheme="minorHAnsi" w:hAnsiTheme="minorHAnsi"/>
                <w:sz w:val="22"/>
                <w:szCs w:val="22"/>
              </w:rPr>
            </w:pPr>
            <w:r w:rsidRPr="007654B7">
              <w:rPr>
                <w:rFonts w:asciiTheme="minorHAnsi" w:hAnsiTheme="minorHAnsi"/>
                <w:sz w:val="22"/>
                <w:szCs w:val="22"/>
              </w:rPr>
              <w:t>Seeks to provide nomothetic cause-and-effect explanations</w:t>
            </w:r>
          </w:p>
        </w:tc>
        <w:tc>
          <w:tcPr>
            <w:tcW w:w="4261" w:type="dxa"/>
            <w:shd w:val="clear" w:color="auto" w:fill="DBE5F1" w:themeFill="accent1" w:themeFillTint="33"/>
          </w:tcPr>
          <w:p w:rsidR="00CF3CCC" w:rsidRPr="007654B7" w:rsidRDefault="00CF3CCC" w:rsidP="00CF3CCC">
            <w:pPr>
              <w:jc w:val="both"/>
              <w:rPr>
                <w:rFonts w:asciiTheme="minorHAnsi" w:hAnsiTheme="minorHAnsi"/>
                <w:sz w:val="22"/>
                <w:szCs w:val="22"/>
              </w:rPr>
            </w:pPr>
            <w:r w:rsidRPr="007654B7">
              <w:rPr>
                <w:rFonts w:asciiTheme="minorHAnsi" w:hAnsiTheme="minorHAnsi"/>
                <w:sz w:val="22"/>
                <w:szCs w:val="22"/>
              </w:rPr>
              <w:t>Seeks to provide idiographic explications that offer insight into specific social events and phenomena</w:t>
            </w:r>
          </w:p>
        </w:tc>
      </w:tr>
      <w:tr w:rsidR="00CF3CCC" w:rsidRPr="00AC76D1" w:rsidTr="00B370B8">
        <w:tc>
          <w:tcPr>
            <w:tcW w:w="4261" w:type="dxa"/>
            <w:shd w:val="clear" w:color="auto" w:fill="DDD9C3" w:themeFill="background2" w:themeFillShade="E6"/>
          </w:tcPr>
          <w:p w:rsidR="00CF3CCC" w:rsidRPr="007654B7" w:rsidRDefault="00CF3CCC" w:rsidP="00CF3CCC">
            <w:pPr>
              <w:jc w:val="both"/>
              <w:rPr>
                <w:rFonts w:asciiTheme="minorHAnsi" w:hAnsiTheme="minorHAnsi"/>
                <w:sz w:val="22"/>
                <w:szCs w:val="22"/>
              </w:rPr>
            </w:pPr>
            <w:r w:rsidRPr="007654B7">
              <w:rPr>
                <w:rFonts w:asciiTheme="minorHAnsi" w:hAnsiTheme="minorHAnsi"/>
                <w:sz w:val="22"/>
                <w:szCs w:val="22"/>
              </w:rPr>
              <w:t>Seeks to be dispassionate and apolitical</w:t>
            </w:r>
          </w:p>
        </w:tc>
        <w:tc>
          <w:tcPr>
            <w:tcW w:w="4261" w:type="dxa"/>
            <w:shd w:val="clear" w:color="auto" w:fill="DDD9C3" w:themeFill="background2" w:themeFillShade="E6"/>
          </w:tcPr>
          <w:p w:rsidR="00CF3CCC" w:rsidRPr="007654B7" w:rsidRDefault="00CF3CCC" w:rsidP="00CF3CCC">
            <w:pPr>
              <w:jc w:val="both"/>
              <w:rPr>
                <w:rFonts w:asciiTheme="minorHAnsi" w:hAnsiTheme="minorHAnsi"/>
                <w:sz w:val="22"/>
                <w:szCs w:val="22"/>
              </w:rPr>
            </w:pPr>
            <w:r w:rsidRPr="007654B7">
              <w:rPr>
                <w:rFonts w:asciiTheme="minorHAnsi" w:hAnsiTheme="minorHAnsi"/>
                <w:sz w:val="22"/>
                <w:szCs w:val="22"/>
              </w:rPr>
              <w:t>Is often motivated by ideology and makes not claim to be objective or dispassionate</w:t>
            </w:r>
          </w:p>
        </w:tc>
      </w:tr>
    </w:tbl>
    <w:p w:rsidR="00CF3CCC" w:rsidRPr="00AC76D1" w:rsidRDefault="00CF3CCC" w:rsidP="00CF3CCC">
      <w:pPr>
        <w:jc w:val="both"/>
        <w:rPr>
          <w:rFonts w:asciiTheme="minorHAnsi" w:hAnsiTheme="minorHAnsi"/>
        </w:rPr>
      </w:pPr>
      <w:r w:rsidRPr="00AC76D1">
        <w:rPr>
          <w:rFonts w:asciiTheme="minorHAnsi" w:hAnsiTheme="minorHAnsi"/>
        </w:rPr>
        <w:t xml:space="preserve">    </w:t>
      </w:r>
    </w:p>
    <w:p w:rsidR="00CF3CCC" w:rsidRDefault="00CF3CCC" w:rsidP="00CF3CCC">
      <w:pPr>
        <w:jc w:val="both"/>
      </w:pPr>
    </w:p>
    <w:p w:rsidR="00D72BB6" w:rsidRDefault="00D72BB6">
      <w:r>
        <w:br w:type="page"/>
      </w:r>
    </w:p>
    <w:p w:rsidR="00AE45CB" w:rsidRDefault="00843A3F" w:rsidP="00A50E63">
      <w:pPr>
        <w:pStyle w:val="Heading3"/>
      </w:pPr>
      <w:bookmarkStart w:id="31" w:name="_Toc289256746"/>
      <w:r>
        <w:lastRenderedPageBreak/>
        <w:t xml:space="preserve">6.6 </w:t>
      </w:r>
      <w:r w:rsidR="00AE45CB" w:rsidRPr="00E957FA">
        <w:t>Sociology, public health policy and applied political science perspectives</w:t>
      </w:r>
      <w:bookmarkEnd w:id="31"/>
    </w:p>
    <w:p w:rsidR="00AE45CB" w:rsidRDefault="00AE45CB" w:rsidP="00AE45CB">
      <w:pPr>
        <w:rPr>
          <w:rFonts w:asciiTheme="minorHAnsi" w:hAnsiTheme="minorHAnsi" w:cs="AdvPECF938"/>
        </w:rPr>
      </w:pPr>
    </w:p>
    <w:p w:rsidR="00AE45CB" w:rsidRDefault="00AE45CB" w:rsidP="00AE45CB">
      <w:pPr>
        <w:jc w:val="both"/>
        <w:rPr>
          <w:rFonts w:asciiTheme="minorHAnsi" w:hAnsiTheme="minorHAnsi" w:cs="AdvPECF938"/>
        </w:rPr>
      </w:pPr>
      <w:r>
        <w:rPr>
          <w:rFonts w:asciiTheme="minorHAnsi" w:hAnsiTheme="minorHAnsi" w:cs="AdvPECF938"/>
        </w:rPr>
        <w:t xml:space="preserve">Sociology and allied disciplines concerned with the study of social life have grown up alongside and </w:t>
      </w:r>
      <w:r w:rsidR="00D86C77">
        <w:rPr>
          <w:rFonts w:asciiTheme="minorHAnsi" w:hAnsiTheme="minorHAnsi" w:cs="AdvPECF938"/>
        </w:rPr>
        <w:t xml:space="preserve">have </w:t>
      </w:r>
      <w:r>
        <w:rPr>
          <w:rFonts w:asciiTheme="minorHAnsi" w:hAnsiTheme="minorHAnsi" w:cs="AdvPECF938"/>
        </w:rPr>
        <w:t>heavily influenced public health interventions. Through research on the social determinants and the social construction of health, these</w:t>
      </w:r>
      <w:r w:rsidRPr="001A3393">
        <w:rPr>
          <w:rFonts w:asciiTheme="minorHAnsi" w:hAnsiTheme="minorHAnsi" w:cs="AdvPECF938"/>
        </w:rPr>
        <w:t xml:space="preserve"> </w:t>
      </w:r>
      <w:r>
        <w:rPr>
          <w:rFonts w:asciiTheme="minorHAnsi" w:hAnsiTheme="minorHAnsi" w:cs="AdvPECF938"/>
        </w:rPr>
        <w:t xml:space="preserve">social sciences have found considerable application in the prevention of disease and the improvement of health. Whilst sociological enquiry is not necessarily directed towards behaviour change, there can be little doubt that all health promotion practice draws upon conceptual frameworks of how society works and how people function as social beings. </w:t>
      </w:r>
    </w:p>
    <w:p w:rsidR="00AE45CB" w:rsidRDefault="00AE45CB" w:rsidP="00AE45CB">
      <w:pPr>
        <w:jc w:val="both"/>
        <w:rPr>
          <w:rFonts w:asciiTheme="minorHAnsi" w:hAnsiTheme="minorHAnsi" w:cs="AdvPECF938"/>
        </w:rPr>
      </w:pPr>
    </w:p>
    <w:p w:rsidR="00AE45CB" w:rsidRDefault="00AE45CB" w:rsidP="00AE45CB">
      <w:pPr>
        <w:jc w:val="both"/>
        <w:rPr>
          <w:rFonts w:asciiTheme="minorHAnsi" w:hAnsiTheme="minorHAnsi" w:cs="AdvPECF938"/>
        </w:rPr>
      </w:pPr>
      <w:r>
        <w:rPr>
          <w:rFonts w:asciiTheme="minorHAnsi" w:hAnsiTheme="minorHAnsi" w:cs="AdvPECF938"/>
        </w:rPr>
        <w:t>In recent years there</w:t>
      </w:r>
      <w:r w:rsidR="00D86C77">
        <w:rPr>
          <w:rFonts w:asciiTheme="minorHAnsi" w:hAnsiTheme="minorHAnsi" w:cs="AdvPECF938"/>
        </w:rPr>
        <w:t xml:space="preserve"> has</w:t>
      </w:r>
      <w:r>
        <w:rPr>
          <w:rFonts w:asciiTheme="minorHAnsi" w:hAnsiTheme="minorHAnsi" w:cs="AdvPECF938"/>
        </w:rPr>
        <w:t xml:space="preserve"> been a proliferation of public health models that integrate insights from sociology. Whilst it would be hard to do justice to the range of theoretical applications in this summary, the work of Kelly’s team at NICE provides a good example of a sociologically informed approach</w:t>
      </w:r>
      <w:r w:rsidR="005022DE">
        <w:rPr>
          <w:rStyle w:val="EndnoteReference"/>
          <w:rFonts w:asciiTheme="minorHAnsi" w:hAnsiTheme="minorHAnsi" w:cs="AdvPECF938"/>
        </w:rPr>
        <w:endnoteReference w:id="91"/>
      </w:r>
      <w:r>
        <w:rPr>
          <w:rFonts w:asciiTheme="minorHAnsi" w:hAnsiTheme="minorHAnsi" w:cs="AdvPECF938"/>
        </w:rPr>
        <w:t xml:space="preserve">: </w:t>
      </w:r>
    </w:p>
    <w:p w:rsidR="00A076D5" w:rsidRDefault="00A076D5" w:rsidP="00AE45CB">
      <w:pPr>
        <w:jc w:val="both"/>
        <w:rPr>
          <w:rFonts w:asciiTheme="minorHAnsi" w:hAnsiTheme="minorHAnsi" w:cs="AdvPECF938"/>
        </w:rPr>
      </w:pPr>
    </w:p>
    <w:p w:rsidR="00A076D5" w:rsidRDefault="00A076D5" w:rsidP="00AE45CB">
      <w:pPr>
        <w:jc w:val="both"/>
        <w:rPr>
          <w:rFonts w:asciiTheme="minorHAnsi" w:hAnsiTheme="minorHAnsi" w:cs="AdvPECF938"/>
        </w:rPr>
      </w:pPr>
    </w:p>
    <w:p w:rsidR="00A076D5" w:rsidRPr="00B86E4C" w:rsidRDefault="00A076D5" w:rsidP="00AE45CB">
      <w:pPr>
        <w:jc w:val="both"/>
        <w:rPr>
          <w:rFonts w:asciiTheme="minorHAnsi" w:hAnsiTheme="minorHAnsi" w:cs="AdvPECF938"/>
          <w:b/>
        </w:rPr>
      </w:pPr>
      <w:r w:rsidRPr="00B86E4C">
        <w:rPr>
          <w:rFonts w:asciiTheme="minorHAnsi" w:hAnsiTheme="minorHAnsi" w:cs="AdvPECF938"/>
          <w:b/>
        </w:rPr>
        <w:t>Figure 13: Socio-environmental Vectors Influencing Health and Well-being</w:t>
      </w:r>
    </w:p>
    <w:p w:rsidR="00AE45CB" w:rsidRDefault="00AE45CB" w:rsidP="00AE45CB">
      <w:pPr>
        <w:jc w:val="center"/>
        <w:rPr>
          <w:rFonts w:asciiTheme="minorHAnsi" w:hAnsiTheme="minorHAnsi" w:cs="AdvPECF938"/>
        </w:rPr>
      </w:pPr>
      <w:r w:rsidRPr="0013003A">
        <w:rPr>
          <w:rFonts w:asciiTheme="minorHAnsi" w:hAnsiTheme="minorHAnsi" w:cs="AdvPECF938"/>
          <w:noProof/>
        </w:rPr>
        <w:drawing>
          <wp:inline distT="0" distB="0" distL="0" distR="0">
            <wp:extent cx="4095750" cy="3791157"/>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21103" t="12417" r="17671" b="12058"/>
                    <a:stretch>
                      <a:fillRect/>
                    </a:stretch>
                  </pic:blipFill>
                  <pic:spPr bwMode="auto">
                    <a:xfrm>
                      <a:off x="0" y="0"/>
                      <a:ext cx="4095750" cy="3791157"/>
                    </a:xfrm>
                    <a:prstGeom prst="rect">
                      <a:avLst/>
                    </a:prstGeom>
                    <a:noFill/>
                    <a:ln w="9525">
                      <a:noFill/>
                      <a:miter lim="800000"/>
                      <a:headEnd/>
                      <a:tailEnd/>
                    </a:ln>
                  </pic:spPr>
                </pic:pic>
              </a:graphicData>
            </a:graphic>
          </wp:inline>
        </w:drawing>
      </w:r>
    </w:p>
    <w:p w:rsidR="00AE45CB" w:rsidRDefault="00AE45CB" w:rsidP="00AE45CB">
      <w:pPr>
        <w:rPr>
          <w:rFonts w:asciiTheme="minorHAnsi" w:hAnsiTheme="minorHAnsi" w:cs="AdvPECF938"/>
        </w:rPr>
      </w:pPr>
    </w:p>
    <w:p w:rsidR="00AE45CB" w:rsidRDefault="00AE45CB" w:rsidP="00AE45CB">
      <w:pPr>
        <w:jc w:val="both"/>
        <w:rPr>
          <w:rFonts w:asciiTheme="minorHAnsi" w:hAnsiTheme="minorHAnsi" w:cs="AdvPECF938"/>
        </w:rPr>
      </w:pPr>
      <w:r>
        <w:rPr>
          <w:rFonts w:asciiTheme="minorHAnsi" w:hAnsiTheme="minorHAnsi" w:cs="AdvPECF938"/>
        </w:rPr>
        <w:t>Here the influences on health and well-being are presented as socio-environmental vectors that include state, market and civil society</w:t>
      </w:r>
      <w:r w:rsidRPr="00614BEE">
        <w:rPr>
          <w:rFonts w:asciiTheme="minorHAnsi" w:hAnsiTheme="minorHAnsi" w:cs="AdvPECF938"/>
        </w:rPr>
        <w:t xml:space="preserve"> </w:t>
      </w:r>
      <w:r>
        <w:rPr>
          <w:rFonts w:asciiTheme="minorHAnsi" w:hAnsiTheme="minorHAnsi" w:cs="AdvPECF938"/>
        </w:rPr>
        <w:t>(the population wide vector); social institutions such as schools, workplaces and health care organisations</w:t>
      </w:r>
      <w:r w:rsidRPr="00614BEE">
        <w:rPr>
          <w:rFonts w:asciiTheme="minorHAnsi" w:hAnsiTheme="minorHAnsi" w:cs="AdvPECF938"/>
        </w:rPr>
        <w:t xml:space="preserve"> </w:t>
      </w:r>
      <w:r>
        <w:rPr>
          <w:rFonts w:asciiTheme="minorHAnsi" w:hAnsiTheme="minorHAnsi" w:cs="AdvPECF938"/>
        </w:rPr>
        <w:t>(the organisational vector) and social divisions, socially patterned behaviour (‘lifestyles’</w:t>
      </w:r>
      <w:r w:rsidRPr="00614BEE">
        <w:rPr>
          <w:rFonts w:asciiTheme="minorHAnsi" w:hAnsiTheme="minorHAnsi" w:cs="AdvPECF938"/>
        </w:rPr>
        <w:t xml:space="preserve"> </w:t>
      </w:r>
      <w:r>
        <w:rPr>
          <w:rFonts w:asciiTheme="minorHAnsi" w:hAnsiTheme="minorHAnsi" w:cs="AdvPECF938"/>
        </w:rPr>
        <w:t xml:space="preserve">or the social-cultural vector). </w:t>
      </w:r>
    </w:p>
    <w:p w:rsidR="00AE45CB" w:rsidRDefault="00AE45CB" w:rsidP="00AE45CB">
      <w:pPr>
        <w:jc w:val="both"/>
        <w:rPr>
          <w:rFonts w:asciiTheme="minorHAnsi" w:hAnsiTheme="minorHAnsi" w:cs="AdvPECF938"/>
        </w:rPr>
      </w:pPr>
    </w:p>
    <w:p w:rsidR="00AE45CB" w:rsidRDefault="00AE45CB" w:rsidP="00AE45CB">
      <w:pPr>
        <w:jc w:val="both"/>
        <w:rPr>
          <w:rFonts w:asciiTheme="minorHAnsi" w:hAnsiTheme="minorHAnsi" w:cs="AdvPECF938"/>
        </w:rPr>
      </w:pPr>
      <w:r>
        <w:rPr>
          <w:rFonts w:asciiTheme="minorHAnsi" w:hAnsiTheme="minorHAnsi" w:cs="AdvPECF938"/>
        </w:rPr>
        <w:lastRenderedPageBreak/>
        <w:t>This is a causal model in which, empirically, the vectors overlap and interact</w:t>
      </w:r>
      <w:r w:rsidRPr="00614BEE">
        <w:rPr>
          <w:rFonts w:asciiTheme="minorHAnsi" w:hAnsiTheme="minorHAnsi" w:cs="AdvPECF938"/>
        </w:rPr>
        <w:t xml:space="preserve"> </w:t>
      </w:r>
      <w:r>
        <w:rPr>
          <w:rFonts w:asciiTheme="minorHAnsi" w:hAnsiTheme="minorHAnsi" w:cs="AdvPECF938"/>
        </w:rPr>
        <w:t xml:space="preserve">as forces to produce individual health outcomes. At the level of the individual Kelly et al conceptualise their effects through the ‘life-course’ – or the lifetime accumulation of health ‘insults’ and benefits, critical points in the life trajectory and the ‘life world’ –or the subjective locus of experience. </w:t>
      </w:r>
    </w:p>
    <w:p w:rsidR="00AE45CB" w:rsidRDefault="00AE45CB" w:rsidP="00AE45CB">
      <w:pPr>
        <w:jc w:val="both"/>
        <w:rPr>
          <w:rFonts w:asciiTheme="minorHAnsi" w:hAnsiTheme="minorHAnsi" w:cs="AdvPECF938"/>
        </w:rPr>
      </w:pPr>
    </w:p>
    <w:p w:rsidR="00AE45CB" w:rsidRDefault="00AE45CB" w:rsidP="00AE45CB">
      <w:pPr>
        <w:jc w:val="both"/>
        <w:rPr>
          <w:rFonts w:asciiTheme="minorHAnsi" w:hAnsiTheme="minorHAnsi" w:cs="AdvPECF938"/>
        </w:rPr>
      </w:pPr>
      <w:r>
        <w:rPr>
          <w:rFonts w:asciiTheme="minorHAnsi" w:hAnsiTheme="minorHAnsi" w:cs="AdvPECF938"/>
        </w:rPr>
        <w:t>Analytically these are considered separately to better inform behaviour change interventions. Michie et al</w:t>
      </w:r>
      <w:r w:rsidR="0087688F">
        <w:rPr>
          <w:rFonts w:asciiTheme="minorHAnsi" w:hAnsiTheme="minorHAnsi" w:cs="AdvPECF938"/>
        </w:rPr>
        <w:t>’s</w:t>
      </w:r>
      <w:r w:rsidR="0087688F">
        <w:rPr>
          <w:rStyle w:val="EndnoteReference"/>
          <w:rFonts w:asciiTheme="minorHAnsi" w:hAnsiTheme="minorHAnsi" w:cs="AdvPECF938"/>
        </w:rPr>
        <w:endnoteReference w:id="92"/>
      </w:r>
      <w:r w:rsidR="0087688F">
        <w:rPr>
          <w:rFonts w:asciiTheme="minorHAnsi" w:hAnsiTheme="minorHAnsi" w:cs="AdvPECF938"/>
        </w:rPr>
        <w:t xml:space="preserve"> </w:t>
      </w:r>
      <w:r>
        <w:rPr>
          <w:rFonts w:asciiTheme="minorHAnsi" w:hAnsiTheme="minorHAnsi" w:cs="AdvPECF938"/>
        </w:rPr>
        <w:t>review of behaviour change intervention with low-income groups represents a good example of applied research that takes into account action at population, community and individual levels.</w:t>
      </w:r>
    </w:p>
    <w:p w:rsidR="00AE45CB" w:rsidRDefault="00AE45CB" w:rsidP="00AE45CB">
      <w:pPr>
        <w:rPr>
          <w:b/>
        </w:rPr>
      </w:pPr>
    </w:p>
    <w:p w:rsidR="00AE45CB" w:rsidRPr="000352F0" w:rsidRDefault="00AE45CB" w:rsidP="00AE45CB">
      <w:pPr>
        <w:pBdr>
          <w:top w:val="single" w:sz="4" w:space="1" w:color="auto"/>
          <w:left w:val="single" w:sz="4" w:space="4" w:color="auto"/>
          <w:bottom w:val="single" w:sz="4" w:space="1" w:color="auto"/>
          <w:right w:val="single" w:sz="4" w:space="4" w:color="auto"/>
        </w:pBdr>
        <w:shd w:val="clear" w:color="auto" w:fill="CCFFFF"/>
        <w:rPr>
          <w:rFonts w:asciiTheme="minorHAnsi" w:hAnsiTheme="minorHAnsi"/>
          <w:b/>
        </w:rPr>
      </w:pPr>
      <w:r w:rsidRPr="000352F0">
        <w:rPr>
          <w:rFonts w:asciiTheme="minorHAnsi" w:hAnsiTheme="minorHAnsi"/>
          <w:b/>
        </w:rPr>
        <w:t>Sociology’s contribution to the inter-disciplinary public health agenda: some examples in the recent literature</w:t>
      </w:r>
    </w:p>
    <w:p w:rsidR="00AE45CB" w:rsidRPr="00490BC4" w:rsidRDefault="00AE45CB" w:rsidP="00AE45CB">
      <w:pPr>
        <w:pBdr>
          <w:top w:val="single" w:sz="4" w:space="1" w:color="auto"/>
          <w:left w:val="single" w:sz="4" w:space="4" w:color="auto"/>
          <w:bottom w:val="single" w:sz="4" w:space="1" w:color="auto"/>
          <w:right w:val="single" w:sz="4" w:space="4" w:color="auto"/>
        </w:pBdr>
        <w:shd w:val="clear" w:color="auto" w:fill="CCFFFF"/>
        <w:autoSpaceDE w:val="0"/>
        <w:autoSpaceDN w:val="0"/>
        <w:adjustRightInd w:val="0"/>
        <w:rPr>
          <w:rFonts w:asciiTheme="minorHAnsi" w:hAnsiTheme="minorHAnsi" w:cs="CMBX10"/>
        </w:rPr>
      </w:pPr>
    </w:p>
    <w:p w:rsidR="00AE45CB" w:rsidRPr="00490BC4" w:rsidRDefault="00AE45CB" w:rsidP="00AE45CB">
      <w:pPr>
        <w:pBdr>
          <w:top w:val="single" w:sz="4" w:space="1" w:color="auto"/>
          <w:left w:val="single" w:sz="4" w:space="4" w:color="auto"/>
          <w:bottom w:val="single" w:sz="4" w:space="1" w:color="auto"/>
          <w:right w:val="single" w:sz="4" w:space="4" w:color="auto"/>
        </w:pBdr>
        <w:shd w:val="clear" w:color="auto" w:fill="CCFFFF"/>
        <w:autoSpaceDE w:val="0"/>
        <w:autoSpaceDN w:val="0"/>
        <w:adjustRightInd w:val="0"/>
        <w:rPr>
          <w:rFonts w:asciiTheme="minorHAnsi" w:hAnsiTheme="minorHAnsi" w:cs="CMBX10"/>
        </w:rPr>
      </w:pPr>
      <w:r w:rsidRPr="00490BC4">
        <w:rPr>
          <w:rFonts w:asciiTheme="minorHAnsi" w:hAnsiTheme="minorHAnsi" w:cs="CMBX10"/>
        </w:rPr>
        <w:t>Barton, H</w:t>
      </w:r>
      <w:r w:rsidR="0087688F">
        <w:rPr>
          <w:rFonts w:asciiTheme="minorHAnsi" w:hAnsiTheme="minorHAnsi" w:cs="CMBX10"/>
        </w:rPr>
        <w:t>.</w:t>
      </w:r>
      <w:r w:rsidRPr="00490BC4">
        <w:rPr>
          <w:rFonts w:asciiTheme="minorHAnsi" w:hAnsiTheme="minorHAnsi" w:cs="CMBX10"/>
        </w:rPr>
        <w:t xml:space="preserve"> and Grant, M</w:t>
      </w:r>
      <w:r w:rsidR="0087688F">
        <w:rPr>
          <w:rFonts w:asciiTheme="minorHAnsi" w:hAnsiTheme="minorHAnsi" w:cs="CMBX10"/>
        </w:rPr>
        <w:t>.</w:t>
      </w:r>
      <w:r w:rsidRPr="00490BC4">
        <w:rPr>
          <w:rFonts w:asciiTheme="minorHAnsi" w:hAnsiTheme="minorHAnsi" w:cs="CMBX10"/>
        </w:rPr>
        <w:t xml:space="preserve"> (2006)</w:t>
      </w:r>
      <w:r w:rsidR="0087688F">
        <w:rPr>
          <w:rFonts w:asciiTheme="minorHAnsi" w:hAnsiTheme="minorHAnsi" w:cs="CMBX10"/>
        </w:rPr>
        <w:t>.</w:t>
      </w:r>
      <w:r w:rsidRPr="00490BC4">
        <w:rPr>
          <w:rFonts w:asciiTheme="minorHAnsi" w:hAnsiTheme="minorHAnsi" w:cs="CMBX10"/>
        </w:rPr>
        <w:t xml:space="preserve"> A health map for the local human habitat. </w:t>
      </w:r>
      <w:r w:rsidRPr="0087688F">
        <w:rPr>
          <w:rFonts w:asciiTheme="minorHAnsi" w:hAnsiTheme="minorHAnsi" w:cs="CMBX10"/>
          <w:i/>
        </w:rPr>
        <w:t>The Journal for the Royal Society for the Promotion of Health</w:t>
      </w:r>
      <w:r w:rsidRPr="00490BC4">
        <w:rPr>
          <w:rFonts w:asciiTheme="minorHAnsi" w:hAnsiTheme="minorHAnsi" w:cs="CMBX10"/>
        </w:rPr>
        <w:t>, 126 (6). pp. 252-253.</w:t>
      </w:r>
    </w:p>
    <w:p w:rsidR="00AE45CB" w:rsidRPr="00490BC4" w:rsidRDefault="00AE45CB" w:rsidP="00AE45CB">
      <w:pPr>
        <w:pBdr>
          <w:top w:val="single" w:sz="4" w:space="1" w:color="auto"/>
          <w:left w:val="single" w:sz="4" w:space="4" w:color="auto"/>
          <w:bottom w:val="single" w:sz="4" w:space="1" w:color="auto"/>
          <w:right w:val="single" w:sz="4" w:space="4" w:color="auto"/>
        </w:pBdr>
        <w:shd w:val="clear" w:color="auto" w:fill="CCFFFF"/>
        <w:rPr>
          <w:b/>
        </w:rPr>
      </w:pPr>
    </w:p>
    <w:p w:rsidR="00AE45CB" w:rsidRPr="00490BC4" w:rsidRDefault="00AE45CB" w:rsidP="00AE45CB">
      <w:pPr>
        <w:pBdr>
          <w:top w:val="single" w:sz="4" w:space="1" w:color="auto"/>
          <w:left w:val="single" w:sz="4" w:space="4" w:color="auto"/>
          <w:bottom w:val="single" w:sz="4" w:space="1" w:color="auto"/>
          <w:right w:val="single" w:sz="4" w:space="4" w:color="auto"/>
        </w:pBdr>
        <w:shd w:val="clear" w:color="auto" w:fill="CCFFFF"/>
        <w:rPr>
          <w:rFonts w:asciiTheme="minorHAnsi" w:hAnsiTheme="minorHAnsi"/>
          <w:bCs/>
        </w:rPr>
      </w:pPr>
      <w:r w:rsidRPr="005022DE">
        <w:rPr>
          <w:rFonts w:asciiTheme="minorHAnsi" w:hAnsiTheme="minorHAnsi"/>
          <w:bCs/>
        </w:rPr>
        <w:t>Kelly</w:t>
      </w:r>
      <w:r w:rsidR="005022DE" w:rsidRPr="005022DE">
        <w:rPr>
          <w:rFonts w:asciiTheme="minorHAnsi" w:hAnsiTheme="minorHAnsi"/>
          <w:bCs/>
        </w:rPr>
        <w:t>,</w:t>
      </w:r>
      <w:r w:rsidRPr="005022DE">
        <w:rPr>
          <w:rFonts w:asciiTheme="minorHAnsi" w:hAnsiTheme="minorHAnsi"/>
          <w:bCs/>
        </w:rPr>
        <w:t xml:space="preserve"> M</w:t>
      </w:r>
      <w:r w:rsidR="005022DE" w:rsidRPr="005022DE">
        <w:rPr>
          <w:rFonts w:asciiTheme="minorHAnsi" w:hAnsiTheme="minorHAnsi"/>
          <w:bCs/>
        </w:rPr>
        <w:t>.</w:t>
      </w:r>
      <w:r w:rsidRPr="005022DE">
        <w:rPr>
          <w:rFonts w:asciiTheme="minorHAnsi" w:hAnsiTheme="minorHAnsi"/>
          <w:bCs/>
        </w:rPr>
        <w:t>P</w:t>
      </w:r>
      <w:r w:rsidR="005022DE">
        <w:t>.</w:t>
      </w:r>
      <w:r w:rsidRPr="00490BC4">
        <w:rPr>
          <w:rFonts w:asciiTheme="minorHAnsi" w:hAnsiTheme="minorHAnsi"/>
          <w:bCs/>
        </w:rPr>
        <w:t xml:space="preserve">, </w:t>
      </w:r>
      <w:r w:rsidRPr="005022DE">
        <w:rPr>
          <w:rFonts w:asciiTheme="minorHAnsi" w:hAnsiTheme="minorHAnsi"/>
          <w:bCs/>
        </w:rPr>
        <w:t>Stewart</w:t>
      </w:r>
      <w:r w:rsidR="005022DE" w:rsidRPr="005022DE">
        <w:rPr>
          <w:rFonts w:asciiTheme="minorHAnsi" w:hAnsiTheme="minorHAnsi"/>
          <w:bCs/>
        </w:rPr>
        <w:t>,</w:t>
      </w:r>
      <w:r w:rsidRPr="005022DE">
        <w:rPr>
          <w:rFonts w:asciiTheme="minorHAnsi" w:hAnsiTheme="minorHAnsi"/>
          <w:bCs/>
        </w:rPr>
        <w:t xml:space="preserve"> E</w:t>
      </w:r>
      <w:r w:rsidR="005022DE">
        <w:t>.</w:t>
      </w:r>
      <w:r w:rsidRPr="00490BC4">
        <w:rPr>
          <w:rFonts w:asciiTheme="minorHAnsi" w:hAnsiTheme="minorHAnsi"/>
          <w:bCs/>
        </w:rPr>
        <w:t xml:space="preserve">, </w:t>
      </w:r>
      <w:r w:rsidRPr="005022DE">
        <w:rPr>
          <w:rFonts w:asciiTheme="minorHAnsi" w:hAnsiTheme="minorHAnsi"/>
          <w:bCs/>
        </w:rPr>
        <w:t>Morgan</w:t>
      </w:r>
      <w:r w:rsidR="005022DE" w:rsidRPr="005022DE">
        <w:rPr>
          <w:rFonts w:asciiTheme="minorHAnsi" w:hAnsiTheme="minorHAnsi"/>
          <w:bCs/>
        </w:rPr>
        <w:t>,</w:t>
      </w:r>
      <w:r w:rsidRPr="005022DE">
        <w:rPr>
          <w:rFonts w:asciiTheme="minorHAnsi" w:hAnsiTheme="minorHAnsi"/>
          <w:bCs/>
        </w:rPr>
        <w:t xml:space="preserve"> A</w:t>
      </w:r>
      <w:r w:rsidR="005022DE">
        <w:t>.</w:t>
      </w:r>
      <w:r w:rsidRPr="00490BC4">
        <w:rPr>
          <w:rFonts w:asciiTheme="minorHAnsi" w:hAnsiTheme="minorHAnsi"/>
          <w:bCs/>
        </w:rPr>
        <w:t xml:space="preserve">, </w:t>
      </w:r>
      <w:r w:rsidRPr="005022DE">
        <w:rPr>
          <w:rFonts w:asciiTheme="minorHAnsi" w:hAnsiTheme="minorHAnsi"/>
          <w:bCs/>
        </w:rPr>
        <w:t>Killoran</w:t>
      </w:r>
      <w:r w:rsidR="005022DE" w:rsidRPr="005022DE">
        <w:rPr>
          <w:rFonts w:asciiTheme="minorHAnsi" w:hAnsiTheme="minorHAnsi"/>
          <w:bCs/>
        </w:rPr>
        <w:t>,</w:t>
      </w:r>
      <w:r w:rsidRPr="005022DE">
        <w:rPr>
          <w:rFonts w:asciiTheme="minorHAnsi" w:hAnsiTheme="minorHAnsi"/>
          <w:bCs/>
        </w:rPr>
        <w:t xml:space="preserve"> A</w:t>
      </w:r>
      <w:r w:rsidR="005022DE">
        <w:t>.</w:t>
      </w:r>
      <w:r w:rsidRPr="00490BC4">
        <w:rPr>
          <w:rFonts w:asciiTheme="minorHAnsi" w:hAnsiTheme="minorHAnsi"/>
          <w:bCs/>
        </w:rPr>
        <w:t xml:space="preserve">, </w:t>
      </w:r>
      <w:r w:rsidRPr="005022DE">
        <w:rPr>
          <w:rFonts w:asciiTheme="minorHAnsi" w:hAnsiTheme="minorHAnsi"/>
          <w:bCs/>
        </w:rPr>
        <w:t>Fischer</w:t>
      </w:r>
      <w:r w:rsidR="005022DE" w:rsidRPr="005022DE">
        <w:rPr>
          <w:rFonts w:asciiTheme="minorHAnsi" w:hAnsiTheme="minorHAnsi"/>
          <w:bCs/>
        </w:rPr>
        <w:t>,</w:t>
      </w:r>
      <w:r w:rsidRPr="005022DE">
        <w:rPr>
          <w:rFonts w:asciiTheme="minorHAnsi" w:hAnsiTheme="minorHAnsi"/>
          <w:bCs/>
        </w:rPr>
        <w:t xml:space="preserve"> A</w:t>
      </w:r>
      <w:r w:rsidR="005022DE">
        <w:t>.</w:t>
      </w:r>
      <w:r w:rsidRPr="00490BC4">
        <w:rPr>
          <w:rFonts w:asciiTheme="minorHAnsi" w:hAnsiTheme="minorHAnsi"/>
          <w:bCs/>
        </w:rPr>
        <w:t xml:space="preserve">, </w:t>
      </w:r>
      <w:r w:rsidRPr="005022DE">
        <w:rPr>
          <w:rFonts w:asciiTheme="minorHAnsi" w:hAnsiTheme="minorHAnsi"/>
          <w:bCs/>
        </w:rPr>
        <w:t>Threlfall</w:t>
      </w:r>
      <w:r w:rsidR="005022DE" w:rsidRPr="005022DE">
        <w:rPr>
          <w:rFonts w:asciiTheme="minorHAnsi" w:hAnsiTheme="minorHAnsi"/>
          <w:bCs/>
        </w:rPr>
        <w:t>,</w:t>
      </w:r>
      <w:r w:rsidRPr="005022DE">
        <w:rPr>
          <w:rFonts w:asciiTheme="minorHAnsi" w:hAnsiTheme="minorHAnsi"/>
          <w:bCs/>
        </w:rPr>
        <w:t xml:space="preserve"> A</w:t>
      </w:r>
      <w:r w:rsidR="005022DE">
        <w:t>.</w:t>
      </w:r>
      <w:r w:rsidR="005022DE">
        <w:rPr>
          <w:rFonts w:asciiTheme="minorHAnsi" w:hAnsiTheme="minorHAnsi"/>
          <w:bCs/>
        </w:rPr>
        <w:t xml:space="preserve"> and</w:t>
      </w:r>
      <w:r w:rsidRPr="00490BC4">
        <w:rPr>
          <w:rFonts w:asciiTheme="minorHAnsi" w:hAnsiTheme="minorHAnsi"/>
          <w:bCs/>
        </w:rPr>
        <w:t xml:space="preserve"> </w:t>
      </w:r>
      <w:r w:rsidRPr="005022DE">
        <w:rPr>
          <w:rFonts w:asciiTheme="minorHAnsi" w:hAnsiTheme="minorHAnsi"/>
          <w:bCs/>
        </w:rPr>
        <w:t>Bonnefoy</w:t>
      </w:r>
      <w:r w:rsidR="005022DE" w:rsidRPr="005022DE">
        <w:rPr>
          <w:rFonts w:asciiTheme="minorHAnsi" w:hAnsiTheme="minorHAnsi"/>
          <w:bCs/>
        </w:rPr>
        <w:t>,</w:t>
      </w:r>
      <w:r w:rsidRPr="005022DE">
        <w:rPr>
          <w:rFonts w:asciiTheme="minorHAnsi" w:hAnsiTheme="minorHAnsi"/>
          <w:bCs/>
        </w:rPr>
        <w:t xml:space="preserve"> J</w:t>
      </w:r>
      <w:r w:rsidR="005022DE">
        <w:t>.</w:t>
      </w:r>
      <w:r w:rsidRPr="00490BC4">
        <w:rPr>
          <w:rFonts w:asciiTheme="minorHAnsi" w:hAnsiTheme="minorHAnsi"/>
        </w:rPr>
        <w:t xml:space="preserve"> (</w:t>
      </w:r>
      <w:r w:rsidRPr="00490BC4">
        <w:rPr>
          <w:rFonts w:asciiTheme="minorHAnsi" w:hAnsiTheme="minorHAnsi"/>
          <w:bCs/>
        </w:rPr>
        <w:t>2009)</w:t>
      </w:r>
      <w:r w:rsidR="0087688F">
        <w:rPr>
          <w:rFonts w:asciiTheme="minorHAnsi" w:hAnsiTheme="minorHAnsi"/>
          <w:bCs/>
        </w:rPr>
        <w:t>.</w:t>
      </w:r>
      <w:r w:rsidRPr="00490BC4">
        <w:rPr>
          <w:rFonts w:asciiTheme="minorHAnsi" w:hAnsiTheme="minorHAnsi"/>
          <w:bCs/>
        </w:rPr>
        <w:t xml:space="preserve"> A </w:t>
      </w:r>
      <w:r w:rsidRPr="00490BC4">
        <w:rPr>
          <w:rFonts w:asciiTheme="minorHAnsi" w:hAnsiTheme="minorHAnsi"/>
        </w:rPr>
        <w:t>conceptual framework for public health: NICE's emerging approach.</w:t>
      </w:r>
      <w:r w:rsidRPr="00490BC4">
        <w:rPr>
          <w:rFonts w:asciiTheme="minorHAnsi" w:hAnsiTheme="minorHAnsi"/>
          <w:bCs/>
        </w:rPr>
        <w:t xml:space="preserve"> </w:t>
      </w:r>
      <w:r w:rsidRPr="005022DE">
        <w:rPr>
          <w:rFonts w:asciiTheme="minorHAnsi" w:hAnsiTheme="minorHAnsi"/>
          <w:bCs/>
          <w:i/>
        </w:rPr>
        <w:t>Public Health</w:t>
      </w:r>
      <w:r w:rsidR="005022DE">
        <w:rPr>
          <w:rFonts w:asciiTheme="minorHAnsi" w:hAnsiTheme="minorHAnsi"/>
          <w:bCs/>
        </w:rPr>
        <w:t>,</w:t>
      </w:r>
      <w:r w:rsidRPr="00490BC4">
        <w:rPr>
          <w:rFonts w:asciiTheme="minorHAnsi" w:hAnsiTheme="minorHAnsi"/>
          <w:bCs/>
        </w:rPr>
        <w:t xml:space="preserve"> 12</w:t>
      </w:r>
      <w:r w:rsidR="005022DE">
        <w:rPr>
          <w:rFonts w:asciiTheme="minorHAnsi" w:hAnsiTheme="minorHAnsi"/>
          <w:bCs/>
        </w:rPr>
        <w:t xml:space="preserve">3(1): </w:t>
      </w:r>
      <w:r w:rsidRPr="00490BC4">
        <w:rPr>
          <w:rFonts w:asciiTheme="minorHAnsi" w:hAnsiTheme="minorHAnsi"/>
          <w:bCs/>
        </w:rPr>
        <w:t>14-20.</w:t>
      </w:r>
    </w:p>
    <w:p w:rsidR="00AE45CB" w:rsidRPr="00490BC4" w:rsidRDefault="00AE45CB" w:rsidP="00AE45CB">
      <w:pPr>
        <w:pBdr>
          <w:top w:val="single" w:sz="4" w:space="1" w:color="auto"/>
          <w:left w:val="single" w:sz="4" w:space="4" w:color="auto"/>
          <w:bottom w:val="single" w:sz="4" w:space="1" w:color="auto"/>
          <w:right w:val="single" w:sz="4" w:space="4" w:color="auto"/>
        </w:pBdr>
        <w:shd w:val="clear" w:color="auto" w:fill="CCFFFF"/>
        <w:rPr>
          <w:rFonts w:asciiTheme="minorHAnsi" w:hAnsiTheme="minorHAnsi"/>
          <w:bCs/>
        </w:rPr>
      </w:pPr>
    </w:p>
    <w:p w:rsidR="00AE45CB" w:rsidRPr="00490BC4" w:rsidRDefault="00AE45CB" w:rsidP="00AE45CB">
      <w:pPr>
        <w:pBdr>
          <w:top w:val="single" w:sz="4" w:space="1" w:color="auto"/>
          <w:left w:val="single" w:sz="4" w:space="4" w:color="auto"/>
          <w:bottom w:val="single" w:sz="4" w:space="1" w:color="auto"/>
          <w:right w:val="single" w:sz="4" w:space="4" w:color="auto"/>
        </w:pBdr>
        <w:shd w:val="clear" w:color="auto" w:fill="CCFFFF"/>
        <w:autoSpaceDE w:val="0"/>
        <w:autoSpaceDN w:val="0"/>
        <w:adjustRightInd w:val="0"/>
        <w:rPr>
          <w:rFonts w:asciiTheme="minorHAnsi" w:hAnsiTheme="minorHAnsi" w:cs="Arial"/>
        </w:rPr>
      </w:pPr>
      <w:r w:rsidRPr="00490BC4">
        <w:rPr>
          <w:rFonts w:asciiTheme="minorHAnsi" w:hAnsiTheme="minorHAnsi" w:cs="AdvOT863180fb"/>
        </w:rPr>
        <w:t>Krieger</w:t>
      </w:r>
      <w:r w:rsidR="0087688F">
        <w:rPr>
          <w:rFonts w:asciiTheme="minorHAnsi" w:hAnsiTheme="minorHAnsi" w:cs="AdvOT863180fb"/>
        </w:rPr>
        <w:t>,</w:t>
      </w:r>
      <w:r w:rsidRPr="00490BC4">
        <w:rPr>
          <w:rFonts w:asciiTheme="minorHAnsi" w:hAnsiTheme="minorHAnsi" w:cs="AdvOT863180fb"/>
        </w:rPr>
        <w:t xml:space="preserve"> N. (2008)</w:t>
      </w:r>
      <w:r w:rsidR="0087688F">
        <w:rPr>
          <w:rFonts w:asciiTheme="minorHAnsi" w:hAnsiTheme="minorHAnsi" w:cs="AdvOT863180fb"/>
        </w:rPr>
        <w:t>.</w:t>
      </w:r>
      <w:r w:rsidRPr="00490BC4">
        <w:rPr>
          <w:rFonts w:asciiTheme="minorHAnsi" w:hAnsiTheme="minorHAnsi" w:cs="AdvOT863180fb"/>
        </w:rPr>
        <w:t xml:space="preserve"> Proximal, distal and the politics of causation: what’s level got to do with it? </w:t>
      </w:r>
      <w:r w:rsidRPr="0087688F">
        <w:rPr>
          <w:rFonts w:asciiTheme="minorHAnsi" w:hAnsiTheme="minorHAnsi" w:cs="AdvOTb92eb7df.I"/>
          <w:i/>
        </w:rPr>
        <w:t>American Journal of Public Health</w:t>
      </w:r>
      <w:r w:rsidR="0087688F">
        <w:rPr>
          <w:rFonts w:asciiTheme="minorHAnsi" w:hAnsiTheme="minorHAnsi" w:cs="AdvOTb83ee1dd.B"/>
        </w:rPr>
        <w:t>,</w:t>
      </w:r>
      <w:r w:rsidRPr="0087688F">
        <w:rPr>
          <w:rFonts w:asciiTheme="minorHAnsi" w:hAnsiTheme="minorHAnsi" w:cs="AdvOTb83ee1dd.B"/>
        </w:rPr>
        <w:t xml:space="preserve"> </w:t>
      </w:r>
      <w:r w:rsidRPr="00490BC4">
        <w:rPr>
          <w:rFonts w:asciiTheme="minorHAnsi" w:hAnsiTheme="minorHAnsi" w:cs="AdvOTb83ee1dd.B"/>
        </w:rPr>
        <w:t>98</w:t>
      </w:r>
      <w:r w:rsidRPr="00490BC4">
        <w:rPr>
          <w:rFonts w:asciiTheme="minorHAnsi" w:hAnsiTheme="minorHAnsi" w:cs="AdvOT863180fb"/>
        </w:rPr>
        <w:t>:</w:t>
      </w:r>
      <w:r w:rsidR="0087688F">
        <w:rPr>
          <w:rFonts w:asciiTheme="minorHAnsi" w:hAnsiTheme="minorHAnsi" w:cs="AdvOT863180fb"/>
        </w:rPr>
        <w:t xml:space="preserve"> </w:t>
      </w:r>
      <w:r w:rsidRPr="00490BC4">
        <w:rPr>
          <w:rFonts w:asciiTheme="minorHAnsi" w:hAnsiTheme="minorHAnsi" w:cs="AdvOT863180fb"/>
        </w:rPr>
        <w:t>221–30.</w:t>
      </w:r>
    </w:p>
    <w:p w:rsidR="00AE45CB" w:rsidRPr="00490BC4" w:rsidRDefault="00AE45CB" w:rsidP="00AE45CB">
      <w:pPr>
        <w:pBdr>
          <w:top w:val="single" w:sz="4" w:space="1" w:color="auto"/>
          <w:left w:val="single" w:sz="4" w:space="4" w:color="auto"/>
          <w:bottom w:val="single" w:sz="4" w:space="1" w:color="auto"/>
          <w:right w:val="single" w:sz="4" w:space="4" w:color="auto"/>
        </w:pBdr>
        <w:shd w:val="clear" w:color="auto" w:fill="CCFFFF"/>
        <w:rPr>
          <w:rFonts w:asciiTheme="minorHAnsi" w:hAnsiTheme="minorHAnsi"/>
        </w:rPr>
      </w:pPr>
    </w:p>
    <w:p w:rsidR="00AE45CB" w:rsidRPr="00490BC4" w:rsidRDefault="00AE45CB" w:rsidP="00AE45CB">
      <w:pPr>
        <w:pBdr>
          <w:top w:val="single" w:sz="4" w:space="1" w:color="auto"/>
          <w:left w:val="single" w:sz="4" w:space="4" w:color="auto"/>
          <w:bottom w:val="single" w:sz="4" w:space="1" w:color="auto"/>
          <w:right w:val="single" w:sz="4" w:space="4" w:color="auto"/>
        </w:pBdr>
        <w:shd w:val="clear" w:color="auto" w:fill="CCFFFF"/>
        <w:rPr>
          <w:rFonts w:asciiTheme="minorHAnsi" w:hAnsiTheme="minorHAnsi"/>
        </w:rPr>
      </w:pPr>
      <w:r w:rsidRPr="00490BC4">
        <w:rPr>
          <w:rFonts w:asciiTheme="minorHAnsi" w:hAnsiTheme="minorHAnsi"/>
        </w:rPr>
        <w:t>Solar</w:t>
      </w:r>
      <w:r w:rsidR="0087688F">
        <w:rPr>
          <w:rFonts w:asciiTheme="minorHAnsi" w:hAnsiTheme="minorHAnsi"/>
        </w:rPr>
        <w:t>,</w:t>
      </w:r>
      <w:r w:rsidRPr="00490BC4">
        <w:rPr>
          <w:rFonts w:asciiTheme="minorHAnsi" w:hAnsiTheme="minorHAnsi"/>
        </w:rPr>
        <w:t xml:space="preserve"> O</w:t>
      </w:r>
      <w:r w:rsidR="0087688F">
        <w:rPr>
          <w:rFonts w:asciiTheme="minorHAnsi" w:hAnsiTheme="minorHAnsi"/>
        </w:rPr>
        <w:t>. and</w:t>
      </w:r>
      <w:r w:rsidRPr="00490BC4">
        <w:rPr>
          <w:rFonts w:asciiTheme="minorHAnsi" w:hAnsiTheme="minorHAnsi"/>
        </w:rPr>
        <w:t xml:space="preserve"> Irwin</w:t>
      </w:r>
      <w:r w:rsidR="0087688F">
        <w:rPr>
          <w:rFonts w:asciiTheme="minorHAnsi" w:hAnsiTheme="minorHAnsi"/>
        </w:rPr>
        <w:t>,</w:t>
      </w:r>
      <w:r w:rsidRPr="00490BC4">
        <w:rPr>
          <w:rFonts w:asciiTheme="minorHAnsi" w:hAnsiTheme="minorHAnsi"/>
        </w:rPr>
        <w:t xml:space="preserve"> A. (2007)</w:t>
      </w:r>
      <w:r w:rsidR="0087688F">
        <w:rPr>
          <w:rFonts w:asciiTheme="minorHAnsi" w:hAnsiTheme="minorHAnsi"/>
        </w:rPr>
        <w:t>.</w:t>
      </w:r>
      <w:r w:rsidRPr="00490BC4">
        <w:rPr>
          <w:rFonts w:asciiTheme="minorHAnsi" w:hAnsiTheme="minorHAnsi"/>
        </w:rPr>
        <w:t xml:space="preserve"> Towards a conceptual framework for analysis and action on the social determinants of health. Geneva: WHO Commission on Social Determinants of Health</w:t>
      </w:r>
      <w:r w:rsidR="0087688F">
        <w:rPr>
          <w:rFonts w:asciiTheme="minorHAnsi" w:hAnsiTheme="minorHAnsi"/>
        </w:rPr>
        <w:t>.</w:t>
      </w:r>
    </w:p>
    <w:p w:rsidR="00AE45CB" w:rsidRPr="00490BC4" w:rsidRDefault="00AE45CB" w:rsidP="00AE45CB">
      <w:pPr>
        <w:pBdr>
          <w:top w:val="single" w:sz="4" w:space="1" w:color="auto"/>
          <w:left w:val="single" w:sz="4" w:space="4" w:color="auto"/>
          <w:bottom w:val="single" w:sz="4" w:space="1" w:color="auto"/>
          <w:right w:val="single" w:sz="4" w:space="4" w:color="auto"/>
        </w:pBdr>
        <w:shd w:val="clear" w:color="auto" w:fill="CCFFFF"/>
        <w:autoSpaceDE w:val="0"/>
        <w:autoSpaceDN w:val="0"/>
        <w:adjustRightInd w:val="0"/>
        <w:rPr>
          <w:rFonts w:asciiTheme="minorHAnsi" w:hAnsiTheme="minorHAnsi" w:cs="AdvOT863180fb"/>
        </w:rPr>
      </w:pPr>
    </w:p>
    <w:p w:rsidR="00AE45CB" w:rsidRPr="00490BC4" w:rsidRDefault="00AE45CB" w:rsidP="00AE45CB">
      <w:pPr>
        <w:pBdr>
          <w:top w:val="single" w:sz="4" w:space="1" w:color="auto"/>
          <w:left w:val="single" w:sz="4" w:space="4" w:color="auto"/>
          <w:bottom w:val="single" w:sz="4" w:space="1" w:color="auto"/>
          <w:right w:val="single" w:sz="4" w:space="4" w:color="auto"/>
        </w:pBdr>
        <w:shd w:val="clear" w:color="auto" w:fill="CCFFFF"/>
        <w:autoSpaceDE w:val="0"/>
        <w:autoSpaceDN w:val="0"/>
        <w:adjustRightInd w:val="0"/>
        <w:rPr>
          <w:rFonts w:asciiTheme="minorHAnsi" w:hAnsiTheme="minorHAnsi" w:cs="CMBX10"/>
        </w:rPr>
      </w:pPr>
      <w:r w:rsidRPr="00490BC4">
        <w:rPr>
          <w:rFonts w:asciiTheme="minorHAnsi" w:hAnsiTheme="minorHAnsi" w:cs="CMBX10"/>
        </w:rPr>
        <w:t>National Institute of Health and Clinical Excellence (2007)</w:t>
      </w:r>
      <w:r w:rsidR="0087688F">
        <w:rPr>
          <w:rFonts w:asciiTheme="minorHAnsi" w:hAnsiTheme="minorHAnsi" w:cs="CMBX10"/>
        </w:rPr>
        <w:t>.</w:t>
      </w:r>
      <w:r w:rsidRPr="00490BC4">
        <w:rPr>
          <w:rFonts w:asciiTheme="minorHAnsi" w:hAnsiTheme="minorHAnsi" w:cs="CMBX10"/>
        </w:rPr>
        <w:t xml:space="preserve"> Behaviour change at population, community and individual levels (Public Health Guidance 6)</w:t>
      </w:r>
      <w:r w:rsidR="0087688F">
        <w:rPr>
          <w:rFonts w:asciiTheme="minorHAnsi" w:hAnsiTheme="minorHAnsi" w:cs="CMBX10"/>
        </w:rPr>
        <w:t>.</w:t>
      </w:r>
      <w:r w:rsidRPr="00490BC4">
        <w:rPr>
          <w:rFonts w:asciiTheme="minorHAnsi" w:hAnsiTheme="minorHAnsi" w:cs="CMBX10"/>
        </w:rPr>
        <w:t xml:space="preserve"> </w:t>
      </w:r>
    </w:p>
    <w:p w:rsidR="00AE45CB" w:rsidRPr="00490BC4" w:rsidRDefault="00AE45CB" w:rsidP="00AE45CB">
      <w:pPr>
        <w:pBdr>
          <w:top w:val="single" w:sz="4" w:space="1" w:color="auto"/>
          <w:left w:val="single" w:sz="4" w:space="4" w:color="auto"/>
          <w:bottom w:val="single" w:sz="4" w:space="1" w:color="auto"/>
          <w:right w:val="single" w:sz="4" w:space="4" w:color="auto"/>
        </w:pBdr>
        <w:shd w:val="clear" w:color="auto" w:fill="CCFFFF"/>
        <w:rPr>
          <w:rFonts w:asciiTheme="minorHAnsi" w:hAnsiTheme="minorHAnsi" w:cs="AdvPECF938"/>
        </w:rPr>
      </w:pPr>
    </w:p>
    <w:p w:rsidR="00AE45CB" w:rsidRPr="00490BC4" w:rsidRDefault="00AE45CB" w:rsidP="00AE45CB">
      <w:pPr>
        <w:pBdr>
          <w:top w:val="single" w:sz="4" w:space="1" w:color="auto"/>
          <w:left w:val="single" w:sz="4" w:space="4" w:color="auto"/>
          <w:bottom w:val="single" w:sz="4" w:space="1" w:color="auto"/>
          <w:right w:val="single" w:sz="4" w:space="4" w:color="auto"/>
        </w:pBdr>
        <w:shd w:val="clear" w:color="auto" w:fill="CCFFFF"/>
        <w:rPr>
          <w:rFonts w:asciiTheme="minorHAnsi" w:hAnsiTheme="minorHAnsi" w:cs="AdvPECF938"/>
        </w:rPr>
      </w:pPr>
      <w:r w:rsidRPr="00490BC4">
        <w:rPr>
          <w:rFonts w:asciiTheme="minorHAnsi" w:hAnsiTheme="minorHAnsi" w:cs="AdvPECF938"/>
        </w:rPr>
        <w:t>Michie, S</w:t>
      </w:r>
      <w:r w:rsidR="0087688F">
        <w:rPr>
          <w:rFonts w:asciiTheme="minorHAnsi" w:hAnsiTheme="minorHAnsi" w:cs="AdvPECF938"/>
        </w:rPr>
        <w:t>.</w:t>
      </w:r>
      <w:r w:rsidRPr="00490BC4">
        <w:rPr>
          <w:rFonts w:asciiTheme="minorHAnsi" w:hAnsiTheme="minorHAnsi" w:cs="AdvPECF938"/>
        </w:rPr>
        <w:t>, Jochelson</w:t>
      </w:r>
      <w:r w:rsidR="0087688F">
        <w:rPr>
          <w:rFonts w:asciiTheme="minorHAnsi" w:hAnsiTheme="minorHAnsi" w:cs="AdvPECF938"/>
        </w:rPr>
        <w:t>,</w:t>
      </w:r>
      <w:r w:rsidRPr="00490BC4">
        <w:rPr>
          <w:rFonts w:asciiTheme="minorHAnsi" w:hAnsiTheme="minorHAnsi" w:cs="AdvPECF938"/>
        </w:rPr>
        <w:t xml:space="preserve"> K</w:t>
      </w:r>
      <w:r w:rsidR="0087688F">
        <w:rPr>
          <w:rFonts w:asciiTheme="minorHAnsi" w:hAnsiTheme="minorHAnsi" w:cs="AdvPECF938"/>
        </w:rPr>
        <w:t>.</w:t>
      </w:r>
      <w:r w:rsidRPr="00490BC4">
        <w:rPr>
          <w:rFonts w:asciiTheme="minorHAnsi" w:hAnsiTheme="minorHAnsi" w:cs="AdvPECF938"/>
        </w:rPr>
        <w:t>, Markham</w:t>
      </w:r>
      <w:r w:rsidR="0087688F">
        <w:rPr>
          <w:rFonts w:asciiTheme="minorHAnsi" w:hAnsiTheme="minorHAnsi" w:cs="AdvPECF938"/>
        </w:rPr>
        <w:t>,</w:t>
      </w:r>
      <w:r w:rsidRPr="00490BC4">
        <w:rPr>
          <w:rFonts w:asciiTheme="minorHAnsi" w:hAnsiTheme="minorHAnsi" w:cs="AdvPECF938"/>
        </w:rPr>
        <w:t xml:space="preserve"> W</w:t>
      </w:r>
      <w:r w:rsidR="0087688F">
        <w:rPr>
          <w:rFonts w:asciiTheme="minorHAnsi" w:hAnsiTheme="minorHAnsi" w:cs="AdvPECF938"/>
        </w:rPr>
        <w:t>. and</w:t>
      </w:r>
      <w:r w:rsidRPr="00490BC4">
        <w:rPr>
          <w:rFonts w:asciiTheme="minorHAnsi" w:hAnsiTheme="minorHAnsi" w:cs="AdvPECF938"/>
        </w:rPr>
        <w:t xml:space="preserve"> Bridle</w:t>
      </w:r>
      <w:r w:rsidR="0087688F">
        <w:rPr>
          <w:rFonts w:asciiTheme="minorHAnsi" w:hAnsiTheme="minorHAnsi" w:cs="AdvPECF938"/>
        </w:rPr>
        <w:t>,</w:t>
      </w:r>
      <w:r w:rsidRPr="00490BC4">
        <w:rPr>
          <w:rFonts w:asciiTheme="minorHAnsi" w:hAnsiTheme="minorHAnsi" w:cs="AdvPECF938"/>
        </w:rPr>
        <w:t xml:space="preserve"> C</w:t>
      </w:r>
      <w:r w:rsidR="0087688F">
        <w:rPr>
          <w:rFonts w:asciiTheme="minorHAnsi" w:hAnsiTheme="minorHAnsi" w:cs="AdvPECF938"/>
        </w:rPr>
        <w:t>.</w:t>
      </w:r>
      <w:r w:rsidRPr="00490BC4">
        <w:rPr>
          <w:rFonts w:asciiTheme="minorHAnsi" w:hAnsiTheme="minorHAnsi" w:cs="AdvPECF938"/>
        </w:rPr>
        <w:t xml:space="preserve"> (2009)</w:t>
      </w:r>
      <w:r w:rsidR="0087688F">
        <w:rPr>
          <w:rFonts w:asciiTheme="minorHAnsi" w:hAnsiTheme="minorHAnsi" w:cs="AdvPECF938"/>
        </w:rPr>
        <w:t>.</w:t>
      </w:r>
      <w:r w:rsidRPr="00490BC4">
        <w:rPr>
          <w:rFonts w:asciiTheme="minorHAnsi" w:hAnsiTheme="minorHAnsi" w:cs="AdvPECF938"/>
        </w:rPr>
        <w:t xml:space="preserve"> </w:t>
      </w:r>
      <w:r w:rsidRPr="00490BC4">
        <w:rPr>
          <w:rFonts w:asciiTheme="minorHAnsi" w:hAnsiTheme="minorHAnsi"/>
        </w:rPr>
        <w:t xml:space="preserve">Low-income groups and behaviour change interventions: a review of intervention content, effectiveness and theoretical frameworks.  </w:t>
      </w:r>
      <w:r w:rsidRPr="0087688F">
        <w:rPr>
          <w:rFonts w:asciiTheme="minorHAnsi" w:hAnsiTheme="minorHAnsi" w:cs="AdvPECFD33"/>
          <w:i/>
        </w:rPr>
        <w:t>J</w:t>
      </w:r>
      <w:r w:rsidR="0087688F">
        <w:rPr>
          <w:rFonts w:asciiTheme="minorHAnsi" w:hAnsiTheme="minorHAnsi" w:cs="AdvPECFD33"/>
          <w:i/>
        </w:rPr>
        <w:t>ournal of</w:t>
      </w:r>
      <w:r w:rsidRPr="0087688F">
        <w:rPr>
          <w:rFonts w:asciiTheme="minorHAnsi" w:hAnsiTheme="minorHAnsi" w:cs="AdvPECFD33"/>
          <w:i/>
        </w:rPr>
        <w:t xml:space="preserve"> Epidemiology Community Health</w:t>
      </w:r>
      <w:r w:rsidR="0087688F">
        <w:rPr>
          <w:rFonts w:asciiTheme="minorHAnsi" w:hAnsiTheme="minorHAnsi" w:cs="AdvPECFD33"/>
        </w:rPr>
        <w:t>,</w:t>
      </w:r>
      <w:r w:rsidRPr="00490BC4">
        <w:rPr>
          <w:rFonts w:asciiTheme="minorHAnsi" w:hAnsiTheme="minorHAnsi" w:cs="AdvPECF938"/>
        </w:rPr>
        <w:t xml:space="preserve"> </w:t>
      </w:r>
      <w:r w:rsidRPr="00490BC4">
        <w:rPr>
          <w:rFonts w:asciiTheme="minorHAnsi" w:hAnsiTheme="minorHAnsi" w:cs="AdvPECF93C"/>
        </w:rPr>
        <w:t>63</w:t>
      </w:r>
      <w:r w:rsidRPr="00490BC4">
        <w:rPr>
          <w:rFonts w:asciiTheme="minorHAnsi" w:hAnsiTheme="minorHAnsi" w:cs="AdvPECF938"/>
        </w:rPr>
        <w:t>:</w:t>
      </w:r>
      <w:r w:rsidR="0087688F">
        <w:rPr>
          <w:rFonts w:asciiTheme="minorHAnsi" w:hAnsiTheme="minorHAnsi" w:cs="AdvPECF938"/>
        </w:rPr>
        <w:t xml:space="preserve"> </w:t>
      </w:r>
      <w:r w:rsidRPr="00490BC4">
        <w:rPr>
          <w:rFonts w:asciiTheme="minorHAnsi" w:hAnsiTheme="minorHAnsi" w:cs="AdvPECF938"/>
        </w:rPr>
        <w:t>610–622.</w:t>
      </w:r>
    </w:p>
    <w:p w:rsidR="00AE45CB" w:rsidRPr="00490BC4" w:rsidRDefault="00AE45CB" w:rsidP="00AE45CB">
      <w:pPr>
        <w:pBdr>
          <w:top w:val="single" w:sz="4" w:space="1" w:color="auto"/>
          <w:left w:val="single" w:sz="4" w:space="4" w:color="auto"/>
          <w:bottom w:val="single" w:sz="4" w:space="1" w:color="auto"/>
          <w:right w:val="single" w:sz="4" w:space="4" w:color="auto"/>
        </w:pBdr>
        <w:shd w:val="clear" w:color="auto" w:fill="CCFFFF"/>
        <w:autoSpaceDE w:val="0"/>
        <w:autoSpaceDN w:val="0"/>
        <w:adjustRightInd w:val="0"/>
        <w:rPr>
          <w:rFonts w:asciiTheme="minorHAnsi" w:hAnsiTheme="minorHAnsi" w:cs="CMBX10"/>
          <w:b/>
        </w:rPr>
      </w:pPr>
    </w:p>
    <w:p w:rsidR="00A076D5" w:rsidRDefault="00A076D5">
      <w:pPr>
        <w:rPr>
          <w:rFonts w:asciiTheme="minorHAnsi" w:hAnsiTheme="minorHAnsi" w:cs="CMBX10"/>
          <w:b/>
        </w:rPr>
      </w:pPr>
      <w:r>
        <w:rPr>
          <w:rFonts w:asciiTheme="minorHAnsi" w:hAnsiTheme="minorHAnsi" w:cs="CMBX10"/>
          <w:b/>
        </w:rPr>
        <w:br w:type="page"/>
      </w:r>
    </w:p>
    <w:p w:rsidR="00993CFB" w:rsidRDefault="00993CFB" w:rsidP="00993CFB">
      <w:pPr>
        <w:pStyle w:val="Heading3"/>
      </w:pPr>
      <w:bookmarkStart w:id="32" w:name="_Toc289256747"/>
      <w:r>
        <w:lastRenderedPageBreak/>
        <w:t>6.7 Wider factors influencing health, well-being and health inequalities</w:t>
      </w:r>
      <w:bookmarkEnd w:id="32"/>
    </w:p>
    <w:p w:rsidR="00EE7AD2" w:rsidRDefault="00843A3F" w:rsidP="00EE7AD2">
      <w:pPr>
        <w:pStyle w:val="Heading3"/>
      </w:pPr>
      <w:bookmarkStart w:id="33" w:name="_Toc289256748"/>
      <w:r>
        <w:t>6.7</w:t>
      </w:r>
      <w:r w:rsidR="00993CFB">
        <w:t>.1</w:t>
      </w:r>
      <w:r>
        <w:t xml:space="preserve"> </w:t>
      </w:r>
      <w:r w:rsidR="00EE7AD2">
        <w:t xml:space="preserve">Health </w:t>
      </w:r>
      <w:r w:rsidR="00695533">
        <w:t>l</w:t>
      </w:r>
      <w:r w:rsidR="00EE7AD2">
        <w:t>iteracy</w:t>
      </w:r>
      <w:bookmarkEnd w:id="33"/>
    </w:p>
    <w:p w:rsidR="00EE7AD2" w:rsidRPr="0004157B" w:rsidRDefault="00EE7AD2" w:rsidP="00EE7AD2">
      <w:pPr>
        <w:jc w:val="both"/>
        <w:rPr>
          <w:rFonts w:asciiTheme="minorHAnsi" w:hAnsiTheme="minorHAnsi" w:cstheme="minorHAnsi"/>
        </w:rPr>
      </w:pPr>
      <w:r w:rsidRPr="0004157B">
        <w:rPr>
          <w:rFonts w:asciiTheme="minorHAnsi" w:hAnsiTheme="minorHAnsi" w:cstheme="minorHAnsi"/>
        </w:rPr>
        <w:t>Research has shown that people with inadequate health literacy are less knowledgeable about the importance of preventive health measures</w:t>
      </w:r>
      <w:r w:rsidRPr="0004157B">
        <w:rPr>
          <w:rStyle w:val="EndnoteReference"/>
          <w:rFonts w:asciiTheme="minorHAnsi" w:hAnsiTheme="minorHAnsi" w:cstheme="minorHAnsi"/>
        </w:rPr>
        <w:endnoteReference w:id="93"/>
      </w:r>
      <w:r w:rsidRPr="0004157B">
        <w:rPr>
          <w:rFonts w:asciiTheme="minorHAnsi" w:hAnsiTheme="minorHAnsi" w:cstheme="minorHAnsi"/>
          <w:vertAlign w:val="superscript"/>
        </w:rPr>
        <w:t>,</w:t>
      </w:r>
      <w:r w:rsidRPr="0004157B">
        <w:rPr>
          <w:rStyle w:val="EndnoteReference"/>
          <w:rFonts w:asciiTheme="minorHAnsi" w:hAnsiTheme="minorHAnsi" w:cstheme="minorHAnsi"/>
        </w:rPr>
        <w:endnoteReference w:id="94"/>
      </w:r>
      <w:r w:rsidRPr="0004157B">
        <w:rPr>
          <w:rFonts w:asciiTheme="minorHAnsi" w:hAnsiTheme="minorHAnsi" w:cstheme="minorHAnsi"/>
        </w:rPr>
        <w:t xml:space="preserve"> and have a higher risk of hospital admission. The costs of limited health literacy range from 3-5% of the total health care cost per year</w:t>
      </w:r>
      <w:r w:rsidRPr="0004157B">
        <w:rPr>
          <w:rStyle w:val="EndnoteReference"/>
          <w:rFonts w:asciiTheme="minorHAnsi" w:hAnsiTheme="minorHAnsi" w:cstheme="minorHAnsi"/>
        </w:rPr>
        <w:endnoteReference w:id="95"/>
      </w:r>
      <w:r w:rsidRPr="0004157B">
        <w:rPr>
          <w:rFonts w:asciiTheme="minorHAnsi" w:hAnsiTheme="minorHAnsi" w:cstheme="minorHAnsi"/>
        </w:rPr>
        <w:t>. Limited health literacy often means that a person is unable to manage their own health effectively, access health services effectively, and make informed health decisions. Improving the health literacy of those with limited literacy skills is a crucial part of reducing health inequalities</w:t>
      </w:r>
      <w:r w:rsidRPr="0004157B">
        <w:rPr>
          <w:rStyle w:val="EndnoteReference"/>
          <w:rFonts w:asciiTheme="minorHAnsi" w:hAnsiTheme="minorHAnsi" w:cstheme="minorHAnsi"/>
        </w:rPr>
        <w:endnoteReference w:id="96"/>
      </w:r>
      <w:r w:rsidRPr="0004157B">
        <w:rPr>
          <w:rFonts w:asciiTheme="minorHAnsi" w:hAnsiTheme="minorHAnsi" w:cstheme="minorHAnsi"/>
          <w:vertAlign w:val="superscript"/>
        </w:rPr>
        <w:t>,</w:t>
      </w:r>
      <w:r w:rsidRPr="0004157B">
        <w:rPr>
          <w:rStyle w:val="EndnoteReference"/>
          <w:rFonts w:asciiTheme="minorHAnsi" w:hAnsiTheme="minorHAnsi" w:cstheme="minorHAnsi"/>
        </w:rPr>
        <w:endnoteReference w:id="97"/>
      </w:r>
      <w:r w:rsidRPr="0004157B">
        <w:rPr>
          <w:rFonts w:asciiTheme="minorHAnsi" w:hAnsiTheme="minorHAnsi" w:cstheme="minorHAnsi"/>
          <w:vertAlign w:val="superscript"/>
        </w:rPr>
        <w:t>,</w:t>
      </w:r>
      <w:r w:rsidRPr="0004157B">
        <w:rPr>
          <w:rStyle w:val="EndnoteReference"/>
          <w:rFonts w:asciiTheme="minorHAnsi" w:hAnsiTheme="minorHAnsi" w:cstheme="minorHAnsi"/>
        </w:rPr>
        <w:endnoteReference w:id="98"/>
      </w:r>
      <w:r w:rsidRPr="0004157B">
        <w:rPr>
          <w:rFonts w:asciiTheme="minorHAnsi" w:hAnsiTheme="minorHAnsi" w:cstheme="minorHAnsi"/>
        </w:rPr>
        <w:t>. Some 20% of the population of most developed countries have severe health literacy challenges and a further 20% have moderate literacy limitations, yet most health information is written in language so complex as to place it beyond the comprehension ability of these groups</w:t>
      </w:r>
      <w:r w:rsidRPr="0004157B">
        <w:rPr>
          <w:rStyle w:val="EndnoteReference"/>
          <w:rFonts w:asciiTheme="minorHAnsi" w:hAnsiTheme="minorHAnsi" w:cstheme="minorHAnsi"/>
        </w:rPr>
        <w:endnoteReference w:id="99"/>
      </w:r>
      <w:r w:rsidRPr="0004157B">
        <w:rPr>
          <w:rFonts w:asciiTheme="minorHAnsi" w:hAnsiTheme="minorHAnsi" w:cstheme="minorHAnsi"/>
        </w:rPr>
        <w:t>. Much of the extant research is American in origin</w:t>
      </w:r>
      <w:r w:rsidR="00F3635C">
        <w:rPr>
          <w:rFonts w:asciiTheme="minorHAnsi" w:hAnsiTheme="minorHAnsi" w:cstheme="minorHAnsi"/>
        </w:rPr>
        <w:t>.</w:t>
      </w:r>
      <w:r w:rsidRPr="0004157B">
        <w:rPr>
          <w:rFonts w:asciiTheme="minorHAnsi" w:hAnsiTheme="minorHAnsi" w:cstheme="minorHAnsi"/>
        </w:rPr>
        <w:t xml:space="preserve"> </w:t>
      </w:r>
      <w:r w:rsidR="00F3635C">
        <w:rPr>
          <w:rFonts w:asciiTheme="minorHAnsi" w:hAnsiTheme="minorHAnsi" w:cstheme="minorHAnsi"/>
        </w:rPr>
        <w:t xml:space="preserve">It contains </w:t>
      </w:r>
      <w:r w:rsidRPr="0004157B">
        <w:rPr>
          <w:rFonts w:asciiTheme="minorHAnsi" w:hAnsiTheme="minorHAnsi" w:cstheme="minorHAnsi"/>
        </w:rPr>
        <w:t xml:space="preserve">minimal data on how groups access information and from what sources, </w:t>
      </w:r>
      <w:r w:rsidR="00F3635C">
        <w:rPr>
          <w:rFonts w:asciiTheme="minorHAnsi" w:hAnsiTheme="minorHAnsi" w:cstheme="minorHAnsi"/>
        </w:rPr>
        <w:t xml:space="preserve">on </w:t>
      </w:r>
      <w:r w:rsidRPr="0004157B">
        <w:rPr>
          <w:rFonts w:asciiTheme="minorHAnsi" w:hAnsiTheme="minorHAnsi" w:cstheme="minorHAnsi"/>
        </w:rPr>
        <w:t xml:space="preserve">their levels of satisfaction with existing information provision </w:t>
      </w:r>
      <w:r w:rsidR="00F3635C">
        <w:rPr>
          <w:rFonts w:asciiTheme="minorHAnsi" w:hAnsiTheme="minorHAnsi" w:cstheme="minorHAnsi"/>
        </w:rPr>
        <w:t xml:space="preserve">or on </w:t>
      </w:r>
      <w:r w:rsidRPr="0004157B">
        <w:rPr>
          <w:rFonts w:asciiTheme="minorHAnsi" w:hAnsiTheme="minorHAnsi" w:cstheme="minorHAnsi"/>
        </w:rPr>
        <w:t>their preferences for future information.</w:t>
      </w:r>
    </w:p>
    <w:p w:rsidR="00EE7AD2" w:rsidRPr="0004157B" w:rsidRDefault="00EE7AD2" w:rsidP="00EE7AD2">
      <w:pPr>
        <w:jc w:val="both"/>
        <w:rPr>
          <w:rFonts w:asciiTheme="minorHAnsi" w:hAnsiTheme="minorHAnsi" w:cstheme="minorHAnsi"/>
        </w:rPr>
      </w:pPr>
    </w:p>
    <w:p w:rsidR="00EE7AD2" w:rsidRDefault="00EE7AD2" w:rsidP="00EE7AD2">
      <w:pPr>
        <w:jc w:val="both"/>
        <w:rPr>
          <w:rFonts w:asciiTheme="minorHAnsi" w:hAnsiTheme="minorHAnsi" w:cstheme="minorHAnsi"/>
        </w:rPr>
      </w:pPr>
      <w:r w:rsidRPr="0004157B">
        <w:rPr>
          <w:rFonts w:asciiTheme="minorHAnsi" w:hAnsiTheme="minorHAnsi" w:cstheme="minorHAnsi"/>
        </w:rPr>
        <w:t xml:space="preserve">It is therefore crucial to develop a comprehensive overview of health literacy needs in the UK, and to ascertain the best modes of communication for meeting these needs.  </w:t>
      </w:r>
    </w:p>
    <w:p w:rsidR="00695533" w:rsidRPr="0004157B" w:rsidRDefault="00695533" w:rsidP="00EE7AD2">
      <w:pPr>
        <w:jc w:val="both"/>
        <w:rPr>
          <w:rFonts w:asciiTheme="minorHAnsi" w:hAnsiTheme="minorHAnsi" w:cstheme="minorHAnsi"/>
        </w:rPr>
      </w:pPr>
    </w:p>
    <w:p w:rsidR="00AC76D1" w:rsidRDefault="00AC76D1" w:rsidP="00AC76D1">
      <w:pPr>
        <w:pStyle w:val="Heading3"/>
      </w:pPr>
      <w:bookmarkStart w:id="34" w:name="_Toc289256749"/>
      <w:r>
        <w:t xml:space="preserve">6.8 </w:t>
      </w:r>
      <w:r w:rsidR="00993CFB">
        <w:t>Fostering a balanced approach</w:t>
      </w:r>
      <w:bookmarkEnd w:id="34"/>
      <w:r w:rsidRPr="00635C1E">
        <w:t xml:space="preserve"> </w:t>
      </w:r>
    </w:p>
    <w:p w:rsidR="00F3635C" w:rsidRDefault="00F3635C" w:rsidP="00AC76D1">
      <w:pPr>
        <w:jc w:val="both"/>
        <w:rPr>
          <w:rFonts w:asciiTheme="minorHAnsi" w:hAnsiTheme="minorHAnsi"/>
        </w:rPr>
      </w:pPr>
    </w:p>
    <w:p w:rsidR="00AC76D1" w:rsidRDefault="00993CFB" w:rsidP="00AC76D1">
      <w:pPr>
        <w:jc w:val="both"/>
        <w:rPr>
          <w:rFonts w:asciiTheme="minorHAnsi" w:hAnsiTheme="minorHAnsi"/>
        </w:rPr>
      </w:pPr>
      <w:r>
        <w:rPr>
          <w:rFonts w:asciiTheme="minorHAnsi" w:hAnsiTheme="minorHAnsi"/>
        </w:rPr>
        <w:t>We are concerned that t</w:t>
      </w:r>
      <w:r w:rsidR="00AC76D1">
        <w:rPr>
          <w:rFonts w:asciiTheme="minorHAnsi" w:hAnsiTheme="minorHAnsi"/>
        </w:rPr>
        <w:t xml:space="preserve">he </w:t>
      </w:r>
      <w:r>
        <w:rPr>
          <w:rFonts w:asciiTheme="minorHAnsi" w:hAnsiTheme="minorHAnsi"/>
        </w:rPr>
        <w:t xml:space="preserve">new approach called for in </w:t>
      </w:r>
      <w:r w:rsidR="00AC76D1">
        <w:rPr>
          <w:rFonts w:asciiTheme="minorHAnsi" w:hAnsiTheme="minorHAnsi"/>
        </w:rPr>
        <w:t xml:space="preserve">the White Paper </w:t>
      </w:r>
      <w:r>
        <w:rPr>
          <w:rFonts w:asciiTheme="minorHAnsi" w:hAnsiTheme="minorHAnsi"/>
        </w:rPr>
        <w:t xml:space="preserve">does not entail a strong enough case for a </w:t>
      </w:r>
      <w:r w:rsidR="00AC76D1">
        <w:rPr>
          <w:rFonts w:asciiTheme="minorHAnsi" w:hAnsiTheme="minorHAnsi"/>
        </w:rPr>
        <w:t xml:space="preserve">properly balanced approach.  Whilst there is some discussion of roles for both government, and individuals and communities we have concern that the need carefully </w:t>
      </w:r>
      <w:r w:rsidR="00F3635C">
        <w:rPr>
          <w:rFonts w:asciiTheme="minorHAnsi" w:hAnsiTheme="minorHAnsi"/>
        </w:rPr>
        <w:t xml:space="preserve">to </w:t>
      </w:r>
      <w:r w:rsidR="00AC76D1">
        <w:rPr>
          <w:rFonts w:asciiTheme="minorHAnsi" w:hAnsiTheme="minorHAnsi"/>
        </w:rPr>
        <w:t xml:space="preserve">manage the balance and integration between these two domains is not being recognised.  If the aim is partly one of </w:t>
      </w:r>
      <w:r w:rsidR="00A42D2C">
        <w:rPr>
          <w:rFonts w:asciiTheme="minorHAnsi" w:hAnsiTheme="minorHAnsi"/>
        </w:rPr>
        <w:t>‘</w:t>
      </w:r>
      <w:r w:rsidR="00AC76D1">
        <w:rPr>
          <w:rFonts w:asciiTheme="minorHAnsi" w:hAnsiTheme="minorHAnsi"/>
        </w:rPr>
        <w:t>adapting the environment</w:t>
      </w:r>
      <w:r w:rsidR="00A42D2C">
        <w:rPr>
          <w:rFonts w:asciiTheme="minorHAnsi" w:hAnsiTheme="minorHAnsi"/>
        </w:rPr>
        <w:t xml:space="preserve"> to make healthy choices easier’</w:t>
      </w:r>
      <w:r w:rsidR="00AC76D1">
        <w:rPr>
          <w:rFonts w:asciiTheme="minorHAnsi" w:hAnsiTheme="minorHAnsi"/>
        </w:rPr>
        <w:t xml:space="preserve"> it is not simply a case of government needing only </w:t>
      </w:r>
      <w:r w:rsidR="00F3635C">
        <w:rPr>
          <w:rFonts w:asciiTheme="minorHAnsi" w:hAnsiTheme="minorHAnsi"/>
        </w:rPr>
        <w:t xml:space="preserve">to </w:t>
      </w:r>
      <w:r w:rsidR="00AC76D1">
        <w:rPr>
          <w:rFonts w:asciiTheme="minorHAnsi" w:hAnsiTheme="minorHAnsi"/>
        </w:rPr>
        <w:t>make light-touch interventions and open up the space for individual choice</w:t>
      </w:r>
      <w:r w:rsidR="00F3635C">
        <w:rPr>
          <w:rFonts w:asciiTheme="minorHAnsi" w:hAnsiTheme="minorHAnsi"/>
        </w:rPr>
        <w:t>.</w:t>
      </w:r>
      <w:r w:rsidR="00AC76D1">
        <w:rPr>
          <w:rFonts w:asciiTheme="minorHAnsi" w:hAnsiTheme="minorHAnsi"/>
        </w:rPr>
        <w:t xml:space="preserve"> </w:t>
      </w:r>
      <w:r w:rsidR="00F3635C">
        <w:rPr>
          <w:rFonts w:asciiTheme="minorHAnsi" w:hAnsiTheme="minorHAnsi"/>
        </w:rPr>
        <w:t>T</w:t>
      </w:r>
      <w:r w:rsidR="00AC76D1">
        <w:rPr>
          <w:rFonts w:asciiTheme="minorHAnsi" w:hAnsiTheme="minorHAnsi"/>
        </w:rPr>
        <w:t>he work on obesogenic environments shows that a significant number of factors that contribute to poor public health are strongly built into our surroundings</w:t>
      </w:r>
      <w:r w:rsidR="00F3635C">
        <w:rPr>
          <w:rFonts w:asciiTheme="minorHAnsi" w:hAnsiTheme="minorHAnsi"/>
        </w:rPr>
        <w:t>.</w:t>
      </w:r>
      <w:r w:rsidR="00AC76D1">
        <w:rPr>
          <w:rFonts w:asciiTheme="minorHAnsi" w:hAnsiTheme="minorHAnsi"/>
        </w:rPr>
        <w:t xml:space="preserve"> </w:t>
      </w:r>
      <w:r w:rsidR="00F3635C">
        <w:rPr>
          <w:rFonts w:asciiTheme="minorHAnsi" w:hAnsiTheme="minorHAnsi"/>
        </w:rPr>
        <w:t>S</w:t>
      </w:r>
      <w:r w:rsidR="00AC76D1">
        <w:rPr>
          <w:rFonts w:asciiTheme="minorHAnsi" w:hAnsiTheme="minorHAnsi"/>
        </w:rPr>
        <w:t>ignificant efforts to improve these may well require strong planning legislation and guidance in order to change the frameworks in which we operate – not just a focus on trying to intervene at points of decision making.</w:t>
      </w:r>
    </w:p>
    <w:p w:rsidR="00AC76D1" w:rsidRDefault="00AC76D1" w:rsidP="00AC76D1">
      <w:pPr>
        <w:jc w:val="both"/>
        <w:rPr>
          <w:rFonts w:asciiTheme="minorHAnsi" w:hAnsiTheme="minorHAnsi"/>
        </w:rPr>
      </w:pPr>
    </w:p>
    <w:p w:rsidR="00AC76D1" w:rsidRPr="002A78CA" w:rsidRDefault="00AC76D1" w:rsidP="00AC76D1">
      <w:pPr>
        <w:jc w:val="both"/>
        <w:rPr>
          <w:rFonts w:asciiTheme="minorHAnsi" w:hAnsiTheme="minorHAnsi"/>
        </w:rPr>
      </w:pPr>
      <w:r>
        <w:rPr>
          <w:rFonts w:asciiTheme="minorHAnsi" w:hAnsiTheme="minorHAnsi"/>
        </w:rPr>
        <w:t>Whilst the move towards a ‘behavioural science’ based approach is a significant advance on methods based solely on regulation, or pricing signals, it is crucial that these are not seen as being able to provide a complete solution</w:t>
      </w:r>
      <w:r w:rsidR="00F3635C">
        <w:rPr>
          <w:rFonts w:asciiTheme="minorHAnsi" w:hAnsiTheme="minorHAnsi"/>
        </w:rPr>
        <w:t>.</w:t>
      </w:r>
      <w:r>
        <w:rPr>
          <w:rFonts w:asciiTheme="minorHAnsi" w:hAnsiTheme="minorHAnsi"/>
        </w:rPr>
        <w:t xml:space="preserve"> </w:t>
      </w:r>
      <w:r w:rsidR="00F3635C">
        <w:rPr>
          <w:rFonts w:asciiTheme="minorHAnsi" w:hAnsiTheme="minorHAnsi"/>
        </w:rPr>
        <w:t>T</w:t>
      </w:r>
      <w:r>
        <w:rPr>
          <w:rFonts w:asciiTheme="minorHAnsi" w:hAnsiTheme="minorHAnsi"/>
        </w:rPr>
        <w:t>hey must be viewed as part of a toolbox which includes prohibitory and economic tools</w:t>
      </w:r>
      <w:r w:rsidR="00F3635C">
        <w:rPr>
          <w:rFonts w:asciiTheme="minorHAnsi" w:hAnsiTheme="minorHAnsi"/>
        </w:rPr>
        <w:t>.</w:t>
      </w:r>
      <w:r>
        <w:rPr>
          <w:rFonts w:asciiTheme="minorHAnsi" w:hAnsiTheme="minorHAnsi"/>
        </w:rPr>
        <w:t xml:space="preserve"> </w:t>
      </w:r>
      <w:r w:rsidR="00F3635C">
        <w:rPr>
          <w:rFonts w:asciiTheme="minorHAnsi" w:hAnsiTheme="minorHAnsi"/>
        </w:rPr>
        <w:t xml:space="preserve">They </w:t>
      </w:r>
      <w:r>
        <w:rPr>
          <w:rFonts w:asciiTheme="minorHAnsi" w:hAnsiTheme="minorHAnsi"/>
        </w:rPr>
        <w:t xml:space="preserve">must also </w:t>
      </w:r>
      <w:r w:rsidR="00F3635C">
        <w:rPr>
          <w:rFonts w:asciiTheme="minorHAnsi" w:hAnsiTheme="minorHAnsi"/>
        </w:rPr>
        <w:t xml:space="preserve">consider </w:t>
      </w:r>
      <w:r>
        <w:rPr>
          <w:rFonts w:asciiTheme="minorHAnsi" w:hAnsiTheme="minorHAnsi"/>
        </w:rPr>
        <w:t>properly the need for government to set the macro-frameworks in which individuals and communities operate in order to ensure</w:t>
      </w:r>
      <w:r w:rsidR="00F3635C">
        <w:rPr>
          <w:rFonts w:asciiTheme="minorHAnsi" w:hAnsiTheme="minorHAnsi"/>
        </w:rPr>
        <w:t>: (a)</w:t>
      </w:r>
      <w:r>
        <w:rPr>
          <w:rFonts w:asciiTheme="minorHAnsi" w:hAnsiTheme="minorHAnsi"/>
        </w:rPr>
        <w:t xml:space="preserve"> that those taking action do not have to swim against the tide, and </w:t>
      </w:r>
      <w:r w:rsidR="00F3635C">
        <w:rPr>
          <w:rFonts w:asciiTheme="minorHAnsi" w:hAnsiTheme="minorHAnsi"/>
        </w:rPr>
        <w:t xml:space="preserve">(b) </w:t>
      </w:r>
      <w:r>
        <w:rPr>
          <w:rFonts w:asciiTheme="minorHAnsi" w:hAnsiTheme="minorHAnsi"/>
        </w:rPr>
        <w:t xml:space="preserve">to ensure that all in society can benefit – not just those lucky enough to live in  an engaged and capable community.  </w:t>
      </w:r>
      <w:r w:rsidR="003E0DD1">
        <w:rPr>
          <w:rFonts w:asciiTheme="minorHAnsi" w:hAnsiTheme="minorHAnsi"/>
        </w:rPr>
        <w:t xml:space="preserve">If macro-frameworks are not taken into account there is a risk that </w:t>
      </w:r>
      <w:r>
        <w:rPr>
          <w:rFonts w:asciiTheme="minorHAnsi" w:hAnsiTheme="minorHAnsi"/>
        </w:rPr>
        <w:t xml:space="preserve">the proposed policy </w:t>
      </w:r>
      <w:r w:rsidR="003E0DD1">
        <w:rPr>
          <w:rFonts w:asciiTheme="minorHAnsi" w:hAnsiTheme="minorHAnsi"/>
        </w:rPr>
        <w:t xml:space="preserve">could </w:t>
      </w:r>
      <w:r>
        <w:rPr>
          <w:rFonts w:asciiTheme="minorHAnsi" w:hAnsiTheme="minorHAnsi"/>
        </w:rPr>
        <w:t>lead to a greater widening of the social inequalities of health.</w:t>
      </w:r>
    </w:p>
    <w:p w:rsidR="00AC76D1" w:rsidRDefault="00AC76D1" w:rsidP="00AC76D1">
      <w:pPr>
        <w:jc w:val="both"/>
      </w:pPr>
    </w:p>
    <w:p w:rsidR="00AC76D1" w:rsidRPr="0004157B" w:rsidRDefault="00AC76D1" w:rsidP="00AC76D1">
      <w:pPr>
        <w:jc w:val="both"/>
        <w:rPr>
          <w:rFonts w:asciiTheme="minorHAnsi" w:hAnsiTheme="minorHAnsi" w:cstheme="minorHAnsi"/>
          <w:iCs/>
        </w:rPr>
      </w:pPr>
      <w:r w:rsidRPr="0004157B">
        <w:rPr>
          <w:rFonts w:asciiTheme="minorHAnsi" w:hAnsiTheme="minorHAnsi" w:cstheme="minorHAnsi"/>
          <w:iCs/>
        </w:rPr>
        <w:t>Evidence emerging from behavioural sciences is that individuals are influenced by ‘significant others</w:t>
      </w:r>
      <w:r w:rsidR="00F3635C">
        <w:rPr>
          <w:rFonts w:asciiTheme="minorHAnsi" w:hAnsiTheme="minorHAnsi" w:cstheme="minorHAnsi"/>
          <w:iCs/>
        </w:rPr>
        <w:t>’:</w:t>
      </w:r>
      <w:r w:rsidRPr="0004157B">
        <w:rPr>
          <w:rFonts w:asciiTheme="minorHAnsi" w:hAnsiTheme="minorHAnsi" w:cstheme="minorHAnsi"/>
          <w:iCs/>
        </w:rPr>
        <w:t xml:space="preserve"> people in their social networks, people who have geographical and social proximity (neighbours, work colleagues, class colleagues) and sometimes even by strangers with whom they share social identity. For example, energy bills that provide information on how energy efficient their neighbours are encouraged them to use less energy</w:t>
      </w:r>
      <w:r w:rsidRPr="0004157B">
        <w:rPr>
          <w:rStyle w:val="EndnoteReference"/>
          <w:rFonts w:asciiTheme="minorHAnsi" w:eastAsiaTheme="majorEastAsia" w:hAnsiTheme="minorHAnsi" w:cstheme="minorHAnsi"/>
          <w:iCs/>
        </w:rPr>
        <w:endnoteReference w:id="100"/>
      </w:r>
      <w:r w:rsidRPr="0004157B">
        <w:rPr>
          <w:rFonts w:asciiTheme="minorHAnsi" w:hAnsiTheme="minorHAnsi" w:cstheme="minorHAnsi"/>
          <w:iCs/>
        </w:rPr>
        <w:t xml:space="preserve">. Many of the behavioural insights emphasized in behavioural economics confirm the importance of self-regulatory mechanisms rather than traditional top-down command-and-control regulation. The small-scale group-based approach applied in the EcoTeams case study </w:t>
      </w:r>
      <w:r w:rsidRPr="0004157B">
        <w:rPr>
          <w:rStyle w:val="EndnoteReference"/>
          <w:rFonts w:asciiTheme="minorHAnsi" w:eastAsiaTheme="majorEastAsia" w:hAnsiTheme="minorHAnsi" w:cstheme="minorHAnsi"/>
          <w:iCs/>
        </w:rPr>
        <w:endnoteReference w:id="101"/>
      </w:r>
      <w:r w:rsidRPr="0004157B">
        <w:rPr>
          <w:rFonts w:asciiTheme="minorHAnsi" w:hAnsiTheme="minorHAnsi" w:cstheme="minorHAnsi"/>
          <w:iCs/>
        </w:rPr>
        <w:t xml:space="preserve"> provided supportive social context that is accounted as one of its major success factors. Workplace and school travel plans also operate within a community which is limited in size and may encourage pro-social behaviour using ‘bottom-up’ approaches</w:t>
      </w:r>
      <w:bookmarkStart w:id="35" w:name="_Ref284926785"/>
      <w:r w:rsidRPr="0004157B">
        <w:rPr>
          <w:rStyle w:val="EndnoteReference"/>
          <w:rFonts w:asciiTheme="minorHAnsi" w:eastAsiaTheme="majorEastAsia" w:hAnsiTheme="minorHAnsi" w:cstheme="minorHAnsi"/>
          <w:iCs/>
        </w:rPr>
        <w:endnoteReference w:id="102"/>
      </w:r>
      <w:bookmarkEnd w:id="35"/>
      <w:r w:rsidRPr="0004157B">
        <w:rPr>
          <w:rFonts w:asciiTheme="minorHAnsi" w:hAnsiTheme="minorHAnsi" w:cstheme="minorHAnsi"/>
          <w:iCs/>
        </w:rPr>
        <w:t xml:space="preserve"> .</w:t>
      </w:r>
    </w:p>
    <w:p w:rsidR="00AC76D1" w:rsidRPr="0004157B" w:rsidRDefault="00AC76D1" w:rsidP="00AC76D1">
      <w:pPr>
        <w:rPr>
          <w:rFonts w:asciiTheme="minorHAnsi" w:hAnsiTheme="minorHAnsi" w:cstheme="minorHAnsi"/>
          <w:b/>
        </w:rPr>
      </w:pPr>
    </w:p>
    <w:p w:rsidR="006A2519" w:rsidRDefault="007654B7">
      <w:pPr>
        <w:pStyle w:val="Heading3"/>
      </w:pPr>
      <w:bookmarkStart w:id="36" w:name="_Toc289256750"/>
      <w:r>
        <w:t xml:space="preserve">6.9 </w:t>
      </w:r>
      <w:r w:rsidR="00AC76D1">
        <w:t>Social networks</w:t>
      </w:r>
      <w:r w:rsidR="00191DBB">
        <w:t>:</w:t>
      </w:r>
      <w:r w:rsidR="00AC76D1">
        <w:t xml:space="preserve"> social norms, media influence</w:t>
      </w:r>
      <w:r w:rsidR="00191DBB">
        <w:t xml:space="preserve"> and </w:t>
      </w:r>
      <w:r w:rsidR="00AC76D1">
        <w:t>celebrity influence</w:t>
      </w:r>
      <w:bookmarkEnd w:id="36"/>
      <w:r w:rsidR="00AC76D1">
        <w:t xml:space="preserve"> </w:t>
      </w:r>
    </w:p>
    <w:p w:rsidR="00F3635C" w:rsidRDefault="00F3635C" w:rsidP="00AC76D1">
      <w:pPr>
        <w:jc w:val="both"/>
        <w:rPr>
          <w:rFonts w:asciiTheme="minorHAnsi" w:hAnsiTheme="minorHAnsi"/>
        </w:rPr>
      </w:pPr>
    </w:p>
    <w:p w:rsidR="00AC76D1" w:rsidRPr="00232A72" w:rsidRDefault="00AC76D1" w:rsidP="00AC76D1">
      <w:pPr>
        <w:jc w:val="both"/>
        <w:rPr>
          <w:rFonts w:asciiTheme="minorHAnsi" w:hAnsiTheme="minorHAnsi"/>
        </w:rPr>
      </w:pPr>
      <w:r w:rsidRPr="00232A72">
        <w:rPr>
          <w:rFonts w:asciiTheme="minorHAnsi" w:hAnsiTheme="minorHAnsi"/>
        </w:rPr>
        <w:t>There is a substantive body of work dealing with how the media impacts on a range of high-risk behaviours and health-related issues including tobacco use</w:t>
      </w:r>
      <w:r>
        <w:rPr>
          <w:rStyle w:val="EndnoteReference"/>
          <w:rFonts w:asciiTheme="minorHAnsi" w:hAnsiTheme="minorHAnsi"/>
        </w:rPr>
        <w:endnoteReference w:id="103"/>
      </w:r>
      <w:r w:rsidRPr="00232A72">
        <w:rPr>
          <w:rFonts w:asciiTheme="minorHAnsi" w:hAnsiTheme="minorHAnsi"/>
        </w:rPr>
        <w:t>, alcohol and recreational drug use</w:t>
      </w:r>
      <w:r>
        <w:rPr>
          <w:rStyle w:val="EndnoteReference"/>
          <w:rFonts w:asciiTheme="minorHAnsi" w:hAnsiTheme="minorHAnsi"/>
        </w:rPr>
        <w:endnoteReference w:id="104"/>
      </w:r>
      <w:r>
        <w:rPr>
          <w:rFonts w:asciiTheme="minorHAnsi" w:hAnsiTheme="minorHAnsi"/>
        </w:rPr>
        <w:t>,</w:t>
      </w:r>
      <w:r w:rsidRPr="00232A72">
        <w:rPr>
          <w:rFonts w:asciiTheme="minorHAnsi" w:hAnsiTheme="minorHAnsi"/>
        </w:rPr>
        <w:t xml:space="preserve"> and increased violence and aggression</w:t>
      </w:r>
      <w:r w:rsidR="004C796C">
        <w:rPr>
          <w:rFonts w:asciiTheme="minorHAnsi" w:hAnsiTheme="minorHAnsi"/>
        </w:rPr>
        <w:t>.</w:t>
      </w:r>
      <w:r>
        <w:rPr>
          <w:rStyle w:val="EndnoteReference"/>
          <w:rFonts w:asciiTheme="minorHAnsi" w:hAnsiTheme="minorHAnsi"/>
        </w:rPr>
        <w:endnoteReference w:id="105"/>
      </w:r>
      <w:r w:rsidRPr="00232A72">
        <w:rPr>
          <w:rFonts w:asciiTheme="minorHAnsi" w:hAnsiTheme="minorHAnsi"/>
        </w:rPr>
        <w:t xml:space="preserve"> Additionally, a large section of this work focuses on the effects of the media on women in terms of body image dissatisfaction, the perpetuation of normative body ideals which associate thinness with attractiveness</w:t>
      </w:r>
      <w:r>
        <w:rPr>
          <w:rStyle w:val="EndnoteReference"/>
          <w:rFonts w:asciiTheme="minorHAnsi" w:hAnsiTheme="minorHAnsi"/>
        </w:rPr>
        <w:endnoteReference w:id="106"/>
      </w:r>
      <w:r w:rsidRPr="00CB24BB">
        <w:rPr>
          <w:rFonts w:asciiTheme="minorHAnsi" w:hAnsiTheme="minorHAnsi"/>
          <w:vertAlign w:val="superscript"/>
        </w:rPr>
        <w:t>,</w:t>
      </w:r>
      <w:r>
        <w:rPr>
          <w:rFonts w:asciiTheme="minorHAnsi" w:hAnsiTheme="minorHAnsi"/>
          <w:vertAlign w:val="superscript"/>
        </w:rPr>
        <w:t xml:space="preserve"> </w:t>
      </w:r>
      <w:bookmarkStart w:id="37" w:name="_Ref284784476"/>
      <w:r>
        <w:rPr>
          <w:rStyle w:val="EndnoteReference"/>
          <w:rFonts w:asciiTheme="minorHAnsi" w:hAnsiTheme="minorHAnsi"/>
        </w:rPr>
        <w:endnoteReference w:id="107"/>
      </w:r>
      <w:bookmarkEnd w:id="37"/>
      <w:r w:rsidRPr="00CB24BB">
        <w:rPr>
          <w:rFonts w:asciiTheme="minorHAnsi" w:hAnsiTheme="minorHAnsi"/>
          <w:vertAlign w:val="superscript"/>
        </w:rPr>
        <w:t>,</w:t>
      </w:r>
      <w:r>
        <w:rPr>
          <w:rFonts w:asciiTheme="minorHAnsi" w:hAnsiTheme="minorHAnsi"/>
          <w:vertAlign w:val="superscript"/>
        </w:rPr>
        <w:t xml:space="preserve"> </w:t>
      </w:r>
      <w:bookmarkStart w:id="38" w:name="_Ref284784495"/>
      <w:r>
        <w:rPr>
          <w:rStyle w:val="EndnoteReference"/>
          <w:rFonts w:asciiTheme="minorHAnsi" w:hAnsiTheme="minorHAnsi"/>
        </w:rPr>
        <w:endnoteReference w:id="108"/>
      </w:r>
      <w:bookmarkEnd w:id="38"/>
      <w:r w:rsidRPr="00CB24BB">
        <w:rPr>
          <w:rFonts w:asciiTheme="minorHAnsi" w:hAnsiTheme="minorHAnsi"/>
          <w:vertAlign w:val="superscript"/>
        </w:rPr>
        <w:t>,</w:t>
      </w:r>
      <w:r>
        <w:rPr>
          <w:rFonts w:asciiTheme="minorHAnsi" w:hAnsiTheme="minorHAnsi"/>
          <w:vertAlign w:val="superscript"/>
        </w:rPr>
        <w:t xml:space="preserve"> </w:t>
      </w:r>
      <w:r>
        <w:rPr>
          <w:rStyle w:val="EndnoteReference"/>
          <w:rFonts w:asciiTheme="minorHAnsi" w:hAnsiTheme="minorHAnsi"/>
        </w:rPr>
        <w:endnoteReference w:id="109"/>
      </w:r>
      <w:r w:rsidRPr="00232A72">
        <w:rPr>
          <w:rFonts w:asciiTheme="minorHAnsi" w:hAnsiTheme="minorHAnsi"/>
        </w:rPr>
        <w:t xml:space="preserve"> and the reinforcement of associated behaviours such as cosmetic surgery</w:t>
      </w:r>
      <w:r>
        <w:rPr>
          <w:rStyle w:val="EndnoteReference"/>
          <w:rFonts w:asciiTheme="minorHAnsi" w:hAnsiTheme="minorHAnsi"/>
        </w:rPr>
        <w:endnoteReference w:id="110"/>
      </w:r>
      <w:r w:rsidRPr="00232A72">
        <w:rPr>
          <w:rFonts w:asciiTheme="minorHAnsi" w:hAnsiTheme="minorHAnsi"/>
        </w:rPr>
        <w:t>, and binge-eating and dieting</w:t>
      </w:r>
      <w:r w:rsidR="004C796C">
        <w:rPr>
          <w:rFonts w:asciiTheme="minorHAnsi" w:hAnsiTheme="minorHAnsi"/>
        </w:rPr>
        <w:t>.</w:t>
      </w:r>
      <w:r>
        <w:rPr>
          <w:rStyle w:val="EndnoteReference"/>
          <w:rFonts w:asciiTheme="minorHAnsi" w:hAnsiTheme="minorHAnsi"/>
        </w:rPr>
        <w:endnoteReference w:id="111"/>
      </w:r>
    </w:p>
    <w:p w:rsidR="00AC76D1" w:rsidRPr="00232A72" w:rsidRDefault="00AC76D1" w:rsidP="00AC76D1">
      <w:pPr>
        <w:jc w:val="both"/>
        <w:rPr>
          <w:rFonts w:asciiTheme="minorHAnsi" w:hAnsiTheme="minorHAnsi"/>
        </w:rPr>
      </w:pPr>
    </w:p>
    <w:p w:rsidR="00AC76D1" w:rsidRPr="00232A72" w:rsidRDefault="00AC76D1" w:rsidP="00AC76D1">
      <w:pPr>
        <w:jc w:val="both"/>
        <w:rPr>
          <w:rFonts w:asciiTheme="minorHAnsi" w:hAnsiTheme="minorHAnsi"/>
        </w:rPr>
      </w:pPr>
      <w:r w:rsidRPr="00232A72">
        <w:rPr>
          <w:rFonts w:asciiTheme="minorHAnsi" w:hAnsiTheme="minorHAnsi"/>
        </w:rPr>
        <w:t>Younger age groups, particularly young women, appear to be more influenced by media images.  By the age of 8, girls are aware of societal images of female beauty and the use of media images to compare self image with the media portrayal of ideal</w:t>
      </w:r>
      <w:r w:rsidR="00F3635C">
        <w:rPr>
          <w:rFonts w:asciiTheme="minorHAnsi" w:hAnsiTheme="minorHAnsi"/>
        </w:rPr>
        <w:t>s</w:t>
      </w:r>
      <w:r w:rsidRPr="00232A72">
        <w:rPr>
          <w:rFonts w:asciiTheme="minorHAnsi" w:hAnsiTheme="minorHAnsi"/>
        </w:rPr>
        <w:t xml:space="preserve"> increase markedly between the ages of 8 – 12 and leads to dissatisfaction</w:t>
      </w:r>
      <w:r w:rsidR="004C796C">
        <w:rPr>
          <w:rFonts w:asciiTheme="minorHAnsi" w:hAnsiTheme="minorHAnsi"/>
        </w:rPr>
        <w:t>.</w:t>
      </w:r>
      <w:fldSimple w:instr=" NOTEREF _Ref284784476 \h  \* MERGEFORMAT ">
        <w:r w:rsidR="00CE6342" w:rsidRPr="00CE6342">
          <w:rPr>
            <w:rFonts w:asciiTheme="minorHAnsi" w:hAnsiTheme="minorHAnsi"/>
            <w:vertAlign w:val="superscript"/>
          </w:rPr>
          <w:t>107</w:t>
        </w:r>
      </w:fldSimple>
      <w:r w:rsidRPr="00367212">
        <w:rPr>
          <w:rFonts w:asciiTheme="minorHAnsi" w:hAnsiTheme="minorHAnsi"/>
          <w:vertAlign w:val="superscript"/>
        </w:rPr>
        <w:t xml:space="preserve">, </w:t>
      </w:r>
      <w:fldSimple w:instr=" NOTEREF _Ref284784495 \h  \* MERGEFORMAT ">
        <w:r w:rsidR="00CE6342" w:rsidRPr="00CE6342">
          <w:rPr>
            <w:rFonts w:asciiTheme="minorHAnsi" w:hAnsiTheme="minorHAnsi"/>
            <w:vertAlign w:val="superscript"/>
          </w:rPr>
          <w:t>108</w:t>
        </w:r>
      </w:fldSimple>
    </w:p>
    <w:p w:rsidR="00AC76D1" w:rsidRPr="00232A72" w:rsidRDefault="00AC76D1" w:rsidP="00AC76D1">
      <w:pPr>
        <w:jc w:val="both"/>
        <w:rPr>
          <w:rFonts w:asciiTheme="minorHAnsi" w:hAnsiTheme="minorHAnsi"/>
        </w:rPr>
      </w:pPr>
    </w:p>
    <w:p w:rsidR="00AC76D1" w:rsidRPr="00232A72" w:rsidRDefault="00AC76D1" w:rsidP="00AC76D1">
      <w:pPr>
        <w:jc w:val="both"/>
        <w:rPr>
          <w:rFonts w:asciiTheme="minorHAnsi" w:hAnsiTheme="minorHAnsi"/>
        </w:rPr>
      </w:pPr>
      <w:r w:rsidRPr="00232A72">
        <w:rPr>
          <w:rFonts w:asciiTheme="minorHAnsi" w:hAnsiTheme="minorHAnsi"/>
        </w:rPr>
        <w:t>The international literature indicates that preadolescent girls use media images as a basis for deciding on ideal physical attractiveness, even though the images portrayed are unrealistic or represent poor role models and unwise behaviours</w:t>
      </w:r>
      <w:r w:rsidR="004C796C">
        <w:rPr>
          <w:rFonts w:asciiTheme="minorHAnsi" w:hAnsiTheme="minorHAnsi"/>
        </w:rPr>
        <w:t>.</w:t>
      </w:r>
      <w:r>
        <w:rPr>
          <w:rStyle w:val="EndnoteReference"/>
          <w:rFonts w:asciiTheme="minorHAnsi" w:hAnsiTheme="minorHAnsi"/>
        </w:rPr>
        <w:endnoteReference w:id="112"/>
      </w:r>
      <w:r w:rsidRPr="00232A72">
        <w:rPr>
          <w:rFonts w:asciiTheme="minorHAnsi" w:hAnsiTheme="minorHAnsi"/>
        </w:rPr>
        <w:t xml:space="preserve"> </w:t>
      </w:r>
      <w:r w:rsidR="004C796C">
        <w:rPr>
          <w:rFonts w:asciiTheme="minorHAnsi" w:hAnsiTheme="minorHAnsi"/>
        </w:rPr>
        <w:t>F</w:t>
      </w:r>
      <w:r w:rsidRPr="00232A72">
        <w:rPr>
          <w:rFonts w:asciiTheme="minorHAnsi" w:hAnsiTheme="minorHAnsi"/>
        </w:rPr>
        <w:t>or example</w:t>
      </w:r>
      <w:r w:rsidR="004C796C">
        <w:rPr>
          <w:rFonts w:asciiTheme="minorHAnsi" w:hAnsiTheme="minorHAnsi"/>
        </w:rPr>
        <w:t xml:space="preserve">, with respect to </w:t>
      </w:r>
      <w:r w:rsidRPr="00232A72">
        <w:rPr>
          <w:rFonts w:asciiTheme="minorHAnsi" w:hAnsiTheme="minorHAnsi"/>
        </w:rPr>
        <w:t>sun</w:t>
      </w:r>
      <w:r w:rsidR="004C796C">
        <w:rPr>
          <w:rFonts w:asciiTheme="minorHAnsi" w:hAnsiTheme="minorHAnsi"/>
        </w:rPr>
        <w:t xml:space="preserve"> tanning and the use of sunbeds,</w:t>
      </w:r>
      <w:r w:rsidRPr="00232A72">
        <w:rPr>
          <w:rFonts w:asciiTheme="minorHAnsi" w:hAnsiTheme="minorHAnsi"/>
        </w:rPr>
        <w:t xml:space="preserve"> research indicates that celebrity role models such as Paris Hilton and Jessica Simpson</w:t>
      </w:r>
      <w:r w:rsidR="004C796C">
        <w:rPr>
          <w:rFonts w:asciiTheme="minorHAnsi" w:hAnsiTheme="minorHAnsi"/>
        </w:rPr>
        <w:t>,</w:t>
      </w:r>
      <w:r w:rsidRPr="00232A72">
        <w:rPr>
          <w:rFonts w:asciiTheme="minorHAnsi" w:hAnsiTheme="minorHAnsi"/>
        </w:rPr>
        <w:t xml:space="preserve"> who openly endorse the use of sunbeds</w:t>
      </w:r>
      <w:r w:rsidR="004C796C">
        <w:rPr>
          <w:rFonts w:asciiTheme="minorHAnsi" w:hAnsiTheme="minorHAnsi"/>
        </w:rPr>
        <w:t>,</w:t>
      </w:r>
      <w:r w:rsidRPr="00232A72">
        <w:rPr>
          <w:rFonts w:asciiTheme="minorHAnsi" w:hAnsiTheme="minorHAnsi"/>
        </w:rPr>
        <w:t xml:space="preserve"> influence the tanning behaviours of teenage girls</w:t>
      </w:r>
      <w:r w:rsidR="004C796C">
        <w:rPr>
          <w:rFonts w:asciiTheme="minorHAnsi" w:hAnsiTheme="minorHAnsi"/>
        </w:rPr>
        <w:t>.</w:t>
      </w:r>
      <w:r>
        <w:rPr>
          <w:rStyle w:val="EndnoteReference"/>
          <w:rFonts w:asciiTheme="minorHAnsi" w:hAnsiTheme="minorHAnsi"/>
        </w:rPr>
        <w:endnoteReference w:id="113"/>
      </w:r>
    </w:p>
    <w:p w:rsidR="00AC76D1" w:rsidRPr="00232A72" w:rsidRDefault="00AC76D1" w:rsidP="00AC76D1">
      <w:pPr>
        <w:jc w:val="both"/>
        <w:rPr>
          <w:rFonts w:asciiTheme="minorHAnsi" w:hAnsiTheme="minorHAnsi"/>
        </w:rPr>
      </w:pPr>
    </w:p>
    <w:p w:rsidR="007654B7" w:rsidRDefault="00AC76D1" w:rsidP="00420F80">
      <w:pPr>
        <w:jc w:val="both"/>
        <w:rPr>
          <w:rFonts w:asciiTheme="majorHAnsi" w:eastAsiaTheme="majorEastAsia" w:hAnsiTheme="majorHAnsi" w:cstheme="majorBidi"/>
          <w:b/>
          <w:bCs/>
          <w:color w:val="365F91" w:themeColor="accent1" w:themeShade="BF"/>
          <w:sz w:val="28"/>
          <w:szCs w:val="28"/>
        </w:rPr>
      </w:pPr>
      <w:r w:rsidRPr="00232A72">
        <w:rPr>
          <w:rFonts w:asciiTheme="minorHAnsi" w:hAnsiTheme="minorHAnsi"/>
        </w:rPr>
        <w:t xml:space="preserve">What is the process involved </w:t>
      </w:r>
      <w:r w:rsidR="004C796C">
        <w:rPr>
          <w:rFonts w:asciiTheme="minorHAnsi" w:hAnsiTheme="minorHAnsi"/>
        </w:rPr>
        <w:t xml:space="preserve">in </w:t>
      </w:r>
      <w:r w:rsidRPr="00232A72">
        <w:rPr>
          <w:rFonts w:asciiTheme="minorHAnsi" w:hAnsiTheme="minorHAnsi"/>
        </w:rPr>
        <w:t>deciding to engage in the kinds of high-risk behaviours that we see celebrities engage in, and why do we choose to engage in some of these behaviours and not others? Young people are most likely to engage in a host of high-risk behaviours (binge-drinking, use of recreational drugs, disordered eating, and risky sun tanning practices including the use of sun beds), but are also notoriously resistant to fear appeals and message framing that focuses on the negative consequences of these behaviours</w:t>
      </w:r>
      <w:r>
        <w:rPr>
          <w:rStyle w:val="EndnoteReference"/>
          <w:rFonts w:asciiTheme="minorHAnsi" w:hAnsiTheme="minorHAnsi"/>
        </w:rPr>
        <w:endnoteReference w:id="114"/>
      </w:r>
      <w:r w:rsidRPr="00232A72">
        <w:rPr>
          <w:rFonts w:asciiTheme="minorHAnsi" w:hAnsiTheme="minorHAnsi"/>
        </w:rPr>
        <w:t>. The questions outlined above are therefore crucial to social marketers who need to identify what kinds of sources inform young people’s behaviours and who young people regard as credible sources of information.</w:t>
      </w:r>
      <w:r w:rsidR="007654B7">
        <w:br w:type="page"/>
      </w:r>
    </w:p>
    <w:p w:rsidR="00D7332B" w:rsidRDefault="007C6320" w:rsidP="00FD26B8">
      <w:pPr>
        <w:pStyle w:val="Heading1"/>
      </w:pPr>
      <w:bookmarkStart w:id="39" w:name="_Toc289256751"/>
      <w:r>
        <w:lastRenderedPageBreak/>
        <w:t>7.</w:t>
      </w:r>
      <w:r w:rsidR="00843A3F">
        <w:t>0</w:t>
      </w:r>
      <w:r>
        <w:t xml:space="preserve"> </w:t>
      </w:r>
      <w:r w:rsidR="00254C30">
        <w:t xml:space="preserve">Important Outstanding </w:t>
      </w:r>
      <w:r w:rsidR="00FD26B8">
        <w:t>Factors Not Addressed in the White Paper</w:t>
      </w:r>
      <w:bookmarkEnd w:id="39"/>
    </w:p>
    <w:p w:rsidR="00FB1195" w:rsidRDefault="00FB1195" w:rsidP="00D85503"/>
    <w:p w:rsidR="00D85503" w:rsidRPr="00002AC0" w:rsidRDefault="00883E4D" w:rsidP="00D85503">
      <w:pPr>
        <w:rPr>
          <w:rFonts w:asciiTheme="minorHAnsi" w:hAnsiTheme="minorHAnsi"/>
        </w:rPr>
      </w:pPr>
      <w:r w:rsidRPr="00883E4D">
        <w:rPr>
          <w:rFonts w:asciiTheme="minorHAnsi" w:hAnsiTheme="minorHAnsi"/>
        </w:rPr>
        <w:t>There are several issues that, while not specifically addressed within the White Paper, are of sufficient importance to warrant consideration.  These relate to issues of legitimacy and trust, ethical issues, risk and unintended consequences, factors within health settings and the needs of an aging population.  Each of these is now discussed.</w:t>
      </w:r>
    </w:p>
    <w:p w:rsidR="00922BC4" w:rsidRDefault="00843A3F" w:rsidP="00922BC4">
      <w:pPr>
        <w:pStyle w:val="Heading3"/>
      </w:pPr>
      <w:bookmarkStart w:id="40" w:name="_Toc289256752"/>
      <w:r>
        <w:t xml:space="preserve">7.1 </w:t>
      </w:r>
      <w:r w:rsidR="00695533">
        <w:t>Legitimacy and t</w:t>
      </w:r>
      <w:r w:rsidR="00922BC4">
        <w:t>rust</w:t>
      </w:r>
      <w:bookmarkEnd w:id="40"/>
    </w:p>
    <w:p w:rsidR="007654B7" w:rsidRDefault="007654B7" w:rsidP="00695533">
      <w:pPr>
        <w:pStyle w:val="Heading3"/>
      </w:pPr>
      <w:bookmarkStart w:id="41" w:name="_Toc289256753"/>
      <w:r>
        <w:t>7.1.1.  The source of information</w:t>
      </w:r>
      <w:bookmarkEnd w:id="41"/>
    </w:p>
    <w:p w:rsidR="00FD26B8" w:rsidRPr="00002AC0" w:rsidRDefault="00883E4D" w:rsidP="00FD26B8">
      <w:pPr>
        <w:jc w:val="both"/>
        <w:rPr>
          <w:rFonts w:asciiTheme="minorHAnsi" w:hAnsiTheme="minorHAnsi"/>
        </w:rPr>
      </w:pPr>
      <w:r w:rsidRPr="00883E4D">
        <w:rPr>
          <w:rFonts w:asciiTheme="minorHAnsi" w:hAnsiTheme="minorHAnsi"/>
        </w:rPr>
        <w:t>While seen as more credible than most commercial sources, governments overall, as sources of information, have become significantly less trusted in the last thirty years.</w:t>
      </w:r>
      <w:r w:rsidRPr="00883E4D">
        <w:rPr>
          <w:rStyle w:val="EndnoteReference"/>
          <w:rFonts w:asciiTheme="minorHAnsi" w:hAnsiTheme="minorHAnsi"/>
        </w:rPr>
        <w:endnoteReference w:id="115"/>
      </w:r>
      <w:r w:rsidRPr="00883E4D">
        <w:rPr>
          <w:rFonts w:asciiTheme="minorHAnsi" w:hAnsiTheme="minorHAnsi"/>
        </w:rPr>
        <w:t xml:space="preserve">  The health sector has not been immune from this, with evidence of decreased confidence in public health risk communication</w:t>
      </w:r>
      <w:r w:rsidRPr="00883E4D">
        <w:rPr>
          <w:rStyle w:val="EndnoteReference"/>
          <w:rFonts w:asciiTheme="minorHAnsi" w:hAnsiTheme="minorHAnsi"/>
        </w:rPr>
        <w:endnoteReference w:id="116"/>
      </w:r>
      <w:r w:rsidRPr="00883E4D">
        <w:rPr>
          <w:rFonts w:asciiTheme="minorHAnsi" w:hAnsiTheme="minorHAnsi"/>
        </w:rPr>
        <w:t xml:space="preserve"> and an overall lack of trust in public health experts.</w:t>
      </w:r>
      <w:r w:rsidRPr="00883E4D">
        <w:rPr>
          <w:rStyle w:val="EndnoteReference"/>
          <w:rFonts w:asciiTheme="minorHAnsi" w:hAnsiTheme="minorHAnsi"/>
        </w:rPr>
        <w:endnoteReference w:id="117"/>
      </w:r>
      <w:r w:rsidRPr="00883E4D">
        <w:rPr>
          <w:rFonts w:asciiTheme="minorHAnsi" w:hAnsiTheme="minorHAnsi"/>
          <w:vertAlign w:val="superscript"/>
        </w:rPr>
        <w:t>,</w:t>
      </w:r>
      <w:r w:rsidRPr="00883E4D">
        <w:rPr>
          <w:rStyle w:val="EndnoteReference"/>
          <w:rFonts w:asciiTheme="minorHAnsi" w:hAnsiTheme="minorHAnsi"/>
        </w:rPr>
        <w:endnoteReference w:id="118"/>
      </w:r>
      <w:r w:rsidRPr="00883E4D">
        <w:rPr>
          <w:rFonts w:asciiTheme="minorHAnsi" w:hAnsiTheme="minorHAnsi"/>
        </w:rPr>
        <w:t xml:space="preserve"> In the specific area of immunisation there is also evidence of rising concern regarding vaccine safety, with potential consequences for resulting immunisation levels.</w:t>
      </w:r>
      <w:r w:rsidRPr="00883E4D">
        <w:rPr>
          <w:rStyle w:val="EndnoteReference"/>
          <w:rFonts w:asciiTheme="minorHAnsi" w:hAnsiTheme="minorHAnsi"/>
        </w:rPr>
        <w:endnoteReference w:id="119"/>
      </w:r>
      <w:r w:rsidRPr="00883E4D">
        <w:rPr>
          <w:rFonts w:asciiTheme="minorHAnsi" w:hAnsiTheme="minorHAnsi"/>
        </w:rPr>
        <w:t xml:space="preserve">  </w:t>
      </w:r>
    </w:p>
    <w:p w:rsidR="00FD26B8" w:rsidRPr="00002AC0" w:rsidRDefault="00FD26B8" w:rsidP="00FD26B8">
      <w:pPr>
        <w:jc w:val="both"/>
        <w:rPr>
          <w:rFonts w:asciiTheme="minorHAnsi" w:hAnsiTheme="minorHAnsi"/>
        </w:rPr>
      </w:pPr>
    </w:p>
    <w:p w:rsidR="00FD26B8" w:rsidRPr="00002AC0" w:rsidRDefault="00883E4D" w:rsidP="00FD26B8">
      <w:pPr>
        <w:jc w:val="both"/>
        <w:rPr>
          <w:rFonts w:asciiTheme="minorHAnsi" w:hAnsiTheme="minorHAnsi"/>
        </w:rPr>
      </w:pPr>
      <w:r w:rsidRPr="00883E4D">
        <w:rPr>
          <w:rFonts w:asciiTheme="minorHAnsi" w:hAnsiTheme="minorHAnsi"/>
        </w:rPr>
        <w:t>Passive acceptance of government information or advice is no longer assured, particularly when it merely reiterates existing policy stances</w:t>
      </w:r>
      <w:r w:rsidRPr="00883E4D">
        <w:rPr>
          <w:rStyle w:val="EndnoteReference"/>
          <w:rFonts w:asciiTheme="minorHAnsi" w:hAnsiTheme="minorHAnsi"/>
        </w:rPr>
        <w:endnoteReference w:id="120"/>
      </w:r>
      <w:r w:rsidRPr="00883E4D">
        <w:rPr>
          <w:rFonts w:asciiTheme="minorHAnsi" w:hAnsiTheme="minorHAnsi"/>
        </w:rPr>
        <w:t>.  Source expertise is known to directly influence perceived credibility of a message</w:t>
      </w:r>
      <w:r w:rsidRPr="00883E4D">
        <w:rPr>
          <w:rStyle w:val="EndnoteReference"/>
          <w:rFonts w:asciiTheme="minorHAnsi" w:hAnsiTheme="minorHAnsi"/>
        </w:rPr>
        <w:endnoteReference w:id="121"/>
      </w:r>
      <w:r w:rsidRPr="00883E4D">
        <w:rPr>
          <w:rFonts w:asciiTheme="minorHAnsi" w:hAnsiTheme="minorHAnsi"/>
        </w:rPr>
        <w:t xml:space="preserve"> and evaluation of the credibility of information has moved from passive acceptance of authority-based information, to judgement based on the synthesis of input from multiple sources, including consumer/news media.</w:t>
      </w:r>
      <w:r w:rsidRPr="00883E4D">
        <w:rPr>
          <w:rStyle w:val="EndnoteReference"/>
          <w:rFonts w:asciiTheme="minorHAnsi" w:hAnsiTheme="minorHAnsi"/>
        </w:rPr>
        <w:endnoteReference w:id="122"/>
      </w:r>
      <w:r w:rsidRPr="00883E4D">
        <w:rPr>
          <w:rFonts w:asciiTheme="minorHAnsi" w:hAnsiTheme="minorHAnsi"/>
        </w:rPr>
        <w:t xml:space="preserve"> There is an assumption that the media will provide accurate and uncritical information (such as the transmission of medical ‘facts’</w:t>
      </w:r>
      <w:r w:rsidRPr="00883E4D">
        <w:rPr>
          <w:rStyle w:val="EndnoteReference"/>
          <w:rFonts w:asciiTheme="minorHAnsi" w:hAnsiTheme="minorHAnsi"/>
        </w:rPr>
        <w:endnoteReference w:id="123"/>
      </w:r>
      <w:r w:rsidRPr="00883E4D">
        <w:rPr>
          <w:rFonts w:asciiTheme="minorHAnsi" w:hAnsiTheme="minorHAnsi"/>
        </w:rPr>
        <w:t>), yet there is evidence from the United States of sensationalism, amplification of risks and emotional aspects such as individual cases and speculation on worst-case scenarios</w:t>
      </w:r>
      <w:r w:rsidRPr="00883E4D">
        <w:rPr>
          <w:rStyle w:val="EndnoteReference"/>
          <w:rFonts w:asciiTheme="minorHAnsi" w:hAnsiTheme="minorHAnsi"/>
        </w:rPr>
        <w:endnoteReference w:id="124"/>
      </w:r>
      <w:r w:rsidRPr="00883E4D">
        <w:rPr>
          <w:rFonts w:asciiTheme="minorHAnsi" w:hAnsiTheme="minorHAnsi"/>
        </w:rPr>
        <w:t>, thus the media’s impact may not always be in line with majority expert opinion or possibly even in the public’s overall interest.</w:t>
      </w:r>
    </w:p>
    <w:p w:rsidR="00FD26B8" w:rsidRPr="00002AC0" w:rsidRDefault="00FD26B8" w:rsidP="00FD26B8">
      <w:pPr>
        <w:jc w:val="both"/>
        <w:rPr>
          <w:rFonts w:asciiTheme="minorHAnsi" w:hAnsiTheme="minorHAnsi"/>
        </w:rPr>
      </w:pPr>
    </w:p>
    <w:p w:rsidR="008F2954" w:rsidRPr="00002AC0" w:rsidRDefault="00883E4D" w:rsidP="00FD26B8">
      <w:pPr>
        <w:jc w:val="both"/>
        <w:rPr>
          <w:rFonts w:asciiTheme="minorHAnsi" w:hAnsiTheme="minorHAnsi"/>
        </w:rPr>
      </w:pPr>
      <w:r w:rsidRPr="00883E4D">
        <w:rPr>
          <w:rFonts w:asciiTheme="minorHAnsi" w:hAnsiTheme="minorHAnsi"/>
        </w:rPr>
        <w:t>In order to understand the impact of trust, we recommend the following questions be addressed:</w:t>
      </w:r>
    </w:p>
    <w:p w:rsidR="00D85503" w:rsidRDefault="00D85503" w:rsidP="00FD26B8">
      <w:pPr>
        <w:jc w:val="both"/>
      </w:pPr>
    </w:p>
    <w:p w:rsidR="002D77FB" w:rsidRPr="002D77FB" w:rsidRDefault="002D77FB" w:rsidP="002D77FB">
      <w:pPr>
        <w:pBdr>
          <w:top w:val="single" w:sz="4" w:space="1" w:color="auto"/>
          <w:left w:val="single" w:sz="4" w:space="4" w:color="auto"/>
          <w:bottom w:val="single" w:sz="4" w:space="1" w:color="auto"/>
          <w:right w:val="single" w:sz="4" w:space="4" w:color="auto"/>
        </w:pBdr>
        <w:shd w:val="clear" w:color="auto" w:fill="CCFFFF"/>
        <w:ind w:right="284"/>
        <w:rPr>
          <w:rFonts w:asciiTheme="minorHAnsi" w:hAnsiTheme="minorHAnsi" w:cstheme="minorHAnsi"/>
          <w:i/>
          <w:sz w:val="20"/>
          <w:szCs w:val="20"/>
        </w:rPr>
      </w:pPr>
    </w:p>
    <w:p w:rsidR="002D77FB" w:rsidRPr="002D77FB" w:rsidRDefault="002D77FB" w:rsidP="00B35CF8">
      <w:pPr>
        <w:pBdr>
          <w:top w:val="single" w:sz="4" w:space="1" w:color="auto"/>
          <w:left w:val="single" w:sz="4" w:space="4" w:color="auto"/>
          <w:bottom w:val="single" w:sz="4" w:space="1" w:color="auto"/>
          <w:right w:val="single" w:sz="4" w:space="4" w:color="auto"/>
        </w:pBdr>
        <w:shd w:val="clear" w:color="auto" w:fill="CCFFFF"/>
        <w:ind w:right="284"/>
        <w:jc w:val="center"/>
        <w:rPr>
          <w:rFonts w:asciiTheme="minorHAnsi" w:hAnsiTheme="minorHAnsi" w:cstheme="minorHAnsi"/>
          <w:i/>
          <w:sz w:val="20"/>
          <w:szCs w:val="20"/>
        </w:rPr>
      </w:pPr>
      <w:r w:rsidRPr="002D77FB">
        <w:rPr>
          <w:rFonts w:asciiTheme="minorHAnsi" w:hAnsiTheme="minorHAnsi" w:cstheme="minorHAnsi"/>
          <w:b/>
          <w:i/>
          <w:color w:val="000000"/>
          <w:sz w:val="22"/>
          <w:szCs w:val="22"/>
        </w:rPr>
        <w:t xml:space="preserve">Research Agenda:  </w:t>
      </w:r>
      <w:r w:rsidR="00B35CF8">
        <w:rPr>
          <w:rFonts w:asciiTheme="minorHAnsi" w:hAnsiTheme="minorHAnsi" w:cstheme="minorHAnsi"/>
          <w:b/>
          <w:i/>
          <w:color w:val="000000"/>
          <w:sz w:val="22"/>
          <w:szCs w:val="22"/>
        </w:rPr>
        <w:t>Trust</w:t>
      </w:r>
    </w:p>
    <w:p w:rsidR="002D77FB" w:rsidRPr="002D77FB" w:rsidRDefault="008F2954" w:rsidP="002D77FB">
      <w:pPr>
        <w:numPr>
          <w:ilvl w:val="0"/>
          <w:numId w:val="11"/>
        </w:numPr>
        <w:pBdr>
          <w:top w:val="single" w:sz="4" w:space="1" w:color="auto"/>
          <w:left w:val="single" w:sz="4" w:space="4" w:color="auto"/>
          <w:bottom w:val="single" w:sz="4" w:space="1" w:color="auto"/>
          <w:right w:val="single" w:sz="4" w:space="4" w:color="auto"/>
        </w:pBdr>
        <w:shd w:val="clear" w:color="auto" w:fill="CCFFFF"/>
        <w:ind w:left="357" w:right="284" w:hanging="357"/>
        <w:rPr>
          <w:rFonts w:asciiTheme="minorHAnsi" w:hAnsiTheme="minorHAnsi" w:cstheme="minorHAnsi"/>
          <w:i/>
          <w:sz w:val="20"/>
          <w:szCs w:val="20"/>
        </w:rPr>
      </w:pPr>
      <w:r w:rsidRPr="002D77FB">
        <w:rPr>
          <w:rFonts w:asciiTheme="minorHAnsi" w:hAnsiTheme="minorHAnsi" w:cstheme="minorHAnsi"/>
          <w:i/>
          <w:color w:val="000000"/>
          <w:sz w:val="20"/>
          <w:szCs w:val="20"/>
        </w:rPr>
        <w:t>What are the relative levels of trust for health information across formal and informal channels of communication?</w:t>
      </w:r>
      <w:r w:rsidR="002D77FB" w:rsidRPr="002D77FB">
        <w:rPr>
          <w:rFonts w:asciiTheme="minorHAnsi" w:hAnsiTheme="minorHAnsi" w:cstheme="minorHAnsi"/>
          <w:i/>
          <w:color w:val="000000"/>
          <w:sz w:val="20"/>
          <w:szCs w:val="20"/>
        </w:rPr>
        <w:t xml:space="preserve"> Which sources are trusted and seen as most credible? </w:t>
      </w:r>
    </w:p>
    <w:p w:rsidR="002D77FB" w:rsidRPr="002D77FB" w:rsidRDefault="002D77FB" w:rsidP="002D77FB">
      <w:pPr>
        <w:numPr>
          <w:ilvl w:val="0"/>
          <w:numId w:val="11"/>
        </w:numPr>
        <w:pBdr>
          <w:top w:val="single" w:sz="4" w:space="1" w:color="auto"/>
          <w:left w:val="single" w:sz="4" w:space="4" w:color="auto"/>
          <w:bottom w:val="single" w:sz="4" w:space="1" w:color="auto"/>
          <w:right w:val="single" w:sz="4" w:space="4" w:color="auto"/>
        </w:pBdr>
        <w:shd w:val="clear" w:color="auto" w:fill="CCFFFF"/>
        <w:ind w:right="284"/>
        <w:rPr>
          <w:rFonts w:asciiTheme="minorHAnsi" w:hAnsiTheme="minorHAnsi" w:cstheme="minorHAnsi"/>
          <w:i/>
          <w:color w:val="000000"/>
          <w:sz w:val="20"/>
          <w:szCs w:val="20"/>
        </w:rPr>
      </w:pPr>
      <w:r w:rsidRPr="002D77FB">
        <w:rPr>
          <w:rFonts w:asciiTheme="minorHAnsi" w:hAnsiTheme="minorHAnsi" w:cstheme="minorHAnsi"/>
          <w:i/>
          <w:color w:val="000000"/>
          <w:sz w:val="20"/>
          <w:szCs w:val="20"/>
        </w:rPr>
        <w:t xml:space="preserve">What is the role of different social groups in </w:t>
      </w:r>
      <w:r w:rsidR="001371A5" w:rsidRPr="002D77FB">
        <w:rPr>
          <w:rFonts w:asciiTheme="minorHAnsi" w:hAnsiTheme="minorHAnsi" w:cstheme="minorHAnsi"/>
          <w:i/>
          <w:color w:val="000000"/>
          <w:sz w:val="20"/>
          <w:szCs w:val="20"/>
        </w:rPr>
        <w:t>forming opinions</w:t>
      </w:r>
      <w:r w:rsidRPr="002D77FB">
        <w:rPr>
          <w:rFonts w:asciiTheme="minorHAnsi" w:hAnsiTheme="minorHAnsi" w:cstheme="minorHAnsi"/>
          <w:i/>
          <w:color w:val="000000"/>
          <w:sz w:val="20"/>
          <w:szCs w:val="20"/>
        </w:rPr>
        <w:t xml:space="preserve"> and shaping behaviour?</w:t>
      </w:r>
    </w:p>
    <w:p w:rsidR="002D77FB" w:rsidRPr="002D77FB" w:rsidRDefault="008F2954" w:rsidP="002D77FB">
      <w:pPr>
        <w:numPr>
          <w:ilvl w:val="0"/>
          <w:numId w:val="11"/>
        </w:numPr>
        <w:pBdr>
          <w:top w:val="single" w:sz="4" w:space="1" w:color="auto"/>
          <w:left w:val="single" w:sz="4" w:space="4" w:color="auto"/>
          <w:bottom w:val="single" w:sz="4" w:space="1" w:color="auto"/>
          <w:right w:val="single" w:sz="4" w:space="4" w:color="auto"/>
        </w:pBdr>
        <w:shd w:val="clear" w:color="auto" w:fill="CCFFFF"/>
        <w:ind w:right="284"/>
        <w:rPr>
          <w:rFonts w:asciiTheme="minorHAnsi" w:hAnsiTheme="minorHAnsi" w:cstheme="minorHAnsi"/>
          <w:i/>
          <w:sz w:val="20"/>
          <w:szCs w:val="20"/>
        </w:rPr>
      </w:pPr>
      <w:r w:rsidRPr="002D77FB">
        <w:rPr>
          <w:rFonts w:asciiTheme="minorHAnsi" w:hAnsiTheme="minorHAnsi" w:cstheme="minorHAnsi"/>
          <w:i/>
          <w:color w:val="000000"/>
          <w:sz w:val="20"/>
          <w:szCs w:val="20"/>
        </w:rPr>
        <w:t xml:space="preserve">What sources of information, and which channels and instruments are used </w:t>
      </w:r>
      <w:r w:rsidR="00A22776" w:rsidRPr="002D77FB">
        <w:rPr>
          <w:rFonts w:asciiTheme="minorHAnsi" w:hAnsiTheme="minorHAnsi" w:cstheme="minorHAnsi"/>
          <w:i/>
          <w:color w:val="000000"/>
          <w:sz w:val="20"/>
          <w:szCs w:val="20"/>
        </w:rPr>
        <w:t xml:space="preserve">/ preferred </w:t>
      </w:r>
      <w:r w:rsidRPr="002D77FB">
        <w:rPr>
          <w:rFonts w:asciiTheme="minorHAnsi" w:hAnsiTheme="minorHAnsi" w:cstheme="minorHAnsi"/>
          <w:i/>
          <w:color w:val="000000"/>
          <w:sz w:val="20"/>
          <w:szCs w:val="20"/>
        </w:rPr>
        <w:t xml:space="preserve">by different socio-demographic segments across </w:t>
      </w:r>
      <w:r w:rsidR="00A22776" w:rsidRPr="002D77FB">
        <w:rPr>
          <w:rFonts w:asciiTheme="minorHAnsi" w:hAnsiTheme="minorHAnsi" w:cstheme="minorHAnsi"/>
          <w:i/>
          <w:color w:val="000000"/>
          <w:sz w:val="20"/>
          <w:szCs w:val="20"/>
        </w:rPr>
        <w:t>different life</w:t>
      </w:r>
      <w:r w:rsidRPr="002D77FB">
        <w:rPr>
          <w:rFonts w:asciiTheme="minorHAnsi" w:hAnsiTheme="minorHAnsi" w:cstheme="minorHAnsi"/>
          <w:i/>
          <w:color w:val="000000"/>
          <w:sz w:val="20"/>
          <w:szCs w:val="20"/>
        </w:rPr>
        <w:t xml:space="preserve"> stages.</w:t>
      </w:r>
    </w:p>
    <w:p w:rsidR="008F2954" w:rsidRPr="00B35CF8" w:rsidRDefault="008F2954" w:rsidP="002D77FB">
      <w:pPr>
        <w:numPr>
          <w:ilvl w:val="0"/>
          <w:numId w:val="11"/>
        </w:numPr>
        <w:pBdr>
          <w:top w:val="single" w:sz="4" w:space="1" w:color="auto"/>
          <w:left w:val="single" w:sz="4" w:space="4" w:color="auto"/>
          <w:bottom w:val="single" w:sz="4" w:space="1" w:color="auto"/>
          <w:right w:val="single" w:sz="4" w:space="4" w:color="auto"/>
        </w:pBdr>
        <w:shd w:val="clear" w:color="auto" w:fill="CCFFFF"/>
        <w:ind w:right="284"/>
        <w:jc w:val="both"/>
        <w:rPr>
          <w:i/>
          <w:sz w:val="20"/>
          <w:szCs w:val="20"/>
        </w:rPr>
      </w:pPr>
      <w:r w:rsidRPr="002D77FB">
        <w:rPr>
          <w:rFonts w:asciiTheme="minorHAnsi" w:hAnsiTheme="minorHAnsi" w:cstheme="minorHAnsi"/>
          <w:i/>
          <w:sz w:val="20"/>
          <w:szCs w:val="20"/>
        </w:rPr>
        <w:t>What is the impact o</w:t>
      </w:r>
      <w:r w:rsidR="00834A40">
        <w:rPr>
          <w:rFonts w:asciiTheme="minorHAnsi" w:hAnsiTheme="minorHAnsi" w:cstheme="minorHAnsi"/>
          <w:i/>
          <w:sz w:val="20"/>
          <w:szCs w:val="20"/>
        </w:rPr>
        <w:t>f social networks on persuasion</w:t>
      </w:r>
      <w:r w:rsidRPr="002D77FB">
        <w:rPr>
          <w:rFonts w:asciiTheme="minorHAnsi" w:hAnsiTheme="minorHAnsi" w:cstheme="minorHAnsi"/>
          <w:i/>
          <w:sz w:val="20"/>
          <w:szCs w:val="20"/>
        </w:rPr>
        <w:t xml:space="preserve"> and</w:t>
      </w:r>
      <w:r w:rsidR="00834A40">
        <w:rPr>
          <w:rFonts w:asciiTheme="minorHAnsi" w:hAnsiTheme="minorHAnsi" w:cstheme="minorHAnsi"/>
          <w:i/>
          <w:sz w:val="20"/>
          <w:szCs w:val="20"/>
        </w:rPr>
        <w:t>,</w:t>
      </w:r>
      <w:r w:rsidRPr="002D77FB">
        <w:rPr>
          <w:rFonts w:asciiTheme="minorHAnsi" w:hAnsiTheme="minorHAnsi" w:cstheme="minorHAnsi"/>
          <w:i/>
          <w:sz w:val="20"/>
          <w:szCs w:val="20"/>
        </w:rPr>
        <w:t xml:space="preserve"> wh</w:t>
      </w:r>
      <w:r w:rsidR="00A22776" w:rsidRPr="002D77FB">
        <w:rPr>
          <w:rFonts w:asciiTheme="minorHAnsi" w:hAnsiTheme="minorHAnsi" w:cstheme="minorHAnsi"/>
          <w:i/>
          <w:sz w:val="20"/>
          <w:szCs w:val="20"/>
        </w:rPr>
        <w:t>ere these are important, how do these networks operate</w:t>
      </w:r>
      <w:r w:rsidRPr="002D77FB">
        <w:rPr>
          <w:rFonts w:asciiTheme="minorHAnsi" w:hAnsiTheme="minorHAnsi" w:cstheme="minorHAnsi"/>
          <w:i/>
          <w:sz w:val="20"/>
          <w:szCs w:val="20"/>
        </w:rPr>
        <w:t>?</w:t>
      </w:r>
    </w:p>
    <w:p w:rsidR="00B35CF8" w:rsidRPr="002D77FB" w:rsidRDefault="00B35CF8" w:rsidP="00B35CF8">
      <w:pPr>
        <w:pBdr>
          <w:top w:val="single" w:sz="4" w:space="1" w:color="auto"/>
          <w:left w:val="single" w:sz="4" w:space="4" w:color="auto"/>
          <w:bottom w:val="single" w:sz="4" w:space="1" w:color="auto"/>
          <w:right w:val="single" w:sz="4" w:space="4" w:color="auto"/>
        </w:pBdr>
        <w:shd w:val="clear" w:color="auto" w:fill="CCFFFF"/>
        <w:ind w:right="284"/>
        <w:jc w:val="both"/>
        <w:rPr>
          <w:i/>
          <w:sz w:val="20"/>
          <w:szCs w:val="20"/>
        </w:rPr>
      </w:pPr>
    </w:p>
    <w:p w:rsidR="008F2954" w:rsidRDefault="008F2954" w:rsidP="00FD26B8">
      <w:pPr>
        <w:jc w:val="both"/>
      </w:pPr>
    </w:p>
    <w:p w:rsidR="008F2954" w:rsidRDefault="00B35CF8" w:rsidP="000D53B7">
      <w:pPr>
        <w:jc w:val="both"/>
        <w:rPr>
          <w:rFonts w:asciiTheme="minorHAnsi" w:hAnsiTheme="minorHAnsi" w:cstheme="minorHAnsi"/>
        </w:rPr>
      </w:pPr>
      <w:r w:rsidRPr="008F2954">
        <w:rPr>
          <w:rFonts w:asciiTheme="minorHAnsi" w:hAnsiTheme="minorHAnsi" w:cstheme="minorHAnsi"/>
        </w:rPr>
        <w:t>Legitimacy and</w:t>
      </w:r>
      <w:r w:rsidR="008F2954" w:rsidRPr="008F2954">
        <w:rPr>
          <w:rFonts w:asciiTheme="minorHAnsi" w:hAnsiTheme="minorHAnsi" w:cstheme="minorHAnsi"/>
        </w:rPr>
        <w:t xml:space="preserve"> trust are also important within multi-party and community-based health </w:t>
      </w:r>
      <w:r w:rsidR="008F2954">
        <w:rPr>
          <w:rFonts w:asciiTheme="minorHAnsi" w:hAnsiTheme="minorHAnsi" w:cstheme="minorHAnsi"/>
        </w:rPr>
        <w:t xml:space="preserve">initiatives which involve partnerships between often disparate organisations. As members of </w:t>
      </w:r>
      <w:r w:rsidR="007B3E18" w:rsidRPr="008F2954">
        <w:rPr>
          <w:rFonts w:asciiTheme="minorHAnsi" w:hAnsiTheme="minorHAnsi" w:cstheme="minorHAnsi"/>
        </w:rPr>
        <w:t>partnership</w:t>
      </w:r>
      <w:r w:rsidR="00C47435">
        <w:rPr>
          <w:rFonts w:asciiTheme="minorHAnsi" w:hAnsiTheme="minorHAnsi" w:cstheme="minorHAnsi"/>
        </w:rPr>
        <w:t>s</w:t>
      </w:r>
      <w:r w:rsidR="008F2954">
        <w:rPr>
          <w:rFonts w:asciiTheme="minorHAnsi" w:hAnsiTheme="minorHAnsi" w:cstheme="minorHAnsi"/>
        </w:rPr>
        <w:t xml:space="preserve"> will be </w:t>
      </w:r>
      <w:r w:rsidR="007B3E18" w:rsidRPr="008F2954">
        <w:rPr>
          <w:rFonts w:asciiTheme="minorHAnsi" w:hAnsiTheme="minorHAnsi" w:cstheme="minorHAnsi"/>
        </w:rPr>
        <w:t>mak</w:t>
      </w:r>
      <w:r w:rsidR="008F2954">
        <w:rPr>
          <w:rFonts w:asciiTheme="minorHAnsi" w:hAnsiTheme="minorHAnsi" w:cstheme="minorHAnsi"/>
        </w:rPr>
        <w:t>ing</w:t>
      </w:r>
      <w:r w:rsidR="007B3E18" w:rsidRPr="008F2954">
        <w:rPr>
          <w:rFonts w:asciiTheme="minorHAnsi" w:hAnsiTheme="minorHAnsi" w:cstheme="minorHAnsi"/>
        </w:rPr>
        <w:t xml:space="preserve"> decisions affecting others</w:t>
      </w:r>
      <w:r w:rsidR="008F2954">
        <w:rPr>
          <w:rFonts w:asciiTheme="minorHAnsi" w:hAnsiTheme="minorHAnsi" w:cstheme="minorHAnsi"/>
        </w:rPr>
        <w:t xml:space="preserve">, there is an </w:t>
      </w:r>
      <w:r w:rsidR="008F2954">
        <w:rPr>
          <w:rFonts w:asciiTheme="minorHAnsi" w:hAnsiTheme="minorHAnsi" w:cstheme="minorHAnsi"/>
        </w:rPr>
        <w:lastRenderedPageBreak/>
        <w:t xml:space="preserve">obvious </w:t>
      </w:r>
      <w:r w:rsidR="008F2954" w:rsidRPr="008F2954">
        <w:rPr>
          <w:rFonts w:asciiTheme="minorHAnsi" w:hAnsiTheme="minorHAnsi" w:cstheme="minorHAnsi"/>
        </w:rPr>
        <w:t>need</w:t>
      </w:r>
      <w:r w:rsidR="007B3E18" w:rsidRPr="008F2954">
        <w:rPr>
          <w:rFonts w:asciiTheme="minorHAnsi" w:hAnsiTheme="minorHAnsi" w:cstheme="minorHAnsi"/>
        </w:rPr>
        <w:t xml:space="preserve"> to seek support and endorsement from all sectors of communities.  </w:t>
      </w:r>
      <w:r w:rsidR="008F2954">
        <w:rPr>
          <w:rFonts w:asciiTheme="minorHAnsi" w:hAnsiTheme="minorHAnsi" w:cstheme="minorHAnsi"/>
        </w:rPr>
        <w:t xml:space="preserve">This will necessitate the </w:t>
      </w:r>
      <w:r w:rsidR="007B3E18" w:rsidRPr="008F2954">
        <w:rPr>
          <w:rFonts w:asciiTheme="minorHAnsi" w:hAnsiTheme="minorHAnsi" w:cstheme="minorHAnsi"/>
        </w:rPr>
        <w:t xml:space="preserve">identification </w:t>
      </w:r>
      <w:r w:rsidR="008F2954">
        <w:rPr>
          <w:rFonts w:asciiTheme="minorHAnsi" w:hAnsiTheme="minorHAnsi" w:cstheme="minorHAnsi"/>
        </w:rPr>
        <w:t xml:space="preserve">and analysis </w:t>
      </w:r>
      <w:r w:rsidR="007B3E18" w:rsidRPr="008F2954">
        <w:rPr>
          <w:rFonts w:asciiTheme="minorHAnsi" w:hAnsiTheme="minorHAnsi" w:cstheme="minorHAnsi"/>
        </w:rPr>
        <w:t xml:space="preserve">of stakeholders </w:t>
      </w:r>
      <w:r w:rsidR="008F2954">
        <w:rPr>
          <w:rFonts w:asciiTheme="minorHAnsi" w:hAnsiTheme="minorHAnsi" w:cstheme="minorHAnsi"/>
        </w:rPr>
        <w:t xml:space="preserve">to determine </w:t>
      </w:r>
      <w:r w:rsidR="007B3E18" w:rsidRPr="008F2954">
        <w:rPr>
          <w:rFonts w:asciiTheme="minorHAnsi" w:hAnsiTheme="minorHAnsi" w:cstheme="minorHAnsi"/>
        </w:rPr>
        <w:t>who has a voice and the right to speak on behalf of others.  Partners must identify and agree on who has the right to set priorities for a community, and the process by which issue and priority selection will be decided if the community is divided</w:t>
      </w:r>
      <w:r w:rsidR="00834A40">
        <w:rPr>
          <w:rFonts w:asciiTheme="minorHAnsi" w:hAnsiTheme="minorHAnsi" w:cstheme="minorHAnsi"/>
        </w:rPr>
        <w:t>.</w:t>
      </w:r>
      <w:r w:rsidR="007B3E18" w:rsidRPr="008F2954">
        <w:rPr>
          <w:rStyle w:val="EndnoteReference"/>
          <w:rFonts w:asciiTheme="minorHAnsi" w:hAnsiTheme="minorHAnsi" w:cstheme="minorHAnsi"/>
        </w:rPr>
        <w:endnoteReference w:id="125"/>
      </w:r>
      <w:r w:rsidR="007B3E18" w:rsidRPr="008F2954">
        <w:rPr>
          <w:rFonts w:asciiTheme="minorHAnsi" w:hAnsiTheme="minorHAnsi" w:cstheme="minorHAnsi"/>
        </w:rPr>
        <w:t xml:space="preserve">  </w:t>
      </w:r>
    </w:p>
    <w:p w:rsidR="008F2954" w:rsidRDefault="008F2954" w:rsidP="000D53B7">
      <w:pPr>
        <w:jc w:val="both"/>
        <w:rPr>
          <w:rFonts w:asciiTheme="minorHAnsi" w:hAnsiTheme="minorHAnsi" w:cstheme="minorHAnsi"/>
        </w:rPr>
      </w:pPr>
    </w:p>
    <w:p w:rsidR="007B3E18" w:rsidRPr="008F2954" w:rsidRDefault="007B3E18" w:rsidP="000D53B7">
      <w:pPr>
        <w:jc w:val="both"/>
        <w:rPr>
          <w:rFonts w:asciiTheme="minorHAnsi" w:hAnsiTheme="minorHAnsi" w:cstheme="minorHAnsi"/>
        </w:rPr>
      </w:pPr>
      <w:r w:rsidRPr="008F2954">
        <w:rPr>
          <w:rFonts w:asciiTheme="minorHAnsi" w:hAnsiTheme="minorHAnsi" w:cstheme="minorHAnsi"/>
        </w:rPr>
        <w:t>Also, partners must agree as to who has the right to assess risks to communities and individuals</w:t>
      </w:r>
      <w:r w:rsidRPr="008F2954">
        <w:rPr>
          <w:rStyle w:val="EndnoteReference"/>
          <w:rFonts w:asciiTheme="minorHAnsi" w:hAnsiTheme="minorHAnsi" w:cstheme="minorHAnsi"/>
        </w:rPr>
        <w:endnoteReference w:id="126"/>
      </w:r>
      <w:r w:rsidRPr="008F2954">
        <w:rPr>
          <w:rFonts w:asciiTheme="minorHAnsi" w:hAnsiTheme="minorHAnsi" w:cstheme="minorHAnsi"/>
        </w:rPr>
        <w:t>, who decides on norms, standards or goals, what incentives or rewards might be necessary to attract or enable under-represented groups to participate in a partnership</w:t>
      </w:r>
      <w:r w:rsidRPr="008F2954">
        <w:rPr>
          <w:rStyle w:val="EndnoteReference"/>
          <w:rFonts w:asciiTheme="minorHAnsi" w:hAnsiTheme="minorHAnsi" w:cstheme="minorHAnsi"/>
        </w:rPr>
        <w:endnoteReference w:id="127"/>
      </w:r>
      <w:r w:rsidRPr="008F2954">
        <w:rPr>
          <w:rFonts w:asciiTheme="minorHAnsi" w:hAnsiTheme="minorHAnsi" w:cstheme="minorHAnsi"/>
        </w:rPr>
        <w:t xml:space="preserve"> and what action should be taken if a group disagrees or decides to opt out after development of a partner-based intervention has commenced</w:t>
      </w:r>
      <w:r w:rsidR="00834A40">
        <w:rPr>
          <w:rFonts w:asciiTheme="minorHAnsi" w:hAnsiTheme="minorHAnsi" w:cstheme="minorHAnsi"/>
        </w:rPr>
        <w:t>.</w:t>
      </w:r>
      <w:r w:rsidRPr="008F2954">
        <w:rPr>
          <w:rStyle w:val="EndnoteReference"/>
          <w:rFonts w:asciiTheme="minorHAnsi" w:hAnsiTheme="minorHAnsi" w:cstheme="minorHAnsi"/>
        </w:rPr>
        <w:endnoteReference w:id="128"/>
      </w:r>
      <w:r w:rsidRPr="008F2954">
        <w:rPr>
          <w:rFonts w:asciiTheme="minorHAnsi" w:hAnsiTheme="minorHAnsi" w:cstheme="minorHAnsi"/>
        </w:rPr>
        <w:t xml:space="preserve">  If an intervention is not supported or perceived a</w:t>
      </w:r>
      <w:r w:rsidR="00C47435">
        <w:rPr>
          <w:rFonts w:asciiTheme="minorHAnsi" w:hAnsiTheme="minorHAnsi" w:cstheme="minorHAnsi"/>
        </w:rPr>
        <w:t>s</w:t>
      </w:r>
      <w:r w:rsidRPr="008F2954">
        <w:rPr>
          <w:rFonts w:asciiTheme="minorHAnsi" w:hAnsiTheme="minorHAnsi" w:cstheme="minorHAnsi"/>
        </w:rPr>
        <w:t xml:space="preserve"> legitimate, those who have been excluded from its development and planning may undermine it</w:t>
      </w:r>
      <w:r w:rsidR="00834A40">
        <w:rPr>
          <w:rFonts w:asciiTheme="minorHAnsi" w:hAnsiTheme="minorHAnsi" w:cstheme="minorHAnsi"/>
        </w:rPr>
        <w:t>.</w:t>
      </w:r>
      <w:r w:rsidRPr="008F2954">
        <w:rPr>
          <w:rStyle w:val="EndnoteReference"/>
          <w:rFonts w:asciiTheme="minorHAnsi" w:hAnsiTheme="minorHAnsi" w:cstheme="minorHAnsi"/>
        </w:rPr>
        <w:endnoteReference w:id="129"/>
      </w:r>
    </w:p>
    <w:p w:rsidR="007E5184" w:rsidRPr="008F2954" w:rsidRDefault="007E5184" w:rsidP="000D53B7">
      <w:pPr>
        <w:jc w:val="both"/>
        <w:rPr>
          <w:rFonts w:asciiTheme="minorHAnsi" w:hAnsiTheme="minorHAnsi" w:cstheme="minorHAnsi"/>
        </w:rPr>
      </w:pPr>
    </w:p>
    <w:p w:rsidR="00922BC4" w:rsidRDefault="00843A3F" w:rsidP="00922BC4">
      <w:pPr>
        <w:pStyle w:val="Heading3"/>
      </w:pPr>
      <w:bookmarkStart w:id="42" w:name="_Toc289256754"/>
      <w:r>
        <w:t xml:space="preserve">7.2 </w:t>
      </w:r>
      <w:r w:rsidR="00922BC4">
        <w:t>Ethic</w:t>
      </w:r>
      <w:r w:rsidR="00695533">
        <w:t>al i</w:t>
      </w:r>
      <w:r w:rsidR="00FB1195">
        <w:t>ssues</w:t>
      </w:r>
      <w:r w:rsidR="00EE7AD2">
        <w:t xml:space="preserve"> in </w:t>
      </w:r>
      <w:r w:rsidR="00695533">
        <w:t>b</w:t>
      </w:r>
      <w:r w:rsidR="007868B9">
        <w:t xml:space="preserve">ehaviour </w:t>
      </w:r>
      <w:r w:rsidR="00695533">
        <w:t>c</w:t>
      </w:r>
      <w:r w:rsidR="007868B9">
        <w:t>hange</w:t>
      </w:r>
      <w:r w:rsidR="00EE7AD2">
        <w:t xml:space="preserve"> </w:t>
      </w:r>
      <w:r w:rsidR="00695533">
        <w:t>p</w:t>
      </w:r>
      <w:r w:rsidR="00EE7AD2">
        <w:t>rogrammes - Benefits</w:t>
      </w:r>
      <w:r w:rsidR="00FB1195">
        <w:t xml:space="preserve">, </w:t>
      </w:r>
      <w:r w:rsidR="00695533">
        <w:t>r</w:t>
      </w:r>
      <w:r w:rsidR="00FB1195">
        <w:t xml:space="preserve">isk </w:t>
      </w:r>
      <w:r w:rsidR="007868B9">
        <w:t xml:space="preserve">and </w:t>
      </w:r>
      <w:r w:rsidR="00695533">
        <w:t>u</w:t>
      </w:r>
      <w:r w:rsidR="007868B9">
        <w:t>nintended</w:t>
      </w:r>
      <w:r w:rsidR="00922BC4">
        <w:t xml:space="preserve"> </w:t>
      </w:r>
      <w:r w:rsidR="00695533">
        <w:t>c</w:t>
      </w:r>
      <w:r w:rsidR="00922BC4">
        <w:t>onsequences</w:t>
      </w:r>
      <w:bookmarkEnd w:id="42"/>
    </w:p>
    <w:p w:rsidR="00834A40" w:rsidRDefault="00834A40" w:rsidP="00EE7AD2">
      <w:pPr>
        <w:jc w:val="both"/>
        <w:rPr>
          <w:rFonts w:asciiTheme="minorHAnsi" w:hAnsiTheme="minorHAnsi"/>
        </w:rPr>
      </w:pPr>
    </w:p>
    <w:p w:rsidR="00EE7AD2" w:rsidRPr="00EE7AD2" w:rsidRDefault="00EE7AD2" w:rsidP="00EE7AD2">
      <w:pPr>
        <w:jc w:val="both"/>
        <w:rPr>
          <w:rFonts w:asciiTheme="minorHAnsi" w:hAnsiTheme="minorHAnsi"/>
        </w:rPr>
      </w:pPr>
      <w:r w:rsidRPr="00EE7AD2">
        <w:rPr>
          <w:rFonts w:asciiTheme="minorHAnsi" w:hAnsiTheme="minorHAnsi"/>
        </w:rPr>
        <w:t xml:space="preserve">In the White Paper under the section ‘Intervening effectively’ there is superficial discussion of ethics without a clear reference to ethical principles and approaches. </w:t>
      </w:r>
    </w:p>
    <w:p w:rsidR="00EE7AD2" w:rsidRPr="00EE7AD2" w:rsidRDefault="00EE7AD2" w:rsidP="00EE7AD2">
      <w:pPr>
        <w:jc w:val="both"/>
        <w:rPr>
          <w:rFonts w:asciiTheme="minorHAnsi" w:hAnsiTheme="minorHAnsi"/>
        </w:rPr>
      </w:pPr>
    </w:p>
    <w:p w:rsidR="00EE7AD2" w:rsidRPr="00EE7AD2" w:rsidRDefault="00C47435" w:rsidP="00EE7AD2">
      <w:pPr>
        <w:jc w:val="both"/>
        <w:rPr>
          <w:rFonts w:asciiTheme="minorHAnsi" w:hAnsiTheme="minorHAnsi"/>
        </w:rPr>
      </w:pPr>
      <w:r>
        <w:rPr>
          <w:rFonts w:asciiTheme="minorHAnsi" w:hAnsiTheme="minorHAnsi"/>
        </w:rPr>
        <w:t>E</w:t>
      </w:r>
      <w:r w:rsidR="00EE7AD2" w:rsidRPr="00EE7AD2">
        <w:rPr>
          <w:rFonts w:asciiTheme="minorHAnsi" w:hAnsiTheme="minorHAnsi"/>
        </w:rPr>
        <w:t>thic</w:t>
      </w:r>
      <w:r>
        <w:rPr>
          <w:rFonts w:asciiTheme="minorHAnsi" w:hAnsiTheme="minorHAnsi"/>
        </w:rPr>
        <w:t>al</w:t>
      </w:r>
      <w:r w:rsidR="00EE7AD2" w:rsidRPr="00EE7AD2">
        <w:rPr>
          <w:rFonts w:asciiTheme="minorHAnsi" w:hAnsiTheme="minorHAnsi"/>
        </w:rPr>
        <w:t xml:space="preserve"> issues associated with behaviour change programmes</w:t>
      </w:r>
      <w:r>
        <w:rPr>
          <w:rFonts w:asciiTheme="minorHAnsi" w:hAnsiTheme="minorHAnsi"/>
        </w:rPr>
        <w:t>,</w:t>
      </w:r>
      <w:r w:rsidR="00EE7AD2" w:rsidRPr="00EE7AD2">
        <w:rPr>
          <w:rFonts w:asciiTheme="minorHAnsi" w:hAnsiTheme="minorHAnsi"/>
        </w:rPr>
        <w:t xml:space="preserve"> and indeed much of public health</w:t>
      </w:r>
      <w:r>
        <w:rPr>
          <w:rFonts w:asciiTheme="minorHAnsi" w:hAnsiTheme="minorHAnsi"/>
        </w:rPr>
        <w:t>,</w:t>
      </w:r>
      <w:r w:rsidR="00EE7AD2" w:rsidRPr="00EE7AD2">
        <w:rPr>
          <w:rFonts w:asciiTheme="minorHAnsi" w:hAnsiTheme="minorHAnsi"/>
        </w:rPr>
        <w:t xml:space="preserve"> </w:t>
      </w:r>
      <w:r>
        <w:rPr>
          <w:rFonts w:asciiTheme="minorHAnsi" w:hAnsiTheme="minorHAnsi"/>
        </w:rPr>
        <w:t>are</w:t>
      </w:r>
      <w:r w:rsidR="00EE7AD2" w:rsidRPr="00EE7AD2">
        <w:rPr>
          <w:rFonts w:asciiTheme="minorHAnsi" w:hAnsiTheme="minorHAnsi"/>
        </w:rPr>
        <w:t xml:space="preserve"> under</w:t>
      </w:r>
      <w:r>
        <w:rPr>
          <w:rFonts w:asciiTheme="minorHAnsi" w:hAnsiTheme="minorHAnsi"/>
        </w:rPr>
        <w:t>-</w:t>
      </w:r>
      <w:r w:rsidR="00EE7AD2" w:rsidRPr="00EE7AD2">
        <w:rPr>
          <w:rFonts w:asciiTheme="minorHAnsi" w:hAnsiTheme="minorHAnsi"/>
        </w:rPr>
        <w:t>researched</w:t>
      </w:r>
      <w:r>
        <w:rPr>
          <w:rFonts w:asciiTheme="minorHAnsi" w:hAnsiTheme="minorHAnsi"/>
        </w:rPr>
        <w:t>.</w:t>
      </w:r>
      <w:r w:rsidR="00EE7AD2" w:rsidRPr="00EE7AD2">
        <w:rPr>
          <w:rFonts w:asciiTheme="minorHAnsi" w:hAnsiTheme="minorHAnsi"/>
        </w:rPr>
        <w:t xml:space="preserve"> However, it is well known that most interventions even at an individual level are associated not only with benefits but risks, costs and unintended consequences. The situation is even more complex for interventions at a population level where the beneficiaries and those who suffer costs or adverse consequences are different individuals or groups of people. Sometimes the unintended consequence of behavioural interventions is to widen the inequality gap which most interventions are striving to narrow either directly or indirectly.  </w:t>
      </w:r>
    </w:p>
    <w:p w:rsidR="00EE7AD2" w:rsidRPr="00EE7AD2" w:rsidRDefault="00EE7AD2" w:rsidP="00EE7AD2">
      <w:pPr>
        <w:jc w:val="both"/>
        <w:rPr>
          <w:rFonts w:asciiTheme="minorHAnsi" w:hAnsiTheme="minorHAnsi"/>
        </w:rPr>
      </w:pPr>
    </w:p>
    <w:p w:rsidR="00FC069D" w:rsidRDefault="00EE7AD2" w:rsidP="00EE7AD2">
      <w:pPr>
        <w:jc w:val="both"/>
        <w:rPr>
          <w:rFonts w:asciiTheme="minorHAnsi" w:hAnsiTheme="minorHAnsi"/>
        </w:rPr>
      </w:pPr>
      <w:r w:rsidRPr="00EE7AD2">
        <w:rPr>
          <w:rFonts w:asciiTheme="minorHAnsi" w:hAnsiTheme="minorHAnsi"/>
        </w:rPr>
        <w:t xml:space="preserve">Deliberate decisions to change the behaviour of individuals in a democratic society raise questions of governance.  There are questions about who legitimately decides what is ideal behaviour, </w:t>
      </w:r>
      <w:r w:rsidR="00E93621">
        <w:rPr>
          <w:rFonts w:asciiTheme="minorHAnsi" w:hAnsiTheme="minorHAnsi"/>
        </w:rPr>
        <w:t xml:space="preserve">whether </w:t>
      </w:r>
      <w:r w:rsidRPr="00EE7AD2">
        <w:rPr>
          <w:rFonts w:asciiTheme="minorHAnsi" w:hAnsiTheme="minorHAnsi"/>
        </w:rPr>
        <w:t xml:space="preserve">those who do not conform </w:t>
      </w:r>
      <w:r w:rsidR="00E93621">
        <w:rPr>
          <w:rFonts w:asciiTheme="minorHAnsi" w:hAnsiTheme="minorHAnsi"/>
        </w:rPr>
        <w:t xml:space="preserve">to ideal behaviour </w:t>
      </w:r>
      <w:r w:rsidRPr="00EE7AD2">
        <w:rPr>
          <w:rFonts w:asciiTheme="minorHAnsi" w:hAnsiTheme="minorHAnsi"/>
        </w:rPr>
        <w:t>need to change</w:t>
      </w:r>
      <w:r w:rsidR="00E93621">
        <w:rPr>
          <w:rFonts w:asciiTheme="minorHAnsi" w:hAnsiTheme="minorHAnsi"/>
        </w:rPr>
        <w:t>,</w:t>
      </w:r>
      <w:r w:rsidRPr="00EE7AD2">
        <w:rPr>
          <w:rFonts w:asciiTheme="minorHAnsi" w:hAnsiTheme="minorHAnsi"/>
        </w:rPr>
        <w:t xml:space="preserve"> </w:t>
      </w:r>
      <w:r w:rsidR="00E93621">
        <w:rPr>
          <w:rFonts w:asciiTheme="minorHAnsi" w:hAnsiTheme="minorHAnsi"/>
        </w:rPr>
        <w:t xml:space="preserve">whether </w:t>
      </w:r>
      <w:r w:rsidRPr="00EE7AD2">
        <w:rPr>
          <w:rFonts w:asciiTheme="minorHAnsi" w:hAnsiTheme="minorHAnsi"/>
        </w:rPr>
        <w:t xml:space="preserve">this </w:t>
      </w:r>
      <w:r w:rsidR="00E93621">
        <w:rPr>
          <w:rFonts w:asciiTheme="minorHAnsi" w:hAnsiTheme="minorHAnsi"/>
        </w:rPr>
        <w:t xml:space="preserve">is </w:t>
      </w:r>
      <w:r w:rsidRPr="00EE7AD2">
        <w:rPr>
          <w:rFonts w:asciiTheme="minorHAnsi" w:hAnsiTheme="minorHAnsi"/>
        </w:rPr>
        <w:t>for their own or societal good</w:t>
      </w:r>
      <w:r w:rsidR="00E93621">
        <w:rPr>
          <w:rFonts w:asciiTheme="minorHAnsi" w:hAnsiTheme="minorHAnsi"/>
        </w:rPr>
        <w:t>,</w:t>
      </w:r>
      <w:r w:rsidRPr="00EE7AD2">
        <w:rPr>
          <w:rFonts w:asciiTheme="minorHAnsi" w:hAnsiTheme="minorHAnsi"/>
        </w:rPr>
        <w:t xml:space="preserve"> and what methods could legitimately</w:t>
      </w:r>
      <w:r w:rsidR="00E93621">
        <w:rPr>
          <w:rFonts w:asciiTheme="minorHAnsi" w:hAnsiTheme="minorHAnsi"/>
        </w:rPr>
        <w:t xml:space="preserve"> be</w:t>
      </w:r>
      <w:r w:rsidRPr="00EE7AD2">
        <w:rPr>
          <w:rFonts w:asciiTheme="minorHAnsi" w:hAnsiTheme="minorHAnsi"/>
        </w:rPr>
        <w:t xml:space="preserve"> used.  </w:t>
      </w:r>
      <w:r w:rsidR="00FC069D">
        <w:rPr>
          <w:rFonts w:asciiTheme="minorHAnsi" w:hAnsiTheme="minorHAnsi"/>
        </w:rPr>
        <w:t>In this regard, t</w:t>
      </w:r>
      <w:r w:rsidRPr="00EE7AD2">
        <w:rPr>
          <w:rFonts w:asciiTheme="minorHAnsi" w:hAnsiTheme="minorHAnsi"/>
        </w:rPr>
        <w:t>he Nuffield Council on Bioethics ‘intervention ladder</w:t>
      </w:r>
      <w:r w:rsidR="00FC069D">
        <w:rPr>
          <w:rFonts w:asciiTheme="minorHAnsi" w:hAnsiTheme="minorHAnsi"/>
        </w:rPr>
        <w:t>’,</w:t>
      </w:r>
      <w:r w:rsidRPr="00EE7AD2">
        <w:rPr>
          <w:rFonts w:asciiTheme="minorHAnsi" w:hAnsiTheme="minorHAnsi"/>
        </w:rPr>
        <w:t xml:space="preserve"> which is referred to in the White Paper</w:t>
      </w:r>
      <w:r w:rsidR="00FC069D">
        <w:rPr>
          <w:rFonts w:asciiTheme="minorHAnsi" w:hAnsiTheme="minorHAnsi"/>
        </w:rPr>
        <w:t>,</w:t>
      </w:r>
      <w:r w:rsidRPr="00EE7AD2">
        <w:rPr>
          <w:rFonts w:asciiTheme="minorHAnsi" w:hAnsiTheme="minorHAnsi"/>
        </w:rPr>
        <w:t xml:space="preserve"> focuses on a hierarchy of intrusion in individual decision making to achieve health improvement</w:t>
      </w:r>
      <w:r w:rsidR="00FC069D">
        <w:rPr>
          <w:rFonts w:asciiTheme="minorHAnsi" w:hAnsiTheme="minorHAnsi"/>
        </w:rPr>
        <w:t xml:space="preserve">. </w:t>
      </w:r>
    </w:p>
    <w:p w:rsidR="00EE7AD2" w:rsidRPr="00EE7AD2" w:rsidRDefault="00EE7AD2" w:rsidP="00EE7AD2">
      <w:pPr>
        <w:jc w:val="both"/>
        <w:rPr>
          <w:rFonts w:asciiTheme="minorHAnsi" w:hAnsiTheme="minorHAnsi"/>
        </w:rPr>
      </w:pPr>
    </w:p>
    <w:p w:rsidR="00922BC4" w:rsidRPr="00EE7AD2" w:rsidRDefault="00922BC4" w:rsidP="00EE7AD2">
      <w:pPr>
        <w:jc w:val="both"/>
        <w:rPr>
          <w:rFonts w:asciiTheme="minorHAnsi" w:hAnsiTheme="minorHAnsi"/>
        </w:rPr>
      </w:pPr>
      <w:r w:rsidRPr="00EE7AD2">
        <w:rPr>
          <w:rFonts w:asciiTheme="minorHAnsi" w:hAnsiTheme="minorHAnsi"/>
        </w:rPr>
        <w:t xml:space="preserve">There are </w:t>
      </w:r>
      <w:r w:rsidR="001D214A" w:rsidRPr="00EE7AD2">
        <w:rPr>
          <w:rFonts w:asciiTheme="minorHAnsi" w:hAnsiTheme="minorHAnsi"/>
        </w:rPr>
        <w:t xml:space="preserve">several </w:t>
      </w:r>
      <w:r w:rsidR="00380D85" w:rsidRPr="00EE7AD2">
        <w:rPr>
          <w:rFonts w:asciiTheme="minorHAnsi" w:hAnsiTheme="minorHAnsi"/>
        </w:rPr>
        <w:t>ethical issues</w:t>
      </w:r>
      <w:r w:rsidRPr="00EE7AD2">
        <w:rPr>
          <w:rFonts w:asciiTheme="minorHAnsi" w:hAnsiTheme="minorHAnsi"/>
        </w:rPr>
        <w:t xml:space="preserve"> that have been identified and which should be included in intervention planning.  These include how competing </w:t>
      </w:r>
      <w:r w:rsidR="00EE7AD2">
        <w:rPr>
          <w:rFonts w:asciiTheme="minorHAnsi" w:hAnsiTheme="minorHAnsi"/>
        </w:rPr>
        <w:t>needs</w:t>
      </w:r>
      <w:r w:rsidRPr="00EE7AD2">
        <w:rPr>
          <w:rFonts w:asciiTheme="minorHAnsi" w:hAnsiTheme="minorHAnsi"/>
        </w:rPr>
        <w:t xml:space="preserve"> might be judged and what information is reasonable to seek from people in order to develop social marketing campaigns</w:t>
      </w:r>
      <w:r w:rsidRPr="00EE7AD2">
        <w:rPr>
          <w:rStyle w:val="EndnoteReference"/>
          <w:rFonts w:asciiTheme="minorHAnsi" w:hAnsiTheme="minorHAnsi"/>
        </w:rPr>
        <w:endnoteReference w:id="130"/>
      </w:r>
      <w:r w:rsidRPr="00EE7AD2">
        <w:rPr>
          <w:rFonts w:asciiTheme="minorHAnsi" w:hAnsiTheme="minorHAnsi"/>
        </w:rPr>
        <w:t xml:space="preserve">. </w:t>
      </w:r>
      <w:r w:rsidR="001D214A" w:rsidRPr="00EE7AD2">
        <w:rPr>
          <w:rFonts w:asciiTheme="minorHAnsi" w:hAnsiTheme="minorHAnsi"/>
        </w:rPr>
        <w:t>In addition, a</w:t>
      </w:r>
      <w:r w:rsidRPr="00EE7AD2">
        <w:rPr>
          <w:rFonts w:asciiTheme="minorHAnsi" w:hAnsiTheme="minorHAnsi"/>
        </w:rPr>
        <w:t xml:space="preserve"> surprisingly wide range of potential unintended effects of health communication campaigns have been reported in the academic literature; these have been summarised in Table </w:t>
      </w:r>
      <w:r w:rsidR="00EA6F6E" w:rsidRPr="00EE7AD2">
        <w:rPr>
          <w:rFonts w:asciiTheme="minorHAnsi" w:hAnsiTheme="minorHAnsi"/>
        </w:rPr>
        <w:t>3</w:t>
      </w:r>
      <w:r w:rsidRPr="00EE7AD2">
        <w:rPr>
          <w:rFonts w:asciiTheme="minorHAnsi" w:hAnsiTheme="minorHAnsi"/>
        </w:rPr>
        <w:t xml:space="preserve">.   </w:t>
      </w:r>
    </w:p>
    <w:p w:rsidR="00922BC4" w:rsidRPr="00401356" w:rsidRDefault="00922BC4" w:rsidP="00922BC4">
      <w:pPr>
        <w:rPr>
          <w:rFonts w:asciiTheme="minorHAnsi" w:hAnsiTheme="minorHAnsi"/>
        </w:rPr>
      </w:pPr>
    </w:p>
    <w:p w:rsidR="00EE7AD2" w:rsidRDefault="00EE7AD2">
      <w:pPr>
        <w:rPr>
          <w:rFonts w:asciiTheme="minorHAnsi" w:hAnsiTheme="minorHAnsi"/>
          <w:b/>
        </w:rPr>
      </w:pPr>
      <w:r>
        <w:rPr>
          <w:rFonts w:asciiTheme="minorHAnsi" w:hAnsiTheme="minorHAnsi"/>
          <w:b/>
        </w:rPr>
        <w:br w:type="page"/>
      </w:r>
    </w:p>
    <w:p w:rsidR="00922BC4" w:rsidRPr="00401356" w:rsidRDefault="00922BC4" w:rsidP="00922BC4">
      <w:pPr>
        <w:rPr>
          <w:rFonts w:asciiTheme="minorHAnsi" w:hAnsiTheme="minorHAnsi"/>
          <w:b/>
          <w:vertAlign w:val="superscript"/>
        </w:rPr>
      </w:pPr>
      <w:r w:rsidRPr="00401356">
        <w:rPr>
          <w:rFonts w:asciiTheme="minorHAnsi" w:hAnsiTheme="minorHAnsi"/>
          <w:b/>
        </w:rPr>
        <w:lastRenderedPageBreak/>
        <w:t xml:space="preserve">Table </w:t>
      </w:r>
      <w:r w:rsidR="00EA6F6E">
        <w:rPr>
          <w:rFonts w:asciiTheme="minorHAnsi" w:hAnsiTheme="minorHAnsi"/>
          <w:b/>
        </w:rPr>
        <w:t>3</w:t>
      </w:r>
      <w:r w:rsidRPr="00401356">
        <w:rPr>
          <w:rFonts w:asciiTheme="minorHAnsi" w:hAnsiTheme="minorHAnsi"/>
          <w:b/>
        </w:rPr>
        <w:t xml:space="preserve">  Unintended Effects of Health Communication Campaigns</w:t>
      </w:r>
      <w:r w:rsidRPr="00401356">
        <w:rPr>
          <w:rStyle w:val="EndnoteReference"/>
          <w:rFonts w:asciiTheme="minorHAnsi" w:hAnsiTheme="minorHAnsi"/>
          <w:b/>
        </w:rPr>
        <w:endnoteReference w:id="131"/>
      </w:r>
      <w:r w:rsidRPr="00401356">
        <w:rPr>
          <w:rFonts w:asciiTheme="minorHAnsi" w:hAnsiTheme="minorHAnsi"/>
          <w:b/>
        </w:rPr>
        <w:t xml:space="preserve"> (Cho and Salmon 2007: 300)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8"/>
        <w:gridCol w:w="6854"/>
      </w:tblGrid>
      <w:tr w:rsidR="00922BC4" w:rsidRPr="00401356" w:rsidTr="00922BC4">
        <w:tc>
          <w:tcPr>
            <w:tcW w:w="1696" w:type="dxa"/>
          </w:tcPr>
          <w:p w:rsidR="00922BC4" w:rsidRPr="004C419C" w:rsidRDefault="00922BC4" w:rsidP="00922BC4">
            <w:pPr>
              <w:rPr>
                <w:rFonts w:asciiTheme="minorHAnsi" w:hAnsiTheme="minorHAnsi"/>
                <w:b/>
                <w:sz w:val="20"/>
                <w:szCs w:val="20"/>
              </w:rPr>
            </w:pPr>
            <w:r w:rsidRPr="004C419C">
              <w:rPr>
                <w:rFonts w:asciiTheme="minorHAnsi" w:hAnsiTheme="minorHAnsi"/>
                <w:b/>
                <w:sz w:val="20"/>
                <w:szCs w:val="20"/>
              </w:rPr>
              <w:t>Effect</w:t>
            </w:r>
          </w:p>
        </w:tc>
        <w:tc>
          <w:tcPr>
            <w:tcW w:w="7546" w:type="dxa"/>
          </w:tcPr>
          <w:p w:rsidR="00922BC4" w:rsidRPr="004C419C" w:rsidRDefault="00922BC4" w:rsidP="00922BC4">
            <w:pPr>
              <w:rPr>
                <w:rFonts w:asciiTheme="minorHAnsi" w:hAnsiTheme="minorHAnsi"/>
                <w:b/>
                <w:sz w:val="20"/>
                <w:szCs w:val="20"/>
              </w:rPr>
            </w:pPr>
            <w:r w:rsidRPr="004C419C">
              <w:rPr>
                <w:rFonts w:asciiTheme="minorHAnsi" w:hAnsiTheme="minorHAnsi"/>
                <w:b/>
                <w:sz w:val="20"/>
                <w:szCs w:val="20"/>
              </w:rPr>
              <w:t>Definition</w:t>
            </w:r>
          </w:p>
          <w:p w:rsidR="00922BC4" w:rsidRPr="004C419C" w:rsidRDefault="00922BC4" w:rsidP="00922BC4">
            <w:pPr>
              <w:rPr>
                <w:rFonts w:asciiTheme="minorHAnsi" w:hAnsiTheme="minorHAnsi"/>
                <w:b/>
                <w:sz w:val="20"/>
                <w:szCs w:val="20"/>
              </w:rPr>
            </w:pPr>
          </w:p>
        </w:tc>
      </w:tr>
      <w:tr w:rsidR="00922BC4" w:rsidRPr="00401356" w:rsidTr="00922BC4">
        <w:tc>
          <w:tcPr>
            <w:tcW w:w="1696" w:type="dxa"/>
          </w:tcPr>
          <w:p w:rsidR="00922BC4" w:rsidRPr="004C419C" w:rsidRDefault="00922BC4" w:rsidP="00922BC4">
            <w:pPr>
              <w:rPr>
                <w:rFonts w:asciiTheme="minorHAnsi" w:hAnsiTheme="minorHAnsi"/>
                <w:sz w:val="20"/>
                <w:szCs w:val="20"/>
              </w:rPr>
            </w:pPr>
            <w:r w:rsidRPr="004C419C">
              <w:rPr>
                <w:rFonts w:asciiTheme="minorHAnsi" w:hAnsiTheme="minorHAnsi"/>
                <w:sz w:val="20"/>
                <w:szCs w:val="20"/>
              </w:rPr>
              <w:t>Obfuscation</w:t>
            </w:r>
          </w:p>
        </w:tc>
        <w:tc>
          <w:tcPr>
            <w:tcW w:w="7546" w:type="dxa"/>
          </w:tcPr>
          <w:p w:rsidR="00922BC4" w:rsidRPr="004C419C" w:rsidRDefault="00922BC4" w:rsidP="00922BC4">
            <w:pPr>
              <w:rPr>
                <w:rFonts w:asciiTheme="minorHAnsi" w:hAnsiTheme="minorHAnsi"/>
                <w:sz w:val="20"/>
                <w:szCs w:val="20"/>
              </w:rPr>
            </w:pPr>
            <w:r w:rsidRPr="004C419C">
              <w:rPr>
                <w:rFonts w:asciiTheme="minorHAnsi" w:hAnsiTheme="minorHAnsi"/>
                <w:sz w:val="20"/>
                <w:szCs w:val="20"/>
              </w:rPr>
              <w:t>Confusion and misunderstanding of health risk and risk prevention methods</w:t>
            </w:r>
          </w:p>
          <w:p w:rsidR="00922BC4" w:rsidRPr="004C419C" w:rsidRDefault="00922BC4" w:rsidP="00922BC4">
            <w:pPr>
              <w:rPr>
                <w:rFonts w:asciiTheme="minorHAnsi" w:hAnsiTheme="minorHAnsi"/>
                <w:sz w:val="20"/>
                <w:szCs w:val="20"/>
              </w:rPr>
            </w:pPr>
          </w:p>
        </w:tc>
      </w:tr>
      <w:tr w:rsidR="00922BC4" w:rsidRPr="00401356" w:rsidTr="00922BC4">
        <w:tc>
          <w:tcPr>
            <w:tcW w:w="1696" w:type="dxa"/>
          </w:tcPr>
          <w:p w:rsidR="00922BC4" w:rsidRPr="004C419C" w:rsidRDefault="00922BC4" w:rsidP="00922BC4">
            <w:pPr>
              <w:rPr>
                <w:rFonts w:asciiTheme="minorHAnsi" w:hAnsiTheme="minorHAnsi"/>
                <w:sz w:val="20"/>
                <w:szCs w:val="20"/>
              </w:rPr>
            </w:pPr>
            <w:r w:rsidRPr="004C419C">
              <w:rPr>
                <w:rFonts w:asciiTheme="minorHAnsi" w:hAnsiTheme="minorHAnsi"/>
                <w:sz w:val="20"/>
                <w:szCs w:val="20"/>
              </w:rPr>
              <w:t>Dissonance</w:t>
            </w:r>
          </w:p>
        </w:tc>
        <w:tc>
          <w:tcPr>
            <w:tcW w:w="7546" w:type="dxa"/>
          </w:tcPr>
          <w:p w:rsidR="00922BC4" w:rsidRPr="004C419C" w:rsidRDefault="00922BC4" w:rsidP="00922BC4">
            <w:pPr>
              <w:rPr>
                <w:rFonts w:asciiTheme="minorHAnsi" w:hAnsiTheme="minorHAnsi"/>
                <w:sz w:val="20"/>
                <w:szCs w:val="20"/>
              </w:rPr>
            </w:pPr>
            <w:r w:rsidRPr="004C419C">
              <w:rPr>
                <w:rFonts w:asciiTheme="minorHAnsi" w:hAnsiTheme="minorHAnsi"/>
                <w:sz w:val="20"/>
                <w:szCs w:val="20"/>
              </w:rPr>
              <w:t>Psychological discomfort and distress provoked by the incongruence between the recommended health states and the audience’s actual states</w:t>
            </w:r>
          </w:p>
        </w:tc>
      </w:tr>
      <w:tr w:rsidR="00922BC4" w:rsidRPr="00401356" w:rsidTr="00922BC4">
        <w:tc>
          <w:tcPr>
            <w:tcW w:w="1696" w:type="dxa"/>
          </w:tcPr>
          <w:p w:rsidR="00922BC4" w:rsidRPr="004C419C" w:rsidRDefault="00922BC4" w:rsidP="00922BC4">
            <w:pPr>
              <w:rPr>
                <w:rFonts w:asciiTheme="minorHAnsi" w:hAnsiTheme="minorHAnsi"/>
                <w:sz w:val="20"/>
                <w:szCs w:val="20"/>
              </w:rPr>
            </w:pPr>
            <w:r w:rsidRPr="004C419C">
              <w:rPr>
                <w:rFonts w:asciiTheme="minorHAnsi" w:hAnsiTheme="minorHAnsi"/>
                <w:sz w:val="20"/>
                <w:szCs w:val="20"/>
              </w:rPr>
              <w:t>Boomerang</w:t>
            </w:r>
          </w:p>
        </w:tc>
        <w:tc>
          <w:tcPr>
            <w:tcW w:w="7546" w:type="dxa"/>
          </w:tcPr>
          <w:p w:rsidR="00922BC4" w:rsidRPr="004C419C" w:rsidRDefault="00922BC4" w:rsidP="00922BC4">
            <w:pPr>
              <w:rPr>
                <w:rFonts w:asciiTheme="minorHAnsi" w:hAnsiTheme="minorHAnsi"/>
                <w:sz w:val="20"/>
                <w:szCs w:val="20"/>
              </w:rPr>
            </w:pPr>
            <w:r w:rsidRPr="004C419C">
              <w:rPr>
                <w:rFonts w:asciiTheme="minorHAnsi" w:hAnsiTheme="minorHAnsi"/>
                <w:sz w:val="20"/>
                <w:szCs w:val="20"/>
              </w:rPr>
              <w:t>Reaction by an audience that is the opposite to the intended response of the persuasion message</w:t>
            </w:r>
          </w:p>
        </w:tc>
      </w:tr>
      <w:tr w:rsidR="00922BC4" w:rsidRPr="00401356" w:rsidTr="00922BC4">
        <w:tc>
          <w:tcPr>
            <w:tcW w:w="1696" w:type="dxa"/>
          </w:tcPr>
          <w:p w:rsidR="00922BC4" w:rsidRPr="004C419C" w:rsidRDefault="00922BC4" w:rsidP="00922BC4">
            <w:pPr>
              <w:rPr>
                <w:rFonts w:asciiTheme="minorHAnsi" w:hAnsiTheme="minorHAnsi"/>
                <w:sz w:val="20"/>
                <w:szCs w:val="20"/>
              </w:rPr>
            </w:pPr>
            <w:r w:rsidRPr="004C419C">
              <w:rPr>
                <w:rFonts w:asciiTheme="minorHAnsi" w:hAnsiTheme="minorHAnsi"/>
                <w:sz w:val="20"/>
                <w:szCs w:val="20"/>
              </w:rPr>
              <w:t>Epidemic of apprehension</w:t>
            </w:r>
          </w:p>
        </w:tc>
        <w:tc>
          <w:tcPr>
            <w:tcW w:w="7546" w:type="dxa"/>
          </w:tcPr>
          <w:p w:rsidR="00922BC4" w:rsidRPr="004C419C" w:rsidRDefault="00922BC4" w:rsidP="00922BC4">
            <w:pPr>
              <w:rPr>
                <w:rFonts w:asciiTheme="minorHAnsi" w:hAnsiTheme="minorHAnsi"/>
                <w:sz w:val="20"/>
                <w:szCs w:val="20"/>
              </w:rPr>
            </w:pPr>
            <w:r w:rsidRPr="004C419C">
              <w:rPr>
                <w:rFonts w:asciiTheme="minorHAnsi" w:hAnsiTheme="minorHAnsi"/>
                <w:sz w:val="20"/>
                <w:szCs w:val="20"/>
              </w:rPr>
              <w:t>Unnecessarily high consciousness and concern over health produced by the pervasiveness of risk messages over the long term</w:t>
            </w:r>
          </w:p>
        </w:tc>
      </w:tr>
      <w:tr w:rsidR="00922BC4" w:rsidRPr="00401356" w:rsidTr="00922BC4">
        <w:tc>
          <w:tcPr>
            <w:tcW w:w="1696" w:type="dxa"/>
          </w:tcPr>
          <w:p w:rsidR="00922BC4" w:rsidRPr="004C419C" w:rsidRDefault="00922BC4" w:rsidP="00922BC4">
            <w:pPr>
              <w:rPr>
                <w:rFonts w:asciiTheme="minorHAnsi" w:hAnsiTheme="minorHAnsi"/>
                <w:sz w:val="20"/>
                <w:szCs w:val="20"/>
              </w:rPr>
            </w:pPr>
            <w:r w:rsidRPr="004C419C">
              <w:rPr>
                <w:rFonts w:asciiTheme="minorHAnsi" w:hAnsiTheme="minorHAnsi"/>
                <w:sz w:val="20"/>
                <w:szCs w:val="20"/>
              </w:rPr>
              <w:t>Desensitisation</w:t>
            </w:r>
          </w:p>
        </w:tc>
        <w:tc>
          <w:tcPr>
            <w:tcW w:w="7546" w:type="dxa"/>
          </w:tcPr>
          <w:p w:rsidR="00922BC4" w:rsidRPr="004C419C" w:rsidRDefault="00922BC4" w:rsidP="00922BC4">
            <w:pPr>
              <w:rPr>
                <w:rFonts w:asciiTheme="minorHAnsi" w:hAnsiTheme="minorHAnsi"/>
                <w:sz w:val="20"/>
                <w:szCs w:val="20"/>
              </w:rPr>
            </w:pPr>
            <w:r w:rsidRPr="004C419C">
              <w:rPr>
                <w:rFonts w:asciiTheme="minorHAnsi" w:hAnsiTheme="minorHAnsi"/>
                <w:sz w:val="20"/>
                <w:szCs w:val="20"/>
              </w:rPr>
              <w:t>Repeated exposure to messages about a health risk may over the long term render the public apathetic</w:t>
            </w:r>
          </w:p>
        </w:tc>
      </w:tr>
      <w:tr w:rsidR="00922BC4" w:rsidRPr="00401356" w:rsidTr="00922BC4">
        <w:tc>
          <w:tcPr>
            <w:tcW w:w="1696" w:type="dxa"/>
          </w:tcPr>
          <w:p w:rsidR="00922BC4" w:rsidRPr="004C419C" w:rsidRDefault="00922BC4" w:rsidP="00922BC4">
            <w:pPr>
              <w:rPr>
                <w:rFonts w:asciiTheme="minorHAnsi" w:hAnsiTheme="minorHAnsi"/>
                <w:sz w:val="20"/>
                <w:szCs w:val="20"/>
              </w:rPr>
            </w:pPr>
            <w:r w:rsidRPr="004C419C">
              <w:rPr>
                <w:rFonts w:asciiTheme="minorHAnsi" w:hAnsiTheme="minorHAnsi"/>
                <w:sz w:val="20"/>
                <w:szCs w:val="20"/>
              </w:rPr>
              <w:t>Culpability</w:t>
            </w:r>
          </w:p>
        </w:tc>
        <w:tc>
          <w:tcPr>
            <w:tcW w:w="7546" w:type="dxa"/>
          </w:tcPr>
          <w:p w:rsidR="00922BC4" w:rsidRPr="004C419C" w:rsidRDefault="00922BC4" w:rsidP="00922BC4">
            <w:pPr>
              <w:rPr>
                <w:rFonts w:asciiTheme="minorHAnsi" w:hAnsiTheme="minorHAnsi"/>
                <w:sz w:val="20"/>
                <w:szCs w:val="20"/>
              </w:rPr>
            </w:pPr>
            <w:r w:rsidRPr="004C419C">
              <w:rPr>
                <w:rFonts w:asciiTheme="minorHAnsi" w:hAnsiTheme="minorHAnsi"/>
                <w:sz w:val="20"/>
                <w:szCs w:val="20"/>
              </w:rPr>
              <w:t>The phenomenon of locating the causes of public health problems in the individual rather than in social conditions</w:t>
            </w:r>
          </w:p>
        </w:tc>
      </w:tr>
      <w:tr w:rsidR="00922BC4" w:rsidRPr="00401356" w:rsidTr="00922BC4">
        <w:tc>
          <w:tcPr>
            <w:tcW w:w="1696" w:type="dxa"/>
          </w:tcPr>
          <w:p w:rsidR="00922BC4" w:rsidRPr="004C419C" w:rsidRDefault="00922BC4" w:rsidP="00922BC4">
            <w:pPr>
              <w:rPr>
                <w:rFonts w:asciiTheme="minorHAnsi" w:hAnsiTheme="minorHAnsi"/>
                <w:sz w:val="20"/>
                <w:szCs w:val="20"/>
              </w:rPr>
            </w:pPr>
            <w:r w:rsidRPr="004C419C">
              <w:rPr>
                <w:rFonts w:asciiTheme="minorHAnsi" w:hAnsiTheme="minorHAnsi"/>
                <w:sz w:val="20"/>
                <w:szCs w:val="20"/>
              </w:rPr>
              <w:t>Opportunity cost</w:t>
            </w:r>
          </w:p>
        </w:tc>
        <w:tc>
          <w:tcPr>
            <w:tcW w:w="7546" w:type="dxa"/>
          </w:tcPr>
          <w:p w:rsidR="00922BC4" w:rsidRPr="004C419C" w:rsidRDefault="00922BC4" w:rsidP="00922BC4">
            <w:pPr>
              <w:rPr>
                <w:rFonts w:asciiTheme="minorHAnsi" w:hAnsiTheme="minorHAnsi"/>
                <w:sz w:val="20"/>
                <w:szCs w:val="20"/>
              </w:rPr>
            </w:pPr>
            <w:r w:rsidRPr="004C419C">
              <w:rPr>
                <w:rFonts w:asciiTheme="minorHAnsi" w:hAnsiTheme="minorHAnsi"/>
                <w:sz w:val="20"/>
                <w:szCs w:val="20"/>
              </w:rPr>
              <w:t>The choice of communication campaigns as the solution for a public health problem and the selection of certain health issues over others may diminish the probability of improving public health through other choices</w:t>
            </w:r>
          </w:p>
        </w:tc>
      </w:tr>
      <w:tr w:rsidR="00922BC4" w:rsidRPr="00401356" w:rsidTr="00922BC4">
        <w:tc>
          <w:tcPr>
            <w:tcW w:w="1696" w:type="dxa"/>
          </w:tcPr>
          <w:p w:rsidR="00922BC4" w:rsidRPr="004C419C" w:rsidRDefault="00922BC4" w:rsidP="00922BC4">
            <w:pPr>
              <w:rPr>
                <w:rFonts w:asciiTheme="minorHAnsi" w:hAnsiTheme="minorHAnsi"/>
                <w:sz w:val="20"/>
                <w:szCs w:val="20"/>
              </w:rPr>
            </w:pPr>
            <w:r w:rsidRPr="004C419C">
              <w:rPr>
                <w:rFonts w:asciiTheme="minorHAnsi" w:hAnsiTheme="minorHAnsi"/>
                <w:sz w:val="20"/>
                <w:szCs w:val="20"/>
              </w:rPr>
              <w:t>Social reproduction</w:t>
            </w:r>
          </w:p>
        </w:tc>
        <w:tc>
          <w:tcPr>
            <w:tcW w:w="7546" w:type="dxa"/>
          </w:tcPr>
          <w:p w:rsidR="00922BC4" w:rsidRPr="004C419C" w:rsidRDefault="00922BC4" w:rsidP="00922BC4">
            <w:pPr>
              <w:rPr>
                <w:rFonts w:asciiTheme="minorHAnsi" w:hAnsiTheme="minorHAnsi"/>
                <w:sz w:val="20"/>
                <w:szCs w:val="20"/>
              </w:rPr>
            </w:pPr>
            <w:r w:rsidRPr="004C419C">
              <w:rPr>
                <w:rFonts w:asciiTheme="minorHAnsi" w:hAnsiTheme="minorHAnsi"/>
                <w:sz w:val="20"/>
                <w:szCs w:val="20"/>
              </w:rPr>
              <w:t>The phenomenon in which campaigns reinforce existing social distributions of knowledge, attitudes and behaviours</w:t>
            </w:r>
          </w:p>
        </w:tc>
      </w:tr>
      <w:tr w:rsidR="00922BC4" w:rsidRPr="00401356" w:rsidTr="00922BC4">
        <w:tc>
          <w:tcPr>
            <w:tcW w:w="1696" w:type="dxa"/>
          </w:tcPr>
          <w:p w:rsidR="00922BC4" w:rsidRPr="004C419C" w:rsidRDefault="00922BC4" w:rsidP="00922BC4">
            <w:pPr>
              <w:rPr>
                <w:rFonts w:asciiTheme="minorHAnsi" w:hAnsiTheme="minorHAnsi"/>
                <w:sz w:val="20"/>
                <w:szCs w:val="20"/>
              </w:rPr>
            </w:pPr>
            <w:r w:rsidRPr="004C419C">
              <w:rPr>
                <w:rFonts w:asciiTheme="minorHAnsi" w:hAnsiTheme="minorHAnsi"/>
                <w:sz w:val="20"/>
                <w:szCs w:val="20"/>
              </w:rPr>
              <w:t>Social norming</w:t>
            </w:r>
          </w:p>
        </w:tc>
        <w:tc>
          <w:tcPr>
            <w:tcW w:w="7546" w:type="dxa"/>
          </w:tcPr>
          <w:p w:rsidR="00922BC4" w:rsidRPr="004C419C" w:rsidRDefault="00922BC4" w:rsidP="00922BC4">
            <w:pPr>
              <w:rPr>
                <w:rFonts w:asciiTheme="minorHAnsi" w:hAnsiTheme="minorHAnsi"/>
                <w:sz w:val="20"/>
                <w:szCs w:val="20"/>
              </w:rPr>
            </w:pPr>
            <w:r w:rsidRPr="004C419C">
              <w:rPr>
                <w:rFonts w:asciiTheme="minorHAnsi" w:hAnsiTheme="minorHAnsi"/>
                <w:sz w:val="20"/>
                <w:szCs w:val="20"/>
              </w:rPr>
              <w:t>Social cohesion and control accompanying marginalization of unhealthy minorities brought about by campaigns</w:t>
            </w:r>
          </w:p>
        </w:tc>
      </w:tr>
      <w:tr w:rsidR="00922BC4" w:rsidRPr="00401356" w:rsidTr="00922BC4">
        <w:tc>
          <w:tcPr>
            <w:tcW w:w="1696" w:type="dxa"/>
          </w:tcPr>
          <w:p w:rsidR="00922BC4" w:rsidRPr="004C419C" w:rsidRDefault="00922BC4" w:rsidP="00922BC4">
            <w:pPr>
              <w:rPr>
                <w:rFonts w:asciiTheme="minorHAnsi" w:hAnsiTheme="minorHAnsi"/>
                <w:sz w:val="20"/>
                <w:szCs w:val="20"/>
              </w:rPr>
            </w:pPr>
            <w:r w:rsidRPr="004C419C">
              <w:rPr>
                <w:rFonts w:asciiTheme="minorHAnsi" w:hAnsiTheme="minorHAnsi"/>
                <w:sz w:val="20"/>
                <w:szCs w:val="20"/>
              </w:rPr>
              <w:t>Enabling</w:t>
            </w:r>
          </w:p>
        </w:tc>
        <w:tc>
          <w:tcPr>
            <w:tcW w:w="7546" w:type="dxa"/>
          </w:tcPr>
          <w:p w:rsidR="00922BC4" w:rsidRPr="004C419C" w:rsidRDefault="00922BC4" w:rsidP="00922BC4">
            <w:pPr>
              <w:rPr>
                <w:rFonts w:asciiTheme="minorHAnsi" w:hAnsiTheme="minorHAnsi"/>
                <w:sz w:val="20"/>
                <w:szCs w:val="20"/>
              </w:rPr>
            </w:pPr>
            <w:r w:rsidRPr="004C419C">
              <w:rPr>
                <w:rFonts w:asciiTheme="minorHAnsi" w:hAnsiTheme="minorHAnsi"/>
                <w:sz w:val="20"/>
                <w:szCs w:val="20"/>
              </w:rPr>
              <w:t>Campaigns inadvertently improve the power of individuals and institution and promote the images and finances of industry</w:t>
            </w:r>
          </w:p>
        </w:tc>
      </w:tr>
      <w:tr w:rsidR="00922BC4" w:rsidRPr="00401356" w:rsidTr="00922BC4">
        <w:tc>
          <w:tcPr>
            <w:tcW w:w="1696" w:type="dxa"/>
          </w:tcPr>
          <w:p w:rsidR="00922BC4" w:rsidRPr="004C419C" w:rsidRDefault="00922BC4" w:rsidP="00922BC4">
            <w:pPr>
              <w:rPr>
                <w:rFonts w:asciiTheme="minorHAnsi" w:hAnsiTheme="minorHAnsi"/>
                <w:sz w:val="20"/>
                <w:szCs w:val="20"/>
              </w:rPr>
            </w:pPr>
            <w:r w:rsidRPr="004C419C">
              <w:rPr>
                <w:rFonts w:asciiTheme="minorHAnsi" w:hAnsiTheme="minorHAnsi"/>
                <w:sz w:val="20"/>
                <w:szCs w:val="20"/>
              </w:rPr>
              <w:t>System activation</w:t>
            </w:r>
          </w:p>
        </w:tc>
        <w:tc>
          <w:tcPr>
            <w:tcW w:w="7546" w:type="dxa"/>
          </w:tcPr>
          <w:p w:rsidR="00922BC4" w:rsidRPr="004C419C" w:rsidRDefault="00922BC4" w:rsidP="00922BC4">
            <w:pPr>
              <w:rPr>
                <w:rFonts w:asciiTheme="minorHAnsi" w:hAnsiTheme="minorHAnsi"/>
                <w:sz w:val="20"/>
                <w:szCs w:val="20"/>
              </w:rPr>
            </w:pPr>
            <w:r w:rsidRPr="004C419C">
              <w:rPr>
                <w:rFonts w:asciiTheme="minorHAnsi" w:hAnsiTheme="minorHAnsi"/>
                <w:sz w:val="20"/>
                <w:szCs w:val="20"/>
              </w:rPr>
              <w:t>Campaigns influence various unintended sectors of society, and their actions mediate or moderate the effect of campaigns on the intended audience</w:t>
            </w:r>
          </w:p>
        </w:tc>
      </w:tr>
    </w:tbl>
    <w:p w:rsidR="00FB1195" w:rsidRDefault="00FB1195" w:rsidP="00922BC4">
      <w:pPr>
        <w:jc w:val="both"/>
        <w:rPr>
          <w:rFonts w:asciiTheme="minorHAnsi" w:hAnsiTheme="minorHAnsi"/>
        </w:rPr>
      </w:pPr>
    </w:p>
    <w:p w:rsidR="00922BC4" w:rsidRPr="00401356" w:rsidRDefault="00922BC4" w:rsidP="00922BC4">
      <w:pPr>
        <w:jc w:val="both"/>
        <w:rPr>
          <w:rFonts w:asciiTheme="minorHAnsi" w:hAnsiTheme="minorHAnsi"/>
        </w:rPr>
      </w:pPr>
      <w:r w:rsidRPr="00401356">
        <w:rPr>
          <w:rFonts w:asciiTheme="minorHAnsi" w:hAnsiTheme="minorHAnsi"/>
        </w:rPr>
        <w:t>While there are a number of potential frameworks available which derive from the field of philosophy, there is no consistency in the literature as to which framework might apply in specific circumstances. The frameworks most commonly cited focus either on intentions (deontology, from the Greek word for ‘duty’) or consequen</w:t>
      </w:r>
      <w:r w:rsidR="00834A40">
        <w:rPr>
          <w:rFonts w:asciiTheme="minorHAnsi" w:hAnsiTheme="minorHAnsi"/>
        </w:rPr>
        <w:t xml:space="preserve">ces (teleology, from the Greek </w:t>
      </w:r>
      <w:r w:rsidRPr="00401356">
        <w:rPr>
          <w:rFonts w:asciiTheme="minorHAnsi" w:hAnsiTheme="minorHAnsi"/>
        </w:rPr>
        <w:t>word for ‘ends’; also referred to as consequentialism), with the latter being broken down further into utilitarianism and egoism</w:t>
      </w:r>
      <w:r w:rsidR="00834A40">
        <w:rPr>
          <w:rFonts w:asciiTheme="minorHAnsi" w:hAnsiTheme="minorHAnsi"/>
        </w:rPr>
        <w:t>.</w:t>
      </w:r>
      <w:r w:rsidRPr="00401356">
        <w:rPr>
          <w:rStyle w:val="EndnoteReference"/>
          <w:rFonts w:asciiTheme="minorHAnsi" w:hAnsiTheme="minorHAnsi"/>
        </w:rPr>
        <w:endnoteReference w:id="132"/>
      </w:r>
      <w:r w:rsidRPr="00401356">
        <w:rPr>
          <w:rFonts w:asciiTheme="minorHAnsi" w:hAnsiTheme="minorHAnsi"/>
          <w:vertAlign w:val="superscript"/>
        </w:rPr>
        <w:t>,</w:t>
      </w:r>
      <w:r w:rsidRPr="00401356">
        <w:rPr>
          <w:rStyle w:val="EndnoteReference"/>
          <w:rFonts w:asciiTheme="minorHAnsi" w:hAnsiTheme="minorHAnsi"/>
        </w:rPr>
        <w:endnoteReference w:id="133"/>
      </w:r>
      <w:r w:rsidRPr="00401356">
        <w:rPr>
          <w:rFonts w:asciiTheme="minorHAnsi" w:hAnsiTheme="minorHAnsi"/>
        </w:rPr>
        <w:t xml:space="preserve"> </w:t>
      </w:r>
    </w:p>
    <w:p w:rsidR="00922BC4" w:rsidRPr="00401356" w:rsidRDefault="00922BC4" w:rsidP="00922BC4">
      <w:pPr>
        <w:jc w:val="both"/>
        <w:rPr>
          <w:rFonts w:asciiTheme="minorHAnsi" w:hAnsiTheme="minorHAnsi"/>
        </w:rPr>
      </w:pPr>
    </w:p>
    <w:p w:rsidR="00922BC4" w:rsidRPr="00401356" w:rsidRDefault="00922BC4" w:rsidP="00922BC4">
      <w:pPr>
        <w:jc w:val="both"/>
        <w:rPr>
          <w:rFonts w:asciiTheme="minorHAnsi" w:hAnsiTheme="minorHAnsi"/>
        </w:rPr>
      </w:pPr>
      <w:r w:rsidRPr="00401356">
        <w:rPr>
          <w:rFonts w:asciiTheme="minorHAnsi" w:hAnsiTheme="minorHAnsi"/>
        </w:rPr>
        <w:t xml:space="preserve">Thus a health-related intervention that was driven by good intentions without potential negative consequences being considered would be acceptable under deontological reasoning but not under teleological reasoning.  </w:t>
      </w:r>
      <w:r w:rsidR="00EE7AD2">
        <w:rPr>
          <w:rFonts w:asciiTheme="minorHAnsi" w:hAnsiTheme="minorHAnsi"/>
        </w:rPr>
        <w:t xml:space="preserve">It has been </w:t>
      </w:r>
      <w:r w:rsidRPr="00401356">
        <w:rPr>
          <w:rFonts w:asciiTheme="minorHAnsi" w:hAnsiTheme="minorHAnsi"/>
        </w:rPr>
        <w:t>suggest</w:t>
      </w:r>
      <w:r w:rsidR="00EE7AD2">
        <w:rPr>
          <w:rFonts w:asciiTheme="minorHAnsi" w:hAnsiTheme="minorHAnsi"/>
        </w:rPr>
        <w:t>ed</w:t>
      </w:r>
      <w:r w:rsidRPr="00401356">
        <w:rPr>
          <w:rFonts w:asciiTheme="minorHAnsi" w:hAnsiTheme="minorHAnsi"/>
        </w:rPr>
        <w:t xml:space="preserve"> that there is no universal set of ethics that can apply across all sectors of society due to the increasing diversity of society and different perspectives that may be held within cultures or groups and therefore each group’s ethical perspective should be held to be equally valid.  An additional perspective is suggested by social contract theory which suggests that there is an implicit contract between the state /government and individuals within society</w:t>
      </w:r>
      <w:r w:rsidRPr="00401356">
        <w:rPr>
          <w:rStyle w:val="EndnoteReference"/>
          <w:rFonts w:asciiTheme="minorHAnsi" w:hAnsiTheme="minorHAnsi"/>
        </w:rPr>
        <w:endnoteReference w:id="134"/>
      </w:r>
      <w:r w:rsidRPr="00401356">
        <w:rPr>
          <w:rFonts w:asciiTheme="minorHAnsi" w:hAnsiTheme="minorHAnsi"/>
        </w:rPr>
        <w:t>.  This is reflected in documents such as the UN Charter which makes reference to basic assumptions about the right of all citizens to health</w:t>
      </w:r>
      <w:r w:rsidR="00834A40">
        <w:rPr>
          <w:rFonts w:asciiTheme="minorHAnsi" w:hAnsiTheme="minorHAnsi"/>
        </w:rPr>
        <w:t>.</w:t>
      </w:r>
      <w:r w:rsidRPr="00401356">
        <w:rPr>
          <w:rStyle w:val="EndnoteReference"/>
          <w:rFonts w:asciiTheme="minorHAnsi" w:hAnsiTheme="minorHAnsi"/>
        </w:rPr>
        <w:endnoteReference w:id="135"/>
      </w:r>
    </w:p>
    <w:p w:rsidR="00922BC4" w:rsidRPr="00401356" w:rsidRDefault="00922BC4" w:rsidP="00922BC4">
      <w:pPr>
        <w:jc w:val="both"/>
        <w:rPr>
          <w:rFonts w:asciiTheme="minorHAnsi" w:hAnsiTheme="minorHAnsi"/>
        </w:rPr>
      </w:pPr>
    </w:p>
    <w:p w:rsidR="00922BC4" w:rsidRPr="00401356" w:rsidRDefault="00922BC4" w:rsidP="00922BC4">
      <w:pPr>
        <w:jc w:val="both"/>
        <w:rPr>
          <w:rFonts w:asciiTheme="minorHAnsi" w:hAnsiTheme="minorHAnsi"/>
        </w:rPr>
      </w:pPr>
      <w:r w:rsidRPr="00401356">
        <w:rPr>
          <w:rFonts w:asciiTheme="minorHAnsi" w:hAnsiTheme="minorHAnsi"/>
        </w:rPr>
        <w:t xml:space="preserve">A further problem is the lack of clear and unambiguous interpretation of the frameworks.  For example, the 2007 Department of Health fear-based smoking cessation ‘fishhook’ intervention which was deemed to be in breach of the Codes of Advertising as a result of multiple complaints. </w:t>
      </w:r>
      <w:r w:rsidR="00380D85">
        <w:rPr>
          <w:rFonts w:asciiTheme="minorHAnsi" w:hAnsiTheme="minorHAnsi"/>
        </w:rPr>
        <w:t>Complaints were p</w:t>
      </w:r>
      <w:r w:rsidRPr="00401356">
        <w:rPr>
          <w:rFonts w:asciiTheme="minorHAnsi" w:hAnsiTheme="minorHAnsi"/>
        </w:rPr>
        <w:t xml:space="preserve">rimarily </w:t>
      </w:r>
      <w:r w:rsidR="00380D85">
        <w:rPr>
          <w:rFonts w:asciiTheme="minorHAnsi" w:hAnsiTheme="minorHAnsi"/>
        </w:rPr>
        <w:t xml:space="preserve">based on </w:t>
      </w:r>
      <w:r w:rsidR="00380D85">
        <w:rPr>
          <w:rFonts w:asciiTheme="minorHAnsi" w:hAnsiTheme="minorHAnsi"/>
        </w:rPr>
        <w:lastRenderedPageBreak/>
        <w:t xml:space="preserve">the </w:t>
      </w:r>
      <w:r w:rsidRPr="00401356">
        <w:rPr>
          <w:rFonts w:asciiTheme="minorHAnsi" w:hAnsiTheme="minorHAnsi"/>
        </w:rPr>
        <w:t xml:space="preserve">fear and anxiety </w:t>
      </w:r>
      <w:r w:rsidR="00380D85">
        <w:rPr>
          <w:rFonts w:asciiTheme="minorHAnsi" w:hAnsiTheme="minorHAnsi"/>
        </w:rPr>
        <w:t xml:space="preserve">the campaign evoked in </w:t>
      </w:r>
      <w:r w:rsidRPr="00401356">
        <w:rPr>
          <w:rFonts w:asciiTheme="minorHAnsi" w:hAnsiTheme="minorHAnsi"/>
        </w:rPr>
        <w:t>children</w:t>
      </w:r>
      <w:r w:rsidRPr="00401356">
        <w:rPr>
          <w:rStyle w:val="EndnoteReference"/>
          <w:rFonts w:asciiTheme="minorHAnsi" w:hAnsiTheme="minorHAnsi"/>
        </w:rPr>
        <w:endnoteReference w:id="136"/>
      </w:r>
      <w:r w:rsidRPr="00401356">
        <w:rPr>
          <w:rFonts w:asciiTheme="minorHAnsi" w:hAnsiTheme="minorHAnsi"/>
        </w:rPr>
        <w:t xml:space="preserve">, </w:t>
      </w:r>
      <w:r w:rsidR="001956DF">
        <w:rPr>
          <w:rFonts w:asciiTheme="minorHAnsi" w:hAnsiTheme="minorHAnsi"/>
        </w:rPr>
        <w:t xml:space="preserve">as it </w:t>
      </w:r>
      <w:r w:rsidRPr="00401356">
        <w:rPr>
          <w:rFonts w:asciiTheme="minorHAnsi" w:hAnsiTheme="minorHAnsi"/>
        </w:rPr>
        <w:t>featured smokers with fishhooks through their faces being dragged to purchase cigarettes.  This approach would be acceptable under deontological reasoning, given that the intention was to help smokers take steps to quit smoking.  Others would argue that it is unacceptable to knowingly cause anxiety under deontological reasoning</w:t>
      </w:r>
      <w:r w:rsidR="00EE7AD2">
        <w:rPr>
          <w:rFonts w:asciiTheme="minorHAnsi" w:hAnsiTheme="minorHAnsi"/>
        </w:rPr>
        <w:t>, even if it achieves a beneficial effect</w:t>
      </w:r>
      <w:r w:rsidR="00834A40">
        <w:rPr>
          <w:rFonts w:asciiTheme="minorHAnsi" w:hAnsiTheme="minorHAnsi"/>
        </w:rPr>
        <w:t>.</w:t>
      </w:r>
      <w:fldSimple w:instr=" NOTEREF _Ref284767563 \h  \* MERGEFORMAT ">
        <w:r w:rsidR="00CE6342" w:rsidRPr="00CE6342">
          <w:rPr>
            <w:rFonts w:asciiTheme="minorHAnsi" w:hAnsiTheme="minorHAnsi"/>
            <w:vertAlign w:val="superscript"/>
          </w:rPr>
          <w:t>214</w:t>
        </w:r>
      </w:fldSimple>
      <w:r w:rsidRPr="00401356">
        <w:rPr>
          <w:rFonts w:asciiTheme="minorHAnsi" w:hAnsiTheme="minorHAnsi"/>
        </w:rPr>
        <w:t xml:space="preserve">  </w:t>
      </w:r>
    </w:p>
    <w:p w:rsidR="00922BC4" w:rsidRPr="00401356" w:rsidRDefault="00922BC4" w:rsidP="00922BC4">
      <w:pPr>
        <w:jc w:val="both"/>
        <w:rPr>
          <w:rFonts w:asciiTheme="minorHAnsi" w:hAnsiTheme="minorHAnsi"/>
        </w:rPr>
      </w:pPr>
    </w:p>
    <w:p w:rsidR="00EE7AD2" w:rsidRPr="00EE7AD2" w:rsidRDefault="00922BC4" w:rsidP="00EE7AD2">
      <w:pPr>
        <w:jc w:val="both"/>
        <w:rPr>
          <w:rFonts w:asciiTheme="minorHAnsi" w:hAnsiTheme="minorHAnsi"/>
        </w:rPr>
      </w:pPr>
      <w:r w:rsidRPr="00EE7AD2">
        <w:rPr>
          <w:rFonts w:asciiTheme="minorHAnsi" w:hAnsiTheme="minorHAnsi"/>
        </w:rPr>
        <w:t xml:space="preserve">Some specific areas of communication activity that raise ethical issues relate to targeting.  </w:t>
      </w:r>
      <w:r w:rsidR="00B52F86">
        <w:rPr>
          <w:rFonts w:asciiTheme="minorHAnsi" w:hAnsiTheme="minorHAnsi"/>
        </w:rPr>
        <w:t xml:space="preserve">It has been suggested </w:t>
      </w:r>
      <w:r w:rsidR="00EE7AD2" w:rsidRPr="00EE7AD2">
        <w:rPr>
          <w:rFonts w:asciiTheme="minorHAnsi" w:hAnsiTheme="minorHAnsi"/>
        </w:rPr>
        <w:t xml:space="preserve"> that social marketing ‘may unwittingly substitute a marketing rationale for relevant moral rationales called for by the social problems it addresses.  </w:t>
      </w:r>
      <w:r w:rsidR="001956DF">
        <w:rPr>
          <w:rFonts w:asciiTheme="minorHAnsi" w:hAnsiTheme="minorHAnsi"/>
        </w:rPr>
        <w:t>Stated differently, t</w:t>
      </w:r>
      <w:r w:rsidR="00EE7AD2" w:rsidRPr="00EE7AD2">
        <w:rPr>
          <w:rFonts w:asciiTheme="minorHAnsi" w:hAnsiTheme="minorHAnsi"/>
        </w:rPr>
        <w:t>he logic of consumer behaviour may replace a moral justification</w:t>
      </w:r>
      <w:r w:rsidR="001956DF">
        <w:rPr>
          <w:rFonts w:asciiTheme="minorHAnsi" w:hAnsiTheme="minorHAnsi"/>
        </w:rPr>
        <w:t xml:space="preserve">. </w:t>
      </w:r>
      <w:r w:rsidR="00EE7AD2" w:rsidRPr="00EE7AD2">
        <w:rPr>
          <w:rFonts w:asciiTheme="minorHAnsi" w:hAnsiTheme="minorHAnsi"/>
        </w:rPr>
        <w:t>Moreover, that there is a danger that when social marketing interventions are targeted they may override normal rights related to self-determination regarding participation</w:t>
      </w:r>
      <w:r w:rsidR="00834A40">
        <w:rPr>
          <w:rFonts w:asciiTheme="minorHAnsi" w:hAnsiTheme="minorHAnsi"/>
        </w:rPr>
        <w:t>.</w:t>
      </w:r>
      <w:r w:rsidR="00B52F86">
        <w:rPr>
          <w:rStyle w:val="EndnoteReference"/>
          <w:rFonts w:asciiTheme="minorHAnsi" w:hAnsiTheme="minorHAnsi"/>
        </w:rPr>
        <w:endnoteReference w:id="137"/>
      </w:r>
    </w:p>
    <w:p w:rsidR="00EE7AD2" w:rsidRPr="00EE7AD2" w:rsidRDefault="00EE7AD2" w:rsidP="00EE7AD2">
      <w:pPr>
        <w:jc w:val="both"/>
        <w:rPr>
          <w:rFonts w:asciiTheme="minorHAnsi" w:hAnsiTheme="minorHAnsi"/>
        </w:rPr>
      </w:pPr>
    </w:p>
    <w:p w:rsidR="00254C30" w:rsidRPr="00401356" w:rsidRDefault="00922BC4" w:rsidP="00254C30">
      <w:pPr>
        <w:jc w:val="both"/>
        <w:rPr>
          <w:rFonts w:ascii="Calibri" w:hAnsi="Calibri"/>
        </w:rPr>
      </w:pPr>
      <w:r w:rsidRPr="00401356">
        <w:rPr>
          <w:rFonts w:asciiTheme="minorHAnsi" w:hAnsiTheme="minorHAnsi"/>
        </w:rPr>
        <w:t>A fundamenta</w:t>
      </w:r>
      <w:r w:rsidR="00A42D2C">
        <w:rPr>
          <w:rFonts w:asciiTheme="minorHAnsi" w:hAnsiTheme="minorHAnsi"/>
        </w:rPr>
        <w:t>l strategy for marketers is to ‘</w:t>
      </w:r>
      <w:r w:rsidRPr="00401356">
        <w:rPr>
          <w:rFonts w:asciiTheme="minorHAnsi" w:hAnsiTheme="minorHAnsi"/>
        </w:rPr>
        <w:t>select target markets they can best affect and satisfy</w:t>
      </w:r>
      <w:r w:rsidR="00A42D2C">
        <w:rPr>
          <w:rFonts w:asciiTheme="minorHAnsi" w:hAnsiTheme="minorHAnsi"/>
        </w:rPr>
        <w:t>’</w:t>
      </w:r>
      <w:r w:rsidR="00834A40">
        <w:rPr>
          <w:rFonts w:asciiTheme="minorHAnsi" w:hAnsiTheme="minorHAnsi"/>
        </w:rPr>
        <w:t>.</w:t>
      </w:r>
      <w:r w:rsidRPr="00401356">
        <w:rPr>
          <w:rStyle w:val="EndnoteReference"/>
          <w:rFonts w:asciiTheme="minorHAnsi" w:hAnsiTheme="minorHAnsi"/>
        </w:rPr>
        <w:endnoteReference w:id="138"/>
      </w:r>
      <w:r w:rsidRPr="00401356">
        <w:rPr>
          <w:rFonts w:asciiTheme="minorHAnsi" w:hAnsiTheme="minorHAnsi"/>
          <w:vertAlign w:val="superscript"/>
        </w:rPr>
        <w:t>, p.7</w:t>
      </w:r>
      <w:r w:rsidRPr="00401356">
        <w:rPr>
          <w:rFonts w:asciiTheme="minorHAnsi" w:hAnsiTheme="minorHAnsi"/>
        </w:rPr>
        <w:t xml:space="preserve">  This strategy, when applied to social marketing activity, may result in some segments of the target population being excluded because they are difficult, or comparatively costly to reach</w:t>
      </w:r>
      <w:bookmarkStart w:id="43" w:name="_Ref284766499"/>
      <w:r w:rsidR="00EE7AD2">
        <w:rPr>
          <w:rFonts w:asciiTheme="minorHAnsi" w:hAnsiTheme="minorHAnsi"/>
        </w:rPr>
        <w:t xml:space="preserve">; </w:t>
      </w:r>
      <w:r w:rsidR="00254C30">
        <w:rPr>
          <w:rFonts w:ascii="Calibri" w:hAnsi="Calibri"/>
        </w:rPr>
        <w:t xml:space="preserve">This may result in inequalities widening as those harder to reach are usually more marginalised and have worst health.  Alternatively, </w:t>
      </w:r>
      <w:r w:rsidR="00EE7AD2">
        <w:rPr>
          <w:rFonts w:asciiTheme="minorHAnsi" w:hAnsiTheme="minorHAnsi"/>
        </w:rPr>
        <w:t>if the health of some groups is perceived to be good enough, scarce resources may be diverted only to those groups with the worst he</w:t>
      </w:r>
      <w:r w:rsidR="00531956">
        <w:rPr>
          <w:rFonts w:asciiTheme="minorHAnsi" w:hAnsiTheme="minorHAnsi"/>
        </w:rPr>
        <w:t>alth or health risk factors</w:t>
      </w:r>
      <w:r w:rsidR="00834A40">
        <w:rPr>
          <w:rFonts w:asciiTheme="minorHAnsi" w:hAnsiTheme="minorHAnsi"/>
        </w:rPr>
        <w:t>.</w:t>
      </w:r>
      <w:r w:rsidRPr="00401356">
        <w:rPr>
          <w:rStyle w:val="EndnoteReference"/>
          <w:rFonts w:asciiTheme="minorHAnsi" w:hAnsiTheme="minorHAnsi"/>
        </w:rPr>
        <w:endnoteReference w:id="139"/>
      </w:r>
      <w:bookmarkEnd w:id="43"/>
      <w:r w:rsidRPr="00401356">
        <w:rPr>
          <w:rFonts w:asciiTheme="minorHAnsi" w:hAnsiTheme="minorHAnsi"/>
        </w:rPr>
        <w:t xml:space="preserve">  </w:t>
      </w:r>
      <w:r w:rsidR="00EE7AD2">
        <w:rPr>
          <w:rFonts w:asciiTheme="minorHAnsi" w:hAnsiTheme="minorHAnsi"/>
        </w:rPr>
        <w:t xml:space="preserve"> </w:t>
      </w:r>
      <w:r w:rsidR="00254C30">
        <w:rPr>
          <w:rFonts w:ascii="Calibri" w:hAnsi="Calibri"/>
        </w:rPr>
        <w:t>This would prevent the ‘healthy’ from gaining the benefits of the programme to become even healthier.</w:t>
      </w:r>
    </w:p>
    <w:p w:rsidR="00922BC4" w:rsidRPr="00401356" w:rsidRDefault="00922BC4" w:rsidP="00922BC4">
      <w:pPr>
        <w:jc w:val="both"/>
        <w:rPr>
          <w:rFonts w:asciiTheme="minorHAnsi" w:hAnsiTheme="minorHAnsi"/>
        </w:rPr>
      </w:pPr>
    </w:p>
    <w:p w:rsidR="00254C30" w:rsidRDefault="00922BC4" w:rsidP="00254C30">
      <w:pPr>
        <w:jc w:val="both"/>
        <w:rPr>
          <w:rFonts w:asciiTheme="minorHAnsi" w:hAnsiTheme="minorHAnsi"/>
        </w:rPr>
      </w:pPr>
      <w:r w:rsidRPr="00401356">
        <w:rPr>
          <w:rFonts w:asciiTheme="minorHAnsi" w:hAnsiTheme="minorHAnsi"/>
        </w:rPr>
        <w:t xml:space="preserve">Acceptable behaviour is determined to a large part by socialisation, yet the role of culture in establishing ethical standards </w:t>
      </w:r>
      <w:r w:rsidR="002D78DE">
        <w:rPr>
          <w:rFonts w:asciiTheme="minorHAnsi" w:hAnsiTheme="minorHAnsi"/>
        </w:rPr>
        <w:t xml:space="preserve">is </w:t>
      </w:r>
      <w:r w:rsidRPr="00401356">
        <w:rPr>
          <w:rFonts w:asciiTheme="minorHAnsi" w:hAnsiTheme="minorHAnsi"/>
        </w:rPr>
        <w:t>largely ignored within the health communication literature</w:t>
      </w:r>
      <w:r w:rsidR="00834A40">
        <w:rPr>
          <w:rFonts w:asciiTheme="minorHAnsi" w:hAnsiTheme="minorHAnsi"/>
        </w:rPr>
        <w:t>.</w:t>
      </w:r>
      <w:r w:rsidRPr="00401356">
        <w:rPr>
          <w:rStyle w:val="EndnoteReference"/>
          <w:rFonts w:asciiTheme="minorHAnsi" w:hAnsiTheme="minorHAnsi"/>
        </w:rPr>
        <w:endnoteReference w:id="140"/>
      </w:r>
      <w:r w:rsidRPr="00401356">
        <w:rPr>
          <w:rFonts w:asciiTheme="minorHAnsi" w:hAnsiTheme="minorHAnsi"/>
        </w:rPr>
        <w:t xml:space="preserve">  </w:t>
      </w:r>
      <w:r w:rsidR="002D78DE">
        <w:rPr>
          <w:rFonts w:asciiTheme="minorHAnsi" w:hAnsiTheme="minorHAnsi"/>
        </w:rPr>
        <w:t xml:space="preserve">For </w:t>
      </w:r>
      <w:r w:rsidR="00254C30" w:rsidRPr="00401356">
        <w:rPr>
          <w:rFonts w:asciiTheme="minorHAnsi" w:hAnsiTheme="minorHAnsi"/>
        </w:rPr>
        <w:t>example</w:t>
      </w:r>
      <w:r w:rsidR="002D78DE">
        <w:rPr>
          <w:rFonts w:asciiTheme="minorHAnsi" w:hAnsiTheme="minorHAnsi"/>
        </w:rPr>
        <w:t>,</w:t>
      </w:r>
      <w:r w:rsidR="00254C30" w:rsidRPr="00401356">
        <w:rPr>
          <w:rFonts w:asciiTheme="minorHAnsi" w:hAnsiTheme="minorHAnsi"/>
        </w:rPr>
        <w:t xml:space="preserve"> the needs of immigrant populations who may retain substantial influences</w:t>
      </w:r>
      <w:r w:rsidR="002D78DE">
        <w:rPr>
          <w:rFonts w:asciiTheme="minorHAnsi" w:hAnsiTheme="minorHAnsi"/>
        </w:rPr>
        <w:t xml:space="preserve"> from their country of origin</w:t>
      </w:r>
      <w:r w:rsidR="00254C30" w:rsidRPr="00401356">
        <w:rPr>
          <w:rFonts w:asciiTheme="minorHAnsi" w:hAnsiTheme="minorHAnsi"/>
        </w:rPr>
        <w:t xml:space="preserve">, including cultural values and language preferences, </w:t>
      </w:r>
      <w:r w:rsidR="002D78DE">
        <w:rPr>
          <w:rFonts w:asciiTheme="minorHAnsi" w:hAnsiTheme="minorHAnsi"/>
        </w:rPr>
        <w:t xml:space="preserve">are often overlooked. </w:t>
      </w:r>
      <w:r w:rsidR="00254C30" w:rsidRPr="00401356">
        <w:rPr>
          <w:rFonts w:asciiTheme="minorHAnsi" w:hAnsiTheme="minorHAnsi"/>
        </w:rPr>
        <w:t xml:space="preserve">They may be confused by messages such as those that recommend limiting </w:t>
      </w:r>
      <w:r w:rsidR="002D78DE">
        <w:rPr>
          <w:rFonts w:asciiTheme="minorHAnsi" w:hAnsiTheme="minorHAnsi"/>
        </w:rPr>
        <w:t xml:space="preserve">the </w:t>
      </w:r>
      <w:r w:rsidR="00254C30" w:rsidRPr="00401356">
        <w:rPr>
          <w:rFonts w:asciiTheme="minorHAnsi" w:hAnsiTheme="minorHAnsi"/>
        </w:rPr>
        <w:t>intake of some foods when these are not restricted in their home countries</w:t>
      </w:r>
      <w:r w:rsidR="00834A40">
        <w:rPr>
          <w:rFonts w:asciiTheme="minorHAnsi" w:hAnsiTheme="minorHAnsi"/>
        </w:rPr>
        <w:t>.</w:t>
      </w:r>
      <w:r w:rsidR="00254C30" w:rsidRPr="00401356">
        <w:rPr>
          <w:rStyle w:val="EndnoteReference"/>
          <w:rFonts w:asciiTheme="minorHAnsi" w:hAnsiTheme="minorHAnsi"/>
        </w:rPr>
        <w:endnoteReference w:id="141"/>
      </w:r>
      <w:r w:rsidR="00254C30" w:rsidRPr="00401356">
        <w:rPr>
          <w:rFonts w:asciiTheme="minorHAnsi" w:hAnsiTheme="minorHAnsi"/>
        </w:rPr>
        <w:t xml:space="preserve"> Further</w:t>
      </w:r>
      <w:r w:rsidR="002D78DE">
        <w:rPr>
          <w:rFonts w:asciiTheme="minorHAnsi" w:hAnsiTheme="minorHAnsi"/>
        </w:rPr>
        <w:t>more</w:t>
      </w:r>
      <w:r w:rsidR="00254C30" w:rsidRPr="00401356">
        <w:rPr>
          <w:rFonts w:asciiTheme="minorHAnsi" w:hAnsiTheme="minorHAnsi"/>
        </w:rPr>
        <w:t>, failure to take their (culturally based) perceptions of health-related issues</w:t>
      </w:r>
      <w:r w:rsidR="00254C30" w:rsidRPr="00401356">
        <w:rPr>
          <w:rStyle w:val="EndnoteReference"/>
          <w:rFonts w:asciiTheme="minorHAnsi" w:hAnsiTheme="minorHAnsi"/>
        </w:rPr>
        <w:endnoteReference w:id="142"/>
      </w:r>
      <w:r w:rsidR="00254C30" w:rsidRPr="00401356">
        <w:rPr>
          <w:rFonts w:asciiTheme="minorHAnsi" w:hAnsiTheme="minorHAnsi"/>
        </w:rPr>
        <w:t xml:space="preserve">  into consideration may result in interventions not succeeding.</w:t>
      </w:r>
    </w:p>
    <w:p w:rsidR="00254C30" w:rsidRPr="00401356" w:rsidRDefault="00254C30" w:rsidP="00254C30">
      <w:pPr>
        <w:jc w:val="both"/>
        <w:rPr>
          <w:rFonts w:asciiTheme="minorHAnsi" w:hAnsiTheme="minorHAnsi"/>
        </w:rPr>
      </w:pPr>
    </w:p>
    <w:p w:rsidR="00922BC4" w:rsidRPr="00401356" w:rsidRDefault="00091678" w:rsidP="00922BC4">
      <w:pPr>
        <w:jc w:val="both"/>
        <w:rPr>
          <w:rFonts w:asciiTheme="minorHAnsi" w:hAnsiTheme="minorHAnsi"/>
        </w:rPr>
      </w:pPr>
      <w:r>
        <w:rPr>
          <w:rFonts w:asciiTheme="minorHAnsi" w:hAnsiTheme="minorHAnsi"/>
        </w:rPr>
        <w:t xml:space="preserve">Further examples include </w:t>
      </w:r>
      <w:r w:rsidR="00922BC4" w:rsidRPr="00401356">
        <w:rPr>
          <w:rFonts w:asciiTheme="minorHAnsi" w:hAnsiTheme="minorHAnsi"/>
        </w:rPr>
        <w:t>suggest</w:t>
      </w:r>
      <w:r>
        <w:rPr>
          <w:rFonts w:asciiTheme="minorHAnsi" w:hAnsiTheme="minorHAnsi"/>
        </w:rPr>
        <w:t xml:space="preserve">ions </w:t>
      </w:r>
      <w:r w:rsidR="00922BC4" w:rsidRPr="00401356">
        <w:rPr>
          <w:rFonts w:asciiTheme="minorHAnsi" w:hAnsiTheme="minorHAnsi"/>
        </w:rPr>
        <w:t>that the use of fear appeals is contrary to Islamic beliefs</w:t>
      </w:r>
      <w:r w:rsidR="00922BC4" w:rsidRPr="00401356">
        <w:rPr>
          <w:rStyle w:val="EndnoteReference"/>
          <w:rFonts w:asciiTheme="minorHAnsi" w:hAnsiTheme="minorHAnsi"/>
        </w:rPr>
        <w:endnoteReference w:id="143"/>
      </w:r>
      <w:r w:rsidR="00922BC4" w:rsidRPr="00401356">
        <w:rPr>
          <w:rFonts w:asciiTheme="minorHAnsi" w:hAnsiTheme="minorHAnsi"/>
        </w:rPr>
        <w:t xml:space="preserve">; </w:t>
      </w:r>
      <w:r>
        <w:rPr>
          <w:rFonts w:asciiTheme="minorHAnsi" w:hAnsiTheme="minorHAnsi"/>
        </w:rPr>
        <w:t xml:space="preserve">while </w:t>
      </w:r>
      <w:r w:rsidR="00922BC4" w:rsidRPr="00401356">
        <w:rPr>
          <w:rFonts w:asciiTheme="minorHAnsi" w:hAnsiTheme="minorHAnsi"/>
        </w:rPr>
        <w:t>issues such as safe sex may offend some cultural or religious groups who, while not directly targeted may still receive material relating to the topic</w:t>
      </w:r>
      <w:r w:rsidR="00834A40">
        <w:rPr>
          <w:rFonts w:asciiTheme="minorHAnsi" w:hAnsiTheme="minorHAnsi"/>
        </w:rPr>
        <w:t>.</w:t>
      </w:r>
      <w:fldSimple w:instr=" NOTEREF _Ref284766499 \h  \* MERGEFORMAT ">
        <w:r w:rsidR="00CE6342" w:rsidRPr="00CE6342">
          <w:rPr>
            <w:rFonts w:asciiTheme="minorHAnsi" w:hAnsiTheme="minorHAnsi"/>
            <w:vertAlign w:val="superscript"/>
          </w:rPr>
          <w:t>139</w:t>
        </w:r>
      </w:fldSimple>
      <w:r w:rsidR="00922BC4" w:rsidRPr="00401356">
        <w:rPr>
          <w:rFonts w:asciiTheme="minorHAnsi" w:hAnsiTheme="minorHAnsi"/>
        </w:rPr>
        <w:t xml:space="preserve"> </w:t>
      </w:r>
      <w:r>
        <w:rPr>
          <w:rFonts w:asciiTheme="minorHAnsi" w:hAnsiTheme="minorHAnsi"/>
        </w:rPr>
        <w:t>W</w:t>
      </w:r>
      <w:r w:rsidR="00922BC4" w:rsidRPr="00401356">
        <w:rPr>
          <w:rFonts w:asciiTheme="minorHAnsi" w:hAnsiTheme="minorHAnsi"/>
        </w:rPr>
        <w:t>hen culture-based perceptions are at odds with prevailing perceptions of best practice</w:t>
      </w:r>
      <w:r w:rsidR="00922BC4">
        <w:rPr>
          <w:rFonts w:asciiTheme="minorHAnsi" w:hAnsiTheme="minorHAnsi"/>
        </w:rPr>
        <w:t xml:space="preserve"> </w:t>
      </w:r>
      <w:fldSimple w:instr=" NOTEREF _Ref284766956 \h  \* MERGEFORMAT ">
        <w:r w:rsidR="00CE6342" w:rsidRPr="00CE6342">
          <w:rPr>
            <w:rFonts w:asciiTheme="minorHAnsi" w:hAnsiTheme="minorHAnsi"/>
            <w:vertAlign w:val="superscript"/>
          </w:rPr>
          <w:t>216</w:t>
        </w:r>
      </w:fldSimple>
      <w:r w:rsidR="00922BC4" w:rsidRPr="00401356">
        <w:rPr>
          <w:rFonts w:asciiTheme="minorHAnsi" w:hAnsiTheme="minorHAnsi"/>
        </w:rPr>
        <w:t>, how should respect for minority cultural norms be balanced with the desire to challenge them in the interests of improving health and well-being?</w:t>
      </w:r>
    </w:p>
    <w:p w:rsidR="00922BC4" w:rsidRPr="00401356" w:rsidRDefault="00922BC4" w:rsidP="00922BC4">
      <w:pPr>
        <w:jc w:val="both"/>
        <w:rPr>
          <w:rFonts w:asciiTheme="minorHAnsi" w:hAnsiTheme="minorHAnsi"/>
        </w:rPr>
      </w:pPr>
    </w:p>
    <w:p w:rsidR="00922BC4" w:rsidRPr="00401356" w:rsidRDefault="00922BC4" w:rsidP="00922BC4">
      <w:pPr>
        <w:jc w:val="both"/>
        <w:rPr>
          <w:rFonts w:asciiTheme="minorHAnsi" w:hAnsiTheme="minorHAnsi"/>
        </w:rPr>
      </w:pPr>
      <w:r w:rsidRPr="00401356">
        <w:rPr>
          <w:rFonts w:asciiTheme="minorHAnsi" w:hAnsiTheme="minorHAnsi"/>
        </w:rPr>
        <w:t xml:space="preserve">Culture may </w:t>
      </w:r>
      <w:r w:rsidR="006C7D67">
        <w:rPr>
          <w:rFonts w:asciiTheme="minorHAnsi" w:hAnsiTheme="minorHAnsi"/>
        </w:rPr>
        <w:t xml:space="preserve">also </w:t>
      </w:r>
      <w:r w:rsidRPr="00401356">
        <w:rPr>
          <w:rFonts w:asciiTheme="minorHAnsi" w:hAnsiTheme="minorHAnsi"/>
        </w:rPr>
        <w:t>influence the acceptability of different ethical frameworks, for example, some cultures that emphasise collective responsibility, i.e. the greatest good for the greatest number over individual self-interest, may find utilitarian perspectives preferable; whereas a culture that emphasises individualism may display preferences for egoism-based frameworks</w:t>
      </w:r>
      <w:r w:rsidR="00834A40">
        <w:rPr>
          <w:rFonts w:asciiTheme="minorHAnsi" w:hAnsiTheme="minorHAnsi"/>
        </w:rPr>
        <w:t>.</w:t>
      </w:r>
      <w:r w:rsidRPr="00401356">
        <w:rPr>
          <w:rStyle w:val="EndnoteReference"/>
          <w:rFonts w:asciiTheme="minorHAnsi" w:hAnsiTheme="minorHAnsi"/>
        </w:rPr>
        <w:endnoteReference w:id="144"/>
      </w:r>
    </w:p>
    <w:p w:rsidR="00922BC4" w:rsidRPr="00401356" w:rsidRDefault="00922BC4" w:rsidP="00922BC4">
      <w:pPr>
        <w:jc w:val="both"/>
        <w:rPr>
          <w:rFonts w:asciiTheme="minorHAnsi" w:hAnsiTheme="minorHAnsi" w:cstheme="minorHAnsi"/>
        </w:rPr>
      </w:pPr>
    </w:p>
    <w:p w:rsidR="00922BC4" w:rsidRDefault="00922BC4" w:rsidP="00B52F86">
      <w:pPr>
        <w:jc w:val="both"/>
        <w:rPr>
          <w:rFonts w:asciiTheme="minorHAnsi" w:hAnsiTheme="minorHAnsi" w:cstheme="minorHAnsi"/>
        </w:rPr>
      </w:pPr>
      <w:r w:rsidRPr="00401356">
        <w:rPr>
          <w:rFonts w:asciiTheme="minorHAnsi" w:hAnsiTheme="minorHAnsi" w:cstheme="minorHAnsi"/>
        </w:rPr>
        <w:t>A recent review on public attitudes to road safety</w:t>
      </w:r>
      <w:fldSimple w:instr=" NOTEREF _Ref284927316 \h  \* MERGEFORMAT ">
        <w:r w:rsidR="00CE6342" w:rsidRPr="00CE6342">
          <w:rPr>
            <w:rFonts w:asciiTheme="minorHAnsi" w:hAnsiTheme="minorHAnsi" w:cstheme="minorHAnsi"/>
            <w:vertAlign w:val="superscript"/>
          </w:rPr>
          <w:t>178</w:t>
        </w:r>
      </w:fldSimple>
      <w:r w:rsidR="00834A40">
        <w:rPr>
          <w:rFonts w:asciiTheme="minorHAnsi" w:hAnsiTheme="minorHAnsi" w:cstheme="minorHAnsi"/>
        </w:rPr>
        <w:t xml:space="preserve"> </w:t>
      </w:r>
      <w:r w:rsidRPr="00401356">
        <w:rPr>
          <w:rFonts w:asciiTheme="minorHAnsi" w:hAnsiTheme="minorHAnsi" w:cstheme="minorHAnsi"/>
        </w:rPr>
        <w:t xml:space="preserve">revealed support of regulation and enforcement .There is support that more visible policing would alter a driver’s own behaviour.  For example, there is high support for seat-belt and drink-driving laws, and high compliance with such laws. </w:t>
      </w:r>
      <w:r>
        <w:rPr>
          <w:rFonts w:asciiTheme="minorHAnsi" w:hAnsiTheme="minorHAnsi" w:cstheme="minorHAnsi"/>
        </w:rPr>
        <w:t>There is evidence that</w:t>
      </w:r>
      <w:r w:rsidRPr="00401356">
        <w:rPr>
          <w:rFonts w:asciiTheme="minorHAnsi" w:hAnsiTheme="minorHAnsi" w:cstheme="minorHAnsi"/>
        </w:rPr>
        <w:t xml:space="preserve"> enforced regulations in France can often improve attitudes towards road-user safety</w:t>
      </w:r>
      <w:r w:rsidR="00834A40">
        <w:rPr>
          <w:rFonts w:asciiTheme="minorHAnsi" w:hAnsiTheme="minorHAnsi" w:cstheme="minorHAnsi"/>
        </w:rPr>
        <w:t>.</w:t>
      </w:r>
      <w:r>
        <w:rPr>
          <w:rStyle w:val="EndnoteReference"/>
          <w:rFonts w:asciiTheme="minorHAnsi" w:hAnsiTheme="minorHAnsi" w:cstheme="minorHAnsi"/>
        </w:rPr>
        <w:endnoteReference w:id="145"/>
      </w:r>
      <w:r w:rsidRPr="00401356">
        <w:rPr>
          <w:rFonts w:asciiTheme="minorHAnsi" w:hAnsiTheme="minorHAnsi" w:cstheme="minorHAnsi"/>
        </w:rPr>
        <w:t xml:space="preserve"> Stronger penalties are viewed by motorists as appropriate for errors that are perhaps seen as a deliberate violation and less severe penalties for errors perceived as non-deliberate slips or lapses</w:t>
      </w:r>
      <w:r w:rsidR="00531956">
        <w:rPr>
          <w:rFonts w:asciiTheme="minorHAnsi" w:hAnsiTheme="minorHAnsi" w:cstheme="minorHAnsi"/>
        </w:rPr>
        <w:t>.</w:t>
      </w:r>
    </w:p>
    <w:p w:rsidR="00531956" w:rsidRDefault="00531956" w:rsidP="00B52F86">
      <w:pPr>
        <w:jc w:val="both"/>
        <w:rPr>
          <w:rFonts w:asciiTheme="minorHAnsi" w:hAnsiTheme="minorHAnsi" w:cstheme="minorHAnsi"/>
        </w:rPr>
      </w:pPr>
    </w:p>
    <w:p w:rsidR="00531956" w:rsidRPr="00B52F86" w:rsidRDefault="00531956" w:rsidP="00B52F86">
      <w:pPr>
        <w:jc w:val="both"/>
        <w:rPr>
          <w:rFonts w:asciiTheme="minorHAnsi" w:hAnsiTheme="minorHAnsi"/>
        </w:rPr>
      </w:pPr>
      <w:r w:rsidRPr="00B52F86">
        <w:rPr>
          <w:rFonts w:asciiTheme="minorHAnsi" w:hAnsiTheme="minorHAnsi"/>
        </w:rPr>
        <w:t>As with all public health interventions, a careful appraisal of the potential benefits and risks for both individuals and populations must be made a</w:t>
      </w:r>
      <w:r w:rsidR="006C7D67">
        <w:rPr>
          <w:rFonts w:asciiTheme="minorHAnsi" w:hAnsiTheme="minorHAnsi"/>
        </w:rPr>
        <w:t>n</w:t>
      </w:r>
      <w:r w:rsidRPr="00B52F86">
        <w:rPr>
          <w:rFonts w:asciiTheme="minorHAnsi" w:hAnsiTheme="minorHAnsi"/>
        </w:rPr>
        <w:t xml:space="preserve">d these weighed against each other. </w:t>
      </w:r>
    </w:p>
    <w:p w:rsidR="00FB1195" w:rsidRPr="00834A40" w:rsidRDefault="00FB1195" w:rsidP="00834A40">
      <w:pPr>
        <w:jc w:val="both"/>
        <w:rPr>
          <w:rFonts w:asciiTheme="minorHAnsi" w:hAnsiTheme="minorHAnsi"/>
        </w:rPr>
      </w:pPr>
    </w:p>
    <w:p w:rsidR="00F02A45" w:rsidRPr="00834A40" w:rsidRDefault="00D85503" w:rsidP="00834A40">
      <w:pPr>
        <w:jc w:val="both"/>
        <w:rPr>
          <w:rFonts w:asciiTheme="minorHAnsi" w:hAnsiTheme="minorHAnsi"/>
        </w:rPr>
      </w:pPr>
      <w:r w:rsidRPr="00834A40">
        <w:rPr>
          <w:rFonts w:asciiTheme="minorHAnsi" w:hAnsiTheme="minorHAnsi"/>
        </w:rPr>
        <w:t>In considering behaviour change,</w:t>
      </w:r>
      <w:r w:rsidR="00834A40">
        <w:rPr>
          <w:rFonts w:asciiTheme="minorHAnsi" w:hAnsiTheme="minorHAnsi"/>
        </w:rPr>
        <w:t xml:space="preserve"> attention</w:t>
      </w:r>
      <w:r w:rsidRPr="00834A40">
        <w:rPr>
          <w:rFonts w:asciiTheme="minorHAnsi" w:hAnsiTheme="minorHAnsi"/>
        </w:rPr>
        <w:t xml:space="preserve"> should be given not just to determinants of health, but also to issues that arise within </w:t>
      </w:r>
      <w:r w:rsidR="00834A40">
        <w:rPr>
          <w:rFonts w:asciiTheme="minorHAnsi" w:hAnsiTheme="minorHAnsi"/>
        </w:rPr>
        <w:t xml:space="preserve">a </w:t>
      </w:r>
      <w:r w:rsidRPr="00834A40">
        <w:rPr>
          <w:rFonts w:asciiTheme="minorHAnsi" w:hAnsiTheme="minorHAnsi"/>
        </w:rPr>
        <w:t>health setting, as the following vignette illustrates.</w:t>
      </w:r>
    </w:p>
    <w:p w:rsidR="00010BF5" w:rsidRPr="00F3562E" w:rsidRDefault="00010BF5" w:rsidP="00010BF5">
      <w:pPr>
        <w:jc w:val="both"/>
        <w:rPr>
          <w:rFonts w:asciiTheme="minorHAnsi" w:hAnsiTheme="minorHAnsi" w:cstheme="minorHAnsi"/>
          <w:sz w:val="22"/>
          <w:szCs w:val="22"/>
        </w:rPr>
      </w:pPr>
    </w:p>
    <w:p w:rsidR="00D85503" w:rsidRDefault="00D85503" w:rsidP="00D85503">
      <w:pPr>
        <w:pBdr>
          <w:top w:val="single" w:sz="4" w:space="1" w:color="auto"/>
          <w:left w:val="single" w:sz="4" w:space="4" w:color="auto"/>
          <w:bottom w:val="single" w:sz="4" w:space="1" w:color="auto"/>
          <w:right w:val="single" w:sz="4" w:space="4" w:color="auto"/>
        </w:pBdr>
        <w:shd w:val="clear" w:color="auto" w:fill="CCFFFF"/>
        <w:jc w:val="center"/>
        <w:rPr>
          <w:rFonts w:asciiTheme="minorHAnsi" w:hAnsiTheme="minorHAnsi" w:cstheme="minorHAnsi"/>
          <w:sz w:val="22"/>
          <w:szCs w:val="22"/>
          <w:u w:val="single"/>
        </w:rPr>
      </w:pPr>
    </w:p>
    <w:p w:rsidR="00D85503" w:rsidRPr="00834A40" w:rsidRDefault="00010BF5" w:rsidP="00D85503">
      <w:pPr>
        <w:pBdr>
          <w:top w:val="single" w:sz="4" w:space="1" w:color="auto"/>
          <w:left w:val="single" w:sz="4" w:space="4" w:color="auto"/>
          <w:bottom w:val="single" w:sz="4" w:space="1" w:color="auto"/>
          <w:right w:val="single" w:sz="4" w:space="4" w:color="auto"/>
        </w:pBdr>
        <w:shd w:val="clear" w:color="auto" w:fill="CCFFFF"/>
        <w:jc w:val="center"/>
        <w:rPr>
          <w:rFonts w:asciiTheme="minorHAnsi" w:hAnsiTheme="minorHAnsi" w:cstheme="minorHAnsi"/>
          <w:b/>
        </w:rPr>
      </w:pPr>
      <w:r w:rsidRPr="00834A40">
        <w:rPr>
          <w:rFonts w:asciiTheme="minorHAnsi" w:hAnsiTheme="minorHAnsi" w:cstheme="minorHAnsi"/>
          <w:b/>
        </w:rPr>
        <w:t>Medication adherence</w:t>
      </w:r>
    </w:p>
    <w:p w:rsidR="001524A2" w:rsidRDefault="001524A2" w:rsidP="00D85503">
      <w:pPr>
        <w:pBdr>
          <w:top w:val="single" w:sz="4" w:space="1" w:color="auto"/>
          <w:left w:val="single" w:sz="4" w:space="4" w:color="auto"/>
          <w:bottom w:val="single" w:sz="4" w:space="1" w:color="auto"/>
          <w:right w:val="single" w:sz="4" w:space="4" w:color="auto"/>
        </w:pBdr>
        <w:shd w:val="clear" w:color="auto" w:fill="CCFFFF"/>
        <w:jc w:val="both"/>
        <w:rPr>
          <w:rFonts w:asciiTheme="minorHAnsi" w:hAnsiTheme="minorHAnsi"/>
        </w:rPr>
      </w:pPr>
      <w:r w:rsidRPr="001524A2">
        <w:rPr>
          <w:rFonts w:asciiTheme="minorHAnsi" w:hAnsiTheme="minorHAnsi"/>
        </w:rPr>
        <w:t>Compliance/adherence rates with prescribed medications are on average no better than 50% internationally, with rates for behaviourally demanding treatment regimes being much lower, as are rates for many lifestyle treatments</w:t>
      </w:r>
      <w:r w:rsidR="00834A40">
        <w:rPr>
          <w:rFonts w:asciiTheme="minorHAnsi" w:hAnsiTheme="minorHAnsi"/>
        </w:rPr>
        <w:t>.</w:t>
      </w:r>
      <w:r w:rsidRPr="001524A2">
        <w:rPr>
          <w:rStyle w:val="EndnoteReference"/>
          <w:rFonts w:asciiTheme="minorHAnsi" w:hAnsiTheme="minorHAnsi"/>
        </w:rPr>
        <w:endnoteReference w:id="146"/>
      </w:r>
      <w:r w:rsidRPr="001524A2">
        <w:rPr>
          <w:rFonts w:asciiTheme="minorHAnsi" w:hAnsiTheme="minorHAnsi"/>
        </w:rPr>
        <w:t xml:space="preserve">  Even when non-compliance has potentially serious consequences such as vision impairment, or potential organ rejection, correct compliance rates remain low</w:t>
      </w:r>
      <w:r w:rsidRPr="001524A2">
        <w:rPr>
          <w:rStyle w:val="EndnoteReference"/>
          <w:rFonts w:asciiTheme="minorHAnsi" w:hAnsiTheme="minorHAnsi"/>
        </w:rPr>
        <w:endnoteReference w:id="147"/>
      </w:r>
      <w:r w:rsidRPr="001524A2">
        <w:rPr>
          <w:rFonts w:asciiTheme="minorHAnsi" w:hAnsiTheme="minorHAnsi"/>
        </w:rPr>
        <w:t>. Non-adherence may also be a factor in the emergence of drug-resistant organisms</w:t>
      </w:r>
      <w:r w:rsidRPr="001524A2">
        <w:rPr>
          <w:rStyle w:val="EndnoteReference"/>
          <w:rFonts w:asciiTheme="minorHAnsi" w:hAnsiTheme="minorHAnsi"/>
        </w:rPr>
        <w:endnoteReference w:id="148"/>
      </w:r>
      <w:r w:rsidRPr="001524A2">
        <w:rPr>
          <w:rFonts w:asciiTheme="minorHAnsi" w:hAnsiTheme="minorHAnsi"/>
        </w:rPr>
        <w:t>. In terms of costs to the economy, some 11% of healthcare expenditure in the USA is attrib</w:t>
      </w:r>
      <w:r w:rsidR="00834A40">
        <w:rPr>
          <w:rFonts w:asciiTheme="minorHAnsi" w:hAnsiTheme="minorHAnsi"/>
        </w:rPr>
        <w:t xml:space="preserve">uted to medical non-adherence. </w:t>
      </w:r>
      <w:r w:rsidRPr="001524A2">
        <w:rPr>
          <w:rFonts w:asciiTheme="minorHAnsi" w:hAnsiTheme="minorHAnsi"/>
        </w:rPr>
        <w:t>This excludes the impact of lowered workplace productivity and absenteeism</w:t>
      </w:r>
      <w:r w:rsidR="00834A40">
        <w:rPr>
          <w:rFonts w:asciiTheme="minorHAnsi" w:hAnsiTheme="minorHAnsi"/>
        </w:rPr>
        <w:t>.</w:t>
      </w:r>
      <w:r w:rsidRPr="001524A2">
        <w:rPr>
          <w:rStyle w:val="EndnoteReference"/>
          <w:rFonts w:asciiTheme="minorHAnsi" w:hAnsiTheme="minorHAnsi"/>
        </w:rPr>
        <w:endnoteReference w:id="149"/>
      </w:r>
      <w:r w:rsidRPr="001524A2">
        <w:rPr>
          <w:rFonts w:asciiTheme="minorHAnsi" w:hAnsiTheme="minorHAnsi"/>
        </w:rPr>
        <w:t xml:space="preserve">  </w:t>
      </w:r>
    </w:p>
    <w:p w:rsidR="001524A2" w:rsidRDefault="001524A2" w:rsidP="00D85503">
      <w:pPr>
        <w:pBdr>
          <w:top w:val="single" w:sz="4" w:space="1" w:color="auto"/>
          <w:left w:val="single" w:sz="4" w:space="4" w:color="auto"/>
          <w:bottom w:val="single" w:sz="4" w:space="1" w:color="auto"/>
          <w:right w:val="single" w:sz="4" w:space="4" w:color="auto"/>
        </w:pBdr>
        <w:shd w:val="clear" w:color="auto" w:fill="CCFFFF"/>
        <w:jc w:val="both"/>
        <w:rPr>
          <w:rFonts w:asciiTheme="minorHAnsi" w:hAnsiTheme="minorHAnsi"/>
        </w:rPr>
      </w:pPr>
    </w:p>
    <w:p w:rsidR="00010BF5" w:rsidRPr="001524A2" w:rsidRDefault="00010BF5" w:rsidP="00D85503">
      <w:pPr>
        <w:pBdr>
          <w:top w:val="single" w:sz="4" w:space="1" w:color="auto"/>
          <w:left w:val="single" w:sz="4" w:space="4" w:color="auto"/>
          <w:bottom w:val="single" w:sz="4" w:space="1" w:color="auto"/>
          <w:right w:val="single" w:sz="4" w:space="4" w:color="auto"/>
        </w:pBdr>
        <w:shd w:val="clear" w:color="auto" w:fill="CCFFFF"/>
        <w:jc w:val="both"/>
        <w:rPr>
          <w:rFonts w:asciiTheme="minorHAnsi" w:hAnsiTheme="minorHAnsi"/>
        </w:rPr>
      </w:pPr>
      <w:r w:rsidRPr="001524A2">
        <w:rPr>
          <w:rFonts w:asciiTheme="minorHAnsi" w:hAnsiTheme="minorHAnsi"/>
        </w:rPr>
        <w:t xml:space="preserve">An example of the type of challenge that needs to be considered </w:t>
      </w:r>
      <w:r w:rsidR="001524A2">
        <w:rPr>
          <w:rFonts w:asciiTheme="minorHAnsi" w:hAnsiTheme="minorHAnsi"/>
        </w:rPr>
        <w:t>is that t</w:t>
      </w:r>
      <w:r w:rsidRPr="001524A2">
        <w:rPr>
          <w:rFonts w:asciiTheme="minorHAnsi" w:hAnsiTheme="minorHAnsi"/>
        </w:rPr>
        <w:t>hose who are least compliant with their medication regimen are also likely to miss hospital appointments or other forms of medical monitoring</w:t>
      </w:r>
      <w:r w:rsidR="00834A40">
        <w:rPr>
          <w:rFonts w:asciiTheme="minorHAnsi" w:hAnsiTheme="minorHAnsi"/>
        </w:rPr>
        <w:t>.</w:t>
      </w:r>
      <w:r w:rsidRPr="001524A2">
        <w:rPr>
          <w:rStyle w:val="EndnoteReference"/>
          <w:rFonts w:asciiTheme="minorHAnsi" w:hAnsiTheme="minorHAnsi"/>
        </w:rPr>
        <w:endnoteReference w:id="150"/>
      </w:r>
      <w:r w:rsidRPr="001524A2">
        <w:rPr>
          <w:rFonts w:asciiTheme="minorHAnsi" w:hAnsiTheme="minorHAnsi"/>
          <w:b/>
          <w:i/>
        </w:rPr>
        <w:t xml:space="preserve"> </w:t>
      </w:r>
      <w:r w:rsidRPr="001524A2">
        <w:rPr>
          <w:rFonts w:asciiTheme="minorHAnsi" w:hAnsiTheme="minorHAnsi"/>
        </w:rPr>
        <w:t xml:space="preserve">Thus, those who would benefit most from help may be difficult to reach or to persuade to participate in interventions aimed at improving their health and quality of life.  </w:t>
      </w:r>
      <w:r w:rsidR="00DD4F38" w:rsidRPr="001524A2">
        <w:rPr>
          <w:rFonts w:asciiTheme="minorHAnsi" w:hAnsiTheme="minorHAnsi"/>
        </w:rPr>
        <w:t>T</w:t>
      </w:r>
      <w:r w:rsidRPr="001524A2">
        <w:rPr>
          <w:rFonts w:asciiTheme="minorHAnsi" w:hAnsiTheme="minorHAnsi"/>
        </w:rPr>
        <w:t>he arguments for and against allocating resources to trying to reach them versus those who are easier to reach</w:t>
      </w:r>
      <w:r w:rsidR="00DD4F38" w:rsidRPr="001524A2">
        <w:rPr>
          <w:rFonts w:asciiTheme="minorHAnsi" w:hAnsiTheme="minorHAnsi"/>
        </w:rPr>
        <w:t xml:space="preserve"> are complex</w:t>
      </w:r>
      <w:r w:rsidR="00834A40">
        <w:rPr>
          <w:rFonts w:asciiTheme="minorHAnsi" w:hAnsiTheme="minorHAnsi"/>
        </w:rPr>
        <w:t xml:space="preserve">. </w:t>
      </w:r>
      <w:r w:rsidRPr="001524A2">
        <w:rPr>
          <w:rFonts w:asciiTheme="minorHAnsi" w:hAnsiTheme="minorHAnsi"/>
        </w:rPr>
        <w:t>The nature of proposed interventions also presents challenges.  For example, adolescents with epilepsy do not want to meet others with complications or problems as they perceive these patients’ problems as frightening and depressing, thus interventions that could include peer support from others with the same medical condition are unlikely to be successful</w:t>
      </w:r>
      <w:r w:rsidR="00834A40">
        <w:rPr>
          <w:rFonts w:asciiTheme="minorHAnsi" w:hAnsiTheme="minorHAnsi"/>
        </w:rPr>
        <w:t>.</w:t>
      </w:r>
      <w:r w:rsidRPr="001524A2">
        <w:rPr>
          <w:rStyle w:val="EndnoteReference"/>
          <w:rFonts w:asciiTheme="minorHAnsi" w:hAnsiTheme="minorHAnsi"/>
        </w:rPr>
        <w:endnoteReference w:id="151"/>
      </w:r>
    </w:p>
    <w:p w:rsidR="00010BF5" w:rsidRPr="00BB6D4E" w:rsidRDefault="00010BF5" w:rsidP="00D85503">
      <w:pPr>
        <w:pBdr>
          <w:top w:val="single" w:sz="4" w:space="1" w:color="auto"/>
          <w:left w:val="single" w:sz="4" w:space="4" w:color="auto"/>
          <w:bottom w:val="single" w:sz="4" w:space="1" w:color="auto"/>
          <w:right w:val="single" w:sz="4" w:space="4" w:color="auto"/>
        </w:pBdr>
        <w:shd w:val="clear" w:color="auto" w:fill="CCFFFF"/>
        <w:jc w:val="both"/>
        <w:rPr>
          <w:rFonts w:asciiTheme="minorHAnsi" w:hAnsiTheme="minorHAnsi" w:cstheme="minorHAnsi"/>
          <w:sz w:val="22"/>
          <w:szCs w:val="22"/>
        </w:rPr>
      </w:pPr>
    </w:p>
    <w:p w:rsidR="00010BF5" w:rsidRPr="00F3562E" w:rsidRDefault="00010BF5" w:rsidP="00010BF5">
      <w:pPr>
        <w:jc w:val="both"/>
        <w:rPr>
          <w:rFonts w:asciiTheme="minorHAnsi" w:hAnsiTheme="minorHAnsi" w:cstheme="minorHAnsi"/>
          <w:sz w:val="22"/>
          <w:szCs w:val="22"/>
        </w:rPr>
      </w:pPr>
    </w:p>
    <w:p w:rsidR="00D85503" w:rsidRDefault="00D85503" w:rsidP="00DD4F38">
      <w:pPr>
        <w:jc w:val="both"/>
        <w:rPr>
          <w:rFonts w:asciiTheme="minorHAnsi" w:hAnsiTheme="minorHAnsi" w:cstheme="minorHAnsi"/>
          <w:sz w:val="22"/>
          <w:szCs w:val="22"/>
          <w:u w:val="single"/>
        </w:rPr>
      </w:pPr>
    </w:p>
    <w:p w:rsidR="00010BF5" w:rsidRPr="00277594" w:rsidRDefault="00D85503" w:rsidP="00DD4F38">
      <w:pPr>
        <w:jc w:val="both"/>
        <w:rPr>
          <w:rFonts w:asciiTheme="minorHAnsi" w:hAnsiTheme="minorHAnsi" w:cstheme="minorHAnsi"/>
        </w:rPr>
      </w:pPr>
      <w:r w:rsidRPr="00BE0F24">
        <w:rPr>
          <w:rFonts w:asciiTheme="minorHAnsi" w:hAnsiTheme="minorHAnsi" w:cstheme="minorHAnsi"/>
        </w:rPr>
        <w:t>An additional factor relates to d</w:t>
      </w:r>
      <w:r w:rsidR="00010BF5" w:rsidRPr="00BE0F24">
        <w:rPr>
          <w:rFonts w:asciiTheme="minorHAnsi" w:hAnsiTheme="minorHAnsi" w:cstheme="minorHAnsi"/>
        </w:rPr>
        <w:t>iminishing returns – e.g. as more people give up smoking, those who continue</w:t>
      </w:r>
      <w:r w:rsidR="006C7D67">
        <w:rPr>
          <w:rFonts w:asciiTheme="minorHAnsi" w:hAnsiTheme="minorHAnsi" w:cstheme="minorHAnsi"/>
        </w:rPr>
        <w:t xml:space="preserve"> to smoke</w:t>
      </w:r>
      <w:r w:rsidR="00010BF5" w:rsidRPr="00BE0F24">
        <w:rPr>
          <w:rFonts w:asciiTheme="minorHAnsi" w:hAnsiTheme="minorHAnsi" w:cstheme="minorHAnsi"/>
        </w:rPr>
        <w:t xml:space="preserve"> will be those most resistant to change – therefore it is likely that future interventions will deliver diminishing returns.  </w:t>
      </w:r>
      <w:r w:rsidRPr="00BE0F24">
        <w:rPr>
          <w:rFonts w:asciiTheme="minorHAnsi" w:hAnsiTheme="minorHAnsi" w:cstheme="minorHAnsi"/>
        </w:rPr>
        <w:t xml:space="preserve">There </w:t>
      </w:r>
      <w:r w:rsidRPr="00BE0F24">
        <w:rPr>
          <w:rFonts w:asciiTheme="minorHAnsi" w:hAnsiTheme="minorHAnsi" w:cstheme="minorHAnsi"/>
        </w:rPr>
        <w:lastRenderedPageBreak/>
        <w:t>is a n</w:t>
      </w:r>
      <w:r w:rsidR="00010BF5" w:rsidRPr="00BE0F24">
        <w:rPr>
          <w:rFonts w:asciiTheme="minorHAnsi" w:hAnsiTheme="minorHAnsi" w:cstheme="minorHAnsi"/>
        </w:rPr>
        <w:t>eed to find the point where further investment in encouraging behaviour change is likely to be ineffective and consider other measures such as legislation.</w:t>
      </w:r>
      <w:r w:rsidRPr="00BE0F24">
        <w:rPr>
          <w:rFonts w:asciiTheme="minorHAnsi" w:hAnsiTheme="minorHAnsi" w:cstheme="minorHAnsi"/>
        </w:rPr>
        <w:t xml:space="preserve">  We have been unable to locate any studies where this type of analysis has been attempted in a relevant health setting.</w:t>
      </w:r>
    </w:p>
    <w:p w:rsidR="007E5184" w:rsidRDefault="007E5184" w:rsidP="00DD4F38">
      <w:pPr>
        <w:jc w:val="both"/>
        <w:rPr>
          <w:rFonts w:asciiTheme="minorHAnsi" w:hAnsiTheme="minorHAnsi" w:cstheme="minorHAnsi"/>
          <w:i/>
        </w:rPr>
      </w:pPr>
    </w:p>
    <w:p w:rsidR="00277594" w:rsidRDefault="00A42D2C" w:rsidP="00277594">
      <w:pPr>
        <w:pStyle w:val="Heading3"/>
      </w:pPr>
      <w:bookmarkStart w:id="44" w:name="_Toc289256755"/>
      <w:r>
        <w:t>7.3</w:t>
      </w:r>
      <w:r w:rsidR="00277594">
        <w:t xml:space="preserve"> Risk and </w:t>
      </w:r>
      <w:r w:rsidR="00695533">
        <w:t>b</w:t>
      </w:r>
      <w:r w:rsidR="00277594">
        <w:t xml:space="preserve">ehaviour </w:t>
      </w:r>
      <w:r w:rsidR="00695533">
        <w:t>c</w:t>
      </w:r>
      <w:r w:rsidR="00277594">
        <w:t xml:space="preserve">hange </w:t>
      </w:r>
      <w:r w:rsidR="00695533">
        <w:t>p</w:t>
      </w:r>
      <w:r w:rsidR="00277594">
        <w:t>rogrammes</w:t>
      </w:r>
      <w:bookmarkEnd w:id="44"/>
    </w:p>
    <w:p w:rsidR="00834A40" w:rsidRDefault="00834A40" w:rsidP="00277594">
      <w:pPr>
        <w:rPr>
          <w:rFonts w:asciiTheme="minorHAnsi" w:hAnsiTheme="minorHAnsi" w:cstheme="minorHAnsi"/>
          <w:color w:val="000000"/>
        </w:rPr>
      </w:pPr>
    </w:p>
    <w:p w:rsidR="00277594" w:rsidRPr="00277594" w:rsidRDefault="00277594" w:rsidP="00277594">
      <w:pPr>
        <w:rPr>
          <w:rFonts w:asciiTheme="minorHAnsi" w:hAnsiTheme="minorHAnsi" w:cstheme="minorHAnsi"/>
          <w:color w:val="000000"/>
        </w:rPr>
      </w:pPr>
      <w:r w:rsidRPr="00277594">
        <w:rPr>
          <w:rFonts w:asciiTheme="minorHAnsi" w:hAnsiTheme="minorHAnsi" w:cstheme="minorHAnsi"/>
          <w:color w:val="000000"/>
        </w:rPr>
        <w:t>The notion of</w:t>
      </w:r>
      <w:r>
        <w:rPr>
          <w:rFonts w:asciiTheme="minorHAnsi" w:hAnsiTheme="minorHAnsi" w:cstheme="minorHAnsi"/>
          <w:color w:val="000000"/>
        </w:rPr>
        <w:t xml:space="preserve"> </w:t>
      </w:r>
      <w:r>
        <w:rPr>
          <w:rFonts w:asciiTheme="minorHAnsi" w:hAnsiTheme="minorHAnsi" w:cstheme="minorHAnsi"/>
          <w:i/>
          <w:color w:val="000000"/>
        </w:rPr>
        <w:t>risk</w:t>
      </w:r>
      <w:r w:rsidRPr="00277594">
        <w:rPr>
          <w:rFonts w:asciiTheme="minorHAnsi" w:hAnsiTheme="minorHAnsi" w:cstheme="minorHAnsi"/>
          <w:color w:val="000000"/>
        </w:rPr>
        <w:t xml:space="preserve"> is integral to the dilemmas and challenges associated with the themes The White Pap</w:t>
      </w:r>
      <w:r>
        <w:rPr>
          <w:rFonts w:asciiTheme="minorHAnsi" w:hAnsiTheme="minorHAnsi" w:cstheme="minorHAnsi"/>
          <w:color w:val="000000"/>
        </w:rPr>
        <w:t>er is addressing.</w:t>
      </w:r>
    </w:p>
    <w:p w:rsidR="00277594" w:rsidRPr="00277594" w:rsidRDefault="00277594" w:rsidP="00277594">
      <w:pPr>
        <w:rPr>
          <w:rFonts w:asciiTheme="minorHAnsi" w:hAnsiTheme="minorHAnsi" w:cstheme="minorHAnsi"/>
          <w:color w:val="000000"/>
        </w:rPr>
      </w:pPr>
    </w:p>
    <w:p w:rsidR="00277594" w:rsidRPr="00277594" w:rsidRDefault="00277594" w:rsidP="00277594">
      <w:pPr>
        <w:jc w:val="both"/>
        <w:rPr>
          <w:rFonts w:asciiTheme="minorHAnsi" w:hAnsiTheme="minorHAnsi" w:cstheme="minorHAnsi"/>
          <w:color w:val="000000"/>
        </w:rPr>
      </w:pPr>
      <w:r w:rsidRPr="00277594">
        <w:rPr>
          <w:rFonts w:asciiTheme="minorHAnsi" w:hAnsiTheme="minorHAnsi" w:cstheme="minorHAnsi"/>
          <w:color w:val="000000"/>
        </w:rPr>
        <w:t xml:space="preserve">Ordinary usage of the word ‘risk’ involves pragmatic links to human action and moral responsibility. It is, therefore, important to understand multi-disciplinary approaches to the conceptualisation of risk, and to debate possible and varying perceptions of risk held by different agents within the context of  ‘Healthy Lives, Healthy People’ and in the process of strategising about public health in England. A critical examination of the ways in which contemporary society organises in response to risk inevitably raises the issue of ethics in decision making including risk appraisal processes and management strategies at the organisational and sector levels of analysis. In pragmatic terms, </w:t>
      </w:r>
      <w:r>
        <w:rPr>
          <w:rFonts w:asciiTheme="minorHAnsi" w:hAnsiTheme="minorHAnsi" w:cstheme="minorHAnsi"/>
          <w:color w:val="000000"/>
        </w:rPr>
        <w:t xml:space="preserve">it </w:t>
      </w:r>
      <w:r w:rsidRPr="00277594">
        <w:rPr>
          <w:rFonts w:asciiTheme="minorHAnsi" w:hAnsiTheme="minorHAnsi" w:cstheme="minorHAnsi"/>
          <w:color w:val="000000"/>
        </w:rPr>
        <w:t xml:space="preserve">would be </w:t>
      </w:r>
      <w:r>
        <w:rPr>
          <w:rFonts w:asciiTheme="minorHAnsi" w:hAnsiTheme="minorHAnsi" w:cstheme="minorHAnsi"/>
          <w:color w:val="000000"/>
        </w:rPr>
        <w:t xml:space="preserve">helpful to clarify, through commissioned behaviour science research, </w:t>
      </w:r>
      <w:r w:rsidRPr="00277594">
        <w:rPr>
          <w:rFonts w:asciiTheme="minorHAnsi" w:hAnsiTheme="minorHAnsi" w:cstheme="minorHAnsi"/>
          <w:color w:val="000000"/>
        </w:rPr>
        <w:t>how risk is perceived by individuals and public</w:t>
      </w:r>
      <w:r>
        <w:rPr>
          <w:rFonts w:asciiTheme="minorHAnsi" w:hAnsiTheme="minorHAnsi" w:cstheme="minorHAnsi"/>
          <w:color w:val="000000"/>
        </w:rPr>
        <w:t xml:space="preserve"> in relation to health issues and to explore, in particular</w:t>
      </w:r>
      <w:r w:rsidRPr="00277594">
        <w:rPr>
          <w:rFonts w:asciiTheme="minorHAnsi" w:hAnsiTheme="minorHAnsi" w:cstheme="minorHAnsi"/>
          <w:color w:val="000000"/>
        </w:rPr>
        <w:t xml:space="preserve">, the implications of such perceptions for daily actions encapsulated by the ‘healthy lives, healthy people’ initiative. </w:t>
      </w:r>
    </w:p>
    <w:p w:rsidR="00277594" w:rsidRPr="00277594" w:rsidRDefault="00277594" w:rsidP="00277594">
      <w:pPr>
        <w:jc w:val="both"/>
        <w:rPr>
          <w:rFonts w:asciiTheme="minorHAnsi" w:hAnsiTheme="minorHAnsi" w:cstheme="minorHAnsi"/>
          <w:color w:val="000000"/>
        </w:rPr>
      </w:pPr>
    </w:p>
    <w:p w:rsidR="00277594" w:rsidRDefault="00277594" w:rsidP="00277594">
      <w:pPr>
        <w:jc w:val="both"/>
        <w:rPr>
          <w:rFonts w:asciiTheme="minorHAnsi" w:hAnsiTheme="minorHAnsi" w:cstheme="minorHAnsi"/>
          <w:color w:val="000000"/>
        </w:rPr>
      </w:pPr>
      <w:r w:rsidRPr="00277594">
        <w:rPr>
          <w:rFonts w:asciiTheme="minorHAnsi" w:hAnsiTheme="minorHAnsi" w:cstheme="minorHAnsi"/>
          <w:color w:val="000000"/>
        </w:rPr>
        <w:t>The work of Antony Giddens</w:t>
      </w:r>
      <w:r w:rsidR="0006560E">
        <w:rPr>
          <w:rStyle w:val="EndnoteReference"/>
          <w:rFonts w:asciiTheme="minorHAnsi" w:hAnsiTheme="minorHAnsi" w:cstheme="minorHAnsi"/>
          <w:color w:val="000000"/>
        </w:rPr>
        <w:endnoteReference w:id="152"/>
      </w:r>
      <w:r w:rsidR="0006560E">
        <w:rPr>
          <w:rFonts w:asciiTheme="minorHAnsi" w:hAnsiTheme="minorHAnsi" w:cstheme="minorHAnsi"/>
          <w:color w:val="000000"/>
        </w:rPr>
        <w:t>, Bent Flyvbjerg</w:t>
      </w:r>
      <w:r w:rsidR="0006560E">
        <w:rPr>
          <w:rStyle w:val="EndnoteReference"/>
          <w:rFonts w:asciiTheme="minorHAnsi" w:hAnsiTheme="minorHAnsi" w:cstheme="minorHAnsi"/>
          <w:color w:val="000000"/>
        </w:rPr>
        <w:endnoteReference w:id="153"/>
      </w:r>
      <w:r w:rsidR="0006560E">
        <w:rPr>
          <w:rFonts w:asciiTheme="minorHAnsi" w:hAnsiTheme="minorHAnsi" w:cstheme="minorHAnsi"/>
          <w:color w:val="000000"/>
        </w:rPr>
        <w:t>, Ulrich Beck</w:t>
      </w:r>
      <w:r w:rsidR="0006560E">
        <w:rPr>
          <w:rStyle w:val="EndnoteReference"/>
          <w:rFonts w:asciiTheme="minorHAnsi" w:hAnsiTheme="minorHAnsi" w:cstheme="minorHAnsi"/>
          <w:color w:val="000000"/>
        </w:rPr>
        <w:endnoteReference w:id="154"/>
      </w:r>
      <w:r w:rsidR="0006560E">
        <w:rPr>
          <w:rFonts w:asciiTheme="minorHAnsi" w:hAnsiTheme="minorHAnsi" w:cstheme="minorHAnsi"/>
          <w:color w:val="000000"/>
        </w:rPr>
        <w:t>, Peter Bernstein</w:t>
      </w:r>
      <w:r w:rsidR="0006560E">
        <w:rPr>
          <w:rStyle w:val="EndnoteReference"/>
          <w:rFonts w:asciiTheme="minorHAnsi" w:hAnsiTheme="minorHAnsi" w:cstheme="minorHAnsi"/>
          <w:color w:val="000000"/>
        </w:rPr>
        <w:endnoteReference w:id="155"/>
      </w:r>
      <w:r w:rsidR="0006560E">
        <w:rPr>
          <w:rFonts w:asciiTheme="minorHAnsi" w:hAnsiTheme="minorHAnsi" w:cstheme="minorHAnsi"/>
          <w:color w:val="000000"/>
        </w:rPr>
        <w:t>, and Russell Ackoff</w:t>
      </w:r>
      <w:r w:rsidR="0006560E">
        <w:rPr>
          <w:rStyle w:val="EndnoteReference"/>
          <w:rFonts w:asciiTheme="minorHAnsi" w:hAnsiTheme="minorHAnsi" w:cstheme="minorHAnsi"/>
          <w:color w:val="000000"/>
        </w:rPr>
        <w:endnoteReference w:id="156"/>
      </w:r>
      <w:r w:rsidR="0006560E">
        <w:rPr>
          <w:rFonts w:asciiTheme="minorHAnsi" w:hAnsiTheme="minorHAnsi" w:cstheme="minorHAnsi"/>
          <w:color w:val="000000"/>
        </w:rPr>
        <w:t xml:space="preserve"> </w:t>
      </w:r>
      <w:r w:rsidRPr="00277594">
        <w:rPr>
          <w:rFonts w:asciiTheme="minorHAnsi" w:hAnsiTheme="minorHAnsi" w:cstheme="minorHAnsi"/>
          <w:color w:val="000000"/>
        </w:rPr>
        <w:t>would be the classic examples of relevant literature. Particularly relevant work to draw on would include Martin L</w:t>
      </w:r>
      <w:r w:rsidR="0006560E">
        <w:rPr>
          <w:rFonts w:asciiTheme="minorHAnsi" w:hAnsiTheme="minorHAnsi" w:cstheme="minorHAnsi"/>
          <w:color w:val="000000"/>
        </w:rPr>
        <w:t>oosemore</w:t>
      </w:r>
      <w:r w:rsidR="0006560E">
        <w:rPr>
          <w:rStyle w:val="EndnoteReference"/>
          <w:rFonts w:asciiTheme="minorHAnsi" w:hAnsiTheme="minorHAnsi" w:cstheme="minorHAnsi"/>
          <w:color w:val="000000"/>
        </w:rPr>
        <w:endnoteReference w:id="157"/>
      </w:r>
      <w:r w:rsidRPr="00277594">
        <w:rPr>
          <w:rFonts w:asciiTheme="minorHAnsi" w:hAnsiTheme="minorHAnsi" w:cstheme="minorHAnsi"/>
          <w:color w:val="000000"/>
        </w:rPr>
        <w:t xml:space="preserve"> with his commentary on perspectives and doctrines in risk management (e.g. collaborationist</w:t>
      </w:r>
      <w:r w:rsidR="007A3E26">
        <w:rPr>
          <w:rFonts w:asciiTheme="minorHAnsi" w:hAnsiTheme="minorHAnsi" w:cstheme="minorHAnsi"/>
          <w:color w:val="000000"/>
        </w:rPr>
        <w:t xml:space="preserve"> </w:t>
      </w:r>
      <w:r w:rsidRPr="00277594">
        <w:rPr>
          <w:rFonts w:asciiTheme="minorHAnsi" w:hAnsiTheme="minorHAnsi" w:cstheme="minorHAnsi"/>
          <w:color w:val="000000"/>
        </w:rPr>
        <w:t>vs homeostatic</w:t>
      </w:r>
      <w:r w:rsidR="007A3E26">
        <w:rPr>
          <w:rStyle w:val="FootnoteReference"/>
          <w:rFonts w:asciiTheme="minorHAnsi" w:hAnsiTheme="minorHAnsi" w:cstheme="minorHAnsi"/>
          <w:color w:val="000000"/>
        </w:rPr>
        <w:footnoteReference w:id="1"/>
      </w:r>
      <w:r w:rsidRPr="00277594">
        <w:rPr>
          <w:rFonts w:asciiTheme="minorHAnsi" w:hAnsiTheme="minorHAnsi" w:cstheme="minorHAnsi"/>
          <w:color w:val="000000"/>
        </w:rPr>
        <w:t>. The claim is that if risk appraisal</w:t>
      </w:r>
      <w:r w:rsidR="00A42D2C">
        <w:rPr>
          <w:rFonts w:asciiTheme="minorHAnsi" w:hAnsiTheme="minorHAnsi" w:cstheme="minorHAnsi"/>
          <w:color w:val="000000"/>
        </w:rPr>
        <w:t xml:space="preserve"> is understood as a consideration</w:t>
      </w:r>
      <w:r w:rsidRPr="00277594">
        <w:rPr>
          <w:rFonts w:asciiTheme="minorHAnsi" w:hAnsiTheme="minorHAnsi" w:cstheme="minorHAnsi"/>
          <w:color w:val="000000"/>
        </w:rPr>
        <w:t xml:space="preserve"> of a probability of loss, then we need to think about whose perceptions are taken into considerations and from which perspective out of the following</w:t>
      </w:r>
      <w:r w:rsidR="00A42D2C">
        <w:rPr>
          <w:rFonts w:asciiTheme="minorHAnsi" w:hAnsiTheme="minorHAnsi" w:cstheme="minorHAnsi"/>
          <w:color w:val="000000"/>
        </w:rPr>
        <w:t xml:space="preserve"> categories</w:t>
      </w:r>
      <w:r w:rsidRPr="00277594">
        <w:rPr>
          <w:rFonts w:asciiTheme="minorHAnsi" w:hAnsiTheme="minorHAnsi" w:cstheme="minorHAnsi"/>
          <w:color w:val="000000"/>
        </w:rPr>
        <w:t>:</w:t>
      </w:r>
    </w:p>
    <w:p w:rsidR="00277594" w:rsidRPr="00277594" w:rsidRDefault="00277594" w:rsidP="00277594">
      <w:pPr>
        <w:jc w:val="both"/>
        <w:rPr>
          <w:rFonts w:asciiTheme="minorHAnsi" w:hAnsiTheme="minorHAnsi" w:cstheme="minorHAnsi"/>
          <w:color w:val="000000"/>
        </w:rPr>
      </w:pPr>
    </w:p>
    <w:p w:rsidR="00277594" w:rsidRPr="00277594" w:rsidRDefault="00277594" w:rsidP="00277594">
      <w:pPr>
        <w:ind w:left="720"/>
        <w:jc w:val="both"/>
        <w:rPr>
          <w:rFonts w:asciiTheme="minorHAnsi" w:hAnsiTheme="minorHAnsi" w:cstheme="minorHAnsi"/>
          <w:color w:val="000000"/>
        </w:rPr>
      </w:pPr>
      <w:r>
        <w:rPr>
          <w:rFonts w:asciiTheme="minorHAnsi" w:hAnsiTheme="minorHAnsi" w:cstheme="minorHAnsi"/>
          <w:color w:val="000000"/>
        </w:rPr>
        <w:t xml:space="preserve">-   </w:t>
      </w:r>
      <w:r w:rsidRPr="00277594">
        <w:rPr>
          <w:rFonts w:asciiTheme="minorHAnsi" w:hAnsiTheme="minorHAnsi" w:cstheme="minorHAnsi"/>
          <w:i/>
          <w:color w:val="000000"/>
        </w:rPr>
        <w:t>economic</w:t>
      </w:r>
      <w:r w:rsidRPr="00277594">
        <w:rPr>
          <w:rFonts w:asciiTheme="minorHAnsi" w:hAnsiTheme="minorHAnsi" w:cstheme="minorHAnsi"/>
          <w:color w:val="000000"/>
        </w:rPr>
        <w:t xml:space="preserve"> (profit, rational comparison of costs/benefits)</w:t>
      </w:r>
    </w:p>
    <w:p w:rsidR="00277594" w:rsidRPr="00277594" w:rsidRDefault="00277594" w:rsidP="00277594">
      <w:pPr>
        <w:ind w:left="720"/>
        <w:jc w:val="both"/>
        <w:rPr>
          <w:rFonts w:asciiTheme="minorHAnsi" w:hAnsiTheme="minorHAnsi" w:cstheme="minorHAnsi"/>
          <w:color w:val="000000"/>
        </w:rPr>
      </w:pPr>
      <w:r>
        <w:rPr>
          <w:rFonts w:asciiTheme="minorHAnsi" w:hAnsiTheme="minorHAnsi" w:cstheme="minorHAnsi"/>
          <w:color w:val="000000"/>
        </w:rPr>
        <w:t xml:space="preserve">- </w:t>
      </w:r>
      <w:r w:rsidRPr="00277594">
        <w:rPr>
          <w:rFonts w:asciiTheme="minorHAnsi" w:hAnsiTheme="minorHAnsi" w:cstheme="minorHAnsi"/>
          <w:i/>
          <w:color w:val="000000"/>
        </w:rPr>
        <w:t>psychological</w:t>
      </w:r>
      <w:r w:rsidRPr="00277594">
        <w:rPr>
          <w:rFonts w:asciiTheme="minorHAnsi" w:hAnsiTheme="minorHAnsi" w:cstheme="minorHAnsi"/>
          <w:color w:val="000000"/>
        </w:rPr>
        <w:t xml:space="preserve"> (seemingly irrational perceptions due to fear, believes, memory of past or recent events)</w:t>
      </w:r>
    </w:p>
    <w:p w:rsidR="00277594" w:rsidRPr="00277594" w:rsidRDefault="00277594" w:rsidP="00277594">
      <w:pPr>
        <w:ind w:left="720"/>
        <w:jc w:val="both"/>
        <w:rPr>
          <w:rFonts w:asciiTheme="minorHAnsi" w:hAnsiTheme="minorHAnsi" w:cstheme="minorHAnsi"/>
          <w:color w:val="000000"/>
        </w:rPr>
      </w:pPr>
      <w:r w:rsidRPr="00277594">
        <w:rPr>
          <w:rFonts w:asciiTheme="minorHAnsi" w:hAnsiTheme="minorHAnsi" w:cstheme="minorHAnsi"/>
          <w:color w:val="000000"/>
        </w:rPr>
        <w:lastRenderedPageBreak/>
        <w:t xml:space="preserve"> - </w:t>
      </w:r>
      <w:r w:rsidRPr="00277594">
        <w:rPr>
          <w:rFonts w:asciiTheme="minorHAnsi" w:hAnsiTheme="minorHAnsi" w:cstheme="minorHAnsi"/>
          <w:i/>
          <w:color w:val="000000"/>
        </w:rPr>
        <w:t>societal</w:t>
      </w:r>
      <w:r w:rsidRPr="00277594">
        <w:rPr>
          <w:rFonts w:asciiTheme="minorHAnsi" w:hAnsiTheme="minorHAnsi" w:cstheme="minorHAnsi"/>
          <w:color w:val="000000"/>
        </w:rPr>
        <w:t xml:space="preserve"> (participation depends on the level of education and economic well-being)</w:t>
      </w:r>
    </w:p>
    <w:p w:rsidR="00277594" w:rsidRPr="00277594" w:rsidRDefault="00277594" w:rsidP="00277594">
      <w:pPr>
        <w:ind w:left="720"/>
        <w:jc w:val="both"/>
        <w:rPr>
          <w:rFonts w:asciiTheme="minorHAnsi" w:hAnsiTheme="minorHAnsi" w:cstheme="minorHAnsi"/>
          <w:color w:val="000000"/>
        </w:rPr>
      </w:pPr>
      <w:r w:rsidRPr="00277594">
        <w:rPr>
          <w:rFonts w:asciiTheme="minorHAnsi" w:hAnsiTheme="minorHAnsi" w:cstheme="minorHAnsi"/>
          <w:color w:val="000000"/>
        </w:rPr>
        <w:t xml:space="preserve"> - </w:t>
      </w:r>
      <w:r>
        <w:rPr>
          <w:rFonts w:asciiTheme="minorHAnsi" w:hAnsiTheme="minorHAnsi" w:cstheme="minorHAnsi"/>
          <w:color w:val="000000"/>
        </w:rPr>
        <w:t xml:space="preserve"> </w:t>
      </w:r>
      <w:r w:rsidRPr="00277594">
        <w:rPr>
          <w:rFonts w:asciiTheme="minorHAnsi" w:hAnsiTheme="minorHAnsi" w:cstheme="minorHAnsi"/>
          <w:i/>
          <w:color w:val="000000"/>
        </w:rPr>
        <w:t>cultural</w:t>
      </w:r>
      <w:r w:rsidRPr="00277594">
        <w:rPr>
          <w:rFonts w:asciiTheme="minorHAnsi" w:hAnsiTheme="minorHAnsi" w:cstheme="minorHAnsi"/>
          <w:color w:val="000000"/>
        </w:rPr>
        <w:t xml:space="preserve"> (bribery, corruption, hab</w:t>
      </w:r>
      <w:r>
        <w:rPr>
          <w:rFonts w:asciiTheme="minorHAnsi" w:hAnsiTheme="minorHAnsi" w:cstheme="minorHAnsi"/>
          <w:color w:val="000000"/>
        </w:rPr>
        <w:t>its, attitudes, relationship to</w:t>
      </w:r>
      <w:r w:rsidRPr="00277594">
        <w:rPr>
          <w:rFonts w:asciiTheme="minorHAnsi" w:hAnsiTheme="minorHAnsi" w:cstheme="minorHAnsi"/>
          <w:color w:val="000000"/>
        </w:rPr>
        <w:t xml:space="preserve"> technology)</w:t>
      </w:r>
    </w:p>
    <w:p w:rsidR="00277594" w:rsidRPr="00277594" w:rsidRDefault="00277594" w:rsidP="00277594">
      <w:pPr>
        <w:rPr>
          <w:rFonts w:asciiTheme="minorHAnsi" w:hAnsiTheme="minorHAnsi" w:cstheme="minorHAnsi"/>
        </w:rPr>
      </w:pPr>
    </w:p>
    <w:p w:rsidR="007A3E26" w:rsidRDefault="00277594" w:rsidP="00834A40">
      <w:pPr>
        <w:jc w:val="both"/>
        <w:rPr>
          <w:rFonts w:asciiTheme="minorHAnsi" w:hAnsiTheme="minorHAnsi" w:cstheme="minorHAnsi"/>
          <w:color w:val="000000"/>
        </w:rPr>
      </w:pPr>
      <w:r w:rsidRPr="00277594">
        <w:rPr>
          <w:rFonts w:asciiTheme="minorHAnsi" w:hAnsiTheme="minorHAnsi" w:cstheme="minorHAnsi"/>
          <w:color w:val="000000"/>
        </w:rPr>
        <w:t>As implementation of any new initiative or strategy in a complex interconnected and interdependent society always has a potential to create new risks, it is important to acknowledge the imperative as well as the challenge of capturing, evaluating and exposing these proposals to critical scrutiny against ethical benchmarks</w:t>
      </w:r>
      <w:r w:rsidR="00A42D2C">
        <w:rPr>
          <w:rFonts w:asciiTheme="minorHAnsi" w:hAnsiTheme="minorHAnsi" w:cstheme="minorHAnsi"/>
          <w:color w:val="000000"/>
        </w:rPr>
        <w:t xml:space="preserve"> (see 7.2 above)</w:t>
      </w:r>
      <w:r w:rsidRPr="00277594">
        <w:rPr>
          <w:rFonts w:asciiTheme="minorHAnsi" w:hAnsiTheme="minorHAnsi" w:cstheme="minorHAnsi"/>
          <w:color w:val="000000"/>
        </w:rPr>
        <w:t xml:space="preserve">. </w:t>
      </w:r>
    </w:p>
    <w:p w:rsidR="007A3E26" w:rsidRDefault="007A3E26" w:rsidP="00834A40">
      <w:pPr>
        <w:jc w:val="both"/>
        <w:rPr>
          <w:rFonts w:asciiTheme="minorHAnsi" w:hAnsiTheme="minorHAnsi" w:cstheme="minorHAnsi"/>
          <w:color w:val="000000"/>
        </w:rPr>
      </w:pPr>
    </w:p>
    <w:p w:rsidR="007A3E26" w:rsidRDefault="007A3E26" w:rsidP="00834A40">
      <w:pPr>
        <w:jc w:val="both"/>
        <w:rPr>
          <w:rFonts w:asciiTheme="minorHAnsi" w:hAnsiTheme="minorHAnsi" w:cstheme="minorHAnsi"/>
          <w:color w:val="000000"/>
        </w:rPr>
      </w:pPr>
    </w:p>
    <w:p w:rsidR="004C419C" w:rsidRPr="00834A40" w:rsidRDefault="00843A3F" w:rsidP="00834A40">
      <w:pPr>
        <w:jc w:val="both"/>
        <w:rPr>
          <w:rFonts w:asciiTheme="majorHAnsi" w:eastAsiaTheme="majorEastAsia" w:hAnsiTheme="majorHAnsi" w:cstheme="majorBidi"/>
          <w:b/>
          <w:bCs/>
          <w:color w:val="4F81BD" w:themeColor="accent1"/>
        </w:rPr>
      </w:pPr>
      <w:r w:rsidRPr="00695533">
        <w:rPr>
          <w:rFonts w:asciiTheme="majorHAnsi" w:eastAsiaTheme="majorEastAsia" w:hAnsiTheme="majorHAnsi" w:cstheme="majorBidi"/>
          <w:b/>
          <w:bCs/>
          <w:color w:val="4F81BD" w:themeColor="accent1"/>
        </w:rPr>
        <w:t>7.</w:t>
      </w:r>
      <w:r w:rsidR="00254C30" w:rsidRPr="00695533">
        <w:rPr>
          <w:rFonts w:asciiTheme="majorHAnsi" w:eastAsiaTheme="majorEastAsia" w:hAnsiTheme="majorHAnsi" w:cstheme="majorBidi"/>
          <w:b/>
          <w:bCs/>
          <w:color w:val="4F81BD" w:themeColor="accent1"/>
        </w:rPr>
        <w:t>4</w:t>
      </w:r>
      <w:r w:rsidRPr="00695533">
        <w:rPr>
          <w:rFonts w:asciiTheme="majorHAnsi" w:eastAsiaTheme="majorEastAsia" w:hAnsiTheme="majorHAnsi" w:cstheme="majorBidi"/>
          <w:b/>
          <w:bCs/>
          <w:color w:val="4F81BD" w:themeColor="accent1"/>
        </w:rPr>
        <w:t xml:space="preserve"> </w:t>
      </w:r>
      <w:r w:rsidR="00695533">
        <w:rPr>
          <w:rFonts w:asciiTheme="majorHAnsi" w:eastAsiaTheme="majorEastAsia" w:hAnsiTheme="majorHAnsi" w:cstheme="majorBidi"/>
          <w:b/>
          <w:bCs/>
          <w:color w:val="4F81BD" w:themeColor="accent1"/>
        </w:rPr>
        <w:t>Consideration of c</w:t>
      </w:r>
      <w:r w:rsidR="004C419C" w:rsidRPr="00695533">
        <w:rPr>
          <w:rFonts w:asciiTheme="majorHAnsi" w:eastAsiaTheme="majorEastAsia" w:hAnsiTheme="majorHAnsi" w:cstheme="majorBidi"/>
          <w:b/>
          <w:bCs/>
          <w:color w:val="4F81BD" w:themeColor="accent1"/>
        </w:rPr>
        <w:t xml:space="preserve">ompeting </w:t>
      </w:r>
      <w:r w:rsidR="00695533">
        <w:rPr>
          <w:rFonts w:asciiTheme="majorHAnsi" w:eastAsiaTheme="majorEastAsia" w:hAnsiTheme="majorHAnsi" w:cstheme="majorBidi"/>
          <w:b/>
          <w:bCs/>
          <w:color w:val="4F81BD" w:themeColor="accent1"/>
        </w:rPr>
        <w:t>i</w:t>
      </w:r>
      <w:r w:rsidR="004C419C" w:rsidRPr="00695533">
        <w:rPr>
          <w:rFonts w:asciiTheme="majorHAnsi" w:eastAsiaTheme="majorEastAsia" w:hAnsiTheme="majorHAnsi" w:cstheme="majorBidi"/>
          <w:b/>
          <w:bCs/>
          <w:color w:val="4F81BD" w:themeColor="accent1"/>
        </w:rPr>
        <w:t>nfluences</w:t>
      </w:r>
    </w:p>
    <w:p w:rsidR="00834A40" w:rsidRDefault="00834A40" w:rsidP="002560EC">
      <w:pPr>
        <w:pStyle w:val="ListParagraph"/>
        <w:ind w:left="0"/>
        <w:jc w:val="both"/>
        <w:rPr>
          <w:rFonts w:asciiTheme="minorHAnsi" w:hAnsiTheme="minorHAnsi"/>
        </w:rPr>
      </w:pPr>
    </w:p>
    <w:p w:rsidR="00254C30" w:rsidRDefault="00531956" w:rsidP="002560EC">
      <w:pPr>
        <w:pStyle w:val="ListParagraph"/>
        <w:ind w:left="0"/>
        <w:jc w:val="both"/>
        <w:rPr>
          <w:rFonts w:asciiTheme="minorHAnsi" w:hAnsiTheme="minorHAnsi"/>
        </w:rPr>
      </w:pPr>
      <w:r w:rsidRPr="00531956">
        <w:rPr>
          <w:rFonts w:asciiTheme="minorHAnsi" w:hAnsiTheme="minorHAnsi"/>
        </w:rPr>
        <w:t>The very term social marketing implies a similarity with commercial marketing.  One of the key issues in marketing is comp</w:t>
      </w:r>
      <w:r w:rsidR="00A72256">
        <w:rPr>
          <w:rFonts w:asciiTheme="minorHAnsi" w:hAnsiTheme="minorHAnsi"/>
        </w:rPr>
        <w:t>eti</w:t>
      </w:r>
      <w:r w:rsidRPr="00531956">
        <w:rPr>
          <w:rFonts w:asciiTheme="minorHAnsi" w:hAnsiTheme="minorHAnsi"/>
        </w:rPr>
        <w:t>tion.  One of the key weaknesses of current behavioural approaches is failure to understand the nature of competing forces. There are a number of sources of the competing forces, some of which may be combative</w:t>
      </w:r>
      <w:r w:rsidR="00E2497F">
        <w:rPr>
          <w:rFonts w:asciiTheme="minorHAnsi" w:hAnsiTheme="minorHAnsi"/>
        </w:rPr>
        <w:t>, as shown in Figure 14</w:t>
      </w:r>
      <w:r w:rsidRPr="00531956">
        <w:rPr>
          <w:rFonts w:asciiTheme="minorHAnsi" w:hAnsiTheme="minorHAnsi"/>
        </w:rPr>
        <w:t xml:space="preserve">.   </w:t>
      </w:r>
    </w:p>
    <w:p w:rsidR="00E2497F" w:rsidRDefault="00E2497F" w:rsidP="00E2497F">
      <w:pPr>
        <w:spacing w:line="360" w:lineRule="auto"/>
        <w:rPr>
          <w:rFonts w:ascii="Calibri" w:hAnsi="Calibri"/>
          <w:b/>
        </w:rPr>
      </w:pPr>
    </w:p>
    <w:p w:rsidR="00E2497F" w:rsidRDefault="00E2497F" w:rsidP="00E2497F">
      <w:pPr>
        <w:spacing w:line="360" w:lineRule="auto"/>
        <w:rPr>
          <w:rFonts w:ascii="Calibri" w:hAnsi="Calibri"/>
          <w:b/>
        </w:rPr>
      </w:pPr>
      <w:r w:rsidRPr="004C419C">
        <w:rPr>
          <w:rFonts w:ascii="Calibri" w:hAnsi="Calibri"/>
          <w:b/>
        </w:rPr>
        <w:t xml:space="preserve">Figure </w:t>
      </w:r>
      <w:r>
        <w:rPr>
          <w:rFonts w:ascii="Calibri" w:hAnsi="Calibri"/>
          <w:b/>
        </w:rPr>
        <w:t>14</w:t>
      </w:r>
      <w:r w:rsidR="005F1B78">
        <w:rPr>
          <w:rFonts w:ascii="Calibri" w:hAnsi="Calibri"/>
          <w:b/>
        </w:rPr>
        <w:t>:</w:t>
      </w:r>
      <w:r>
        <w:rPr>
          <w:rFonts w:ascii="Calibri" w:hAnsi="Calibri"/>
          <w:b/>
        </w:rPr>
        <w:t xml:space="preserve"> </w:t>
      </w:r>
      <w:r w:rsidRPr="004C419C">
        <w:rPr>
          <w:rFonts w:ascii="Calibri" w:hAnsi="Calibri"/>
          <w:b/>
        </w:rPr>
        <w:t>Competing ideas in social marketing</w:t>
      </w:r>
      <w:r w:rsidRPr="004C419C">
        <w:rPr>
          <w:rStyle w:val="EndnoteReference"/>
          <w:rFonts w:ascii="Calibri" w:eastAsia="Cambria" w:hAnsi="Calibri"/>
          <w:b/>
        </w:rPr>
        <w:endnoteReference w:id="158"/>
      </w:r>
    </w:p>
    <w:p w:rsidR="00E2497F" w:rsidRPr="004C419C" w:rsidRDefault="00E2497F" w:rsidP="00E2497F">
      <w:pPr>
        <w:spacing w:line="360" w:lineRule="auto"/>
        <w:rPr>
          <w:rFonts w:ascii="Calibri" w:hAnsi="Calibri"/>
          <w:b/>
        </w:rPr>
      </w:pPr>
      <w:r w:rsidRPr="00E2497F">
        <w:rPr>
          <w:rFonts w:ascii="Calibri" w:hAnsi="Calibri"/>
          <w:b/>
          <w:noProof/>
        </w:rPr>
        <w:drawing>
          <wp:inline distT="0" distB="0" distL="0" distR="0">
            <wp:extent cx="5274310" cy="3665360"/>
            <wp:effectExtent l="57150" t="38100" r="40640" b="1129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274310" cy="3665360"/>
                    </a:xfrm>
                    <a:prstGeom prst="rect">
                      <a:avLst/>
                    </a:prstGeom>
                    <a:solidFill>
                      <a:srgbClr val="FF0000"/>
                    </a:solidFill>
                    <a:ln w="28575">
                      <a:solidFill>
                        <a:srgbClr val="FF0000"/>
                      </a:solidFill>
                      <a:miter lim="800000"/>
                      <a:headEnd/>
                      <a:tailEnd/>
                    </a:ln>
                  </pic:spPr>
                </pic:pic>
              </a:graphicData>
            </a:graphic>
          </wp:inline>
        </w:drawing>
      </w:r>
    </w:p>
    <w:p w:rsidR="00254C30" w:rsidRDefault="00254C30" w:rsidP="002560EC">
      <w:pPr>
        <w:pStyle w:val="ListParagraph"/>
        <w:ind w:left="0"/>
        <w:jc w:val="both"/>
        <w:rPr>
          <w:rFonts w:asciiTheme="minorHAnsi" w:hAnsiTheme="minorHAnsi"/>
        </w:rPr>
      </w:pPr>
    </w:p>
    <w:p w:rsidR="00E2497F" w:rsidRDefault="00E2497F" w:rsidP="002560EC">
      <w:pPr>
        <w:pStyle w:val="ListParagraph"/>
        <w:ind w:left="0"/>
        <w:jc w:val="both"/>
        <w:rPr>
          <w:rFonts w:asciiTheme="minorHAnsi" w:hAnsiTheme="minorHAnsi"/>
        </w:rPr>
      </w:pPr>
    </w:p>
    <w:p w:rsidR="00695533" w:rsidRDefault="00BE0F24" w:rsidP="002560EC">
      <w:pPr>
        <w:pStyle w:val="ListParagraph"/>
        <w:ind w:left="0"/>
        <w:jc w:val="both"/>
        <w:rPr>
          <w:rFonts w:asciiTheme="minorHAnsi" w:hAnsiTheme="minorHAnsi"/>
        </w:rPr>
      </w:pPr>
      <w:r>
        <w:rPr>
          <w:rFonts w:asciiTheme="minorHAnsi" w:hAnsiTheme="minorHAnsi"/>
        </w:rPr>
        <w:t>The implications of these factors are now discussed in more detail.</w:t>
      </w:r>
    </w:p>
    <w:p w:rsidR="007A3E26" w:rsidRDefault="007A3E26" w:rsidP="00695533">
      <w:pPr>
        <w:jc w:val="both"/>
        <w:rPr>
          <w:rFonts w:asciiTheme="majorHAnsi" w:eastAsiaTheme="majorEastAsia" w:hAnsiTheme="majorHAnsi" w:cstheme="majorBidi"/>
          <w:b/>
          <w:bCs/>
          <w:color w:val="4F81BD" w:themeColor="accent1"/>
        </w:rPr>
      </w:pPr>
    </w:p>
    <w:p w:rsidR="007A3E26" w:rsidRDefault="007A3E26" w:rsidP="00695533">
      <w:pPr>
        <w:jc w:val="both"/>
        <w:rPr>
          <w:rFonts w:asciiTheme="majorHAnsi" w:eastAsiaTheme="majorEastAsia" w:hAnsiTheme="majorHAnsi" w:cstheme="majorBidi"/>
          <w:b/>
          <w:bCs/>
          <w:color w:val="4F81BD" w:themeColor="accent1"/>
        </w:rPr>
      </w:pPr>
    </w:p>
    <w:p w:rsidR="007A3E26" w:rsidRDefault="007A3E26">
      <w:pPr>
        <w:rPr>
          <w:rFonts w:asciiTheme="majorHAnsi" w:eastAsiaTheme="majorEastAsia" w:hAnsiTheme="majorHAnsi" w:cstheme="majorBidi"/>
          <w:b/>
          <w:bCs/>
          <w:color w:val="4F81BD" w:themeColor="accent1"/>
        </w:rPr>
      </w:pPr>
      <w:r>
        <w:rPr>
          <w:rFonts w:asciiTheme="majorHAnsi" w:eastAsiaTheme="majorEastAsia" w:hAnsiTheme="majorHAnsi" w:cstheme="majorBidi"/>
          <w:b/>
          <w:bCs/>
          <w:color w:val="4F81BD" w:themeColor="accent1"/>
        </w:rPr>
        <w:br w:type="page"/>
      </w:r>
    </w:p>
    <w:p w:rsidR="00E2497F" w:rsidRPr="00695533" w:rsidRDefault="00695533" w:rsidP="00695533">
      <w:pPr>
        <w:jc w:val="both"/>
        <w:rPr>
          <w:rFonts w:asciiTheme="majorHAnsi" w:eastAsiaTheme="majorEastAsia" w:hAnsiTheme="majorHAnsi" w:cstheme="majorBidi"/>
          <w:b/>
          <w:bCs/>
          <w:color w:val="4F81BD" w:themeColor="accent1"/>
        </w:rPr>
      </w:pPr>
      <w:r>
        <w:rPr>
          <w:rFonts w:asciiTheme="majorHAnsi" w:eastAsiaTheme="majorEastAsia" w:hAnsiTheme="majorHAnsi" w:cstheme="majorBidi"/>
          <w:b/>
          <w:bCs/>
          <w:color w:val="4F81BD" w:themeColor="accent1"/>
        </w:rPr>
        <w:lastRenderedPageBreak/>
        <w:t>7.4.1  Need for c</w:t>
      </w:r>
      <w:r w:rsidR="00E2497F" w:rsidRPr="00695533">
        <w:rPr>
          <w:rFonts w:asciiTheme="majorHAnsi" w:eastAsiaTheme="majorEastAsia" w:hAnsiTheme="majorHAnsi" w:cstheme="majorBidi"/>
          <w:b/>
          <w:bCs/>
          <w:color w:val="4F81BD" w:themeColor="accent1"/>
        </w:rPr>
        <w:t>onsistency</w:t>
      </w:r>
    </w:p>
    <w:p w:rsidR="00254C30" w:rsidRPr="00254C30" w:rsidRDefault="00254C30" w:rsidP="00254C30">
      <w:pPr>
        <w:jc w:val="both"/>
        <w:rPr>
          <w:rFonts w:asciiTheme="minorHAnsi" w:hAnsiTheme="minorHAnsi" w:cstheme="minorHAnsi"/>
          <w:lang w:val="en-NZ"/>
        </w:rPr>
      </w:pPr>
      <w:r w:rsidRPr="00254C30">
        <w:rPr>
          <w:rFonts w:asciiTheme="minorHAnsi" w:hAnsiTheme="minorHAnsi" w:cstheme="minorHAnsi"/>
          <w:lang w:val="en-NZ"/>
        </w:rPr>
        <w:t xml:space="preserve">There is also the need for consistency across different portfolios.  For example, recent relaxation of the rules governing product placements within UK-originated mass media programme content prohibits product placement within children’s programmes and provides a list of products and services that are banned outright.  </w:t>
      </w:r>
      <w:r w:rsidR="005F1B78" w:rsidRPr="00254C30">
        <w:rPr>
          <w:rFonts w:asciiTheme="minorHAnsi" w:hAnsiTheme="minorHAnsi" w:cstheme="minorHAnsi"/>
          <w:lang w:val="en-NZ"/>
        </w:rPr>
        <w:t>We argue</w:t>
      </w:r>
      <w:r w:rsidRPr="00254C30">
        <w:rPr>
          <w:rFonts w:asciiTheme="minorHAnsi" w:hAnsiTheme="minorHAnsi" w:cstheme="minorHAnsi"/>
          <w:lang w:val="en-NZ"/>
        </w:rPr>
        <w:t xml:space="preserve"> that these new rules fail to take a number of </w:t>
      </w:r>
      <w:r w:rsidRPr="00254C30">
        <w:rPr>
          <w:rFonts w:asciiTheme="minorHAnsi" w:hAnsiTheme="minorHAnsi" w:cstheme="minorHAnsi"/>
        </w:rPr>
        <w:t>significant issues into account, namely: a large percentage of children’s viewing takes place during adult programming; restrictions do not extend to product placement in video and advergames, or social networking and media sharing sites; and finally, the list of restricted products does not include harmful products and practices, some of which have been legislated against, such as the use of sunbed by under 18 year olds</w:t>
      </w:r>
      <w:r w:rsidRPr="00254C30">
        <w:rPr>
          <w:rStyle w:val="EndnoteReference"/>
          <w:rFonts w:asciiTheme="minorHAnsi" w:hAnsiTheme="minorHAnsi" w:cstheme="minorHAnsi"/>
        </w:rPr>
        <w:endnoteReference w:id="159"/>
      </w:r>
      <w:r w:rsidRPr="00254C30">
        <w:rPr>
          <w:rFonts w:asciiTheme="minorHAnsi" w:hAnsiTheme="minorHAnsi" w:cstheme="minorHAnsi"/>
          <w:vertAlign w:val="superscript"/>
        </w:rPr>
        <w:t xml:space="preserve">, </w:t>
      </w:r>
      <w:r w:rsidRPr="00254C30">
        <w:rPr>
          <w:rStyle w:val="EndnoteReference"/>
          <w:rFonts w:asciiTheme="minorHAnsi" w:hAnsiTheme="minorHAnsi" w:cstheme="minorHAnsi"/>
        </w:rPr>
        <w:endnoteReference w:id="160"/>
      </w:r>
      <w:r w:rsidRPr="00254C30">
        <w:rPr>
          <w:rFonts w:asciiTheme="minorHAnsi" w:hAnsiTheme="minorHAnsi" w:cstheme="minorHAnsi"/>
        </w:rPr>
        <w:t>.   This issue is explored in more detail in Appendix A.</w:t>
      </w:r>
    </w:p>
    <w:p w:rsidR="00254C30" w:rsidRPr="00254C30" w:rsidRDefault="00254C30" w:rsidP="00254C30">
      <w:pPr>
        <w:rPr>
          <w:rFonts w:asciiTheme="minorHAnsi" w:hAnsiTheme="minorHAnsi" w:cstheme="minorHAnsi"/>
          <w:b/>
        </w:rPr>
      </w:pPr>
    </w:p>
    <w:p w:rsidR="00254C30" w:rsidRPr="00254C30" w:rsidRDefault="00254C30" w:rsidP="00254C30">
      <w:pPr>
        <w:rPr>
          <w:rFonts w:asciiTheme="minorHAnsi" w:hAnsiTheme="minorHAnsi" w:cstheme="minorHAnsi"/>
        </w:rPr>
      </w:pPr>
      <w:r w:rsidRPr="00254C30">
        <w:rPr>
          <w:rFonts w:asciiTheme="minorHAnsi" w:hAnsiTheme="minorHAnsi" w:cstheme="minorHAnsi"/>
        </w:rPr>
        <w:t>Similarly, there is no reference to effective sun protection strategies within the Change4Life material, in spite of recognition of the rapid increases in skin cancer rates (doubling every twenty years) within the UK</w:t>
      </w:r>
      <w:r w:rsidR="00834A40">
        <w:rPr>
          <w:rFonts w:asciiTheme="minorHAnsi" w:hAnsiTheme="minorHAnsi" w:cstheme="minorHAnsi"/>
        </w:rPr>
        <w:t>.</w:t>
      </w:r>
      <w:r w:rsidRPr="00254C30">
        <w:rPr>
          <w:rStyle w:val="EndnoteReference"/>
          <w:rFonts w:asciiTheme="minorHAnsi" w:hAnsiTheme="minorHAnsi" w:cstheme="minorHAnsi"/>
        </w:rPr>
        <w:endnoteReference w:id="161"/>
      </w:r>
    </w:p>
    <w:p w:rsidR="00A86BD6" w:rsidRDefault="00A86BD6" w:rsidP="00A86BD6">
      <w:pPr>
        <w:rPr>
          <w:rFonts w:asciiTheme="minorHAnsi" w:hAnsiTheme="minorHAnsi" w:cstheme="minorHAnsi"/>
          <w:sz w:val="22"/>
          <w:szCs w:val="22"/>
        </w:rPr>
      </w:pPr>
    </w:p>
    <w:p w:rsidR="00A86BD6" w:rsidRPr="00A86BD6" w:rsidRDefault="00A86BD6" w:rsidP="00A86BD6">
      <w:pPr>
        <w:jc w:val="both"/>
        <w:rPr>
          <w:rFonts w:asciiTheme="minorHAnsi" w:hAnsiTheme="minorHAnsi" w:cstheme="minorHAnsi"/>
        </w:rPr>
      </w:pPr>
      <w:r>
        <w:rPr>
          <w:rFonts w:asciiTheme="minorHAnsi" w:hAnsiTheme="minorHAnsi" w:cstheme="minorHAnsi"/>
        </w:rPr>
        <w:t>Consistency of communication and i</w:t>
      </w:r>
      <w:r w:rsidRPr="00A86BD6">
        <w:rPr>
          <w:rFonts w:asciiTheme="minorHAnsi" w:hAnsiTheme="minorHAnsi" w:cstheme="minorHAnsi"/>
        </w:rPr>
        <w:t>ntegration will be  critical factor</w:t>
      </w:r>
      <w:r>
        <w:rPr>
          <w:rFonts w:asciiTheme="minorHAnsi" w:hAnsiTheme="minorHAnsi" w:cstheme="minorHAnsi"/>
        </w:rPr>
        <w:t>s</w:t>
      </w:r>
      <w:r w:rsidRPr="00A86BD6">
        <w:rPr>
          <w:rFonts w:asciiTheme="minorHAnsi" w:hAnsiTheme="minorHAnsi" w:cstheme="minorHAnsi"/>
        </w:rPr>
        <w:t xml:space="preserve"> in ensuring success; lessons can be learned from the evolving body of knowledge relating to integrated ma</w:t>
      </w:r>
      <w:r w:rsidR="00A42D2C">
        <w:rPr>
          <w:rFonts w:asciiTheme="minorHAnsi" w:hAnsiTheme="minorHAnsi" w:cstheme="minorHAnsi"/>
        </w:rPr>
        <w:t>rketing communications (IMC) – ‘</w:t>
      </w:r>
      <w:r w:rsidRPr="00A86BD6">
        <w:rPr>
          <w:rFonts w:asciiTheme="minorHAnsi" w:hAnsiTheme="minorHAnsi" w:cstheme="minorHAnsi"/>
        </w:rPr>
        <w:t>an audience-driven business process of strategically managing stakeholders, content, channels, and results of brand communication programmes</w:t>
      </w:r>
      <w:r w:rsidR="00A42D2C">
        <w:rPr>
          <w:rFonts w:asciiTheme="minorHAnsi" w:hAnsiTheme="minorHAnsi" w:cstheme="minorHAnsi"/>
        </w:rPr>
        <w:t>’</w:t>
      </w:r>
      <w:r w:rsidRPr="00A86BD6">
        <w:rPr>
          <w:rStyle w:val="EndnoteReference"/>
          <w:rFonts w:asciiTheme="minorHAnsi" w:hAnsiTheme="minorHAnsi" w:cstheme="minorHAnsi"/>
        </w:rPr>
        <w:endnoteReference w:id="162"/>
      </w:r>
      <w:r w:rsidRPr="00A86BD6">
        <w:rPr>
          <w:rFonts w:asciiTheme="minorHAnsi" w:hAnsiTheme="minorHAnsi" w:cstheme="minorHAnsi"/>
        </w:rPr>
        <w:t>.  IMC, in addition to ensuring consistency of communication across all channels of contact with target groups, also incorporates building of positive relationships with all stakeholders to ensure buy-in and ongoing support</w:t>
      </w:r>
      <w:r w:rsidR="00834A40">
        <w:rPr>
          <w:rFonts w:asciiTheme="minorHAnsi" w:hAnsiTheme="minorHAnsi" w:cstheme="minorHAnsi"/>
        </w:rPr>
        <w:t>.</w:t>
      </w:r>
      <w:r w:rsidRPr="00A86BD6">
        <w:rPr>
          <w:rStyle w:val="EndnoteReference"/>
          <w:rFonts w:asciiTheme="minorHAnsi" w:hAnsiTheme="minorHAnsi" w:cstheme="minorHAnsi"/>
        </w:rPr>
        <w:endnoteReference w:id="163"/>
      </w:r>
      <w:r w:rsidRPr="00A86BD6">
        <w:rPr>
          <w:rFonts w:asciiTheme="minorHAnsi" w:hAnsiTheme="minorHAnsi" w:cstheme="minorHAnsi"/>
        </w:rPr>
        <w:t xml:space="preserve"> </w:t>
      </w:r>
    </w:p>
    <w:p w:rsidR="00254C30" w:rsidRDefault="00254C30" w:rsidP="00254C30">
      <w:pPr>
        <w:rPr>
          <w:rFonts w:asciiTheme="minorHAnsi" w:hAnsiTheme="minorHAnsi" w:cstheme="minorHAnsi"/>
          <w:sz w:val="22"/>
          <w:szCs w:val="22"/>
        </w:rPr>
      </w:pPr>
    </w:p>
    <w:p w:rsidR="00254C30" w:rsidRPr="00695533" w:rsidRDefault="00E2497F" w:rsidP="00695533">
      <w:pPr>
        <w:jc w:val="both"/>
        <w:rPr>
          <w:rFonts w:asciiTheme="majorHAnsi" w:eastAsiaTheme="majorEastAsia" w:hAnsiTheme="majorHAnsi" w:cstheme="majorBidi"/>
          <w:b/>
          <w:bCs/>
          <w:color w:val="4F81BD" w:themeColor="accent1"/>
        </w:rPr>
      </w:pPr>
      <w:r w:rsidRPr="00695533">
        <w:rPr>
          <w:rFonts w:asciiTheme="majorHAnsi" w:eastAsiaTheme="majorEastAsia" w:hAnsiTheme="majorHAnsi" w:cstheme="majorBidi"/>
          <w:b/>
          <w:bCs/>
          <w:color w:val="4F81BD" w:themeColor="accent1"/>
        </w:rPr>
        <w:t xml:space="preserve">7.4.2  </w:t>
      </w:r>
      <w:r w:rsidR="00254C30" w:rsidRPr="00695533">
        <w:rPr>
          <w:rFonts w:asciiTheme="majorHAnsi" w:eastAsiaTheme="majorEastAsia" w:hAnsiTheme="majorHAnsi" w:cstheme="majorBidi"/>
          <w:b/>
          <w:bCs/>
          <w:color w:val="4F81BD" w:themeColor="accent1"/>
        </w:rPr>
        <w:t>Counter-marketing</w:t>
      </w:r>
    </w:p>
    <w:p w:rsidR="00E2497F" w:rsidRPr="00E2497F" w:rsidRDefault="00E2497F" w:rsidP="00E2497F">
      <w:pPr>
        <w:pStyle w:val="ListParagraph"/>
        <w:ind w:left="0"/>
        <w:jc w:val="both"/>
        <w:rPr>
          <w:rFonts w:asciiTheme="minorHAnsi" w:hAnsiTheme="minorHAnsi"/>
        </w:rPr>
      </w:pPr>
      <w:r w:rsidRPr="00531956">
        <w:rPr>
          <w:rFonts w:asciiTheme="minorHAnsi" w:hAnsiTheme="minorHAnsi"/>
        </w:rPr>
        <w:t>‘</w:t>
      </w:r>
      <w:r w:rsidR="00911D30">
        <w:rPr>
          <w:rFonts w:asciiTheme="minorHAnsi" w:hAnsiTheme="minorHAnsi"/>
        </w:rPr>
        <w:t>C</w:t>
      </w:r>
      <w:r w:rsidRPr="00531956">
        <w:rPr>
          <w:rFonts w:asciiTheme="minorHAnsi" w:hAnsiTheme="minorHAnsi"/>
        </w:rPr>
        <w:t>ounter-marketing’ forces promot</w:t>
      </w:r>
      <w:r w:rsidR="00911D30">
        <w:rPr>
          <w:rFonts w:asciiTheme="minorHAnsi" w:hAnsiTheme="minorHAnsi"/>
        </w:rPr>
        <w:t>e</w:t>
      </w:r>
      <w:r w:rsidRPr="00531956">
        <w:rPr>
          <w:rFonts w:asciiTheme="minorHAnsi" w:hAnsiTheme="minorHAnsi"/>
        </w:rPr>
        <w:t xml:space="preserve"> behaviour</w:t>
      </w:r>
      <w:r w:rsidR="00911D30">
        <w:rPr>
          <w:rFonts w:asciiTheme="minorHAnsi" w:hAnsiTheme="minorHAnsi"/>
        </w:rPr>
        <w:t>s</w:t>
      </w:r>
      <w:r w:rsidRPr="00531956">
        <w:rPr>
          <w:rFonts w:asciiTheme="minorHAnsi" w:hAnsiTheme="minorHAnsi"/>
        </w:rPr>
        <w:t xml:space="preserve"> which directly oppose th</w:t>
      </w:r>
      <w:r w:rsidR="00911D30">
        <w:rPr>
          <w:rFonts w:asciiTheme="minorHAnsi" w:hAnsiTheme="minorHAnsi"/>
        </w:rPr>
        <w:t>ose</w:t>
      </w:r>
      <w:r w:rsidRPr="00531956">
        <w:rPr>
          <w:rFonts w:asciiTheme="minorHAnsi" w:hAnsiTheme="minorHAnsi"/>
        </w:rPr>
        <w:t xml:space="preserve"> aspired to by the behavioural change programme. The most obvious areas of public health practice where this occurs are smoking, alcohol, unhealthy foods and road safety.</w:t>
      </w:r>
      <w:r>
        <w:rPr>
          <w:rFonts w:asciiTheme="minorHAnsi" w:hAnsiTheme="minorHAnsi"/>
        </w:rPr>
        <w:t xml:space="preserve"> </w:t>
      </w:r>
      <w:r w:rsidRPr="00E2497F">
        <w:rPr>
          <w:rFonts w:asciiTheme="minorHAnsi" w:hAnsiTheme="minorHAnsi"/>
        </w:rPr>
        <w:t>The image below</w:t>
      </w:r>
      <w:r>
        <w:rPr>
          <w:rFonts w:asciiTheme="minorHAnsi" w:hAnsiTheme="minorHAnsi"/>
        </w:rPr>
        <w:t xml:space="preserve"> is an example of just one counter-marketing activity. </w:t>
      </w:r>
    </w:p>
    <w:p w:rsidR="00E2497F" w:rsidRPr="00E2497F" w:rsidRDefault="00E2497F" w:rsidP="00E2497F">
      <w:pPr>
        <w:rPr>
          <w:rFonts w:asciiTheme="minorHAnsi" w:hAnsiTheme="minorHAnsi"/>
        </w:rPr>
      </w:pPr>
    </w:p>
    <w:p w:rsidR="00254C30" w:rsidRDefault="00254C30" w:rsidP="002560EC">
      <w:pPr>
        <w:pStyle w:val="ListParagraph"/>
        <w:ind w:left="0"/>
        <w:jc w:val="both"/>
        <w:rPr>
          <w:rFonts w:asciiTheme="minorHAnsi" w:hAnsiTheme="minorHAnsi"/>
        </w:rPr>
      </w:pPr>
      <w:r w:rsidRPr="00254C30">
        <w:rPr>
          <w:rFonts w:asciiTheme="minorHAnsi" w:hAnsiTheme="minorHAnsi"/>
          <w:noProof/>
        </w:rPr>
        <w:lastRenderedPageBreak/>
        <w:drawing>
          <wp:inline distT="0" distB="0" distL="0" distR="0">
            <wp:extent cx="2400300" cy="3200498"/>
            <wp:effectExtent l="19050" t="0" r="0" b="0"/>
            <wp:docPr id="10" name="Picture 4" descr="changefor life post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for life poster.jpeg"/>
                    <pic:cNvPicPr/>
                  </pic:nvPicPr>
                  <pic:blipFill>
                    <a:blip r:embed="rId25" cstate="print"/>
                    <a:stretch>
                      <a:fillRect/>
                    </a:stretch>
                  </pic:blipFill>
                  <pic:spPr>
                    <a:xfrm>
                      <a:off x="0" y="0"/>
                      <a:ext cx="2406587" cy="3208881"/>
                    </a:xfrm>
                    <a:prstGeom prst="rect">
                      <a:avLst/>
                    </a:prstGeom>
                  </pic:spPr>
                </pic:pic>
              </a:graphicData>
            </a:graphic>
          </wp:inline>
        </w:drawing>
      </w:r>
    </w:p>
    <w:p w:rsidR="00254C30" w:rsidRDefault="00254C30" w:rsidP="002560EC">
      <w:pPr>
        <w:pStyle w:val="ListParagraph"/>
        <w:ind w:left="0"/>
        <w:jc w:val="both"/>
        <w:rPr>
          <w:rFonts w:asciiTheme="minorHAnsi" w:hAnsiTheme="minorHAnsi"/>
        </w:rPr>
      </w:pPr>
    </w:p>
    <w:p w:rsidR="00531956" w:rsidRPr="00531956" w:rsidRDefault="00531956" w:rsidP="002560EC">
      <w:pPr>
        <w:pStyle w:val="ListParagraph"/>
        <w:ind w:left="0"/>
        <w:jc w:val="both"/>
        <w:rPr>
          <w:rFonts w:asciiTheme="minorHAnsi" w:hAnsiTheme="minorHAnsi"/>
        </w:rPr>
      </w:pPr>
      <w:r w:rsidRPr="00531956">
        <w:rPr>
          <w:rFonts w:asciiTheme="minorHAnsi" w:hAnsiTheme="minorHAnsi"/>
        </w:rPr>
        <w:t>Key issues in counter-marketing are:</w:t>
      </w:r>
    </w:p>
    <w:p w:rsidR="00531956" w:rsidRPr="00531956" w:rsidRDefault="00531956" w:rsidP="002560EC">
      <w:pPr>
        <w:pStyle w:val="ListParagraph"/>
        <w:numPr>
          <w:ilvl w:val="0"/>
          <w:numId w:val="29"/>
        </w:numPr>
        <w:ind w:left="0" w:firstLine="0"/>
        <w:contextualSpacing w:val="0"/>
        <w:jc w:val="both"/>
        <w:rPr>
          <w:rFonts w:asciiTheme="minorHAnsi" w:hAnsiTheme="minorHAnsi"/>
        </w:rPr>
      </w:pPr>
      <w:r w:rsidRPr="00531956">
        <w:rPr>
          <w:rFonts w:asciiTheme="minorHAnsi" w:hAnsiTheme="minorHAnsi"/>
        </w:rPr>
        <w:t>The competition in marketing from commercial companies.</w:t>
      </w:r>
    </w:p>
    <w:p w:rsidR="00531956" w:rsidRPr="00531956" w:rsidRDefault="00531956" w:rsidP="001E4442">
      <w:pPr>
        <w:pStyle w:val="ListParagraph"/>
        <w:numPr>
          <w:ilvl w:val="0"/>
          <w:numId w:val="29"/>
        </w:numPr>
        <w:ind w:left="709" w:hanging="709"/>
        <w:contextualSpacing w:val="0"/>
        <w:jc w:val="both"/>
        <w:rPr>
          <w:rFonts w:asciiTheme="minorHAnsi" w:hAnsiTheme="minorHAnsi"/>
        </w:rPr>
      </w:pPr>
      <w:r w:rsidRPr="00531956">
        <w:rPr>
          <w:rFonts w:asciiTheme="minorHAnsi" w:hAnsiTheme="minorHAnsi"/>
        </w:rPr>
        <w:t>The massive discrepancy in budgets between those used by the commercial companies for their marketing campaigns and the speed of change of tactic for example in the use of social media</w:t>
      </w:r>
      <w:r w:rsidR="0062054F">
        <w:rPr>
          <w:rFonts w:asciiTheme="minorHAnsi" w:hAnsiTheme="minorHAnsi"/>
        </w:rPr>
        <w:t>.</w:t>
      </w:r>
      <w:r w:rsidR="00AE45CB">
        <w:rPr>
          <w:rStyle w:val="EndnoteReference"/>
          <w:rFonts w:asciiTheme="minorHAnsi" w:hAnsiTheme="minorHAnsi"/>
        </w:rPr>
        <w:endnoteReference w:id="164"/>
      </w:r>
    </w:p>
    <w:p w:rsidR="006A2519" w:rsidRDefault="00531956">
      <w:pPr>
        <w:pStyle w:val="ListParagraph"/>
        <w:numPr>
          <w:ilvl w:val="0"/>
          <w:numId w:val="29"/>
        </w:numPr>
        <w:ind w:left="709" w:hanging="709"/>
        <w:contextualSpacing w:val="0"/>
        <w:jc w:val="both"/>
        <w:rPr>
          <w:rFonts w:asciiTheme="minorHAnsi" w:hAnsiTheme="minorHAnsi"/>
        </w:rPr>
      </w:pPr>
      <w:r w:rsidRPr="00531956">
        <w:rPr>
          <w:rFonts w:asciiTheme="minorHAnsi" w:hAnsiTheme="minorHAnsi"/>
        </w:rPr>
        <w:t>Government ambivalence about restricting or legislating for the marketing of some products.</w:t>
      </w:r>
    </w:p>
    <w:p w:rsidR="00531956" w:rsidRPr="00531956" w:rsidRDefault="00531956" w:rsidP="001E4442">
      <w:pPr>
        <w:pStyle w:val="ListParagraph"/>
        <w:numPr>
          <w:ilvl w:val="0"/>
          <w:numId w:val="29"/>
        </w:numPr>
        <w:ind w:left="709" w:hanging="709"/>
        <w:contextualSpacing w:val="0"/>
        <w:jc w:val="both"/>
        <w:rPr>
          <w:rFonts w:asciiTheme="minorHAnsi" w:hAnsiTheme="minorHAnsi"/>
        </w:rPr>
      </w:pPr>
      <w:r w:rsidRPr="00531956">
        <w:rPr>
          <w:rFonts w:asciiTheme="minorHAnsi" w:hAnsiTheme="minorHAnsi"/>
        </w:rPr>
        <w:t xml:space="preserve">Different and </w:t>
      </w:r>
      <w:r w:rsidR="00E2497F">
        <w:rPr>
          <w:rFonts w:asciiTheme="minorHAnsi" w:hAnsiTheme="minorHAnsi"/>
        </w:rPr>
        <w:t>misleading</w:t>
      </w:r>
      <w:r w:rsidRPr="00531956">
        <w:rPr>
          <w:rFonts w:asciiTheme="minorHAnsi" w:hAnsiTheme="minorHAnsi"/>
        </w:rPr>
        <w:t xml:space="preserve"> approaches e.g. the development of a focus on branding to develop positive emotional and psychological associations in the consumer mind</w:t>
      </w:r>
      <w:r w:rsidR="002560EC">
        <w:rPr>
          <w:rStyle w:val="EndnoteReference"/>
          <w:rFonts w:asciiTheme="minorHAnsi" w:hAnsiTheme="minorHAnsi"/>
        </w:rPr>
        <w:endnoteReference w:id="165"/>
      </w:r>
      <w:r w:rsidRPr="00531956">
        <w:rPr>
          <w:rFonts w:asciiTheme="minorHAnsi" w:hAnsiTheme="minorHAnsi"/>
        </w:rPr>
        <w:t xml:space="preserve">, which is difficult to achieve in social marketing. </w:t>
      </w:r>
    </w:p>
    <w:p w:rsidR="006A2519" w:rsidRDefault="00531956">
      <w:pPr>
        <w:pStyle w:val="ListParagraph"/>
        <w:numPr>
          <w:ilvl w:val="0"/>
          <w:numId w:val="29"/>
        </w:numPr>
        <w:ind w:left="709" w:hanging="709"/>
        <w:contextualSpacing w:val="0"/>
        <w:jc w:val="both"/>
        <w:rPr>
          <w:rFonts w:asciiTheme="minorHAnsi" w:hAnsiTheme="minorHAnsi"/>
        </w:rPr>
      </w:pPr>
      <w:r w:rsidRPr="00531956">
        <w:rPr>
          <w:rFonts w:asciiTheme="minorHAnsi" w:hAnsiTheme="minorHAnsi"/>
        </w:rPr>
        <w:t xml:space="preserve">The ambivalence of or direct avoidance of commercial companies on consideration of ethical and moral problems associated with marketing products.  They prefer to see </w:t>
      </w:r>
      <w:r w:rsidR="00E2497F">
        <w:rPr>
          <w:rFonts w:asciiTheme="minorHAnsi" w:hAnsiTheme="minorHAnsi"/>
        </w:rPr>
        <w:t>marketing</w:t>
      </w:r>
      <w:r w:rsidRPr="00531956">
        <w:rPr>
          <w:rFonts w:asciiTheme="minorHAnsi" w:hAnsiTheme="minorHAnsi"/>
        </w:rPr>
        <w:t xml:space="preserve"> as morally neutral</w:t>
      </w:r>
      <w:r w:rsidR="0062054F">
        <w:rPr>
          <w:rFonts w:asciiTheme="minorHAnsi" w:hAnsiTheme="minorHAnsi"/>
        </w:rPr>
        <w:t>.</w:t>
      </w:r>
      <w:r w:rsidR="00B52F86">
        <w:rPr>
          <w:rStyle w:val="EndnoteReference"/>
          <w:rFonts w:asciiTheme="minorHAnsi" w:hAnsiTheme="minorHAnsi"/>
        </w:rPr>
        <w:endnoteReference w:id="166"/>
      </w:r>
      <w:r w:rsidRPr="00531956">
        <w:rPr>
          <w:rFonts w:asciiTheme="minorHAnsi" w:hAnsiTheme="minorHAnsi"/>
        </w:rPr>
        <w:t xml:space="preserve"> In contrast, social marketing </w:t>
      </w:r>
      <w:r w:rsidR="00386A4A">
        <w:rPr>
          <w:rFonts w:asciiTheme="minorHAnsi" w:hAnsiTheme="minorHAnsi"/>
        </w:rPr>
        <w:t xml:space="preserve">must always </w:t>
      </w:r>
      <w:r w:rsidRPr="00531956">
        <w:rPr>
          <w:rFonts w:asciiTheme="minorHAnsi" w:hAnsiTheme="minorHAnsi"/>
        </w:rPr>
        <w:t xml:space="preserve">consider </w:t>
      </w:r>
      <w:r w:rsidR="00386A4A">
        <w:rPr>
          <w:rFonts w:asciiTheme="minorHAnsi" w:hAnsiTheme="minorHAnsi"/>
        </w:rPr>
        <w:t xml:space="preserve">the ethical dimensions of changing </w:t>
      </w:r>
      <w:r w:rsidRPr="00531956">
        <w:rPr>
          <w:rFonts w:asciiTheme="minorHAnsi" w:hAnsiTheme="minorHAnsi"/>
        </w:rPr>
        <w:t>individual behaviour</w:t>
      </w:r>
      <w:r w:rsidR="00695533">
        <w:rPr>
          <w:rFonts w:asciiTheme="minorHAnsi" w:hAnsiTheme="minorHAnsi"/>
        </w:rPr>
        <w:t>.</w:t>
      </w:r>
    </w:p>
    <w:p w:rsidR="00695533" w:rsidRDefault="00695533" w:rsidP="00695533">
      <w:pPr>
        <w:pStyle w:val="ListParagraph"/>
        <w:ind w:left="709"/>
        <w:contextualSpacing w:val="0"/>
        <w:jc w:val="both"/>
        <w:rPr>
          <w:rFonts w:asciiTheme="minorHAnsi" w:hAnsiTheme="minorHAnsi"/>
        </w:rPr>
      </w:pPr>
    </w:p>
    <w:p w:rsidR="00531956" w:rsidRPr="00695533" w:rsidRDefault="00E2497F" w:rsidP="00695533">
      <w:pPr>
        <w:jc w:val="both"/>
        <w:rPr>
          <w:rFonts w:asciiTheme="majorHAnsi" w:eastAsiaTheme="majorEastAsia" w:hAnsiTheme="majorHAnsi" w:cstheme="majorBidi"/>
          <w:b/>
          <w:bCs/>
          <w:color w:val="4F81BD" w:themeColor="accent1"/>
        </w:rPr>
      </w:pPr>
      <w:r w:rsidRPr="00695533">
        <w:rPr>
          <w:rFonts w:asciiTheme="majorHAnsi" w:eastAsiaTheme="majorEastAsia" w:hAnsiTheme="majorHAnsi" w:cstheme="majorBidi"/>
          <w:b/>
          <w:bCs/>
          <w:color w:val="4F81BD" w:themeColor="accent1"/>
        </w:rPr>
        <w:t xml:space="preserve">7.4.3. </w:t>
      </w:r>
      <w:r w:rsidR="00531956" w:rsidRPr="00695533">
        <w:rPr>
          <w:rFonts w:asciiTheme="majorHAnsi" w:eastAsiaTheme="majorEastAsia" w:hAnsiTheme="majorHAnsi" w:cstheme="majorBidi"/>
          <w:b/>
          <w:bCs/>
          <w:color w:val="4F81BD" w:themeColor="accent1"/>
        </w:rPr>
        <w:t xml:space="preserve">Social </w:t>
      </w:r>
      <w:r w:rsidR="00695533">
        <w:rPr>
          <w:rFonts w:asciiTheme="majorHAnsi" w:eastAsiaTheme="majorEastAsia" w:hAnsiTheme="majorHAnsi" w:cstheme="majorBidi"/>
          <w:b/>
          <w:bCs/>
          <w:color w:val="4F81BD" w:themeColor="accent1"/>
        </w:rPr>
        <w:t>d</w:t>
      </w:r>
      <w:r w:rsidR="00531956" w:rsidRPr="00695533">
        <w:rPr>
          <w:rFonts w:asciiTheme="majorHAnsi" w:eastAsiaTheme="majorEastAsia" w:hAnsiTheme="majorHAnsi" w:cstheme="majorBidi"/>
          <w:b/>
          <w:bCs/>
          <w:color w:val="4F81BD" w:themeColor="accent1"/>
        </w:rPr>
        <w:t>iscouragement</w:t>
      </w:r>
    </w:p>
    <w:p w:rsidR="00531956" w:rsidRPr="00531956" w:rsidRDefault="00531956" w:rsidP="00531956">
      <w:pPr>
        <w:pStyle w:val="ListParagraph"/>
        <w:ind w:left="0"/>
        <w:jc w:val="both"/>
        <w:rPr>
          <w:rFonts w:asciiTheme="minorHAnsi" w:hAnsiTheme="minorHAnsi"/>
        </w:rPr>
      </w:pPr>
      <w:r w:rsidRPr="00531956">
        <w:rPr>
          <w:rFonts w:asciiTheme="minorHAnsi" w:hAnsiTheme="minorHAnsi"/>
        </w:rPr>
        <w:t>This describes prevailing social values</w:t>
      </w:r>
      <w:r w:rsidR="00386A4A">
        <w:rPr>
          <w:rFonts w:asciiTheme="minorHAnsi" w:hAnsiTheme="minorHAnsi"/>
        </w:rPr>
        <w:t>,</w:t>
      </w:r>
      <w:r w:rsidRPr="00531956">
        <w:rPr>
          <w:rFonts w:asciiTheme="minorHAnsi" w:hAnsiTheme="minorHAnsi"/>
        </w:rPr>
        <w:t xml:space="preserve"> peer pressure</w:t>
      </w:r>
      <w:r w:rsidR="00386A4A">
        <w:rPr>
          <w:rFonts w:asciiTheme="minorHAnsi" w:hAnsiTheme="minorHAnsi"/>
        </w:rPr>
        <w:t>, and</w:t>
      </w:r>
      <w:r w:rsidRPr="00531956">
        <w:rPr>
          <w:rFonts w:asciiTheme="minorHAnsi" w:hAnsiTheme="minorHAnsi"/>
        </w:rPr>
        <w:t xml:space="preserve"> contrary views from significant others which contradict the message </w:t>
      </w:r>
      <w:r w:rsidR="00386A4A">
        <w:rPr>
          <w:rFonts w:asciiTheme="minorHAnsi" w:hAnsiTheme="minorHAnsi"/>
        </w:rPr>
        <w:t xml:space="preserve">communicated by </w:t>
      </w:r>
      <w:r w:rsidRPr="00531956">
        <w:rPr>
          <w:rFonts w:asciiTheme="minorHAnsi" w:hAnsiTheme="minorHAnsi"/>
        </w:rPr>
        <w:t>the behaviour change programme.</w:t>
      </w:r>
      <w:r w:rsidR="002560EC">
        <w:rPr>
          <w:rFonts w:asciiTheme="minorHAnsi" w:hAnsiTheme="minorHAnsi"/>
        </w:rPr>
        <w:t xml:space="preserve"> </w:t>
      </w:r>
      <w:r w:rsidRPr="00531956">
        <w:rPr>
          <w:rFonts w:asciiTheme="minorHAnsi" w:hAnsiTheme="minorHAnsi"/>
        </w:rPr>
        <w:t>A controversial example of this is the abortion debate in which different sectors of society hold opposing views and values and work towards opposing social goals</w:t>
      </w:r>
      <w:r w:rsidR="0062054F">
        <w:rPr>
          <w:rFonts w:asciiTheme="minorHAnsi" w:hAnsiTheme="minorHAnsi"/>
        </w:rPr>
        <w:t>.</w:t>
      </w:r>
      <w:r w:rsidR="002560EC">
        <w:rPr>
          <w:rStyle w:val="EndnoteReference"/>
          <w:rFonts w:asciiTheme="minorHAnsi" w:hAnsiTheme="minorHAnsi"/>
        </w:rPr>
        <w:endnoteReference w:id="167"/>
      </w:r>
      <w:r w:rsidR="002560EC">
        <w:rPr>
          <w:rFonts w:asciiTheme="minorHAnsi" w:hAnsiTheme="minorHAnsi"/>
        </w:rPr>
        <w:t xml:space="preserve"> </w:t>
      </w:r>
      <w:r w:rsidRPr="00531956">
        <w:rPr>
          <w:rFonts w:asciiTheme="minorHAnsi" w:hAnsiTheme="minorHAnsi"/>
        </w:rPr>
        <w:t xml:space="preserve">In other cases social discouragement is associated with enduring rights or confused science such as that related to sun exposure, vitamin D and </w:t>
      </w:r>
      <w:r w:rsidR="00ED4F0A">
        <w:rPr>
          <w:rFonts w:asciiTheme="minorHAnsi" w:hAnsiTheme="minorHAnsi"/>
        </w:rPr>
        <w:t xml:space="preserve">the risk of </w:t>
      </w:r>
      <w:r w:rsidRPr="00531956">
        <w:rPr>
          <w:rFonts w:asciiTheme="minorHAnsi" w:hAnsiTheme="minorHAnsi"/>
        </w:rPr>
        <w:t>cancer</w:t>
      </w:r>
      <w:r w:rsidR="0062054F">
        <w:rPr>
          <w:rFonts w:asciiTheme="minorHAnsi" w:hAnsiTheme="minorHAnsi"/>
        </w:rPr>
        <w:t>.</w:t>
      </w:r>
      <w:r w:rsidR="00CF2345">
        <w:rPr>
          <w:rStyle w:val="EndnoteReference"/>
          <w:rFonts w:asciiTheme="minorHAnsi" w:hAnsiTheme="minorHAnsi"/>
        </w:rPr>
        <w:endnoteReference w:id="168"/>
      </w:r>
    </w:p>
    <w:p w:rsidR="00531956" w:rsidRDefault="00531956" w:rsidP="00531956">
      <w:pPr>
        <w:pStyle w:val="ListParagraph"/>
        <w:ind w:left="0"/>
        <w:jc w:val="both"/>
        <w:rPr>
          <w:rFonts w:asciiTheme="minorHAnsi" w:hAnsiTheme="minorHAnsi"/>
        </w:rPr>
      </w:pPr>
    </w:p>
    <w:p w:rsidR="00E2497F" w:rsidRPr="00BE0F24" w:rsidRDefault="00E2497F" w:rsidP="00BE0F24">
      <w:pPr>
        <w:jc w:val="both"/>
        <w:rPr>
          <w:rFonts w:asciiTheme="minorHAnsi" w:hAnsiTheme="minorHAnsi"/>
        </w:rPr>
      </w:pPr>
      <w:r w:rsidRPr="00BE0F24">
        <w:rPr>
          <w:rFonts w:asciiTheme="minorHAnsi" w:hAnsiTheme="minorHAnsi"/>
          <w:lang w:val="en-US"/>
        </w:rPr>
        <w:t xml:space="preserve">Confusing and contradictory messages are often apparent: </w:t>
      </w:r>
      <w:r w:rsidR="00A42D2C">
        <w:rPr>
          <w:rFonts w:asciiTheme="minorHAnsi" w:hAnsiTheme="minorHAnsi"/>
          <w:lang w:val="en-US"/>
        </w:rPr>
        <w:t>‘</w:t>
      </w:r>
      <w:r w:rsidRPr="00BE0F24">
        <w:rPr>
          <w:rFonts w:asciiTheme="minorHAnsi" w:hAnsiTheme="minorHAnsi"/>
        </w:rPr>
        <w:t>news values can conflict with science, media and public health agendas</w:t>
      </w:r>
      <w:r w:rsidR="00A42D2C">
        <w:rPr>
          <w:rFonts w:asciiTheme="minorHAnsi" w:hAnsiTheme="minorHAnsi"/>
        </w:rPr>
        <w:t>’</w:t>
      </w:r>
      <w:r w:rsidRPr="00BE0F24">
        <w:rPr>
          <w:rStyle w:val="EndnoteReference"/>
          <w:rFonts w:asciiTheme="minorHAnsi" w:hAnsiTheme="minorHAnsi"/>
        </w:rPr>
        <w:endnoteReference w:id="169"/>
      </w:r>
      <w:r w:rsidRPr="00BE0F24">
        <w:rPr>
          <w:rFonts w:asciiTheme="minorHAnsi" w:hAnsiTheme="minorHAnsi"/>
          <w:vertAlign w:val="superscript"/>
        </w:rPr>
        <w:t xml:space="preserve">, p.50 </w:t>
      </w:r>
      <w:r w:rsidRPr="00BE0F24">
        <w:rPr>
          <w:rFonts w:asciiTheme="minorHAnsi" w:hAnsiTheme="minorHAnsi"/>
        </w:rPr>
        <w:t xml:space="preserve">and the information presented by mass media outlets is criticised for its lack of accuracy and tendency to ‘hype’ </w:t>
      </w:r>
      <w:r w:rsidRPr="00BE0F24">
        <w:rPr>
          <w:rFonts w:asciiTheme="minorHAnsi" w:hAnsiTheme="minorHAnsi"/>
        </w:rPr>
        <w:lastRenderedPageBreak/>
        <w:t>reports</w:t>
      </w:r>
      <w:r w:rsidR="0062054F">
        <w:rPr>
          <w:rFonts w:asciiTheme="minorHAnsi" w:hAnsiTheme="minorHAnsi"/>
        </w:rPr>
        <w:t>.</w:t>
      </w:r>
      <w:r w:rsidRPr="00BE0F24">
        <w:rPr>
          <w:rStyle w:val="EndnoteReference"/>
          <w:rFonts w:asciiTheme="minorHAnsi" w:hAnsiTheme="minorHAnsi"/>
        </w:rPr>
        <w:endnoteReference w:id="170"/>
      </w:r>
      <w:r w:rsidRPr="00BE0F24">
        <w:rPr>
          <w:rFonts w:asciiTheme="minorHAnsi" w:hAnsiTheme="minorHAnsi"/>
        </w:rPr>
        <w:t xml:space="preserve"> An example of this is the recent criticism of the 5aDay programme in consumer media as outlined briefly below.</w:t>
      </w:r>
    </w:p>
    <w:p w:rsidR="00E2497F" w:rsidRPr="00BE0F24" w:rsidRDefault="00E2497F" w:rsidP="00BE0F24">
      <w:pPr>
        <w:jc w:val="both"/>
        <w:rPr>
          <w:rFonts w:asciiTheme="minorHAnsi" w:hAnsiTheme="minorHAnsi"/>
          <w:sz w:val="20"/>
          <w:szCs w:val="20"/>
        </w:rPr>
      </w:pPr>
    </w:p>
    <w:p w:rsidR="00E2497F" w:rsidRDefault="00E2497F" w:rsidP="00E2497F">
      <w:pPr>
        <w:pBdr>
          <w:top w:val="single" w:sz="4" w:space="1" w:color="auto"/>
          <w:left w:val="single" w:sz="4" w:space="4" w:color="auto"/>
          <w:bottom w:val="single" w:sz="4" w:space="1" w:color="auto"/>
          <w:right w:val="single" w:sz="4" w:space="4" w:color="auto"/>
        </w:pBdr>
        <w:shd w:val="clear" w:color="auto" w:fill="CCFFFF"/>
        <w:jc w:val="center"/>
        <w:rPr>
          <w:rFonts w:asciiTheme="minorHAnsi" w:hAnsiTheme="minorHAnsi"/>
          <w:b/>
          <w:sz w:val="20"/>
          <w:szCs w:val="20"/>
        </w:rPr>
      </w:pPr>
    </w:p>
    <w:p w:rsidR="00E2497F" w:rsidRPr="007868B9" w:rsidRDefault="00E2497F" w:rsidP="00E2497F">
      <w:pPr>
        <w:pBdr>
          <w:top w:val="single" w:sz="4" w:space="1" w:color="auto"/>
          <w:left w:val="single" w:sz="4" w:space="4" w:color="auto"/>
          <w:bottom w:val="single" w:sz="4" w:space="1" w:color="auto"/>
          <w:right w:val="single" w:sz="4" w:space="4" w:color="auto"/>
        </w:pBdr>
        <w:shd w:val="clear" w:color="auto" w:fill="CCFFFF"/>
        <w:jc w:val="center"/>
        <w:rPr>
          <w:rFonts w:asciiTheme="minorHAnsi" w:hAnsiTheme="minorHAnsi"/>
          <w:b/>
        </w:rPr>
      </w:pPr>
      <w:r w:rsidRPr="007868B9">
        <w:rPr>
          <w:rFonts w:asciiTheme="minorHAnsi" w:hAnsiTheme="minorHAnsi"/>
          <w:b/>
        </w:rPr>
        <w:t>Example of Media Coverage Opening Criticising Official Advice</w:t>
      </w:r>
    </w:p>
    <w:p w:rsidR="00E2497F" w:rsidRPr="007868B9" w:rsidRDefault="00E2497F" w:rsidP="00E2497F">
      <w:pPr>
        <w:pBdr>
          <w:top w:val="single" w:sz="4" w:space="1" w:color="auto"/>
          <w:left w:val="single" w:sz="4" w:space="4" w:color="auto"/>
          <w:bottom w:val="single" w:sz="4" w:space="1" w:color="auto"/>
          <w:right w:val="single" w:sz="4" w:space="4" w:color="auto"/>
        </w:pBdr>
        <w:shd w:val="clear" w:color="auto" w:fill="CCFFFF"/>
        <w:jc w:val="center"/>
        <w:rPr>
          <w:rFonts w:asciiTheme="minorHAnsi" w:hAnsiTheme="minorHAnsi"/>
          <w:b/>
        </w:rPr>
      </w:pPr>
    </w:p>
    <w:p w:rsidR="00E2497F" w:rsidRPr="007868B9" w:rsidRDefault="00E2497F" w:rsidP="00E2497F">
      <w:pPr>
        <w:pBdr>
          <w:top w:val="single" w:sz="4" w:space="1" w:color="auto"/>
          <w:left w:val="single" w:sz="4" w:space="4" w:color="auto"/>
          <w:bottom w:val="single" w:sz="4" w:space="1" w:color="auto"/>
          <w:right w:val="single" w:sz="4" w:space="4" w:color="auto"/>
        </w:pBdr>
        <w:shd w:val="clear" w:color="auto" w:fill="CCFFFF"/>
        <w:rPr>
          <w:rFonts w:asciiTheme="minorHAnsi" w:hAnsiTheme="minorHAnsi"/>
        </w:rPr>
      </w:pPr>
      <w:r w:rsidRPr="007868B9">
        <w:rPr>
          <w:rFonts w:asciiTheme="minorHAnsi" w:hAnsiTheme="minorHAnsi"/>
        </w:rPr>
        <w:t>Two recent media articles state that the recommendation of consuming five portions of fruit / vegetables a day is not only ineffective for health and nutrition, but that experts have known this and concealed evidence.</w:t>
      </w:r>
    </w:p>
    <w:p w:rsidR="00E2497F" w:rsidRPr="007868B9" w:rsidRDefault="00E2497F" w:rsidP="00E2497F">
      <w:pPr>
        <w:pBdr>
          <w:top w:val="single" w:sz="4" w:space="1" w:color="auto"/>
          <w:left w:val="single" w:sz="4" w:space="4" w:color="auto"/>
          <w:bottom w:val="single" w:sz="4" w:space="1" w:color="auto"/>
          <w:right w:val="single" w:sz="4" w:space="4" w:color="auto"/>
        </w:pBdr>
        <w:shd w:val="clear" w:color="auto" w:fill="CCFFFF"/>
        <w:rPr>
          <w:rFonts w:asciiTheme="minorHAnsi" w:hAnsiTheme="minorHAnsi"/>
        </w:rPr>
      </w:pPr>
    </w:p>
    <w:p w:rsidR="00E2497F" w:rsidRPr="007868B9" w:rsidRDefault="00E2497F" w:rsidP="00E2497F">
      <w:pPr>
        <w:pBdr>
          <w:top w:val="single" w:sz="4" w:space="1" w:color="auto"/>
          <w:left w:val="single" w:sz="4" w:space="4" w:color="auto"/>
          <w:bottom w:val="single" w:sz="4" w:space="1" w:color="auto"/>
          <w:right w:val="single" w:sz="4" w:space="4" w:color="auto"/>
        </w:pBdr>
        <w:shd w:val="clear" w:color="auto" w:fill="CCFFFF"/>
        <w:rPr>
          <w:rFonts w:asciiTheme="minorHAnsi" w:hAnsiTheme="minorHAnsi"/>
        </w:rPr>
      </w:pPr>
      <w:r w:rsidRPr="007868B9">
        <w:rPr>
          <w:rFonts w:asciiTheme="minorHAnsi" w:hAnsiTheme="minorHAnsi"/>
        </w:rPr>
        <w:t>For examples of media coverage of this issue, see:</w:t>
      </w:r>
    </w:p>
    <w:p w:rsidR="007736E4" w:rsidRDefault="00E2497F" w:rsidP="007736E4">
      <w:pPr>
        <w:pBdr>
          <w:top w:val="single" w:sz="4" w:space="1" w:color="auto"/>
          <w:left w:val="single" w:sz="4" w:space="4" w:color="auto"/>
          <w:bottom w:val="single" w:sz="4" w:space="1" w:color="auto"/>
          <w:right w:val="single" w:sz="4" w:space="4" w:color="auto"/>
        </w:pBdr>
        <w:shd w:val="clear" w:color="auto" w:fill="CCFFFF"/>
        <w:rPr>
          <w:rFonts w:asciiTheme="minorHAnsi" w:hAnsiTheme="minorHAnsi"/>
          <w:color w:val="000000"/>
        </w:rPr>
      </w:pPr>
      <w:r w:rsidRPr="007868B9">
        <w:rPr>
          <w:rFonts w:asciiTheme="minorHAnsi" w:hAnsiTheme="minorHAnsi"/>
        </w:rPr>
        <w:t xml:space="preserve">Daily Mail This cynical five-a-day myth: Nutrition expert claims we've all been duped  By </w:t>
      </w:r>
      <w:hyperlink r:id="rId26" w:history="1">
        <w:r w:rsidRPr="007868B9">
          <w:rPr>
            <w:rStyle w:val="Hyperlink"/>
            <w:rFonts w:asciiTheme="minorHAnsi" w:hAnsiTheme="minorHAnsi"/>
            <w:color w:val="auto"/>
          </w:rPr>
          <w:t>Zoe Harcombe</w:t>
        </w:r>
      </w:hyperlink>
      <w:r w:rsidRPr="007868B9">
        <w:rPr>
          <w:rFonts w:asciiTheme="minorHAnsi" w:hAnsiTheme="minorHAnsi"/>
          <w:color w:val="000000"/>
        </w:rPr>
        <w:t xml:space="preserve"> </w:t>
      </w:r>
      <w:hyperlink r:id="rId27" w:history="1">
        <w:r w:rsidRPr="007868B9">
          <w:rPr>
            <w:rStyle w:val="Hyperlink"/>
            <w:rFonts w:asciiTheme="minorHAnsi" w:hAnsiTheme="minorHAnsi"/>
          </w:rPr>
          <w:t>http://www.dailymail.co.uk/femail/food/article-1349960/5-day-fruit-vegetables-myth-claims-nutrition-expert.html?ito=feeds-newsxml</w:t>
        </w:r>
      </w:hyperlink>
      <w:r w:rsidRPr="007868B9">
        <w:rPr>
          <w:rFonts w:asciiTheme="minorHAnsi" w:hAnsiTheme="minorHAnsi"/>
          <w:color w:val="000000"/>
        </w:rPr>
        <w:t xml:space="preserve"> </w:t>
      </w:r>
    </w:p>
    <w:p w:rsidR="007736E4" w:rsidRDefault="007736E4" w:rsidP="007736E4">
      <w:pPr>
        <w:pBdr>
          <w:top w:val="single" w:sz="4" w:space="1" w:color="auto"/>
          <w:left w:val="single" w:sz="4" w:space="4" w:color="auto"/>
          <w:bottom w:val="single" w:sz="4" w:space="1" w:color="auto"/>
          <w:right w:val="single" w:sz="4" w:space="4" w:color="auto"/>
        </w:pBdr>
        <w:shd w:val="clear" w:color="auto" w:fill="CCFFFF"/>
        <w:rPr>
          <w:rFonts w:asciiTheme="minorHAnsi" w:hAnsiTheme="minorHAnsi"/>
          <w:color w:val="000000"/>
        </w:rPr>
      </w:pPr>
    </w:p>
    <w:p w:rsidR="00E2497F" w:rsidRPr="00002AC0" w:rsidRDefault="00883E4D" w:rsidP="007736E4">
      <w:pPr>
        <w:pBdr>
          <w:top w:val="single" w:sz="4" w:space="1" w:color="auto"/>
          <w:left w:val="single" w:sz="4" w:space="4" w:color="auto"/>
          <w:bottom w:val="single" w:sz="4" w:space="1" w:color="auto"/>
          <w:right w:val="single" w:sz="4" w:space="4" w:color="auto"/>
        </w:pBdr>
        <w:shd w:val="clear" w:color="auto" w:fill="CCFFFF"/>
        <w:rPr>
          <w:rFonts w:asciiTheme="minorHAnsi" w:hAnsiTheme="minorHAnsi"/>
        </w:rPr>
      </w:pPr>
      <w:r w:rsidRPr="00883E4D">
        <w:rPr>
          <w:rFonts w:asciiTheme="minorHAnsi" w:hAnsiTheme="minorHAnsi"/>
        </w:rPr>
        <w:t>5-a-Day ‘Not Enough’ Fruits and Vegetables</w:t>
      </w:r>
    </w:p>
    <w:p w:rsidR="00E2497F" w:rsidRPr="00F3562E" w:rsidRDefault="00E2497F" w:rsidP="00E2497F">
      <w:pPr>
        <w:pBdr>
          <w:top w:val="single" w:sz="4" w:space="1" w:color="auto"/>
          <w:left w:val="single" w:sz="4" w:space="4" w:color="auto"/>
          <w:bottom w:val="single" w:sz="4" w:space="1" w:color="auto"/>
          <w:right w:val="single" w:sz="4" w:space="4" w:color="auto"/>
        </w:pBdr>
        <w:shd w:val="clear" w:color="auto" w:fill="CCFFFF"/>
        <w:spacing w:line="240" w:lineRule="atLeast"/>
        <w:rPr>
          <w:rFonts w:asciiTheme="minorHAnsi" w:hAnsiTheme="minorHAnsi" w:cstheme="minorHAnsi"/>
          <w:sz w:val="22"/>
          <w:szCs w:val="22"/>
        </w:rPr>
      </w:pPr>
      <w:r w:rsidRPr="007868B9">
        <w:rPr>
          <w:rFonts w:asciiTheme="minorHAnsi" w:hAnsiTheme="minorHAnsi" w:cs="Arial"/>
          <w:bCs/>
        </w:rPr>
        <w:t>New Research Finds 8-a-Day May Be Needed to Cut the Risk of Dying From Heart Disease</w:t>
      </w:r>
      <w:r w:rsidRPr="007868B9">
        <w:rPr>
          <w:rFonts w:asciiTheme="minorHAnsi" w:hAnsiTheme="minorHAnsi" w:cs="Arial"/>
        </w:rPr>
        <w:t xml:space="preserve">By </w:t>
      </w:r>
      <w:hyperlink r:id="rId28" w:history="1">
        <w:r w:rsidRPr="007868B9">
          <w:rPr>
            <w:rStyle w:val="Hyperlink"/>
            <w:rFonts w:asciiTheme="minorHAnsi" w:hAnsiTheme="minorHAnsi" w:cs="Arial"/>
            <w:color w:val="auto"/>
          </w:rPr>
          <w:t>Tim Locke</w:t>
        </w:r>
      </w:hyperlink>
      <w:r w:rsidRPr="007868B9">
        <w:rPr>
          <w:rFonts w:asciiTheme="minorHAnsi" w:hAnsiTheme="minorHAnsi" w:cs="Arial"/>
        </w:rPr>
        <w:t xml:space="preserve"> WebMD Health News </w:t>
      </w:r>
      <w:hyperlink r:id="rId29" w:history="1">
        <w:r w:rsidRPr="007868B9">
          <w:rPr>
            <w:rStyle w:val="Hyperlink"/>
            <w:rFonts w:asciiTheme="minorHAnsi" w:hAnsiTheme="minorHAnsi" w:cs="Arial"/>
          </w:rPr>
          <w:t>http://www.webmd.com/heart-disease/news/20110118/5-a-day-not-enough-fruits-vegetables</w:t>
        </w:r>
      </w:hyperlink>
      <w:r w:rsidRPr="007868B9">
        <w:rPr>
          <w:rFonts w:asciiTheme="minorHAnsi" w:hAnsiTheme="minorHAnsi" w:cs="Arial"/>
        </w:rPr>
        <w:t xml:space="preserve"> </w:t>
      </w:r>
      <w:r>
        <w:rPr>
          <w:color w:val="000000"/>
        </w:rPr>
        <w:br/>
      </w:r>
    </w:p>
    <w:p w:rsidR="00E2497F" w:rsidRDefault="00E2497F" w:rsidP="00E2497F">
      <w:pPr>
        <w:rPr>
          <w:rFonts w:asciiTheme="minorHAnsi" w:hAnsiTheme="minorHAnsi" w:cstheme="minorHAnsi"/>
          <w:sz w:val="22"/>
          <w:szCs w:val="22"/>
        </w:rPr>
      </w:pPr>
    </w:p>
    <w:p w:rsidR="00CE72FA" w:rsidRDefault="00CE72FA">
      <w:pPr>
        <w:rPr>
          <w:rFonts w:asciiTheme="majorHAnsi" w:eastAsiaTheme="majorEastAsia" w:hAnsiTheme="majorHAnsi" w:cstheme="majorBidi"/>
          <w:color w:val="243F60" w:themeColor="accent1" w:themeShade="7F"/>
        </w:rPr>
      </w:pPr>
      <w:r>
        <w:br w:type="page"/>
      </w:r>
    </w:p>
    <w:p w:rsidR="00E2497F" w:rsidRPr="00695533" w:rsidRDefault="00BE0F24" w:rsidP="00695533">
      <w:pPr>
        <w:jc w:val="both"/>
        <w:rPr>
          <w:rFonts w:asciiTheme="majorHAnsi" w:eastAsiaTheme="majorEastAsia" w:hAnsiTheme="majorHAnsi" w:cstheme="majorBidi"/>
          <w:b/>
          <w:bCs/>
          <w:color w:val="4F81BD" w:themeColor="accent1"/>
        </w:rPr>
      </w:pPr>
      <w:r w:rsidRPr="00695533">
        <w:rPr>
          <w:rFonts w:asciiTheme="majorHAnsi" w:eastAsiaTheme="majorEastAsia" w:hAnsiTheme="majorHAnsi" w:cstheme="majorBidi"/>
          <w:b/>
          <w:bCs/>
          <w:color w:val="4F81BD" w:themeColor="accent1"/>
        </w:rPr>
        <w:lastRenderedPageBreak/>
        <w:t xml:space="preserve">7.4.4. Additional </w:t>
      </w:r>
      <w:r w:rsidR="00695533">
        <w:rPr>
          <w:rFonts w:asciiTheme="majorHAnsi" w:eastAsiaTheme="majorEastAsia" w:hAnsiTheme="majorHAnsi" w:cstheme="majorBidi"/>
          <w:b/>
          <w:bCs/>
          <w:color w:val="4F81BD" w:themeColor="accent1"/>
        </w:rPr>
        <w:t>c</w:t>
      </w:r>
      <w:r w:rsidRPr="00695533">
        <w:rPr>
          <w:rFonts w:asciiTheme="majorHAnsi" w:eastAsiaTheme="majorEastAsia" w:hAnsiTheme="majorHAnsi" w:cstheme="majorBidi"/>
          <w:b/>
          <w:bCs/>
          <w:color w:val="4F81BD" w:themeColor="accent1"/>
        </w:rPr>
        <w:t>onsiderations</w:t>
      </w:r>
    </w:p>
    <w:p w:rsidR="00D74F8E" w:rsidRPr="00D74F8E" w:rsidRDefault="00D74F8E" w:rsidP="00531956">
      <w:pPr>
        <w:pStyle w:val="ListParagraph"/>
        <w:ind w:left="0"/>
        <w:jc w:val="both"/>
        <w:rPr>
          <w:rFonts w:asciiTheme="minorHAnsi" w:hAnsiTheme="minorHAnsi"/>
        </w:rPr>
      </w:pPr>
      <w:r>
        <w:rPr>
          <w:rFonts w:asciiTheme="minorHAnsi" w:hAnsiTheme="minorHAnsi"/>
        </w:rPr>
        <w:t>In addition to the competing influences outlined above, the following influences on behaviour need to be taken into account:</w:t>
      </w:r>
    </w:p>
    <w:p w:rsidR="00D74F8E" w:rsidRDefault="00D74F8E" w:rsidP="00531956">
      <w:pPr>
        <w:pStyle w:val="ListParagraph"/>
        <w:ind w:left="0"/>
        <w:jc w:val="both"/>
        <w:rPr>
          <w:rFonts w:asciiTheme="minorHAnsi" w:hAnsiTheme="minorHAnsi"/>
          <w:u w:val="single"/>
        </w:rPr>
      </w:pPr>
    </w:p>
    <w:p w:rsidR="00531956" w:rsidRPr="00531956" w:rsidRDefault="00531956" w:rsidP="00531956">
      <w:pPr>
        <w:pStyle w:val="ListParagraph"/>
        <w:ind w:left="0"/>
        <w:jc w:val="both"/>
        <w:rPr>
          <w:rFonts w:asciiTheme="minorHAnsi" w:hAnsiTheme="minorHAnsi"/>
        </w:rPr>
      </w:pPr>
      <w:r w:rsidRPr="00531956">
        <w:rPr>
          <w:rFonts w:asciiTheme="minorHAnsi" w:hAnsiTheme="minorHAnsi"/>
          <w:u w:val="single"/>
        </w:rPr>
        <w:t>The prevailing preferred behaviour pattern</w:t>
      </w:r>
    </w:p>
    <w:p w:rsidR="00531956" w:rsidRPr="00531956" w:rsidRDefault="00BE0F24" w:rsidP="00531956">
      <w:pPr>
        <w:pStyle w:val="ListParagraph"/>
        <w:ind w:left="0"/>
        <w:jc w:val="both"/>
        <w:rPr>
          <w:rFonts w:asciiTheme="minorHAnsi" w:hAnsiTheme="minorHAnsi"/>
        </w:rPr>
      </w:pPr>
      <w:r>
        <w:rPr>
          <w:rFonts w:asciiTheme="minorHAnsi" w:hAnsiTheme="minorHAnsi"/>
        </w:rPr>
        <w:t>I</w:t>
      </w:r>
      <w:r w:rsidR="00531956" w:rsidRPr="00531956">
        <w:rPr>
          <w:rFonts w:asciiTheme="minorHAnsi" w:hAnsiTheme="minorHAnsi"/>
        </w:rPr>
        <w:t xml:space="preserve">n behaviour change interventions, there is often the temptation to see the prevailing preferred behaviour pattern as the </w:t>
      </w:r>
      <w:r w:rsidR="00A72256" w:rsidRPr="00531956">
        <w:rPr>
          <w:rFonts w:asciiTheme="minorHAnsi" w:hAnsiTheme="minorHAnsi"/>
        </w:rPr>
        <w:t>‘competition’</w:t>
      </w:r>
      <w:r w:rsidR="0062054F">
        <w:rPr>
          <w:rFonts w:asciiTheme="minorHAnsi" w:hAnsiTheme="minorHAnsi"/>
        </w:rPr>
        <w:t>.</w:t>
      </w:r>
      <w:r w:rsidR="00B52F86">
        <w:rPr>
          <w:rStyle w:val="EndnoteReference"/>
          <w:rFonts w:asciiTheme="minorHAnsi" w:hAnsiTheme="minorHAnsi"/>
        </w:rPr>
        <w:endnoteReference w:id="171"/>
      </w:r>
      <w:r w:rsidR="00531956" w:rsidRPr="00531956">
        <w:rPr>
          <w:rFonts w:asciiTheme="minorHAnsi" w:hAnsiTheme="minorHAnsi"/>
        </w:rPr>
        <w:t xml:space="preserve"> It would be a risky strategy to adopt a combative </w:t>
      </w:r>
      <w:r w:rsidR="00A72256" w:rsidRPr="00531956">
        <w:rPr>
          <w:rFonts w:asciiTheme="minorHAnsi" w:hAnsiTheme="minorHAnsi"/>
        </w:rPr>
        <w:t>comp</w:t>
      </w:r>
      <w:r w:rsidR="00A72256">
        <w:rPr>
          <w:rFonts w:asciiTheme="minorHAnsi" w:hAnsiTheme="minorHAnsi"/>
        </w:rPr>
        <w:t>etitive</w:t>
      </w:r>
      <w:r w:rsidR="00531956" w:rsidRPr="00531956">
        <w:rPr>
          <w:rFonts w:asciiTheme="minorHAnsi" w:hAnsiTheme="minorHAnsi"/>
        </w:rPr>
        <w:t xml:space="preserve"> approach to intervention although the language used by those designing such interventions is not dissimilar from military strategists.</w:t>
      </w:r>
    </w:p>
    <w:p w:rsidR="00531956" w:rsidRPr="00531956" w:rsidRDefault="00531956" w:rsidP="00531956">
      <w:pPr>
        <w:pStyle w:val="ListParagraph"/>
        <w:ind w:left="0"/>
        <w:jc w:val="both"/>
        <w:rPr>
          <w:rFonts w:asciiTheme="minorHAnsi" w:hAnsiTheme="minorHAnsi"/>
        </w:rPr>
      </w:pPr>
    </w:p>
    <w:p w:rsidR="00531956" w:rsidRPr="00531956" w:rsidRDefault="00531956" w:rsidP="00531956">
      <w:pPr>
        <w:pStyle w:val="ListParagraph"/>
        <w:ind w:left="0"/>
        <w:jc w:val="both"/>
        <w:rPr>
          <w:rFonts w:asciiTheme="minorHAnsi" w:hAnsiTheme="minorHAnsi"/>
          <w:u w:val="single"/>
        </w:rPr>
      </w:pPr>
      <w:r w:rsidRPr="00531956">
        <w:rPr>
          <w:rFonts w:asciiTheme="minorHAnsi" w:hAnsiTheme="minorHAnsi"/>
          <w:u w:val="single"/>
        </w:rPr>
        <w:t>Cynicism, distrust and apathy.</w:t>
      </w:r>
    </w:p>
    <w:p w:rsidR="00531956" w:rsidRPr="00531956" w:rsidRDefault="00531956" w:rsidP="00531956">
      <w:pPr>
        <w:pStyle w:val="ListParagraph"/>
        <w:ind w:left="0"/>
        <w:jc w:val="both"/>
        <w:rPr>
          <w:rFonts w:asciiTheme="minorHAnsi" w:hAnsiTheme="minorHAnsi"/>
        </w:rPr>
      </w:pPr>
      <w:r w:rsidRPr="00531956">
        <w:rPr>
          <w:rFonts w:asciiTheme="minorHAnsi" w:hAnsiTheme="minorHAnsi"/>
        </w:rPr>
        <w:t>There is evidence of growing cynicism and distrust of government bodies</w:t>
      </w:r>
      <w:r w:rsidR="0062054F">
        <w:rPr>
          <w:rFonts w:asciiTheme="minorHAnsi" w:hAnsiTheme="minorHAnsi"/>
        </w:rPr>
        <w:t>.</w:t>
      </w:r>
      <w:r w:rsidRPr="00ED4F0A">
        <w:rPr>
          <w:rStyle w:val="EndnoteReference"/>
          <w:rFonts w:asciiTheme="minorHAnsi" w:hAnsiTheme="minorHAnsi"/>
        </w:rPr>
        <w:endnoteReference w:id="172"/>
      </w:r>
      <w:r w:rsidR="00C65CEA" w:rsidRPr="00C65CEA">
        <w:rPr>
          <w:rFonts w:asciiTheme="minorHAnsi" w:hAnsiTheme="minorHAnsi"/>
          <w:vertAlign w:val="superscript"/>
        </w:rPr>
        <w:t xml:space="preserve">, </w:t>
      </w:r>
      <w:r w:rsidR="002560EC" w:rsidRPr="00ED4F0A">
        <w:rPr>
          <w:rStyle w:val="EndnoteReference"/>
          <w:rFonts w:asciiTheme="minorHAnsi" w:hAnsiTheme="minorHAnsi"/>
        </w:rPr>
        <w:endnoteReference w:id="173"/>
      </w:r>
      <w:r w:rsidRPr="00531956">
        <w:rPr>
          <w:rFonts w:asciiTheme="minorHAnsi" w:hAnsiTheme="minorHAnsi"/>
        </w:rPr>
        <w:t xml:space="preserve"> This could be a particular concern for the behaviour change interventions which are identifiably [for the public] linked with government policy.  It is therefore essential to understand the social context</w:t>
      </w:r>
      <w:r w:rsidR="00ED4F0A">
        <w:rPr>
          <w:rFonts w:asciiTheme="minorHAnsi" w:hAnsiTheme="minorHAnsi"/>
        </w:rPr>
        <w:t>s</w:t>
      </w:r>
      <w:r w:rsidRPr="00531956">
        <w:rPr>
          <w:rFonts w:asciiTheme="minorHAnsi" w:hAnsiTheme="minorHAnsi"/>
        </w:rPr>
        <w:t xml:space="preserve"> </w:t>
      </w:r>
      <w:r w:rsidR="00ED4F0A">
        <w:rPr>
          <w:rFonts w:asciiTheme="minorHAnsi" w:hAnsiTheme="minorHAnsi"/>
        </w:rPr>
        <w:t>that</w:t>
      </w:r>
      <w:r w:rsidRPr="00531956">
        <w:rPr>
          <w:rFonts w:asciiTheme="minorHAnsi" w:hAnsiTheme="minorHAnsi"/>
        </w:rPr>
        <w:t xml:space="preserve"> shape behaviour.  Apathy to</w:t>
      </w:r>
      <w:r w:rsidR="00ED4F0A">
        <w:rPr>
          <w:rFonts w:asciiTheme="minorHAnsi" w:hAnsiTheme="minorHAnsi"/>
        </w:rPr>
        <w:t>wards attempts to</w:t>
      </w:r>
      <w:r w:rsidRPr="00531956">
        <w:rPr>
          <w:rFonts w:asciiTheme="minorHAnsi" w:hAnsiTheme="minorHAnsi"/>
        </w:rPr>
        <w:t xml:space="preserve"> try </w:t>
      </w:r>
      <w:r w:rsidR="00ED4F0A">
        <w:rPr>
          <w:rFonts w:asciiTheme="minorHAnsi" w:hAnsiTheme="minorHAnsi"/>
        </w:rPr>
        <w:t xml:space="preserve">and </w:t>
      </w:r>
      <w:r w:rsidRPr="00531956">
        <w:rPr>
          <w:rFonts w:asciiTheme="minorHAnsi" w:hAnsiTheme="minorHAnsi"/>
        </w:rPr>
        <w:t xml:space="preserve">effect </w:t>
      </w:r>
      <w:r w:rsidR="00ED4F0A">
        <w:rPr>
          <w:rFonts w:asciiTheme="minorHAnsi" w:hAnsiTheme="minorHAnsi"/>
        </w:rPr>
        <w:t xml:space="preserve">behaviour </w:t>
      </w:r>
      <w:r w:rsidRPr="00531956">
        <w:rPr>
          <w:rFonts w:asciiTheme="minorHAnsi" w:hAnsiTheme="minorHAnsi"/>
        </w:rPr>
        <w:t xml:space="preserve">change may be linked with </w:t>
      </w:r>
      <w:r w:rsidR="00BE0F24">
        <w:rPr>
          <w:rFonts w:asciiTheme="minorHAnsi" w:hAnsiTheme="minorHAnsi"/>
        </w:rPr>
        <w:t>locus</w:t>
      </w:r>
      <w:r w:rsidRPr="00531956">
        <w:rPr>
          <w:rFonts w:asciiTheme="minorHAnsi" w:hAnsiTheme="minorHAnsi"/>
        </w:rPr>
        <w:t xml:space="preserve"> of control theories</w:t>
      </w:r>
      <w:r w:rsidR="00BE0F24">
        <w:rPr>
          <w:rStyle w:val="EndnoteReference"/>
          <w:rFonts w:asciiTheme="minorHAnsi" w:hAnsiTheme="minorHAnsi"/>
        </w:rPr>
        <w:endnoteReference w:id="174"/>
      </w:r>
      <w:r w:rsidRPr="00531956">
        <w:rPr>
          <w:rFonts w:asciiTheme="minorHAnsi" w:hAnsiTheme="minorHAnsi"/>
        </w:rPr>
        <w:t xml:space="preserve"> or prevailing social views.  In the former it can lead to widening of inequality as a result of interventions which will only have positive effects for those who change.</w:t>
      </w:r>
    </w:p>
    <w:p w:rsidR="00531956" w:rsidRPr="00531956" w:rsidRDefault="00531956" w:rsidP="00531956">
      <w:pPr>
        <w:pStyle w:val="ListParagraph"/>
        <w:ind w:left="0"/>
        <w:jc w:val="both"/>
        <w:rPr>
          <w:rFonts w:asciiTheme="minorHAnsi" w:hAnsiTheme="minorHAnsi"/>
        </w:rPr>
      </w:pPr>
    </w:p>
    <w:p w:rsidR="00531956" w:rsidRPr="00531956" w:rsidRDefault="00531956" w:rsidP="00531956">
      <w:pPr>
        <w:pStyle w:val="ListParagraph"/>
        <w:ind w:left="0"/>
        <w:jc w:val="both"/>
        <w:rPr>
          <w:rFonts w:asciiTheme="minorHAnsi" w:hAnsiTheme="minorHAnsi"/>
        </w:rPr>
      </w:pPr>
      <w:r w:rsidRPr="00531956">
        <w:rPr>
          <w:rFonts w:asciiTheme="minorHAnsi" w:hAnsiTheme="minorHAnsi"/>
          <w:u w:val="single"/>
        </w:rPr>
        <w:t>Involuntary behaviour</w:t>
      </w:r>
    </w:p>
    <w:p w:rsidR="00531956" w:rsidRPr="00531956" w:rsidRDefault="00531956" w:rsidP="00531956">
      <w:pPr>
        <w:pStyle w:val="ListParagraph"/>
        <w:ind w:left="0"/>
        <w:jc w:val="both"/>
        <w:rPr>
          <w:rFonts w:asciiTheme="minorHAnsi" w:hAnsiTheme="minorHAnsi"/>
        </w:rPr>
      </w:pPr>
      <w:r w:rsidRPr="00531956">
        <w:rPr>
          <w:rFonts w:asciiTheme="minorHAnsi" w:hAnsiTheme="minorHAnsi"/>
        </w:rPr>
        <w:t xml:space="preserve">Despite many smokers wishing to </w:t>
      </w:r>
      <w:r w:rsidR="00ED4F0A">
        <w:rPr>
          <w:rFonts w:asciiTheme="minorHAnsi" w:hAnsiTheme="minorHAnsi"/>
        </w:rPr>
        <w:t>give up smoking,</w:t>
      </w:r>
      <w:r w:rsidRPr="00531956">
        <w:rPr>
          <w:rFonts w:asciiTheme="minorHAnsi" w:hAnsiTheme="minorHAnsi"/>
        </w:rPr>
        <w:t xml:space="preserve"> </w:t>
      </w:r>
      <w:r w:rsidR="00ED4F0A">
        <w:rPr>
          <w:rFonts w:asciiTheme="minorHAnsi" w:hAnsiTheme="minorHAnsi"/>
        </w:rPr>
        <w:t xml:space="preserve">with an </w:t>
      </w:r>
      <w:r w:rsidRPr="00531956">
        <w:rPr>
          <w:rFonts w:asciiTheme="minorHAnsi" w:hAnsiTheme="minorHAnsi"/>
        </w:rPr>
        <w:t xml:space="preserve">understanding </w:t>
      </w:r>
      <w:r w:rsidR="00ED4F0A">
        <w:rPr>
          <w:rFonts w:asciiTheme="minorHAnsi" w:hAnsiTheme="minorHAnsi"/>
        </w:rPr>
        <w:t xml:space="preserve">of </w:t>
      </w:r>
      <w:r w:rsidRPr="00531956">
        <w:rPr>
          <w:rFonts w:asciiTheme="minorHAnsi" w:hAnsiTheme="minorHAnsi"/>
        </w:rPr>
        <w:t>all the arguments</w:t>
      </w:r>
      <w:r w:rsidR="00ED4F0A">
        <w:rPr>
          <w:rFonts w:asciiTheme="minorHAnsi" w:hAnsiTheme="minorHAnsi"/>
        </w:rPr>
        <w:t xml:space="preserve"> for cessation,</w:t>
      </w:r>
      <w:r w:rsidRPr="00531956">
        <w:rPr>
          <w:rFonts w:asciiTheme="minorHAnsi" w:hAnsiTheme="minorHAnsi"/>
        </w:rPr>
        <w:t xml:space="preserve"> they feel </w:t>
      </w:r>
      <w:r w:rsidR="00ED4F0A">
        <w:rPr>
          <w:rFonts w:asciiTheme="minorHAnsi" w:hAnsiTheme="minorHAnsi"/>
        </w:rPr>
        <w:t xml:space="preserve">compelled to smoke </w:t>
      </w:r>
      <w:r w:rsidRPr="00531956">
        <w:rPr>
          <w:rFonts w:asciiTheme="minorHAnsi" w:hAnsiTheme="minorHAnsi"/>
        </w:rPr>
        <w:t>because of their physical addiction.  A similar situation is seen with drug addicts.  One</w:t>
      </w:r>
      <w:r w:rsidR="00ED4F0A">
        <w:rPr>
          <w:rFonts w:asciiTheme="minorHAnsi" w:hAnsiTheme="minorHAnsi"/>
        </w:rPr>
        <w:t xml:space="preserve"> </w:t>
      </w:r>
      <w:r w:rsidRPr="00531956">
        <w:rPr>
          <w:rFonts w:asciiTheme="minorHAnsi" w:hAnsiTheme="minorHAnsi"/>
        </w:rPr>
        <w:t>challenge</w:t>
      </w:r>
      <w:r w:rsidR="00ED4F0A">
        <w:rPr>
          <w:rFonts w:asciiTheme="minorHAnsi" w:hAnsiTheme="minorHAnsi"/>
        </w:rPr>
        <w:t xml:space="preserve"> is</w:t>
      </w:r>
      <w:r w:rsidRPr="00531956">
        <w:rPr>
          <w:rFonts w:asciiTheme="minorHAnsi" w:hAnsiTheme="minorHAnsi"/>
        </w:rPr>
        <w:t xml:space="preserve"> that</w:t>
      </w:r>
      <w:r w:rsidR="00ED4F0A">
        <w:rPr>
          <w:rFonts w:asciiTheme="minorHAnsi" w:hAnsiTheme="minorHAnsi"/>
        </w:rPr>
        <w:t xml:space="preserve"> in</w:t>
      </w:r>
      <w:r w:rsidRPr="00531956">
        <w:rPr>
          <w:rFonts w:asciiTheme="minorHAnsi" w:hAnsiTheme="minorHAnsi"/>
        </w:rPr>
        <w:t xml:space="preserve"> most models behaviour change is promoted in terms of </w:t>
      </w:r>
      <w:r w:rsidR="00ED4F0A">
        <w:rPr>
          <w:rFonts w:asciiTheme="minorHAnsi" w:hAnsiTheme="minorHAnsi"/>
        </w:rPr>
        <w:t xml:space="preserve">the </w:t>
      </w:r>
      <w:r w:rsidRPr="00531956">
        <w:rPr>
          <w:rFonts w:asciiTheme="minorHAnsi" w:hAnsiTheme="minorHAnsi"/>
        </w:rPr>
        <w:t>perceived benefits of change</w:t>
      </w:r>
      <w:r w:rsidR="00ED4F0A">
        <w:rPr>
          <w:rFonts w:asciiTheme="minorHAnsi" w:hAnsiTheme="minorHAnsi"/>
        </w:rPr>
        <w:t>,</w:t>
      </w:r>
      <w:r w:rsidRPr="00531956">
        <w:rPr>
          <w:rFonts w:asciiTheme="minorHAnsi" w:hAnsiTheme="minorHAnsi"/>
        </w:rPr>
        <w:t xml:space="preserve"> and costs of not doing so</w:t>
      </w:r>
      <w:r w:rsidR="00ED4F0A">
        <w:rPr>
          <w:rFonts w:asciiTheme="minorHAnsi" w:hAnsiTheme="minorHAnsi"/>
        </w:rPr>
        <w:t>,</w:t>
      </w:r>
      <w:r w:rsidRPr="00531956">
        <w:rPr>
          <w:rFonts w:asciiTheme="minorHAnsi" w:hAnsiTheme="minorHAnsi"/>
        </w:rPr>
        <w:t xml:space="preserve"> based on the assumption that those needing to change can choose rationally and neglecting the involuntary component which leads to the behaviour persisting.  This is a feature not only of addiction but physical and mental ill health and habitual behaviour.</w:t>
      </w:r>
    </w:p>
    <w:p w:rsidR="00531956" w:rsidRPr="00531956" w:rsidRDefault="00531956" w:rsidP="00531956">
      <w:pPr>
        <w:pStyle w:val="ListParagraph"/>
        <w:ind w:left="0"/>
        <w:jc w:val="both"/>
        <w:rPr>
          <w:rFonts w:asciiTheme="minorHAnsi" w:hAnsiTheme="minorHAnsi"/>
        </w:rPr>
      </w:pPr>
    </w:p>
    <w:p w:rsidR="00BE0F24" w:rsidRPr="00DB5AC1" w:rsidRDefault="00ED4F0A" w:rsidP="007A3E26">
      <w:pPr>
        <w:pStyle w:val="Heading1"/>
      </w:pPr>
      <w:bookmarkStart w:id="45" w:name="_Toc289256756"/>
      <w:r w:rsidRPr="00DB5AC1">
        <w:t>8.0</w:t>
      </w:r>
      <w:r w:rsidR="002A0207" w:rsidRPr="00DB5AC1">
        <w:t xml:space="preserve"> </w:t>
      </w:r>
      <w:r w:rsidR="00BE0F24" w:rsidRPr="00DB5AC1">
        <w:t>Intervening Effectively</w:t>
      </w:r>
      <w:bookmarkEnd w:id="45"/>
    </w:p>
    <w:p w:rsidR="00E268F9" w:rsidRDefault="00ED4F0A" w:rsidP="00DB5AC1">
      <w:pPr>
        <w:pStyle w:val="Heading3"/>
      </w:pPr>
      <w:bookmarkStart w:id="46" w:name="_Ref289159965"/>
      <w:bookmarkStart w:id="47" w:name="_Toc289256757"/>
      <w:r>
        <w:t>8</w:t>
      </w:r>
      <w:r w:rsidR="00E268F9">
        <w:t xml:space="preserve">.1  </w:t>
      </w:r>
      <w:r w:rsidR="00972975">
        <w:t>Th</w:t>
      </w:r>
      <w:r w:rsidR="00695533">
        <w:t>eoretical l</w:t>
      </w:r>
      <w:r w:rsidR="00972975">
        <w:t>imitations</w:t>
      </w:r>
      <w:bookmarkEnd w:id="46"/>
      <w:bookmarkEnd w:id="47"/>
    </w:p>
    <w:p w:rsidR="0062054F" w:rsidRDefault="0062054F" w:rsidP="00BE0F24">
      <w:pPr>
        <w:jc w:val="both"/>
        <w:rPr>
          <w:rFonts w:asciiTheme="minorHAnsi" w:hAnsiTheme="minorHAnsi"/>
        </w:rPr>
      </w:pPr>
    </w:p>
    <w:p w:rsidR="00BE0F24" w:rsidRPr="00C43225" w:rsidRDefault="002A0207" w:rsidP="00BE0F24">
      <w:pPr>
        <w:jc w:val="both"/>
        <w:rPr>
          <w:rFonts w:asciiTheme="minorHAnsi" w:hAnsiTheme="minorHAnsi"/>
        </w:rPr>
      </w:pPr>
      <w:r>
        <w:rPr>
          <w:rFonts w:asciiTheme="minorHAnsi" w:hAnsiTheme="minorHAnsi"/>
        </w:rPr>
        <w:t xml:space="preserve">While there are many tools available to aid in planning effective behaviour change strategies, many have limitations.  For example, while we noted earlier that </w:t>
      </w:r>
      <w:r w:rsidR="00E268F9">
        <w:rPr>
          <w:rFonts w:asciiTheme="minorHAnsi" w:hAnsiTheme="minorHAnsi"/>
        </w:rPr>
        <w:t>theoretically-grounded interventions are more effective than those lacking a theoretical base, t</w:t>
      </w:r>
      <w:r>
        <w:rPr>
          <w:rFonts w:asciiTheme="minorHAnsi" w:hAnsiTheme="minorHAnsi"/>
        </w:rPr>
        <w:t>heories do not provide complete explanations of behaviours</w:t>
      </w:r>
      <w:r w:rsidR="0062054F">
        <w:rPr>
          <w:rFonts w:asciiTheme="minorHAnsi" w:hAnsiTheme="minorHAnsi"/>
        </w:rPr>
        <w:t>.</w:t>
      </w:r>
      <w:r w:rsidR="00E268F9">
        <w:rPr>
          <w:rStyle w:val="EndnoteReference"/>
          <w:rFonts w:asciiTheme="minorHAnsi" w:hAnsiTheme="minorHAnsi"/>
        </w:rPr>
        <w:endnoteReference w:id="175"/>
      </w:r>
      <w:r w:rsidR="00E268F9">
        <w:rPr>
          <w:rFonts w:asciiTheme="minorHAnsi" w:hAnsiTheme="minorHAnsi"/>
        </w:rPr>
        <w:t xml:space="preserve"> For example, o</w:t>
      </w:r>
      <w:r w:rsidR="00BE0F24" w:rsidRPr="00C43225">
        <w:rPr>
          <w:rFonts w:asciiTheme="minorHAnsi" w:hAnsiTheme="minorHAnsi"/>
        </w:rPr>
        <w:t xml:space="preserve">ne criticism of </w:t>
      </w:r>
      <w:r w:rsidR="00ED4F0A">
        <w:rPr>
          <w:rFonts w:asciiTheme="minorHAnsi" w:hAnsiTheme="minorHAnsi"/>
        </w:rPr>
        <w:t xml:space="preserve">the </w:t>
      </w:r>
      <w:r w:rsidR="00BE0F24" w:rsidRPr="00C43225">
        <w:rPr>
          <w:rFonts w:asciiTheme="minorHAnsi" w:hAnsiTheme="minorHAnsi"/>
        </w:rPr>
        <w:t xml:space="preserve">Theory of Planned Behaviour had been that it was only really applicable to volitional control, i.e. the </w:t>
      </w:r>
      <w:r w:rsidR="00ED4F0A">
        <w:rPr>
          <w:rFonts w:asciiTheme="minorHAnsi" w:hAnsiTheme="minorHAnsi"/>
        </w:rPr>
        <w:t>individual’s</w:t>
      </w:r>
      <w:r w:rsidR="00BE0F24" w:rsidRPr="00C43225">
        <w:rPr>
          <w:rFonts w:asciiTheme="minorHAnsi" w:hAnsiTheme="minorHAnsi"/>
        </w:rPr>
        <w:t xml:space="preserve"> wilful control over their behaviour. For example, driver violations, errors and lapses have been shown to be empirically distinct classes of behaviour</w:t>
      </w:r>
      <w:bookmarkStart w:id="48" w:name="_Ref284926563"/>
      <w:r w:rsidR="00BE0F24" w:rsidRPr="00C43225">
        <w:rPr>
          <w:rStyle w:val="EndnoteReference"/>
          <w:rFonts w:asciiTheme="minorHAnsi" w:eastAsiaTheme="majorEastAsia" w:hAnsiTheme="minorHAnsi"/>
        </w:rPr>
        <w:endnoteReference w:id="176"/>
      </w:r>
      <w:bookmarkEnd w:id="48"/>
      <w:r w:rsidR="00BE0F24" w:rsidRPr="00C43225">
        <w:rPr>
          <w:rFonts w:asciiTheme="minorHAnsi" w:hAnsiTheme="minorHAnsi"/>
        </w:rPr>
        <w:t xml:space="preserve">; </w:t>
      </w:r>
      <w:r w:rsidR="001813C9">
        <w:rPr>
          <w:rFonts w:asciiTheme="minorHAnsi" w:hAnsiTheme="minorHAnsi"/>
        </w:rPr>
        <w:t xml:space="preserve">here </w:t>
      </w:r>
      <w:r w:rsidR="00BE0F24" w:rsidRPr="00C43225">
        <w:rPr>
          <w:rFonts w:asciiTheme="minorHAnsi" w:hAnsiTheme="minorHAnsi"/>
        </w:rPr>
        <w:t xml:space="preserve">‘Violations’ are defined as ‘deliberate deviations from those practices believed necessary to maintain the safe operation of a potentially hazardous system’; ‘Errors’ are defined as ‘the failure of planned actions to achieve their intended consequences’; and ‘Slips and lapses’ can be defined as attention and memory failures, which can cause embarrassment, but </w:t>
      </w:r>
      <w:r w:rsidR="00BE0F24" w:rsidRPr="00C43225">
        <w:rPr>
          <w:rFonts w:asciiTheme="minorHAnsi" w:hAnsiTheme="minorHAnsi"/>
        </w:rPr>
        <w:lastRenderedPageBreak/>
        <w:t>are unlikely to have an impact on driving safety</w:t>
      </w:r>
      <w:r w:rsidR="0062054F">
        <w:rPr>
          <w:rFonts w:asciiTheme="minorHAnsi" w:hAnsiTheme="minorHAnsi"/>
        </w:rPr>
        <w:t>.</w:t>
      </w:r>
      <w:r w:rsidR="00BE0F24" w:rsidRPr="00C43225">
        <w:rPr>
          <w:rStyle w:val="EndnoteReference"/>
          <w:rFonts w:asciiTheme="minorHAnsi" w:eastAsiaTheme="majorEastAsia" w:hAnsiTheme="minorHAnsi"/>
        </w:rPr>
        <w:endnoteReference w:id="177"/>
      </w:r>
      <w:r w:rsidR="00BE0F24" w:rsidRPr="00C43225">
        <w:rPr>
          <w:rFonts w:asciiTheme="minorHAnsi" w:hAnsiTheme="minorHAnsi"/>
        </w:rPr>
        <w:t xml:space="preserve"> The study of violations, errors and lapses in the context of road safety behaviour was recently reviewed</w:t>
      </w:r>
      <w:bookmarkStart w:id="49" w:name="_Ref284927316"/>
      <w:r w:rsidR="0062054F">
        <w:rPr>
          <w:rFonts w:asciiTheme="minorHAnsi" w:hAnsiTheme="minorHAnsi"/>
        </w:rPr>
        <w:t>.</w:t>
      </w:r>
      <w:r w:rsidR="00BE0F24" w:rsidRPr="00C43225">
        <w:rPr>
          <w:rStyle w:val="EndnoteReference"/>
          <w:rFonts w:asciiTheme="minorHAnsi" w:eastAsiaTheme="majorEastAsia" w:hAnsiTheme="minorHAnsi"/>
        </w:rPr>
        <w:endnoteReference w:id="178"/>
      </w:r>
      <w:bookmarkEnd w:id="49"/>
      <w:r w:rsidR="0062054F">
        <w:rPr>
          <w:rFonts w:asciiTheme="minorHAnsi" w:hAnsiTheme="minorHAnsi"/>
        </w:rPr>
        <w:t xml:space="preserve"> </w:t>
      </w:r>
      <w:r w:rsidR="00BE0F24" w:rsidRPr="00C43225">
        <w:rPr>
          <w:rFonts w:asciiTheme="minorHAnsi" w:hAnsiTheme="minorHAnsi"/>
        </w:rPr>
        <w:t>It can be argued that as violations, errors and lapses result from different psychological processes, they should be treated differently</w:t>
      </w:r>
      <w:r w:rsidR="0062054F">
        <w:rPr>
          <w:rFonts w:asciiTheme="minorHAnsi" w:hAnsiTheme="minorHAnsi"/>
        </w:rPr>
        <w:t>.</w:t>
      </w:r>
      <w:fldSimple w:instr=" NOTEREF _Ref284926563 \h  \* MERGEFORMAT ">
        <w:r w:rsidR="00CE6342" w:rsidRPr="00CE6342">
          <w:rPr>
            <w:rFonts w:asciiTheme="minorHAnsi" w:hAnsiTheme="minorHAnsi"/>
            <w:vertAlign w:val="superscript"/>
          </w:rPr>
          <w:t>176</w:t>
        </w:r>
      </w:fldSimple>
      <w:r w:rsidR="00BE0F24" w:rsidRPr="00C43225">
        <w:rPr>
          <w:rFonts w:asciiTheme="minorHAnsi" w:hAnsiTheme="minorHAnsi"/>
        </w:rPr>
        <w:t xml:space="preserve"> </w:t>
      </w:r>
      <w:r w:rsidR="00A42D2C">
        <w:rPr>
          <w:rFonts w:asciiTheme="minorHAnsi" w:hAnsiTheme="minorHAnsi"/>
        </w:rPr>
        <w:t>The following quotation is apposite in this respect:</w:t>
      </w:r>
    </w:p>
    <w:p w:rsidR="00A42D2C" w:rsidRDefault="00A42D2C" w:rsidP="00A42D2C">
      <w:pPr>
        <w:ind w:left="720"/>
        <w:jc w:val="both"/>
        <w:rPr>
          <w:rFonts w:asciiTheme="minorHAnsi" w:hAnsiTheme="minorHAnsi" w:cstheme="minorHAnsi"/>
        </w:rPr>
      </w:pPr>
    </w:p>
    <w:p w:rsidR="002A0207" w:rsidRPr="007C6320" w:rsidRDefault="002A0207" w:rsidP="00A42D2C">
      <w:pPr>
        <w:ind w:left="720"/>
        <w:jc w:val="both"/>
        <w:rPr>
          <w:rFonts w:asciiTheme="minorHAnsi" w:hAnsiTheme="minorHAnsi" w:cstheme="minorHAnsi"/>
        </w:rPr>
      </w:pPr>
      <w:r w:rsidRPr="007C6320">
        <w:rPr>
          <w:rFonts w:asciiTheme="minorHAnsi" w:hAnsiTheme="minorHAnsi" w:cstheme="minorHAnsi"/>
        </w:rPr>
        <w:t>Research in behavioural sciences, especially psychology, indicates that individuals' choices in a wide range of contexts in fact deviate from the predictions of the simpler forms of economic theory. Some of these deviations are systematic, consistent, robust and largely predictable, but only by including wider considerations than are normally allowed for. Evidence on systematic deviations from rational models have emerged from studies on financial behaviour, consumer behaviour, health behaviour and m</w:t>
      </w:r>
      <w:r w:rsidR="00A42D2C">
        <w:rPr>
          <w:rFonts w:asciiTheme="minorHAnsi" w:hAnsiTheme="minorHAnsi" w:cstheme="minorHAnsi"/>
        </w:rPr>
        <w:t>ore recently – travel behaviour.</w:t>
      </w:r>
      <w:fldSimple w:instr=" NOTEREF _Ref284926785 \h  \* MERGEFORMAT ">
        <w:r w:rsidR="00CE6342" w:rsidRPr="00CE6342">
          <w:rPr>
            <w:rFonts w:asciiTheme="minorHAnsi" w:hAnsiTheme="minorHAnsi" w:cstheme="minorHAnsi"/>
            <w:vertAlign w:val="superscript"/>
          </w:rPr>
          <w:t>102</w:t>
        </w:r>
      </w:fldSimple>
      <w:r w:rsidR="00A86BD6">
        <w:rPr>
          <w:rFonts w:asciiTheme="minorHAnsi" w:hAnsiTheme="minorHAnsi" w:cstheme="minorHAnsi"/>
          <w:vertAlign w:val="superscript"/>
        </w:rPr>
        <w:t xml:space="preserve"> </w:t>
      </w:r>
      <w:r w:rsidR="00A42D2C">
        <w:rPr>
          <w:rFonts w:asciiTheme="minorHAnsi" w:hAnsiTheme="minorHAnsi" w:cstheme="minorHAnsi"/>
          <w:highlight w:val="yellow"/>
        </w:rPr>
        <w:t xml:space="preserve"> </w:t>
      </w:r>
    </w:p>
    <w:p w:rsidR="00972975" w:rsidRDefault="00972975">
      <w:pPr>
        <w:rPr>
          <w:rFonts w:asciiTheme="majorHAnsi" w:eastAsiaTheme="majorEastAsia" w:hAnsiTheme="majorHAnsi" w:cstheme="majorBidi"/>
          <w:color w:val="243F60" w:themeColor="accent1" w:themeShade="7F"/>
        </w:rPr>
      </w:pPr>
    </w:p>
    <w:p w:rsidR="00972975" w:rsidRPr="002A0207" w:rsidRDefault="001813C9" w:rsidP="00695533">
      <w:pPr>
        <w:pStyle w:val="Heading3"/>
      </w:pPr>
      <w:bookmarkStart w:id="50" w:name="_Toc289256758"/>
      <w:r>
        <w:t>8.</w:t>
      </w:r>
      <w:r w:rsidR="00972975">
        <w:t xml:space="preserve">2 </w:t>
      </w:r>
      <w:r w:rsidR="00695533">
        <w:t>Behavioural e</w:t>
      </w:r>
      <w:r w:rsidR="00972975" w:rsidRPr="002A0207">
        <w:t>conomics</w:t>
      </w:r>
      <w:r w:rsidR="00972975">
        <w:t xml:space="preserve"> / ‘Nudge’</w:t>
      </w:r>
      <w:bookmarkEnd w:id="50"/>
    </w:p>
    <w:p w:rsidR="0062054F" w:rsidRDefault="0062054F" w:rsidP="002A0207">
      <w:pPr>
        <w:jc w:val="both"/>
        <w:rPr>
          <w:rFonts w:asciiTheme="minorHAnsi" w:hAnsiTheme="minorHAnsi" w:cstheme="minorHAnsi"/>
        </w:rPr>
      </w:pPr>
    </w:p>
    <w:p w:rsidR="002A0207" w:rsidRPr="007C6320" w:rsidRDefault="002A0207" w:rsidP="002A0207">
      <w:pPr>
        <w:jc w:val="both"/>
        <w:rPr>
          <w:rFonts w:asciiTheme="minorHAnsi" w:hAnsiTheme="minorHAnsi" w:cstheme="minorHAnsi"/>
        </w:rPr>
      </w:pPr>
      <w:r w:rsidRPr="007C6320">
        <w:rPr>
          <w:rFonts w:asciiTheme="minorHAnsi" w:hAnsiTheme="minorHAnsi" w:cstheme="minorHAnsi"/>
        </w:rPr>
        <w:t xml:space="preserve">One of the limitations of the ‘nudge’ strategy is that </w:t>
      </w:r>
      <w:r w:rsidR="00A56AAF">
        <w:rPr>
          <w:rFonts w:asciiTheme="minorHAnsi" w:hAnsiTheme="minorHAnsi" w:cstheme="minorHAnsi"/>
        </w:rPr>
        <w:t xml:space="preserve">as this is </w:t>
      </w:r>
      <w:r w:rsidRPr="007C6320">
        <w:rPr>
          <w:rFonts w:asciiTheme="minorHAnsi" w:hAnsiTheme="minorHAnsi" w:cstheme="minorHAnsi"/>
        </w:rPr>
        <w:t>designed to influence individuals’ behaviour through intuitive and impulsive processes of the automatic system</w:t>
      </w:r>
      <w:r w:rsidR="00A56AAF">
        <w:rPr>
          <w:rFonts w:asciiTheme="minorHAnsi" w:hAnsiTheme="minorHAnsi" w:cstheme="minorHAnsi"/>
        </w:rPr>
        <w:t xml:space="preserve">, it </w:t>
      </w:r>
      <w:r w:rsidRPr="007C6320">
        <w:rPr>
          <w:rFonts w:asciiTheme="minorHAnsi" w:hAnsiTheme="minorHAnsi" w:cstheme="minorHAnsi"/>
        </w:rPr>
        <w:t>do</w:t>
      </w:r>
      <w:r w:rsidR="00A56AAF">
        <w:rPr>
          <w:rFonts w:asciiTheme="minorHAnsi" w:hAnsiTheme="minorHAnsi" w:cstheme="minorHAnsi"/>
        </w:rPr>
        <w:t>es</w:t>
      </w:r>
      <w:r w:rsidRPr="007C6320">
        <w:rPr>
          <w:rFonts w:asciiTheme="minorHAnsi" w:hAnsiTheme="minorHAnsi" w:cstheme="minorHAnsi"/>
        </w:rPr>
        <w:t xml:space="preserve"> not address</w:t>
      </w:r>
      <w:r w:rsidR="00A56AAF">
        <w:rPr>
          <w:rFonts w:asciiTheme="minorHAnsi" w:hAnsiTheme="minorHAnsi" w:cstheme="minorHAnsi"/>
        </w:rPr>
        <w:t>, in and of itself,</w:t>
      </w:r>
      <w:r w:rsidRPr="007C6320">
        <w:rPr>
          <w:rFonts w:asciiTheme="minorHAnsi" w:hAnsiTheme="minorHAnsi" w:cstheme="minorHAnsi"/>
        </w:rPr>
        <w:t xml:space="preserve"> the fundamental problem of behavioural change. Nudge approaches work best on unintentional/automatic behaviours.  These do not impact on knowledge, attitudes and values, therefore they are difficult to maintain in the long term</w:t>
      </w:r>
      <w:bookmarkStart w:id="51" w:name="_Ref284151241"/>
      <w:r w:rsidR="0062054F">
        <w:rPr>
          <w:rFonts w:asciiTheme="minorHAnsi" w:hAnsiTheme="minorHAnsi" w:cstheme="minorHAnsi"/>
        </w:rPr>
        <w:t>.</w:t>
      </w:r>
      <w:r w:rsidRPr="007C6320">
        <w:rPr>
          <w:rStyle w:val="EndnoteReference"/>
          <w:rFonts w:asciiTheme="minorHAnsi" w:hAnsiTheme="minorHAnsi" w:cstheme="minorHAnsi"/>
        </w:rPr>
        <w:endnoteReference w:id="179"/>
      </w:r>
      <w:bookmarkEnd w:id="51"/>
      <w:r w:rsidRPr="007C6320">
        <w:rPr>
          <w:rFonts w:asciiTheme="minorHAnsi" w:hAnsiTheme="minorHAnsi" w:cstheme="minorHAnsi"/>
        </w:rPr>
        <w:t xml:space="preserve"> Even in situations involving largely automatic behaviours, there is a need for caution in terms of the acceptability of allowing ourselves to be nudged towards what experts judge to be desirable</w:t>
      </w:r>
      <w:r w:rsidR="0062054F">
        <w:rPr>
          <w:rFonts w:asciiTheme="minorHAnsi" w:hAnsiTheme="minorHAnsi" w:cstheme="minorHAnsi"/>
        </w:rPr>
        <w:t>.</w:t>
      </w:r>
      <w:r w:rsidRPr="007C6320">
        <w:rPr>
          <w:rStyle w:val="EndnoteReference"/>
          <w:rFonts w:asciiTheme="minorHAnsi" w:hAnsiTheme="minorHAnsi" w:cstheme="minorHAnsi"/>
        </w:rPr>
        <w:endnoteReference w:id="180"/>
      </w:r>
      <w:r w:rsidRPr="007C6320">
        <w:rPr>
          <w:rFonts w:asciiTheme="minorHAnsi" w:hAnsiTheme="minorHAnsi" w:cstheme="minorHAnsi"/>
        </w:rPr>
        <w:t xml:space="preserve">  What may be interpreted as a nudge by the originators may be perceived as a shove by recipients</w:t>
      </w:r>
      <w:r w:rsidRPr="007C6320">
        <w:rPr>
          <w:rStyle w:val="EndnoteReference"/>
          <w:rFonts w:asciiTheme="minorHAnsi" w:hAnsiTheme="minorHAnsi" w:cstheme="minorHAnsi"/>
        </w:rPr>
        <w:endnoteReference w:id="181"/>
      </w:r>
      <w:r w:rsidRPr="007C6320">
        <w:rPr>
          <w:rFonts w:asciiTheme="minorHAnsi" w:hAnsiTheme="minorHAnsi" w:cstheme="minorHAnsi"/>
        </w:rPr>
        <w:t xml:space="preserve"> – and the media.  </w:t>
      </w:r>
    </w:p>
    <w:p w:rsidR="002A0207" w:rsidRPr="007C6320" w:rsidRDefault="002A0207" w:rsidP="002A0207">
      <w:pPr>
        <w:jc w:val="both"/>
        <w:rPr>
          <w:rFonts w:asciiTheme="minorHAnsi" w:hAnsiTheme="minorHAnsi" w:cstheme="minorHAnsi"/>
        </w:rPr>
      </w:pPr>
    </w:p>
    <w:p w:rsidR="002A0207" w:rsidRPr="007C6320" w:rsidRDefault="002A0207" w:rsidP="002A0207">
      <w:pPr>
        <w:jc w:val="both"/>
        <w:rPr>
          <w:rFonts w:asciiTheme="minorHAnsi" w:hAnsiTheme="minorHAnsi" w:cstheme="minorHAnsi"/>
        </w:rPr>
      </w:pPr>
      <w:r w:rsidRPr="007C6320">
        <w:rPr>
          <w:rFonts w:asciiTheme="minorHAnsi" w:hAnsiTheme="minorHAnsi" w:cstheme="minorHAnsi"/>
        </w:rPr>
        <w:t>There is also a potential conflict between the assumption of choice architecture that maximises healthy eating proposed in Thaler &amp;</w:t>
      </w:r>
      <w:r w:rsidR="00A56AAF">
        <w:rPr>
          <w:rFonts w:asciiTheme="minorHAnsi" w:hAnsiTheme="minorHAnsi" w:cstheme="minorHAnsi"/>
        </w:rPr>
        <w:t xml:space="preserve"> </w:t>
      </w:r>
      <w:r w:rsidRPr="007C6320">
        <w:rPr>
          <w:rFonts w:asciiTheme="minorHAnsi" w:hAnsiTheme="minorHAnsi" w:cstheme="minorHAnsi"/>
        </w:rPr>
        <w:t>Su</w:t>
      </w:r>
      <w:r w:rsidR="00A56AAF">
        <w:rPr>
          <w:rFonts w:asciiTheme="minorHAnsi" w:hAnsiTheme="minorHAnsi" w:cstheme="minorHAnsi"/>
        </w:rPr>
        <w:t>n</w:t>
      </w:r>
      <w:r w:rsidRPr="007C6320">
        <w:rPr>
          <w:rFonts w:asciiTheme="minorHAnsi" w:hAnsiTheme="minorHAnsi" w:cstheme="minorHAnsi"/>
        </w:rPr>
        <w:t>stein</w:t>
      </w:r>
      <w:r w:rsidR="00A56AAF">
        <w:rPr>
          <w:rFonts w:asciiTheme="minorHAnsi" w:hAnsiTheme="minorHAnsi" w:cstheme="minorHAnsi"/>
        </w:rPr>
        <w:t>’s</w:t>
      </w:r>
      <w:r w:rsidRPr="007C6320">
        <w:rPr>
          <w:rFonts w:asciiTheme="minorHAnsi" w:hAnsiTheme="minorHAnsi" w:cstheme="minorHAnsi"/>
        </w:rPr>
        <w:t xml:space="preserve"> </w:t>
      </w:r>
      <w:r w:rsidRPr="007C6320">
        <w:rPr>
          <w:rFonts w:asciiTheme="minorHAnsi" w:hAnsiTheme="minorHAnsi" w:cstheme="minorHAnsi"/>
          <w:i/>
        </w:rPr>
        <w:t>Nudge</w:t>
      </w:r>
      <w:r w:rsidRPr="007C6320">
        <w:rPr>
          <w:rFonts w:asciiTheme="minorHAnsi" w:hAnsiTheme="minorHAnsi" w:cstheme="minorHAnsi"/>
        </w:rPr>
        <w:t xml:space="preserve"> text and commercial </w:t>
      </w:r>
      <w:r w:rsidR="00972975" w:rsidRPr="007C6320">
        <w:rPr>
          <w:rFonts w:asciiTheme="minorHAnsi" w:hAnsiTheme="minorHAnsi" w:cstheme="minorHAnsi"/>
        </w:rPr>
        <w:t>imperatives</w:t>
      </w:r>
      <w:r w:rsidRPr="007C6320">
        <w:rPr>
          <w:rFonts w:asciiTheme="minorHAnsi" w:hAnsiTheme="minorHAnsi" w:cstheme="minorHAnsi"/>
        </w:rPr>
        <w:t>.  Many marketers and large retailers use sophisticated computer-based analysis to enable decisions to be made on optimum shelf position and space allocation that will maximise profit</w:t>
      </w:r>
      <w:r w:rsidR="0062054F">
        <w:rPr>
          <w:rFonts w:asciiTheme="minorHAnsi" w:hAnsiTheme="minorHAnsi" w:cstheme="minorHAnsi"/>
        </w:rPr>
        <w:t>.</w:t>
      </w:r>
      <w:r w:rsidRPr="007C6320">
        <w:rPr>
          <w:rStyle w:val="EndnoteReference"/>
          <w:rFonts w:asciiTheme="minorHAnsi" w:hAnsiTheme="minorHAnsi" w:cstheme="minorHAnsi"/>
        </w:rPr>
        <w:endnoteReference w:id="182"/>
      </w:r>
      <w:r w:rsidRPr="007C6320">
        <w:rPr>
          <w:rFonts w:asciiTheme="minorHAnsi" w:hAnsiTheme="minorHAnsi" w:cstheme="minorHAnsi"/>
          <w:vertAlign w:val="superscript"/>
        </w:rPr>
        <w:t xml:space="preserve">, </w:t>
      </w:r>
      <w:r w:rsidRPr="007C6320">
        <w:rPr>
          <w:rStyle w:val="EndnoteReference"/>
          <w:rFonts w:asciiTheme="minorHAnsi" w:hAnsiTheme="minorHAnsi" w:cstheme="minorHAnsi"/>
        </w:rPr>
        <w:endnoteReference w:id="183"/>
      </w:r>
      <w:r w:rsidRPr="007C6320">
        <w:rPr>
          <w:rFonts w:asciiTheme="minorHAnsi" w:hAnsiTheme="minorHAnsi" w:cstheme="minorHAnsi"/>
        </w:rPr>
        <w:t xml:space="preserve"> The same principle applies to fast food flyers and menus</w:t>
      </w:r>
      <w:r w:rsidR="0062054F">
        <w:rPr>
          <w:rFonts w:asciiTheme="minorHAnsi" w:hAnsiTheme="minorHAnsi" w:cstheme="minorHAnsi"/>
        </w:rPr>
        <w:t>.</w:t>
      </w:r>
      <w:r w:rsidRPr="007C6320">
        <w:rPr>
          <w:rStyle w:val="EndnoteReference"/>
          <w:rFonts w:asciiTheme="minorHAnsi" w:hAnsiTheme="minorHAnsi" w:cstheme="minorHAnsi"/>
        </w:rPr>
        <w:endnoteReference w:id="184"/>
      </w:r>
    </w:p>
    <w:p w:rsidR="002A0207" w:rsidRDefault="002A0207" w:rsidP="002A0207">
      <w:pPr>
        <w:jc w:val="both"/>
        <w:rPr>
          <w:rFonts w:asciiTheme="minorHAnsi" w:hAnsiTheme="minorHAnsi" w:cstheme="minorHAnsi"/>
        </w:rPr>
      </w:pPr>
    </w:p>
    <w:p w:rsidR="002A0207" w:rsidRPr="007C6320" w:rsidRDefault="002A0207" w:rsidP="002A0207">
      <w:pPr>
        <w:jc w:val="both"/>
        <w:rPr>
          <w:rFonts w:asciiTheme="minorHAnsi" w:hAnsiTheme="minorHAnsi" w:cstheme="minorHAnsi"/>
        </w:rPr>
      </w:pPr>
      <w:r w:rsidRPr="007C6320">
        <w:rPr>
          <w:rFonts w:asciiTheme="minorHAnsi" w:hAnsiTheme="minorHAnsi" w:cstheme="minorHAnsi"/>
        </w:rPr>
        <w:t xml:space="preserve">The nudge approach has not </w:t>
      </w:r>
      <w:r>
        <w:rPr>
          <w:rFonts w:asciiTheme="minorHAnsi" w:hAnsiTheme="minorHAnsi" w:cstheme="minorHAnsi"/>
        </w:rPr>
        <w:t xml:space="preserve">yet </w:t>
      </w:r>
      <w:r w:rsidRPr="007C6320">
        <w:rPr>
          <w:rFonts w:asciiTheme="minorHAnsi" w:hAnsiTheme="minorHAnsi" w:cstheme="minorHAnsi"/>
        </w:rPr>
        <w:t>been tested or systematically analysed</w:t>
      </w:r>
      <w:r>
        <w:rPr>
          <w:rFonts w:asciiTheme="minorHAnsi" w:hAnsiTheme="minorHAnsi" w:cstheme="minorHAnsi"/>
        </w:rPr>
        <w:t xml:space="preserve"> across a range of intervention types</w:t>
      </w:r>
      <w:r w:rsidR="0062054F">
        <w:rPr>
          <w:rFonts w:asciiTheme="minorHAnsi" w:hAnsiTheme="minorHAnsi" w:cstheme="minorHAnsi"/>
        </w:rPr>
        <w:t>,</w:t>
      </w:r>
      <w:fldSimple w:instr=" NOTEREF _Ref284151241 \h  \* MERGEFORMAT ">
        <w:r w:rsidR="00CE6342" w:rsidRPr="00CE6342">
          <w:rPr>
            <w:rFonts w:asciiTheme="minorHAnsi" w:hAnsiTheme="minorHAnsi" w:cstheme="minorHAnsi"/>
            <w:vertAlign w:val="superscript"/>
          </w:rPr>
          <w:t>179</w:t>
        </w:r>
      </w:fldSimple>
      <w:r w:rsidRPr="007C6320">
        <w:rPr>
          <w:rFonts w:asciiTheme="minorHAnsi" w:hAnsiTheme="minorHAnsi" w:cstheme="minorHAnsi"/>
        </w:rPr>
        <w:t xml:space="preserve"> nor has its relative efficacy been compared to other approaches or intervention types across population segments and behaviours.  There is a possibility that the Nudge approach could widen health inequalities if strategies targeting high risk groups are used at the expense of wider-focussed approaches.  As noted earlier, the key question</w:t>
      </w:r>
      <w:r w:rsidR="00A42D2C">
        <w:rPr>
          <w:rFonts w:asciiTheme="minorHAnsi" w:hAnsiTheme="minorHAnsi" w:cstheme="minorHAnsi"/>
        </w:rPr>
        <w:t>s that remain unanswered are:  ‘</w:t>
      </w:r>
      <w:r w:rsidRPr="007C6320">
        <w:rPr>
          <w:rFonts w:asciiTheme="minorHAnsi" w:hAnsiTheme="minorHAnsi" w:cstheme="minorHAnsi"/>
        </w:rPr>
        <w:t>what works, for whom, in what circumstances and for how long</w:t>
      </w:r>
      <w:r w:rsidR="0062054F">
        <w:rPr>
          <w:rFonts w:asciiTheme="minorHAnsi" w:hAnsiTheme="minorHAnsi" w:cstheme="minorHAnsi"/>
        </w:rPr>
        <w:t>’.</w:t>
      </w:r>
      <w:fldSimple w:instr=" NOTEREF _Ref284832128 \h  \* MERGEFORMAT ">
        <w:r w:rsidR="00CE6342" w:rsidRPr="00CE6342">
          <w:rPr>
            <w:rFonts w:asciiTheme="minorHAnsi" w:hAnsiTheme="minorHAnsi" w:cstheme="minorHAnsi"/>
            <w:vertAlign w:val="superscript"/>
          </w:rPr>
          <w:t>20</w:t>
        </w:r>
      </w:fldSimple>
      <w:r w:rsidR="0062054F">
        <w:rPr>
          <w:rFonts w:asciiTheme="minorHAnsi" w:hAnsiTheme="minorHAnsi" w:cstheme="minorHAnsi"/>
          <w:vertAlign w:val="superscript"/>
        </w:rPr>
        <w:t>, p.</w:t>
      </w:r>
      <w:r w:rsidRPr="007C6320">
        <w:rPr>
          <w:rFonts w:asciiTheme="minorHAnsi" w:hAnsiTheme="minorHAnsi" w:cstheme="minorHAnsi"/>
          <w:vertAlign w:val="superscript"/>
        </w:rPr>
        <w:t>264</w:t>
      </w:r>
      <w:r w:rsidRPr="007C6320">
        <w:rPr>
          <w:rFonts w:asciiTheme="minorHAnsi" w:hAnsiTheme="minorHAnsi" w:cstheme="minorHAnsi"/>
        </w:rPr>
        <w:t xml:space="preserve"> Behavioural economics approaches tend to focus intervention</w:t>
      </w:r>
      <w:r w:rsidR="00A56AAF">
        <w:rPr>
          <w:rFonts w:asciiTheme="minorHAnsi" w:hAnsiTheme="minorHAnsi" w:cstheme="minorHAnsi"/>
        </w:rPr>
        <w:t>s</w:t>
      </w:r>
      <w:r w:rsidRPr="007C6320">
        <w:rPr>
          <w:rFonts w:asciiTheme="minorHAnsi" w:hAnsiTheme="minorHAnsi" w:cstheme="minorHAnsi"/>
        </w:rPr>
        <w:t xml:space="preserve"> at the point of decision making, thus requiring continual interventions rather than attempting to fundamentally change underlying attitudes, values and other base conditions.  </w:t>
      </w:r>
    </w:p>
    <w:p w:rsidR="002A0207" w:rsidRPr="007C6320" w:rsidRDefault="002A0207" w:rsidP="002A0207">
      <w:pPr>
        <w:jc w:val="both"/>
        <w:rPr>
          <w:rFonts w:asciiTheme="minorHAnsi" w:hAnsiTheme="minorHAnsi" w:cstheme="minorHAnsi"/>
        </w:rPr>
      </w:pPr>
    </w:p>
    <w:p w:rsidR="00972975" w:rsidRDefault="001813C9" w:rsidP="00695533">
      <w:pPr>
        <w:pStyle w:val="Heading3"/>
      </w:pPr>
      <w:bookmarkStart w:id="52" w:name="_Toc289256759"/>
      <w:r>
        <w:lastRenderedPageBreak/>
        <w:t>8</w:t>
      </w:r>
      <w:r w:rsidR="00695533">
        <w:t>.3   Unintended c</w:t>
      </w:r>
      <w:r w:rsidR="00972975">
        <w:t>onsequences</w:t>
      </w:r>
      <w:bookmarkEnd w:id="52"/>
    </w:p>
    <w:p w:rsidR="0062054F" w:rsidRDefault="0062054F" w:rsidP="002A0207">
      <w:pPr>
        <w:jc w:val="both"/>
        <w:rPr>
          <w:rFonts w:asciiTheme="minorHAnsi" w:hAnsiTheme="minorHAnsi"/>
        </w:rPr>
      </w:pPr>
    </w:p>
    <w:p w:rsidR="002A0207" w:rsidRDefault="002A0207" w:rsidP="002A0207">
      <w:pPr>
        <w:jc w:val="both"/>
        <w:rPr>
          <w:rFonts w:asciiTheme="minorHAnsi" w:hAnsiTheme="minorHAnsi"/>
          <w:bCs/>
        </w:rPr>
      </w:pPr>
      <w:r w:rsidRPr="007C6320">
        <w:rPr>
          <w:rFonts w:asciiTheme="minorHAnsi" w:hAnsiTheme="minorHAnsi"/>
        </w:rPr>
        <w:t>Research in other areas suggests that this approach may also lead to reactance effects.  The theory of psychological reactance originated in the 1960s</w:t>
      </w:r>
      <w:r w:rsidR="0062054F">
        <w:rPr>
          <w:rFonts w:asciiTheme="minorHAnsi" w:hAnsiTheme="minorHAnsi"/>
        </w:rPr>
        <w:t>.</w:t>
      </w:r>
      <w:r w:rsidRPr="007C6320">
        <w:rPr>
          <w:rStyle w:val="EndnoteReference"/>
          <w:rFonts w:asciiTheme="minorHAnsi" w:eastAsia="Cambria" w:hAnsiTheme="minorHAnsi"/>
        </w:rPr>
        <w:endnoteReference w:id="185"/>
      </w:r>
      <w:r w:rsidRPr="007C6320">
        <w:rPr>
          <w:rFonts w:asciiTheme="minorHAnsi" w:hAnsiTheme="minorHAnsi"/>
          <w:vertAlign w:val="superscript"/>
        </w:rPr>
        <w:t xml:space="preserve">, </w:t>
      </w:r>
      <w:r w:rsidRPr="007C6320">
        <w:rPr>
          <w:rStyle w:val="EndnoteReference"/>
          <w:rFonts w:asciiTheme="minorHAnsi" w:eastAsia="Cambria" w:hAnsiTheme="minorHAnsi"/>
        </w:rPr>
        <w:endnoteReference w:id="186"/>
      </w:r>
      <w:r w:rsidRPr="007C6320">
        <w:rPr>
          <w:rFonts w:asciiTheme="minorHAnsi" w:hAnsiTheme="minorHAnsi"/>
        </w:rPr>
        <w:t xml:space="preserve"> It states that direct or potential perceived threats to personal freedom, such as consumption of specific products or engaging in particular behaviours, may be resisted.  Furthermore, </w:t>
      </w:r>
      <w:r w:rsidRPr="007C6320">
        <w:rPr>
          <w:rFonts w:asciiTheme="minorHAnsi" w:hAnsiTheme="minorHAnsi"/>
          <w:bCs/>
        </w:rPr>
        <w:t xml:space="preserve">people may then become motivated by the perceived threat itself, rather than the actual consequences of the threat, to assert their freedom and regain control of their own decision making and thereby of their threatened freedom.  </w:t>
      </w:r>
    </w:p>
    <w:p w:rsidR="002A0207" w:rsidRDefault="002A0207" w:rsidP="002A0207">
      <w:pPr>
        <w:jc w:val="both"/>
        <w:rPr>
          <w:rFonts w:asciiTheme="minorHAnsi" w:hAnsiTheme="minorHAnsi"/>
          <w:bCs/>
        </w:rPr>
      </w:pPr>
    </w:p>
    <w:p w:rsidR="002A0207" w:rsidRPr="007C6320" w:rsidRDefault="002A0207" w:rsidP="002A0207">
      <w:pPr>
        <w:jc w:val="both"/>
        <w:rPr>
          <w:rFonts w:asciiTheme="minorHAnsi" w:hAnsiTheme="minorHAnsi"/>
          <w:bCs/>
        </w:rPr>
      </w:pPr>
      <w:r>
        <w:rPr>
          <w:rFonts w:asciiTheme="minorHAnsi" w:hAnsiTheme="minorHAnsi"/>
          <w:bCs/>
        </w:rPr>
        <w:t xml:space="preserve">A further danger is that awareness of attempts to manipulate behaviours may result in the behaviour itself </w:t>
      </w:r>
      <w:r w:rsidR="00A42D2C">
        <w:rPr>
          <w:rFonts w:asciiTheme="minorHAnsi" w:hAnsiTheme="minorHAnsi"/>
          <w:bCs/>
        </w:rPr>
        <w:t>becoming more attractive – the ‘</w:t>
      </w:r>
      <w:r>
        <w:rPr>
          <w:rFonts w:asciiTheme="minorHAnsi" w:hAnsiTheme="minorHAnsi"/>
          <w:bCs/>
        </w:rPr>
        <w:t>forbidden fruit</w:t>
      </w:r>
      <w:r w:rsidR="00A42D2C">
        <w:rPr>
          <w:rFonts w:asciiTheme="minorHAnsi" w:hAnsiTheme="minorHAnsi"/>
          <w:bCs/>
        </w:rPr>
        <w:t>’</w:t>
      </w:r>
      <w:r>
        <w:rPr>
          <w:rFonts w:asciiTheme="minorHAnsi" w:hAnsiTheme="minorHAnsi"/>
          <w:bCs/>
        </w:rPr>
        <w:t xml:space="preserve"> problem that has been seen in interventions such as tobacco cessation programmes targeting adolescents</w:t>
      </w:r>
      <w:r w:rsidR="0062054F">
        <w:rPr>
          <w:rFonts w:asciiTheme="minorHAnsi" w:hAnsiTheme="minorHAnsi"/>
          <w:bCs/>
        </w:rPr>
        <w:t>.</w:t>
      </w:r>
      <w:r>
        <w:rPr>
          <w:rStyle w:val="EndnoteReference"/>
          <w:rFonts w:asciiTheme="minorHAnsi" w:hAnsiTheme="minorHAnsi"/>
          <w:bCs/>
        </w:rPr>
        <w:endnoteReference w:id="187"/>
      </w:r>
    </w:p>
    <w:p w:rsidR="002A0207" w:rsidRPr="007C6320" w:rsidRDefault="002A0207" w:rsidP="002A0207">
      <w:pPr>
        <w:jc w:val="both"/>
        <w:rPr>
          <w:rFonts w:asciiTheme="minorHAnsi" w:hAnsiTheme="minorHAnsi"/>
          <w:bCs/>
        </w:rPr>
      </w:pPr>
    </w:p>
    <w:p w:rsidR="002A0207" w:rsidRPr="007C6320" w:rsidRDefault="002A0207" w:rsidP="002A0207">
      <w:pPr>
        <w:jc w:val="both"/>
        <w:rPr>
          <w:rFonts w:asciiTheme="minorHAnsi" w:hAnsiTheme="minorHAnsi" w:cstheme="minorHAnsi"/>
        </w:rPr>
      </w:pPr>
      <w:r w:rsidRPr="007C6320">
        <w:rPr>
          <w:rFonts w:asciiTheme="minorHAnsi" w:hAnsiTheme="minorHAnsi" w:cstheme="minorHAnsi"/>
          <w:bCs/>
        </w:rPr>
        <w:t>Engaging in the threatened behaviour is one means of re-establishing this freedom</w:t>
      </w:r>
      <w:r w:rsidR="0062054F">
        <w:rPr>
          <w:rFonts w:asciiTheme="minorHAnsi" w:hAnsiTheme="minorHAnsi" w:cstheme="minorHAnsi"/>
          <w:bCs/>
        </w:rPr>
        <w:t>.</w:t>
      </w:r>
      <w:r w:rsidRPr="007C6320">
        <w:rPr>
          <w:rStyle w:val="EndnoteReference"/>
          <w:rFonts w:asciiTheme="minorHAnsi" w:eastAsia="Cambria" w:hAnsiTheme="minorHAnsi" w:cstheme="minorHAnsi"/>
          <w:bCs/>
        </w:rPr>
        <w:endnoteReference w:id="188"/>
      </w:r>
      <w:r w:rsidRPr="007C6320">
        <w:rPr>
          <w:rFonts w:asciiTheme="minorHAnsi" w:hAnsiTheme="minorHAnsi" w:cstheme="minorHAnsi"/>
        </w:rPr>
        <w:t xml:space="preserve"> Reactance effects appear to be strongest when the threatened freedom is perceived as important and the affected individual </w:t>
      </w:r>
      <w:r w:rsidR="006E7D32">
        <w:rPr>
          <w:rFonts w:asciiTheme="minorHAnsi" w:hAnsiTheme="minorHAnsi" w:cstheme="minorHAnsi"/>
        </w:rPr>
        <w:t xml:space="preserve">perceives </w:t>
      </w:r>
      <w:r w:rsidRPr="007C6320">
        <w:rPr>
          <w:rFonts w:asciiTheme="minorHAnsi" w:hAnsiTheme="minorHAnsi" w:cstheme="minorHAnsi"/>
        </w:rPr>
        <w:t>that their 'counterforce' efforts will achieve personal control. Conversely, if an individual does not perceive that their actions will be effective in countering the threat, reactance will be minimal</w:t>
      </w:r>
      <w:r w:rsidR="0062054F">
        <w:rPr>
          <w:rFonts w:asciiTheme="minorHAnsi" w:hAnsiTheme="minorHAnsi" w:cstheme="minorHAnsi"/>
        </w:rPr>
        <w:t>.</w:t>
      </w:r>
      <w:r w:rsidRPr="007C6320">
        <w:rPr>
          <w:rStyle w:val="EndnoteReference"/>
          <w:rFonts w:asciiTheme="minorHAnsi" w:eastAsia="Cambria" w:hAnsiTheme="minorHAnsi" w:cstheme="minorHAnsi"/>
        </w:rPr>
        <w:endnoteReference w:id="189"/>
      </w:r>
      <w:r w:rsidRPr="007C6320">
        <w:rPr>
          <w:rFonts w:asciiTheme="minorHAnsi" w:hAnsiTheme="minorHAnsi" w:cstheme="minorHAnsi"/>
        </w:rPr>
        <w:t xml:space="preserve">  </w:t>
      </w:r>
    </w:p>
    <w:p w:rsidR="002A0207" w:rsidRPr="007C6320" w:rsidRDefault="002A0207" w:rsidP="002A0207">
      <w:pPr>
        <w:jc w:val="both"/>
        <w:rPr>
          <w:rFonts w:asciiTheme="minorHAnsi" w:hAnsiTheme="minorHAnsi" w:cstheme="minorHAnsi"/>
        </w:rPr>
      </w:pPr>
    </w:p>
    <w:p w:rsidR="002A0207" w:rsidRPr="007C6320" w:rsidRDefault="002A0207" w:rsidP="002A0207">
      <w:pPr>
        <w:jc w:val="both"/>
        <w:rPr>
          <w:rFonts w:asciiTheme="minorHAnsi" w:hAnsiTheme="minorHAnsi" w:cstheme="minorHAnsi"/>
          <w:lang w:val="en-US"/>
        </w:rPr>
      </w:pPr>
      <w:r w:rsidRPr="007C6320">
        <w:rPr>
          <w:rFonts w:asciiTheme="minorHAnsi" w:hAnsiTheme="minorHAnsi" w:cstheme="minorHAnsi"/>
        </w:rPr>
        <w:t xml:space="preserve">In terms of persuasive communication such as mass media public health intervention programmes, reactance may generate actions that resist or are the opposite of those desired by the individuals or organizations seeking to influence </w:t>
      </w:r>
      <w:r w:rsidR="0062054F">
        <w:rPr>
          <w:rFonts w:asciiTheme="minorHAnsi" w:hAnsiTheme="minorHAnsi" w:cstheme="minorHAnsi"/>
        </w:rPr>
        <w:t xml:space="preserve">both attitudes and behaviours. </w:t>
      </w:r>
      <w:r w:rsidRPr="007C6320">
        <w:rPr>
          <w:rFonts w:asciiTheme="minorHAnsi" w:hAnsiTheme="minorHAnsi" w:cstheme="minorHAnsi"/>
          <w:lang w:val="en-US"/>
        </w:rPr>
        <w:t>Reactance effects explain not only why some public health interventions may not be effective, but also why they may produce effects contrary to those intended</w:t>
      </w:r>
      <w:r w:rsidR="0062054F">
        <w:rPr>
          <w:rFonts w:asciiTheme="minorHAnsi" w:hAnsiTheme="minorHAnsi" w:cstheme="minorHAnsi"/>
          <w:lang w:val="en-US"/>
        </w:rPr>
        <w:t>.</w:t>
      </w:r>
      <w:r w:rsidRPr="007C6320">
        <w:rPr>
          <w:rStyle w:val="EndnoteReference"/>
          <w:rFonts w:asciiTheme="minorHAnsi" w:eastAsia="Cambria" w:hAnsiTheme="minorHAnsi" w:cstheme="minorHAnsi"/>
          <w:lang w:val="en-US"/>
        </w:rPr>
        <w:endnoteReference w:id="190"/>
      </w:r>
    </w:p>
    <w:p w:rsidR="002A0207" w:rsidRPr="00AE1B5A" w:rsidRDefault="002A0207" w:rsidP="002A0207">
      <w:pPr>
        <w:rPr>
          <w:rFonts w:asciiTheme="minorHAnsi" w:hAnsiTheme="minorHAnsi" w:cstheme="minorHAnsi"/>
          <w:i/>
        </w:rPr>
      </w:pPr>
    </w:p>
    <w:p w:rsidR="00972975" w:rsidRDefault="001813C9" w:rsidP="00695533">
      <w:pPr>
        <w:pStyle w:val="Heading3"/>
      </w:pPr>
      <w:bookmarkStart w:id="53" w:name="_Toc289256760"/>
      <w:r>
        <w:t>8</w:t>
      </w:r>
      <w:r w:rsidR="00695533">
        <w:t>.4   Message f</w:t>
      </w:r>
      <w:r w:rsidR="00972975">
        <w:t>raming</w:t>
      </w:r>
      <w:bookmarkEnd w:id="53"/>
    </w:p>
    <w:p w:rsidR="0062054F" w:rsidRDefault="0062054F" w:rsidP="002A0207">
      <w:pPr>
        <w:tabs>
          <w:tab w:val="left" w:pos="3686"/>
        </w:tabs>
        <w:jc w:val="both"/>
        <w:rPr>
          <w:rFonts w:asciiTheme="minorHAnsi" w:hAnsiTheme="minorHAnsi" w:cstheme="minorHAnsi"/>
        </w:rPr>
      </w:pPr>
    </w:p>
    <w:p w:rsidR="002A0207" w:rsidRPr="00AE1B5A" w:rsidRDefault="002A0207" w:rsidP="002A0207">
      <w:pPr>
        <w:tabs>
          <w:tab w:val="left" w:pos="3686"/>
        </w:tabs>
        <w:jc w:val="both"/>
        <w:rPr>
          <w:rFonts w:asciiTheme="minorHAnsi" w:hAnsiTheme="minorHAnsi" w:cstheme="minorHAnsi"/>
        </w:rPr>
      </w:pPr>
      <w:r w:rsidRPr="00AE1B5A">
        <w:rPr>
          <w:rFonts w:asciiTheme="minorHAnsi" w:hAnsiTheme="minorHAnsi" w:cstheme="minorHAnsi"/>
        </w:rPr>
        <w:t>Nudge approaches may also over-simplify the complexity of message framing, which has its origins in prospect theory</w:t>
      </w:r>
      <w:r w:rsidRPr="00AE1B5A">
        <w:rPr>
          <w:rStyle w:val="EndnoteReference"/>
          <w:rFonts w:asciiTheme="minorHAnsi" w:eastAsiaTheme="majorEastAsia" w:hAnsiTheme="minorHAnsi" w:cstheme="minorHAnsi"/>
        </w:rPr>
        <w:endnoteReference w:id="191"/>
      </w:r>
      <w:r w:rsidRPr="0062054F">
        <w:rPr>
          <w:rFonts w:asciiTheme="minorHAnsi" w:hAnsiTheme="minorHAnsi" w:cstheme="minorHAnsi"/>
          <w:vertAlign w:val="superscript"/>
        </w:rPr>
        <w:t>,</w:t>
      </w:r>
      <w:r w:rsidRPr="00AE1B5A">
        <w:rPr>
          <w:rStyle w:val="EndnoteReference"/>
          <w:rFonts w:asciiTheme="minorHAnsi" w:eastAsiaTheme="majorEastAsia" w:hAnsiTheme="minorHAnsi" w:cstheme="minorHAnsi"/>
        </w:rPr>
        <w:endnoteReference w:id="192"/>
      </w:r>
      <w:r w:rsidRPr="00AE1B5A">
        <w:rPr>
          <w:rFonts w:asciiTheme="minorHAnsi" w:hAnsiTheme="minorHAnsi" w:cstheme="minorHAnsi"/>
        </w:rPr>
        <w:t xml:space="preserve">and developed from extensive research into responses to people’s perceptions of the prospect of positive (gain) or negative (loss) outcomes stemming from specific behaviours.  It generally refers to the way the health (or socially relevant) message should be framed: i.e. the message can either emphasise the advantages of doing a certain action (e.g. for example losing weight as a result of regular exercise) or it can emphasise the negative consequences of not taking a certain action (e.g. having a higher likelihood of cardiovascular disease as a result of not taking regular exercise). </w:t>
      </w:r>
    </w:p>
    <w:p w:rsidR="002A0207" w:rsidRPr="00AE1B5A" w:rsidRDefault="002A0207" w:rsidP="002A0207">
      <w:pPr>
        <w:tabs>
          <w:tab w:val="left" w:pos="3686"/>
        </w:tabs>
        <w:jc w:val="both"/>
        <w:rPr>
          <w:rFonts w:asciiTheme="minorHAnsi" w:hAnsiTheme="minorHAnsi" w:cstheme="minorHAnsi"/>
        </w:rPr>
      </w:pPr>
    </w:p>
    <w:p w:rsidR="002A0207" w:rsidRPr="00AE1B5A" w:rsidRDefault="002A0207" w:rsidP="002A0207">
      <w:pPr>
        <w:tabs>
          <w:tab w:val="left" w:pos="3686"/>
        </w:tabs>
        <w:jc w:val="both"/>
        <w:rPr>
          <w:rFonts w:asciiTheme="minorHAnsi" w:hAnsiTheme="minorHAnsi" w:cstheme="minorHAnsi"/>
        </w:rPr>
      </w:pPr>
      <w:r w:rsidRPr="00AE1B5A">
        <w:rPr>
          <w:rFonts w:asciiTheme="minorHAnsi" w:hAnsiTheme="minorHAnsi" w:cstheme="minorHAnsi"/>
        </w:rPr>
        <w:t xml:space="preserve">For example, the international 5+ A Day campaign promotes the </w:t>
      </w:r>
      <w:r>
        <w:rPr>
          <w:rFonts w:asciiTheme="minorHAnsi" w:hAnsiTheme="minorHAnsi" w:cstheme="minorHAnsi"/>
        </w:rPr>
        <w:t xml:space="preserve">positive benefits of </w:t>
      </w:r>
      <w:r w:rsidRPr="00AE1B5A">
        <w:rPr>
          <w:rFonts w:asciiTheme="minorHAnsi" w:hAnsiTheme="minorHAnsi" w:cstheme="minorHAnsi"/>
        </w:rPr>
        <w:t>consumption of fruit and vegetables</w:t>
      </w:r>
      <w:r>
        <w:rPr>
          <w:rFonts w:asciiTheme="minorHAnsi" w:hAnsiTheme="minorHAnsi" w:cstheme="minorHAnsi"/>
        </w:rPr>
        <w:t>, i.e.</w:t>
      </w:r>
      <w:r w:rsidRPr="00AE1B5A">
        <w:rPr>
          <w:rFonts w:asciiTheme="minorHAnsi" w:hAnsiTheme="minorHAnsi" w:cstheme="minorHAnsi"/>
        </w:rPr>
        <w:t xml:space="preserve"> help</w:t>
      </w:r>
      <w:r>
        <w:rPr>
          <w:rFonts w:asciiTheme="minorHAnsi" w:hAnsiTheme="minorHAnsi" w:cstheme="minorHAnsi"/>
        </w:rPr>
        <w:t>ing</w:t>
      </w:r>
      <w:r w:rsidRPr="00AE1B5A">
        <w:rPr>
          <w:rFonts w:asciiTheme="minorHAnsi" w:hAnsiTheme="minorHAnsi" w:cstheme="minorHAnsi"/>
        </w:rPr>
        <w:t xml:space="preserve"> reduce the risk of diseases like cancer, heart disease and obesity</w:t>
      </w:r>
      <w:r w:rsidR="0062054F">
        <w:rPr>
          <w:rFonts w:asciiTheme="minorHAnsi" w:hAnsiTheme="minorHAnsi" w:cstheme="minorHAnsi"/>
        </w:rPr>
        <w:t>.</w:t>
      </w:r>
      <w:r w:rsidRPr="00AE1B5A">
        <w:rPr>
          <w:rStyle w:val="EndnoteReference"/>
          <w:rFonts w:asciiTheme="minorHAnsi" w:hAnsiTheme="minorHAnsi" w:cstheme="minorHAnsi"/>
        </w:rPr>
        <w:endnoteReference w:id="193"/>
      </w:r>
      <w:r w:rsidRPr="00AE1B5A">
        <w:rPr>
          <w:rFonts w:asciiTheme="minorHAnsi" w:hAnsiTheme="minorHAnsi" w:cstheme="minorHAnsi"/>
        </w:rPr>
        <w:t xml:space="preserve"> Co</w:t>
      </w:r>
      <w:r w:rsidR="00A42D2C">
        <w:rPr>
          <w:rFonts w:asciiTheme="minorHAnsi" w:hAnsiTheme="minorHAnsi" w:cstheme="minorHAnsi"/>
        </w:rPr>
        <w:t>nversely, during the 1980s the ‘</w:t>
      </w:r>
      <w:r w:rsidRPr="00AE1B5A">
        <w:rPr>
          <w:rFonts w:asciiTheme="minorHAnsi" w:hAnsiTheme="minorHAnsi" w:cstheme="minorHAnsi"/>
        </w:rPr>
        <w:t>Don’t die of ignorance</w:t>
      </w:r>
      <w:r w:rsidR="00A42D2C">
        <w:rPr>
          <w:rFonts w:asciiTheme="minorHAnsi" w:hAnsiTheme="minorHAnsi" w:cstheme="minorHAnsi"/>
        </w:rPr>
        <w:t>’</w:t>
      </w:r>
      <w:r w:rsidRPr="00AE1B5A">
        <w:rPr>
          <w:rFonts w:asciiTheme="minorHAnsi" w:hAnsiTheme="minorHAnsi" w:cstheme="minorHAnsi"/>
        </w:rPr>
        <w:t xml:space="preserve"> campaign highlighted negative consequences (illness/death) as a result of not taking action (safer sex behaviour)</w:t>
      </w:r>
      <w:r w:rsidR="0062054F">
        <w:rPr>
          <w:rFonts w:asciiTheme="minorHAnsi" w:hAnsiTheme="minorHAnsi" w:cstheme="minorHAnsi"/>
        </w:rPr>
        <w:t>.</w:t>
      </w:r>
      <w:r w:rsidRPr="00AE1B5A">
        <w:rPr>
          <w:rStyle w:val="EndnoteReference"/>
          <w:rFonts w:asciiTheme="minorHAnsi" w:hAnsiTheme="minorHAnsi" w:cstheme="minorHAnsi"/>
        </w:rPr>
        <w:endnoteReference w:id="194"/>
      </w:r>
      <w:r w:rsidRPr="00AE1B5A">
        <w:rPr>
          <w:rFonts w:asciiTheme="minorHAnsi" w:hAnsiTheme="minorHAnsi" w:cstheme="minorHAnsi"/>
        </w:rPr>
        <w:t xml:space="preserve"> </w:t>
      </w:r>
    </w:p>
    <w:p w:rsidR="002A0207" w:rsidRPr="00AE1B5A" w:rsidRDefault="002A0207" w:rsidP="002A0207">
      <w:pPr>
        <w:tabs>
          <w:tab w:val="left" w:pos="3686"/>
        </w:tabs>
        <w:jc w:val="both"/>
        <w:rPr>
          <w:rFonts w:asciiTheme="minorHAnsi" w:hAnsiTheme="minorHAnsi" w:cstheme="minorHAnsi"/>
        </w:rPr>
      </w:pPr>
    </w:p>
    <w:p w:rsidR="002A0207" w:rsidRPr="00AE1B5A" w:rsidRDefault="002A0207" w:rsidP="002A0207">
      <w:pPr>
        <w:jc w:val="both"/>
        <w:rPr>
          <w:rFonts w:asciiTheme="minorHAnsi" w:hAnsiTheme="minorHAnsi" w:cstheme="minorHAnsi"/>
        </w:rPr>
      </w:pPr>
      <w:r w:rsidRPr="00AE1B5A">
        <w:rPr>
          <w:rFonts w:asciiTheme="minorHAnsi" w:hAnsiTheme="minorHAnsi" w:cstheme="minorHAnsi"/>
        </w:rPr>
        <w:t>Both approaches are potentially successful, and research that has explored the effects of either positive and negative message framing has lead to conflicting results</w:t>
      </w:r>
      <w:r w:rsidR="0062054F">
        <w:rPr>
          <w:rFonts w:asciiTheme="minorHAnsi" w:hAnsiTheme="minorHAnsi" w:cstheme="minorHAnsi"/>
        </w:rPr>
        <w:t>.</w:t>
      </w:r>
      <w:r w:rsidRPr="00AE1B5A">
        <w:rPr>
          <w:rStyle w:val="EndnoteReference"/>
          <w:rFonts w:asciiTheme="minorHAnsi" w:hAnsiTheme="minorHAnsi" w:cstheme="minorHAnsi"/>
        </w:rPr>
        <w:endnoteReference w:id="195"/>
      </w:r>
      <w:r w:rsidRPr="0062054F">
        <w:rPr>
          <w:rFonts w:asciiTheme="minorHAnsi" w:hAnsiTheme="minorHAnsi" w:cstheme="minorHAnsi"/>
          <w:vertAlign w:val="superscript"/>
        </w:rPr>
        <w:t>,</w:t>
      </w:r>
      <w:r w:rsidRPr="00AE1B5A">
        <w:rPr>
          <w:rStyle w:val="EndnoteReference"/>
          <w:rFonts w:asciiTheme="minorHAnsi" w:hAnsiTheme="minorHAnsi" w:cstheme="minorHAnsi"/>
        </w:rPr>
        <w:endnoteReference w:id="196"/>
      </w:r>
      <w:r w:rsidRPr="00AE1B5A">
        <w:rPr>
          <w:rFonts w:asciiTheme="minorHAnsi" w:hAnsiTheme="minorHAnsi" w:cstheme="minorHAnsi"/>
          <w:i/>
        </w:rPr>
        <w:t xml:space="preserve"> </w:t>
      </w:r>
      <w:r w:rsidRPr="00AE1B5A">
        <w:rPr>
          <w:rFonts w:asciiTheme="minorHAnsi" w:hAnsiTheme="minorHAnsi" w:cstheme="minorHAnsi"/>
        </w:rPr>
        <w:t>Therefore, it is now usually regarded as given that no one single framing approach is applicable across all intervention types</w:t>
      </w:r>
      <w:r w:rsidR="0062054F">
        <w:rPr>
          <w:rFonts w:asciiTheme="minorHAnsi" w:hAnsiTheme="minorHAnsi" w:cstheme="minorHAnsi"/>
        </w:rPr>
        <w:t>.</w:t>
      </w:r>
      <w:r w:rsidRPr="00AE1B5A">
        <w:rPr>
          <w:rStyle w:val="EndnoteReference"/>
          <w:rFonts w:asciiTheme="minorHAnsi" w:hAnsiTheme="minorHAnsi" w:cstheme="minorHAnsi"/>
        </w:rPr>
        <w:endnoteReference w:id="197"/>
      </w:r>
      <w:r w:rsidRPr="00AE1B5A">
        <w:rPr>
          <w:rFonts w:asciiTheme="minorHAnsi" w:hAnsiTheme="minorHAnsi" w:cstheme="minorHAnsi"/>
          <w:vertAlign w:val="superscript"/>
        </w:rPr>
        <w:t>,</w:t>
      </w:r>
      <w:r w:rsidRPr="00AE1B5A">
        <w:rPr>
          <w:rStyle w:val="EndnoteReference"/>
          <w:rFonts w:asciiTheme="minorHAnsi" w:hAnsiTheme="minorHAnsi" w:cstheme="minorHAnsi"/>
        </w:rPr>
        <w:endnoteReference w:id="198"/>
      </w:r>
    </w:p>
    <w:p w:rsidR="002A0207" w:rsidRPr="00AE1B5A" w:rsidRDefault="002A0207" w:rsidP="002A0207">
      <w:pPr>
        <w:jc w:val="both"/>
        <w:rPr>
          <w:rFonts w:asciiTheme="minorHAnsi" w:hAnsiTheme="minorHAnsi" w:cstheme="minorHAnsi"/>
        </w:rPr>
      </w:pPr>
    </w:p>
    <w:p w:rsidR="006A2519" w:rsidRDefault="00C65CEA">
      <w:pPr>
        <w:pStyle w:val="Heading3"/>
      </w:pPr>
      <w:bookmarkStart w:id="54" w:name="_Toc289256761"/>
      <w:r w:rsidRPr="00695533">
        <w:t>8.4.1 Message framing – positive messages</w:t>
      </w:r>
      <w:bookmarkEnd w:id="54"/>
    </w:p>
    <w:p w:rsidR="002A0207" w:rsidRDefault="002A0207" w:rsidP="002A0207">
      <w:pPr>
        <w:jc w:val="both"/>
        <w:rPr>
          <w:rFonts w:asciiTheme="minorHAnsi" w:hAnsiTheme="minorHAnsi" w:cstheme="minorHAnsi"/>
        </w:rPr>
      </w:pPr>
      <w:r w:rsidRPr="00AE1B5A">
        <w:rPr>
          <w:rFonts w:asciiTheme="minorHAnsi" w:hAnsiTheme="minorHAnsi" w:cstheme="minorHAnsi"/>
        </w:rPr>
        <w:t xml:space="preserve">Positive framing emphasises the positive outcomes of a given action, for example losing weight as a result of exercise, being healthier after making better dietary choices, etc.  Positively framed </w:t>
      </w:r>
      <w:r w:rsidR="007B5EE8">
        <w:rPr>
          <w:rFonts w:asciiTheme="minorHAnsi" w:hAnsiTheme="minorHAnsi" w:cstheme="minorHAnsi"/>
        </w:rPr>
        <w:t xml:space="preserve">and health affirming </w:t>
      </w:r>
      <w:r w:rsidRPr="00AE1B5A">
        <w:rPr>
          <w:rFonts w:asciiTheme="minorHAnsi" w:hAnsiTheme="minorHAnsi" w:cstheme="minorHAnsi"/>
        </w:rPr>
        <w:t>messages appear to be stronger for preventative behaviour, such as stopping smoking before the onset of ill-health related to smoking</w:t>
      </w:r>
      <w:r>
        <w:rPr>
          <w:rFonts w:asciiTheme="minorHAnsi" w:hAnsiTheme="minorHAnsi" w:cstheme="minorHAnsi"/>
        </w:rPr>
        <w:t xml:space="preserve"> or the benefits of</w:t>
      </w:r>
      <w:r w:rsidRPr="00AE1B5A">
        <w:rPr>
          <w:rFonts w:asciiTheme="minorHAnsi" w:hAnsiTheme="minorHAnsi" w:cstheme="minorHAnsi"/>
        </w:rPr>
        <w:t xml:space="preserve"> immunisation programmes. </w:t>
      </w:r>
    </w:p>
    <w:p w:rsidR="002A0207" w:rsidRDefault="002A0207" w:rsidP="002A0207">
      <w:pPr>
        <w:rPr>
          <w:rFonts w:asciiTheme="minorHAnsi" w:hAnsiTheme="minorHAnsi" w:cstheme="minorHAnsi"/>
        </w:rPr>
      </w:pPr>
    </w:p>
    <w:p w:rsidR="002A0207" w:rsidRPr="00AE1B5A" w:rsidRDefault="002A0207" w:rsidP="002A0207">
      <w:pPr>
        <w:jc w:val="both"/>
        <w:rPr>
          <w:rFonts w:asciiTheme="minorHAnsi" w:hAnsiTheme="minorHAnsi" w:cstheme="minorHAnsi"/>
        </w:rPr>
      </w:pPr>
      <w:r w:rsidRPr="00AE1B5A">
        <w:rPr>
          <w:rFonts w:asciiTheme="minorHAnsi" w:hAnsiTheme="minorHAnsi" w:cstheme="minorHAnsi"/>
        </w:rPr>
        <w:t>However, reviews of previously published studies suggest that this may not apply in all situations</w:t>
      </w:r>
      <w:r w:rsidRPr="00AE1B5A">
        <w:rPr>
          <w:rStyle w:val="EndnoteReference"/>
          <w:rFonts w:asciiTheme="minorHAnsi" w:hAnsiTheme="minorHAnsi" w:cstheme="minorHAnsi"/>
        </w:rPr>
        <w:endnoteReference w:id="199"/>
      </w:r>
      <w:r w:rsidRPr="00AE1B5A">
        <w:rPr>
          <w:rFonts w:asciiTheme="minorHAnsi" w:hAnsiTheme="minorHAnsi" w:cstheme="minorHAnsi"/>
        </w:rPr>
        <w:t>, and in fact, the highly acclaimed and generally successful safer-sex campaigns of the 1980s noted above were largely negatively framed despite promoting a prevention message</w:t>
      </w:r>
      <w:r>
        <w:rPr>
          <w:rFonts w:asciiTheme="minorHAnsi" w:hAnsiTheme="minorHAnsi" w:cstheme="minorHAnsi"/>
        </w:rPr>
        <w:t xml:space="preserve"> </w:t>
      </w:r>
      <w:r w:rsidRPr="00AE1B5A">
        <w:rPr>
          <w:rFonts w:asciiTheme="minorHAnsi" w:hAnsiTheme="minorHAnsi" w:cstheme="minorHAnsi"/>
        </w:rPr>
        <w:t>This may potentially be explained by findings that positively framed messages will not be effective if the recipient is unsure about behavioural norms</w:t>
      </w:r>
      <w:r w:rsidR="0062054F">
        <w:rPr>
          <w:rFonts w:asciiTheme="minorHAnsi" w:hAnsiTheme="minorHAnsi" w:cstheme="minorHAnsi"/>
        </w:rPr>
        <w:t>.</w:t>
      </w:r>
      <w:r w:rsidRPr="00AE1B5A">
        <w:rPr>
          <w:rStyle w:val="EndnoteReference"/>
          <w:rFonts w:asciiTheme="minorHAnsi" w:hAnsiTheme="minorHAnsi" w:cstheme="minorHAnsi"/>
        </w:rPr>
        <w:endnoteReference w:id="200"/>
      </w:r>
      <w:r w:rsidRPr="00AE1B5A">
        <w:rPr>
          <w:rFonts w:asciiTheme="minorHAnsi" w:hAnsiTheme="minorHAnsi" w:cstheme="minorHAnsi"/>
        </w:rPr>
        <w:t xml:space="preserve"> For example, if the usage of condoms is not considered a behavioural norm, then a positively framed preventative health message may be confusing, as the recipient may question why</w:t>
      </w:r>
      <w:r w:rsidR="007B5EE8">
        <w:rPr>
          <w:rFonts w:asciiTheme="minorHAnsi" w:hAnsiTheme="minorHAnsi" w:cstheme="minorHAnsi"/>
        </w:rPr>
        <w:t>,</w:t>
      </w:r>
      <w:r w:rsidRPr="00AE1B5A">
        <w:rPr>
          <w:rFonts w:asciiTheme="minorHAnsi" w:hAnsiTheme="minorHAnsi" w:cstheme="minorHAnsi"/>
        </w:rPr>
        <w:t xml:space="preserve"> if the solution to the problem is simple (e.g. using a condom)</w:t>
      </w:r>
      <w:r w:rsidR="007B5EE8">
        <w:rPr>
          <w:rFonts w:asciiTheme="minorHAnsi" w:hAnsiTheme="minorHAnsi" w:cstheme="minorHAnsi"/>
        </w:rPr>
        <w:t>,</w:t>
      </w:r>
      <w:r w:rsidRPr="00AE1B5A">
        <w:rPr>
          <w:rFonts w:asciiTheme="minorHAnsi" w:hAnsiTheme="minorHAnsi" w:cstheme="minorHAnsi"/>
        </w:rPr>
        <w:t xml:space="preserve"> it is </w:t>
      </w:r>
      <w:r w:rsidR="007B5EE8">
        <w:rPr>
          <w:rFonts w:asciiTheme="minorHAnsi" w:hAnsiTheme="minorHAnsi" w:cstheme="minorHAnsi"/>
        </w:rPr>
        <w:t xml:space="preserve">does not take place all of the time. </w:t>
      </w:r>
    </w:p>
    <w:p w:rsidR="007B5EE8" w:rsidRDefault="007B5EE8" w:rsidP="002A0207">
      <w:pPr>
        <w:jc w:val="both"/>
        <w:rPr>
          <w:rFonts w:asciiTheme="minorHAnsi" w:hAnsiTheme="minorHAnsi" w:cstheme="minorHAnsi"/>
        </w:rPr>
      </w:pPr>
    </w:p>
    <w:p w:rsidR="002A0207" w:rsidRPr="00AE1B5A" w:rsidRDefault="002A0207" w:rsidP="002A0207">
      <w:pPr>
        <w:jc w:val="both"/>
        <w:rPr>
          <w:rFonts w:asciiTheme="minorHAnsi" w:hAnsiTheme="minorHAnsi" w:cstheme="minorHAnsi"/>
        </w:rPr>
      </w:pPr>
      <w:r w:rsidRPr="00AE1B5A">
        <w:rPr>
          <w:rFonts w:asciiTheme="minorHAnsi" w:hAnsiTheme="minorHAnsi" w:cstheme="minorHAnsi"/>
        </w:rPr>
        <w:t xml:space="preserve">Additional factors potentially impacting on potential intervention effectiveness include whether new behaviour is being promoted or whether </w:t>
      </w:r>
      <w:r w:rsidR="007B5EE8">
        <w:rPr>
          <w:rFonts w:asciiTheme="minorHAnsi" w:hAnsiTheme="minorHAnsi" w:cstheme="minorHAnsi"/>
        </w:rPr>
        <w:t xml:space="preserve">the </w:t>
      </w:r>
      <w:r w:rsidRPr="00AE1B5A">
        <w:rPr>
          <w:rFonts w:asciiTheme="minorHAnsi" w:hAnsiTheme="minorHAnsi" w:cstheme="minorHAnsi"/>
        </w:rPr>
        <w:t>ce</w:t>
      </w:r>
      <w:r w:rsidR="007B5EE8">
        <w:rPr>
          <w:rFonts w:asciiTheme="minorHAnsi" w:hAnsiTheme="minorHAnsi" w:cstheme="minorHAnsi"/>
        </w:rPr>
        <w:t xml:space="preserve">ssation of </w:t>
      </w:r>
      <w:r w:rsidRPr="00AE1B5A">
        <w:rPr>
          <w:rFonts w:asciiTheme="minorHAnsi" w:hAnsiTheme="minorHAnsi" w:cstheme="minorHAnsi"/>
        </w:rPr>
        <w:t>current behaviour is targeted</w:t>
      </w:r>
      <w:r w:rsidR="0062054F">
        <w:rPr>
          <w:rFonts w:asciiTheme="minorHAnsi" w:hAnsiTheme="minorHAnsi" w:cstheme="minorHAnsi"/>
        </w:rPr>
        <w:t>.</w:t>
      </w:r>
      <w:r w:rsidRPr="00AE1B5A">
        <w:rPr>
          <w:rStyle w:val="EndnoteReference"/>
          <w:rFonts w:asciiTheme="minorHAnsi" w:eastAsiaTheme="majorEastAsia" w:hAnsiTheme="minorHAnsi" w:cstheme="minorHAnsi"/>
        </w:rPr>
        <w:endnoteReference w:id="201"/>
      </w:r>
      <w:r w:rsidRPr="00AE1B5A">
        <w:rPr>
          <w:rFonts w:asciiTheme="minorHAnsi" w:hAnsiTheme="minorHAnsi" w:cstheme="minorHAnsi"/>
        </w:rPr>
        <w:t xml:space="preserve"> Additionally, it has been argued that positive framing fosters greater self-efficacy, which in turn is a major factor in compliance behaviour</w:t>
      </w:r>
      <w:r w:rsidRPr="00AE1B5A">
        <w:rPr>
          <w:rStyle w:val="EndnoteReference"/>
          <w:rFonts w:asciiTheme="minorHAnsi" w:eastAsiaTheme="majorEastAsia" w:hAnsiTheme="minorHAnsi" w:cstheme="minorHAnsi"/>
        </w:rPr>
        <w:endnoteReference w:id="202"/>
      </w:r>
      <w:r w:rsidRPr="00AE1B5A">
        <w:rPr>
          <w:rFonts w:asciiTheme="minorHAnsi" w:hAnsiTheme="minorHAnsi" w:cstheme="minorHAnsi"/>
        </w:rPr>
        <w:t xml:space="preserve"> and therefore long-term behaviour change. Self-efficacy has been identified as a factor that should be stressed more strongly by health professionals during their discussions with patients</w:t>
      </w:r>
      <w:r w:rsidRPr="00AE1B5A">
        <w:rPr>
          <w:rStyle w:val="EndnoteReference"/>
          <w:rFonts w:asciiTheme="minorHAnsi" w:eastAsiaTheme="majorEastAsia" w:hAnsiTheme="minorHAnsi" w:cstheme="minorHAnsi"/>
        </w:rPr>
        <w:endnoteReference w:id="203"/>
      </w:r>
      <w:r w:rsidRPr="00AE1B5A">
        <w:rPr>
          <w:rFonts w:asciiTheme="minorHAnsi" w:hAnsiTheme="minorHAnsi" w:cstheme="minorHAnsi"/>
        </w:rPr>
        <w:t xml:space="preserve"> and expectations regarding self-efficacy have long been proven to be a major factor in the outcomes of behaviour change interventions</w:t>
      </w:r>
      <w:r w:rsidR="0062054F">
        <w:rPr>
          <w:rFonts w:asciiTheme="minorHAnsi" w:hAnsiTheme="minorHAnsi" w:cstheme="minorHAnsi"/>
        </w:rPr>
        <w:t>.</w:t>
      </w:r>
      <w:r w:rsidRPr="00AE1B5A">
        <w:rPr>
          <w:rStyle w:val="EndnoteReference"/>
          <w:rFonts w:asciiTheme="minorHAnsi" w:eastAsiaTheme="majorEastAsia" w:hAnsiTheme="minorHAnsi" w:cstheme="minorHAnsi"/>
        </w:rPr>
        <w:endnoteReference w:id="204"/>
      </w:r>
      <w:r w:rsidRPr="00AE1B5A">
        <w:rPr>
          <w:rFonts w:asciiTheme="minorHAnsi" w:hAnsiTheme="minorHAnsi" w:cstheme="minorHAnsi"/>
        </w:rPr>
        <w:t xml:space="preserve">  </w:t>
      </w:r>
    </w:p>
    <w:p w:rsidR="002A0207" w:rsidRPr="00AE1B5A" w:rsidRDefault="002A0207" w:rsidP="002A0207">
      <w:pPr>
        <w:jc w:val="both"/>
        <w:rPr>
          <w:rFonts w:asciiTheme="minorHAnsi" w:hAnsiTheme="minorHAnsi" w:cstheme="minorHAnsi"/>
        </w:rPr>
      </w:pPr>
    </w:p>
    <w:p w:rsidR="002A0207" w:rsidRPr="00AE1B5A" w:rsidRDefault="002A0207" w:rsidP="002A0207">
      <w:pPr>
        <w:jc w:val="both"/>
        <w:rPr>
          <w:rFonts w:asciiTheme="minorHAnsi" w:hAnsiTheme="minorHAnsi" w:cstheme="minorHAnsi"/>
        </w:rPr>
      </w:pPr>
      <w:r w:rsidRPr="00AE1B5A">
        <w:rPr>
          <w:rFonts w:asciiTheme="minorHAnsi" w:hAnsiTheme="minorHAnsi" w:cstheme="minorHAnsi"/>
        </w:rPr>
        <w:t xml:space="preserve">The level of personal involvement in a message topic also impacts on the </w:t>
      </w:r>
      <w:r w:rsidR="007B5EE8">
        <w:rPr>
          <w:rFonts w:asciiTheme="minorHAnsi" w:hAnsiTheme="minorHAnsi" w:cstheme="minorHAnsi"/>
        </w:rPr>
        <w:t xml:space="preserve">efficacy of message framing. </w:t>
      </w:r>
      <w:r w:rsidRPr="00AE1B5A">
        <w:rPr>
          <w:rFonts w:asciiTheme="minorHAnsi" w:hAnsiTheme="minorHAnsi" w:cstheme="minorHAnsi"/>
        </w:rPr>
        <w:t>Evidence suggests</w:t>
      </w:r>
      <w:bookmarkStart w:id="55" w:name="_Ref227733371"/>
      <w:r w:rsidRPr="00AE1B5A">
        <w:rPr>
          <w:rStyle w:val="EndnoteReference"/>
          <w:rFonts w:asciiTheme="minorHAnsi" w:eastAsiaTheme="majorEastAsia" w:hAnsiTheme="minorHAnsi" w:cstheme="minorHAnsi"/>
        </w:rPr>
        <w:endnoteReference w:id="205"/>
      </w:r>
      <w:bookmarkEnd w:id="55"/>
      <w:r w:rsidRPr="00AE1B5A">
        <w:rPr>
          <w:rFonts w:asciiTheme="minorHAnsi" w:hAnsiTheme="minorHAnsi" w:cstheme="minorHAnsi"/>
        </w:rPr>
        <w:t xml:space="preserve"> that in low</w:t>
      </w:r>
      <w:r w:rsidR="007B5EE8">
        <w:rPr>
          <w:rFonts w:asciiTheme="minorHAnsi" w:hAnsiTheme="minorHAnsi" w:cstheme="minorHAnsi"/>
        </w:rPr>
        <w:t>-</w:t>
      </w:r>
      <w:r w:rsidRPr="00AE1B5A">
        <w:rPr>
          <w:rFonts w:asciiTheme="minorHAnsi" w:hAnsiTheme="minorHAnsi" w:cstheme="minorHAnsi"/>
        </w:rPr>
        <w:t>involvement conditions positive messages are more effective, whereas the reverse is true for high-involvement conditions. This may help to explain why negatively framed safer sex messages were highly successful in communities that had many AIDS victims, such as the gay population particularly in larger cities</w:t>
      </w:r>
      <w:r w:rsidR="0062054F">
        <w:rPr>
          <w:rFonts w:asciiTheme="minorHAnsi" w:hAnsiTheme="minorHAnsi" w:cstheme="minorHAnsi"/>
        </w:rPr>
        <w:t>.</w:t>
      </w:r>
      <w:r w:rsidRPr="00AE1B5A">
        <w:rPr>
          <w:rStyle w:val="EndnoteReference"/>
          <w:rFonts w:asciiTheme="minorHAnsi" w:hAnsiTheme="minorHAnsi" w:cstheme="minorHAnsi"/>
        </w:rPr>
        <w:endnoteReference w:id="206"/>
      </w:r>
      <w:r w:rsidR="0062054F">
        <w:rPr>
          <w:rFonts w:asciiTheme="minorHAnsi" w:hAnsiTheme="minorHAnsi" w:cstheme="minorHAnsi"/>
        </w:rPr>
        <w:t xml:space="preserve"> </w:t>
      </w:r>
      <w:r w:rsidRPr="00AE1B5A">
        <w:rPr>
          <w:rFonts w:asciiTheme="minorHAnsi" w:hAnsiTheme="minorHAnsi" w:cstheme="minorHAnsi"/>
        </w:rPr>
        <w:t>The personal experience of many gay men seeing friends and partners die of AIDS in the 1980s would have increased involvement and thus negatively framed messages were effective.</w:t>
      </w:r>
    </w:p>
    <w:p w:rsidR="002A0207" w:rsidRPr="00AE1B5A" w:rsidRDefault="002A0207" w:rsidP="002A0207">
      <w:pPr>
        <w:jc w:val="both"/>
        <w:rPr>
          <w:rFonts w:asciiTheme="minorHAnsi" w:hAnsiTheme="minorHAnsi" w:cstheme="minorHAnsi"/>
        </w:rPr>
      </w:pPr>
    </w:p>
    <w:p w:rsidR="002A0207" w:rsidRPr="00AE1B5A" w:rsidRDefault="002A0207" w:rsidP="002A0207">
      <w:pPr>
        <w:jc w:val="both"/>
        <w:rPr>
          <w:rFonts w:asciiTheme="minorHAnsi" w:hAnsiTheme="minorHAnsi" w:cstheme="minorHAnsi"/>
        </w:rPr>
      </w:pPr>
      <w:r w:rsidRPr="00AE1B5A">
        <w:rPr>
          <w:rFonts w:asciiTheme="minorHAnsi" w:hAnsiTheme="minorHAnsi" w:cstheme="minorHAnsi"/>
        </w:rPr>
        <w:t>However, others</w:t>
      </w:r>
      <w:r w:rsidRPr="00AE1B5A">
        <w:rPr>
          <w:rStyle w:val="EndnoteReference"/>
          <w:rFonts w:asciiTheme="minorHAnsi" w:hAnsiTheme="minorHAnsi" w:cstheme="minorHAnsi"/>
        </w:rPr>
        <w:endnoteReference w:id="207"/>
      </w:r>
      <w:r w:rsidRPr="00AE1B5A">
        <w:rPr>
          <w:rFonts w:asciiTheme="minorHAnsi" w:hAnsiTheme="minorHAnsi" w:cstheme="minorHAnsi"/>
        </w:rPr>
        <w:t xml:space="preserve"> caution that positive message framing may have a boomerang effect if the message conflicts with pre-existing knowledge, attitudes and beliefs. For example, some anti-smoking interventions have not only been ineffective, but also apparently hardened young smokers’ determination to continue to smoke</w:t>
      </w:r>
      <w:r w:rsidR="0062054F">
        <w:rPr>
          <w:rFonts w:asciiTheme="minorHAnsi" w:hAnsiTheme="minorHAnsi" w:cstheme="minorHAnsi"/>
        </w:rPr>
        <w:t>.</w:t>
      </w:r>
      <w:r w:rsidRPr="00AE1B5A">
        <w:rPr>
          <w:rStyle w:val="EndnoteReference"/>
          <w:rFonts w:asciiTheme="minorHAnsi" w:hAnsiTheme="minorHAnsi" w:cstheme="minorHAnsi"/>
        </w:rPr>
        <w:endnoteReference w:id="208"/>
      </w:r>
      <w:r w:rsidRPr="00AE1B5A">
        <w:rPr>
          <w:rFonts w:asciiTheme="minorHAnsi" w:hAnsiTheme="minorHAnsi" w:cstheme="minorHAnsi"/>
        </w:rPr>
        <w:t xml:space="preserve">  Similar effects have</w:t>
      </w:r>
      <w:r w:rsidR="0062054F">
        <w:rPr>
          <w:rFonts w:asciiTheme="minorHAnsi" w:hAnsiTheme="minorHAnsi" w:cstheme="minorHAnsi"/>
        </w:rPr>
        <w:t xml:space="preserve"> been found in relation to anti-</w:t>
      </w:r>
      <w:r w:rsidRPr="00AE1B5A">
        <w:rPr>
          <w:rFonts w:asciiTheme="minorHAnsi" w:hAnsiTheme="minorHAnsi" w:cstheme="minorHAnsi"/>
        </w:rPr>
        <w:t xml:space="preserve">drug interventions, such as a </w:t>
      </w:r>
      <w:r w:rsidRPr="00AE1B5A">
        <w:rPr>
          <w:rFonts w:asciiTheme="minorHAnsi" w:hAnsiTheme="minorHAnsi" w:cstheme="minorHAnsi"/>
        </w:rPr>
        <w:lastRenderedPageBreak/>
        <w:t xml:space="preserve">1980s American campaign </w:t>
      </w:r>
      <w:r w:rsidR="007B5EE8">
        <w:rPr>
          <w:rFonts w:asciiTheme="minorHAnsi" w:hAnsiTheme="minorHAnsi" w:cstheme="minorHAnsi"/>
        </w:rPr>
        <w:t xml:space="preserve">posters </w:t>
      </w:r>
      <w:r w:rsidRPr="00AE1B5A">
        <w:rPr>
          <w:rFonts w:asciiTheme="minorHAnsi" w:hAnsiTheme="minorHAnsi" w:cstheme="minorHAnsi"/>
        </w:rPr>
        <w:t>featuring a ‘wasted’ heroin addict which had no effect other than to make the posters a collectable item</w:t>
      </w:r>
      <w:r w:rsidR="0062054F">
        <w:rPr>
          <w:rFonts w:asciiTheme="minorHAnsi" w:hAnsiTheme="minorHAnsi" w:cstheme="minorHAnsi"/>
        </w:rPr>
        <w:t>.</w:t>
      </w:r>
      <w:r w:rsidRPr="00AE1B5A">
        <w:rPr>
          <w:rStyle w:val="EndnoteReference"/>
          <w:rFonts w:asciiTheme="minorHAnsi" w:hAnsiTheme="minorHAnsi" w:cstheme="minorHAnsi"/>
        </w:rPr>
        <w:endnoteReference w:id="209"/>
      </w:r>
      <w:r w:rsidR="007B5EE8">
        <w:rPr>
          <w:rFonts w:asciiTheme="minorHAnsi" w:hAnsiTheme="minorHAnsi" w:cstheme="minorHAnsi"/>
        </w:rPr>
        <w:t xml:space="preserve"> </w:t>
      </w:r>
      <w:r w:rsidRPr="00AE1B5A">
        <w:rPr>
          <w:rFonts w:asciiTheme="minorHAnsi" w:hAnsiTheme="minorHAnsi" w:cstheme="minorHAnsi"/>
        </w:rPr>
        <w:t>At times, message effects have differed across genders, such as anti-speeding interventions which have revealed boomerang effects among young males but not females</w:t>
      </w:r>
      <w:r w:rsidR="0062054F">
        <w:rPr>
          <w:rFonts w:asciiTheme="minorHAnsi" w:hAnsiTheme="minorHAnsi" w:cstheme="minorHAnsi"/>
        </w:rPr>
        <w:t>.</w:t>
      </w:r>
      <w:r w:rsidRPr="00AE1B5A">
        <w:rPr>
          <w:rStyle w:val="EndnoteReference"/>
          <w:rFonts w:asciiTheme="minorHAnsi" w:hAnsiTheme="minorHAnsi" w:cstheme="minorHAnsi"/>
        </w:rPr>
        <w:endnoteReference w:id="210"/>
      </w:r>
      <w:r w:rsidRPr="00AE1B5A">
        <w:rPr>
          <w:rFonts w:asciiTheme="minorHAnsi" w:hAnsiTheme="minorHAnsi" w:cstheme="minorHAnsi"/>
        </w:rPr>
        <w:t xml:space="preserve"> </w:t>
      </w:r>
    </w:p>
    <w:p w:rsidR="002A0207" w:rsidRPr="00AE1B5A" w:rsidRDefault="002A0207" w:rsidP="002A0207">
      <w:pPr>
        <w:jc w:val="both"/>
        <w:rPr>
          <w:rFonts w:asciiTheme="minorHAnsi" w:hAnsiTheme="minorHAnsi" w:cstheme="minorHAnsi"/>
          <w:i/>
        </w:rPr>
      </w:pPr>
    </w:p>
    <w:p w:rsidR="001813C9" w:rsidRPr="00695533" w:rsidRDefault="001813C9" w:rsidP="001813C9">
      <w:pPr>
        <w:pStyle w:val="Heading3"/>
      </w:pPr>
      <w:bookmarkStart w:id="56" w:name="_Toc289256762"/>
      <w:r w:rsidRPr="00695533">
        <w:t>8.4.</w:t>
      </w:r>
      <w:r w:rsidR="00A56AAF" w:rsidRPr="00695533">
        <w:t>2</w:t>
      </w:r>
      <w:r w:rsidRPr="00695533">
        <w:t xml:space="preserve"> Message framing – fear appeals</w:t>
      </w:r>
      <w:bookmarkEnd w:id="56"/>
    </w:p>
    <w:p w:rsidR="002A0207" w:rsidRPr="00AE1B5A" w:rsidRDefault="002A0207" w:rsidP="002A0207">
      <w:pPr>
        <w:jc w:val="both"/>
        <w:rPr>
          <w:rFonts w:asciiTheme="minorHAnsi" w:hAnsiTheme="minorHAnsi" w:cstheme="minorHAnsi"/>
        </w:rPr>
      </w:pPr>
      <w:r w:rsidRPr="00AE1B5A">
        <w:rPr>
          <w:rFonts w:asciiTheme="minorHAnsi" w:hAnsiTheme="minorHAnsi" w:cstheme="minorHAnsi"/>
        </w:rPr>
        <w:t>Negative message framing has been found to be more effective for illness-detecting behaviour</w:t>
      </w:r>
      <w:r w:rsidRPr="00AE1B5A">
        <w:rPr>
          <w:rStyle w:val="EndnoteReference"/>
          <w:rFonts w:asciiTheme="minorHAnsi" w:hAnsiTheme="minorHAnsi" w:cstheme="minorHAnsi"/>
        </w:rPr>
        <w:endnoteReference w:id="211"/>
      </w:r>
      <w:r w:rsidRPr="00AE1B5A">
        <w:rPr>
          <w:rFonts w:asciiTheme="minorHAnsi" w:hAnsiTheme="minorHAnsi" w:cstheme="minorHAnsi"/>
        </w:rPr>
        <w:t xml:space="preserve">, for example for screening programmes that prevent a more serious outcome, such as regular mammography for women over 40 or cholesterol checks. </w:t>
      </w:r>
    </w:p>
    <w:p w:rsidR="002A0207" w:rsidRPr="00AE1B5A" w:rsidRDefault="002A0207" w:rsidP="002A0207">
      <w:pPr>
        <w:jc w:val="both"/>
        <w:rPr>
          <w:rFonts w:asciiTheme="minorHAnsi" w:hAnsiTheme="minorHAnsi" w:cstheme="minorHAnsi"/>
        </w:rPr>
      </w:pPr>
    </w:p>
    <w:p w:rsidR="002A0207" w:rsidRPr="00AE1B5A" w:rsidRDefault="002A0207" w:rsidP="002A0207">
      <w:pPr>
        <w:jc w:val="both"/>
        <w:rPr>
          <w:rFonts w:asciiTheme="minorHAnsi" w:hAnsiTheme="minorHAnsi" w:cstheme="minorHAnsi"/>
        </w:rPr>
      </w:pPr>
      <w:r w:rsidRPr="00AE1B5A">
        <w:rPr>
          <w:rFonts w:asciiTheme="minorHAnsi" w:hAnsiTheme="minorHAnsi" w:cstheme="minorHAnsi"/>
        </w:rPr>
        <w:t xml:space="preserve">Often, negative framing relies heavily on the usage of fear appeal, such as the fear of dying from a specific cause. As argued by some </w:t>
      </w:r>
      <w:r>
        <w:rPr>
          <w:rFonts w:asciiTheme="minorHAnsi" w:hAnsiTheme="minorHAnsi" w:cstheme="minorHAnsi"/>
        </w:rPr>
        <w:t>researchers</w:t>
      </w:r>
      <w:r w:rsidR="00A86BD6">
        <w:rPr>
          <w:rFonts w:asciiTheme="minorHAnsi" w:hAnsiTheme="minorHAnsi" w:cstheme="minorHAnsi"/>
        </w:rPr>
        <w:t xml:space="preserve"> </w:t>
      </w:r>
      <w:fldSimple w:instr=" NOTEREF _Ref227733371 \h  \* MERGEFORMAT ">
        <w:r w:rsidR="00CE6342" w:rsidRPr="00CE6342">
          <w:rPr>
            <w:rFonts w:asciiTheme="minorHAnsi" w:hAnsiTheme="minorHAnsi" w:cstheme="minorHAnsi"/>
            <w:vertAlign w:val="superscript"/>
          </w:rPr>
          <w:t>205</w:t>
        </w:r>
      </w:fldSimple>
      <w:r w:rsidRPr="00AE1B5A">
        <w:rPr>
          <w:rFonts w:asciiTheme="minorHAnsi" w:hAnsiTheme="minorHAnsi" w:cstheme="minorHAnsi"/>
        </w:rPr>
        <w:t>, if such a condition is high-involvement, for example in a case where a close relative has died from</w:t>
      </w:r>
      <w:r w:rsidR="007B5EE8">
        <w:rPr>
          <w:rFonts w:asciiTheme="minorHAnsi" w:hAnsiTheme="minorHAnsi" w:cstheme="minorHAnsi"/>
        </w:rPr>
        <w:t xml:space="preserve"> a</w:t>
      </w:r>
      <w:r w:rsidRPr="00AE1B5A">
        <w:rPr>
          <w:rFonts w:asciiTheme="minorHAnsi" w:hAnsiTheme="minorHAnsi" w:cstheme="minorHAnsi"/>
        </w:rPr>
        <w:t xml:space="preserve"> stroke attributed to high-blood pressure, the fear and high-involvement of also dying from the same cause may have a highly motivating and behaviour changing effect.</w:t>
      </w:r>
    </w:p>
    <w:p w:rsidR="002A0207" w:rsidRDefault="002A0207" w:rsidP="002A0207">
      <w:pPr>
        <w:jc w:val="both"/>
        <w:rPr>
          <w:rFonts w:asciiTheme="minorHAnsi" w:hAnsiTheme="minorHAnsi" w:cstheme="minorHAnsi"/>
          <w:i/>
        </w:rPr>
      </w:pPr>
    </w:p>
    <w:p w:rsidR="002A0207" w:rsidRPr="00E40401" w:rsidRDefault="002A0207" w:rsidP="002A0207">
      <w:pPr>
        <w:jc w:val="both"/>
        <w:rPr>
          <w:rFonts w:asciiTheme="minorHAnsi" w:hAnsiTheme="minorHAnsi" w:cstheme="minorHAnsi"/>
        </w:rPr>
      </w:pPr>
      <w:r>
        <w:rPr>
          <w:rFonts w:asciiTheme="minorHAnsi" w:hAnsiTheme="minorHAnsi" w:cstheme="minorHAnsi"/>
        </w:rPr>
        <w:t>T</w:t>
      </w:r>
      <w:r w:rsidRPr="00E40401">
        <w:rPr>
          <w:rFonts w:asciiTheme="minorHAnsi" w:hAnsiTheme="minorHAnsi" w:cstheme="minorHAnsi"/>
        </w:rPr>
        <w:t xml:space="preserve">he effects of providing mortality-related health-risk information </w:t>
      </w:r>
      <w:r>
        <w:rPr>
          <w:rFonts w:asciiTheme="minorHAnsi" w:hAnsiTheme="minorHAnsi" w:cstheme="minorHAnsi"/>
        </w:rPr>
        <w:t xml:space="preserve">have been explored </w:t>
      </w:r>
      <w:r w:rsidRPr="00E40401">
        <w:rPr>
          <w:rFonts w:asciiTheme="minorHAnsi" w:hAnsiTheme="minorHAnsi" w:cstheme="minorHAnsi"/>
        </w:rPr>
        <w:t xml:space="preserve">from a </w:t>
      </w:r>
      <w:r w:rsidR="00A42D2C">
        <w:rPr>
          <w:rFonts w:asciiTheme="minorHAnsi" w:hAnsiTheme="minorHAnsi" w:cstheme="minorHAnsi"/>
        </w:rPr>
        <w:t>‘</w:t>
      </w:r>
      <w:r w:rsidRPr="00E40401">
        <w:rPr>
          <w:rFonts w:asciiTheme="minorHAnsi" w:hAnsiTheme="minorHAnsi" w:cstheme="minorHAnsi"/>
        </w:rPr>
        <w:t>terror management</w:t>
      </w:r>
      <w:r>
        <w:rPr>
          <w:rFonts w:asciiTheme="minorHAnsi" w:hAnsiTheme="minorHAnsi" w:cstheme="minorHAnsi"/>
        </w:rPr>
        <w:t xml:space="preserve"> </w:t>
      </w:r>
      <w:r w:rsidRPr="00E40401">
        <w:rPr>
          <w:rFonts w:asciiTheme="minorHAnsi" w:hAnsiTheme="minorHAnsi" w:cstheme="minorHAnsi"/>
        </w:rPr>
        <w:t>theory</w:t>
      </w:r>
      <w:r w:rsidR="00A42D2C">
        <w:rPr>
          <w:rFonts w:asciiTheme="minorHAnsi" w:hAnsiTheme="minorHAnsi" w:cstheme="minorHAnsi"/>
        </w:rPr>
        <w:t>’</w:t>
      </w:r>
      <w:r w:rsidRPr="00E40401">
        <w:rPr>
          <w:rFonts w:asciiTheme="minorHAnsi" w:hAnsiTheme="minorHAnsi" w:cstheme="minorHAnsi"/>
        </w:rPr>
        <w:t xml:space="preserve"> perspective</w:t>
      </w:r>
      <w:bookmarkStart w:id="57" w:name="_Ref288471499"/>
      <w:r>
        <w:rPr>
          <w:rStyle w:val="EndnoteReference"/>
          <w:rFonts w:asciiTheme="minorHAnsi" w:hAnsiTheme="minorHAnsi" w:cstheme="minorHAnsi"/>
        </w:rPr>
        <w:endnoteReference w:id="212"/>
      </w:r>
      <w:bookmarkEnd w:id="57"/>
      <w:r w:rsidRPr="00E40401">
        <w:rPr>
          <w:rFonts w:asciiTheme="minorHAnsi" w:hAnsiTheme="minorHAnsi" w:cstheme="minorHAnsi"/>
        </w:rPr>
        <w:t>. The</w:t>
      </w:r>
      <w:r>
        <w:rPr>
          <w:rFonts w:asciiTheme="minorHAnsi" w:hAnsiTheme="minorHAnsi" w:cstheme="minorHAnsi"/>
        </w:rPr>
        <w:t xml:space="preserve"> authors</w:t>
      </w:r>
      <w:r w:rsidR="00A42D2C">
        <w:rPr>
          <w:rFonts w:asciiTheme="minorHAnsi" w:hAnsiTheme="minorHAnsi" w:cstheme="minorHAnsi"/>
        </w:rPr>
        <w:t xml:space="preserve"> argue that ‘</w:t>
      </w:r>
      <w:r w:rsidRPr="00E40401">
        <w:rPr>
          <w:rFonts w:asciiTheme="minorHAnsi" w:hAnsiTheme="minorHAnsi" w:cstheme="minorHAnsi"/>
        </w:rPr>
        <w:t>health promotion campaigns that focus solely on mortality-related risks might actually trigger increased performance of the very behavio</w:t>
      </w:r>
      <w:r>
        <w:rPr>
          <w:rFonts w:asciiTheme="minorHAnsi" w:hAnsiTheme="minorHAnsi" w:cstheme="minorHAnsi"/>
        </w:rPr>
        <w:t>u</w:t>
      </w:r>
      <w:r w:rsidRPr="00E40401">
        <w:rPr>
          <w:rFonts w:asciiTheme="minorHAnsi" w:hAnsiTheme="minorHAnsi" w:cstheme="minorHAnsi"/>
        </w:rPr>
        <w:t>rs they aim to deter, and hence have negative health repercussions for some recipients</w:t>
      </w:r>
      <w:r w:rsidR="0062054F">
        <w:rPr>
          <w:rFonts w:asciiTheme="minorHAnsi" w:hAnsiTheme="minorHAnsi" w:cstheme="minorHAnsi"/>
        </w:rPr>
        <w:t>’.</w:t>
      </w:r>
      <w:fldSimple w:instr=" NOTEREF _Ref288471499 \h  \* MERGEFORMAT ">
        <w:r w:rsidR="00CE6342" w:rsidRPr="00CE6342">
          <w:rPr>
            <w:rFonts w:asciiTheme="minorHAnsi" w:hAnsiTheme="minorHAnsi" w:cstheme="minorHAnsi"/>
            <w:vertAlign w:val="superscript"/>
          </w:rPr>
          <w:t>212</w:t>
        </w:r>
      </w:fldSimple>
      <w:r w:rsidRPr="00546D22">
        <w:rPr>
          <w:rFonts w:asciiTheme="minorHAnsi" w:hAnsiTheme="minorHAnsi" w:cstheme="minorHAnsi"/>
          <w:vertAlign w:val="superscript"/>
        </w:rPr>
        <w:t>, p. 952</w:t>
      </w:r>
      <w:r>
        <w:rPr>
          <w:rFonts w:asciiTheme="minorHAnsi" w:hAnsiTheme="minorHAnsi" w:cstheme="minorHAnsi"/>
        </w:rPr>
        <w:t xml:space="preserve"> This is in-line with earlier r</w:t>
      </w:r>
      <w:r w:rsidRPr="00E40401">
        <w:rPr>
          <w:rFonts w:asciiTheme="minorHAnsi" w:hAnsiTheme="minorHAnsi" w:cstheme="minorHAnsi"/>
        </w:rPr>
        <w:t>esearch</w:t>
      </w:r>
      <w:r>
        <w:rPr>
          <w:rStyle w:val="EndnoteReference"/>
          <w:rFonts w:asciiTheme="minorHAnsi" w:hAnsiTheme="minorHAnsi" w:cstheme="minorHAnsi"/>
        </w:rPr>
        <w:endnoteReference w:id="213"/>
      </w:r>
      <w:r w:rsidRPr="00E40401">
        <w:rPr>
          <w:rFonts w:asciiTheme="minorHAnsi" w:hAnsiTheme="minorHAnsi" w:cstheme="minorHAnsi"/>
        </w:rPr>
        <w:t xml:space="preserve"> </w:t>
      </w:r>
      <w:r w:rsidR="007B5EE8">
        <w:rPr>
          <w:rFonts w:asciiTheme="minorHAnsi" w:hAnsiTheme="minorHAnsi" w:cstheme="minorHAnsi"/>
        </w:rPr>
        <w:t xml:space="preserve">which demonstrated that </w:t>
      </w:r>
      <w:r w:rsidRPr="00E40401">
        <w:rPr>
          <w:rFonts w:asciiTheme="minorHAnsi" w:hAnsiTheme="minorHAnsi" w:cstheme="minorHAnsi"/>
        </w:rPr>
        <w:t>mortality salience manipulations, in which individuals were asked to respond to open-ended questions about their own death, generate</w:t>
      </w:r>
      <w:r w:rsidR="007B5EE8">
        <w:rPr>
          <w:rFonts w:asciiTheme="minorHAnsi" w:hAnsiTheme="minorHAnsi" w:cstheme="minorHAnsi"/>
        </w:rPr>
        <w:t>d</w:t>
      </w:r>
      <w:r w:rsidRPr="00E40401">
        <w:rPr>
          <w:rFonts w:asciiTheme="minorHAnsi" w:hAnsiTheme="minorHAnsi" w:cstheme="minorHAnsi"/>
        </w:rPr>
        <w:t xml:space="preserve"> increased intentions to take driving risks.</w:t>
      </w:r>
    </w:p>
    <w:p w:rsidR="002A0207" w:rsidRPr="00AE1B5A" w:rsidRDefault="002A0207" w:rsidP="002A0207">
      <w:pPr>
        <w:jc w:val="both"/>
        <w:rPr>
          <w:rFonts w:asciiTheme="minorHAnsi" w:hAnsiTheme="minorHAnsi" w:cstheme="minorHAnsi"/>
          <w:i/>
        </w:rPr>
      </w:pPr>
    </w:p>
    <w:p w:rsidR="002A0207" w:rsidRPr="00AE1B5A" w:rsidRDefault="002A0207" w:rsidP="002A0207">
      <w:pPr>
        <w:jc w:val="both"/>
        <w:rPr>
          <w:rFonts w:asciiTheme="minorHAnsi" w:hAnsiTheme="minorHAnsi" w:cstheme="minorHAnsi"/>
        </w:rPr>
      </w:pPr>
      <w:r w:rsidRPr="00AE1B5A">
        <w:rPr>
          <w:rFonts w:asciiTheme="minorHAnsi" w:hAnsiTheme="minorHAnsi" w:cstheme="minorHAnsi"/>
        </w:rPr>
        <w:t xml:space="preserve">A different aspect however to the usage of fear appeals is the possible erosion of their effectiveness over time. The ongoing usage of fear appeals can in fact lead to complacency as </w:t>
      </w:r>
      <w:r w:rsidR="0062054F">
        <w:rPr>
          <w:rFonts w:asciiTheme="minorHAnsi" w:hAnsiTheme="minorHAnsi" w:cstheme="minorHAnsi"/>
        </w:rPr>
        <w:t>continued exposure results in fear being replaced by</w:t>
      </w:r>
      <w:r w:rsidRPr="00AE1B5A">
        <w:rPr>
          <w:rFonts w:asciiTheme="minorHAnsi" w:hAnsiTheme="minorHAnsi" w:cstheme="minorHAnsi"/>
        </w:rPr>
        <w:t xml:space="preserve"> indifference to social marketing campaigns</w:t>
      </w:r>
      <w:bookmarkStart w:id="58" w:name="_Ref284767563"/>
      <w:r w:rsidR="0062054F">
        <w:rPr>
          <w:rFonts w:asciiTheme="minorHAnsi" w:hAnsiTheme="minorHAnsi" w:cstheme="minorHAnsi"/>
        </w:rPr>
        <w:t>.</w:t>
      </w:r>
      <w:r w:rsidRPr="00AE1B5A">
        <w:rPr>
          <w:rStyle w:val="EndnoteReference"/>
          <w:rFonts w:asciiTheme="minorHAnsi" w:hAnsiTheme="minorHAnsi" w:cstheme="minorHAnsi"/>
        </w:rPr>
        <w:endnoteReference w:id="214"/>
      </w:r>
      <w:bookmarkEnd w:id="58"/>
      <w:r w:rsidRPr="00AE1B5A">
        <w:rPr>
          <w:rFonts w:asciiTheme="minorHAnsi" w:hAnsiTheme="minorHAnsi" w:cstheme="minorHAnsi"/>
        </w:rPr>
        <w:t xml:space="preserve"> Conversely, the usage of fear appeals may well lead to heightened anxiety in some ind</w:t>
      </w:r>
      <w:r w:rsidR="0062054F">
        <w:rPr>
          <w:rFonts w:asciiTheme="minorHAnsi" w:hAnsiTheme="minorHAnsi" w:cstheme="minorHAnsi"/>
        </w:rPr>
        <w:t>ividuals</w:t>
      </w:r>
      <w:r w:rsidRPr="00AE1B5A">
        <w:rPr>
          <w:rFonts w:asciiTheme="minorHAnsi" w:hAnsiTheme="minorHAnsi" w:cstheme="minorHAnsi"/>
        </w:rPr>
        <w:t xml:space="preserve"> which</w:t>
      </w:r>
      <w:r w:rsidR="0062054F">
        <w:rPr>
          <w:rFonts w:asciiTheme="minorHAnsi" w:hAnsiTheme="minorHAnsi" w:cstheme="minorHAnsi"/>
        </w:rPr>
        <w:t>,</w:t>
      </w:r>
      <w:r w:rsidRPr="00AE1B5A">
        <w:rPr>
          <w:rFonts w:asciiTheme="minorHAnsi" w:hAnsiTheme="minorHAnsi" w:cstheme="minorHAnsi"/>
        </w:rPr>
        <w:t xml:space="preserve"> in turn</w:t>
      </w:r>
      <w:r w:rsidR="0062054F">
        <w:rPr>
          <w:rFonts w:asciiTheme="minorHAnsi" w:hAnsiTheme="minorHAnsi" w:cstheme="minorHAnsi"/>
        </w:rPr>
        <w:t>,</w:t>
      </w:r>
      <w:r w:rsidRPr="00AE1B5A">
        <w:rPr>
          <w:rFonts w:asciiTheme="minorHAnsi" w:hAnsiTheme="minorHAnsi" w:cstheme="minorHAnsi"/>
        </w:rPr>
        <w:t xml:space="preserve"> may cause additional burden on the health system which has to deal with those individuals. A </w:t>
      </w:r>
      <w:r w:rsidR="00A42D2C">
        <w:rPr>
          <w:rFonts w:asciiTheme="minorHAnsi" w:hAnsiTheme="minorHAnsi" w:cstheme="minorHAnsi"/>
        </w:rPr>
        <w:t xml:space="preserve">well known example of this </w:t>
      </w:r>
      <w:r w:rsidR="0062054F">
        <w:rPr>
          <w:rFonts w:asciiTheme="minorHAnsi" w:hAnsiTheme="minorHAnsi" w:cstheme="minorHAnsi"/>
        </w:rPr>
        <w:t xml:space="preserve">is </w:t>
      </w:r>
      <w:r w:rsidR="00A42D2C">
        <w:rPr>
          <w:rFonts w:asciiTheme="minorHAnsi" w:hAnsiTheme="minorHAnsi" w:cstheme="minorHAnsi"/>
        </w:rPr>
        <w:t>‘</w:t>
      </w:r>
      <w:r w:rsidRPr="00AE1B5A">
        <w:rPr>
          <w:rFonts w:asciiTheme="minorHAnsi" w:hAnsiTheme="minorHAnsi" w:cstheme="minorHAnsi"/>
        </w:rPr>
        <w:t>worried well</w:t>
      </w:r>
      <w:r w:rsidR="00A42D2C">
        <w:rPr>
          <w:rFonts w:asciiTheme="minorHAnsi" w:hAnsiTheme="minorHAnsi" w:cstheme="minorHAnsi"/>
        </w:rPr>
        <w:t>’</w:t>
      </w:r>
      <w:r w:rsidRPr="00AE1B5A">
        <w:rPr>
          <w:rFonts w:asciiTheme="minorHAnsi" w:hAnsiTheme="minorHAnsi" w:cstheme="minorHAnsi"/>
        </w:rPr>
        <w:t xml:space="preserve"> patients, who believ</w:t>
      </w:r>
      <w:r w:rsidR="0062054F">
        <w:rPr>
          <w:rFonts w:asciiTheme="minorHAnsi" w:hAnsiTheme="minorHAnsi" w:cstheme="minorHAnsi"/>
        </w:rPr>
        <w:t>e that they have contracted HIV and who</w:t>
      </w:r>
      <w:r w:rsidRPr="00AE1B5A">
        <w:rPr>
          <w:rFonts w:asciiTheme="minorHAnsi" w:hAnsiTheme="minorHAnsi" w:cstheme="minorHAnsi"/>
        </w:rPr>
        <w:t xml:space="preserve"> continue to </w:t>
      </w:r>
      <w:r w:rsidR="0062054F">
        <w:rPr>
          <w:rFonts w:asciiTheme="minorHAnsi" w:hAnsiTheme="minorHAnsi" w:cstheme="minorHAnsi"/>
        </w:rPr>
        <w:t xml:space="preserve">seek </w:t>
      </w:r>
      <w:r w:rsidR="007A4941">
        <w:rPr>
          <w:rFonts w:asciiTheme="minorHAnsi" w:hAnsiTheme="minorHAnsi" w:cstheme="minorHAnsi"/>
        </w:rPr>
        <w:t>re-testing (</w:t>
      </w:r>
      <w:r w:rsidR="007A4941" w:rsidRPr="00AE1B5A">
        <w:rPr>
          <w:rFonts w:asciiTheme="minorHAnsi" w:hAnsiTheme="minorHAnsi" w:cstheme="minorHAnsi"/>
        </w:rPr>
        <w:t>sometimes as often as over 50 times in a year</w:t>
      </w:r>
      <w:r w:rsidR="007A4941">
        <w:rPr>
          <w:rFonts w:asciiTheme="minorHAnsi" w:hAnsiTheme="minorHAnsi" w:cstheme="minorHAnsi"/>
        </w:rPr>
        <w:t>)</w:t>
      </w:r>
      <w:r w:rsidR="007A4941" w:rsidRPr="00AE1B5A">
        <w:rPr>
          <w:rFonts w:asciiTheme="minorHAnsi" w:hAnsiTheme="minorHAnsi" w:cstheme="minorHAnsi"/>
        </w:rPr>
        <w:t xml:space="preserve"> </w:t>
      </w:r>
      <w:r w:rsidRPr="00AE1B5A">
        <w:rPr>
          <w:rFonts w:asciiTheme="minorHAnsi" w:hAnsiTheme="minorHAnsi" w:cstheme="minorHAnsi"/>
        </w:rPr>
        <w:t>despite not being infected</w:t>
      </w:r>
      <w:r w:rsidR="007A4941">
        <w:rPr>
          <w:rFonts w:asciiTheme="minorHAnsi" w:hAnsiTheme="minorHAnsi" w:cstheme="minorHAnsi"/>
        </w:rPr>
        <w:t>.</w:t>
      </w:r>
      <w:r w:rsidRPr="00AE1B5A">
        <w:rPr>
          <w:rStyle w:val="EndnoteReference"/>
          <w:rFonts w:asciiTheme="minorHAnsi" w:hAnsiTheme="minorHAnsi" w:cstheme="minorHAnsi"/>
        </w:rPr>
        <w:endnoteReference w:id="215"/>
      </w:r>
    </w:p>
    <w:p w:rsidR="002A0207" w:rsidRPr="00AE1B5A" w:rsidRDefault="002A0207" w:rsidP="002A0207">
      <w:pPr>
        <w:jc w:val="both"/>
        <w:rPr>
          <w:rFonts w:asciiTheme="minorHAnsi" w:hAnsiTheme="minorHAnsi" w:cstheme="minorHAnsi"/>
          <w:i/>
        </w:rPr>
      </w:pPr>
    </w:p>
    <w:p w:rsidR="002A0207" w:rsidRPr="00AE1B5A" w:rsidRDefault="002A0207" w:rsidP="002A0207">
      <w:pPr>
        <w:jc w:val="both"/>
        <w:rPr>
          <w:rFonts w:asciiTheme="minorHAnsi" w:hAnsiTheme="minorHAnsi" w:cstheme="minorHAnsi"/>
        </w:rPr>
      </w:pPr>
      <w:r>
        <w:rPr>
          <w:rFonts w:asciiTheme="minorHAnsi" w:hAnsiTheme="minorHAnsi" w:cstheme="minorHAnsi"/>
        </w:rPr>
        <w:t>T</w:t>
      </w:r>
      <w:r w:rsidRPr="00AE1B5A">
        <w:rPr>
          <w:rFonts w:asciiTheme="minorHAnsi" w:hAnsiTheme="minorHAnsi" w:cstheme="minorHAnsi"/>
        </w:rPr>
        <w:t>hose who have responded to past fear-based campaigns appear to be better educated and more affluent than average, and thus better able to respond to the persuasive message</w:t>
      </w:r>
      <w:r w:rsidR="007A4941">
        <w:rPr>
          <w:rFonts w:asciiTheme="minorHAnsi" w:hAnsiTheme="minorHAnsi" w:cstheme="minorHAnsi"/>
        </w:rPr>
        <w:t>.</w:t>
      </w:r>
      <w:fldSimple w:instr=" NOTEREF _Ref284767563 \h  \* MERGEFORMAT ">
        <w:r w:rsidR="00CE6342" w:rsidRPr="00CE6342">
          <w:rPr>
            <w:rFonts w:asciiTheme="minorHAnsi" w:hAnsiTheme="minorHAnsi" w:cstheme="minorHAnsi"/>
            <w:vertAlign w:val="superscript"/>
          </w:rPr>
          <w:t>214</w:t>
        </w:r>
      </w:fldSimple>
      <w:r w:rsidRPr="00AE1B5A">
        <w:rPr>
          <w:rFonts w:asciiTheme="minorHAnsi" w:hAnsiTheme="minorHAnsi" w:cstheme="minorHAnsi"/>
        </w:rPr>
        <w:t xml:space="preserve"> As well as signalling the need for caution in the use of fear appeals</w:t>
      </w:r>
      <w:r w:rsidR="007A4941">
        <w:rPr>
          <w:rFonts w:asciiTheme="minorHAnsi" w:hAnsiTheme="minorHAnsi" w:cstheme="minorHAnsi"/>
        </w:rPr>
        <w:t>,</w:t>
      </w:r>
      <w:r w:rsidRPr="00AE1B5A">
        <w:rPr>
          <w:rFonts w:asciiTheme="minorHAnsi" w:hAnsiTheme="minorHAnsi" w:cstheme="minorHAnsi"/>
        </w:rPr>
        <w:t xml:space="preserve"> for which less well educated sectors are significant</w:t>
      </w:r>
      <w:r w:rsidR="007A4941">
        <w:rPr>
          <w:rFonts w:asciiTheme="minorHAnsi" w:hAnsiTheme="minorHAnsi" w:cstheme="minorHAnsi"/>
        </w:rPr>
        <w:t>ly</w:t>
      </w:r>
      <w:r w:rsidRPr="00AE1B5A">
        <w:rPr>
          <w:rFonts w:asciiTheme="minorHAnsi" w:hAnsiTheme="minorHAnsi" w:cstheme="minorHAnsi"/>
        </w:rPr>
        <w:t xml:space="preserve"> target</w:t>
      </w:r>
      <w:r w:rsidR="007A4941">
        <w:rPr>
          <w:rFonts w:asciiTheme="minorHAnsi" w:hAnsiTheme="minorHAnsi" w:cstheme="minorHAnsi"/>
        </w:rPr>
        <w:t>ed</w:t>
      </w:r>
      <w:r w:rsidRPr="00AE1B5A">
        <w:rPr>
          <w:rFonts w:asciiTheme="minorHAnsi" w:hAnsiTheme="minorHAnsi" w:cstheme="minorHAnsi"/>
        </w:rPr>
        <w:t>, there would appear to be the need for research into the attitudes, information needs and message framing preferences of these</w:t>
      </w:r>
      <w:r w:rsidR="007A4941">
        <w:rPr>
          <w:rFonts w:asciiTheme="minorHAnsi" w:hAnsiTheme="minorHAnsi" w:cstheme="minorHAnsi"/>
        </w:rPr>
        <w:t xml:space="preserve"> social groups</w:t>
      </w:r>
      <w:r w:rsidRPr="00AE1B5A">
        <w:rPr>
          <w:rFonts w:asciiTheme="minorHAnsi" w:hAnsiTheme="minorHAnsi" w:cstheme="minorHAnsi"/>
        </w:rPr>
        <w:t>.</w:t>
      </w:r>
    </w:p>
    <w:p w:rsidR="002A0207" w:rsidRPr="00AE1B5A" w:rsidRDefault="002A0207" w:rsidP="002A0207">
      <w:pPr>
        <w:jc w:val="both"/>
        <w:rPr>
          <w:rFonts w:asciiTheme="minorHAnsi" w:hAnsiTheme="minorHAnsi" w:cstheme="minorHAnsi"/>
        </w:rPr>
      </w:pPr>
    </w:p>
    <w:p w:rsidR="002A0207" w:rsidRPr="00AE1B5A" w:rsidRDefault="002A0207" w:rsidP="002A0207">
      <w:pPr>
        <w:jc w:val="both"/>
        <w:rPr>
          <w:rFonts w:asciiTheme="minorHAnsi" w:hAnsiTheme="minorHAnsi" w:cstheme="minorHAnsi"/>
        </w:rPr>
      </w:pPr>
      <w:r w:rsidRPr="00AE1B5A">
        <w:rPr>
          <w:rFonts w:asciiTheme="minorHAnsi" w:hAnsiTheme="minorHAnsi" w:cstheme="minorHAnsi"/>
        </w:rPr>
        <w:t xml:space="preserve">There may be a more pragmatic reason for caution in the use of fear appeals.  In spite of several laboratory studies in which short term effectiveness was found, real-world effects do not show the same results.  Many of the unintended effects of health communication campaigns listed in Table 2 are directly, but not exclusively, attributable to fear appeals, i.e. dissonance, discomfort and distress, boomerang </w:t>
      </w:r>
      <w:r w:rsidRPr="00AE1B5A">
        <w:rPr>
          <w:rFonts w:asciiTheme="minorHAnsi" w:hAnsiTheme="minorHAnsi" w:cstheme="minorHAnsi"/>
        </w:rPr>
        <w:lastRenderedPageBreak/>
        <w:t>effects, epidemics of apprehension and desensitisation</w:t>
      </w:r>
      <w:bookmarkStart w:id="59" w:name="_Ref284766956"/>
      <w:r w:rsidRPr="004109ED">
        <w:rPr>
          <w:rStyle w:val="EndnoteReference"/>
          <w:rFonts w:asciiTheme="minorHAnsi" w:hAnsiTheme="minorHAnsi" w:cstheme="minorHAnsi"/>
        </w:rPr>
        <w:endnoteReference w:id="216"/>
      </w:r>
      <w:bookmarkEnd w:id="59"/>
      <w:r w:rsidRPr="004109ED">
        <w:rPr>
          <w:rFonts w:asciiTheme="minorHAnsi" w:hAnsiTheme="minorHAnsi" w:cstheme="minorHAnsi"/>
          <w:vertAlign w:val="superscript"/>
        </w:rPr>
        <w:t xml:space="preserve">, </w:t>
      </w:r>
      <w:r w:rsidRPr="00AE1B5A">
        <w:rPr>
          <w:rStyle w:val="EndnoteReference"/>
          <w:rFonts w:asciiTheme="minorHAnsi" w:hAnsiTheme="minorHAnsi" w:cstheme="minorHAnsi"/>
        </w:rPr>
        <w:endnoteReference w:id="217"/>
      </w:r>
      <w:r w:rsidRPr="00AE1B5A">
        <w:rPr>
          <w:rFonts w:asciiTheme="minorHAnsi" w:hAnsiTheme="minorHAnsi" w:cstheme="minorHAnsi"/>
        </w:rPr>
        <w:t>.  Additionally, strong fear appeals are more likely to be regarded as unethical if the target populations do not believe they can readily undertake the recommended behaviour or that the behaviour will be effective in minimising the perceived threat</w:t>
      </w:r>
      <w:r w:rsidR="007A4941">
        <w:rPr>
          <w:rFonts w:asciiTheme="minorHAnsi" w:hAnsiTheme="minorHAnsi" w:cstheme="minorHAnsi"/>
        </w:rPr>
        <w:t>.</w:t>
      </w:r>
      <w:r w:rsidRPr="00AE1B5A">
        <w:rPr>
          <w:rStyle w:val="EndnoteReference"/>
          <w:rFonts w:asciiTheme="minorHAnsi" w:hAnsiTheme="minorHAnsi" w:cstheme="minorHAnsi"/>
        </w:rPr>
        <w:endnoteReference w:id="218"/>
      </w:r>
      <w:r w:rsidRPr="00AE1B5A">
        <w:rPr>
          <w:rFonts w:asciiTheme="minorHAnsi" w:hAnsiTheme="minorHAnsi" w:cstheme="minorHAnsi"/>
        </w:rPr>
        <w:t xml:space="preserve"> </w:t>
      </w:r>
    </w:p>
    <w:p w:rsidR="002A0207" w:rsidRPr="00AE1B5A" w:rsidRDefault="002A0207" w:rsidP="002A0207">
      <w:pPr>
        <w:jc w:val="both"/>
        <w:rPr>
          <w:rFonts w:asciiTheme="minorHAnsi" w:hAnsiTheme="minorHAnsi" w:cstheme="minorHAnsi"/>
        </w:rPr>
      </w:pPr>
    </w:p>
    <w:p w:rsidR="002A0207" w:rsidRPr="003421D7" w:rsidRDefault="002A0207" w:rsidP="002A0207">
      <w:pPr>
        <w:jc w:val="both"/>
        <w:rPr>
          <w:rFonts w:asciiTheme="minorHAnsi" w:hAnsiTheme="minorHAnsi" w:cstheme="minorHAnsi"/>
        </w:rPr>
      </w:pPr>
      <w:r w:rsidRPr="003421D7">
        <w:rPr>
          <w:rFonts w:ascii="Calibri" w:hAnsi="Calibri" w:cs="Calibri"/>
        </w:rPr>
        <w:t xml:space="preserve">Table </w:t>
      </w:r>
      <w:r w:rsidR="00E268F9">
        <w:rPr>
          <w:rFonts w:ascii="Calibri" w:hAnsi="Calibri" w:cs="Calibri"/>
        </w:rPr>
        <w:t>4</w:t>
      </w:r>
      <w:r w:rsidRPr="003421D7">
        <w:rPr>
          <w:rFonts w:ascii="Calibri" w:hAnsi="Calibri" w:cs="Calibri"/>
        </w:rPr>
        <w:t xml:space="preserve"> summarises the existing state of knowledge regarding the situations in which positive or negative framed messages have been found to be most effective.</w:t>
      </w:r>
    </w:p>
    <w:p w:rsidR="002A0207" w:rsidRPr="00764DDC" w:rsidRDefault="002A0207" w:rsidP="002A0207">
      <w:pPr>
        <w:jc w:val="both"/>
      </w:pPr>
    </w:p>
    <w:p w:rsidR="002A0207" w:rsidRPr="003421D7" w:rsidRDefault="002A0207" w:rsidP="002A0207">
      <w:pPr>
        <w:jc w:val="both"/>
        <w:rPr>
          <w:rFonts w:ascii="Calibri" w:hAnsi="Calibri" w:cs="Calibri"/>
          <w:b/>
        </w:rPr>
      </w:pPr>
      <w:r w:rsidRPr="003421D7">
        <w:rPr>
          <w:rFonts w:ascii="Calibri" w:hAnsi="Calibri" w:cs="Calibri"/>
          <w:b/>
        </w:rPr>
        <w:t xml:space="preserve">Table </w:t>
      </w:r>
      <w:r w:rsidR="00E268F9">
        <w:rPr>
          <w:rFonts w:ascii="Calibri" w:hAnsi="Calibri" w:cs="Calibri"/>
          <w:b/>
        </w:rPr>
        <w:t>4</w:t>
      </w:r>
      <w:r w:rsidRPr="003421D7">
        <w:rPr>
          <w:rFonts w:ascii="Calibri" w:hAnsi="Calibri" w:cs="Calibri"/>
          <w:b/>
        </w:rPr>
        <w:t>:  Summary of Positive / Negative Framing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1"/>
        <w:gridCol w:w="4261"/>
      </w:tblGrid>
      <w:tr w:rsidR="002A0207" w:rsidRPr="003421D7" w:rsidTr="002A0207">
        <w:tc>
          <w:tcPr>
            <w:tcW w:w="4264" w:type="dxa"/>
          </w:tcPr>
          <w:p w:rsidR="002A0207" w:rsidRPr="003421D7" w:rsidRDefault="002A0207" w:rsidP="002A0207">
            <w:pPr>
              <w:jc w:val="both"/>
              <w:rPr>
                <w:rFonts w:ascii="Calibri" w:hAnsi="Calibri" w:cs="Calibri"/>
                <w:b/>
              </w:rPr>
            </w:pPr>
            <w:r w:rsidRPr="003421D7">
              <w:rPr>
                <w:rFonts w:ascii="Calibri" w:hAnsi="Calibri" w:cs="Calibri"/>
                <w:b/>
                <w:lang w:val="en-NZ"/>
              </w:rPr>
              <w:t>Positively framed messages more effective</w:t>
            </w:r>
          </w:p>
        </w:tc>
        <w:tc>
          <w:tcPr>
            <w:tcW w:w="4264" w:type="dxa"/>
          </w:tcPr>
          <w:p w:rsidR="002A0207" w:rsidRPr="003421D7" w:rsidRDefault="002A0207" w:rsidP="002A0207">
            <w:pPr>
              <w:jc w:val="both"/>
              <w:rPr>
                <w:rFonts w:ascii="Calibri" w:hAnsi="Calibri" w:cs="Calibri"/>
                <w:b/>
              </w:rPr>
            </w:pPr>
            <w:r w:rsidRPr="003421D7">
              <w:rPr>
                <w:rFonts w:ascii="Calibri" w:hAnsi="Calibri" w:cs="Calibri"/>
                <w:b/>
                <w:lang w:val="en-NZ"/>
              </w:rPr>
              <w:t>Negatively framed messages more effective</w:t>
            </w:r>
          </w:p>
        </w:tc>
      </w:tr>
      <w:tr w:rsidR="002A0207" w:rsidRPr="003421D7" w:rsidTr="002A0207">
        <w:tc>
          <w:tcPr>
            <w:tcW w:w="4264" w:type="dxa"/>
          </w:tcPr>
          <w:p w:rsidR="002A0207" w:rsidRPr="003421D7" w:rsidRDefault="002A0207" w:rsidP="002A0207">
            <w:pPr>
              <w:jc w:val="both"/>
              <w:rPr>
                <w:rFonts w:ascii="Calibri" w:hAnsi="Calibri" w:cs="Calibri"/>
              </w:rPr>
            </w:pPr>
            <w:r w:rsidRPr="003421D7">
              <w:rPr>
                <w:rFonts w:ascii="Calibri" w:hAnsi="Calibri" w:cs="Calibri"/>
                <w:lang w:val="en-NZ"/>
              </w:rPr>
              <w:t>Low motivation</w:t>
            </w:r>
          </w:p>
        </w:tc>
        <w:tc>
          <w:tcPr>
            <w:tcW w:w="4264" w:type="dxa"/>
          </w:tcPr>
          <w:p w:rsidR="002A0207" w:rsidRPr="003421D7" w:rsidRDefault="002A0207" w:rsidP="002A0207">
            <w:pPr>
              <w:jc w:val="both"/>
              <w:rPr>
                <w:rFonts w:ascii="Calibri" w:hAnsi="Calibri" w:cs="Calibri"/>
              </w:rPr>
            </w:pPr>
            <w:r w:rsidRPr="003421D7">
              <w:rPr>
                <w:rFonts w:ascii="Calibri" w:hAnsi="Calibri" w:cs="Calibri"/>
                <w:lang w:val="en-NZ"/>
              </w:rPr>
              <w:t>High motivation</w:t>
            </w:r>
          </w:p>
        </w:tc>
      </w:tr>
      <w:tr w:rsidR="002A0207" w:rsidRPr="003421D7" w:rsidTr="002A0207">
        <w:tc>
          <w:tcPr>
            <w:tcW w:w="4264" w:type="dxa"/>
          </w:tcPr>
          <w:p w:rsidR="002A0207" w:rsidRPr="003421D7" w:rsidRDefault="002A0207" w:rsidP="002A0207">
            <w:pPr>
              <w:jc w:val="both"/>
              <w:rPr>
                <w:rFonts w:ascii="Calibri" w:hAnsi="Calibri" w:cs="Calibri"/>
                <w:lang w:val="en-NZ"/>
              </w:rPr>
            </w:pPr>
            <w:r w:rsidRPr="003421D7">
              <w:rPr>
                <w:rFonts w:ascii="Calibri" w:hAnsi="Calibri" w:cs="Calibri"/>
                <w:lang w:val="en-NZ"/>
              </w:rPr>
              <w:t>High perceived efficacy</w:t>
            </w:r>
          </w:p>
          <w:p w:rsidR="002A0207" w:rsidRPr="003421D7" w:rsidRDefault="002A0207" w:rsidP="002A0207">
            <w:pPr>
              <w:jc w:val="both"/>
              <w:rPr>
                <w:rFonts w:ascii="Calibri" w:hAnsi="Calibri" w:cs="Calibri"/>
                <w:lang w:val="en-NZ"/>
              </w:rPr>
            </w:pPr>
            <w:r w:rsidRPr="003421D7">
              <w:rPr>
                <w:rFonts w:ascii="Calibri" w:hAnsi="Calibri" w:cs="Calibri"/>
                <w:lang w:val="en-NZ"/>
              </w:rPr>
              <w:t>No risk in behaviours</w:t>
            </w:r>
          </w:p>
          <w:p w:rsidR="002A0207" w:rsidRPr="003421D7" w:rsidRDefault="002A0207" w:rsidP="002A0207">
            <w:pPr>
              <w:jc w:val="both"/>
              <w:rPr>
                <w:rFonts w:ascii="Calibri" w:hAnsi="Calibri" w:cs="Calibri"/>
                <w:lang w:val="en-NZ"/>
              </w:rPr>
            </w:pPr>
            <w:r w:rsidRPr="003421D7">
              <w:rPr>
                <w:rFonts w:ascii="Calibri" w:hAnsi="Calibri" w:cs="Calibri"/>
                <w:lang w:val="en-NZ"/>
              </w:rPr>
              <w:t>Certain outcomes</w:t>
            </w:r>
          </w:p>
          <w:p w:rsidR="002A0207" w:rsidRPr="003421D7" w:rsidRDefault="002A0207" w:rsidP="002A0207">
            <w:pPr>
              <w:jc w:val="both"/>
              <w:rPr>
                <w:rFonts w:ascii="Calibri" w:hAnsi="Calibri" w:cs="Calibri"/>
              </w:rPr>
            </w:pPr>
            <w:r w:rsidRPr="003421D7">
              <w:rPr>
                <w:rFonts w:ascii="Calibri" w:hAnsi="Calibri" w:cs="Calibri"/>
                <w:lang w:val="en-NZ"/>
              </w:rPr>
              <w:t>Acceptable in relation to perceived behavioural norms</w:t>
            </w:r>
          </w:p>
        </w:tc>
        <w:tc>
          <w:tcPr>
            <w:tcW w:w="4264" w:type="dxa"/>
          </w:tcPr>
          <w:p w:rsidR="002A0207" w:rsidRPr="003421D7" w:rsidRDefault="002A0207" w:rsidP="002A0207">
            <w:pPr>
              <w:jc w:val="both"/>
              <w:rPr>
                <w:rFonts w:ascii="Calibri" w:hAnsi="Calibri" w:cs="Calibri"/>
                <w:lang w:val="en-NZ"/>
              </w:rPr>
            </w:pPr>
            <w:r w:rsidRPr="003421D7">
              <w:rPr>
                <w:rFonts w:ascii="Calibri" w:hAnsi="Calibri" w:cs="Calibri"/>
                <w:lang w:val="en-NZ"/>
              </w:rPr>
              <w:t>Low or uncertain perceived efficacy</w:t>
            </w:r>
          </w:p>
          <w:p w:rsidR="002A0207" w:rsidRPr="003421D7" w:rsidRDefault="002A0207" w:rsidP="002A0207">
            <w:pPr>
              <w:jc w:val="both"/>
              <w:rPr>
                <w:rFonts w:ascii="Calibri" w:hAnsi="Calibri" w:cs="Calibri"/>
              </w:rPr>
            </w:pPr>
            <w:r w:rsidRPr="003421D7">
              <w:rPr>
                <w:rFonts w:ascii="Calibri" w:hAnsi="Calibri" w:cs="Calibri"/>
                <w:lang w:val="en-NZ"/>
              </w:rPr>
              <w:t>Uncertain outcomes</w:t>
            </w:r>
          </w:p>
        </w:tc>
      </w:tr>
      <w:tr w:rsidR="002A0207" w:rsidRPr="003421D7" w:rsidTr="002A0207">
        <w:tc>
          <w:tcPr>
            <w:tcW w:w="4264" w:type="dxa"/>
          </w:tcPr>
          <w:p w:rsidR="002A0207" w:rsidRPr="003421D7" w:rsidRDefault="002A0207" w:rsidP="002A0207">
            <w:pPr>
              <w:jc w:val="both"/>
              <w:rPr>
                <w:rFonts w:ascii="Calibri" w:hAnsi="Calibri" w:cs="Calibri"/>
              </w:rPr>
            </w:pPr>
            <w:r w:rsidRPr="003421D7">
              <w:rPr>
                <w:rFonts w:ascii="Calibri" w:hAnsi="Calibri" w:cs="Calibri"/>
                <w:lang w:val="en-NZ"/>
              </w:rPr>
              <w:t>Prevention focus (maintaining good health, appearance)</w:t>
            </w:r>
          </w:p>
        </w:tc>
        <w:tc>
          <w:tcPr>
            <w:tcW w:w="4264" w:type="dxa"/>
          </w:tcPr>
          <w:p w:rsidR="002A0207" w:rsidRPr="003421D7" w:rsidRDefault="002A0207" w:rsidP="002A0207">
            <w:pPr>
              <w:jc w:val="both"/>
              <w:rPr>
                <w:rFonts w:ascii="Calibri" w:hAnsi="Calibri" w:cs="Calibri"/>
              </w:rPr>
            </w:pPr>
            <w:r w:rsidRPr="003421D7">
              <w:rPr>
                <w:rFonts w:ascii="Calibri" w:hAnsi="Calibri" w:cs="Calibri"/>
                <w:lang w:val="en-NZ"/>
              </w:rPr>
              <w:t>Detection / early diagnosis</w:t>
            </w:r>
          </w:p>
        </w:tc>
      </w:tr>
    </w:tbl>
    <w:p w:rsidR="002A0207" w:rsidRDefault="002A0207" w:rsidP="002A0207">
      <w:pPr>
        <w:jc w:val="both"/>
        <w:rPr>
          <w:rFonts w:ascii="Calibri" w:hAnsi="Calibri" w:cs="Calibri"/>
          <w:b/>
        </w:rPr>
      </w:pPr>
    </w:p>
    <w:p w:rsidR="00E268F9" w:rsidRDefault="00E268F9" w:rsidP="00E268F9">
      <w:pPr>
        <w:jc w:val="both"/>
        <w:rPr>
          <w:rFonts w:ascii="Calibri" w:hAnsi="Calibri" w:cs="Calibri"/>
        </w:rPr>
      </w:pPr>
      <w:r w:rsidRPr="00954505">
        <w:rPr>
          <w:rFonts w:ascii="Calibri" w:hAnsi="Calibri" w:cs="Calibri"/>
        </w:rPr>
        <w:t xml:space="preserve">A comprehensive research programme is needed to inform debate in this area.  The following list is not exhaustive, but indicates the complexity of the processes involved </w:t>
      </w:r>
      <w:r>
        <w:rPr>
          <w:rFonts w:ascii="Calibri" w:hAnsi="Calibri" w:cs="Calibri"/>
        </w:rPr>
        <w:t xml:space="preserve">in communication and aspects of communication that should be systematically studied in the context noted earlier of understanding </w:t>
      </w:r>
      <w:r w:rsidR="00A42D2C">
        <w:rPr>
          <w:rFonts w:ascii="Calibri" w:hAnsi="Calibri" w:cs="Calibri"/>
        </w:rPr>
        <w:t>‘</w:t>
      </w:r>
      <w:r>
        <w:rPr>
          <w:rFonts w:ascii="Calibri" w:hAnsi="Calibri" w:cs="Calibri"/>
        </w:rPr>
        <w:t xml:space="preserve">what works, for whom, in what </w:t>
      </w:r>
      <w:r w:rsidR="00A42D2C">
        <w:rPr>
          <w:rFonts w:ascii="Calibri" w:hAnsi="Calibri" w:cs="Calibri"/>
        </w:rPr>
        <w:t>circumstances and for how long?’</w:t>
      </w:r>
      <w:r>
        <w:rPr>
          <w:rFonts w:ascii="Calibri" w:hAnsi="Calibri" w:cs="Calibri"/>
        </w:rPr>
        <w:t xml:space="preserve">.  The following questions should be specifically addressed: </w:t>
      </w:r>
    </w:p>
    <w:p w:rsidR="00E268F9" w:rsidRDefault="00E268F9" w:rsidP="00E268F9">
      <w:pPr>
        <w:jc w:val="both"/>
        <w:rPr>
          <w:rFonts w:ascii="Calibri" w:hAnsi="Calibri" w:cs="Calibri"/>
          <w:i/>
        </w:rPr>
      </w:pPr>
      <w:r>
        <w:rPr>
          <w:rFonts w:ascii="Calibri" w:hAnsi="Calibri" w:cs="Calibri"/>
        </w:rPr>
        <w:t xml:space="preserve">  </w:t>
      </w:r>
    </w:p>
    <w:p w:rsidR="00E268F9" w:rsidRPr="00954505" w:rsidRDefault="00E268F9" w:rsidP="00E268F9">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CCFFFF"/>
        <w:jc w:val="both"/>
        <w:rPr>
          <w:rFonts w:asciiTheme="minorHAnsi" w:hAnsiTheme="minorHAnsi"/>
          <w:color w:val="000000"/>
          <w:szCs w:val="22"/>
        </w:rPr>
      </w:pPr>
      <w:r>
        <w:rPr>
          <w:rFonts w:asciiTheme="minorHAnsi" w:hAnsiTheme="minorHAnsi"/>
          <w:color w:val="000000"/>
          <w:szCs w:val="22"/>
        </w:rPr>
        <w:t>What are the</w:t>
      </w:r>
      <w:r w:rsidRPr="00954505">
        <w:rPr>
          <w:rFonts w:asciiTheme="minorHAnsi" w:hAnsiTheme="minorHAnsi"/>
          <w:color w:val="000000"/>
          <w:szCs w:val="22"/>
        </w:rPr>
        <w:t xml:space="preserve"> relative impact of cognitive (arguments) versus affective (emotions) components in persuasive health communication and comparison of findings with extant theories</w:t>
      </w:r>
      <w:r>
        <w:rPr>
          <w:rFonts w:asciiTheme="minorHAnsi" w:hAnsiTheme="minorHAnsi"/>
          <w:color w:val="000000"/>
          <w:szCs w:val="22"/>
        </w:rPr>
        <w:t>?</w:t>
      </w:r>
    </w:p>
    <w:p w:rsidR="00E268F9" w:rsidRPr="00954505" w:rsidRDefault="00E268F9" w:rsidP="00E268F9">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CCFFFF"/>
        <w:jc w:val="both"/>
        <w:rPr>
          <w:rFonts w:asciiTheme="minorHAnsi" w:hAnsiTheme="minorHAnsi"/>
          <w:color w:val="000000"/>
          <w:szCs w:val="22"/>
        </w:rPr>
      </w:pPr>
      <w:r>
        <w:rPr>
          <w:rFonts w:asciiTheme="minorHAnsi" w:hAnsiTheme="minorHAnsi"/>
          <w:color w:val="000000"/>
          <w:szCs w:val="22"/>
        </w:rPr>
        <w:t>What are the relative effects and e</w:t>
      </w:r>
      <w:r w:rsidRPr="00954505">
        <w:rPr>
          <w:rFonts w:asciiTheme="minorHAnsi" w:hAnsiTheme="minorHAnsi"/>
          <w:color w:val="000000"/>
          <w:szCs w:val="22"/>
        </w:rPr>
        <w:t>ffectiveness of different types of message framing (gain or loss framed messages) in health communication</w:t>
      </w:r>
      <w:r>
        <w:rPr>
          <w:rFonts w:asciiTheme="minorHAnsi" w:hAnsiTheme="minorHAnsi"/>
          <w:color w:val="000000"/>
          <w:szCs w:val="22"/>
        </w:rPr>
        <w:t>?</w:t>
      </w:r>
    </w:p>
    <w:p w:rsidR="00E268F9" w:rsidRPr="00954505" w:rsidRDefault="00E268F9" w:rsidP="00E268F9">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CCFFFF"/>
        <w:jc w:val="both"/>
        <w:rPr>
          <w:rFonts w:asciiTheme="minorHAnsi" w:hAnsiTheme="minorHAnsi"/>
          <w:color w:val="000000"/>
          <w:szCs w:val="22"/>
        </w:rPr>
      </w:pPr>
      <w:r>
        <w:rPr>
          <w:rFonts w:asciiTheme="minorHAnsi" w:hAnsiTheme="minorHAnsi"/>
          <w:color w:val="000000"/>
          <w:szCs w:val="22"/>
        </w:rPr>
        <w:t>What are the relative effects and e</w:t>
      </w:r>
      <w:r w:rsidRPr="00954505">
        <w:rPr>
          <w:rFonts w:asciiTheme="minorHAnsi" w:hAnsiTheme="minorHAnsi"/>
          <w:color w:val="000000"/>
          <w:szCs w:val="22"/>
        </w:rPr>
        <w:t xml:space="preserve">ffectiveness of one-side versus two-sided messages across population segments and their impact on </w:t>
      </w:r>
      <w:r w:rsidR="007A4941" w:rsidRPr="00954505">
        <w:rPr>
          <w:rFonts w:asciiTheme="minorHAnsi" w:hAnsiTheme="minorHAnsi"/>
          <w:color w:val="000000"/>
          <w:szCs w:val="22"/>
        </w:rPr>
        <w:t>persuasion?</w:t>
      </w:r>
    </w:p>
    <w:p w:rsidR="00E268F9" w:rsidRPr="00954505" w:rsidRDefault="00E268F9" w:rsidP="00E268F9">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CCFFFF"/>
        <w:jc w:val="both"/>
        <w:rPr>
          <w:rFonts w:asciiTheme="minorHAnsi" w:hAnsiTheme="minorHAnsi"/>
          <w:color w:val="000000"/>
          <w:szCs w:val="22"/>
        </w:rPr>
      </w:pPr>
      <w:r>
        <w:rPr>
          <w:rFonts w:asciiTheme="minorHAnsi" w:hAnsiTheme="minorHAnsi"/>
          <w:color w:val="000000"/>
          <w:szCs w:val="22"/>
        </w:rPr>
        <w:t>What are the relative effects and e</w:t>
      </w:r>
      <w:r w:rsidRPr="00954505">
        <w:rPr>
          <w:rFonts w:asciiTheme="minorHAnsi" w:hAnsiTheme="minorHAnsi"/>
          <w:color w:val="000000"/>
          <w:szCs w:val="22"/>
        </w:rPr>
        <w:t xml:space="preserve">ffectiveness </w:t>
      </w:r>
      <w:r>
        <w:rPr>
          <w:rFonts w:asciiTheme="minorHAnsi" w:hAnsiTheme="minorHAnsi"/>
          <w:color w:val="000000"/>
          <w:szCs w:val="22"/>
        </w:rPr>
        <w:t>of t</w:t>
      </w:r>
      <w:r w:rsidRPr="00954505">
        <w:rPr>
          <w:rFonts w:asciiTheme="minorHAnsi" w:hAnsiTheme="minorHAnsi"/>
          <w:color w:val="000000"/>
          <w:szCs w:val="22"/>
        </w:rPr>
        <w:t xml:space="preserve">hreat and fear appeals in health communication and how </w:t>
      </w:r>
      <w:r>
        <w:rPr>
          <w:rFonts w:asciiTheme="minorHAnsi" w:hAnsiTheme="minorHAnsi"/>
          <w:color w:val="000000"/>
          <w:szCs w:val="22"/>
        </w:rPr>
        <w:t xml:space="preserve">do </w:t>
      </w:r>
      <w:r w:rsidRPr="00954505">
        <w:rPr>
          <w:rFonts w:asciiTheme="minorHAnsi" w:hAnsiTheme="minorHAnsi"/>
          <w:color w:val="000000"/>
          <w:szCs w:val="22"/>
        </w:rPr>
        <w:t>they lead to message acceptance or rejection</w:t>
      </w:r>
      <w:r>
        <w:rPr>
          <w:rFonts w:asciiTheme="minorHAnsi" w:hAnsiTheme="minorHAnsi"/>
          <w:color w:val="000000"/>
          <w:szCs w:val="22"/>
        </w:rPr>
        <w:t>?</w:t>
      </w:r>
    </w:p>
    <w:p w:rsidR="00E268F9" w:rsidRPr="00954505" w:rsidRDefault="00E268F9" w:rsidP="00E268F9">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CCFFFF"/>
        <w:jc w:val="both"/>
        <w:rPr>
          <w:rFonts w:asciiTheme="minorHAnsi" w:hAnsiTheme="minorHAnsi"/>
          <w:color w:val="000000"/>
          <w:szCs w:val="22"/>
        </w:rPr>
      </w:pPr>
      <w:r>
        <w:rPr>
          <w:rFonts w:asciiTheme="minorHAnsi" w:hAnsiTheme="minorHAnsi"/>
          <w:color w:val="000000"/>
          <w:szCs w:val="22"/>
        </w:rPr>
        <w:t>What is t</w:t>
      </w:r>
      <w:r w:rsidRPr="00954505">
        <w:rPr>
          <w:rFonts w:asciiTheme="minorHAnsi" w:hAnsiTheme="minorHAnsi"/>
          <w:color w:val="000000"/>
          <w:szCs w:val="22"/>
        </w:rPr>
        <w:t>he role of the type of issue (e.g., short term versus long term risks, high control-efficacy and self-efficacy versus low efficacy) on the impact of va</w:t>
      </w:r>
      <w:r w:rsidR="007A4941">
        <w:rPr>
          <w:rFonts w:asciiTheme="minorHAnsi" w:hAnsiTheme="minorHAnsi"/>
          <w:color w:val="000000"/>
          <w:szCs w:val="22"/>
        </w:rPr>
        <w:t>rious types of health campaigns?</w:t>
      </w:r>
    </w:p>
    <w:p w:rsidR="00E268F9" w:rsidRPr="00954505" w:rsidRDefault="00E268F9" w:rsidP="00E268F9">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CCFFFF"/>
        <w:jc w:val="both"/>
        <w:rPr>
          <w:rFonts w:asciiTheme="minorHAnsi" w:hAnsiTheme="minorHAnsi"/>
          <w:color w:val="000000"/>
          <w:szCs w:val="22"/>
        </w:rPr>
      </w:pPr>
      <w:r>
        <w:rPr>
          <w:rFonts w:asciiTheme="minorHAnsi" w:hAnsiTheme="minorHAnsi"/>
          <w:color w:val="000000"/>
          <w:szCs w:val="22"/>
        </w:rPr>
        <w:t>How does the e</w:t>
      </w:r>
      <w:r w:rsidRPr="00954505">
        <w:rPr>
          <w:rFonts w:asciiTheme="minorHAnsi" w:hAnsiTheme="minorHAnsi"/>
          <w:color w:val="000000"/>
          <w:szCs w:val="22"/>
        </w:rPr>
        <w:t xml:space="preserve">ffectiveness of health communication </w:t>
      </w:r>
      <w:r>
        <w:rPr>
          <w:rFonts w:asciiTheme="minorHAnsi" w:hAnsiTheme="minorHAnsi"/>
          <w:color w:val="000000"/>
          <w:szCs w:val="22"/>
        </w:rPr>
        <w:t xml:space="preserve">vary </w:t>
      </w:r>
      <w:r w:rsidRPr="00954505">
        <w:rPr>
          <w:rFonts w:asciiTheme="minorHAnsi" w:hAnsiTheme="minorHAnsi"/>
          <w:color w:val="000000"/>
          <w:szCs w:val="22"/>
        </w:rPr>
        <w:t>across socio-demographic segments</w:t>
      </w:r>
      <w:r>
        <w:rPr>
          <w:rFonts w:asciiTheme="minorHAnsi" w:hAnsiTheme="minorHAnsi"/>
          <w:color w:val="000000"/>
          <w:szCs w:val="22"/>
        </w:rPr>
        <w:t>?</w:t>
      </w:r>
      <w:r w:rsidRPr="00954505">
        <w:rPr>
          <w:rFonts w:asciiTheme="minorHAnsi" w:hAnsiTheme="minorHAnsi"/>
          <w:color w:val="000000"/>
          <w:szCs w:val="22"/>
        </w:rPr>
        <w:t xml:space="preserve"> </w:t>
      </w:r>
    </w:p>
    <w:p w:rsidR="00E268F9" w:rsidRPr="00954505" w:rsidRDefault="00E268F9" w:rsidP="00E268F9">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CCFFFF"/>
        <w:jc w:val="both"/>
        <w:rPr>
          <w:rFonts w:asciiTheme="minorHAnsi" w:hAnsiTheme="minorHAnsi"/>
          <w:color w:val="000000"/>
          <w:szCs w:val="22"/>
        </w:rPr>
      </w:pPr>
      <w:r>
        <w:rPr>
          <w:rFonts w:asciiTheme="minorHAnsi" w:hAnsiTheme="minorHAnsi"/>
          <w:color w:val="000000"/>
          <w:szCs w:val="22"/>
        </w:rPr>
        <w:t>What is t</w:t>
      </w:r>
      <w:r w:rsidRPr="00954505">
        <w:rPr>
          <w:rFonts w:asciiTheme="minorHAnsi" w:hAnsiTheme="minorHAnsi"/>
          <w:color w:val="000000"/>
          <w:szCs w:val="22"/>
        </w:rPr>
        <w:t>he role of personality traits (level of involvement with the issue, promotion versus prevention orientation, self esteem) o</w:t>
      </w:r>
      <w:r w:rsidR="007A4941">
        <w:rPr>
          <w:rFonts w:asciiTheme="minorHAnsi" w:hAnsiTheme="minorHAnsi"/>
          <w:color w:val="000000"/>
          <w:szCs w:val="22"/>
        </w:rPr>
        <w:t>n the impact of health messages?</w:t>
      </w:r>
    </w:p>
    <w:p w:rsidR="00E268F9" w:rsidRPr="00954505" w:rsidRDefault="00E268F9" w:rsidP="00E268F9">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CCFFFF"/>
        <w:spacing w:after="120"/>
        <w:jc w:val="both"/>
        <w:rPr>
          <w:rFonts w:asciiTheme="minorHAnsi" w:hAnsiTheme="minorHAnsi"/>
          <w:color w:val="000000"/>
          <w:szCs w:val="22"/>
        </w:rPr>
      </w:pPr>
      <w:r>
        <w:rPr>
          <w:rFonts w:asciiTheme="minorHAnsi" w:hAnsiTheme="minorHAnsi"/>
          <w:color w:val="000000"/>
          <w:szCs w:val="22"/>
        </w:rPr>
        <w:t>What</w:t>
      </w:r>
      <w:r w:rsidRPr="00954505">
        <w:rPr>
          <w:rFonts w:asciiTheme="minorHAnsi" w:hAnsiTheme="minorHAnsi"/>
          <w:color w:val="000000"/>
          <w:szCs w:val="22"/>
        </w:rPr>
        <w:t xml:space="preserve"> role </w:t>
      </w:r>
      <w:r>
        <w:rPr>
          <w:rFonts w:asciiTheme="minorHAnsi" w:hAnsiTheme="minorHAnsi"/>
          <w:color w:val="000000"/>
          <w:szCs w:val="22"/>
        </w:rPr>
        <w:t xml:space="preserve">does </w:t>
      </w:r>
      <w:r w:rsidRPr="00954505">
        <w:rPr>
          <w:rFonts w:asciiTheme="minorHAnsi" w:hAnsiTheme="minorHAnsi"/>
          <w:color w:val="000000"/>
          <w:szCs w:val="22"/>
        </w:rPr>
        <w:t xml:space="preserve">scepticism play in the processing of social marketing communications and how </w:t>
      </w:r>
      <w:r w:rsidR="007A4941">
        <w:rPr>
          <w:rFonts w:asciiTheme="minorHAnsi" w:hAnsiTheme="minorHAnsi"/>
          <w:color w:val="000000"/>
          <w:szCs w:val="22"/>
        </w:rPr>
        <w:t>does this vary</w:t>
      </w:r>
      <w:r w:rsidRPr="00954505">
        <w:rPr>
          <w:rFonts w:asciiTheme="minorHAnsi" w:hAnsiTheme="minorHAnsi"/>
          <w:color w:val="000000"/>
          <w:szCs w:val="22"/>
        </w:rPr>
        <w:t xml:space="preserve"> across population segments</w:t>
      </w:r>
      <w:r>
        <w:rPr>
          <w:rFonts w:asciiTheme="minorHAnsi" w:hAnsiTheme="minorHAnsi"/>
          <w:color w:val="000000"/>
          <w:szCs w:val="22"/>
        </w:rPr>
        <w:t>?</w:t>
      </w:r>
    </w:p>
    <w:p w:rsidR="00E268F9" w:rsidRPr="00954505" w:rsidRDefault="00E268F9" w:rsidP="00E268F9">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CCFFFF"/>
        <w:jc w:val="both"/>
        <w:rPr>
          <w:rFonts w:asciiTheme="minorHAnsi" w:hAnsiTheme="minorHAnsi"/>
          <w:color w:val="000000"/>
          <w:szCs w:val="22"/>
        </w:rPr>
      </w:pPr>
      <w:r w:rsidRPr="00954505">
        <w:rPr>
          <w:rFonts w:asciiTheme="minorHAnsi" w:hAnsiTheme="minorHAnsi"/>
          <w:color w:val="000000"/>
          <w:szCs w:val="22"/>
        </w:rPr>
        <w:lastRenderedPageBreak/>
        <w:t xml:space="preserve">What sources of information, and which channels and instruments are used by different socio-demographic segments </w:t>
      </w:r>
      <w:r>
        <w:rPr>
          <w:rFonts w:asciiTheme="minorHAnsi" w:hAnsiTheme="minorHAnsi"/>
          <w:color w:val="000000"/>
          <w:szCs w:val="22"/>
        </w:rPr>
        <w:t>across</w:t>
      </w:r>
      <w:r w:rsidRPr="00954505">
        <w:rPr>
          <w:rFonts w:asciiTheme="minorHAnsi" w:hAnsiTheme="minorHAnsi"/>
          <w:color w:val="000000"/>
          <w:szCs w:val="22"/>
        </w:rPr>
        <w:t xml:space="preserve"> life stages?</w:t>
      </w:r>
    </w:p>
    <w:p w:rsidR="00E268F9" w:rsidRPr="00954505" w:rsidRDefault="00E268F9" w:rsidP="00E268F9">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CCFFFF"/>
        <w:jc w:val="both"/>
        <w:rPr>
          <w:rFonts w:asciiTheme="minorHAnsi" w:hAnsiTheme="minorHAnsi"/>
          <w:color w:val="000000"/>
          <w:szCs w:val="22"/>
        </w:rPr>
      </w:pPr>
      <w:r w:rsidRPr="00954505">
        <w:rPr>
          <w:rFonts w:asciiTheme="minorHAnsi" w:hAnsiTheme="minorHAnsi"/>
          <w:color w:val="000000"/>
          <w:szCs w:val="22"/>
        </w:rPr>
        <w:t>To what extent are new media important, and how do individuals and groups use user-generated content features to gather information and form an opinion that shapes behaviour?</w:t>
      </w:r>
    </w:p>
    <w:p w:rsidR="00E268F9" w:rsidRPr="00954505" w:rsidRDefault="00E268F9" w:rsidP="00E268F9">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CCFFFF"/>
        <w:jc w:val="both"/>
        <w:rPr>
          <w:rFonts w:asciiTheme="minorHAnsi" w:hAnsiTheme="minorHAnsi"/>
          <w:szCs w:val="22"/>
        </w:rPr>
      </w:pPr>
      <w:r w:rsidRPr="00954505">
        <w:rPr>
          <w:rFonts w:asciiTheme="minorHAnsi" w:hAnsiTheme="minorHAnsi"/>
          <w:color w:val="000000"/>
          <w:szCs w:val="22"/>
        </w:rPr>
        <w:t>Which sources are trusted and seen as most credible? What is the role of different social grou</w:t>
      </w:r>
      <w:r w:rsidR="007A4941">
        <w:rPr>
          <w:rFonts w:asciiTheme="minorHAnsi" w:hAnsiTheme="minorHAnsi"/>
          <w:color w:val="000000"/>
          <w:szCs w:val="22"/>
        </w:rPr>
        <w:t>ps in forming opinions and shaping</w:t>
      </w:r>
      <w:r w:rsidRPr="00954505">
        <w:rPr>
          <w:rFonts w:asciiTheme="minorHAnsi" w:hAnsiTheme="minorHAnsi"/>
          <w:color w:val="000000"/>
          <w:szCs w:val="22"/>
        </w:rPr>
        <w:t xml:space="preserve"> behaviour?</w:t>
      </w:r>
    </w:p>
    <w:p w:rsidR="00E268F9" w:rsidRPr="00954505" w:rsidRDefault="00E268F9" w:rsidP="00E268F9">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CCFFFF"/>
        <w:jc w:val="both"/>
        <w:rPr>
          <w:rFonts w:asciiTheme="minorHAnsi" w:hAnsiTheme="minorHAnsi"/>
          <w:szCs w:val="22"/>
        </w:rPr>
      </w:pPr>
      <w:r w:rsidRPr="00954505">
        <w:rPr>
          <w:rFonts w:asciiTheme="minorHAnsi" w:hAnsiTheme="minorHAnsi"/>
          <w:szCs w:val="22"/>
        </w:rPr>
        <w:t>How well do traditional communications models and theories describe, explain or enable prediction of persuasive social marketing communication processes in the 21</w:t>
      </w:r>
      <w:r w:rsidRPr="00954505">
        <w:rPr>
          <w:rFonts w:asciiTheme="minorHAnsi" w:hAnsiTheme="minorHAnsi"/>
          <w:szCs w:val="22"/>
          <w:vertAlign w:val="superscript"/>
        </w:rPr>
        <w:t>st</w:t>
      </w:r>
      <w:r w:rsidRPr="00954505">
        <w:rPr>
          <w:rFonts w:asciiTheme="minorHAnsi" w:hAnsiTheme="minorHAnsi"/>
          <w:szCs w:val="22"/>
        </w:rPr>
        <w:t xml:space="preserve"> Century, particularly for new media forms such as social networks, where the content is created and managed by users? </w:t>
      </w:r>
    </w:p>
    <w:p w:rsidR="00E268F9" w:rsidRPr="00954505" w:rsidRDefault="00E268F9" w:rsidP="00E268F9">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CCFFFF"/>
        <w:jc w:val="both"/>
        <w:rPr>
          <w:rFonts w:asciiTheme="minorHAnsi" w:hAnsiTheme="minorHAnsi"/>
          <w:szCs w:val="22"/>
        </w:rPr>
      </w:pPr>
      <w:r w:rsidRPr="00954505">
        <w:rPr>
          <w:rFonts w:asciiTheme="minorHAnsi" w:hAnsiTheme="minorHAnsi"/>
          <w:szCs w:val="22"/>
        </w:rPr>
        <w:t xml:space="preserve">How </w:t>
      </w:r>
      <w:r>
        <w:rPr>
          <w:rFonts w:asciiTheme="minorHAnsi" w:hAnsiTheme="minorHAnsi"/>
          <w:szCs w:val="22"/>
        </w:rPr>
        <w:t xml:space="preserve">are </w:t>
      </w:r>
      <w:r w:rsidRPr="00954505">
        <w:rPr>
          <w:rFonts w:asciiTheme="minorHAnsi" w:hAnsiTheme="minorHAnsi"/>
          <w:szCs w:val="22"/>
        </w:rPr>
        <w:t xml:space="preserve">these media used, and what impact </w:t>
      </w:r>
      <w:r w:rsidR="007A4941">
        <w:rPr>
          <w:rFonts w:asciiTheme="minorHAnsi" w:hAnsiTheme="minorHAnsi"/>
          <w:szCs w:val="22"/>
        </w:rPr>
        <w:t xml:space="preserve">do </w:t>
      </w:r>
      <w:r w:rsidRPr="00954505">
        <w:rPr>
          <w:rFonts w:asciiTheme="minorHAnsi" w:hAnsiTheme="minorHAnsi"/>
          <w:szCs w:val="22"/>
        </w:rPr>
        <w:t xml:space="preserve">they have on the lives of users and the effectiveness of the media for communicating persuasive health-related messages? </w:t>
      </w:r>
    </w:p>
    <w:p w:rsidR="00E268F9" w:rsidRPr="00954505" w:rsidRDefault="00E268F9" w:rsidP="00E268F9">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CCFFFF"/>
        <w:jc w:val="both"/>
        <w:rPr>
          <w:rFonts w:asciiTheme="minorHAnsi" w:hAnsiTheme="minorHAnsi"/>
          <w:szCs w:val="22"/>
        </w:rPr>
      </w:pPr>
      <w:r w:rsidRPr="00954505">
        <w:rPr>
          <w:rFonts w:asciiTheme="minorHAnsi" w:hAnsiTheme="minorHAnsi"/>
          <w:szCs w:val="22"/>
        </w:rPr>
        <w:t xml:space="preserve">How individuals behave in user-generated content environments: the role of flow and interaction. </w:t>
      </w:r>
    </w:p>
    <w:p w:rsidR="00E268F9" w:rsidRPr="00954505" w:rsidRDefault="00E268F9" w:rsidP="00E268F9">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CCFFFF"/>
        <w:jc w:val="both"/>
        <w:rPr>
          <w:rFonts w:asciiTheme="minorHAnsi" w:hAnsiTheme="minorHAnsi"/>
          <w:szCs w:val="22"/>
        </w:rPr>
      </w:pPr>
      <w:r w:rsidRPr="00954505">
        <w:rPr>
          <w:rFonts w:asciiTheme="minorHAnsi" w:hAnsiTheme="minorHAnsi"/>
          <w:szCs w:val="22"/>
        </w:rPr>
        <w:t>What is the impact of a social network on persuasion, and what is the role of social network characteristics?</w:t>
      </w:r>
    </w:p>
    <w:p w:rsidR="00E268F9" w:rsidRPr="00954505" w:rsidRDefault="00E268F9" w:rsidP="00E268F9">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CCFFFF"/>
        <w:jc w:val="both"/>
        <w:rPr>
          <w:rFonts w:asciiTheme="minorHAnsi" w:hAnsiTheme="minorHAnsi"/>
          <w:color w:val="000000"/>
          <w:szCs w:val="22"/>
        </w:rPr>
      </w:pPr>
      <w:r w:rsidRPr="00954505">
        <w:rPr>
          <w:rFonts w:asciiTheme="minorHAnsi" w:hAnsiTheme="minorHAnsi"/>
          <w:szCs w:val="22"/>
        </w:rPr>
        <w:t>The development of an integrated model of communication effectiveness, taking this new context and new communication theories into account.</w:t>
      </w:r>
    </w:p>
    <w:p w:rsidR="00E268F9" w:rsidRPr="00954505" w:rsidRDefault="00E268F9" w:rsidP="00E268F9">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CCFFFF"/>
        <w:jc w:val="both"/>
        <w:rPr>
          <w:rFonts w:asciiTheme="minorHAnsi" w:hAnsiTheme="minorHAnsi"/>
          <w:szCs w:val="22"/>
        </w:rPr>
      </w:pPr>
      <w:r w:rsidRPr="00954505">
        <w:rPr>
          <w:rFonts w:asciiTheme="minorHAnsi" w:hAnsiTheme="minorHAnsi"/>
          <w:color w:val="000000"/>
          <w:szCs w:val="22"/>
        </w:rPr>
        <w:t>How can interactive media and consumer generated content (e.g. blogs and forums on specific health issues) be used to develop desirable health behaviour for each life stage?</w:t>
      </w:r>
    </w:p>
    <w:p w:rsidR="00E268F9" w:rsidRPr="00954505" w:rsidRDefault="00E268F9" w:rsidP="00E268F9">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CCFFFF"/>
        <w:jc w:val="both"/>
        <w:rPr>
          <w:rFonts w:asciiTheme="minorHAnsi" w:hAnsiTheme="minorHAnsi"/>
          <w:szCs w:val="22"/>
        </w:rPr>
      </w:pPr>
      <w:r w:rsidRPr="00954505">
        <w:rPr>
          <w:rFonts w:asciiTheme="minorHAnsi" w:hAnsiTheme="minorHAnsi"/>
          <w:color w:val="000000"/>
          <w:szCs w:val="22"/>
        </w:rPr>
        <w:t>What is the effectiveness of the placement of health behaviour issues in editorial content (similar to brand placement in television programmes and movies)?</w:t>
      </w:r>
    </w:p>
    <w:p w:rsidR="00E268F9" w:rsidRPr="00954505" w:rsidRDefault="00E268F9" w:rsidP="00E268F9">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CCFFFF"/>
        <w:spacing w:after="120"/>
        <w:jc w:val="both"/>
        <w:rPr>
          <w:rFonts w:asciiTheme="minorHAnsi" w:hAnsiTheme="minorHAnsi"/>
          <w:color w:val="000000"/>
          <w:szCs w:val="22"/>
        </w:rPr>
      </w:pPr>
      <w:r w:rsidRPr="00954505">
        <w:rPr>
          <w:rFonts w:asciiTheme="minorHAnsi" w:hAnsiTheme="minorHAnsi"/>
          <w:color w:val="000000"/>
          <w:szCs w:val="22"/>
        </w:rPr>
        <w:t>How social marketers can best use this knowledge in developing and implementing interventions aimed at achieving ling term sustained behaviour change.</w:t>
      </w:r>
    </w:p>
    <w:p w:rsidR="00E268F9" w:rsidRDefault="00E268F9" w:rsidP="00E268F9">
      <w:pPr>
        <w:rPr>
          <w:rFonts w:asciiTheme="minorHAnsi" w:hAnsiTheme="minorHAnsi" w:cstheme="minorHAnsi"/>
          <w:i/>
          <w:sz w:val="22"/>
          <w:szCs w:val="22"/>
          <w:highlight w:val="yellow"/>
        </w:rPr>
      </w:pPr>
    </w:p>
    <w:p w:rsidR="00972975" w:rsidRPr="00A86BD6" w:rsidRDefault="00E268F9" w:rsidP="00E268F9">
      <w:pPr>
        <w:jc w:val="both"/>
        <w:rPr>
          <w:rStyle w:val="Strong"/>
          <w:rFonts w:ascii="Calibri" w:hAnsi="Calibri" w:cs="Calibri"/>
          <w:b w:val="0"/>
        </w:rPr>
      </w:pPr>
      <w:r w:rsidRPr="00A86BD6">
        <w:rPr>
          <w:rStyle w:val="Strong"/>
          <w:rFonts w:ascii="Calibri" w:hAnsi="Calibri" w:cs="Calibri"/>
          <w:b w:val="0"/>
        </w:rPr>
        <w:t xml:space="preserve">The context of advice is critical and we need to recognise those people who have contact and potential influence over different population groups, particularly those more likely to suffer from health inequalities.  The level of trust placed in professionals, particularly health professionals, may help to prompt people towards behaviour change if advice and support is provided in a sympathetic and realistic manner. </w:t>
      </w:r>
    </w:p>
    <w:p w:rsidR="00972975" w:rsidRPr="00A86BD6" w:rsidRDefault="00972975">
      <w:pPr>
        <w:rPr>
          <w:rStyle w:val="Strong"/>
          <w:rFonts w:ascii="Calibri" w:hAnsi="Calibri" w:cs="Calibri"/>
          <w:b w:val="0"/>
        </w:rPr>
      </w:pPr>
      <w:r w:rsidRPr="00A86BD6">
        <w:rPr>
          <w:rStyle w:val="Strong"/>
          <w:rFonts w:ascii="Calibri" w:hAnsi="Calibri" w:cs="Calibri"/>
          <w:b w:val="0"/>
        </w:rPr>
        <w:br w:type="page"/>
      </w:r>
    </w:p>
    <w:p w:rsidR="00E268F9" w:rsidRDefault="00E268F9" w:rsidP="00E268F9">
      <w:pPr>
        <w:pStyle w:val="NormalWeb"/>
        <w:pBdr>
          <w:top w:val="single" w:sz="4" w:space="1" w:color="auto"/>
          <w:left w:val="single" w:sz="4" w:space="4" w:color="auto"/>
          <w:bottom w:val="single" w:sz="4" w:space="1" w:color="auto"/>
          <w:right w:val="single" w:sz="4" w:space="4" w:color="auto"/>
        </w:pBdr>
        <w:shd w:val="clear" w:color="auto" w:fill="CCFFFF"/>
        <w:spacing w:before="0" w:beforeAutospacing="0" w:after="0" w:afterAutospacing="0"/>
        <w:rPr>
          <w:rStyle w:val="Strong"/>
          <w:rFonts w:ascii="Calibri" w:hAnsi="Calibri" w:cs="Calibri"/>
          <w:sz w:val="22"/>
          <w:szCs w:val="22"/>
        </w:rPr>
      </w:pPr>
    </w:p>
    <w:p w:rsidR="00E268F9" w:rsidRPr="00A24503" w:rsidRDefault="00E268F9" w:rsidP="00E268F9">
      <w:pPr>
        <w:pStyle w:val="NormalWeb"/>
        <w:pBdr>
          <w:top w:val="single" w:sz="4" w:space="1" w:color="auto"/>
          <w:left w:val="single" w:sz="4" w:space="4" w:color="auto"/>
          <w:bottom w:val="single" w:sz="4" w:space="1" w:color="auto"/>
          <w:right w:val="single" w:sz="4" w:space="4" w:color="auto"/>
        </w:pBdr>
        <w:shd w:val="clear" w:color="auto" w:fill="CCFFFF"/>
        <w:spacing w:before="0" w:beforeAutospacing="0" w:after="0" w:afterAutospacing="0"/>
        <w:rPr>
          <w:rStyle w:val="Strong"/>
          <w:rFonts w:ascii="Calibri" w:hAnsi="Calibri" w:cs="Calibri"/>
          <w:sz w:val="22"/>
          <w:szCs w:val="22"/>
        </w:rPr>
      </w:pPr>
      <w:r w:rsidRPr="00A24503">
        <w:rPr>
          <w:rStyle w:val="Strong"/>
          <w:rFonts w:ascii="Calibri" w:hAnsi="Calibri" w:cs="Calibri"/>
          <w:sz w:val="22"/>
          <w:szCs w:val="22"/>
        </w:rPr>
        <w:t>CASE STUDY: Brief Interventions in Cornwall and the Isles of Scilly</w:t>
      </w:r>
    </w:p>
    <w:p w:rsidR="00E268F9" w:rsidRPr="00A24503" w:rsidRDefault="00E268F9" w:rsidP="00E268F9">
      <w:pPr>
        <w:pStyle w:val="NormalWeb"/>
        <w:pBdr>
          <w:top w:val="single" w:sz="4" w:space="1" w:color="auto"/>
          <w:left w:val="single" w:sz="4" w:space="4" w:color="auto"/>
          <w:bottom w:val="single" w:sz="4" w:space="1" w:color="auto"/>
          <w:right w:val="single" w:sz="4" w:space="4" w:color="auto"/>
        </w:pBdr>
        <w:shd w:val="clear" w:color="auto" w:fill="CCFFFF"/>
        <w:spacing w:before="0" w:beforeAutospacing="0" w:after="0" w:afterAutospacing="0"/>
        <w:rPr>
          <w:rFonts w:ascii="Calibri" w:hAnsi="Calibri" w:cs="Calibri"/>
          <w:sz w:val="22"/>
          <w:szCs w:val="22"/>
        </w:rPr>
      </w:pPr>
      <w:r w:rsidRPr="00A24503">
        <w:rPr>
          <w:rStyle w:val="Strong"/>
          <w:rFonts w:ascii="Calibri" w:hAnsi="Calibri" w:cs="Calibri"/>
          <w:sz w:val="22"/>
          <w:szCs w:val="22"/>
        </w:rPr>
        <w:t>Overview</w:t>
      </w:r>
      <w:r w:rsidRPr="00A24503">
        <w:rPr>
          <w:rFonts w:ascii="Calibri" w:hAnsi="Calibri" w:cs="Calibri"/>
          <w:sz w:val="22"/>
          <w:szCs w:val="22"/>
        </w:rPr>
        <w:t xml:space="preserve"> </w:t>
      </w:r>
    </w:p>
    <w:p w:rsidR="00E268F9" w:rsidRPr="00A24503" w:rsidRDefault="00E268F9" w:rsidP="00E268F9">
      <w:pPr>
        <w:pStyle w:val="NormalWeb"/>
        <w:pBdr>
          <w:top w:val="single" w:sz="4" w:space="1" w:color="auto"/>
          <w:left w:val="single" w:sz="4" w:space="4" w:color="auto"/>
          <w:bottom w:val="single" w:sz="4" w:space="1" w:color="auto"/>
          <w:right w:val="single" w:sz="4" w:space="4" w:color="auto"/>
        </w:pBdr>
        <w:shd w:val="clear" w:color="auto" w:fill="CCFFFF"/>
        <w:spacing w:before="0" w:beforeAutospacing="0" w:after="0" w:afterAutospacing="0"/>
        <w:rPr>
          <w:rFonts w:ascii="Calibri" w:hAnsi="Calibri" w:cs="Calibri"/>
          <w:sz w:val="22"/>
          <w:szCs w:val="22"/>
        </w:rPr>
      </w:pPr>
      <w:r w:rsidRPr="00A24503">
        <w:rPr>
          <w:rFonts w:ascii="Calibri" w:hAnsi="Calibri" w:cs="Calibri"/>
          <w:sz w:val="22"/>
          <w:szCs w:val="22"/>
        </w:rPr>
        <w:t xml:space="preserve">The brief intervention training programme is designed to help health professionals and other community staff and volunteers to raise issues around health related behaviour and wellbeing as part of their day-to-day work. </w:t>
      </w:r>
    </w:p>
    <w:p w:rsidR="00E268F9" w:rsidRPr="00A24503" w:rsidRDefault="00E268F9" w:rsidP="00E268F9">
      <w:pPr>
        <w:pStyle w:val="NormalWeb"/>
        <w:pBdr>
          <w:top w:val="single" w:sz="4" w:space="1" w:color="auto"/>
          <w:left w:val="single" w:sz="4" w:space="4" w:color="auto"/>
          <w:bottom w:val="single" w:sz="4" w:space="1" w:color="auto"/>
          <w:right w:val="single" w:sz="4" w:space="4" w:color="auto"/>
        </w:pBdr>
        <w:shd w:val="clear" w:color="auto" w:fill="CCFFFF"/>
        <w:spacing w:before="0" w:beforeAutospacing="0" w:after="0" w:afterAutospacing="0"/>
        <w:rPr>
          <w:rFonts w:ascii="Calibri" w:hAnsi="Calibri" w:cs="Calibri"/>
          <w:sz w:val="22"/>
          <w:szCs w:val="22"/>
        </w:rPr>
      </w:pPr>
      <w:r w:rsidRPr="00A24503">
        <w:rPr>
          <w:rFonts w:ascii="Calibri" w:hAnsi="Calibri" w:cs="Calibri"/>
          <w:sz w:val="22"/>
          <w:szCs w:val="22"/>
        </w:rPr>
        <w:t xml:space="preserve">Many people find it hard to have a discussion around sensitive issues like healthy weight or alcohol and the programme builds confidence and skills around this type of conversation. </w:t>
      </w:r>
    </w:p>
    <w:p w:rsidR="00E268F9" w:rsidRPr="00A24503" w:rsidRDefault="00E268F9" w:rsidP="00E268F9">
      <w:pPr>
        <w:pStyle w:val="NormalWeb"/>
        <w:pBdr>
          <w:top w:val="single" w:sz="4" w:space="1" w:color="auto"/>
          <w:left w:val="single" w:sz="4" w:space="4" w:color="auto"/>
          <w:bottom w:val="single" w:sz="4" w:space="1" w:color="auto"/>
          <w:right w:val="single" w:sz="4" w:space="4" w:color="auto"/>
        </w:pBdr>
        <w:shd w:val="clear" w:color="auto" w:fill="CCFFFF"/>
        <w:spacing w:before="0" w:beforeAutospacing="0" w:after="0" w:afterAutospacing="0"/>
        <w:rPr>
          <w:rFonts w:ascii="Calibri" w:hAnsi="Calibri" w:cs="Calibri"/>
          <w:sz w:val="22"/>
          <w:szCs w:val="22"/>
        </w:rPr>
      </w:pPr>
      <w:r w:rsidRPr="00A24503">
        <w:rPr>
          <w:rStyle w:val="Strong"/>
          <w:rFonts w:ascii="Calibri" w:hAnsi="Calibri" w:cs="Calibri"/>
          <w:sz w:val="22"/>
          <w:szCs w:val="22"/>
        </w:rPr>
        <w:t>Why is it important?</w:t>
      </w:r>
      <w:r w:rsidRPr="00A24503">
        <w:rPr>
          <w:rFonts w:ascii="Calibri" w:hAnsi="Calibri" w:cs="Calibri"/>
          <w:sz w:val="22"/>
          <w:szCs w:val="22"/>
        </w:rPr>
        <w:t xml:space="preserve"> </w:t>
      </w:r>
    </w:p>
    <w:p w:rsidR="00E268F9" w:rsidRPr="00A24503" w:rsidRDefault="00E268F9" w:rsidP="00E268F9">
      <w:pPr>
        <w:pStyle w:val="NormalWeb"/>
        <w:pBdr>
          <w:top w:val="single" w:sz="4" w:space="1" w:color="auto"/>
          <w:left w:val="single" w:sz="4" w:space="4" w:color="auto"/>
          <w:bottom w:val="single" w:sz="4" w:space="1" w:color="auto"/>
          <w:right w:val="single" w:sz="4" w:space="4" w:color="auto"/>
        </w:pBdr>
        <w:shd w:val="clear" w:color="auto" w:fill="CCFFFF"/>
        <w:spacing w:before="0" w:beforeAutospacing="0" w:after="0" w:afterAutospacing="0"/>
        <w:rPr>
          <w:rFonts w:ascii="Calibri" w:hAnsi="Calibri" w:cs="Calibri"/>
          <w:sz w:val="22"/>
          <w:szCs w:val="22"/>
        </w:rPr>
      </w:pPr>
      <w:r w:rsidRPr="00A24503">
        <w:rPr>
          <w:rFonts w:ascii="Calibri" w:hAnsi="Calibri" w:cs="Calibri"/>
          <w:sz w:val="22"/>
          <w:szCs w:val="22"/>
        </w:rPr>
        <w:t xml:space="preserve">Encouraging healthy behaviour in relation to diet, physical activity, smoking, drinking and weight management has the potential to improve peoples health and quality of life. Frontline healthcare staff, other public sector workers and volunteers have daily contact with many people who may find it difficult to change daily habits and adopt healthier lifestyles. However, every contact counts. </w:t>
      </w:r>
    </w:p>
    <w:p w:rsidR="00E268F9" w:rsidRPr="00A24503" w:rsidRDefault="00E268F9" w:rsidP="00E268F9">
      <w:pPr>
        <w:pStyle w:val="NormalWeb"/>
        <w:pBdr>
          <w:top w:val="single" w:sz="4" w:space="1" w:color="auto"/>
          <w:left w:val="single" w:sz="4" w:space="4" w:color="auto"/>
          <w:bottom w:val="single" w:sz="4" w:space="1" w:color="auto"/>
          <w:right w:val="single" w:sz="4" w:space="4" w:color="auto"/>
        </w:pBdr>
        <w:shd w:val="clear" w:color="auto" w:fill="CCFFFF"/>
        <w:spacing w:before="0" w:beforeAutospacing="0" w:after="0" w:afterAutospacing="0"/>
        <w:rPr>
          <w:rFonts w:ascii="Calibri" w:hAnsi="Calibri" w:cs="Calibri"/>
          <w:sz w:val="22"/>
          <w:szCs w:val="22"/>
        </w:rPr>
      </w:pPr>
      <w:r w:rsidRPr="00A24503">
        <w:rPr>
          <w:rFonts w:ascii="Calibri" w:hAnsi="Calibri" w:cs="Calibri"/>
          <w:sz w:val="22"/>
          <w:szCs w:val="22"/>
        </w:rPr>
        <w:t xml:space="preserve">These staff and volunteers are usually respected and trusted individuals with an opportunity to support people who want to make positive changes. A brief intervention, based on an open conversation and allowing a person to explore their lifestyle habits, identify the change they would like to make and how best to achieve it, can have a significant effect on people's motivation and confidence. </w:t>
      </w:r>
    </w:p>
    <w:p w:rsidR="00E268F9" w:rsidRPr="00A24503" w:rsidRDefault="00E268F9" w:rsidP="00E268F9">
      <w:pPr>
        <w:pStyle w:val="NormalWeb"/>
        <w:pBdr>
          <w:top w:val="single" w:sz="4" w:space="1" w:color="auto"/>
          <w:left w:val="single" w:sz="4" w:space="4" w:color="auto"/>
          <w:bottom w:val="single" w:sz="4" w:space="1" w:color="auto"/>
          <w:right w:val="single" w:sz="4" w:space="4" w:color="auto"/>
        </w:pBdr>
        <w:shd w:val="clear" w:color="auto" w:fill="CCFFFF"/>
        <w:spacing w:before="0" w:beforeAutospacing="0" w:after="0" w:afterAutospacing="0"/>
        <w:rPr>
          <w:rFonts w:ascii="Calibri" w:hAnsi="Calibri" w:cs="Calibri"/>
          <w:sz w:val="22"/>
          <w:szCs w:val="22"/>
        </w:rPr>
      </w:pPr>
      <w:r w:rsidRPr="00A24503">
        <w:rPr>
          <w:rFonts w:ascii="Calibri" w:hAnsi="Calibri" w:cs="Calibri"/>
          <w:sz w:val="22"/>
          <w:szCs w:val="22"/>
        </w:rPr>
        <w:t xml:space="preserve">The key is allowing the individual to identify the importance and personal benefits linked to change and the achievable and sustainable action that will follow, for example, swapping a daily lunchtime fizzy drink for water and snacking on fruit rather than biscuits. </w:t>
      </w:r>
    </w:p>
    <w:p w:rsidR="00E268F9" w:rsidRDefault="00E268F9" w:rsidP="00E268F9">
      <w:pPr>
        <w:pStyle w:val="NormalWeb"/>
        <w:pBdr>
          <w:top w:val="single" w:sz="4" w:space="1" w:color="auto"/>
          <w:left w:val="single" w:sz="4" w:space="4" w:color="auto"/>
          <w:bottom w:val="single" w:sz="4" w:space="1" w:color="auto"/>
          <w:right w:val="single" w:sz="4" w:space="4" w:color="auto"/>
        </w:pBdr>
        <w:shd w:val="clear" w:color="auto" w:fill="CCFFFF"/>
        <w:spacing w:before="0" w:beforeAutospacing="0" w:after="0" w:afterAutospacing="0"/>
        <w:rPr>
          <w:rFonts w:ascii="Calibri" w:hAnsi="Calibri" w:cs="Calibri"/>
          <w:sz w:val="22"/>
          <w:szCs w:val="22"/>
        </w:rPr>
      </w:pPr>
      <w:r w:rsidRPr="00A24503">
        <w:rPr>
          <w:rFonts w:ascii="Calibri" w:hAnsi="Calibri" w:cs="Calibri"/>
          <w:sz w:val="22"/>
          <w:szCs w:val="22"/>
        </w:rPr>
        <w:t xml:space="preserve">It works on the four-step approach of: </w:t>
      </w:r>
    </w:p>
    <w:p w:rsidR="00E268F9" w:rsidRDefault="00E268F9" w:rsidP="00E268F9">
      <w:pPr>
        <w:pStyle w:val="NormalWeb"/>
        <w:pBdr>
          <w:top w:val="single" w:sz="4" w:space="1" w:color="auto"/>
          <w:left w:val="single" w:sz="4" w:space="4" w:color="auto"/>
          <w:bottom w:val="single" w:sz="4" w:space="1" w:color="auto"/>
          <w:right w:val="single" w:sz="4" w:space="4" w:color="auto"/>
        </w:pBdr>
        <w:shd w:val="clear" w:color="auto" w:fill="CCFFFF"/>
        <w:spacing w:before="0" w:beforeAutospacing="0" w:after="0" w:afterAutospacing="0"/>
        <w:rPr>
          <w:rFonts w:ascii="Calibri" w:hAnsi="Calibri" w:cs="Calibri"/>
          <w:sz w:val="22"/>
          <w:szCs w:val="22"/>
        </w:rPr>
      </w:pPr>
      <w:r w:rsidRPr="00A24503">
        <w:rPr>
          <w:rFonts w:ascii="Calibri" w:hAnsi="Calibri" w:cs="Calibri"/>
          <w:sz w:val="22"/>
          <w:szCs w:val="22"/>
        </w:rPr>
        <w:t xml:space="preserve">Ask </w:t>
      </w:r>
    </w:p>
    <w:p w:rsidR="00E268F9" w:rsidRDefault="00E268F9" w:rsidP="00E268F9">
      <w:pPr>
        <w:pStyle w:val="NormalWeb"/>
        <w:pBdr>
          <w:top w:val="single" w:sz="4" w:space="1" w:color="auto"/>
          <w:left w:val="single" w:sz="4" w:space="4" w:color="auto"/>
          <w:bottom w:val="single" w:sz="4" w:space="1" w:color="auto"/>
          <w:right w:val="single" w:sz="4" w:space="4" w:color="auto"/>
        </w:pBdr>
        <w:shd w:val="clear" w:color="auto" w:fill="CCFFFF"/>
        <w:spacing w:before="0" w:beforeAutospacing="0" w:after="0" w:afterAutospacing="0"/>
        <w:rPr>
          <w:rFonts w:ascii="Calibri" w:hAnsi="Calibri" w:cs="Calibri"/>
          <w:sz w:val="22"/>
          <w:szCs w:val="22"/>
        </w:rPr>
      </w:pPr>
      <w:r w:rsidRPr="00A24503">
        <w:rPr>
          <w:rFonts w:ascii="Calibri" w:hAnsi="Calibri" w:cs="Calibri"/>
          <w:sz w:val="22"/>
          <w:szCs w:val="22"/>
        </w:rPr>
        <w:t xml:space="preserve">Assess </w:t>
      </w:r>
    </w:p>
    <w:p w:rsidR="00E268F9" w:rsidRDefault="00E268F9" w:rsidP="00E268F9">
      <w:pPr>
        <w:pStyle w:val="NormalWeb"/>
        <w:pBdr>
          <w:top w:val="single" w:sz="4" w:space="1" w:color="auto"/>
          <w:left w:val="single" w:sz="4" w:space="4" w:color="auto"/>
          <w:bottom w:val="single" w:sz="4" w:space="1" w:color="auto"/>
          <w:right w:val="single" w:sz="4" w:space="4" w:color="auto"/>
        </w:pBdr>
        <w:shd w:val="clear" w:color="auto" w:fill="CCFFFF"/>
        <w:spacing w:before="0" w:beforeAutospacing="0" w:after="0" w:afterAutospacing="0"/>
        <w:rPr>
          <w:rFonts w:ascii="Calibri" w:hAnsi="Calibri" w:cs="Calibri"/>
          <w:sz w:val="22"/>
          <w:szCs w:val="22"/>
        </w:rPr>
      </w:pPr>
      <w:r w:rsidRPr="00A24503">
        <w:rPr>
          <w:rFonts w:ascii="Calibri" w:hAnsi="Calibri" w:cs="Calibri"/>
          <w:sz w:val="22"/>
          <w:szCs w:val="22"/>
        </w:rPr>
        <w:t xml:space="preserve">Advise </w:t>
      </w:r>
    </w:p>
    <w:p w:rsidR="00E268F9" w:rsidRPr="00A24503" w:rsidRDefault="00E268F9" w:rsidP="00E268F9">
      <w:pPr>
        <w:pStyle w:val="NormalWeb"/>
        <w:pBdr>
          <w:top w:val="single" w:sz="4" w:space="1" w:color="auto"/>
          <w:left w:val="single" w:sz="4" w:space="4" w:color="auto"/>
          <w:bottom w:val="single" w:sz="4" w:space="1" w:color="auto"/>
          <w:right w:val="single" w:sz="4" w:space="4" w:color="auto"/>
        </w:pBdr>
        <w:shd w:val="clear" w:color="auto" w:fill="CCFFFF"/>
        <w:spacing w:before="0" w:beforeAutospacing="0" w:after="0" w:afterAutospacing="0"/>
        <w:rPr>
          <w:rFonts w:ascii="Calibri" w:hAnsi="Calibri" w:cs="Calibri"/>
          <w:sz w:val="22"/>
          <w:szCs w:val="22"/>
        </w:rPr>
      </w:pPr>
      <w:r w:rsidRPr="00A24503">
        <w:rPr>
          <w:rFonts w:ascii="Calibri" w:hAnsi="Calibri" w:cs="Calibri"/>
          <w:sz w:val="22"/>
          <w:szCs w:val="22"/>
        </w:rPr>
        <w:t xml:space="preserve">Assist  </w:t>
      </w:r>
    </w:p>
    <w:p w:rsidR="00E268F9" w:rsidRPr="00A24503" w:rsidRDefault="00E268F9" w:rsidP="00E268F9">
      <w:pPr>
        <w:pStyle w:val="NormalWeb"/>
        <w:pBdr>
          <w:top w:val="single" w:sz="4" w:space="1" w:color="auto"/>
          <w:left w:val="single" w:sz="4" w:space="4" w:color="auto"/>
          <w:bottom w:val="single" w:sz="4" w:space="1" w:color="auto"/>
          <w:right w:val="single" w:sz="4" w:space="4" w:color="auto"/>
        </w:pBdr>
        <w:shd w:val="clear" w:color="auto" w:fill="CCFFFF"/>
        <w:spacing w:before="0" w:beforeAutospacing="0" w:after="0" w:afterAutospacing="0"/>
        <w:rPr>
          <w:rFonts w:ascii="Calibri" w:hAnsi="Calibri" w:cs="Calibri"/>
          <w:sz w:val="22"/>
          <w:szCs w:val="22"/>
        </w:rPr>
      </w:pPr>
      <w:r w:rsidRPr="00A24503">
        <w:rPr>
          <w:rFonts w:ascii="Calibri" w:hAnsi="Calibri" w:cs="Calibri"/>
          <w:sz w:val="22"/>
          <w:szCs w:val="22"/>
        </w:rPr>
        <w:t xml:space="preserve">Targeting key modifiable behaviours such as stopping smoking, improving, increasing physical activity, eating well and reducing harmful levels of drinking has the potential to reduce the burden on individuals and local communities. </w:t>
      </w:r>
    </w:p>
    <w:p w:rsidR="00E268F9" w:rsidRPr="00A24503" w:rsidRDefault="00E268F9" w:rsidP="00E268F9">
      <w:pPr>
        <w:pStyle w:val="NormalWeb"/>
        <w:pBdr>
          <w:top w:val="single" w:sz="4" w:space="1" w:color="auto"/>
          <w:left w:val="single" w:sz="4" w:space="4" w:color="auto"/>
          <w:bottom w:val="single" w:sz="4" w:space="1" w:color="auto"/>
          <w:right w:val="single" w:sz="4" w:space="4" w:color="auto"/>
        </w:pBdr>
        <w:shd w:val="clear" w:color="auto" w:fill="CCFFFF"/>
        <w:spacing w:before="0" w:beforeAutospacing="0" w:after="0" w:afterAutospacing="0"/>
        <w:rPr>
          <w:rFonts w:ascii="Calibri" w:hAnsi="Calibri" w:cs="Calibri"/>
          <w:sz w:val="22"/>
          <w:szCs w:val="22"/>
        </w:rPr>
      </w:pPr>
      <w:r w:rsidRPr="00A24503">
        <w:rPr>
          <w:rStyle w:val="Strong"/>
          <w:rFonts w:ascii="Calibri" w:hAnsi="Calibri" w:cs="Calibri"/>
          <w:sz w:val="22"/>
          <w:szCs w:val="22"/>
        </w:rPr>
        <w:t>What is being done?</w:t>
      </w:r>
      <w:r w:rsidRPr="00A24503">
        <w:rPr>
          <w:rFonts w:ascii="Calibri" w:hAnsi="Calibri" w:cs="Calibri"/>
          <w:sz w:val="22"/>
          <w:szCs w:val="22"/>
        </w:rPr>
        <w:t xml:space="preserve"> </w:t>
      </w:r>
    </w:p>
    <w:p w:rsidR="00E268F9" w:rsidRPr="00A24503" w:rsidRDefault="00E268F9" w:rsidP="00E268F9">
      <w:pPr>
        <w:pStyle w:val="NormalWeb"/>
        <w:pBdr>
          <w:top w:val="single" w:sz="4" w:space="1" w:color="auto"/>
          <w:left w:val="single" w:sz="4" w:space="4" w:color="auto"/>
          <w:bottom w:val="single" w:sz="4" w:space="1" w:color="auto"/>
          <w:right w:val="single" w:sz="4" w:space="4" w:color="auto"/>
        </w:pBdr>
        <w:shd w:val="clear" w:color="auto" w:fill="CCFFFF"/>
        <w:spacing w:before="0" w:beforeAutospacing="0" w:after="0" w:afterAutospacing="0"/>
        <w:rPr>
          <w:rFonts w:ascii="Calibri" w:hAnsi="Calibri" w:cs="Calibri"/>
          <w:sz w:val="22"/>
          <w:szCs w:val="22"/>
        </w:rPr>
      </w:pPr>
      <w:r w:rsidRPr="00A24503">
        <w:rPr>
          <w:rFonts w:ascii="Calibri" w:hAnsi="Calibri" w:cs="Calibri"/>
          <w:sz w:val="22"/>
          <w:szCs w:val="22"/>
        </w:rPr>
        <w:t xml:space="preserve">The Health Promotion Service for Cornwall and the Isles of Scilly has developed a well-structured training package based on key national guidance and evidence. Many other local areas have used our approach as a model for their own schemes. </w:t>
      </w:r>
    </w:p>
    <w:p w:rsidR="00E268F9" w:rsidRPr="00A24503" w:rsidRDefault="00E268F9" w:rsidP="00E268F9">
      <w:pPr>
        <w:pStyle w:val="NormalWeb"/>
        <w:pBdr>
          <w:top w:val="single" w:sz="4" w:space="1" w:color="auto"/>
          <w:left w:val="single" w:sz="4" w:space="4" w:color="auto"/>
          <w:bottom w:val="single" w:sz="4" w:space="1" w:color="auto"/>
          <w:right w:val="single" w:sz="4" w:space="4" w:color="auto"/>
        </w:pBdr>
        <w:shd w:val="clear" w:color="auto" w:fill="CCFFFF"/>
        <w:spacing w:before="0" w:beforeAutospacing="0" w:after="0" w:afterAutospacing="0"/>
        <w:rPr>
          <w:rFonts w:ascii="Calibri" w:hAnsi="Calibri" w:cs="Calibri"/>
          <w:sz w:val="22"/>
          <w:szCs w:val="22"/>
        </w:rPr>
      </w:pPr>
      <w:r w:rsidRPr="00A24503">
        <w:rPr>
          <w:rFonts w:ascii="Calibri" w:hAnsi="Calibri" w:cs="Calibri"/>
          <w:sz w:val="22"/>
          <w:szCs w:val="22"/>
        </w:rPr>
        <w:t>Training is being delivered face-to-face and from 2011 as an online package for busy staff.</w:t>
      </w:r>
      <w:r w:rsidRPr="00A24503">
        <w:rPr>
          <w:rFonts w:ascii="Calibri" w:hAnsi="Calibri" w:cs="Calibri"/>
          <w:sz w:val="22"/>
          <w:szCs w:val="22"/>
        </w:rPr>
        <w:br/>
        <w:t xml:space="preserve">By April 2011, the aim is to have at least 80% of all local health provider staff training in the lifestyle behaviour change, brief intervention approach. This will enable key positive prevention messages to be shared by trusted health professionals with many thousands of patients each year.  </w:t>
      </w:r>
    </w:p>
    <w:p w:rsidR="00E268F9" w:rsidRPr="00A24503" w:rsidRDefault="00E268F9" w:rsidP="00E268F9">
      <w:pPr>
        <w:pStyle w:val="NormalWeb"/>
        <w:pBdr>
          <w:top w:val="single" w:sz="4" w:space="1" w:color="auto"/>
          <w:left w:val="single" w:sz="4" w:space="4" w:color="auto"/>
          <w:bottom w:val="single" w:sz="4" w:space="1" w:color="auto"/>
          <w:right w:val="single" w:sz="4" w:space="4" w:color="auto"/>
        </w:pBdr>
        <w:shd w:val="clear" w:color="auto" w:fill="CCFFFF"/>
        <w:spacing w:before="0" w:beforeAutospacing="0" w:after="0" w:afterAutospacing="0"/>
        <w:rPr>
          <w:rFonts w:ascii="Calibri" w:hAnsi="Calibri" w:cs="Calibri"/>
          <w:sz w:val="22"/>
          <w:szCs w:val="22"/>
        </w:rPr>
      </w:pPr>
      <w:r w:rsidRPr="00A24503">
        <w:rPr>
          <w:rStyle w:val="Strong"/>
          <w:rFonts w:ascii="Calibri" w:hAnsi="Calibri" w:cs="Calibri"/>
          <w:sz w:val="22"/>
          <w:szCs w:val="22"/>
        </w:rPr>
        <w:t>What else is planned?</w:t>
      </w:r>
      <w:r w:rsidRPr="00A24503">
        <w:rPr>
          <w:rFonts w:ascii="Calibri" w:hAnsi="Calibri" w:cs="Calibri"/>
          <w:sz w:val="22"/>
          <w:szCs w:val="22"/>
        </w:rPr>
        <w:t xml:space="preserve"> </w:t>
      </w:r>
    </w:p>
    <w:p w:rsidR="00E268F9" w:rsidRPr="00A24503" w:rsidRDefault="00E268F9" w:rsidP="00E268F9">
      <w:pPr>
        <w:pStyle w:val="NormalWeb"/>
        <w:pBdr>
          <w:top w:val="single" w:sz="4" w:space="1" w:color="auto"/>
          <w:left w:val="single" w:sz="4" w:space="4" w:color="auto"/>
          <w:bottom w:val="single" w:sz="4" w:space="1" w:color="auto"/>
          <w:right w:val="single" w:sz="4" w:space="4" w:color="auto"/>
        </w:pBdr>
        <w:shd w:val="clear" w:color="auto" w:fill="CCFFFF"/>
        <w:spacing w:before="0" w:beforeAutospacing="0" w:after="0" w:afterAutospacing="0"/>
        <w:rPr>
          <w:rFonts w:ascii="Calibri" w:hAnsi="Calibri" w:cs="Calibri"/>
          <w:sz w:val="22"/>
          <w:szCs w:val="22"/>
        </w:rPr>
      </w:pPr>
      <w:r w:rsidRPr="00A24503">
        <w:rPr>
          <w:rFonts w:ascii="Calibri" w:hAnsi="Calibri" w:cs="Calibri"/>
          <w:sz w:val="22"/>
          <w:szCs w:val="22"/>
        </w:rPr>
        <w:t xml:space="preserve">The brief intervention training programme will continue and be reviewed in the light of any new guidance and evaluation from participants.  </w:t>
      </w:r>
    </w:p>
    <w:p w:rsidR="00E268F9" w:rsidRPr="00A24503" w:rsidRDefault="00E268F9" w:rsidP="00E268F9">
      <w:pPr>
        <w:pStyle w:val="NormalWeb"/>
        <w:pBdr>
          <w:top w:val="single" w:sz="4" w:space="1" w:color="auto"/>
          <w:left w:val="single" w:sz="4" w:space="4" w:color="auto"/>
          <w:bottom w:val="single" w:sz="4" w:space="1" w:color="auto"/>
          <w:right w:val="single" w:sz="4" w:space="4" w:color="auto"/>
        </w:pBdr>
        <w:shd w:val="clear" w:color="auto" w:fill="CCFFFF"/>
        <w:spacing w:before="0" w:beforeAutospacing="0" w:after="0" w:afterAutospacing="0"/>
        <w:rPr>
          <w:rFonts w:ascii="Calibri" w:hAnsi="Calibri" w:cs="Calibri"/>
          <w:sz w:val="22"/>
          <w:szCs w:val="22"/>
        </w:rPr>
      </w:pPr>
      <w:r w:rsidRPr="00A24503">
        <w:rPr>
          <w:rFonts w:ascii="Calibri" w:hAnsi="Calibri" w:cs="Calibri"/>
          <w:sz w:val="22"/>
          <w:szCs w:val="22"/>
        </w:rPr>
        <w:t xml:space="preserve">Efforts will be made to better track the impact of training on staff behaviour and sustained behaviour change among patients and the public. </w:t>
      </w:r>
    </w:p>
    <w:p w:rsidR="00E268F9" w:rsidRPr="00A24503" w:rsidRDefault="00E268F9" w:rsidP="00E268F9">
      <w:pPr>
        <w:pBdr>
          <w:top w:val="single" w:sz="4" w:space="1" w:color="auto"/>
          <w:left w:val="single" w:sz="4" w:space="4" w:color="auto"/>
          <w:bottom w:val="single" w:sz="4" w:space="1" w:color="auto"/>
          <w:right w:val="single" w:sz="4" w:space="4" w:color="auto"/>
        </w:pBdr>
        <w:shd w:val="clear" w:color="auto" w:fill="CCFFFF"/>
        <w:rPr>
          <w:rFonts w:ascii="Calibri" w:hAnsi="Calibri" w:cs="Calibri"/>
          <w:i/>
          <w:iCs/>
          <w:sz w:val="22"/>
          <w:szCs w:val="22"/>
        </w:rPr>
      </w:pPr>
      <w:r w:rsidRPr="00A24503">
        <w:rPr>
          <w:rFonts w:ascii="Calibri" w:hAnsi="Calibri" w:cs="Calibri"/>
          <w:i/>
          <w:iCs/>
          <w:sz w:val="22"/>
          <w:szCs w:val="22"/>
        </w:rPr>
        <w:t>Source: Director of Public Health’s Annual Report 2010 (Cornwall and the Isles of Scilly)</w:t>
      </w:r>
    </w:p>
    <w:p w:rsidR="00E268F9" w:rsidRPr="00A24503" w:rsidRDefault="00002B71" w:rsidP="00E268F9">
      <w:pPr>
        <w:pBdr>
          <w:top w:val="single" w:sz="4" w:space="1" w:color="auto"/>
          <w:left w:val="single" w:sz="4" w:space="4" w:color="auto"/>
          <w:bottom w:val="single" w:sz="4" w:space="1" w:color="auto"/>
          <w:right w:val="single" w:sz="4" w:space="4" w:color="auto"/>
        </w:pBdr>
        <w:shd w:val="clear" w:color="auto" w:fill="CCFFFF"/>
        <w:rPr>
          <w:rFonts w:ascii="Calibri" w:hAnsi="Calibri" w:cs="Calibri"/>
          <w:i/>
          <w:iCs/>
          <w:sz w:val="22"/>
          <w:szCs w:val="22"/>
        </w:rPr>
      </w:pPr>
      <w:hyperlink r:id="rId30" w:history="1">
        <w:r w:rsidR="00E268F9" w:rsidRPr="00A24503">
          <w:rPr>
            <w:rStyle w:val="Hyperlink"/>
            <w:rFonts w:ascii="Calibri" w:hAnsi="Calibri" w:cs="Calibri"/>
            <w:i/>
            <w:iCs/>
            <w:sz w:val="22"/>
            <w:szCs w:val="22"/>
          </w:rPr>
          <w:t>http://www.cornwallandislesofscilly.nhs.uk/CornwallAndIslesOfScillyPCT/InformationForPatients/StayingHealthy/DirectorOfPublicHealthAnnualReport2010/Employment/BriefInterventions.aspx</w:t>
        </w:r>
      </w:hyperlink>
    </w:p>
    <w:p w:rsidR="00E268F9" w:rsidRPr="00A24503" w:rsidRDefault="00E268F9" w:rsidP="00E268F9">
      <w:pPr>
        <w:pBdr>
          <w:top w:val="single" w:sz="4" w:space="1" w:color="auto"/>
          <w:left w:val="single" w:sz="4" w:space="4" w:color="auto"/>
          <w:bottom w:val="single" w:sz="4" w:space="1" w:color="auto"/>
          <w:right w:val="single" w:sz="4" w:space="4" w:color="auto"/>
        </w:pBdr>
        <w:shd w:val="clear" w:color="auto" w:fill="CCFFFF"/>
        <w:rPr>
          <w:rFonts w:ascii="Calibri" w:hAnsi="Calibri" w:cs="Calibri"/>
          <w:i/>
          <w:iCs/>
          <w:sz w:val="22"/>
          <w:szCs w:val="22"/>
        </w:rPr>
      </w:pPr>
    </w:p>
    <w:p w:rsidR="00E268F9" w:rsidRDefault="00E268F9" w:rsidP="00E268F9">
      <w:pPr>
        <w:rPr>
          <w:rFonts w:asciiTheme="minorHAnsi" w:hAnsiTheme="minorHAnsi" w:cstheme="minorHAnsi"/>
          <w:i/>
          <w:sz w:val="22"/>
          <w:szCs w:val="22"/>
          <w:highlight w:val="yellow"/>
        </w:rPr>
      </w:pPr>
    </w:p>
    <w:p w:rsidR="00E268F9" w:rsidRDefault="00E268F9" w:rsidP="00E268F9">
      <w:pPr>
        <w:rPr>
          <w:rFonts w:asciiTheme="minorHAnsi" w:hAnsiTheme="minorHAnsi" w:cstheme="minorHAnsi"/>
          <w:i/>
          <w:sz w:val="22"/>
          <w:szCs w:val="22"/>
          <w:highlight w:val="yellow"/>
        </w:rPr>
      </w:pPr>
    </w:p>
    <w:p w:rsidR="004C419C" w:rsidRDefault="004C419C" w:rsidP="000D53B7">
      <w:pPr>
        <w:jc w:val="both"/>
        <w:rPr>
          <w:rFonts w:asciiTheme="minorHAnsi" w:hAnsiTheme="minorHAnsi" w:cstheme="minorHAnsi"/>
          <w:b/>
          <w:sz w:val="22"/>
          <w:szCs w:val="22"/>
        </w:rPr>
      </w:pPr>
    </w:p>
    <w:p w:rsidR="002816F8" w:rsidRDefault="00B02879" w:rsidP="002816F8">
      <w:pPr>
        <w:pStyle w:val="Heading3"/>
      </w:pPr>
      <w:bookmarkStart w:id="60" w:name="_Toc289256763"/>
      <w:r>
        <w:t>8.5</w:t>
      </w:r>
      <w:r w:rsidR="00843A3F">
        <w:t xml:space="preserve"> </w:t>
      </w:r>
      <w:r w:rsidR="002816F8" w:rsidRPr="00364A5C">
        <w:t xml:space="preserve">Emphasis on </w:t>
      </w:r>
      <w:r w:rsidR="00695533">
        <w:t>the n</w:t>
      </w:r>
      <w:r w:rsidR="00972975">
        <w:t xml:space="preserve">eed for </w:t>
      </w:r>
      <w:r w:rsidR="00695533">
        <w:t>g</w:t>
      </w:r>
      <w:r w:rsidR="00972975">
        <w:t xml:space="preserve">ood </w:t>
      </w:r>
      <w:r w:rsidR="00695533">
        <w:t>l</w:t>
      </w:r>
      <w:r w:rsidR="002816F8" w:rsidRPr="00364A5C">
        <w:t>ea</w:t>
      </w:r>
      <w:r w:rsidR="002816F8">
        <w:t>d</w:t>
      </w:r>
      <w:r w:rsidR="002816F8" w:rsidRPr="00364A5C">
        <w:t>ership</w:t>
      </w:r>
      <w:bookmarkEnd w:id="60"/>
    </w:p>
    <w:p w:rsidR="002816F8" w:rsidRDefault="002816F8" w:rsidP="002816F8"/>
    <w:p w:rsidR="002816F8" w:rsidRPr="003421D7" w:rsidRDefault="002816F8" w:rsidP="00010BF5">
      <w:pPr>
        <w:jc w:val="both"/>
        <w:rPr>
          <w:rFonts w:asciiTheme="minorHAnsi" w:hAnsiTheme="minorHAnsi" w:cstheme="minorHAnsi"/>
        </w:rPr>
      </w:pPr>
      <w:r w:rsidRPr="003421D7">
        <w:rPr>
          <w:rFonts w:asciiTheme="minorHAnsi" w:hAnsiTheme="minorHAnsi" w:cstheme="minorHAnsi"/>
        </w:rPr>
        <w:t>The White Paper gives repeated emphasis throughout to the crucial role of leadership in bringing about PHE’s desired changes to public health provision. It states, for example, that:</w:t>
      </w:r>
    </w:p>
    <w:p w:rsidR="002816F8" w:rsidRPr="007A4941" w:rsidRDefault="002816F8" w:rsidP="00010BF5">
      <w:pPr>
        <w:jc w:val="both"/>
        <w:rPr>
          <w:rFonts w:asciiTheme="minorHAnsi" w:hAnsiTheme="minorHAnsi" w:cstheme="minorHAnsi"/>
        </w:rPr>
      </w:pPr>
    </w:p>
    <w:p w:rsidR="002816F8" w:rsidRPr="003421D7" w:rsidRDefault="002816F8" w:rsidP="00010BF5">
      <w:pPr>
        <w:pStyle w:val="Default"/>
        <w:ind w:left="720"/>
        <w:jc w:val="both"/>
        <w:rPr>
          <w:rFonts w:asciiTheme="minorHAnsi" w:hAnsiTheme="minorHAnsi" w:cstheme="minorHAnsi"/>
          <w:color w:val="auto"/>
        </w:rPr>
      </w:pPr>
      <w:r w:rsidRPr="007A4941">
        <w:rPr>
          <w:rFonts w:asciiTheme="minorHAnsi" w:hAnsiTheme="minorHAnsi" w:cstheme="minorHAnsi"/>
          <w:color w:val="auto"/>
        </w:rPr>
        <w:t>The goal is a public health service that achieves excellent results, unleashing innovation and liberating professional leadership</w:t>
      </w:r>
      <w:r w:rsidRPr="003421D7">
        <w:rPr>
          <w:rFonts w:asciiTheme="minorHAnsi" w:hAnsiTheme="minorHAnsi" w:cstheme="minorHAnsi"/>
          <w:color w:val="auto"/>
        </w:rPr>
        <w:t xml:space="preserve"> (HLWP, p.4). </w:t>
      </w:r>
    </w:p>
    <w:p w:rsidR="002816F8" w:rsidRPr="003421D7" w:rsidRDefault="002816F8" w:rsidP="00010BF5">
      <w:pPr>
        <w:pStyle w:val="Default"/>
        <w:jc w:val="both"/>
        <w:rPr>
          <w:rFonts w:asciiTheme="minorHAnsi" w:hAnsiTheme="minorHAnsi" w:cstheme="minorHAnsi"/>
          <w:color w:val="auto"/>
        </w:rPr>
      </w:pPr>
    </w:p>
    <w:p w:rsidR="002816F8" w:rsidRPr="003421D7" w:rsidRDefault="002816F8" w:rsidP="00010BF5">
      <w:pPr>
        <w:pStyle w:val="Default"/>
        <w:jc w:val="both"/>
        <w:rPr>
          <w:rFonts w:asciiTheme="minorHAnsi" w:hAnsiTheme="minorHAnsi" w:cstheme="minorHAnsi"/>
          <w:color w:val="auto"/>
        </w:rPr>
      </w:pPr>
      <w:r w:rsidRPr="003421D7">
        <w:rPr>
          <w:rFonts w:asciiTheme="minorHAnsi" w:hAnsiTheme="minorHAnsi" w:cstheme="minorHAnsi"/>
          <w:color w:val="auto"/>
        </w:rPr>
        <w:t>And that the intention is to:</w:t>
      </w:r>
    </w:p>
    <w:p w:rsidR="002816F8" w:rsidRPr="007A4941" w:rsidRDefault="002816F8" w:rsidP="00010BF5">
      <w:pPr>
        <w:pStyle w:val="Default"/>
        <w:jc w:val="both"/>
        <w:rPr>
          <w:rFonts w:asciiTheme="minorHAnsi" w:hAnsiTheme="minorHAnsi" w:cstheme="minorHAnsi"/>
          <w:color w:val="auto"/>
        </w:rPr>
      </w:pPr>
    </w:p>
    <w:p w:rsidR="002816F8" w:rsidRPr="003421D7" w:rsidRDefault="002816F8" w:rsidP="00010BF5">
      <w:pPr>
        <w:pStyle w:val="Default"/>
        <w:ind w:left="720"/>
        <w:jc w:val="both"/>
        <w:rPr>
          <w:rFonts w:asciiTheme="minorHAnsi" w:hAnsiTheme="minorHAnsi" w:cstheme="minorHAnsi"/>
          <w:color w:val="auto"/>
        </w:rPr>
      </w:pPr>
      <w:r w:rsidRPr="007A4941">
        <w:rPr>
          <w:rFonts w:asciiTheme="minorHAnsi" w:hAnsiTheme="minorHAnsi" w:cstheme="minorHAnsi"/>
          <w:color w:val="auto"/>
        </w:rPr>
        <w:t>Empower local leadership and encourage wide responsibility across society to improve everyone’s health and wellbeing, and tackle the wider factors that influence it</w:t>
      </w:r>
      <w:r w:rsidRPr="003421D7">
        <w:rPr>
          <w:rFonts w:asciiTheme="minorHAnsi" w:hAnsiTheme="minorHAnsi" w:cstheme="minorHAnsi"/>
          <w:color w:val="auto"/>
        </w:rPr>
        <w:t xml:space="preserve"> (</w:t>
      </w:r>
      <w:r w:rsidR="007A4941">
        <w:rPr>
          <w:rFonts w:asciiTheme="minorHAnsi" w:hAnsiTheme="minorHAnsi" w:cstheme="minorHAnsi"/>
          <w:color w:val="auto"/>
        </w:rPr>
        <w:t xml:space="preserve">HLWP, </w:t>
      </w:r>
      <w:r w:rsidRPr="003421D7">
        <w:rPr>
          <w:rFonts w:asciiTheme="minorHAnsi" w:hAnsiTheme="minorHAnsi" w:cstheme="minorHAnsi"/>
          <w:color w:val="auto"/>
        </w:rPr>
        <w:t>p.6).</w:t>
      </w:r>
    </w:p>
    <w:p w:rsidR="002816F8" w:rsidRPr="003421D7" w:rsidRDefault="002816F8" w:rsidP="00010BF5">
      <w:pPr>
        <w:pStyle w:val="Default"/>
        <w:jc w:val="both"/>
        <w:rPr>
          <w:rFonts w:asciiTheme="minorHAnsi" w:hAnsiTheme="minorHAnsi" w:cstheme="minorHAnsi"/>
          <w:color w:val="auto"/>
        </w:rPr>
      </w:pPr>
    </w:p>
    <w:p w:rsidR="002816F8" w:rsidRPr="003421D7" w:rsidRDefault="002816F8" w:rsidP="00010BF5">
      <w:pPr>
        <w:pStyle w:val="Default"/>
        <w:jc w:val="both"/>
        <w:rPr>
          <w:rFonts w:asciiTheme="minorHAnsi" w:hAnsiTheme="minorHAnsi" w:cstheme="minorHAnsi"/>
          <w:color w:val="auto"/>
        </w:rPr>
      </w:pPr>
      <w:r w:rsidRPr="003421D7">
        <w:rPr>
          <w:rFonts w:asciiTheme="minorHAnsi" w:hAnsiTheme="minorHAnsi" w:cstheme="minorHAnsi"/>
          <w:color w:val="auto"/>
        </w:rPr>
        <w:t xml:space="preserve">These are laudable ambitions, but their pursuit must take cognisance of the extensive extant research and literature in the fields </w:t>
      </w:r>
      <w:r w:rsidR="007A4941">
        <w:rPr>
          <w:rFonts w:asciiTheme="minorHAnsi" w:hAnsiTheme="minorHAnsi" w:cstheme="minorHAnsi"/>
          <w:color w:val="auto"/>
        </w:rPr>
        <w:t>of leadership and OD (see p.27</w:t>
      </w:r>
      <w:r w:rsidRPr="003421D7">
        <w:rPr>
          <w:rFonts w:asciiTheme="minorHAnsi" w:hAnsiTheme="minorHAnsi" w:cstheme="minorHAnsi"/>
          <w:color w:val="auto"/>
        </w:rPr>
        <w:t>ff.above) relating to health service provision. A comprehensive and systematic review of innovation dissemination in health service organizations conducted by Greenhalgh et al.</w:t>
      </w:r>
      <w:fldSimple w:instr=" NOTEREF _Ref284759937 \h  \* MERGEFORMAT ">
        <w:r w:rsidR="00CE6342" w:rsidRPr="00CE6342">
          <w:rPr>
            <w:rFonts w:asciiTheme="minorHAnsi" w:hAnsiTheme="minorHAnsi" w:cstheme="minorHAnsi"/>
            <w:color w:val="auto"/>
            <w:vertAlign w:val="superscript"/>
          </w:rPr>
          <w:t>83</w:t>
        </w:r>
      </w:fldSimple>
      <w:r w:rsidRPr="003421D7">
        <w:rPr>
          <w:rFonts w:asciiTheme="minorHAnsi" w:hAnsiTheme="minorHAnsi" w:cstheme="minorHAnsi"/>
          <w:color w:val="auto"/>
        </w:rPr>
        <w:t>, for instance, carry important implications for the implementation of PHE’s with respect to the distributed leadership of change. They conclude:</w:t>
      </w:r>
    </w:p>
    <w:p w:rsidR="002816F8" w:rsidRPr="003421D7" w:rsidRDefault="002816F8" w:rsidP="00010BF5">
      <w:pPr>
        <w:pStyle w:val="Default"/>
        <w:jc w:val="both"/>
        <w:rPr>
          <w:rFonts w:asciiTheme="minorHAnsi" w:hAnsiTheme="minorHAnsi" w:cstheme="minorHAnsi"/>
          <w:color w:val="auto"/>
        </w:rPr>
      </w:pPr>
    </w:p>
    <w:p w:rsidR="002816F8" w:rsidRPr="003421D7" w:rsidRDefault="002816F8" w:rsidP="00010BF5">
      <w:pPr>
        <w:autoSpaceDE w:val="0"/>
        <w:autoSpaceDN w:val="0"/>
        <w:adjustRightInd w:val="0"/>
        <w:ind w:left="720"/>
        <w:jc w:val="both"/>
        <w:rPr>
          <w:rFonts w:asciiTheme="minorHAnsi" w:hAnsiTheme="minorHAnsi" w:cstheme="minorHAnsi"/>
        </w:rPr>
      </w:pPr>
      <w:r w:rsidRPr="00A42D2C">
        <w:rPr>
          <w:rFonts w:asciiTheme="minorHAnsi" w:hAnsiTheme="minorHAnsi" w:cstheme="minorHAnsi"/>
        </w:rPr>
        <w:t>Champions...  emerged in our review as a key determinant of organizational innovation, but no amount of empirical research will provide a simple recipe for how champions should behave that is independent of the nature of the innovation, the organizational setting, the sociopolitical context, and so on.</w:t>
      </w:r>
      <w:fldSimple w:instr=" NOTEREF _Ref284759937 \h  \* MERGEFORMAT ">
        <w:r w:rsidR="00CE6342" w:rsidRPr="00CE6342">
          <w:rPr>
            <w:rFonts w:asciiTheme="minorHAnsi" w:hAnsiTheme="minorHAnsi" w:cstheme="minorHAnsi"/>
            <w:vertAlign w:val="superscript"/>
          </w:rPr>
          <w:t>83</w:t>
        </w:r>
      </w:fldSimple>
      <w:r w:rsidR="001B0930" w:rsidRPr="003421D7">
        <w:rPr>
          <w:rFonts w:asciiTheme="minorHAnsi" w:hAnsiTheme="minorHAnsi" w:cstheme="minorHAnsi"/>
          <w:vertAlign w:val="superscript"/>
        </w:rPr>
        <w:t>, p615</w:t>
      </w:r>
    </w:p>
    <w:p w:rsidR="007A4941" w:rsidRDefault="007A4941" w:rsidP="00010BF5">
      <w:pPr>
        <w:pStyle w:val="Default"/>
        <w:jc w:val="both"/>
        <w:rPr>
          <w:rFonts w:asciiTheme="minorHAnsi" w:hAnsiTheme="minorHAnsi" w:cstheme="minorHAnsi"/>
          <w:color w:val="auto"/>
        </w:rPr>
      </w:pPr>
    </w:p>
    <w:p w:rsidR="002816F8" w:rsidRPr="003421D7" w:rsidRDefault="002816F8" w:rsidP="00010BF5">
      <w:pPr>
        <w:pStyle w:val="Default"/>
        <w:jc w:val="both"/>
        <w:rPr>
          <w:rFonts w:asciiTheme="minorHAnsi" w:hAnsiTheme="minorHAnsi" w:cstheme="minorHAnsi"/>
          <w:color w:val="auto"/>
        </w:rPr>
      </w:pPr>
      <w:r w:rsidRPr="003421D7">
        <w:rPr>
          <w:rFonts w:asciiTheme="minorHAnsi" w:hAnsiTheme="minorHAnsi" w:cstheme="minorHAnsi"/>
          <w:color w:val="auto"/>
        </w:rPr>
        <w:t>Wh</w:t>
      </w:r>
      <w:r w:rsidR="00A42D2C">
        <w:rPr>
          <w:rFonts w:asciiTheme="minorHAnsi" w:hAnsiTheme="minorHAnsi" w:cstheme="minorHAnsi"/>
          <w:color w:val="auto"/>
        </w:rPr>
        <w:t>ere the White Paper envisions, ‘</w:t>
      </w:r>
      <w:r w:rsidRPr="003421D7">
        <w:rPr>
          <w:rFonts w:asciiTheme="minorHAnsi" w:hAnsiTheme="minorHAnsi" w:cstheme="minorHAnsi"/>
          <w:color w:val="auto"/>
        </w:rPr>
        <w:t>A new public health system with strong local and national leadership</w:t>
      </w:r>
      <w:r w:rsidR="00A42D2C">
        <w:rPr>
          <w:rFonts w:asciiTheme="minorHAnsi" w:hAnsiTheme="minorHAnsi" w:cstheme="minorHAnsi"/>
          <w:color w:val="auto"/>
        </w:rPr>
        <w:t>’</w:t>
      </w:r>
      <w:r w:rsidRPr="003421D7">
        <w:rPr>
          <w:rFonts w:asciiTheme="minorHAnsi" w:hAnsiTheme="minorHAnsi" w:cstheme="minorHAnsi"/>
          <w:color w:val="auto"/>
        </w:rPr>
        <w:t xml:space="preserve"> (</w:t>
      </w:r>
      <w:r w:rsidR="00A42D2C">
        <w:rPr>
          <w:rFonts w:asciiTheme="minorHAnsi" w:hAnsiTheme="minorHAnsi" w:cstheme="minorHAnsi"/>
          <w:color w:val="auto"/>
        </w:rPr>
        <w:t xml:space="preserve">HLWP, </w:t>
      </w:r>
      <w:r w:rsidRPr="003421D7">
        <w:rPr>
          <w:rFonts w:asciiTheme="minorHAnsi" w:hAnsiTheme="minorHAnsi" w:cstheme="minorHAnsi"/>
          <w:color w:val="auto"/>
        </w:rPr>
        <w:t>p.8), agents of change should be aware of the complexity of the system and the need to adopt behavioural science tools and techniques that can address such complexity. As Greenhalgh et al. observe:</w:t>
      </w:r>
    </w:p>
    <w:p w:rsidR="002816F8" w:rsidRPr="003421D7" w:rsidRDefault="002816F8" w:rsidP="00010BF5">
      <w:pPr>
        <w:pStyle w:val="Default"/>
        <w:jc w:val="both"/>
        <w:rPr>
          <w:rFonts w:asciiTheme="minorHAnsi" w:hAnsiTheme="minorHAnsi" w:cstheme="minorHAnsi"/>
          <w:color w:val="auto"/>
        </w:rPr>
      </w:pPr>
    </w:p>
    <w:p w:rsidR="002816F8" w:rsidRPr="003421D7" w:rsidRDefault="002816F8" w:rsidP="00010BF5">
      <w:pPr>
        <w:autoSpaceDE w:val="0"/>
        <w:autoSpaceDN w:val="0"/>
        <w:adjustRightInd w:val="0"/>
        <w:ind w:left="720"/>
        <w:jc w:val="both"/>
        <w:rPr>
          <w:rFonts w:asciiTheme="minorHAnsi" w:hAnsiTheme="minorHAnsi" w:cstheme="minorHAnsi"/>
        </w:rPr>
      </w:pPr>
      <w:r w:rsidRPr="00A42D2C">
        <w:rPr>
          <w:rFonts w:asciiTheme="minorHAnsi" w:hAnsiTheme="minorHAnsi" w:cstheme="minorHAnsi"/>
        </w:rPr>
        <w:t>People are not passive recipients of innovations. Rather (and to a greater or lesser extent in different persons), they seek innovations, experiment with them, evaluate them, find (or fail to find) meaning in them, develop feelings (positive or negative) about them, challenge them, worry about them, complain about them, ‘work around’ them, gain experience with them, modify them to fit particular tasks, and try to improve or redesign them—often through dialogue with other user</w:t>
      </w:r>
      <w:r w:rsidR="00A42D2C" w:rsidRPr="00A42D2C">
        <w:rPr>
          <w:rFonts w:asciiTheme="minorHAnsi" w:hAnsiTheme="minorHAnsi" w:cstheme="minorHAnsi"/>
        </w:rPr>
        <w:t>s.</w:t>
      </w:r>
      <w:fldSimple w:instr=" NOTEREF _Ref284759937 \h  \* MERGEFORMAT ">
        <w:r w:rsidR="00CE6342" w:rsidRPr="00CE6342">
          <w:rPr>
            <w:rFonts w:asciiTheme="minorHAnsi" w:hAnsiTheme="minorHAnsi" w:cstheme="minorHAnsi"/>
            <w:vertAlign w:val="superscript"/>
          </w:rPr>
          <w:t>83</w:t>
        </w:r>
      </w:fldSimple>
      <w:r w:rsidRPr="003421D7">
        <w:rPr>
          <w:rFonts w:asciiTheme="minorHAnsi" w:hAnsiTheme="minorHAnsi" w:cstheme="minorHAnsi"/>
          <w:vertAlign w:val="superscript"/>
        </w:rPr>
        <w:t xml:space="preserve">, </w:t>
      </w:r>
      <w:r w:rsidR="001B0930" w:rsidRPr="003421D7">
        <w:rPr>
          <w:rFonts w:asciiTheme="minorHAnsi" w:hAnsiTheme="minorHAnsi" w:cstheme="minorHAnsi"/>
          <w:vertAlign w:val="superscript"/>
        </w:rPr>
        <w:t xml:space="preserve">p. </w:t>
      </w:r>
      <w:r w:rsidRPr="003421D7">
        <w:rPr>
          <w:rFonts w:asciiTheme="minorHAnsi" w:hAnsiTheme="minorHAnsi" w:cstheme="minorHAnsi"/>
          <w:vertAlign w:val="superscript"/>
        </w:rPr>
        <w:t>598</w:t>
      </w:r>
    </w:p>
    <w:p w:rsidR="002816F8" w:rsidRPr="003421D7" w:rsidRDefault="002816F8" w:rsidP="00010BF5">
      <w:pPr>
        <w:pStyle w:val="Default"/>
        <w:jc w:val="both"/>
        <w:rPr>
          <w:rFonts w:asciiTheme="minorHAnsi" w:hAnsiTheme="minorHAnsi" w:cstheme="minorHAnsi"/>
          <w:color w:val="auto"/>
        </w:rPr>
      </w:pPr>
    </w:p>
    <w:p w:rsidR="002816F8" w:rsidRDefault="002816F8" w:rsidP="00010BF5">
      <w:pPr>
        <w:pStyle w:val="Default"/>
        <w:jc w:val="both"/>
        <w:rPr>
          <w:rFonts w:asciiTheme="minorHAnsi" w:hAnsiTheme="minorHAnsi" w:cstheme="minorHAnsi"/>
          <w:color w:val="auto"/>
        </w:rPr>
      </w:pPr>
      <w:r w:rsidRPr="003421D7">
        <w:rPr>
          <w:rFonts w:asciiTheme="minorHAnsi" w:hAnsiTheme="minorHAnsi" w:cstheme="minorHAnsi"/>
          <w:color w:val="auto"/>
        </w:rPr>
        <w:t xml:space="preserve">The challenge faced, therefore, is to mobilize </w:t>
      </w:r>
      <w:r w:rsidR="00C97857">
        <w:rPr>
          <w:rFonts w:asciiTheme="minorHAnsi" w:hAnsiTheme="minorHAnsi" w:cstheme="minorHAnsi"/>
          <w:color w:val="auto"/>
        </w:rPr>
        <w:t>transdisciplinary</w:t>
      </w:r>
      <w:r w:rsidRPr="003421D7">
        <w:rPr>
          <w:rFonts w:asciiTheme="minorHAnsi" w:hAnsiTheme="minorHAnsi" w:cstheme="minorHAnsi"/>
          <w:color w:val="auto"/>
        </w:rPr>
        <w:t xml:space="preserve"> approaches that have the potential to engage stakeholders and </w:t>
      </w:r>
      <w:r w:rsidRPr="003421D7">
        <w:rPr>
          <w:rFonts w:asciiTheme="minorHAnsi" w:hAnsiTheme="minorHAnsi" w:cstheme="minorHAnsi"/>
          <w:i/>
          <w:color w:val="auto"/>
        </w:rPr>
        <w:t xml:space="preserve">work with </w:t>
      </w:r>
      <w:r w:rsidRPr="003421D7">
        <w:rPr>
          <w:rFonts w:asciiTheme="minorHAnsi" w:hAnsiTheme="minorHAnsi" w:cstheme="minorHAnsi"/>
          <w:color w:val="auto"/>
        </w:rPr>
        <w:t xml:space="preserve">the complexity of human systems. Ring-fencing resourcing, promoting empowerment etc. will be ineffective unless those empowered to manage resources are provided with adequate training, </w:t>
      </w:r>
      <w:r w:rsidRPr="003421D7">
        <w:rPr>
          <w:rFonts w:asciiTheme="minorHAnsi" w:hAnsiTheme="minorHAnsi" w:cstheme="minorHAnsi"/>
          <w:color w:val="auto"/>
        </w:rPr>
        <w:lastRenderedPageBreak/>
        <w:t>development and support in dealing with complexity. Disciplinary approaches outlined above, such as, OD, complexity science and stakeholder analysis, offer insights and techniques that could be harnessed to assist PHE in its change efforts.</w:t>
      </w:r>
    </w:p>
    <w:p w:rsidR="00695533" w:rsidRPr="003421D7" w:rsidRDefault="00695533" w:rsidP="00010BF5">
      <w:pPr>
        <w:pStyle w:val="Default"/>
        <w:jc w:val="both"/>
        <w:rPr>
          <w:rFonts w:asciiTheme="minorHAnsi" w:hAnsiTheme="minorHAnsi" w:cstheme="minorHAnsi"/>
          <w:color w:val="auto"/>
        </w:rPr>
      </w:pPr>
    </w:p>
    <w:p w:rsidR="00C150F9" w:rsidRPr="00695533" w:rsidRDefault="00B02879" w:rsidP="005E6B80">
      <w:pPr>
        <w:pStyle w:val="Heading3"/>
        <w:rPr>
          <w:b w:val="0"/>
        </w:rPr>
      </w:pPr>
      <w:bookmarkStart w:id="61" w:name="_Toc289256764"/>
      <w:r w:rsidRPr="00695533">
        <w:rPr>
          <w:b w:val="0"/>
        </w:rPr>
        <w:t>8.6</w:t>
      </w:r>
      <w:r w:rsidR="0044769A" w:rsidRPr="00695533">
        <w:rPr>
          <w:b w:val="0"/>
        </w:rPr>
        <w:t>.  Differe</w:t>
      </w:r>
      <w:r w:rsidR="00695533">
        <w:rPr>
          <w:b w:val="0"/>
        </w:rPr>
        <w:t>nt a</w:t>
      </w:r>
      <w:r w:rsidR="0044769A" w:rsidRPr="00695533">
        <w:rPr>
          <w:b w:val="0"/>
        </w:rPr>
        <w:t xml:space="preserve">pproaches for </w:t>
      </w:r>
      <w:r w:rsidR="00695533">
        <w:rPr>
          <w:b w:val="0"/>
        </w:rPr>
        <w:t>d</w:t>
      </w:r>
      <w:r w:rsidR="0044769A" w:rsidRPr="00695533">
        <w:rPr>
          <w:b w:val="0"/>
        </w:rPr>
        <w:t xml:space="preserve">ifferent </w:t>
      </w:r>
      <w:r w:rsidR="00695533">
        <w:rPr>
          <w:b w:val="0"/>
        </w:rPr>
        <w:t>s</w:t>
      </w:r>
      <w:r w:rsidR="0044769A" w:rsidRPr="00695533">
        <w:rPr>
          <w:b w:val="0"/>
        </w:rPr>
        <w:t xml:space="preserve">tages in the </w:t>
      </w:r>
      <w:r w:rsidR="00695533">
        <w:rPr>
          <w:b w:val="0"/>
        </w:rPr>
        <w:t>l</w:t>
      </w:r>
      <w:r w:rsidR="0044769A" w:rsidRPr="00695533">
        <w:rPr>
          <w:b w:val="0"/>
        </w:rPr>
        <w:t xml:space="preserve">ife </w:t>
      </w:r>
      <w:r w:rsidR="00695533">
        <w:rPr>
          <w:b w:val="0"/>
        </w:rPr>
        <w:t>c</w:t>
      </w:r>
      <w:r w:rsidR="0044769A" w:rsidRPr="00695533">
        <w:rPr>
          <w:b w:val="0"/>
        </w:rPr>
        <w:t>ourse</w:t>
      </w:r>
      <w:bookmarkEnd w:id="61"/>
    </w:p>
    <w:p w:rsidR="007A4941" w:rsidRDefault="007A4941" w:rsidP="007C6320">
      <w:pPr>
        <w:jc w:val="both"/>
        <w:rPr>
          <w:rFonts w:asciiTheme="minorHAnsi" w:hAnsiTheme="minorHAnsi" w:cs="Arial"/>
        </w:rPr>
      </w:pPr>
    </w:p>
    <w:p w:rsidR="00B7496E" w:rsidRPr="00B7496E" w:rsidRDefault="00A24503" w:rsidP="007C6320">
      <w:pPr>
        <w:jc w:val="both"/>
        <w:rPr>
          <w:rFonts w:asciiTheme="minorHAnsi" w:hAnsiTheme="minorHAnsi" w:cs="Arial"/>
        </w:rPr>
      </w:pPr>
      <w:r w:rsidRPr="00B7496E">
        <w:rPr>
          <w:rFonts w:asciiTheme="minorHAnsi" w:hAnsiTheme="minorHAnsi" w:cs="Arial"/>
        </w:rPr>
        <w:t xml:space="preserve">The Marmot Review of Health Inequalities emphasises the need to prioritise investment in infancy and early childhood. To do this we need to understand how learning takes place and put in place age-appropriate interventions not ones that are based on adult learning as the </w:t>
      </w:r>
      <w:r w:rsidR="00B7496E" w:rsidRPr="00B7496E">
        <w:rPr>
          <w:rFonts w:asciiTheme="minorHAnsi" w:hAnsiTheme="minorHAnsi" w:cs="Arial"/>
        </w:rPr>
        <w:t xml:space="preserve">following </w:t>
      </w:r>
      <w:r w:rsidRPr="00B7496E">
        <w:rPr>
          <w:rFonts w:asciiTheme="minorHAnsi" w:hAnsiTheme="minorHAnsi" w:cs="Arial"/>
        </w:rPr>
        <w:t>case study illustrates.</w:t>
      </w:r>
      <w:r w:rsidR="00B7496E" w:rsidRPr="00B7496E">
        <w:rPr>
          <w:rFonts w:asciiTheme="minorHAnsi" w:hAnsiTheme="minorHAnsi" w:cs="Arial"/>
        </w:rPr>
        <w:t xml:space="preserve">  This case builds on earlier research identifying lower </w:t>
      </w:r>
      <w:r w:rsidR="00B7496E" w:rsidRPr="007A4941">
        <w:rPr>
          <w:rFonts w:asciiTheme="minorHAnsi" w:hAnsiTheme="minorHAnsi" w:cs="Arial"/>
        </w:rPr>
        <w:t>cognitive, perceptual, attentional and executive functioning of children in relation to road safety judgements and behaviours</w:t>
      </w:r>
      <w:r w:rsidR="007A4941">
        <w:rPr>
          <w:rFonts w:asciiTheme="minorHAnsi" w:hAnsiTheme="minorHAnsi" w:cs="Tahoma"/>
          <w:color w:val="333333"/>
        </w:rPr>
        <w:t>.</w:t>
      </w:r>
      <w:r w:rsidR="00B7496E" w:rsidRPr="00B7496E">
        <w:rPr>
          <w:rStyle w:val="EndnoteReference"/>
          <w:rFonts w:asciiTheme="minorHAnsi" w:hAnsiTheme="minorHAnsi" w:cs="Tahoma"/>
          <w:color w:val="333333"/>
        </w:rPr>
        <w:endnoteReference w:id="219"/>
      </w:r>
    </w:p>
    <w:p w:rsidR="00A24503" w:rsidRPr="00A24503" w:rsidRDefault="00A24503" w:rsidP="00A24503">
      <w:pPr>
        <w:rPr>
          <w:rFonts w:asciiTheme="minorHAnsi" w:hAnsiTheme="minorHAnsi" w:cs="Arial"/>
          <w:highlight w:val="green"/>
        </w:rPr>
      </w:pPr>
    </w:p>
    <w:p w:rsidR="00A24503" w:rsidRPr="007868B9" w:rsidRDefault="00A24503" w:rsidP="007C6320">
      <w:pPr>
        <w:pBdr>
          <w:top w:val="single" w:sz="4" w:space="1" w:color="auto"/>
          <w:left w:val="single" w:sz="4" w:space="0" w:color="auto"/>
          <w:bottom w:val="single" w:sz="4" w:space="1" w:color="auto"/>
          <w:right w:val="single" w:sz="4" w:space="4" w:color="auto"/>
        </w:pBdr>
        <w:shd w:val="clear" w:color="auto" w:fill="CCFFFF"/>
        <w:rPr>
          <w:rFonts w:asciiTheme="minorHAnsi" w:hAnsiTheme="minorHAnsi" w:cs="Arial"/>
          <w:b/>
        </w:rPr>
      </w:pPr>
      <w:r w:rsidRPr="007868B9">
        <w:rPr>
          <w:rFonts w:asciiTheme="minorHAnsi" w:hAnsiTheme="minorHAnsi" w:cs="Arial"/>
          <w:b/>
        </w:rPr>
        <w:t xml:space="preserve">Case study:  </w:t>
      </w:r>
      <w:r w:rsidR="00F804A8">
        <w:rPr>
          <w:rFonts w:asciiTheme="minorHAnsi" w:hAnsiTheme="minorHAnsi" w:cs="Arial"/>
          <w:b/>
        </w:rPr>
        <w:t>Children and Road Safety</w:t>
      </w:r>
    </w:p>
    <w:p w:rsidR="00A24503" w:rsidRPr="00A24503" w:rsidRDefault="00A24503" w:rsidP="007C6320">
      <w:pPr>
        <w:pStyle w:val="NormalWeb"/>
        <w:pBdr>
          <w:top w:val="single" w:sz="4" w:space="1" w:color="auto"/>
          <w:left w:val="single" w:sz="4" w:space="0" w:color="auto"/>
          <w:bottom w:val="single" w:sz="4" w:space="1" w:color="auto"/>
          <w:right w:val="single" w:sz="4" w:space="4" w:color="auto"/>
        </w:pBdr>
        <w:shd w:val="clear" w:color="auto" w:fill="CCFFFF"/>
        <w:rPr>
          <w:rFonts w:asciiTheme="minorHAnsi" w:hAnsiTheme="minorHAnsi"/>
          <w:lang w:val="en-US"/>
        </w:rPr>
      </w:pPr>
      <w:r w:rsidRPr="00A24503">
        <w:rPr>
          <w:rFonts w:asciiTheme="minorHAnsi" w:hAnsiTheme="minorHAnsi"/>
          <w:lang w:val="en-US"/>
        </w:rPr>
        <w:t>A new study by vision scientists at Royal Holloway, University of London</w:t>
      </w:r>
      <w:r w:rsidR="007A4941">
        <w:rPr>
          <w:rFonts w:asciiTheme="minorHAnsi" w:hAnsiTheme="minorHAnsi"/>
          <w:lang w:val="en-US"/>
        </w:rPr>
        <w:t>,</w:t>
      </w:r>
      <w:r w:rsidRPr="00A24503">
        <w:rPr>
          <w:rFonts w:asciiTheme="minorHAnsi" w:hAnsiTheme="minorHAnsi"/>
          <w:lang w:val="en-US"/>
        </w:rPr>
        <w:t xml:space="preserve"> has measured children’s ability to detect approaching cars in a road crossing scenario. At vehicle speeds faster than 20 mph, primary school age children (6-11 years) may not be able to tell that a car is approaching. This strongly supports arguments for implementing and enforcing 20 mph speed restrictions in areas with child pedestrians such as residential streets.</w:t>
      </w:r>
    </w:p>
    <w:p w:rsidR="00A24503" w:rsidRPr="00A24503" w:rsidRDefault="00A24503" w:rsidP="007C6320">
      <w:pPr>
        <w:pStyle w:val="NormalWeb"/>
        <w:pBdr>
          <w:top w:val="single" w:sz="4" w:space="1" w:color="auto"/>
          <w:left w:val="single" w:sz="4" w:space="0" w:color="auto"/>
          <w:bottom w:val="single" w:sz="4" w:space="1" w:color="auto"/>
          <w:right w:val="single" w:sz="4" w:space="4" w:color="auto"/>
        </w:pBdr>
        <w:shd w:val="clear" w:color="auto" w:fill="CCFFFF"/>
        <w:rPr>
          <w:rFonts w:asciiTheme="minorHAnsi" w:hAnsiTheme="minorHAnsi"/>
          <w:lang w:val="en-US"/>
        </w:rPr>
      </w:pPr>
      <w:r w:rsidRPr="00A24503">
        <w:rPr>
          <w:rFonts w:asciiTheme="minorHAnsi" w:hAnsiTheme="minorHAnsi"/>
          <w:lang w:val="en-US"/>
        </w:rPr>
        <w:t xml:space="preserve">The study, which is in press for the international journal </w:t>
      </w:r>
      <w:r w:rsidRPr="007A4941">
        <w:rPr>
          <w:rFonts w:asciiTheme="minorHAnsi" w:hAnsiTheme="minorHAnsi"/>
          <w:i/>
          <w:lang w:val="en-US"/>
        </w:rPr>
        <w:t>Psychological Science</w:t>
      </w:r>
      <w:r w:rsidRPr="00A24503">
        <w:rPr>
          <w:rFonts w:asciiTheme="minorHAnsi" w:hAnsiTheme="minorHAnsi"/>
          <w:lang w:val="en-US"/>
        </w:rPr>
        <w:t>, outlines how a speed illusion can mean that all pedestrians, and/or drivers at junctions, can under-estimate the speed of faster vehicles and may, in some cases, fail to see them at all. Researchers measured the perceptual acuity of over 100 children in primary schools and calculated the approach speed that they could reliably detect. Adult pedestrians can make accurate judgments for vehicles travelling up to 50 mph, but primary school age children become unreliable once the approach speed goes above 20 mph.</w:t>
      </w:r>
    </w:p>
    <w:p w:rsidR="00A24503" w:rsidRPr="00A24503" w:rsidRDefault="00A24503" w:rsidP="007C6320">
      <w:pPr>
        <w:pBdr>
          <w:top w:val="single" w:sz="4" w:space="1" w:color="auto"/>
          <w:left w:val="single" w:sz="4" w:space="0" w:color="auto"/>
          <w:bottom w:val="single" w:sz="4" w:space="1" w:color="auto"/>
          <w:right w:val="single" w:sz="4" w:space="4" w:color="auto"/>
        </w:pBdr>
        <w:shd w:val="clear" w:color="auto" w:fill="CCFFFF"/>
        <w:rPr>
          <w:rFonts w:asciiTheme="minorHAnsi" w:hAnsiTheme="minorHAnsi" w:cs="Arial"/>
        </w:rPr>
      </w:pPr>
      <w:r w:rsidRPr="00A24503">
        <w:rPr>
          <w:rFonts w:asciiTheme="minorHAnsi" w:hAnsiTheme="minorHAnsi" w:cs="Arial"/>
        </w:rPr>
        <w:t xml:space="preserve">Source: </w:t>
      </w:r>
      <w:hyperlink r:id="rId31" w:history="1">
        <w:r w:rsidRPr="00A24503">
          <w:rPr>
            <w:rStyle w:val="Hyperlink"/>
            <w:rFonts w:asciiTheme="minorHAnsi" w:hAnsiTheme="minorHAnsi" w:cs="Arial"/>
          </w:rPr>
          <w:t>http://www.cyclorama.net/blog/cycling-news/20s-plenty/</w:t>
        </w:r>
      </w:hyperlink>
    </w:p>
    <w:p w:rsidR="00A24503" w:rsidRPr="00A24503" w:rsidRDefault="00A24503" w:rsidP="007C6320">
      <w:pPr>
        <w:pBdr>
          <w:top w:val="single" w:sz="4" w:space="1" w:color="auto"/>
          <w:left w:val="single" w:sz="4" w:space="0" w:color="auto"/>
          <w:bottom w:val="single" w:sz="4" w:space="1" w:color="auto"/>
          <w:right w:val="single" w:sz="4" w:space="4" w:color="auto"/>
        </w:pBdr>
        <w:shd w:val="clear" w:color="auto" w:fill="CCFFFF"/>
        <w:rPr>
          <w:rFonts w:asciiTheme="minorHAnsi" w:hAnsiTheme="minorHAnsi"/>
        </w:rPr>
      </w:pPr>
    </w:p>
    <w:p w:rsidR="0044769A" w:rsidRDefault="0044769A">
      <w:r>
        <w:br w:type="page"/>
      </w:r>
    </w:p>
    <w:p w:rsidR="0044769A" w:rsidRPr="008D374D" w:rsidRDefault="00883E4D" w:rsidP="0044769A">
      <w:pPr>
        <w:rPr>
          <w:rFonts w:asciiTheme="minorHAnsi" w:hAnsiTheme="minorHAnsi"/>
        </w:rPr>
      </w:pPr>
      <w:r w:rsidRPr="00883E4D">
        <w:rPr>
          <w:rFonts w:asciiTheme="minorHAnsi" w:hAnsiTheme="minorHAnsi"/>
        </w:rPr>
        <w:lastRenderedPageBreak/>
        <w:t>By contrast, older adults have markedly different needs from children and younger adults as the following case study illustrates.</w:t>
      </w:r>
    </w:p>
    <w:p w:rsidR="0044769A" w:rsidRPr="004C419C" w:rsidRDefault="0044769A" w:rsidP="0044769A">
      <w:pPr>
        <w:rPr>
          <w:rFonts w:asciiTheme="minorHAnsi" w:hAnsiTheme="minorHAnsi"/>
          <w:bCs/>
          <w:i/>
        </w:rPr>
      </w:pPr>
    </w:p>
    <w:p w:rsidR="00A86BD6" w:rsidRDefault="00A86BD6" w:rsidP="0044769A">
      <w:pPr>
        <w:pBdr>
          <w:top w:val="single" w:sz="4" w:space="1" w:color="auto"/>
          <w:left w:val="single" w:sz="4" w:space="4" w:color="auto"/>
          <w:bottom w:val="single" w:sz="4" w:space="1" w:color="auto"/>
          <w:right w:val="single" w:sz="4" w:space="4" w:color="auto"/>
        </w:pBdr>
        <w:shd w:val="clear" w:color="auto" w:fill="CCFFFF"/>
        <w:jc w:val="both"/>
        <w:rPr>
          <w:rFonts w:asciiTheme="minorHAnsi" w:hAnsiTheme="minorHAnsi"/>
          <w:b/>
          <w:bCs/>
        </w:rPr>
      </w:pPr>
    </w:p>
    <w:p w:rsidR="0044769A" w:rsidRPr="0044769A" w:rsidRDefault="0044769A" w:rsidP="0044769A">
      <w:pPr>
        <w:pBdr>
          <w:top w:val="single" w:sz="4" w:space="1" w:color="auto"/>
          <w:left w:val="single" w:sz="4" w:space="4" w:color="auto"/>
          <w:bottom w:val="single" w:sz="4" w:space="1" w:color="auto"/>
          <w:right w:val="single" w:sz="4" w:space="4" w:color="auto"/>
        </w:pBdr>
        <w:shd w:val="clear" w:color="auto" w:fill="CCFFFF"/>
        <w:jc w:val="both"/>
        <w:rPr>
          <w:rFonts w:asciiTheme="minorHAnsi" w:hAnsiTheme="minorHAnsi"/>
          <w:b/>
          <w:bCs/>
        </w:rPr>
      </w:pPr>
      <w:r w:rsidRPr="0044769A">
        <w:rPr>
          <w:rFonts w:asciiTheme="minorHAnsi" w:hAnsiTheme="minorHAnsi"/>
          <w:b/>
          <w:bCs/>
        </w:rPr>
        <w:t>Older Road Users:</w:t>
      </w:r>
    </w:p>
    <w:p w:rsidR="0044769A" w:rsidRPr="005050DF" w:rsidRDefault="0044769A" w:rsidP="0044769A">
      <w:pPr>
        <w:pBdr>
          <w:top w:val="single" w:sz="4" w:space="1" w:color="auto"/>
          <w:left w:val="single" w:sz="4" w:space="4" w:color="auto"/>
          <w:bottom w:val="single" w:sz="4" w:space="1" w:color="auto"/>
          <w:right w:val="single" w:sz="4" w:space="4" w:color="auto"/>
        </w:pBdr>
        <w:shd w:val="clear" w:color="auto" w:fill="CCFFFF"/>
        <w:jc w:val="both"/>
        <w:rPr>
          <w:rFonts w:asciiTheme="minorHAnsi" w:hAnsiTheme="minorHAnsi"/>
        </w:rPr>
      </w:pPr>
      <w:r w:rsidRPr="005050DF">
        <w:rPr>
          <w:rFonts w:asciiTheme="minorHAnsi" w:hAnsiTheme="minorHAnsi"/>
        </w:rPr>
        <w:t>The increasing proportion of older people in the community in industrialized countries (in many of them this proportion has</w:t>
      </w:r>
      <w:r w:rsidR="007A4941">
        <w:rPr>
          <w:rFonts w:asciiTheme="minorHAnsi" w:hAnsiTheme="minorHAnsi"/>
        </w:rPr>
        <w:t xml:space="preserve"> reached 10 percent and above</w:t>
      </w:r>
      <w:r w:rsidRPr="005050DF">
        <w:rPr>
          <w:rFonts w:asciiTheme="minorHAnsi" w:hAnsiTheme="minorHAnsi"/>
        </w:rPr>
        <w:t>), and the increase in their level of mobility and physical activity, make the health safety of older road users an increasingly critical issue</w:t>
      </w:r>
      <w:r w:rsidR="007A4941">
        <w:rPr>
          <w:rFonts w:asciiTheme="minorHAnsi" w:hAnsiTheme="minorHAnsi"/>
        </w:rPr>
        <w:t>.</w:t>
      </w:r>
      <w:r w:rsidRPr="005050DF">
        <w:rPr>
          <w:rStyle w:val="EndnoteReference"/>
          <w:rFonts w:asciiTheme="minorHAnsi" w:eastAsiaTheme="majorEastAsia" w:hAnsiTheme="minorHAnsi"/>
        </w:rPr>
        <w:endnoteReference w:id="220"/>
      </w:r>
      <w:r w:rsidR="007A4941">
        <w:rPr>
          <w:rFonts w:asciiTheme="minorHAnsi" w:hAnsiTheme="minorHAnsi"/>
        </w:rPr>
        <w:t xml:space="preserve"> </w:t>
      </w:r>
      <w:r w:rsidRPr="005050DF">
        <w:rPr>
          <w:rFonts w:asciiTheme="minorHAnsi" w:hAnsiTheme="minorHAnsi"/>
        </w:rPr>
        <w:t>Older people are seen as a vulnerable group of road users. A wide range of factors has been examined in this context. Older people are those individuals who are most likely to be physical vulnerable</w:t>
      </w:r>
      <w:r w:rsidR="007A4941">
        <w:rPr>
          <w:rFonts w:asciiTheme="minorHAnsi" w:hAnsiTheme="minorHAnsi"/>
        </w:rPr>
        <w:t>.</w:t>
      </w:r>
      <w:r w:rsidRPr="005050DF">
        <w:rPr>
          <w:rStyle w:val="EndnoteReference"/>
          <w:rFonts w:asciiTheme="minorHAnsi" w:eastAsiaTheme="majorEastAsia" w:hAnsiTheme="minorHAnsi"/>
        </w:rPr>
        <w:endnoteReference w:id="221"/>
      </w:r>
      <w:r w:rsidRPr="005050DF">
        <w:rPr>
          <w:rFonts w:asciiTheme="minorHAnsi" w:hAnsiTheme="minorHAnsi"/>
        </w:rPr>
        <w:t xml:space="preserve"> They experience poorer health status and functional decline, increase in restriction of activity, psychological factors (such as depression and anxiety), deterioration in sensory and cognitive skills</w:t>
      </w:r>
      <w:r w:rsidRPr="005050DF">
        <w:rPr>
          <w:rStyle w:val="EndnoteReference"/>
          <w:rFonts w:asciiTheme="minorHAnsi" w:eastAsiaTheme="majorEastAsia" w:hAnsiTheme="minorHAnsi"/>
        </w:rPr>
        <w:endnoteReference w:id="222"/>
      </w:r>
      <w:r w:rsidRPr="005050DF">
        <w:rPr>
          <w:rFonts w:asciiTheme="minorHAnsi" w:hAnsiTheme="minorHAnsi"/>
        </w:rPr>
        <w:t>, and a progressive loss of feeling independent</w:t>
      </w:r>
      <w:r w:rsidR="007A4941">
        <w:rPr>
          <w:rFonts w:asciiTheme="minorHAnsi" w:hAnsiTheme="minorHAnsi"/>
        </w:rPr>
        <w:t>.</w:t>
      </w:r>
      <w:r w:rsidRPr="005050DF">
        <w:rPr>
          <w:rStyle w:val="EndnoteReference"/>
          <w:rFonts w:asciiTheme="minorHAnsi" w:eastAsiaTheme="majorEastAsia" w:hAnsiTheme="minorHAnsi"/>
        </w:rPr>
        <w:endnoteReference w:id="223"/>
      </w:r>
      <w:r w:rsidRPr="005050DF">
        <w:rPr>
          <w:rFonts w:asciiTheme="minorHAnsi" w:hAnsiTheme="minorHAnsi"/>
        </w:rPr>
        <w:t xml:space="preserve"> Some or all of these factors might have affect on the health and safety of older road users.</w:t>
      </w:r>
    </w:p>
    <w:p w:rsidR="0044769A" w:rsidRDefault="0044769A" w:rsidP="00A86BD6">
      <w:pPr>
        <w:pBdr>
          <w:top w:val="single" w:sz="4" w:space="1" w:color="auto"/>
          <w:left w:val="single" w:sz="4" w:space="4" w:color="auto"/>
          <w:bottom w:val="single" w:sz="4" w:space="1" w:color="auto"/>
          <w:right w:val="single" w:sz="4" w:space="4" w:color="auto"/>
        </w:pBdr>
        <w:shd w:val="clear" w:color="auto" w:fill="CCFFFF"/>
      </w:pPr>
    </w:p>
    <w:p w:rsidR="0044769A" w:rsidRDefault="0044769A" w:rsidP="00635C1E">
      <w:pPr>
        <w:pStyle w:val="Heading4"/>
      </w:pPr>
    </w:p>
    <w:p w:rsidR="00C150F9" w:rsidRDefault="00B02879" w:rsidP="003242EB">
      <w:pPr>
        <w:pStyle w:val="Heading3"/>
      </w:pPr>
      <w:bookmarkStart w:id="62" w:name="_Toc289256765"/>
      <w:r>
        <w:t>8.7</w:t>
      </w:r>
      <w:r w:rsidR="0044769A">
        <w:t xml:space="preserve">  </w:t>
      </w:r>
      <w:r w:rsidR="007868B9">
        <w:t>HLWP</w:t>
      </w:r>
      <w:r>
        <w:t xml:space="preserve"> </w:t>
      </w:r>
      <w:r w:rsidR="003242EB">
        <w:t>Reaching across and reaching out – addressing the root causes of ill health</w:t>
      </w:r>
      <w:bookmarkEnd w:id="62"/>
      <w:r w:rsidR="002142B7">
        <w:t xml:space="preserve"> </w:t>
      </w:r>
    </w:p>
    <w:p w:rsidR="007A4941" w:rsidRPr="007A4941" w:rsidRDefault="007A4941" w:rsidP="001F0E1D">
      <w:pPr>
        <w:jc w:val="both"/>
        <w:rPr>
          <w:rFonts w:asciiTheme="minorHAnsi" w:hAnsiTheme="minorHAnsi" w:cstheme="minorHAnsi"/>
        </w:rPr>
      </w:pPr>
    </w:p>
    <w:p w:rsidR="001F0E1D" w:rsidRPr="007A4941" w:rsidRDefault="001F0E1D" w:rsidP="001F0E1D">
      <w:pPr>
        <w:jc w:val="both"/>
        <w:rPr>
          <w:rFonts w:asciiTheme="minorHAnsi" w:hAnsiTheme="minorHAnsi" w:cstheme="minorHAnsi"/>
        </w:rPr>
      </w:pPr>
      <w:r w:rsidRPr="007A4941">
        <w:rPr>
          <w:rFonts w:asciiTheme="minorHAnsi" w:hAnsiTheme="minorHAnsi" w:cstheme="minorHAnsi"/>
        </w:rPr>
        <w:t>Whilst the intention to engage individuals, communities, businesses, local authorities and other key players is welcomed, the White Paper conveys a picture of Public Health that is fragmented and atomised across the UK, giving power and control to those communities and individuals that are able to empower themselves, but leaving myriad gaps in the edifice of public health where the less strong sections of society will still be vulnerable to ‘anti-health forces’.</w:t>
      </w:r>
    </w:p>
    <w:p w:rsidR="001F0E1D" w:rsidRPr="007A4941" w:rsidRDefault="001F0E1D" w:rsidP="001F0E1D">
      <w:pPr>
        <w:jc w:val="both"/>
        <w:rPr>
          <w:rFonts w:asciiTheme="minorHAnsi" w:hAnsiTheme="minorHAnsi" w:cstheme="minorHAnsi"/>
        </w:rPr>
      </w:pPr>
    </w:p>
    <w:p w:rsidR="001F0E1D" w:rsidRPr="007A4941" w:rsidRDefault="001F0E1D" w:rsidP="001F0E1D">
      <w:pPr>
        <w:pStyle w:val="Default"/>
        <w:jc w:val="both"/>
        <w:rPr>
          <w:rFonts w:ascii="TimesNewRomanPS" w:hAnsi="TimesNewRomanPS" w:cs="TimesNewRomanPS"/>
        </w:rPr>
      </w:pPr>
      <w:r w:rsidRPr="007A4941">
        <w:rPr>
          <w:rFonts w:asciiTheme="minorHAnsi" w:hAnsiTheme="minorHAnsi" w:cstheme="minorHAnsi"/>
        </w:rPr>
        <w:t xml:space="preserve">The current regime of public sector cuts poses a serious threat to the aspiration for significant local authority co-ordination of efforts in this area.  Whilst the White Paper recognises that </w:t>
      </w:r>
      <w:r w:rsidR="00A42D2C" w:rsidRPr="007A4941">
        <w:rPr>
          <w:rFonts w:asciiTheme="minorHAnsi" w:hAnsiTheme="minorHAnsi" w:cstheme="minorHAnsi"/>
        </w:rPr>
        <w:t>‘</w:t>
      </w:r>
      <w:r w:rsidRPr="007A4941">
        <w:rPr>
          <w:rFonts w:asciiTheme="minorHAnsi" w:hAnsiTheme="minorHAnsi" w:cs="TimesNewRomanPS"/>
          <w:bCs/>
        </w:rPr>
        <w:t>Local government is best placed to influence many of the wider factors that affect health and wellbeing</w:t>
      </w:r>
      <w:r w:rsidR="00A42D2C" w:rsidRPr="007A4941">
        <w:rPr>
          <w:rFonts w:asciiTheme="minorHAnsi" w:hAnsiTheme="minorHAnsi" w:cs="TimesNewRomanPS"/>
          <w:bCs/>
        </w:rPr>
        <w:t>’</w:t>
      </w:r>
      <w:r w:rsidRPr="007A4941">
        <w:rPr>
          <w:rFonts w:asciiTheme="minorHAnsi" w:hAnsiTheme="minorHAnsi" w:cs="TimesNewRomanPS"/>
          <w:bCs/>
        </w:rPr>
        <w:t>, evidence and experience indicates that resources (both financial and skills) in local authorities are extremely constrained, and that strong direction and support from central government will be essential to their ability to play a significant role in this area.  An example of this problem was indicated by by the two inquiries into air quality management in the UK that reported in 2010 (The Government’s In-House Policy Consultancy</w:t>
      </w:r>
      <w:r w:rsidRPr="007A4941">
        <w:rPr>
          <w:rStyle w:val="EndnoteReference"/>
          <w:rFonts w:asciiTheme="minorHAnsi" w:hAnsiTheme="minorHAnsi" w:cs="TimesNewRomanPS"/>
          <w:bCs/>
        </w:rPr>
        <w:endnoteReference w:id="224"/>
      </w:r>
      <w:r w:rsidRPr="007A4941">
        <w:rPr>
          <w:rFonts w:asciiTheme="minorHAnsi" w:hAnsiTheme="minorHAnsi" w:cs="TimesNewRomanPS"/>
          <w:bCs/>
        </w:rPr>
        <w:t>, and the Environmental Audit Committee</w:t>
      </w:r>
      <w:r w:rsidRPr="007A4941">
        <w:rPr>
          <w:rStyle w:val="EndnoteReference"/>
          <w:rFonts w:asciiTheme="minorHAnsi" w:hAnsiTheme="minorHAnsi" w:cs="TimesNewRomanPS"/>
          <w:bCs/>
        </w:rPr>
        <w:endnoteReference w:id="225"/>
      </w:r>
      <w:r w:rsidRPr="007A4941">
        <w:rPr>
          <w:rFonts w:asciiTheme="minorHAnsi" w:hAnsiTheme="minorHAnsi" w:cs="TimesNewRomanPS"/>
          <w:bCs/>
        </w:rPr>
        <w:t>)</w:t>
      </w:r>
      <w:r w:rsidR="007A4941">
        <w:rPr>
          <w:rFonts w:asciiTheme="minorHAnsi" w:hAnsiTheme="minorHAnsi" w:cs="TimesNewRomanPS"/>
          <w:bCs/>
        </w:rPr>
        <w:t>.</w:t>
      </w:r>
      <w:r w:rsidRPr="007A4941">
        <w:rPr>
          <w:rFonts w:asciiTheme="minorHAnsi" w:hAnsiTheme="minorHAnsi" w:cs="TimesNewRomanPS"/>
          <w:bCs/>
        </w:rPr>
        <w:t xml:space="preserve"> </w:t>
      </w:r>
      <w:r w:rsidRPr="007A4941">
        <w:rPr>
          <w:rFonts w:ascii="TimesNewRomanPS" w:hAnsi="TimesNewRomanPS" w:cs="TimesNewRomanPS"/>
          <w:b/>
          <w:bCs/>
        </w:rPr>
        <w:t xml:space="preserve"> </w:t>
      </w:r>
    </w:p>
    <w:p w:rsidR="00AE1B5A" w:rsidRPr="007A4941" w:rsidRDefault="00AE1B5A" w:rsidP="001B0930">
      <w:pPr>
        <w:pStyle w:val="Default"/>
        <w:rPr>
          <w:rFonts w:asciiTheme="minorHAnsi" w:hAnsiTheme="minorHAnsi" w:cstheme="minorHAnsi"/>
          <w:color w:val="auto"/>
        </w:rPr>
      </w:pPr>
    </w:p>
    <w:p w:rsidR="001B0930" w:rsidRPr="003421D7" w:rsidRDefault="001B0930" w:rsidP="00010BF5">
      <w:pPr>
        <w:pStyle w:val="Default"/>
        <w:jc w:val="both"/>
        <w:rPr>
          <w:rFonts w:asciiTheme="minorHAnsi" w:hAnsiTheme="minorHAnsi" w:cstheme="minorHAnsi"/>
          <w:color w:val="auto"/>
        </w:rPr>
      </w:pPr>
      <w:r w:rsidRPr="003421D7">
        <w:rPr>
          <w:rFonts w:asciiTheme="minorHAnsi" w:hAnsiTheme="minorHAnsi" w:cstheme="minorHAnsi"/>
          <w:color w:val="auto"/>
        </w:rPr>
        <w:t>The White Paper indicates that:</w:t>
      </w:r>
    </w:p>
    <w:p w:rsidR="001B0930" w:rsidRPr="003421D7" w:rsidRDefault="001B0930" w:rsidP="00010BF5">
      <w:pPr>
        <w:pStyle w:val="Default"/>
        <w:jc w:val="both"/>
        <w:rPr>
          <w:rFonts w:asciiTheme="minorHAnsi" w:hAnsiTheme="minorHAnsi" w:cstheme="minorHAnsi"/>
          <w:color w:val="auto"/>
        </w:rPr>
      </w:pPr>
    </w:p>
    <w:p w:rsidR="001B0930" w:rsidRPr="003421D7" w:rsidRDefault="001B0930" w:rsidP="00010BF5">
      <w:pPr>
        <w:pStyle w:val="Default"/>
        <w:ind w:left="720"/>
        <w:jc w:val="both"/>
        <w:rPr>
          <w:rFonts w:asciiTheme="minorHAnsi" w:hAnsiTheme="minorHAnsi" w:cstheme="minorHAnsi"/>
          <w:color w:val="auto"/>
        </w:rPr>
      </w:pPr>
      <w:r w:rsidRPr="00A42D2C">
        <w:rPr>
          <w:rFonts w:asciiTheme="minorHAnsi" w:hAnsiTheme="minorHAnsi" w:cstheme="minorHAnsi"/>
          <w:color w:val="auto"/>
        </w:rPr>
        <w:t>The new system [will]: ... put local government in a leadership role as, given the huge variations across the country, local councils are best placed to address the particul</w:t>
      </w:r>
      <w:r w:rsidR="00A42D2C" w:rsidRPr="00A42D2C">
        <w:rPr>
          <w:rFonts w:asciiTheme="minorHAnsi" w:hAnsiTheme="minorHAnsi" w:cstheme="minorHAnsi"/>
          <w:color w:val="auto"/>
        </w:rPr>
        <w:t>ar issues that their areas face</w:t>
      </w:r>
      <w:r w:rsidRPr="003421D7">
        <w:rPr>
          <w:rFonts w:asciiTheme="minorHAnsi" w:hAnsiTheme="minorHAnsi" w:cstheme="minorHAnsi"/>
          <w:i/>
          <w:color w:val="auto"/>
        </w:rPr>
        <w:t xml:space="preserve"> </w:t>
      </w:r>
      <w:r w:rsidRPr="003421D7">
        <w:rPr>
          <w:rFonts w:asciiTheme="minorHAnsi" w:hAnsiTheme="minorHAnsi" w:cstheme="minorHAnsi"/>
          <w:color w:val="auto"/>
        </w:rPr>
        <w:t>(HLWP, p.22).</w:t>
      </w:r>
    </w:p>
    <w:p w:rsidR="001B0930" w:rsidRPr="003421D7" w:rsidRDefault="001B0930" w:rsidP="00010BF5">
      <w:pPr>
        <w:pStyle w:val="Default"/>
        <w:jc w:val="both"/>
        <w:rPr>
          <w:rFonts w:asciiTheme="minorHAnsi" w:hAnsiTheme="minorHAnsi" w:cstheme="minorHAnsi"/>
          <w:color w:val="auto"/>
        </w:rPr>
      </w:pPr>
    </w:p>
    <w:p w:rsidR="001B0930" w:rsidRPr="003421D7" w:rsidRDefault="001B0930" w:rsidP="00010BF5">
      <w:pPr>
        <w:pStyle w:val="Default"/>
        <w:jc w:val="both"/>
        <w:rPr>
          <w:rFonts w:asciiTheme="minorHAnsi" w:hAnsiTheme="minorHAnsi" w:cstheme="minorHAnsi"/>
        </w:rPr>
      </w:pPr>
      <w:r w:rsidRPr="003421D7">
        <w:rPr>
          <w:rFonts w:asciiTheme="minorHAnsi" w:hAnsiTheme="minorHAnsi" w:cstheme="minorHAnsi"/>
          <w:color w:val="auto"/>
        </w:rPr>
        <w:lastRenderedPageBreak/>
        <w:t xml:space="preserve">It is envisaged that rigorous, </w:t>
      </w:r>
      <w:r w:rsidRPr="003421D7">
        <w:rPr>
          <w:rFonts w:asciiTheme="minorHAnsi" w:hAnsiTheme="minorHAnsi" w:cstheme="minorHAnsi"/>
        </w:rPr>
        <w:t>professionally-led and evidence-focused local</w:t>
      </w:r>
      <w:r w:rsidR="00A42D2C">
        <w:rPr>
          <w:rFonts w:asciiTheme="minorHAnsi" w:hAnsiTheme="minorHAnsi" w:cstheme="minorHAnsi"/>
        </w:rPr>
        <w:t xml:space="preserve"> leadership is needed in order ‘</w:t>
      </w:r>
      <w:r w:rsidRPr="003421D7">
        <w:rPr>
          <w:rFonts w:asciiTheme="minorHAnsi" w:hAnsiTheme="minorHAnsi" w:cstheme="minorHAnsi"/>
        </w:rPr>
        <w:t>to improve everyone’s health and wellbeing, and tackle the wider factors that influence it, most effectively</w:t>
      </w:r>
      <w:r w:rsidR="00A42D2C">
        <w:rPr>
          <w:rFonts w:asciiTheme="minorHAnsi" w:hAnsiTheme="minorHAnsi" w:cstheme="minorHAnsi"/>
        </w:rPr>
        <w:t>’</w:t>
      </w:r>
      <w:r w:rsidRPr="003421D7">
        <w:rPr>
          <w:rFonts w:asciiTheme="minorHAnsi" w:hAnsiTheme="minorHAnsi" w:cstheme="minorHAnsi"/>
        </w:rPr>
        <w:t xml:space="preserve"> (HLWP, p.23).</w:t>
      </w:r>
    </w:p>
    <w:p w:rsidR="001B0930" w:rsidRPr="003421D7" w:rsidRDefault="001B0930" w:rsidP="00010BF5">
      <w:pPr>
        <w:pStyle w:val="Default"/>
        <w:jc w:val="both"/>
        <w:rPr>
          <w:rFonts w:asciiTheme="minorHAnsi" w:hAnsiTheme="minorHAnsi" w:cstheme="minorHAnsi"/>
        </w:rPr>
      </w:pPr>
    </w:p>
    <w:p w:rsidR="001B0930" w:rsidRDefault="001B0930" w:rsidP="00010BF5">
      <w:pPr>
        <w:pStyle w:val="Default"/>
        <w:jc w:val="both"/>
        <w:rPr>
          <w:rFonts w:asciiTheme="minorHAnsi" w:hAnsiTheme="minorHAnsi" w:cstheme="minorHAnsi"/>
        </w:rPr>
      </w:pPr>
      <w:r w:rsidRPr="003421D7">
        <w:rPr>
          <w:rFonts w:asciiTheme="minorHAnsi" w:hAnsiTheme="minorHAnsi" w:cstheme="minorHAnsi"/>
          <w:color w:val="auto"/>
        </w:rPr>
        <w:t xml:space="preserve">The implication of this strategy is that provisions need to be put in place to ensure that agents of local government have adequate training and support to effect distributed  leadership of the form desired. Appropriate leadership development programmes could assist with the aim of using, </w:t>
      </w:r>
      <w:r w:rsidR="00A42D2C" w:rsidRPr="00A42D2C">
        <w:rPr>
          <w:rFonts w:asciiTheme="minorHAnsi" w:hAnsiTheme="minorHAnsi" w:cstheme="minorHAnsi"/>
          <w:color w:val="auto"/>
        </w:rPr>
        <w:t>‘</w:t>
      </w:r>
      <w:r w:rsidRPr="00A42D2C">
        <w:rPr>
          <w:rFonts w:asciiTheme="minorHAnsi" w:hAnsiTheme="minorHAnsi" w:cstheme="minorHAnsi"/>
        </w:rPr>
        <w:t xml:space="preserve">... a </w:t>
      </w:r>
      <w:r w:rsidR="00A42D2C" w:rsidRPr="00A42D2C">
        <w:rPr>
          <w:rFonts w:asciiTheme="minorHAnsi" w:hAnsiTheme="minorHAnsi" w:cstheme="minorHAnsi"/>
        </w:rPr>
        <w:t>“ladder”</w:t>
      </w:r>
      <w:r w:rsidRPr="00A42D2C">
        <w:rPr>
          <w:rFonts w:asciiTheme="minorHAnsi" w:hAnsiTheme="minorHAnsi" w:cstheme="minorHAnsi"/>
        </w:rPr>
        <w:t xml:space="preserve"> of interventions to determine the least intrusive approach possible, aiming to make voluntary approaches work before resorting to regulation</w:t>
      </w:r>
      <w:r w:rsidR="00A42D2C" w:rsidRPr="00A42D2C">
        <w:rPr>
          <w:rFonts w:asciiTheme="minorHAnsi" w:hAnsiTheme="minorHAnsi" w:cstheme="minorHAnsi"/>
        </w:rPr>
        <w:t>’</w:t>
      </w:r>
      <w:r w:rsidRPr="003421D7">
        <w:rPr>
          <w:rFonts w:asciiTheme="minorHAnsi" w:hAnsiTheme="minorHAnsi" w:cstheme="minorHAnsi"/>
          <w:i/>
        </w:rPr>
        <w:t xml:space="preserve"> </w:t>
      </w:r>
      <w:r w:rsidRPr="003421D7">
        <w:rPr>
          <w:rFonts w:asciiTheme="minorHAnsi" w:hAnsiTheme="minorHAnsi" w:cstheme="minorHAnsi"/>
        </w:rPr>
        <w:t>(HLWP</w:t>
      </w:r>
      <w:r w:rsidR="008D374D">
        <w:rPr>
          <w:rFonts w:asciiTheme="minorHAnsi" w:hAnsiTheme="minorHAnsi" w:cstheme="minorHAnsi"/>
        </w:rPr>
        <w:t xml:space="preserve">, </w:t>
      </w:r>
      <w:r w:rsidRPr="003421D7">
        <w:rPr>
          <w:rFonts w:asciiTheme="minorHAnsi" w:hAnsiTheme="minorHAnsi" w:cstheme="minorHAnsi"/>
        </w:rPr>
        <w:t>p.23). The approach advocated is consistent with conclusions drawn by Green</w:t>
      </w:r>
      <w:r w:rsidR="000445F2" w:rsidRPr="003421D7">
        <w:rPr>
          <w:rFonts w:asciiTheme="minorHAnsi" w:hAnsiTheme="minorHAnsi" w:cstheme="minorHAnsi"/>
        </w:rPr>
        <w:t>h</w:t>
      </w:r>
      <w:r w:rsidRPr="003421D7">
        <w:rPr>
          <w:rFonts w:asciiTheme="minorHAnsi" w:hAnsiTheme="minorHAnsi" w:cstheme="minorHAnsi"/>
        </w:rPr>
        <w:t>a</w:t>
      </w:r>
      <w:r w:rsidR="000445F2" w:rsidRPr="003421D7">
        <w:rPr>
          <w:rFonts w:asciiTheme="minorHAnsi" w:hAnsiTheme="minorHAnsi" w:cstheme="minorHAnsi"/>
        </w:rPr>
        <w:t>l</w:t>
      </w:r>
      <w:r w:rsidRPr="003421D7">
        <w:rPr>
          <w:rFonts w:asciiTheme="minorHAnsi" w:hAnsiTheme="minorHAnsi" w:cstheme="minorHAnsi"/>
        </w:rPr>
        <w:t>gh et al. with respect to large scale health sector change. That is:</w:t>
      </w:r>
    </w:p>
    <w:p w:rsidR="00A42D2C" w:rsidRPr="003421D7" w:rsidRDefault="00A42D2C" w:rsidP="00010BF5">
      <w:pPr>
        <w:pStyle w:val="Default"/>
        <w:jc w:val="both"/>
        <w:rPr>
          <w:rFonts w:asciiTheme="minorHAnsi" w:hAnsiTheme="minorHAnsi" w:cstheme="minorHAnsi"/>
        </w:rPr>
      </w:pPr>
    </w:p>
    <w:p w:rsidR="001B0930" w:rsidRPr="003421D7" w:rsidRDefault="001B0930" w:rsidP="00010BF5">
      <w:pPr>
        <w:pStyle w:val="Default"/>
        <w:ind w:left="720"/>
        <w:jc w:val="both"/>
        <w:rPr>
          <w:rFonts w:asciiTheme="minorHAnsi" w:hAnsiTheme="minorHAnsi" w:cstheme="minorHAnsi"/>
        </w:rPr>
      </w:pPr>
      <w:r w:rsidRPr="00A42D2C">
        <w:rPr>
          <w:rFonts w:asciiTheme="minorHAnsi" w:hAnsiTheme="minorHAnsi" w:cstheme="minorHAnsi"/>
        </w:rPr>
        <w:t>[A] more radical ‘developmental’ agenda... in which a one-way transmission of advice from the change agency to the target group has been replaced with various models of partnership and community development</w:t>
      </w:r>
      <w:r w:rsidR="00A42D2C" w:rsidRPr="00A42D2C">
        <w:rPr>
          <w:rFonts w:asciiTheme="minorHAnsi" w:hAnsiTheme="minorHAnsi" w:cstheme="minorHAnsi"/>
        </w:rPr>
        <w:t>.</w:t>
      </w:r>
      <w:fldSimple w:instr=" NOTEREF _Ref284759937 \h  \* MERGEFORMAT ">
        <w:r w:rsidR="00CE6342" w:rsidRPr="00CE6342">
          <w:rPr>
            <w:rFonts w:asciiTheme="minorHAnsi" w:hAnsiTheme="minorHAnsi" w:cstheme="minorHAnsi"/>
            <w:vertAlign w:val="superscript"/>
          </w:rPr>
          <w:t>83</w:t>
        </w:r>
      </w:fldSimple>
      <w:r w:rsidRPr="003421D7">
        <w:rPr>
          <w:rFonts w:asciiTheme="minorHAnsi" w:hAnsiTheme="minorHAnsi" w:cstheme="minorHAnsi"/>
          <w:vertAlign w:val="superscript"/>
        </w:rPr>
        <w:t>, p. 590</w:t>
      </w:r>
    </w:p>
    <w:p w:rsidR="001B0930" w:rsidRPr="003421D7" w:rsidRDefault="001B0930" w:rsidP="00010BF5">
      <w:pPr>
        <w:pStyle w:val="Default"/>
        <w:jc w:val="both"/>
        <w:rPr>
          <w:rFonts w:asciiTheme="minorHAnsi" w:hAnsiTheme="minorHAnsi" w:cstheme="minorHAnsi"/>
        </w:rPr>
      </w:pPr>
    </w:p>
    <w:p w:rsidR="001B0930" w:rsidRPr="003421D7" w:rsidRDefault="001B0930" w:rsidP="00010BF5">
      <w:pPr>
        <w:pStyle w:val="Default"/>
        <w:jc w:val="both"/>
        <w:rPr>
          <w:rFonts w:asciiTheme="minorHAnsi" w:hAnsiTheme="minorHAnsi" w:cstheme="minorHAnsi"/>
        </w:rPr>
      </w:pPr>
      <w:r w:rsidRPr="003421D7">
        <w:rPr>
          <w:rFonts w:asciiTheme="minorHAnsi" w:hAnsiTheme="minorHAnsi" w:cstheme="minorHAnsi"/>
        </w:rPr>
        <w:t xml:space="preserve">Interventions of this sort, however, need careful planning and implementation. Particular emphasis needs to be given to the </w:t>
      </w:r>
      <w:r w:rsidRPr="003421D7">
        <w:rPr>
          <w:rFonts w:asciiTheme="minorHAnsi" w:hAnsiTheme="minorHAnsi" w:cstheme="minorHAnsi"/>
          <w:i/>
        </w:rPr>
        <w:t>process</w:t>
      </w:r>
      <w:r w:rsidRPr="003421D7">
        <w:rPr>
          <w:rFonts w:asciiTheme="minorHAnsi" w:hAnsiTheme="minorHAnsi" w:cstheme="minorHAnsi"/>
        </w:rPr>
        <w:t xml:space="preserve"> of intervention (cf. OD, complexity science and distributed leadership approaches, p.</w:t>
      </w:r>
      <w:r w:rsidR="007A4941">
        <w:rPr>
          <w:rFonts w:asciiTheme="minorHAnsi" w:hAnsiTheme="minorHAnsi" w:cstheme="minorHAnsi"/>
        </w:rPr>
        <w:t>27</w:t>
      </w:r>
      <w:r w:rsidRPr="003421D7">
        <w:rPr>
          <w:rFonts w:asciiTheme="minorHAnsi" w:hAnsiTheme="minorHAnsi" w:cstheme="minorHAnsi"/>
        </w:rPr>
        <w:t>ff, above), a point explicitly noted by Greenh</w:t>
      </w:r>
      <w:r w:rsidR="00A42D2C">
        <w:rPr>
          <w:rFonts w:asciiTheme="minorHAnsi" w:hAnsiTheme="minorHAnsi" w:cstheme="minorHAnsi"/>
        </w:rPr>
        <w:t>algh et al. in their focus on, ‘</w:t>
      </w:r>
      <w:r w:rsidRPr="003421D7">
        <w:rPr>
          <w:rFonts w:asciiTheme="minorHAnsi" w:hAnsiTheme="minorHAnsi" w:cstheme="minorHAnsi"/>
        </w:rPr>
        <w:t>innovativeness concentrated on the ‘softer,’ non-structural aspects of its makeup, especially the prevailing culture and climate, notably in relation to leadership style, power balances, social relations, and attitudes toward risk taking</w:t>
      </w:r>
      <w:r w:rsidR="00A42D2C">
        <w:rPr>
          <w:rFonts w:asciiTheme="minorHAnsi" w:hAnsiTheme="minorHAnsi" w:cstheme="minorHAnsi"/>
        </w:rPr>
        <w:t>.’</w:t>
      </w:r>
      <w:fldSimple w:instr=" NOTEREF _Ref284759937 \h  \* MERGEFORMAT ">
        <w:r w:rsidR="00CE6342" w:rsidRPr="00CE6342">
          <w:rPr>
            <w:rFonts w:asciiTheme="minorHAnsi" w:hAnsiTheme="minorHAnsi" w:cstheme="minorHAnsi"/>
            <w:vertAlign w:val="superscript"/>
          </w:rPr>
          <w:t>83</w:t>
        </w:r>
      </w:fldSimple>
      <w:r w:rsidRPr="003421D7">
        <w:rPr>
          <w:rFonts w:asciiTheme="minorHAnsi" w:hAnsiTheme="minorHAnsi" w:cstheme="minorHAnsi"/>
          <w:vertAlign w:val="superscript"/>
        </w:rPr>
        <w:t xml:space="preserve"> , p. 591</w:t>
      </w:r>
    </w:p>
    <w:p w:rsidR="001B0930" w:rsidRPr="00D105A5" w:rsidRDefault="001B0930" w:rsidP="00010BF5">
      <w:pPr>
        <w:jc w:val="both"/>
        <w:rPr>
          <w:rFonts w:asciiTheme="minorHAnsi" w:hAnsiTheme="minorHAnsi" w:cstheme="minorHAnsi"/>
          <w:sz w:val="22"/>
          <w:szCs w:val="22"/>
        </w:rPr>
      </w:pPr>
    </w:p>
    <w:p w:rsidR="00C150F9" w:rsidRDefault="00B02879" w:rsidP="002142B7">
      <w:pPr>
        <w:pStyle w:val="Heading3"/>
      </w:pPr>
      <w:bookmarkStart w:id="63" w:name="_Toc289256766"/>
      <w:r>
        <w:t>8.8</w:t>
      </w:r>
      <w:r w:rsidR="0044769A">
        <w:t xml:space="preserve"> </w:t>
      </w:r>
      <w:r w:rsidR="007868B9">
        <w:t>HLWP</w:t>
      </w:r>
      <w:r w:rsidR="0044769A">
        <w:t xml:space="preserve"> </w:t>
      </w:r>
      <w:r w:rsidR="002142B7" w:rsidRPr="002142B7">
        <w:t>Responsive – owned by communities, shaped to meet their needs</w:t>
      </w:r>
      <w:bookmarkEnd w:id="63"/>
      <w:r w:rsidR="002142B7">
        <w:t xml:space="preserve"> </w:t>
      </w:r>
    </w:p>
    <w:p w:rsidR="002142B7" w:rsidRDefault="002142B7" w:rsidP="002142B7"/>
    <w:p w:rsidR="001B0930" w:rsidRPr="003421D7" w:rsidRDefault="001B0930" w:rsidP="00010BF5">
      <w:pPr>
        <w:pStyle w:val="Default"/>
        <w:ind w:left="720"/>
        <w:jc w:val="both"/>
        <w:rPr>
          <w:rFonts w:asciiTheme="minorHAnsi" w:hAnsiTheme="minorHAnsi" w:cstheme="minorHAnsi"/>
        </w:rPr>
      </w:pPr>
      <w:r w:rsidRPr="00A42D2C">
        <w:rPr>
          <w:rFonts w:asciiTheme="minorHAnsi" w:hAnsiTheme="minorHAnsi" w:cstheme="minorHAnsi"/>
          <w:b/>
          <w:bCs/>
        </w:rPr>
        <w:t xml:space="preserve">Businesses must take more responsibility for the impact of their practices on people’s health and wellbeing. </w:t>
      </w:r>
      <w:r w:rsidRPr="00A42D2C">
        <w:rPr>
          <w:rFonts w:asciiTheme="minorHAnsi" w:hAnsiTheme="minorHAnsi" w:cstheme="minorHAnsi"/>
        </w:rPr>
        <w:t>The Government will work collaboratively with business and the voluntary sector through a new Responsib</w:t>
      </w:r>
      <w:r w:rsidR="00A42D2C" w:rsidRPr="00A42D2C">
        <w:rPr>
          <w:rFonts w:asciiTheme="minorHAnsi" w:hAnsiTheme="minorHAnsi" w:cstheme="minorHAnsi"/>
        </w:rPr>
        <w:t>ility Deal</w:t>
      </w:r>
      <w:r w:rsidRPr="00A42D2C">
        <w:rPr>
          <w:rFonts w:asciiTheme="minorHAnsi" w:hAnsiTheme="minorHAnsi" w:cstheme="minorHAnsi"/>
        </w:rPr>
        <w:t xml:space="preserve"> (</w:t>
      </w:r>
      <w:r w:rsidRPr="003421D7">
        <w:rPr>
          <w:rFonts w:asciiTheme="minorHAnsi" w:hAnsiTheme="minorHAnsi" w:cstheme="minorHAnsi"/>
        </w:rPr>
        <w:t xml:space="preserve">HLWP, original emphases, p.25). </w:t>
      </w:r>
    </w:p>
    <w:p w:rsidR="001B0930" w:rsidRPr="003421D7" w:rsidRDefault="001B0930" w:rsidP="00010BF5">
      <w:pPr>
        <w:pStyle w:val="Default"/>
        <w:jc w:val="both"/>
        <w:rPr>
          <w:rFonts w:asciiTheme="minorHAnsi" w:hAnsiTheme="minorHAnsi" w:cstheme="minorHAnsi"/>
        </w:rPr>
      </w:pPr>
    </w:p>
    <w:p w:rsidR="003421D7" w:rsidRDefault="001B0930" w:rsidP="00010BF5">
      <w:pPr>
        <w:pStyle w:val="Default"/>
        <w:jc w:val="both"/>
        <w:rPr>
          <w:rFonts w:asciiTheme="minorHAnsi" w:hAnsiTheme="minorHAnsi" w:cstheme="minorHAnsi"/>
        </w:rPr>
      </w:pPr>
      <w:r w:rsidRPr="003421D7">
        <w:rPr>
          <w:rFonts w:asciiTheme="minorHAnsi" w:hAnsiTheme="minorHAnsi" w:cstheme="minorHAnsi"/>
        </w:rPr>
        <w:t xml:space="preserve">One implication of this imperative would be to set up a series of workshops and interventions nationally to promote corporate responsibility with respect to health promotion and avoidance of harmful activities. This would need to be linked to a coherent PHE strategy of encouraging private sector stakeholders to engage with a business ethics agenda. </w:t>
      </w:r>
    </w:p>
    <w:p w:rsidR="003421D7" w:rsidRDefault="003421D7" w:rsidP="00010BF5">
      <w:pPr>
        <w:pStyle w:val="Default"/>
        <w:jc w:val="both"/>
        <w:rPr>
          <w:rFonts w:asciiTheme="minorHAnsi" w:hAnsiTheme="minorHAnsi" w:cstheme="minorHAnsi"/>
        </w:rPr>
      </w:pPr>
    </w:p>
    <w:p w:rsidR="001B0930" w:rsidRPr="003421D7" w:rsidRDefault="001B0930" w:rsidP="00010BF5">
      <w:pPr>
        <w:pStyle w:val="Default"/>
        <w:jc w:val="both"/>
        <w:rPr>
          <w:rFonts w:asciiTheme="minorHAnsi" w:hAnsiTheme="minorHAnsi" w:cstheme="minorHAnsi"/>
        </w:rPr>
      </w:pPr>
      <w:r w:rsidRPr="003421D7">
        <w:rPr>
          <w:rFonts w:asciiTheme="minorHAnsi" w:hAnsiTheme="minorHAnsi" w:cstheme="minorHAnsi"/>
        </w:rPr>
        <w:t xml:space="preserve">Related to this point is the aspiration to provide employers with the opportunity, </w:t>
      </w:r>
      <w:r w:rsidR="00A42D2C">
        <w:rPr>
          <w:rFonts w:asciiTheme="minorHAnsi" w:hAnsiTheme="minorHAnsi" w:cstheme="minorHAnsi"/>
        </w:rPr>
        <w:t>‘</w:t>
      </w:r>
      <w:r w:rsidRPr="003421D7">
        <w:rPr>
          <w:rFonts w:asciiTheme="minorHAnsi" w:hAnsiTheme="minorHAnsi" w:cstheme="minorHAnsi"/>
        </w:rPr>
        <w:t>to improve health outcomes in areas from obesity to smoking, substance misuse and physical activity in their employees, employees’ families and wider local communities... through establishing a strong cultural lead, strengthening management training in recognising and responding to the health needs of the workforce, and working more closely with others, particularly occupational health and primary care</w:t>
      </w:r>
      <w:r w:rsidR="00A42D2C">
        <w:rPr>
          <w:rFonts w:asciiTheme="minorHAnsi" w:hAnsiTheme="minorHAnsi" w:cstheme="minorHAnsi"/>
        </w:rPr>
        <w:t>’</w:t>
      </w:r>
      <w:r w:rsidRPr="003421D7">
        <w:rPr>
          <w:rFonts w:asciiTheme="minorHAnsi" w:hAnsiTheme="minorHAnsi" w:cstheme="minorHAnsi"/>
        </w:rPr>
        <w:t xml:space="preserve"> (HLWP, p.46). Employers will need assistance with putting in place a development framework to pursue and promote this agenda.</w:t>
      </w:r>
    </w:p>
    <w:p w:rsidR="001B0930" w:rsidRPr="003421D7" w:rsidRDefault="001B0930" w:rsidP="00010BF5">
      <w:pPr>
        <w:jc w:val="both"/>
        <w:rPr>
          <w:rFonts w:asciiTheme="minorHAnsi" w:hAnsiTheme="minorHAnsi" w:cstheme="minorHAnsi"/>
        </w:rPr>
      </w:pPr>
    </w:p>
    <w:p w:rsidR="002142B7" w:rsidRPr="003421D7" w:rsidRDefault="002142B7" w:rsidP="00010BF5">
      <w:pPr>
        <w:jc w:val="both"/>
        <w:rPr>
          <w:rFonts w:asciiTheme="minorHAnsi" w:hAnsiTheme="minorHAnsi" w:cstheme="minorHAnsi"/>
        </w:rPr>
      </w:pPr>
    </w:p>
    <w:p w:rsidR="00FE2ABA" w:rsidRPr="00F3562E" w:rsidRDefault="00B02879" w:rsidP="0044769A">
      <w:pPr>
        <w:pStyle w:val="Heading1"/>
      </w:pPr>
      <w:bookmarkStart w:id="64" w:name="_Toc289256767"/>
      <w:r>
        <w:t>9</w:t>
      </w:r>
      <w:r w:rsidR="0044769A">
        <w:t>.  Effective Partnership Working:  The Importance of Outcomes</w:t>
      </w:r>
      <w:bookmarkEnd w:id="64"/>
      <w:r w:rsidR="0044769A">
        <w:t xml:space="preserve"> </w:t>
      </w:r>
    </w:p>
    <w:p w:rsidR="0044769A" w:rsidRDefault="0044769A" w:rsidP="00FE2ABA">
      <w:pPr>
        <w:jc w:val="center"/>
        <w:rPr>
          <w:rFonts w:asciiTheme="minorHAnsi" w:hAnsiTheme="minorHAnsi" w:cstheme="minorHAnsi"/>
          <w:i/>
          <w:sz w:val="22"/>
          <w:szCs w:val="22"/>
        </w:rPr>
      </w:pPr>
    </w:p>
    <w:p w:rsidR="00FE2ABA" w:rsidRPr="00F3562E" w:rsidRDefault="00FE2ABA" w:rsidP="00A42D2C">
      <w:pPr>
        <w:jc w:val="center"/>
        <w:rPr>
          <w:rFonts w:asciiTheme="minorHAnsi" w:hAnsiTheme="minorHAnsi" w:cstheme="minorHAnsi"/>
          <w:i/>
          <w:sz w:val="22"/>
          <w:szCs w:val="22"/>
        </w:rPr>
      </w:pPr>
      <w:r w:rsidRPr="00F3562E">
        <w:rPr>
          <w:rFonts w:asciiTheme="minorHAnsi" w:hAnsiTheme="minorHAnsi" w:cstheme="minorHAnsi"/>
          <w:i/>
          <w:sz w:val="22"/>
          <w:szCs w:val="22"/>
        </w:rPr>
        <w:t xml:space="preserve">Not everything that can be counted counts, and not everything that counts can be counted – </w:t>
      </w:r>
      <w:r w:rsidRPr="00A42D2C">
        <w:rPr>
          <w:rFonts w:asciiTheme="minorHAnsi" w:hAnsiTheme="minorHAnsi" w:cstheme="minorHAnsi"/>
          <w:sz w:val="22"/>
          <w:szCs w:val="22"/>
        </w:rPr>
        <w:t>Albert Einstein</w:t>
      </w:r>
    </w:p>
    <w:p w:rsidR="00FE2ABA" w:rsidRDefault="00FE2ABA" w:rsidP="00FE2ABA">
      <w:pPr>
        <w:jc w:val="center"/>
        <w:rPr>
          <w:rFonts w:asciiTheme="minorHAnsi" w:hAnsiTheme="minorHAnsi" w:cstheme="minorHAnsi"/>
          <w:i/>
          <w:sz w:val="22"/>
          <w:szCs w:val="22"/>
        </w:rPr>
      </w:pPr>
    </w:p>
    <w:p w:rsidR="00CE72FA" w:rsidRDefault="00B02879" w:rsidP="00CE72FA">
      <w:pPr>
        <w:pStyle w:val="Heading3"/>
      </w:pPr>
      <w:bookmarkStart w:id="65" w:name="_Toc289256768"/>
      <w:r>
        <w:t>9</w:t>
      </w:r>
      <w:r w:rsidR="00CE72FA">
        <w:t>.</w:t>
      </w:r>
      <w:r w:rsidR="007736E4">
        <w:t>1</w:t>
      </w:r>
      <w:r w:rsidR="00695533">
        <w:t xml:space="preserve">   Evaluation of i</w:t>
      </w:r>
      <w:r w:rsidR="00CE72FA">
        <w:t xml:space="preserve">nterventions </w:t>
      </w:r>
      <w:r w:rsidR="00695533" w:rsidRPr="008B4E09">
        <w:t>h</w:t>
      </w:r>
      <w:r w:rsidR="00CE72FA" w:rsidRPr="008B4E09">
        <w:t>ierarchy</w:t>
      </w:r>
      <w:bookmarkEnd w:id="65"/>
    </w:p>
    <w:p w:rsidR="007A4941" w:rsidRDefault="007A4941" w:rsidP="00FE2ABA">
      <w:pPr>
        <w:jc w:val="both"/>
        <w:rPr>
          <w:rFonts w:asciiTheme="minorHAnsi" w:hAnsiTheme="minorHAnsi" w:cstheme="minorHAnsi"/>
        </w:rPr>
      </w:pPr>
    </w:p>
    <w:p w:rsidR="00FE2ABA" w:rsidRPr="007736E4" w:rsidRDefault="00FE2ABA" w:rsidP="00FE2ABA">
      <w:pPr>
        <w:jc w:val="both"/>
        <w:rPr>
          <w:rFonts w:asciiTheme="minorHAnsi" w:hAnsiTheme="minorHAnsi" w:cstheme="minorHAnsi"/>
        </w:rPr>
      </w:pPr>
      <w:r w:rsidRPr="007736E4">
        <w:rPr>
          <w:rFonts w:asciiTheme="minorHAnsi" w:hAnsiTheme="minorHAnsi" w:cstheme="minorHAnsi"/>
        </w:rPr>
        <w:t>The following material has been drawn from one of the few papers that specifically focuses on the evaluation of the effectiveness of social marketing interventions</w:t>
      </w:r>
      <w:r w:rsidR="007A4941">
        <w:rPr>
          <w:rFonts w:asciiTheme="minorHAnsi" w:hAnsiTheme="minorHAnsi" w:cstheme="minorHAnsi"/>
        </w:rPr>
        <w:t>.</w:t>
      </w:r>
      <w:r w:rsidRPr="007736E4">
        <w:rPr>
          <w:rStyle w:val="EndnoteReference"/>
          <w:rFonts w:asciiTheme="minorHAnsi" w:hAnsiTheme="minorHAnsi" w:cstheme="minorHAnsi"/>
        </w:rPr>
        <w:endnoteReference w:id="226"/>
      </w:r>
      <w:r w:rsidRPr="007736E4">
        <w:rPr>
          <w:rFonts w:asciiTheme="minorHAnsi" w:hAnsiTheme="minorHAnsi" w:cstheme="minorHAnsi"/>
        </w:rPr>
        <w:t xml:space="preserve">  </w:t>
      </w:r>
      <w:r w:rsidR="00CE72FA" w:rsidRPr="007736E4">
        <w:rPr>
          <w:rFonts w:asciiTheme="minorHAnsi" w:hAnsiTheme="minorHAnsi" w:cstheme="minorHAnsi"/>
        </w:rPr>
        <w:t>Figure 15</w:t>
      </w:r>
      <w:r w:rsidRPr="007736E4">
        <w:rPr>
          <w:rFonts w:asciiTheme="minorHAnsi" w:hAnsiTheme="minorHAnsi" w:cstheme="minorHAnsi"/>
        </w:rPr>
        <w:t xml:space="preserve"> shows a hierarchy of effects, progressing from awareness through to, ultimately, an improvement in overall societal or environmental wellbeing.  </w:t>
      </w:r>
    </w:p>
    <w:p w:rsidR="00FE2ABA" w:rsidRPr="007736E4" w:rsidRDefault="00FE2ABA" w:rsidP="00FE2ABA">
      <w:pPr>
        <w:jc w:val="both"/>
        <w:rPr>
          <w:rFonts w:asciiTheme="minorHAnsi" w:hAnsiTheme="minorHAnsi" w:cstheme="minorHAnsi"/>
        </w:rPr>
      </w:pPr>
    </w:p>
    <w:p w:rsidR="00FE2ABA" w:rsidRPr="007736E4" w:rsidRDefault="00FE2ABA" w:rsidP="00FE2ABA">
      <w:pPr>
        <w:jc w:val="both"/>
        <w:rPr>
          <w:rFonts w:asciiTheme="minorHAnsi" w:hAnsiTheme="minorHAnsi" w:cstheme="minorHAnsi"/>
        </w:rPr>
      </w:pPr>
      <w:r w:rsidRPr="007736E4">
        <w:rPr>
          <w:rFonts w:asciiTheme="minorHAnsi" w:hAnsiTheme="minorHAnsi" w:cstheme="minorHAnsi"/>
        </w:rPr>
        <w:t>Given the lengthy time period between adoption of behaviours and potential impact on health issues, such as in the case of obesity-related illnesses, skin cancer etc, wellbeing may be something to aspire to, but more pragmatic interim measures may be needed.  Focus, particularly at the local community level, is likely to be on the three lower levels in the initial stages of an intervention.  Changes in social norms may occur over time, as they appear to be doing in relation to tobacco products, but it will be many years before any impact in other areas such as skin cancer rates can be determined.</w:t>
      </w:r>
    </w:p>
    <w:p w:rsidR="00A541D4" w:rsidRPr="007A4941" w:rsidRDefault="00A541D4">
      <w:pPr>
        <w:rPr>
          <w:rFonts w:asciiTheme="minorHAnsi" w:hAnsiTheme="minorHAnsi" w:cstheme="minorHAnsi"/>
          <w:i/>
        </w:rPr>
      </w:pPr>
    </w:p>
    <w:p w:rsidR="00FE2ABA" w:rsidRPr="007A4941" w:rsidRDefault="00FE2ABA" w:rsidP="00FE2ABA">
      <w:pPr>
        <w:rPr>
          <w:rFonts w:asciiTheme="minorHAnsi" w:hAnsiTheme="minorHAnsi" w:cstheme="minorHAnsi"/>
          <w:b/>
        </w:rPr>
      </w:pPr>
      <w:r w:rsidRPr="007A4941">
        <w:rPr>
          <w:rFonts w:asciiTheme="minorHAnsi" w:hAnsiTheme="minorHAnsi" w:cstheme="minorHAnsi"/>
          <w:b/>
        </w:rPr>
        <w:t xml:space="preserve">Figure </w:t>
      </w:r>
      <w:r w:rsidR="00AB5895" w:rsidRPr="007A4941">
        <w:rPr>
          <w:rFonts w:asciiTheme="minorHAnsi" w:hAnsiTheme="minorHAnsi" w:cstheme="minorHAnsi"/>
          <w:b/>
        </w:rPr>
        <w:t>1</w:t>
      </w:r>
      <w:r w:rsidR="00CE72FA" w:rsidRPr="007A4941">
        <w:rPr>
          <w:rFonts w:asciiTheme="minorHAnsi" w:hAnsiTheme="minorHAnsi" w:cstheme="minorHAnsi"/>
          <w:b/>
        </w:rPr>
        <w:t>5</w:t>
      </w:r>
      <w:r w:rsidRPr="007A4941">
        <w:rPr>
          <w:rFonts w:asciiTheme="minorHAnsi" w:hAnsiTheme="minorHAnsi" w:cstheme="minorHAnsi"/>
          <w:b/>
        </w:rPr>
        <w:t>:  Levels of Social Marketing Effectiveness</w:t>
      </w:r>
    </w:p>
    <w:p w:rsidR="00FE2ABA" w:rsidRPr="00F3562E" w:rsidRDefault="00002B71" w:rsidP="00FE2ABA">
      <w:pPr>
        <w:rPr>
          <w:rFonts w:asciiTheme="minorHAnsi" w:hAnsiTheme="minorHAnsi" w:cstheme="minorHAnsi"/>
          <w:i/>
          <w:sz w:val="22"/>
          <w:szCs w:val="22"/>
        </w:rPr>
      </w:pPr>
      <w:r>
        <w:rPr>
          <w:rFonts w:asciiTheme="minorHAnsi" w:hAnsiTheme="minorHAnsi" w:cstheme="minorHAnsi"/>
          <w:i/>
          <w:noProof/>
          <w:sz w:val="22"/>
          <w:szCs w:val="22"/>
        </w:rPr>
        <w:pict>
          <v:group id="_x0000_s1026" editas="canvas" style="position:absolute;margin-left:27pt;margin-top:3.6pt;width:414pt;height:273.85pt;z-index:251660288;mso-position-horizontal-relative:char;mso-position-vertical-relative:line" coordorigin="2047,1792" coordsize="7200,4348">
            <o:lock v:ext="edit" aspectratio="t"/>
            <v:shape id="_x0000_s1027" type="#_x0000_t75" style="position:absolute;left:2047;top:1792;width:7200;height:4348" o:preferrelative="f">
              <v:fill o:detectmouseclick="t"/>
              <v:path o:extrusionok="t" o:connecttype="none"/>
            </v:shape>
            <v:shape id="_x0000_s1028" type="#_x0000_t202" style="position:absolute;left:2517;top:1802;width:5477;height:648">
              <v:textbox style="mso-next-textbox:#_x0000_s1028">
                <w:txbxContent>
                  <w:p w:rsidR="002B3E5E" w:rsidRDefault="002B3E5E" w:rsidP="00A129C7">
                    <w:pPr>
                      <w:shd w:val="clear" w:color="auto" w:fill="FFFF99"/>
                      <w:autoSpaceDE w:val="0"/>
                      <w:autoSpaceDN w:val="0"/>
                      <w:adjustRightInd w:val="0"/>
                      <w:jc w:val="center"/>
                      <w:rPr>
                        <w:b/>
                        <w:bCs/>
                        <w:color w:val="000000"/>
                      </w:rPr>
                    </w:pPr>
                    <w:r>
                      <w:rPr>
                        <w:b/>
                        <w:bCs/>
                        <w:color w:val="000000"/>
                      </w:rPr>
                      <w:t>Wellbeing</w:t>
                    </w:r>
                  </w:p>
                  <w:p w:rsidR="002B3E5E" w:rsidRPr="00C41BD5" w:rsidRDefault="002B3E5E" w:rsidP="00A129C7">
                    <w:pPr>
                      <w:shd w:val="clear" w:color="auto" w:fill="FFFF99"/>
                      <w:autoSpaceDE w:val="0"/>
                      <w:autoSpaceDN w:val="0"/>
                      <w:adjustRightInd w:val="0"/>
                      <w:jc w:val="center"/>
                      <w:rPr>
                        <w:color w:val="000000"/>
                        <w:sz w:val="20"/>
                        <w:szCs w:val="20"/>
                      </w:rPr>
                    </w:pPr>
                    <w:r w:rsidRPr="00C41BD5">
                      <w:rPr>
                        <w:color w:val="000000"/>
                        <w:sz w:val="20"/>
                        <w:szCs w:val="20"/>
                      </w:rPr>
                      <w:t>(Improvement in social and environmental outcomes)</w:t>
                    </w:r>
                  </w:p>
                  <w:p w:rsidR="002B3E5E" w:rsidRDefault="002B3E5E" w:rsidP="00A129C7">
                    <w:pPr>
                      <w:shd w:val="clear" w:color="auto" w:fill="FFFF99"/>
                      <w:autoSpaceDE w:val="0"/>
                      <w:autoSpaceDN w:val="0"/>
                      <w:adjustRightInd w:val="0"/>
                      <w:rPr>
                        <w:rFonts w:ascii="Arial" w:hAnsi="Arial" w:cs="Arial"/>
                        <w:color w:val="000000"/>
                      </w:rPr>
                    </w:pPr>
                  </w:p>
                </w:txbxContent>
              </v:textbox>
            </v:shape>
            <v:shape id="_x0000_s1029" type="#_x0000_t202" style="position:absolute;left:2517;top:2802;width:5476;height:623">
              <v:textbox style="mso-next-textbox:#_x0000_s1029">
                <w:txbxContent>
                  <w:p w:rsidR="002B3E5E" w:rsidRDefault="002B3E5E" w:rsidP="00A129C7">
                    <w:pPr>
                      <w:shd w:val="clear" w:color="auto" w:fill="CCECFF"/>
                      <w:autoSpaceDE w:val="0"/>
                      <w:autoSpaceDN w:val="0"/>
                      <w:adjustRightInd w:val="0"/>
                      <w:jc w:val="center"/>
                      <w:rPr>
                        <w:b/>
                        <w:bCs/>
                        <w:color w:val="000000"/>
                      </w:rPr>
                    </w:pPr>
                    <w:r>
                      <w:rPr>
                        <w:b/>
                        <w:bCs/>
                        <w:color w:val="000000"/>
                      </w:rPr>
                      <w:t>Social norm</w:t>
                    </w:r>
                  </w:p>
                  <w:p w:rsidR="002B3E5E" w:rsidRDefault="002B3E5E" w:rsidP="00A129C7">
                    <w:pPr>
                      <w:shd w:val="clear" w:color="auto" w:fill="CCECFF"/>
                      <w:autoSpaceDE w:val="0"/>
                      <w:autoSpaceDN w:val="0"/>
                      <w:adjustRightInd w:val="0"/>
                      <w:jc w:val="center"/>
                      <w:rPr>
                        <w:rFonts w:ascii="Arial" w:hAnsi="Arial" w:cs="Arial"/>
                        <w:color w:val="000000"/>
                      </w:rPr>
                    </w:pPr>
                    <w:r>
                      <w:rPr>
                        <w:color w:val="000000"/>
                      </w:rPr>
                      <w:t>(Wide spread and sustained change in individual behaviour)</w:t>
                    </w:r>
                  </w:p>
                </w:txbxContent>
              </v:textbox>
            </v:shape>
            <v:shape id="_x0000_s1030" type="#_x0000_t202" style="position:absolute;left:2517;top:3712;width:5477;height:519">
              <v:textbox style="mso-next-textbox:#_x0000_s1030">
                <w:txbxContent>
                  <w:p w:rsidR="002B3E5E" w:rsidRDefault="002B3E5E" w:rsidP="00A129C7">
                    <w:pPr>
                      <w:shd w:val="clear" w:color="auto" w:fill="FFCC99"/>
                      <w:autoSpaceDE w:val="0"/>
                      <w:autoSpaceDN w:val="0"/>
                      <w:adjustRightInd w:val="0"/>
                      <w:jc w:val="center"/>
                      <w:rPr>
                        <w:color w:val="000000"/>
                      </w:rPr>
                    </w:pPr>
                    <w:r>
                      <w:rPr>
                        <w:b/>
                        <w:bCs/>
                        <w:color w:val="000000"/>
                      </w:rPr>
                      <w:t>Behaviour</w:t>
                    </w:r>
                  </w:p>
                  <w:p w:rsidR="002B3E5E" w:rsidRDefault="002B3E5E" w:rsidP="00A129C7">
                    <w:pPr>
                      <w:shd w:val="clear" w:color="auto" w:fill="FFCC99"/>
                      <w:autoSpaceDE w:val="0"/>
                      <w:autoSpaceDN w:val="0"/>
                      <w:adjustRightInd w:val="0"/>
                      <w:jc w:val="center"/>
                      <w:rPr>
                        <w:color w:val="000000"/>
                      </w:rPr>
                    </w:pPr>
                    <w:r>
                      <w:rPr>
                        <w:color w:val="000000"/>
                      </w:rPr>
                      <w:t>(Change in desired behaviour)</w:t>
                    </w:r>
                  </w:p>
                  <w:p w:rsidR="002B3E5E" w:rsidRDefault="002B3E5E" w:rsidP="00FE2ABA">
                    <w:pPr>
                      <w:autoSpaceDE w:val="0"/>
                      <w:autoSpaceDN w:val="0"/>
                      <w:adjustRightInd w:val="0"/>
                      <w:rPr>
                        <w:rFonts w:ascii="Arial" w:hAnsi="Arial" w:cs="Arial"/>
                        <w:color w:val="000000"/>
                      </w:rPr>
                    </w:pPr>
                  </w:p>
                </w:txbxContent>
              </v:textbox>
            </v:shape>
            <v:shape id="_x0000_s1031" type="#_x0000_t202" style="position:absolute;left:2517;top:4659;width:5476;height:572">
              <v:textbox style="mso-next-textbox:#_x0000_s1031">
                <w:txbxContent>
                  <w:p w:rsidR="002B3E5E" w:rsidRDefault="002B3E5E" w:rsidP="00A129C7">
                    <w:pPr>
                      <w:shd w:val="clear" w:color="auto" w:fill="CCFFCC"/>
                      <w:autoSpaceDE w:val="0"/>
                      <w:autoSpaceDN w:val="0"/>
                      <w:adjustRightInd w:val="0"/>
                      <w:jc w:val="center"/>
                      <w:rPr>
                        <w:b/>
                        <w:bCs/>
                        <w:color w:val="000000"/>
                      </w:rPr>
                    </w:pPr>
                    <w:r>
                      <w:rPr>
                        <w:b/>
                        <w:bCs/>
                        <w:color w:val="000000"/>
                      </w:rPr>
                      <w:t>Engagement</w:t>
                    </w:r>
                  </w:p>
                  <w:p w:rsidR="002B3E5E" w:rsidRDefault="002B3E5E" w:rsidP="00A129C7">
                    <w:pPr>
                      <w:shd w:val="clear" w:color="auto" w:fill="CCFFCC"/>
                      <w:autoSpaceDE w:val="0"/>
                      <w:autoSpaceDN w:val="0"/>
                      <w:adjustRightInd w:val="0"/>
                      <w:jc w:val="center"/>
                      <w:rPr>
                        <w:rFonts w:ascii="Arial" w:hAnsi="Arial" w:cs="Arial"/>
                        <w:color w:val="000000"/>
                      </w:rPr>
                    </w:pPr>
                    <w:r>
                      <w:rPr>
                        <w:color w:val="000000"/>
                      </w:rPr>
                      <w:t>(Connection with the concepts)</w:t>
                    </w:r>
                  </w:p>
                </w:txbxContent>
              </v:textbox>
            </v:shape>
            <v:shape id="_x0000_s1032" type="#_x0000_t202" style="position:absolute;left:2517;top:5517;width:5476;height:623">
              <v:textbox style="mso-next-textbox:#_x0000_s1032">
                <w:txbxContent>
                  <w:p w:rsidR="002B3E5E" w:rsidRDefault="002B3E5E" w:rsidP="00A129C7">
                    <w:pPr>
                      <w:shd w:val="clear" w:color="auto" w:fill="FFCCFF"/>
                      <w:autoSpaceDE w:val="0"/>
                      <w:autoSpaceDN w:val="0"/>
                      <w:adjustRightInd w:val="0"/>
                      <w:jc w:val="center"/>
                      <w:rPr>
                        <w:color w:val="000000"/>
                      </w:rPr>
                    </w:pPr>
                    <w:r>
                      <w:rPr>
                        <w:b/>
                        <w:bCs/>
                        <w:color w:val="000000"/>
                      </w:rPr>
                      <w:t>Awareness</w:t>
                    </w:r>
                  </w:p>
                  <w:p w:rsidR="002B3E5E" w:rsidRDefault="002B3E5E" w:rsidP="00A129C7">
                    <w:pPr>
                      <w:shd w:val="clear" w:color="auto" w:fill="FFCCFF"/>
                      <w:autoSpaceDE w:val="0"/>
                      <w:autoSpaceDN w:val="0"/>
                      <w:adjustRightInd w:val="0"/>
                      <w:jc w:val="center"/>
                      <w:rPr>
                        <w:rFonts w:ascii="Arial" w:hAnsi="Arial" w:cs="Arial"/>
                        <w:color w:val="000000"/>
                      </w:rPr>
                    </w:pPr>
                    <w:r>
                      <w:rPr>
                        <w:color w:val="000000"/>
                      </w:rPr>
                      <w:t>(Awareness of the concept)</w:t>
                    </w:r>
                  </w:p>
                </w:txbxContent>
              </v:textbox>
            </v:shape>
            <v:line id="_x0000_s1033" style="position:absolute;flip:y" from="5177,5231" to="5178,5551">
              <v:stroke endarrow="block"/>
            </v:line>
            <v:line id="_x0000_s1034" style="position:absolute;flip:y" from="5177,3392" to="5178,3712">
              <v:stroke endarrow="block"/>
            </v:line>
            <v:line id="_x0000_s1035" style="position:absolute;flip:y" from="5177,2516" to="5178,2836">
              <v:stroke endarrow="block"/>
            </v:line>
            <v:line id="_x0000_s1036" style="position:absolute;flip:y" from="5177,4231" to="5178,4551">
              <v:stroke endarrow="block"/>
            </v:line>
          </v:group>
        </w:pict>
      </w:r>
    </w:p>
    <w:p w:rsidR="00FE2ABA" w:rsidRPr="00F3562E" w:rsidRDefault="00FE2ABA" w:rsidP="00FE2ABA">
      <w:pPr>
        <w:rPr>
          <w:rFonts w:asciiTheme="minorHAnsi" w:hAnsiTheme="minorHAnsi" w:cstheme="minorHAnsi"/>
          <w:b/>
          <w:i/>
          <w:sz w:val="22"/>
          <w:szCs w:val="22"/>
        </w:rPr>
      </w:pPr>
    </w:p>
    <w:p w:rsidR="00FE2ABA" w:rsidRPr="00F3562E" w:rsidRDefault="00FE2ABA" w:rsidP="00FE2ABA">
      <w:pPr>
        <w:rPr>
          <w:rFonts w:asciiTheme="minorHAnsi" w:hAnsiTheme="minorHAnsi" w:cstheme="minorHAnsi"/>
          <w:b/>
          <w:i/>
          <w:sz w:val="22"/>
          <w:szCs w:val="22"/>
        </w:rPr>
      </w:pPr>
    </w:p>
    <w:p w:rsidR="00FE2ABA" w:rsidRPr="00F3562E" w:rsidRDefault="00FE2ABA" w:rsidP="00FE2ABA">
      <w:pPr>
        <w:rPr>
          <w:rFonts w:asciiTheme="minorHAnsi" w:hAnsiTheme="minorHAnsi" w:cstheme="minorHAnsi"/>
          <w:b/>
          <w:i/>
          <w:sz w:val="22"/>
          <w:szCs w:val="22"/>
        </w:rPr>
      </w:pPr>
    </w:p>
    <w:p w:rsidR="00FE2ABA" w:rsidRPr="00F3562E" w:rsidRDefault="00FE2ABA" w:rsidP="00FE2ABA">
      <w:pPr>
        <w:rPr>
          <w:rFonts w:asciiTheme="minorHAnsi" w:hAnsiTheme="minorHAnsi" w:cstheme="minorHAnsi"/>
          <w:b/>
          <w:i/>
          <w:sz w:val="22"/>
          <w:szCs w:val="22"/>
        </w:rPr>
      </w:pPr>
    </w:p>
    <w:p w:rsidR="00FE2ABA" w:rsidRPr="00F3562E" w:rsidRDefault="00FE2ABA" w:rsidP="00FE2ABA">
      <w:pPr>
        <w:rPr>
          <w:rFonts w:asciiTheme="minorHAnsi" w:hAnsiTheme="minorHAnsi" w:cstheme="minorHAnsi"/>
          <w:b/>
          <w:i/>
          <w:sz w:val="22"/>
          <w:szCs w:val="22"/>
        </w:rPr>
      </w:pPr>
    </w:p>
    <w:p w:rsidR="00FE2ABA" w:rsidRPr="00F3562E" w:rsidRDefault="00FE2ABA" w:rsidP="00FE2ABA">
      <w:pPr>
        <w:rPr>
          <w:rFonts w:asciiTheme="minorHAnsi" w:hAnsiTheme="minorHAnsi" w:cstheme="minorHAnsi"/>
          <w:b/>
          <w:i/>
          <w:sz w:val="22"/>
          <w:szCs w:val="22"/>
        </w:rPr>
      </w:pPr>
    </w:p>
    <w:p w:rsidR="00FE2ABA" w:rsidRPr="00F3562E" w:rsidRDefault="00FE2ABA" w:rsidP="00FE2ABA">
      <w:pPr>
        <w:rPr>
          <w:rFonts w:asciiTheme="minorHAnsi" w:hAnsiTheme="minorHAnsi" w:cstheme="minorHAnsi"/>
          <w:b/>
          <w:i/>
          <w:sz w:val="22"/>
          <w:szCs w:val="22"/>
        </w:rPr>
      </w:pPr>
    </w:p>
    <w:p w:rsidR="00FE2ABA" w:rsidRPr="00F3562E" w:rsidRDefault="00FE2ABA" w:rsidP="00FE2ABA">
      <w:pPr>
        <w:rPr>
          <w:rFonts w:asciiTheme="minorHAnsi" w:hAnsiTheme="minorHAnsi" w:cstheme="minorHAnsi"/>
          <w:b/>
          <w:i/>
          <w:sz w:val="22"/>
          <w:szCs w:val="22"/>
        </w:rPr>
      </w:pPr>
    </w:p>
    <w:p w:rsidR="00FE2ABA" w:rsidRPr="00F3562E" w:rsidRDefault="00FE2ABA" w:rsidP="00FE2ABA">
      <w:pPr>
        <w:rPr>
          <w:rFonts w:asciiTheme="minorHAnsi" w:hAnsiTheme="minorHAnsi" w:cstheme="minorHAnsi"/>
          <w:b/>
          <w:i/>
          <w:sz w:val="22"/>
          <w:szCs w:val="22"/>
        </w:rPr>
      </w:pPr>
    </w:p>
    <w:p w:rsidR="00FE2ABA" w:rsidRPr="00F3562E" w:rsidRDefault="00FE2ABA" w:rsidP="00FE2ABA">
      <w:pPr>
        <w:rPr>
          <w:rFonts w:asciiTheme="minorHAnsi" w:hAnsiTheme="minorHAnsi" w:cstheme="minorHAnsi"/>
          <w:b/>
          <w:i/>
          <w:sz w:val="22"/>
          <w:szCs w:val="22"/>
        </w:rPr>
      </w:pPr>
    </w:p>
    <w:p w:rsidR="00FE2ABA" w:rsidRPr="00F3562E" w:rsidRDefault="00FE2ABA" w:rsidP="00FE2ABA">
      <w:pPr>
        <w:rPr>
          <w:rFonts w:asciiTheme="minorHAnsi" w:hAnsiTheme="minorHAnsi" w:cstheme="minorHAnsi"/>
          <w:b/>
          <w:i/>
          <w:sz w:val="22"/>
          <w:szCs w:val="22"/>
        </w:rPr>
      </w:pPr>
    </w:p>
    <w:p w:rsidR="00FE2ABA" w:rsidRPr="00F3562E" w:rsidRDefault="00FE2ABA" w:rsidP="00FE2ABA">
      <w:pPr>
        <w:rPr>
          <w:rFonts w:asciiTheme="minorHAnsi" w:hAnsiTheme="minorHAnsi" w:cstheme="minorHAnsi"/>
          <w:b/>
          <w:i/>
          <w:sz w:val="22"/>
          <w:szCs w:val="22"/>
        </w:rPr>
      </w:pPr>
    </w:p>
    <w:p w:rsidR="00FE2ABA" w:rsidRPr="00F3562E" w:rsidRDefault="00FE2ABA" w:rsidP="00FE2ABA">
      <w:pPr>
        <w:rPr>
          <w:rFonts w:asciiTheme="minorHAnsi" w:hAnsiTheme="minorHAnsi" w:cstheme="minorHAnsi"/>
          <w:b/>
          <w:i/>
          <w:sz w:val="22"/>
          <w:szCs w:val="22"/>
        </w:rPr>
      </w:pPr>
    </w:p>
    <w:p w:rsidR="00FE2ABA" w:rsidRPr="00F3562E" w:rsidRDefault="00FE2ABA" w:rsidP="00FE2ABA">
      <w:pPr>
        <w:rPr>
          <w:rFonts w:asciiTheme="minorHAnsi" w:hAnsiTheme="minorHAnsi" w:cstheme="minorHAnsi"/>
          <w:b/>
          <w:i/>
          <w:sz w:val="22"/>
          <w:szCs w:val="22"/>
        </w:rPr>
      </w:pPr>
    </w:p>
    <w:p w:rsidR="00FE2ABA" w:rsidRPr="00F3562E" w:rsidRDefault="00FE2ABA" w:rsidP="00FE2ABA">
      <w:pPr>
        <w:rPr>
          <w:rFonts w:asciiTheme="minorHAnsi" w:hAnsiTheme="minorHAnsi" w:cstheme="minorHAnsi"/>
          <w:b/>
          <w:i/>
          <w:sz w:val="22"/>
          <w:szCs w:val="22"/>
        </w:rPr>
      </w:pPr>
    </w:p>
    <w:p w:rsidR="00FE2ABA" w:rsidRPr="00F3562E" w:rsidRDefault="00FE2ABA" w:rsidP="00FE2ABA">
      <w:pPr>
        <w:rPr>
          <w:rFonts w:asciiTheme="minorHAnsi" w:hAnsiTheme="minorHAnsi" w:cstheme="minorHAnsi"/>
          <w:i/>
          <w:sz w:val="22"/>
          <w:szCs w:val="22"/>
          <w:lang w:val="en-US"/>
        </w:rPr>
      </w:pPr>
    </w:p>
    <w:p w:rsidR="00FE2ABA" w:rsidRPr="00F3562E" w:rsidRDefault="00FE2ABA" w:rsidP="00FE2ABA">
      <w:pPr>
        <w:rPr>
          <w:rFonts w:asciiTheme="minorHAnsi" w:hAnsiTheme="minorHAnsi" w:cstheme="minorHAnsi"/>
          <w:i/>
          <w:sz w:val="22"/>
          <w:szCs w:val="22"/>
          <w:lang w:val="en-US"/>
        </w:rPr>
      </w:pPr>
    </w:p>
    <w:p w:rsidR="00FE2ABA" w:rsidRPr="00F3562E" w:rsidRDefault="00FE2ABA" w:rsidP="00FE2ABA">
      <w:pPr>
        <w:rPr>
          <w:rFonts w:asciiTheme="minorHAnsi" w:hAnsiTheme="minorHAnsi" w:cstheme="minorHAnsi"/>
          <w:i/>
          <w:sz w:val="22"/>
          <w:szCs w:val="22"/>
          <w:lang w:val="en-US"/>
        </w:rPr>
      </w:pPr>
    </w:p>
    <w:p w:rsidR="00FE2ABA" w:rsidRPr="00F3562E" w:rsidRDefault="00FE2ABA" w:rsidP="00FE2ABA">
      <w:pPr>
        <w:rPr>
          <w:rFonts w:asciiTheme="minorHAnsi" w:hAnsiTheme="minorHAnsi" w:cstheme="minorHAnsi"/>
          <w:i/>
          <w:sz w:val="22"/>
          <w:szCs w:val="22"/>
          <w:lang w:val="en-US"/>
        </w:rPr>
      </w:pPr>
    </w:p>
    <w:p w:rsidR="00FE2ABA" w:rsidRPr="00F3562E" w:rsidRDefault="00FE2ABA" w:rsidP="00FE2ABA">
      <w:pPr>
        <w:rPr>
          <w:rFonts w:asciiTheme="minorHAnsi" w:hAnsiTheme="minorHAnsi" w:cstheme="minorHAnsi"/>
          <w:i/>
          <w:sz w:val="22"/>
          <w:szCs w:val="22"/>
          <w:lang w:val="en-US"/>
        </w:rPr>
      </w:pPr>
    </w:p>
    <w:p w:rsidR="00FE2ABA" w:rsidRPr="00927D61" w:rsidRDefault="00FE2ABA" w:rsidP="00FE2ABA">
      <w:pPr>
        <w:rPr>
          <w:rFonts w:asciiTheme="minorHAnsi" w:hAnsiTheme="minorHAnsi" w:cstheme="minorHAnsi"/>
          <w:sz w:val="22"/>
          <w:szCs w:val="22"/>
          <w:lang w:val="en-US"/>
        </w:rPr>
      </w:pPr>
      <w:r w:rsidRPr="00927D61">
        <w:rPr>
          <w:rFonts w:asciiTheme="minorHAnsi" w:hAnsiTheme="minorHAnsi" w:cstheme="minorHAnsi"/>
          <w:sz w:val="22"/>
          <w:szCs w:val="22"/>
          <w:lang w:val="en-US"/>
        </w:rPr>
        <w:t xml:space="preserve">Figures </w:t>
      </w:r>
      <w:r w:rsidR="00AB5895">
        <w:rPr>
          <w:rFonts w:asciiTheme="minorHAnsi" w:hAnsiTheme="minorHAnsi" w:cstheme="minorHAnsi"/>
          <w:sz w:val="22"/>
          <w:szCs w:val="22"/>
          <w:lang w:val="en-US"/>
        </w:rPr>
        <w:t>1</w:t>
      </w:r>
      <w:r w:rsidR="00CE72FA">
        <w:rPr>
          <w:rFonts w:asciiTheme="minorHAnsi" w:hAnsiTheme="minorHAnsi" w:cstheme="minorHAnsi"/>
          <w:sz w:val="22"/>
          <w:szCs w:val="22"/>
          <w:lang w:val="en-US"/>
        </w:rPr>
        <w:t>6</w:t>
      </w:r>
      <w:r w:rsidRPr="00927D61">
        <w:rPr>
          <w:rFonts w:asciiTheme="minorHAnsi" w:hAnsiTheme="minorHAnsi" w:cstheme="minorHAnsi"/>
          <w:sz w:val="22"/>
          <w:szCs w:val="22"/>
          <w:lang w:val="en-US"/>
        </w:rPr>
        <w:t xml:space="preserve"> and </w:t>
      </w:r>
      <w:r w:rsidR="00AB5895">
        <w:rPr>
          <w:rFonts w:asciiTheme="minorHAnsi" w:hAnsiTheme="minorHAnsi" w:cstheme="minorHAnsi"/>
          <w:sz w:val="22"/>
          <w:szCs w:val="22"/>
          <w:lang w:val="en-US"/>
        </w:rPr>
        <w:t>1</w:t>
      </w:r>
      <w:r w:rsidR="00CE72FA">
        <w:rPr>
          <w:rFonts w:asciiTheme="minorHAnsi" w:hAnsiTheme="minorHAnsi" w:cstheme="minorHAnsi"/>
          <w:sz w:val="22"/>
          <w:szCs w:val="22"/>
          <w:lang w:val="en-US"/>
        </w:rPr>
        <w:t>7</w:t>
      </w:r>
      <w:r w:rsidRPr="00927D61">
        <w:rPr>
          <w:rFonts w:asciiTheme="minorHAnsi" w:hAnsiTheme="minorHAnsi" w:cstheme="minorHAnsi"/>
          <w:sz w:val="22"/>
          <w:szCs w:val="22"/>
          <w:lang w:val="en-US"/>
        </w:rPr>
        <w:t xml:space="preserve"> provide guides to the types of changes that should be sought at each of the preceding levels – and provides a selection of techniques by which these changes can be measured.</w:t>
      </w:r>
    </w:p>
    <w:p w:rsidR="00FE2ABA" w:rsidRPr="00A129C7" w:rsidRDefault="00FE2ABA" w:rsidP="00FE2ABA">
      <w:pPr>
        <w:rPr>
          <w:rFonts w:asciiTheme="minorHAnsi" w:hAnsiTheme="minorHAnsi" w:cstheme="minorHAnsi"/>
          <w:b/>
          <w:sz w:val="22"/>
          <w:szCs w:val="22"/>
          <w:lang w:val="en-US"/>
        </w:rPr>
      </w:pPr>
      <w:r w:rsidRPr="00A129C7">
        <w:rPr>
          <w:rFonts w:asciiTheme="minorHAnsi" w:hAnsiTheme="minorHAnsi" w:cstheme="minorHAnsi"/>
          <w:b/>
          <w:sz w:val="22"/>
          <w:szCs w:val="22"/>
          <w:lang w:val="en-US"/>
        </w:rPr>
        <w:lastRenderedPageBreak/>
        <w:t xml:space="preserve">Figure </w:t>
      </w:r>
      <w:r w:rsidR="00AB5895">
        <w:rPr>
          <w:rFonts w:asciiTheme="minorHAnsi" w:hAnsiTheme="minorHAnsi" w:cstheme="minorHAnsi"/>
          <w:b/>
          <w:sz w:val="22"/>
          <w:szCs w:val="22"/>
          <w:lang w:val="en-US"/>
        </w:rPr>
        <w:t>1</w:t>
      </w:r>
      <w:r w:rsidR="00CE72FA">
        <w:rPr>
          <w:rFonts w:asciiTheme="minorHAnsi" w:hAnsiTheme="minorHAnsi" w:cstheme="minorHAnsi"/>
          <w:b/>
          <w:sz w:val="22"/>
          <w:szCs w:val="22"/>
          <w:lang w:val="en-US"/>
        </w:rPr>
        <w:t>6</w:t>
      </w:r>
      <w:r w:rsidRPr="00A129C7">
        <w:rPr>
          <w:rFonts w:asciiTheme="minorHAnsi" w:hAnsiTheme="minorHAnsi" w:cstheme="minorHAnsi"/>
          <w:b/>
          <w:sz w:val="22"/>
          <w:szCs w:val="22"/>
          <w:lang w:val="en-US"/>
        </w:rPr>
        <w:t>:  Changes Sought at Each Level of Effectiveness</w:t>
      </w:r>
    </w:p>
    <w:tbl>
      <w:tblPr>
        <w:tblStyle w:val="TableGrid"/>
        <w:tblW w:w="0" w:type="auto"/>
        <w:tblLook w:val="01E0"/>
      </w:tblPr>
      <w:tblGrid>
        <w:gridCol w:w="1951"/>
        <w:gridCol w:w="3730"/>
        <w:gridCol w:w="2841"/>
      </w:tblGrid>
      <w:tr w:rsidR="00FE2ABA" w:rsidRPr="00927D61" w:rsidTr="007C6320">
        <w:tc>
          <w:tcPr>
            <w:tcW w:w="1951" w:type="dxa"/>
            <w:shd w:val="clear" w:color="auto" w:fill="D9D9D9" w:themeFill="background1" w:themeFillShade="D9"/>
          </w:tcPr>
          <w:p w:rsidR="00FE2ABA" w:rsidRPr="00927D61" w:rsidRDefault="00FE2ABA" w:rsidP="001F2953">
            <w:pPr>
              <w:rPr>
                <w:rFonts w:asciiTheme="minorHAnsi" w:hAnsiTheme="minorHAnsi" w:cstheme="minorHAnsi"/>
                <w:b/>
                <w:sz w:val="22"/>
                <w:szCs w:val="22"/>
              </w:rPr>
            </w:pPr>
            <w:r w:rsidRPr="00927D61">
              <w:rPr>
                <w:rFonts w:asciiTheme="minorHAnsi" w:hAnsiTheme="minorHAnsi" w:cstheme="minorHAnsi"/>
                <w:b/>
                <w:sz w:val="22"/>
                <w:szCs w:val="22"/>
              </w:rPr>
              <w:t>Level</w:t>
            </w:r>
          </w:p>
        </w:tc>
        <w:tc>
          <w:tcPr>
            <w:tcW w:w="3730" w:type="dxa"/>
            <w:shd w:val="clear" w:color="auto" w:fill="D9D9D9" w:themeFill="background1" w:themeFillShade="D9"/>
          </w:tcPr>
          <w:p w:rsidR="00FE2ABA" w:rsidRPr="00927D61" w:rsidRDefault="00FE2ABA" w:rsidP="001F2953">
            <w:pPr>
              <w:rPr>
                <w:rFonts w:asciiTheme="minorHAnsi" w:hAnsiTheme="minorHAnsi" w:cstheme="minorHAnsi"/>
                <w:b/>
                <w:sz w:val="22"/>
                <w:szCs w:val="22"/>
              </w:rPr>
            </w:pPr>
            <w:r w:rsidRPr="00927D61">
              <w:rPr>
                <w:rFonts w:asciiTheme="minorHAnsi" w:hAnsiTheme="minorHAnsi" w:cstheme="minorHAnsi"/>
                <w:b/>
                <w:sz w:val="22"/>
                <w:szCs w:val="22"/>
              </w:rPr>
              <w:t>Key changes sought</w:t>
            </w:r>
          </w:p>
        </w:tc>
        <w:tc>
          <w:tcPr>
            <w:tcW w:w="2841" w:type="dxa"/>
            <w:shd w:val="clear" w:color="auto" w:fill="D9D9D9" w:themeFill="background1" w:themeFillShade="D9"/>
          </w:tcPr>
          <w:p w:rsidR="00FE2ABA" w:rsidRPr="00927D61" w:rsidRDefault="00FE2ABA" w:rsidP="001F2953">
            <w:pPr>
              <w:rPr>
                <w:rFonts w:asciiTheme="minorHAnsi" w:hAnsiTheme="minorHAnsi" w:cstheme="minorHAnsi"/>
                <w:b/>
                <w:sz w:val="22"/>
                <w:szCs w:val="22"/>
              </w:rPr>
            </w:pPr>
            <w:r w:rsidRPr="00927D61">
              <w:rPr>
                <w:rFonts w:asciiTheme="minorHAnsi" w:hAnsiTheme="minorHAnsi" w:cstheme="minorHAnsi"/>
                <w:b/>
                <w:sz w:val="22"/>
                <w:szCs w:val="22"/>
              </w:rPr>
              <w:t>Result level</w:t>
            </w:r>
          </w:p>
        </w:tc>
      </w:tr>
      <w:tr w:rsidR="00FE2ABA" w:rsidRPr="00927D61" w:rsidTr="007C6320">
        <w:tc>
          <w:tcPr>
            <w:tcW w:w="1951" w:type="dxa"/>
            <w:shd w:val="clear" w:color="auto" w:fill="FFFF99"/>
          </w:tcPr>
          <w:p w:rsidR="00FE2ABA" w:rsidRPr="00927D61" w:rsidRDefault="00FE2ABA" w:rsidP="001F2953">
            <w:pPr>
              <w:rPr>
                <w:rFonts w:asciiTheme="minorHAnsi" w:hAnsiTheme="minorHAnsi" w:cstheme="minorHAnsi"/>
                <w:sz w:val="22"/>
                <w:szCs w:val="22"/>
              </w:rPr>
            </w:pPr>
            <w:r w:rsidRPr="00927D61">
              <w:rPr>
                <w:rFonts w:asciiTheme="minorHAnsi" w:hAnsiTheme="minorHAnsi" w:cstheme="minorHAnsi"/>
                <w:sz w:val="22"/>
                <w:szCs w:val="22"/>
                <w:lang w:val="en-US"/>
              </w:rPr>
              <w:t>Awareness</w:t>
            </w:r>
            <w:r w:rsidRPr="00927D61">
              <w:rPr>
                <w:rFonts w:asciiTheme="minorHAnsi" w:hAnsiTheme="minorHAnsi" w:cstheme="minorHAnsi"/>
                <w:sz w:val="22"/>
                <w:szCs w:val="22"/>
              </w:rPr>
              <w:t xml:space="preserve"> </w:t>
            </w:r>
          </w:p>
        </w:tc>
        <w:tc>
          <w:tcPr>
            <w:tcW w:w="3730" w:type="dxa"/>
            <w:shd w:val="clear" w:color="auto" w:fill="FFFF99"/>
          </w:tcPr>
          <w:p w:rsidR="00FE2ABA" w:rsidRPr="00927D61" w:rsidRDefault="00FE2ABA" w:rsidP="001F2953">
            <w:pPr>
              <w:rPr>
                <w:rFonts w:asciiTheme="minorHAnsi" w:hAnsiTheme="minorHAnsi" w:cstheme="minorHAnsi"/>
                <w:sz w:val="22"/>
                <w:szCs w:val="22"/>
              </w:rPr>
            </w:pPr>
            <w:r w:rsidRPr="00927D61">
              <w:rPr>
                <w:rFonts w:asciiTheme="minorHAnsi" w:hAnsiTheme="minorHAnsi" w:cstheme="minorHAnsi"/>
                <w:sz w:val="22"/>
                <w:szCs w:val="22"/>
                <w:lang w:val="en-US"/>
              </w:rPr>
              <w:t>Increase in awareness of issue</w:t>
            </w:r>
            <w:r w:rsidRPr="00927D61">
              <w:rPr>
                <w:rFonts w:asciiTheme="minorHAnsi" w:hAnsiTheme="minorHAnsi" w:cstheme="minorHAnsi"/>
                <w:sz w:val="22"/>
                <w:szCs w:val="22"/>
              </w:rPr>
              <w:t xml:space="preserve"> </w:t>
            </w:r>
          </w:p>
        </w:tc>
        <w:tc>
          <w:tcPr>
            <w:tcW w:w="2841" w:type="dxa"/>
            <w:shd w:val="clear" w:color="auto" w:fill="FFFF99"/>
          </w:tcPr>
          <w:p w:rsidR="00FE2ABA" w:rsidRPr="00927D61" w:rsidRDefault="00FE2ABA" w:rsidP="001F2953">
            <w:pPr>
              <w:rPr>
                <w:rFonts w:asciiTheme="minorHAnsi" w:hAnsiTheme="minorHAnsi" w:cstheme="minorHAnsi"/>
                <w:sz w:val="22"/>
                <w:szCs w:val="22"/>
              </w:rPr>
            </w:pPr>
            <w:r w:rsidRPr="00927D61">
              <w:rPr>
                <w:rFonts w:asciiTheme="minorHAnsi" w:hAnsiTheme="minorHAnsi" w:cstheme="minorHAnsi"/>
                <w:sz w:val="22"/>
                <w:szCs w:val="22"/>
                <w:lang w:val="en-US"/>
              </w:rPr>
              <w:t xml:space="preserve">Individual changes in awareness </w:t>
            </w:r>
          </w:p>
        </w:tc>
      </w:tr>
      <w:tr w:rsidR="00FE2ABA" w:rsidRPr="00927D61" w:rsidTr="007C6320">
        <w:tc>
          <w:tcPr>
            <w:tcW w:w="1951" w:type="dxa"/>
            <w:shd w:val="clear" w:color="auto" w:fill="CCECFF"/>
          </w:tcPr>
          <w:p w:rsidR="00FE2ABA" w:rsidRPr="00927D61" w:rsidRDefault="00FE2ABA" w:rsidP="001F2953">
            <w:pPr>
              <w:rPr>
                <w:rFonts w:asciiTheme="minorHAnsi" w:hAnsiTheme="minorHAnsi" w:cstheme="minorHAnsi"/>
                <w:sz w:val="22"/>
                <w:szCs w:val="22"/>
              </w:rPr>
            </w:pPr>
            <w:r w:rsidRPr="00927D61">
              <w:rPr>
                <w:rFonts w:asciiTheme="minorHAnsi" w:hAnsiTheme="minorHAnsi" w:cstheme="minorHAnsi"/>
                <w:sz w:val="22"/>
                <w:szCs w:val="22"/>
              </w:rPr>
              <w:t xml:space="preserve">Engagement </w:t>
            </w:r>
          </w:p>
        </w:tc>
        <w:tc>
          <w:tcPr>
            <w:tcW w:w="3730" w:type="dxa"/>
            <w:shd w:val="clear" w:color="auto" w:fill="CCECFF"/>
          </w:tcPr>
          <w:p w:rsidR="00FE2ABA" w:rsidRPr="00927D61" w:rsidRDefault="00FE2ABA" w:rsidP="001F2953">
            <w:pPr>
              <w:rPr>
                <w:rFonts w:asciiTheme="minorHAnsi" w:hAnsiTheme="minorHAnsi" w:cstheme="minorHAnsi"/>
                <w:sz w:val="22"/>
                <w:szCs w:val="22"/>
                <w:lang w:val="en-US"/>
              </w:rPr>
            </w:pPr>
            <w:r w:rsidRPr="00927D61">
              <w:rPr>
                <w:rFonts w:asciiTheme="minorHAnsi" w:hAnsiTheme="minorHAnsi" w:cstheme="minorHAnsi"/>
                <w:sz w:val="22"/>
                <w:szCs w:val="22"/>
                <w:lang w:val="en-US"/>
              </w:rPr>
              <w:t>A change of attitude and contemplation of behaviour change</w:t>
            </w:r>
          </w:p>
          <w:p w:rsidR="00FE2ABA" w:rsidRPr="00927D61" w:rsidRDefault="00FE2ABA" w:rsidP="001F2953">
            <w:pPr>
              <w:rPr>
                <w:rFonts w:asciiTheme="minorHAnsi" w:hAnsiTheme="minorHAnsi" w:cstheme="minorHAnsi"/>
                <w:sz w:val="22"/>
                <w:szCs w:val="22"/>
              </w:rPr>
            </w:pPr>
            <w:r w:rsidRPr="00927D61">
              <w:rPr>
                <w:rFonts w:asciiTheme="minorHAnsi" w:hAnsiTheme="minorHAnsi" w:cstheme="minorHAnsi"/>
                <w:sz w:val="22"/>
                <w:szCs w:val="22"/>
                <w:lang w:val="en-US"/>
              </w:rPr>
              <w:t>Behavioural responses to individual programmes</w:t>
            </w:r>
            <w:r w:rsidRPr="00927D61">
              <w:rPr>
                <w:rFonts w:asciiTheme="minorHAnsi" w:hAnsiTheme="minorHAnsi" w:cstheme="minorHAnsi"/>
                <w:sz w:val="22"/>
                <w:szCs w:val="22"/>
              </w:rPr>
              <w:t xml:space="preserve"> </w:t>
            </w:r>
          </w:p>
        </w:tc>
        <w:tc>
          <w:tcPr>
            <w:tcW w:w="2841" w:type="dxa"/>
            <w:shd w:val="clear" w:color="auto" w:fill="CCECFF"/>
          </w:tcPr>
          <w:p w:rsidR="00FE2ABA" w:rsidRPr="00927D61" w:rsidRDefault="00FE2ABA" w:rsidP="001F2953">
            <w:pPr>
              <w:rPr>
                <w:rFonts w:asciiTheme="minorHAnsi" w:hAnsiTheme="minorHAnsi" w:cstheme="minorHAnsi"/>
                <w:sz w:val="22"/>
                <w:szCs w:val="22"/>
              </w:rPr>
            </w:pPr>
            <w:r w:rsidRPr="00927D61">
              <w:rPr>
                <w:rFonts w:asciiTheme="minorHAnsi" w:hAnsiTheme="minorHAnsi" w:cstheme="minorHAnsi"/>
                <w:sz w:val="22"/>
                <w:szCs w:val="22"/>
                <w:lang w:val="en-US"/>
              </w:rPr>
              <w:t>Individual changes in attitude and responses to programmes</w:t>
            </w:r>
            <w:r w:rsidRPr="00927D61">
              <w:rPr>
                <w:rFonts w:asciiTheme="minorHAnsi" w:hAnsiTheme="minorHAnsi" w:cstheme="minorHAnsi"/>
                <w:sz w:val="22"/>
                <w:szCs w:val="22"/>
              </w:rPr>
              <w:t xml:space="preserve"> </w:t>
            </w:r>
          </w:p>
        </w:tc>
      </w:tr>
      <w:tr w:rsidR="00FE2ABA" w:rsidRPr="00927D61" w:rsidTr="007C6320">
        <w:tc>
          <w:tcPr>
            <w:tcW w:w="1951" w:type="dxa"/>
            <w:shd w:val="clear" w:color="auto" w:fill="FFCC99"/>
          </w:tcPr>
          <w:p w:rsidR="00FE2ABA" w:rsidRPr="00927D61" w:rsidRDefault="00FE2ABA" w:rsidP="001F2953">
            <w:pPr>
              <w:rPr>
                <w:rFonts w:asciiTheme="minorHAnsi" w:hAnsiTheme="minorHAnsi" w:cstheme="minorHAnsi"/>
                <w:sz w:val="22"/>
                <w:szCs w:val="22"/>
              </w:rPr>
            </w:pPr>
            <w:r w:rsidRPr="00927D61">
              <w:rPr>
                <w:rFonts w:asciiTheme="minorHAnsi" w:hAnsiTheme="minorHAnsi" w:cstheme="minorHAnsi"/>
                <w:sz w:val="22"/>
                <w:szCs w:val="22"/>
              </w:rPr>
              <w:t>Behaviour</w:t>
            </w:r>
          </w:p>
        </w:tc>
        <w:tc>
          <w:tcPr>
            <w:tcW w:w="3730" w:type="dxa"/>
            <w:shd w:val="clear" w:color="auto" w:fill="FFCC99"/>
          </w:tcPr>
          <w:p w:rsidR="00FE2ABA" w:rsidRPr="00927D61" w:rsidRDefault="00FE2ABA" w:rsidP="001F2953">
            <w:pPr>
              <w:rPr>
                <w:rFonts w:asciiTheme="minorHAnsi" w:hAnsiTheme="minorHAnsi" w:cstheme="minorHAnsi"/>
                <w:sz w:val="22"/>
                <w:szCs w:val="22"/>
              </w:rPr>
            </w:pPr>
            <w:r w:rsidRPr="00927D61">
              <w:rPr>
                <w:rFonts w:asciiTheme="minorHAnsi" w:hAnsiTheme="minorHAnsi" w:cstheme="minorHAnsi"/>
                <w:sz w:val="22"/>
                <w:szCs w:val="22"/>
                <w:lang w:val="en-US"/>
              </w:rPr>
              <w:t>Individual behaviour change</w:t>
            </w:r>
            <w:r w:rsidRPr="00927D61">
              <w:rPr>
                <w:rFonts w:asciiTheme="minorHAnsi" w:hAnsiTheme="minorHAnsi" w:cstheme="minorHAnsi"/>
                <w:sz w:val="22"/>
                <w:szCs w:val="22"/>
              </w:rPr>
              <w:t xml:space="preserve"> </w:t>
            </w:r>
          </w:p>
        </w:tc>
        <w:tc>
          <w:tcPr>
            <w:tcW w:w="2841" w:type="dxa"/>
            <w:shd w:val="clear" w:color="auto" w:fill="FFCC99"/>
          </w:tcPr>
          <w:p w:rsidR="00FE2ABA" w:rsidRPr="00927D61" w:rsidRDefault="00FE2ABA" w:rsidP="001F2953">
            <w:pPr>
              <w:rPr>
                <w:rFonts w:asciiTheme="minorHAnsi" w:hAnsiTheme="minorHAnsi" w:cstheme="minorHAnsi"/>
                <w:sz w:val="22"/>
                <w:szCs w:val="22"/>
              </w:rPr>
            </w:pPr>
            <w:r w:rsidRPr="00927D61">
              <w:rPr>
                <w:rFonts w:asciiTheme="minorHAnsi" w:hAnsiTheme="minorHAnsi" w:cstheme="minorHAnsi"/>
                <w:sz w:val="22"/>
                <w:szCs w:val="22"/>
                <w:lang w:val="en-US"/>
              </w:rPr>
              <w:t>Individual changes in behaviour</w:t>
            </w:r>
            <w:r w:rsidRPr="00927D61">
              <w:rPr>
                <w:rFonts w:asciiTheme="minorHAnsi" w:hAnsiTheme="minorHAnsi" w:cstheme="minorHAnsi"/>
                <w:sz w:val="22"/>
                <w:szCs w:val="22"/>
              </w:rPr>
              <w:t xml:space="preserve"> </w:t>
            </w:r>
          </w:p>
        </w:tc>
      </w:tr>
      <w:tr w:rsidR="00FE2ABA" w:rsidRPr="00927D61" w:rsidTr="007C6320">
        <w:tc>
          <w:tcPr>
            <w:tcW w:w="1951" w:type="dxa"/>
            <w:shd w:val="clear" w:color="auto" w:fill="CCFFCC"/>
          </w:tcPr>
          <w:p w:rsidR="00FE2ABA" w:rsidRPr="00927D61" w:rsidRDefault="00FE2ABA" w:rsidP="001F2953">
            <w:pPr>
              <w:rPr>
                <w:rFonts w:asciiTheme="minorHAnsi" w:hAnsiTheme="minorHAnsi" w:cstheme="minorHAnsi"/>
                <w:sz w:val="22"/>
                <w:szCs w:val="22"/>
              </w:rPr>
            </w:pPr>
            <w:r w:rsidRPr="00927D61">
              <w:rPr>
                <w:rFonts w:asciiTheme="minorHAnsi" w:hAnsiTheme="minorHAnsi" w:cstheme="minorHAnsi"/>
                <w:sz w:val="22"/>
                <w:szCs w:val="22"/>
              </w:rPr>
              <w:t>Social norm</w:t>
            </w:r>
          </w:p>
        </w:tc>
        <w:tc>
          <w:tcPr>
            <w:tcW w:w="3730" w:type="dxa"/>
            <w:shd w:val="clear" w:color="auto" w:fill="CCFFCC"/>
          </w:tcPr>
          <w:p w:rsidR="00FE2ABA" w:rsidRPr="00927D61" w:rsidRDefault="00FE2ABA" w:rsidP="001F2953">
            <w:pPr>
              <w:rPr>
                <w:rFonts w:asciiTheme="minorHAnsi" w:hAnsiTheme="minorHAnsi" w:cstheme="minorHAnsi"/>
                <w:sz w:val="22"/>
                <w:szCs w:val="22"/>
              </w:rPr>
            </w:pPr>
            <w:r w:rsidRPr="00927D61">
              <w:rPr>
                <w:rFonts w:asciiTheme="minorHAnsi" w:hAnsiTheme="minorHAnsi" w:cstheme="minorHAnsi"/>
                <w:sz w:val="22"/>
                <w:szCs w:val="22"/>
                <w:lang w:val="en-US"/>
              </w:rPr>
              <w:t>The desired behaviour change has permeated widely and sustainably and is therefore maintained</w:t>
            </w:r>
            <w:r w:rsidRPr="00927D61">
              <w:rPr>
                <w:rFonts w:asciiTheme="minorHAnsi" w:hAnsiTheme="minorHAnsi" w:cstheme="minorHAnsi"/>
                <w:sz w:val="22"/>
                <w:szCs w:val="22"/>
              </w:rPr>
              <w:t xml:space="preserve"> </w:t>
            </w:r>
          </w:p>
        </w:tc>
        <w:tc>
          <w:tcPr>
            <w:tcW w:w="2841" w:type="dxa"/>
            <w:shd w:val="clear" w:color="auto" w:fill="CCFFCC"/>
          </w:tcPr>
          <w:p w:rsidR="00FE2ABA" w:rsidRPr="00927D61" w:rsidRDefault="00FE2ABA" w:rsidP="001F2953">
            <w:pPr>
              <w:rPr>
                <w:rFonts w:asciiTheme="minorHAnsi" w:hAnsiTheme="minorHAnsi" w:cstheme="minorHAnsi"/>
                <w:sz w:val="22"/>
                <w:szCs w:val="22"/>
              </w:rPr>
            </w:pPr>
            <w:r w:rsidRPr="00927D61">
              <w:rPr>
                <w:rFonts w:asciiTheme="minorHAnsi" w:hAnsiTheme="minorHAnsi" w:cstheme="minorHAnsi"/>
                <w:sz w:val="22"/>
                <w:szCs w:val="22"/>
                <w:lang w:val="en-US"/>
              </w:rPr>
              <w:t>Normative changes in attitude and behaviour</w:t>
            </w:r>
            <w:r w:rsidRPr="00927D61">
              <w:rPr>
                <w:rFonts w:asciiTheme="minorHAnsi" w:hAnsiTheme="minorHAnsi" w:cstheme="minorHAnsi"/>
                <w:sz w:val="22"/>
                <w:szCs w:val="22"/>
              </w:rPr>
              <w:t xml:space="preserve"> </w:t>
            </w:r>
          </w:p>
        </w:tc>
      </w:tr>
      <w:tr w:rsidR="00FE2ABA" w:rsidRPr="00927D61" w:rsidTr="007C6320">
        <w:tc>
          <w:tcPr>
            <w:tcW w:w="1951" w:type="dxa"/>
            <w:shd w:val="clear" w:color="auto" w:fill="FFCCFF"/>
          </w:tcPr>
          <w:p w:rsidR="00FE2ABA" w:rsidRPr="00927D61" w:rsidRDefault="00FE2ABA" w:rsidP="001F2953">
            <w:pPr>
              <w:rPr>
                <w:rFonts w:asciiTheme="minorHAnsi" w:hAnsiTheme="minorHAnsi" w:cstheme="minorHAnsi"/>
                <w:sz w:val="22"/>
                <w:szCs w:val="22"/>
              </w:rPr>
            </w:pPr>
            <w:r w:rsidRPr="00927D61">
              <w:rPr>
                <w:rFonts w:asciiTheme="minorHAnsi" w:hAnsiTheme="minorHAnsi" w:cstheme="minorHAnsi"/>
                <w:sz w:val="22"/>
                <w:szCs w:val="22"/>
              </w:rPr>
              <w:t>Well being</w:t>
            </w:r>
          </w:p>
        </w:tc>
        <w:tc>
          <w:tcPr>
            <w:tcW w:w="3730" w:type="dxa"/>
            <w:shd w:val="clear" w:color="auto" w:fill="FFCCFF"/>
          </w:tcPr>
          <w:p w:rsidR="00FE2ABA" w:rsidRPr="00927D61" w:rsidRDefault="00FE2ABA" w:rsidP="001F2953">
            <w:pPr>
              <w:rPr>
                <w:rFonts w:asciiTheme="minorHAnsi" w:hAnsiTheme="minorHAnsi" w:cstheme="minorHAnsi"/>
                <w:sz w:val="22"/>
                <w:szCs w:val="22"/>
              </w:rPr>
            </w:pPr>
            <w:r w:rsidRPr="00927D61">
              <w:rPr>
                <w:rFonts w:asciiTheme="minorHAnsi" w:hAnsiTheme="minorHAnsi" w:cstheme="minorHAnsi"/>
                <w:sz w:val="22"/>
                <w:szCs w:val="22"/>
                <w:lang w:val="en-US"/>
              </w:rPr>
              <w:t>The desired behaviour change has resulted in  an improvement in quality of life for individuals and society</w:t>
            </w:r>
            <w:r w:rsidRPr="00927D61">
              <w:rPr>
                <w:rFonts w:asciiTheme="minorHAnsi" w:hAnsiTheme="minorHAnsi" w:cstheme="minorHAnsi"/>
                <w:sz w:val="22"/>
                <w:szCs w:val="22"/>
              </w:rPr>
              <w:t xml:space="preserve"> </w:t>
            </w:r>
          </w:p>
        </w:tc>
        <w:tc>
          <w:tcPr>
            <w:tcW w:w="2841" w:type="dxa"/>
            <w:shd w:val="clear" w:color="auto" w:fill="FFCCFF"/>
          </w:tcPr>
          <w:p w:rsidR="00FE2ABA" w:rsidRPr="00927D61" w:rsidRDefault="00FE2ABA" w:rsidP="001F2953">
            <w:pPr>
              <w:rPr>
                <w:rFonts w:asciiTheme="minorHAnsi" w:hAnsiTheme="minorHAnsi" w:cstheme="minorHAnsi"/>
                <w:sz w:val="22"/>
                <w:szCs w:val="22"/>
              </w:rPr>
            </w:pPr>
            <w:r w:rsidRPr="00927D61">
              <w:rPr>
                <w:rFonts w:asciiTheme="minorHAnsi" w:hAnsiTheme="minorHAnsi" w:cstheme="minorHAnsi"/>
                <w:sz w:val="22"/>
                <w:szCs w:val="22"/>
                <w:lang w:val="en-US"/>
              </w:rPr>
              <w:t>Changes in social and environmental outcomes</w:t>
            </w:r>
            <w:r w:rsidRPr="00927D61">
              <w:rPr>
                <w:rFonts w:asciiTheme="minorHAnsi" w:hAnsiTheme="minorHAnsi" w:cstheme="minorHAnsi"/>
                <w:sz w:val="22"/>
                <w:szCs w:val="22"/>
              </w:rPr>
              <w:t xml:space="preserve"> </w:t>
            </w:r>
          </w:p>
        </w:tc>
      </w:tr>
    </w:tbl>
    <w:p w:rsidR="00FE2ABA" w:rsidRPr="00927D61" w:rsidRDefault="00FE2ABA" w:rsidP="00FE2ABA">
      <w:pPr>
        <w:rPr>
          <w:rFonts w:asciiTheme="minorHAnsi" w:hAnsiTheme="minorHAnsi" w:cstheme="minorHAnsi"/>
          <w:sz w:val="22"/>
          <w:szCs w:val="22"/>
          <w:lang w:val="en-US"/>
        </w:rPr>
      </w:pPr>
    </w:p>
    <w:p w:rsidR="00FE2ABA" w:rsidRPr="00927D61" w:rsidRDefault="00FE2ABA" w:rsidP="00FE2ABA">
      <w:pPr>
        <w:rPr>
          <w:rFonts w:asciiTheme="minorHAnsi" w:hAnsiTheme="minorHAnsi" w:cstheme="minorHAnsi"/>
          <w:b/>
          <w:sz w:val="22"/>
          <w:szCs w:val="22"/>
        </w:rPr>
      </w:pPr>
      <w:r w:rsidRPr="00927D61">
        <w:rPr>
          <w:rFonts w:asciiTheme="minorHAnsi" w:hAnsiTheme="minorHAnsi" w:cstheme="minorHAnsi"/>
          <w:b/>
          <w:sz w:val="22"/>
          <w:szCs w:val="22"/>
        </w:rPr>
        <w:t xml:space="preserve">Figure </w:t>
      </w:r>
      <w:r w:rsidR="00AB5895">
        <w:rPr>
          <w:rFonts w:asciiTheme="minorHAnsi" w:hAnsiTheme="minorHAnsi" w:cstheme="minorHAnsi"/>
          <w:b/>
          <w:sz w:val="22"/>
          <w:szCs w:val="22"/>
        </w:rPr>
        <w:t>1</w:t>
      </w:r>
      <w:r w:rsidR="00CE72FA">
        <w:rPr>
          <w:rFonts w:asciiTheme="minorHAnsi" w:hAnsiTheme="minorHAnsi" w:cstheme="minorHAnsi"/>
          <w:b/>
          <w:sz w:val="22"/>
          <w:szCs w:val="22"/>
        </w:rPr>
        <w:t>7</w:t>
      </w:r>
      <w:r w:rsidRPr="00927D61">
        <w:rPr>
          <w:rFonts w:asciiTheme="minorHAnsi" w:hAnsiTheme="minorHAnsi" w:cstheme="minorHAnsi"/>
          <w:b/>
          <w:sz w:val="22"/>
          <w:szCs w:val="22"/>
        </w:rPr>
        <w:t>:  Possible indicators of success at each level of effectiveness</w:t>
      </w:r>
    </w:p>
    <w:tbl>
      <w:tblPr>
        <w:tblStyle w:val="TableGrid"/>
        <w:tblW w:w="0" w:type="auto"/>
        <w:tblLook w:val="01E0"/>
      </w:tblPr>
      <w:tblGrid>
        <w:gridCol w:w="1951"/>
        <w:gridCol w:w="3730"/>
        <w:gridCol w:w="2841"/>
      </w:tblGrid>
      <w:tr w:rsidR="00FE2ABA" w:rsidRPr="00927D61" w:rsidTr="007C6320">
        <w:tc>
          <w:tcPr>
            <w:tcW w:w="1951" w:type="dxa"/>
            <w:shd w:val="clear" w:color="auto" w:fill="D9D9D9" w:themeFill="background1" w:themeFillShade="D9"/>
          </w:tcPr>
          <w:p w:rsidR="00FE2ABA" w:rsidRPr="00927D61" w:rsidRDefault="00FE2ABA" w:rsidP="001F2953">
            <w:pPr>
              <w:rPr>
                <w:rFonts w:asciiTheme="minorHAnsi" w:hAnsiTheme="minorHAnsi" w:cstheme="minorHAnsi"/>
                <w:sz w:val="22"/>
                <w:szCs w:val="22"/>
              </w:rPr>
            </w:pPr>
            <w:r w:rsidRPr="00927D61">
              <w:rPr>
                <w:rFonts w:asciiTheme="minorHAnsi" w:hAnsiTheme="minorHAnsi" w:cstheme="minorHAnsi"/>
                <w:sz w:val="22"/>
                <w:szCs w:val="22"/>
              </w:rPr>
              <w:t> </w:t>
            </w:r>
          </w:p>
        </w:tc>
        <w:tc>
          <w:tcPr>
            <w:tcW w:w="3730" w:type="dxa"/>
            <w:shd w:val="clear" w:color="auto" w:fill="D9D9D9" w:themeFill="background1" w:themeFillShade="D9"/>
          </w:tcPr>
          <w:p w:rsidR="00FE2ABA" w:rsidRPr="00927D61" w:rsidRDefault="00FE2ABA" w:rsidP="001F2953">
            <w:pPr>
              <w:rPr>
                <w:rFonts w:asciiTheme="minorHAnsi" w:hAnsiTheme="minorHAnsi" w:cstheme="minorHAnsi"/>
                <w:sz w:val="22"/>
                <w:szCs w:val="22"/>
              </w:rPr>
            </w:pPr>
            <w:r w:rsidRPr="00927D61">
              <w:rPr>
                <w:rFonts w:asciiTheme="minorHAnsi" w:hAnsiTheme="minorHAnsi" w:cstheme="minorHAnsi"/>
                <w:bCs/>
                <w:sz w:val="22"/>
                <w:szCs w:val="22"/>
              </w:rPr>
              <w:t>Indicators</w:t>
            </w:r>
          </w:p>
        </w:tc>
        <w:tc>
          <w:tcPr>
            <w:tcW w:w="2841" w:type="dxa"/>
            <w:shd w:val="clear" w:color="auto" w:fill="D9D9D9" w:themeFill="background1" w:themeFillShade="D9"/>
          </w:tcPr>
          <w:p w:rsidR="00FE2ABA" w:rsidRPr="00927D61" w:rsidRDefault="00FE2ABA" w:rsidP="001F2953">
            <w:pPr>
              <w:rPr>
                <w:rFonts w:asciiTheme="minorHAnsi" w:hAnsiTheme="minorHAnsi" w:cstheme="minorHAnsi"/>
                <w:sz w:val="22"/>
                <w:szCs w:val="22"/>
              </w:rPr>
            </w:pPr>
            <w:r w:rsidRPr="00927D61">
              <w:rPr>
                <w:rFonts w:asciiTheme="minorHAnsi" w:hAnsiTheme="minorHAnsi" w:cstheme="minorHAnsi"/>
                <w:bCs/>
                <w:sz w:val="22"/>
                <w:szCs w:val="22"/>
              </w:rPr>
              <w:t>Means of measurement</w:t>
            </w:r>
          </w:p>
        </w:tc>
      </w:tr>
      <w:tr w:rsidR="00FE2ABA" w:rsidRPr="00927D61" w:rsidTr="007C6320">
        <w:tc>
          <w:tcPr>
            <w:tcW w:w="1951" w:type="dxa"/>
            <w:shd w:val="clear" w:color="auto" w:fill="FFFF99"/>
          </w:tcPr>
          <w:p w:rsidR="00FE2ABA" w:rsidRPr="00927D61" w:rsidRDefault="00FE2ABA" w:rsidP="001F2953">
            <w:pPr>
              <w:rPr>
                <w:rFonts w:asciiTheme="minorHAnsi" w:hAnsiTheme="minorHAnsi" w:cstheme="minorHAnsi"/>
                <w:sz w:val="22"/>
                <w:szCs w:val="22"/>
              </w:rPr>
            </w:pPr>
            <w:r w:rsidRPr="00927D61">
              <w:rPr>
                <w:rFonts w:asciiTheme="minorHAnsi" w:hAnsiTheme="minorHAnsi" w:cstheme="minorHAnsi"/>
                <w:bCs/>
                <w:sz w:val="22"/>
                <w:szCs w:val="22"/>
              </w:rPr>
              <w:t>Awareness</w:t>
            </w:r>
          </w:p>
        </w:tc>
        <w:tc>
          <w:tcPr>
            <w:tcW w:w="3730" w:type="dxa"/>
            <w:shd w:val="clear" w:color="auto" w:fill="FFFF99"/>
          </w:tcPr>
          <w:p w:rsidR="00FE2ABA" w:rsidRPr="00927D61" w:rsidRDefault="00FE2ABA" w:rsidP="001F2953">
            <w:pPr>
              <w:rPr>
                <w:rFonts w:asciiTheme="minorHAnsi" w:hAnsiTheme="minorHAnsi" w:cstheme="minorHAnsi"/>
                <w:sz w:val="22"/>
                <w:szCs w:val="22"/>
              </w:rPr>
            </w:pPr>
            <w:r w:rsidRPr="00927D61">
              <w:rPr>
                <w:rFonts w:asciiTheme="minorHAnsi" w:hAnsiTheme="minorHAnsi" w:cstheme="minorHAnsi"/>
                <w:sz w:val="22"/>
                <w:szCs w:val="22"/>
              </w:rPr>
              <w:t>X% aware of issue</w:t>
            </w:r>
          </w:p>
        </w:tc>
        <w:tc>
          <w:tcPr>
            <w:tcW w:w="2841" w:type="dxa"/>
            <w:shd w:val="clear" w:color="auto" w:fill="FFFF99"/>
          </w:tcPr>
          <w:p w:rsidR="00FE2ABA" w:rsidRPr="00927D61" w:rsidRDefault="00FE2ABA" w:rsidP="00612A68">
            <w:pPr>
              <w:rPr>
                <w:rFonts w:asciiTheme="minorHAnsi" w:hAnsiTheme="minorHAnsi" w:cstheme="minorHAnsi"/>
                <w:sz w:val="22"/>
                <w:szCs w:val="22"/>
              </w:rPr>
            </w:pPr>
            <w:r w:rsidRPr="00927D61">
              <w:rPr>
                <w:rFonts w:asciiTheme="minorHAnsi" w:hAnsiTheme="minorHAnsi" w:cstheme="minorHAnsi"/>
                <w:sz w:val="22"/>
                <w:szCs w:val="22"/>
              </w:rPr>
              <w:t>Surveys (formal / informal- think about how to administer questionnaires / who,</w:t>
            </w:r>
            <w:r w:rsidR="006C38C3">
              <w:rPr>
                <w:rFonts w:asciiTheme="minorHAnsi" w:hAnsiTheme="minorHAnsi" w:cstheme="minorHAnsi"/>
                <w:sz w:val="22"/>
                <w:szCs w:val="22"/>
              </w:rPr>
              <w:t xml:space="preserve"> </w:t>
            </w:r>
            <w:r w:rsidRPr="00927D61">
              <w:rPr>
                <w:rFonts w:asciiTheme="minorHAnsi" w:hAnsiTheme="minorHAnsi" w:cstheme="minorHAnsi"/>
                <w:sz w:val="22"/>
                <w:szCs w:val="22"/>
              </w:rPr>
              <w:t>where, when</w:t>
            </w:r>
            <w:r w:rsidR="006C38C3">
              <w:rPr>
                <w:rFonts w:asciiTheme="minorHAnsi" w:hAnsiTheme="minorHAnsi" w:cstheme="minorHAnsi"/>
                <w:sz w:val="22"/>
                <w:szCs w:val="22"/>
              </w:rPr>
              <w:t>.</w:t>
            </w:r>
            <w:r w:rsidRPr="00927D61">
              <w:rPr>
                <w:rFonts w:asciiTheme="minorHAnsi" w:hAnsiTheme="minorHAnsi" w:cstheme="minorHAnsi"/>
                <w:sz w:val="22"/>
                <w:szCs w:val="22"/>
              </w:rPr>
              <w:t>)</w:t>
            </w:r>
            <w:r w:rsidR="006C38C3">
              <w:rPr>
                <w:rFonts w:asciiTheme="minorHAnsi" w:hAnsiTheme="minorHAnsi" w:cstheme="minorHAnsi"/>
                <w:sz w:val="22"/>
                <w:szCs w:val="22"/>
              </w:rPr>
              <w:t xml:space="preserve"> Interviews, focus groups</w:t>
            </w:r>
            <w:r w:rsidR="00612A68">
              <w:rPr>
                <w:rFonts w:asciiTheme="minorHAnsi" w:hAnsiTheme="minorHAnsi" w:cstheme="minorHAnsi"/>
                <w:sz w:val="22"/>
                <w:szCs w:val="22"/>
              </w:rPr>
              <w:t xml:space="preserve">, incorporation </w:t>
            </w:r>
            <w:r w:rsidR="00610DD1">
              <w:rPr>
                <w:rFonts w:asciiTheme="minorHAnsi" w:hAnsiTheme="minorHAnsi" w:cstheme="minorHAnsi"/>
                <w:sz w:val="22"/>
                <w:szCs w:val="22"/>
              </w:rPr>
              <w:t>in</w:t>
            </w:r>
            <w:r w:rsidR="00612A68">
              <w:rPr>
                <w:rFonts w:asciiTheme="minorHAnsi" w:hAnsiTheme="minorHAnsi" w:cstheme="minorHAnsi"/>
                <w:sz w:val="22"/>
                <w:szCs w:val="22"/>
              </w:rPr>
              <w:t>to</w:t>
            </w:r>
            <w:r w:rsidR="00610DD1">
              <w:rPr>
                <w:rFonts w:asciiTheme="minorHAnsi" w:hAnsiTheme="minorHAnsi" w:cstheme="minorHAnsi"/>
                <w:sz w:val="22"/>
                <w:szCs w:val="22"/>
              </w:rPr>
              <w:t xml:space="preserve"> language </w:t>
            </w:r>
            <w:r w:rsidR="00612A68">
              <w:rPr>
                <w:rFonts w:asciiTheme="minorHAnsi" w:hAnsiTheme="minorHAnsi" w:cstheme="minorHAnsi"/>
                <w:sz w:val="22"/>
                <w:szCs w:val="22"/>
              </w:rPr>
              <w:t>&amp;</w:t>
            </w:r>
            <w:r w:rsidR="00610DD1">
              <w:rPr>
                <w:rFonts w:asciiTheme="minorHAnsi" w:hAnsiTheme="minorHAnsi" w:cstheme="minorHAnsi"/>
                <w:sz w:val="22"/>
                <w:szCs w:val="22"/>
              </w:rPr>
              <w:t xml:space="preserve"> discourse</w:t>
            </w:r>
          </w:p>
        </w:tc>
      </w:tr>
      <w:tr w:rsidR="00FE2ABA" w:rsidRPr="00927D61" w:rsidTr="007C6320">
        <w:tc>
          <w:tcPr>
            <w:tcW w:w="1951" w:type="dxa"/>
            <w:shd w:val="clear" w:color="auto" w:fill="CCECFF"/>
          </w:tcPr>
          <w:p w:rsidR="00FE2ABA" w:rsidRPr="00927D61" w:rsidRDefault="00FE2ABA" w:rsidP="001F2953">
            <w:pPr>
              <w:rPr>
                <w:rFonts w:asciiTheme="minorHAnsi" w:hAnsiTheme="minorHAnsi" w:cstheme="minorHAnsi"/>
                <w:sz w:val="22"/>
                <w:szCs w:val="22"/>
              </w:rPr>
            </w:pPr>
            <w:r w:rsidRPr="00927D61">
              <w:rPr>
                <w:rFonts w:asciiTheme="minorHAnsi" w:hAnsiTheme="minorHAnsi" w:cstheme="minorHAnsi"/>
                <w:bCs/>
                <w:sz w:val="22"/>
                <w:szCs w:val="22"/>
              </w:rPr>
              <w:t>Engagement</w:t>
            </w:r>
          </w:p>
        </w:tc>
        <w:tc>
          <w:tcPr>
            <w:tcW w:w="3730" w:type="dxa"/>
            <w:shd w:val="clear" w:color="auto" w:fill="CCECFF"/>
          </w:tcPr>
          <w:p w:rsidR="00FE2ABA" w:rsidRPr="00927D61" w:rsidRDefault="00FE2ABA" w:rsidP="001F2953">
            <w:pPr>
              <w:rPr>
                <w:rFonts w:asciiTheme="minorHAnsi" w:hAnsiTheme="minorHAnsi" w:cstheme="minorHAnsi"/>
                <w:sz w:val="22"/>
                <w:szCs w:val="22"/>
              </w:rPr>
            </w:pPr>
            <w:r w:rsidRPr="00927D61">
              <w:rPr>
                <w:rFonts w:asciiTheme="minorHAnsi" w:hAnsiTheme="minorHAnsi" w:cstheme="minorHAnsi"/>
                <w:sz w:val="22"/>
                <w:szCs w:val="22"/>
              </w:rPr>
              <w:t>X% contemplating changing behaviour</w:t>
            </w:r>
          </w:p>
          <w:p w:rsidR="00FE2ABA" w:rsidRPr="00927D61" w:rsidRDefault="00FE2ABA" w:rsidP="001F2953">
            <w:pPr>
              <w:rPr>
                <w:rFonts w:asciiTheme="minorHAnsi" w:hAnsiTheme="minorHAnsi" w:cstheme="minorHAnsi"/>
                <w:sz w:val="22"/>
                <w:szCs w:val="22"/>
              </w:rPr>
            </w:pPr>
            <w:r w:rsidRPr="00927D61">
              <w:rPr>
                <w:rFonts w:asciiTheme="minorHAnsi" w:hAnsiTheme="minorHAnsi" w:cstheme="minorHAnsi"/>
                <w:sz w:val="22"/>
                <w:szCs w:val="22"/>
              </w:rPr>
              <w:t>X% discussing / responding / participating</w:t>
            </w:r>
          </w:p>
        </w:tc>
        <w:tc>
          <w:tcPr>
            <w:tcW w:w="2841" w:type="dxa"/>
            <w:shd w:val="clear" w:color="auto" w:fill="CCECFF"/>
          </w:tcPr>
          <w:p w:rsidR="00FE2ABA" w:rsidRPr="00927D61" w:rsidRDefault="00FE2ABA" w:rsidP="001F2953">
            <w:pPr>
              <w:rPr>
                <w:rFonts w:asciiTheme="minorHAnsi" w:hAnsiTheme="minorHAnsi" w:cstheme="minorHAnsi"/>
                <w:sz w:val="22"/>
                <w:szCs w:val="22"/>
              </w:rPr>
            </w:pPr>
            <w:r w:rsidRPr="00927D61">
              <w:rPr>
                <w:rFonts w:asciiTheme="minorHAnsi" w:hAnsiTheme="minorHAnsi" w:cstheme="minorHAnsi"/>
                <w:sz w:val="22"/>
                <w:szCs w:val="22"/>
              </w:rPr>
              <w:t>Surveys</w:t>
            </w:r>
          </w:p>
          <w:p w:rsidR="00FE2ABA" w:rsidRPr="00927D61" w:rsidRDefault="00FE2ABA" w:rsidP="001F2953">
            <w:pPr>
              <w:rPr>
                <w:rFonts w:asciiTheme="minorHAnsi" w:hAnsiTheme="minorHAnsi" w:cstheme="minorHAnsi"/>
                <w:sz w:val="22"/>
                <w:szCs w:val="22"/>
              </w:rPr>
            </w:pPr>
            <w:r w:rsidRPr="00927D61">
              <w:rPr>
                <w:rFonts w:asciiTheme="minorHAnsi" w:hAnsiTheme="minorHAnsi" w:cstheme="minorHAnsi"/>
                <w:sz w:val="22"/>
                <w:szCs w:val="22"/>
              </w:rPr>
              <w:t>Behavioural data (e.g. website hits, requests for brochures, calls to help-lines etc</w:t>
            </w:r>
            <w:r w:rsidR="006C38C3">
              <w:rPr>
                <w:rFonts w:asciiTheme="minorHAnsi" w:hAnsiTheme="minorHAnsi" w:cstheme="minorHAnsi"/>
                <w:sz w:val="22"/>
                <w:szCs w:val="22"/>
              </w:rPr>
              <w:t>.</w:t>
            </w:r>
            <w:r w:rsidRPr="00927D61">
              <w:rPr>
                <w:rFonts w:asciiTheme="minorHAnsi" w:hAnsiTheme="minorHAnsi" w:cstheme="minorHAnsi"/>
                <w:sz w:val="22"/>
                <w:szCs w:val="22"/>
              </w:rPr>
              <w:t>)</w:t>
            </w:r>
            <w:r w:rsidR="006C38C3">
              <w:rPr>
                <w:rFonts w:asciiTheme="minorHAnsi" w:hAnsiTheme="minorHAnsi" w:cstheme="minorHAnsi"/>
                <w:sz w:val="22"/>
                <w:szCs w:val="22"/>
              </w:rPr>
              <w:t xml:space="preserve"> Interviews, focus groups</w:t>
            </w:r>
            <w:r w:rsidR="00734D64">
              <w:rPr>
                <w:rFonts w:asciiTheme="minorHAnsi" w:hAnsiTheme="minorHAnsi" w:cstheme="minorHAnsi"/>
                <w:sz w:val="22"/>
                <w:szCs w:val="22"/>
              </w:rPr>
              <w:t>. Engagement</w:t>
            </w:r>
            <w:r w:rsidR="00612A68">
              <w:rPr>
                <w:rFonts w:asciiTheme="minorHAnsi" w:hAnsiTheme="minorHAnsi" w:cstheme="minorHAnsi"/>
                <w:sz w:val="22"/>
                <w:szCs w:val="22"/>
              </w:rPr>
              <w:t xml:space="preserve"> with</w:t>
            </w:r>
            <w:r w:rsidR="00734D64">
              <w:rPr>
                <w:rFonts w:asciiTheme="minorHAnsi" w:hAnsiTheme="minorHAnsi" w:cstheme="minorHAnsi"/>
                <w:sz w:val="22"/>
                <w:szCs w:val="22"/>
              </w:rPr>
              <w:t xml:space="preserve"> social media</w:t>
            </w:r>
          </w:p>
        </w:tc>
      </w:tr>
      <w:tr w:rsidR="00FE2ABA" w:rsidRPr="00927D61" w:rsidTr="007C6320">
        <w:tc>
          <w:tcPr>
            <w:tcW w:w="1951" w:type="dxa"/>
            <w:shd w:val="clear" w:color="auto" w:fill="FFCC99"/>
          </w:tcPr>
          <w:p w:rsidR="00FE2ABA" w:rsidRPr="00927D61" w:rsidRDefault="00FE2ABA" w:rsidP="001F2953">
            <w:pPr>
              <w:rPr>
                <w:rFonts w:asciiTheme="minorHAnsi" w:hAnsiTheme="minorHAnsi" w:cstheme="minorHAnsi"/>
                <w:sz w:val="22"/>
                <w:szCs w:val="22"/>
              </w:rPr>
            </w:pPr>
            <w:r w:rsidRPr="00927D61">
              <w:rPr>
                <w:rFonts w:asciiTheme="minorHAnsi" w:hAnsiTheme="minorHAnsi" w:cstheme="minorHAnsi"/>
                <w:bCs/>
                <w:sz w:val="22"/>
                <w:szCs w:val="22"/>
              </w:rPr>
              <w:t>Behaviour</w:t>
            </w:r>
          </w:p>
        </w:tc>
        <w:tc>
          <w:tcPr>
            <w:tcW w:w="3730" w:type="dxa"/>
            <w:shd w:val="clear" w:color="auto" w:fill="FFCC99"/>
          </w:tcPr>
          <w:p w:rsidR="00FE2ABA" w:rsidRPr="00927D61" w:rsidRDefault="00FE2ABA" w:rsidP="001F2953">
            <w:pPr>
              <w:rPr>
                <w:rFonts w:asciiTheme="minorHAnsi" w:hAnsiTheme="minorHAnsi" w:cstheme="minorHAnsi"/>
                <w:sz w:val="22"/>
                <w:szCs w:val="22"/>
              </w:rPr>
            </w:pPr>
            <w:r w:rsidRPr="00927D61">
              <w:rPr>
                <w:rFonts w:asciiTheme="minorHAnsi" w:hAnsiTheme="minorHAnsi" w:cstheme="minorHAnsi"/>
                <w:sz w:val="22"/>
                <w:szCs w:val="22"/>
              </w:rPr>
              <w:t>X% self report behaviour</w:t>
            </w:r>
          </w:p>
          <w:p w:rsidR="00FE2ABA" w:rsidRPr="00927D61" w:rsidRDefault="00FE2ABA" w:rsidP="001F2953">
            <w:pPr>
              <w:rPr>
                <w:rFonts w:asciiTheme="minorHAnsi" w:hAnsiTheme="minorHAnsi" w:cstheme="minorHAnsi"/>
                <w:sz w:val="22"/>
                <w:szCs w:val="22"/>
              </w:rPr>
            </w:pPr>
            <w:r w:rsidRPr="00927D61">
              <w:rPr>
                <w:rFonts w:asciiTheme="minorHAnsi" w:hAnsiTheme="minorHAnsi" w:cstheme="minorHAnsi"/>
                <w:sz w:val="22"/>
                <w:szCs w:val="22"/>
              </w:rPr>
              <w:t>X% behaviour changes recorded</w:t>
            </w:r>
          </w:p>
        </w:tc>
        <w:tc>
          <w:tcPr>
            <w:tcW w:w="2841" w:type="dxa"/>
            <w:shd w:val="clear" w:color="auto" w:fill="FFCC99"/>
          </w:tcPr>
          <w:p w:rsidR="00FE2ABA" w:rsidRPr="00927D61" w:rsidRDefault="00FE2ABA" w:rsidP="001F2953">
            <w:pPr>
              <w:rPr>
                <w:rFonts w:asciiTheme="minorHAnsi" w:hAnsiTheme="minorHAnsi" w:cstheme="minorHAnsi"/>
                <w:sz w:val="22"/>
                <w:szCs w:val="22"/>
              </w:rPr>
            </w:pPr>
            <w:r w:rsidRPr="00927D61">
              <w:rPr>
                <w:rFonts w:asciiTheme="minorHAnsi" w:hAnsiTheme="minorHAnsi" w:cstheme="minorHAnsi"/>
                <w:sz w:val="22"/>
                <w:szCs w:val="22"/>
              </w:rPr>
              <w:t>Self report (</w:t>
            </w:r>
            <w:r w:rsidR="006C38C3">
              <w:rPr>
                <w:rFonts w:asciiTheme="minorHAnsi" w:hAnsiTheme="minorHAnsi" w:cstheme="minorHAnsi"/>
                <w:sz w:val="22"/>
                <w:szCs w:val="22"/>
              </w:rPr>
              <w:t>diaries, video diaries</w:t>
            </w:r>
            <w:r w:rsidRPr="00927D61">
              <w:rPr>
                <w:rFonts w:asciiTheme="minorHAnsi" w:hAnsiTheme="minorHAnsi" w:cstheme="minorHAnsi"/>
                <w:sz w:val="22"/>
                <w:szCs w:val="22"/>
              </w:rPr>
              <w:t>)</w:t>
            </w:r>
            <w:r w:rsidR="006C38C3">
              <w:rPr>
                <w:rFonts w:asciiTheme="minorHAnsi" w:hAnsiTheme="minorHAnsi" w:cstheme="minorHAnsi"/>
                <w:sz w:val="22"/>
                <w:szCs w:val="22"/>
              </w:rPr>
              <w:t>, observation.</w:t>
            </w:r>
          </w:p>
          <w:p w:rsidR="00FE2ABA" w:rsidRPr="00927D61" w:rsidRDefault="00FE2ABA" w:rsidP="001F2953">
            <w:pPr>
              <w:rPr>
                <w:rFonts w:asciiTheme="minorHAnsi" w:hAnsiTheme="minorHAnsi" w:cstheme="minorHAnsi"/>
                <w:sz w:val="22"/>
                <w:szCs w:val="22"/>
              </w:rPr>
            </w:pPr>
            <w:r w:rsidRPr="00927D61">
              <w:rPr>
                <w:rFonts w:asciiTheme="minorHAnsi" w:hAnsiTheme="minorHAnsi" w:cstheme="minorHAnsi"/>
                <w:sz w:val="22"/>
                <w:szCs w:val="22"/>
              </w:rPr>
              <w:t>Behavioural data (e.g. participating in sports clubs, road speed data)</w:t>
            </w:r>
          </w:p>
        </w:tc>
      </w:tr>
      <w:tr w:rsidR="00FE2ABA" w:rsidRPr="00927D61" w:rsidTr="007C6320">
        <w:tc>
          <w:tcPr>
            <w:tcW w:w="1951" w:type="dxa"/>
            <w:shd w:val="clear" w:color="auto" w:fill="CCFFCC"/>
          </w:tcPr>
          <w:p w:rsidR="00FE2ABA" w:rsidRPr="00927D61" w:rsidRDefault="00FE2ABA" w:rsidP="001F2953">
            <w:pPr>
              <w:rPr>
                <w:rFonts w:asciiTheme="minorHAnsi" w:hAnsiTheme="minorHAnsi" w:cstheme="minorHAnsi"/>
                <w:sz w:val="22"/>
                <w:szCs w:val="22"/>
              </w:rPr>
            </w:pPr>
            <w:r w:rsidRPr="00927D61">
              <w:rPr>
                <w:rFonts w:asciiTheme="minorHAnsi" w:hAnsiTheme="minorHAnsi" w:cstheme="minorHAnsi"/>
                <w:bCs/>
                <w:sz w:val="22"/>
                <w:szCs w:val="22"/>
              </w:rPr>
              <w:t>Social norms</w:t>
            </w:r>
          </w:p>
        </w:tc>
        <w:tc>
          <w:tcPr>
            <w:tcW w:w="3730" w:type="dxa"/>
            <w:shd w:val="clear" w:color="auto" w:fill="CCFFCC"/>
          </w:tcPr>
          <w:p w:rsidR="00FE2ABA" w:rsidRPr="00927D61" w:rsidRDefault="00FE2ABA" w:rsidP="001F2953">
            <w:pPr>
              <w:rPr>
                <w:rFonts w:asciiTheme="minorHAnsi" w:hAnsiTheme="minorHAnsi" w:cstheme="minorHAnsi"/>
                <w:sz w:val="22"/>
                <w:szCs w:val="22"/>
              </w:rPr>
            </w:pPr>
            <w:r w:rsidRPr="00927D61">
              <w:rPr>
                <w:rFonts w:asciiTheme="minorHAnsi" w:hAnsiTheme="minorHAnsi" w:cstheme="minorHAnsi"/>
                <w:sz w:val="22"/>
                <w:szCs w:val="22"/>
              </w:rPr>
              <w:t>X% positive attitudes / positive media coverage</w:t>
            </w:r>
          </w:p>
          <w:p w:rsidR="00FE2ABA" w:rsidRPr="00927D61" w:rsidRDefault="00FE2ABA" w:rsidP="001F2953">
            <w:pPr>
              <w:rPr>
                <w:rFonts w:asciiTheme="minorHAnsi" w:hAnsiTheme="minorHAnsi" w:cstheme="minorHAnsi"/>
                <w:sz w:val="22"/>
                <w:szCs w:val="22"/>
              </w:rPr>
            </w:pPr>
            <w:r w:rsidRPr="00927D61">
              <w:rPr>
                <w:rFonts w:asciiTheme="minorHAnsi" w:hAnsiTheme="minorHAnsi" w:cstheme="minorHAnsi"/>
                <w:sz w:val="22"/>
                <w:szCs w:val="22"/>
              </w:rPr>
              <w:t>Anecdotal feedback / observation</w:t>
            </w:r>
          </w:p>
          <w:p w:rsidR="00FE2ABA" w:rsidRPr="00927D61" w:rsidRDefault="00FE2ABA" w:rsidP="001F2953">
            <w:pPr>
              <w:rPr>
                <w:rFonts w:asciiTheme="minorHAnsi" w:hAnsiTheme="minorHAnsi" w:cstheme="minorHAnsi"/>
                <w:sz w:val="22"/>
                <w:szCs w:val="22"/>
              </w:rPr>
            </w:pPr>
            <w:r w:rsidRPr="00927D61">
              <w:rPr>
                <w:rFonts w:asciiTheme="minorHAnsi" w:hAnsiTheme="minorHAnsi" w:cstheme="minorHAnsi"/>
                <w:sz w:val="22"/>
                <w:szCs w:val="22"/>
              </w:rPr>
              <w:t>Political environment</w:t>
            </w:r>
          </w:p>
        </w:tc>
        <w:tc>
          <w:tcPr>
            <w:tcW w:w="2841" w:type="dxa"/>
            <w:shd w:val="clear" w:color="auto" w:fill="CCFFCC"/>
          </w:tcPr>
          <w:p w:rsidR="00FE2ABA" w:rsidRPr="00927D61" w:rsidRDefault="00FE2ABA" w:rsidP="001F2953">
            <w:pPr>
              <w:rPr>
                <w:rFonts w:asciiTheme="minorHAnsi" w:hAnsiTheme="minorHAnsi" w:cstheme="minorHAnsi"/>
                <w:sz w:val="22"/>
                <w:szCs w:val="22"/>
              </w:rPr>
            </w:pPr>
            <w:r w:rsidRPr="00927D61">
              <w:rPr>
                <w:rFonts w:asciiTheme="minorHAnsi" w:hAnsiTheme="minorHAnsi" w:cstheme="minorHAnsi"/>
                <w:sz w:val="22"/>
                <w:szCs w:val="22"/>
              </w:rPr>
              <w:t>Surveys</w:t>
            </w:r>
          </w:p>
          <w:p w:rsidR="00FE2ABA" w:rsidRPr="00927D61" w:rsidRDefault="00FE2ABA" w:rsidP="001F2953">
            <w:pPr>
              <w:rPr>
                <w:rFonts w:asciiTheme="minorHAnsi" w:hAnsiTheme="minorHAnsi" w:cstheme="minorHAnsi"/>
                <w:sz w:val="22"/>
                <w:szCs w:val="22"/>
              </w:rPr>
            </w:pPr>
            <w:r w:rsidRPr="00927D61">
              <w:rPr>
                <w:rFonts w:asciiTheme="minorHAnsi" w:hAnsiTheme="minorHAnsi" w:cstheme="minorHAnsi"/>
                <w:sz w:val="22"/>
                <w:szCs w:val="22"/>
              </w:rPr>
              <w:t>Media and political tracking</w:t>
            </w:r>
          </w:p>
          <w:p w:rsidR="00FE2ABA" w:rsidRPr="00927D61" w:rsidRDefault="00FE2ABA" w:rsidP="001F2953">
            <w:pPr>
              <w:rPr>
                <w:rFonts w:asciiTheme="minorHAnsi" w:hAnsiTheme="minorHAnsi" w:cstheme="minorHAnsi"/>
                <w:sz w:val="22"/>
                <w:szCs w:val="22"/>
              </w:rPr>
            </w:pPr>
            <w:r w:rsidRPr="00927D61">
              <w:rPr>
                <w:rFonts w:asciiTheme="minorHAnsi" w:hAnsiTheme="minorHAnsi" w:cstheme="minorHAnsi"/>
                <w:sz w:val="22"/>
                <w:szCs w:val="22"/>
              </w:rPr>
              <w:t>Anecdotal feedback</w:t>
            </w:r>
          </w:p>
          <w:p w:rsidR="00FE2ABA" w:rsidRPr="00927D61" w:rsidRDefault="00FE2ABA" w:rsidP="001F2953">
            <w:pPr>
              <w:rPr>
                <w:rFonts w:asciiTheme="minorHAnsi" w:hAnsiTheme="minorHAnsi" w:cstheme="minorHAnsi"/>
                <w:sz w:val="22"/>
                <w:szCs w:val="22"/>
              </w:rPr>
            </w:pPr>
            <w:r w:rsidRPr="00927D61">
              <w:rPr>
                <w:rFonts w:asciiTheme="minorHAnsi" w:hAnsiTheme="minorHAnsi" w:cstheme="minorHAnsi"/>
                <w:sz w:val="22"/>
                <w:szCs w:val="22"/>
              </w:rPr>
              <w:t>Observation</w:t>
            </w:r>
          </w:p>
        </w:tc>
      </w:tr>
      <w:tr w:rsidR="00FE2ABA" w:rsidRPr="00927D61" w:rsidTr="007C6320">
        <w:tc>
          <w:tcPr>
            <w:tcW w:w="1951" w:type="dxa"/>
            <w:shd w:val="clear" w:color="auto" w:fill="FFCCFF"/>
          </w:tcPr>
          <w:p w:rsidR="00FE2ABA" w:rsidRPr="00927D61" w:rsidRDefault="00FE2ABA" w:rsidP="001F2953">
            <w:pPr>
              <w:rPr>
                <w:rFonts w:asciiTheme="minorHAnsi" w:hAnsiTheme="minorHAnsi" w:cstheme="minorHAnsi"/>
                <w:sz w:val="22"/>
                <w:szCs w:val="22"/>
              </w:rPr>
            </w:pPr>
            <w:r w:rsidRPr="00927D61">
              <w:rPr>
                <w:rFonts w:asciiTheme="minorHAnsi" w:hAnsiTheme="minorHAnsi" w:cstheme="minorHAnsi"/>
                <w:bCs/>
                <w:sz w:val="22"/>
                <w:szCs w:val="22"/>
              </w:rPr>
              <w:t>Well being</w:t>
            </w:r>
          </w:p>
        </w:tc>
        <w:tc>
          <w:tcPr>
            <w:tcW w:w="3730" w:type="dxa"/>
            <w:shd w:val="clear" w:color="auto" w:fill="FFCCFF"/>
          </w:tcPr>
          <w:p w:rsidR="00FE2ABA" w:rsidRPr="00927D61" w:rsidRDefault="00FE2ABA" w:rsidP="001F2953">
            <w:pPr>
              <w:rPr>
                <w:rFonts w:asciiTheme="minorHAnsi" w:hAnsiTheme="minorHAnsi" w:cstheme="minorHAnsi"/>
                <w:sz w:val="22"/>
                <w:szCs w:val="22"/>
              </w:rPr>
            </w:pPr>
            <w:r w:rsidRPr="00927D61">
              <w:rPr>
                <w:rFonts w:asciiTheme="minorHAnsi" w:hAnsiTheme="minorHAnsi" w:cstheme="minorHAnsi"/>
                <w:sz w:val="22"/>
                <w:szCs w:val="22"/>
              </w:rPr>
              <w:t>X% increase in social outcome</w:t>
            </w:r>
          </w:p>
          <w:p w:rsidR="00FE2ABA" w:rsidRPr="00927D61" w:rsidRDefault="00FE2ABA" w:rsidP="001F2953">
            <w:pPr>
              <w:rPr>
                <w:rFonts w:asciiTheme="minorHAnsi" w:hAnsiTheme="minorHAnsi" w:cstheme="minorHAnsi"/>
                <w:sz w:val="22"/>
                <w:szCs w:val="22"/>
              </w:rPr>
            </w:pPr>
            <w:r w:rsidRPr="00927D61">
              <w:rPr>
                <w:rFonts w:asciiTheme="minorHAnsi" w:hAnsiTheme="minorHAnsi" w:cstheme="minorHAnsi"/>
                <w:sz w:val="22"/>
                <w:szCs w:val="22"/>
              </w:rPr>
              <w:t>X% increase in environmental outcome</w:t>
            </w:r>
          </w:p>
        </w:tc>
        <w:tc>
          <w:tcPr>
            <w:tcW w:w="2841" w:type="dxa"/>
            <w:shd w:val="clear" w:color="auto" w:fill="FFCCFF"/>
          </w:tcPr>
          <w:p w:rsidR="00FE2ABA" w:rsidRPr="00927D61" w:rsidRDefault="00FE2ABA" w:rsidP="001F2953">
            <w:pPr>
              <w:rPr>
                <w:rFonts w:asciiTheme="minorHAnsi" w:hAnsiTheme="minorHAnsi" w:cstheme="minorHAnsi"/>
                <w:sz w:val="22"/>
                <w:szCs w:val="22"/>
              </w:rPr>
            </w:pPr>
            <w:r w:rsidRPr="00927D61">
              <w:rPr>
                <w:rFonts w:asciiTheme="minorHAnsi" w:hAnsiTheme="minorHAnsi" w:cstheme="minorHAnsi"/>
                <w:sz w:val="22"/>
                <w:szCs w:val="22"/>
              </w:rPr>
              <w:t>Social reports (annual complications of indicators of wellbeing)</w:t>
            </w:r>
          </w:p>
          <w:p w:rsidR="00FE2ABA" w:rsidRPr="00927D61" w:rsidRDefault="00FE2ABA" w:rsidP="001F2953">
            <w:pPr>
              <w:rPr>
                <w:rFonts w:asciiTheme="minorHAnsi" w:hAnsiTheme="minorHAnsi" w:cstheme="minorHAnsi"/>
                <w:sz w:val="22"/>
                <w:szCs w:val="22"/>
              </w:rPr>
            </w:pPr>
            <w:r w:rsidRPr="00927D61">
              <w:rPr>
                <w:rFonts w:asciiTheme="minorHAnsi" w:hAnsiTheme="minorHAnsi" w:cstheme="minorHAnsi"/>
                <w:sz w:val="22"/>
                <w:szCs w:val="22"/>
              </w:rPr>
              <w:t>Epidemiological data</w:t>
            </w:r>
          </w:p>
          <w:p w:rsidR="00FE2ABA" w:rsidRPr="00927D61" w:rsidRDefault="00FE2ABA" w:rsidP="001F2953">
            <w:pPr>
              <w:rPr>
                <w:rFonts w:asciiTheme="minorHAnsi" w:hAnsiTheme="minorHAnsi" w:cstheme="minorHAnsi"/>
                <w:sz w:val="22"/>
                <w:szCs w:val="22"/>
              </w:rPr>
            </w:pPr>
            <w:r w:rsidRPr="00927D61">
              <w:rPr>
                <w:rFonts w:asciiTheme="minorHAnsi" w:hAnsiTheme="minorHAnsi" w:cstheme="minorHAnsi"/>
                <w:sz w:val="22"/>
                <w:szCs w:val="22"/>
              </w:rPr>
              <w:t>Environmental data</w:t>
            </w:r>
          </w:p>
        </w:tc>
      </w:tr>
    </w:tbl>
    <w:p w:rsidR="00FE2ABA" w:rsidRPr="00F3562E" w:rsidRDefault="00FE2ABA" w:rsidP="00FE2ABA">
      <w:pPr>
        <w:rPr>
          <w:rFonts w:asciiTheme="minorHAnsi" w:hAnsiTheme="minorHAnsi" w:cstheme="minorHAnsi"/>
          <w:i/>
          <w:sz w:val="22"/>
          <w:szCs w:val="22"/>
        </w:rPr>
      </w:pPr>
    </w:p>
    <w:p w:rsidR="00FE2ABA" w:rsidRPr="00F3562E" w:rsidRDefault="00FE2ABA" w:rsidP="00FE2ABA">
      <w:pPr>
        <w:rPr>
          <w:rFonts w:asciiTheme="minorHAnsi" w:hAnsiTheme="minorHAnsi" w:cstheme="minorHAnsi"/>
          <w:i/>
          <w:sz w:val="22"/>
          <w:szCs w:val="22"/>
        </w:rPr>
      </w:pPr>
    </w:p>
    <w:p w:rsidR="00FE2ABA" w:rsidRPr="00F3562E" w:rsidRDefault="00FE2ABA">
      <w:pPr>
        <w:rPr>
          <w:rFonts w:asciiTheme="minorHAnsi" w:hAnsiTheme="minorHAnsi" w:cstheme="minorHAnsi"/>
          <w:i/>
          <w:sz w:val="22"/>
          <w:szCs w:val="22"/>
        </w:rPr>
      </w:pPr>
    </w:p>
    <w:p w:rsidR="00FE2ABA" w:rsidRPr="00F3562E" w:rsidRDefault="00FE2ABA">
      <w:pPr>
        <w:rPr>
          <w:rFonts w:asciiTheme="minorHAnsi" w:hAnsiTheme="minorHAnsi" w:cstheme="minorHAnsi"/>
          <w:sz w:val="22"/>
          <w:szCs w:val="22"/>
        </w:rPr>
      </w:pPr>
    </w:p>
    <w:p w:rsidR="007736E4" w:rsidRPr="00695533" w:rsidRDefault="00A129C7" w:rsidP="007736E4">
      <w:pPr>
        <w:pStyle w:val="Heading3"/>
      </w:pPr>
      <w:r>
        <w:rPr>
          <w:rFonts w:asciiTheme="minorHAnsi" w:hAnsiTheme="minorHAnsi" w:cstheme="minorHAnsi"/>
          <w:b w:val="0"/>
          <w:sz w:val="22"/>
          <w:szCs w:val="22"/>
        </w:rPr>
        <w:br w:type="page"/>
      </w:r>
      <w:r w:rsidR="00DF4586" w:rsidRPr="00C23BCD">
        <w:rPr>
          <w:rFonts w:asciiTheme="minorHAnsi" w:hAnsiTheme="minorHAnsi" w:cstheme="minorHAnsi"/>
        </w:rPr>
        <w:lastRenderedPageBreak/>
        <w:t xml:space="preserve"> </w:t>
      </w:r>
      <w:bookmarkStart w:id="66" w:name="_Toc289256769"/>
      <w:r w:rsidR="00B02879" w:rsidRPr="00695533">
        <w:t>9</w:t>
      </w:r>
      <w:r w:rsidR="007736E4" w:rsidRPr="00695533">
        <w:t xml:space="preserve">.2   Evaluating </w:t>
      </w:r>
      <w:r w:rsidR="00695533" w:rsidRPr="00695533">
        <w:t>m</w:t>
      </w:r>
      <w:r w:rsidR="007736E4" w:rsidRPr="00695533">
        <w:t xml:space="preserve">ulti-partner </w:t>
      </w:r>
      <w:r w:rsidR="00695533" w:rsidRPr="00695533">
        <w:t>i</w:t>
      </w:r>
      <w:r w:rsidR="007736E4" w:rsidRPr="00695533">
        <w:t>nterventions</w:t>
      </w:r>
      <w:bookmarkEnd w:id="66"/>
    </w:p>
    <w:p w:rsidR="00C23BCD" w:rsidRDefault="00C23BCD" w:rsidP="007736E4">
      <w:pPr>
        <w:jc w:val="both"/>
        <w:rPr>
          <w:rFonts w:asciiTheme="minorHAnsi" w:hAnsiTheme="minorHAnsi" w:cstheme="minorHAnsi"/>
        </w:rPr>
      </w:pPr>
    </w:p>
    <w:p w:rsidR="007736E4" w:rsidRPr="00C23BCD" w:rsidRDefault="007736E4" w:rsidP="007736E4">
      <w:pPr>
        <w:jc w:val="both"/>
        <w:rPr>
          <w:rFonts w:asciiTheme="minorHAnsi" w:hAnsiTheme="minorHAnsi" w:cstheme="minorHAnsi"/>
        </w:rPr>
      </w:pPr>
      <w:r w:rsidRPr="00C23BCD">
        <w:rPr>
          <w:rFonts w:asciiTheme="minorHAnsi" w:hAnsiTheme="minorHAnsi" w:cstheme="minorHAnsi"/>
        </w:rPr>
        <w:t>In working with partners it is important to gain agreement on what will count as success (or otherwise) for components over which an organisation or funding body may not have direct control.  Where interventions are largely based in a community, the resources and techniques by which data can be collected needs to be determined and agreed by all parties – and contingency measures put in place to ensure that data can be collected as agreed if participating organisations or individuals within them become unable to continue to collect the data over time.</w:t>
      </w:r>
    </w:p>
    <w:p w:rsidR="007736E4" w:rsidRPr="00C23BCD" w:rsidRDefault="007736E4" w:rsidP="007736E4">
      <w:pPr>
        <w:jc w:val="both"/>
        <w:rPr>
          <w:rFonts w:asciiTheme="minorHAnsi" w:hAnsiTheme="minorHAnsi" w:cstheme="minorHAnsi"/>
        </w:rPr>
      </w:pPr>
    </w:p>
    <w:p w:rsidR="007736E4" w:rsidRPr="00C23BCD" w:rsidRDefault="007736E4" w:rsidP="007736E4">
      <w:pPr>
        <w:jc w:val="both"/>
        <w:rPr>
          <w:rFonts w:asciiTheme="minorHAnsi" w:hAnsiTheme="minorHAnsi" w:cstheme="minorHAnsi"/>
        </w:rPr>
      </w:pPr>
      <w:r w:rsidRPr="00C23BCD">
        <w:rPr>
          <w:rFonts w:asciiTheme="minorHAnsi" w:hAnsiTheme="minorHAnsi" w:cstheme="minorHAnsi"/>
        </w:rPr>
        <w:t>Evaluation of procedures may include partners themselves evaluating whether they believe progress is being made and whether they believe their involvement is a positive experience.</w:t>
      </w:r>
    </w:p>
    <w:p w:rsidR="007736E4" w:rsidRPr="00C23BCD" w:rsidRDefault="007736E4" w:rsidP="007736E4">
      <w:pPr>
        <w:jc w:val="both"/>
        <w:rPr>
          <w:rFonts w:asciiTheme="minorHAnsi" w:hAnsiTheme="minorHAnsi" w:cstheme="minorHAnsi"/>
        </w:rPr>
      </w:pPr>
      <w:r w:rsidRPr="00C23BCD">
        <w:rPr>
          <w:rFonts w:asciiTheme="minorHAnsi" w:hAnsiTheme="minorHAnsi" w:cstheme="minorHAnsi"/>
        </w:rPr>
        <w:t>Evaluation of service delivery by the partnership may involve counts of the number of users of the services and other quantitative measures.  There is the opportunity to gain valuable insights as to how well services meet the client’s expectations and needs through questions such as the following:</w:t>
      </w:r>
    </w:p>
    <w:p w:rsidR="007736E4" w:rsidRPr="00C23BCD" w:rsidRDefault="007736E4" w:rsidP="007736E4">
      <w:pPr>
        <w:ind w:left="284"/>
        <w:jc w:val="both"/>
        <w:rPr>
          <w:rFonts w:asciiTheme="minorHAnsi" w:hAnsiTheme="minorHAnsi" w:cstheme="minorHAnsi"/>
        </w:rPr>
      </w:pPr>
    </w:p>
    <w:p w:rsidR="007736E4" w:rsidRPr="00C23BCD" w:rsidRDefault="007736E4" w:rsidP="007736E4">
      <w:pPr>
        <w:ind w:left="284"/>
        <w:jc w:val="both"/>
        <w:rPr>
          <w:rFonts w:asciiTheme="minorHAnsi" w:hAnsiTheme="minorHAnsi" w:cstheme="minorHAnsi"/>
        </w:rPr>
      </w:pPr>
      <w:r w:rsidRPr="00C23BCD">
        <w:rPr>
          <w:rFonts w:asciiTheme="minorHAnsi" w:hAnsiTheme="minorHAnsi" w:cstheme="minorHAnsi"/>
        </w:rPr>
        <w:t>Do participants feel like they are making progress?</w:t>
      </w:r>
    </w:p>
    <w:p w:rsidR="007736E4" w:rsidRPr="00C23BCD" w:rsidRDefault="007736E4" w:rsidP="007736E4">
      <w:pPr>
        <w:ind w:left="284"/>
        <w:jc w:val="both"/>
        <w:rPr>
          <w:rFonts w:asciiTheme="minorHAnsi" w:hAnsiTheme="minorHAnsi" w:cstheme="minorHAnsi"/>
        </w:rPr>
      </w:pPr>
      <w:r w:rsidRPr="00C23BCD">
        <w:rPr>
          <w:rFonts w:asciiTheme="minorHAnsi" w:hAnsiTheme="minorHAnsi" w:cstheme="minorHAnsi"/>
        </w:rPr>
        <w:t>Are no, or few, negative side effects reported by participants?</w:t>
      </w:r>
    </w:p>
    <w:p w:rsidR="007736E4" w:rsidRPr="00C23BCD" w:rsidRDefault="007736E4" w:rsidP="007736E4">
      <w:pPr>
        <w:ind w:left="284"/>
        <w:jc w:val="both"/>
        <w:rPr>
          <w:rFonts w:asciiTheme="minorHAnsi" w:hAnsiTheme="minorHAnsi" w:cstheme="minorHAnsi"/>
        </w:rPr>
      </w:pPr>
      <w:r w:rsidRPr="00C23BCD">
        <w:rPr>
          <w:rFonts w:asciiTheme="minorHAnsi" w:hAnsiTheme="minorHAnsi" w:cstheme="minorHAnsi"/>
        </w:rPr>
        <w:t>Do participants report that they like involvement with the programme?</w:t>
      </w:r>
    </w:p>
    <w:p w:rsidR="007736E4" w:rsidRPr="00C23BCD" w:rsidRDefault="007736E4" w:rsidP="007736E4">
      <w:pPr>
        <w:ind w:left="284"/>
        <w:jc w:val="both"/>
        <w:rPr>
          <w:rFonts w:asciiTheme="minorHAnsi" w:hAnsiTheme="minorHAnsi" w:cstheme="minorHAnsi"/>
        </w:rPr>
      </w:pPr>
      <w:r w:rsidRPr="00C23BCD">
        <w:rPr>
          <w:rFonts w:asciiTheme="minorHAnsi" w:hAnsiTheme="minorHAnsi" w:cstheme="minorHAnsi"/>
        </w:rPr>
        <w:t>Do participants recommend it to others?</w:t>
      </w:r>
    </w:p>
    <w:p w:rsidR="007736E4" w:rsidRPr="00C23BCD" w:rsidRDefault="007736E4" w:rsidP="007736E4">
      <w:pPr>
        <w:ind w:left="284"/>
        <w:jc w:val="both"/>
        <w:rPr>
          <w:rFonts w:asciiTheme="minorHAnsi" w:hAnsiTheme="minorHAnsi" w:cstheme="minorHAnsi"/>
        </w:rPr>
      </w:pPr>
      <w:r w:rsidRPr="00C23BCD">
        <w:rPr>
          <w:rFonts w:asciiTheme="minorHAnsi" w:hAnsiTheme="minorHAnsi" w:cstheme="minorHAnsi"/>
        </w:rPr>
        <w:t>Do those people around the participants (e.g. family and friends) report that participants are making progress and are satisfied with their involvement?</w:t>
      </w:r>
    </w:p>
    <w:p w:rsidR="007736E4" w:rsidRPr="00C23BCD" w:rsidRDefault="007736E4" w:rsidP="007736E4">
      <w:pPr>
        <w:ind w:left="284"/>
        <w:jc w:val="both"/>
        <w:rPr>
          <w:rFonts w:asciiTheme="minorHAnsi" w:hAnsiTheme="minorHAnsi" w:cstheme="minorHAnsi"/>
        </w:rPr>
      </w:pPr>
      <w:r w:rsidRPr="00C23BCD">
        <w:rPr>
          <w:rFonts w:asciiTheme="minorHAnsi" w:hAnsiTheme="minorHAnsi" w:cstheme="minorHAnsi"/>
        </w:rPr>
        <w:t xml:space="preserve">Do participants feel that they are included in the development process? Do they feel that they have a </w:t>
      </w:r>
      <w:r w:rsidR="00A42D2C" w:rsidRPr="00C23BCD">
        <w:rPr>
          <w:rFonts w:asciiTheme="minorHAnsi" w:hAnsiTheme="minorHAnsi" w:cstheme="minorHAnsi"/>
        </w:rPr>
        <w:t>voice in programme improvement?</w:t>
      </w:r>
      <w:r w:rsidRPr="00C23BCD">
        <w:rPr>
          <w:rStyle w:val="EndnoteReference"/>
          <w:rFonts w:asciiTheme="minorHAnsi" w:hAnsiTheme="minorHAnsi" w:cstheme="minorHAnsi"/>
        </w:rPr>
        <w:endnoteReference w:id="227"/>
      </w:r>
      <w:r w:rsidRPr="00C23BCD">
        <w:rPr>
          <w:rFonts w:asciiTheme="minorHAnsi" w:hAnsiTheme="minorHAnsi" w:cstheme="minorHAnsi"/>
          <w:vertAlign w:val="superscript"/>
        </w:rPr>
        <w:t>, p. 131</w:t>
      </w:r>
    </w:p>
    <w:p w:rsidR="007736E4" w:rsidRPr="00C23BCD" w:rsidRDefault="007736E4" w:rsidP="007736E4">
      <w:pPr>
        <w:ind w:left="284"/>
        <w:jc w:val="both"/>
        <w:rPr>
          <w:rFonts w:asciiTheme="minorHAnsi" w:hAnsiTheme="minorHAnsi" w:cstheme="minorHAnsi"/>
        </w:rPr>
      </w:pPr>
    </w:p>
    <w:p w:rsidR="007736E4" w:rsidRPr="00C23BCD" w:rsidRDefault="007736E4" w:rsidP="007736E4">
      <w:pPr>
        <w:jc w:val="both"/>
        <w:rPr>
          <w:rFonts w:asciiTheme="minorHAnsi" w:hAnsiTheme="minorHAnsi" w:cstheme="minorHAnsi"/>
        </w:rPr>
      </w:pPr>
      <w:r w:rsidRPr="00C23BCD">
        <w:rPr>
          <w:rFonts w:asciiTheme="minorHAnsi" w:hAnsiTheme="minorHAnsi" w:cstheme="minorHAnsi"/>
        </w:rPr>
        <w:t>Collection and analysis of data can be problematic, as the following example shows:</w:t>
      </w:r>
    </w:p>
    <w:p w:rsidR="007736E4" w:rsidRPr="0044769A" w:rsidRDefault="007736E4" w:rsidP="007736E4">
      <w:pPr>
        <w:jc w:val="both"/>
        <w:rPr>
          <w:rFonts w:asciiTheme="minorHAnsi" w:hAnsiTheme="minorHAnsi" w:cstheme="minorHAnsi"/>
          <w:sz w:val="22"/>
          <w:szCs w:val="22"/>
        </w:rPr>
      </w:pPr>
    </w:p>
    <w:p w:rsidR="007736E4" w:rsidRPr="0044769A" w:rsidRDefault="007736E4" w:rsidP="007736E4">
      <w:pPr>
        <w:pBdr>
          <w:top w:val="single" w:sz="4" w:space="1" w:color="auto"/>
          <w:left w:val="single" w:sz="4" w:space="4" w:color="auto"/>
          <w:bottom w:val="single" w:sz="4" w:space="1" w:color="auto"/>
          <w:right w:val="single" w:sz="4" w:space="4" w:color="auto"/>
        </w:pBdr>
        <w:shd w:val="clear" w:color="auto" w:fill="CCFFFF"/>
        <w:jc w:val="both"/>
        <w:rPr>
          <w:rFonts w:asciiTheme="minorHAnsi" w:hAnsiTheme="minorHAnsi" w:cstheme="minorHAnsi"/>
        </w:rPr>
      </w:pPr>
      <w:r w:rsidRPr="0044769A">
        <w:rPr>
          <w:rFonts w:asciiTheme="minorHAnsi" w:hAnsiTheme="minorHAnsi" w:cstheme="minorHAnsi"/>
        </w:rPr>
        <w:t>UK Community Alcohol Prevention Programme (UKCAPP)</w:t>
      </w:r>
    </w:p>
    <w:p w:rsidR="007736E4" w:rsidRPr="0044769A" w:rsidRDefault="007736E4" w:rsidP="007736E4">
      <w:pPr>
        <w:pBdr>
          <w:top w:val="single" w:sz="4" w:space="1" w:color="auto"/>
          <w:left w:val="single" w:sz="4" w:space="4" w:color="auto"/>
          <w:bottom w:val="single" w:sz="4" w:space="1" w:color="auto"/>
          <w:right w:val="single" w:sz="4" w:space="4" w:color="auto"/>
        </w:pBdr>
        <w:shd w:val="clear" w:color="auto" w:fill="CCFFFF"/>
        <w:jc w:val="both"/>
        <w:rPr>
          <w:rFonts w:asciiTheme="minorHAnsi" w:hAnsiTheme="minorHAnsi" w:cstheme="minorHAnsi"/>
        </w:rPr>
      </w:pPr>
      <w:r w:rsidRPr="0044769A">
        <w:rPr>
          <w:rFonts w:asciiTheme="minorHAnsi" w:hAnsiTheme="minorHAnsi" w:cstheme="minorHAnsi"/>
        </w:rPr>
        <w:t>A number of community partnerships have been formed in the UK to reduce alcohol-related harm through community-based interventions focussing not on specific target groups but rather on changing community structures or environments</w:t>
      </w:r>
      <w:r w:rsidRPr="0044769A">
        <w:rPr>
          <w:rStyle w:val="EndnoteReference"/>
          <w:rFonts w:asciiTheme="minorHAnsi" w:hAnsiTheme="minorHAnsi" w:cstheme="minorHAnsi"/>
        </w:rPr>
        <w:endnoteReference w:id="228"/>
      </w:r>
      <w:r w:rsidRPr="0044769A">
        <w:rPr>
          <w:rFonts w:asciiTheme="minorHAnsi" w:hAnsiTheme="minorHAnsi" w:cstheme="minorHAnsi"/>
        </w:rPr>
        <w:t xml:space="preserve">.   Partnerships in individual areas involved partners such as </w:t>
      </w:r>
      <w:r w:rsidR="00A42D2C">
        <w:rPr>
          <w:rFonts w:asciiTheme="minorHAnsi" w:hAnsiTheme="minorHAnsi" w:cstheme="minorHAnsi"/>
        </w:rPr>
        <w:t>‘</w:t>
      </w:r>
      <w:r w:rsidRPr="0044769A">
        <w:rPr>
          <w:rFonts w:asciiTheme="minorHAnsi" w:hAnsiTheme="minorHAnsi" w:cstheme="minorHAnsi"/>
        </w:rPr>
        <w:t>health authorities, community safety partnerships, alcohol and / or drugs teams, police, licensing forums, the news media, the licensed trade and groups representing sections of the general public</w:t>
      </w:r>
      <w:r w:rsidR="00A42D2C">
        <w:rPr>
          <w:rFonts w:asciiTheme="minorHAnsi" w:hAnsiTheme="minorHAnsi" w:cstheme="minorHAnsi"/>
        </w:rPr>
        <w:t>.</w:t>
      </w:r>
      <w:r w:rsidRPr="0044769A">
        <w:rPr>
          <w:rStyle w:val="EndnoteReference"/>
          <w:rFonts w:asciiTheme="minorHAnsi" w:hAnsiTheme="minorHAnsi" w:cstheme="minorHAnsi"/>
        </w:rPr>
        <w:endnoteReference w:id="229"/>
      </w:r>
      <w:r w:rsidRPr="0044769A">
        <w:rPr>
          <w:rFonts w:asciiTheme="minorHAnsi" w:hAnsiTheme="minorHAnsi" w:cstheme="minorHAnsi"/>
        </w:rPr>
        <w:t xml:space="preserve">  </w:t>
      </w:r>
    </w:p>
    <w:p w:rsidR="007736E4" w:rsidRPr="0044769A" w:rsidRDefault="007736E4" w:rsidP="007736E4">
      <w:pPr>
        <w:pBdr>
          <w:top w:val="single" w:sz="4" w:space="1" w:color="auto"/>
          <w:left w:val="single" w:sz="4" w:space="4" w:color="auto"/>
          <w:bottom w:val="single" w:sz="4" w:space="1" w:color="auto"/>
          <w:right w:val="single" w:sz="4" w:space="4" w:color="auto"/>
        </w:pBdr>
        <w:shd w:val="clear" w:color="auto" w:fill="CCFFFF"/>
        <w:jc w:val="both"/>
        <w:rPr>
          <w:rFonts w:asciiTheme="minorHAnsi" w:hAnsiTheme="minorHAnsi" w:cstheme="minorHAnsi"/>
        </w:rPr>
      </w:pPr>
    </w:p>
    <w:p w:rsidR="007736E4" w:rsidRPr="0044769A" w:rsidRDefault="007736E4" w:rsidP="007736E4">
      <w:pPr>
        <w:pBdr>
          <w:top w:val="single" w:sz="4" w:space="1" w:color="auto"/>
          <w:left w:val="single" w:sz="4" w:space="4" w:color="auto"/>
          <w:bottom w:val="single" w:sz="4" w:space="1" w:color="auto"/>
          <w:right w:val="single" w:sz="4" w:space="4" w:color="auto"/>
        </w:pBdr>
        <w:shd w:val="clear" w:color="auto" w:fill="CCFFFF"/>
        <w:jc w:val="both"/>
        <w:rPr>
          <w:rFonts w:asciiTheme="minorHAnsi" w:hAnsiTheme="minorHAnsi" w:cstheme="minorHAnsi"/>
          <w:sz w:val="18"/>
          <w:szCs w:val="18"/>
        </w:rPr>
      </w:pPr>
      <w:r w:rsidRPr="0044769A">
        <w:rPr>
          <w:rFonts w:asciiTheme="minorHAnsi" w:hAnsiTheme="minorHAnsi" w:cstheme="minorHAnsi"/>
        </w:rPr>
        <w:t>Initial analysis of the impact of these programmes focussed on the challenges of developing and maintaining positive relationships between partners, managing time and resources as well as reconciling differing agendas.  More recent analyses highlighted difficulties in sourcing and interpreting data intended to measure the impact of programmes.  Problems were evident in data collection due to different methods used by partners such as the police, ambulance and hospital / A&amp;E departments, together with the impact of subjective judgement by analysts as to classification of data</w:t>
      </w:r>
      <w:r w:rsidRPr="0044769A">
        <w:rPr>
          <w:rStyle w:val="EndnoteReference"/>
          <w:rFonts w:asciiTheme="minorHAnsi" w:hAnsiTheme="minorHAnsi" w:cstheme="minorHAnsi"/>
        </w:rPr>
        <w:endnoteReference w:id="230"/>
      </w:r>
      <w:r w:rsidRPr="0044769A">
        <w:rPr>
          <w:rFonts w:asciiTheme="minorHAnsi" w:hAnsiTheme="minorHAnsi" w:cstheme="minorHAnsi"/>
        </w:rPr>
        <w:t>.</w:t>
      </w:r>
    </w:p>
    <w:p w:rsidR="007736E4" w:rsidRPr="00C23BCD" w:rsidRDefault="007736E4" w:rsidP="007736E4">
      <w:pPr>
        <w:jc w:val="both"/>
        <w:rPr>
          <w:rFonts w:asciiTheme="minorHAnsi" w:hAnsiTheme="minorHAnsi" w:cstheme="minorHAnsi"/>
        </w:rPr>
      </w:pPr>
      <w:r w:rsidRPr="00C23BCD">
        <w:rPr>
          <w:rFonts w:asciiTheme="minorHAnsi" w:hAnsiTheme="minorHAnsi" w:cstheme="minorHAnsi"/>
        </w:rPr>
        <w:lastRenderedPageBreak/>
        <w:t>From the perspective of those providing funding for services that may be provided by partnerships, there will be an expectation of the impact of the partnership’s activity on the wider community, including cost-effectiveness or return on investment data.</w:t>
      </w:r>
    </w:p>
    <w:p w:rsidR="007736E4" w:rsidRPr="00C23BCD" w:rsidRDefault="007736E4" w:rsidP="007736E4">
      <w:pPr>
        <w:jc w:val="both"/>
        <w:rPr>
          <w:rFonts w:asciiTheme="minorHAnsi" w:hAnsiTheme="minorHAnsi" w:cstheme="minorHAnsi"/>
        </w:rPr>
      </w:pPr>
    </w:p>
    <w:p w:rsidR="007736E4" w:rsidRPr="00C23BCD" w:rsidRDefault="007736E4" w:rsidP="007736E4">
      <w:pPr>
        <w:rPr>
          <w:rFonts w:asciiTheme="minorHAnsi" w:hAnsiTheme="minorHAnsi" w:cstheme="minorHAnsi"/>
        </w:rPr>
      </w:pPr>
      <w:r w:rsidRPr="00C23BCD">
        <w:rPr>
          <w:rFonts w:asciiTheme="minorHAnsi" w:hAnsiTheme="minorHAnsi" w:cstheme="minorHAnsi"/>
        </w:rPr>
        <w:t xml:space="preserve">Lessons can be learned from international best practice/demonstrable impact , for example the following two cases provide significant contrasts.  The VERB case was grounded in behavioural change theory, involved multiple contributing organisations and achieved all objectives set:  </w:t>
      </w:r>
    </w:p>
    <w:p w:rsidR="007736E4" w:rsidRPr="00C23BCD" w:rsidRDefault="007736E4" w:rsidP="007736E4">
      <w:pPr>
        <w:rPr>
          <w:rFonts w:asciiTheme="minorHAnsi" w:hAnsiTheme="minorHAnsi" w:cstheme="minorHAnsi"/>
        </w:rPr>
      </w:pPr>
    </w:p>
    <w:p w:rsidR="007736E4" w:rsidRDefault="007736E4" w:rsidP="007736E4">
      <w:pPr>
        <w:pBdr>
          <w:top w:val="single" w:sz="4" w:space="1" w:color="auto"/>
          <w:left w:val="single" w:sz="4" w:space="4" w:color="auto"/>
          <w:bottom w:val="single" w:sz="4" w:space="1" w:color="auto"/>
          <w:right w:val="single" w:sz="4" w:space="4" w:color="auto"/>
        </w:pBdr>
        <w:shd w:val="clear" w:color="auto" w:fill="CCFFFF"/>
        <w:rPr>
          <w:rFonts w:asciiTheme="minorHAnsi" w:hAnsiTheme="minorHAnsi"/>
          <w:b/>
        </w:rPr>
      </w:pPr>
    </w:p>
    <w:p w:rsidR="007736E4" w:rsidRPr="00D6409C" w:rsidRDefault="007736E4" w:rsidP="007736E4">
      <w:pPr>
        <w:pBdr>
          <w:top w:val="single" w:sz="4" w:space="1" w:color="auto"/>
          <w:left w:val="single" w:sz="4" w:space="4" w:color="auto"/>
          <w:bottom w:val="single" w:sz="4" w:space="1" w:color="auto"/>
          <w:right w:val="single" w:sz="4" w:space="4" w:color="auto"/>
        </w:pBdr>
        <w:shd w:val="clear" w:color="auto" w:fill="CCFFFF"/>
        <w:rPr>
          <w:rFonts w:asciiTheme="minorHAnsi" w:hAnsiTheme="minorHAnsi"/>
        </w:rPr>
      </w:pPr>
      <w:r w:rsidRPr="003D751B">
        <w:rPr>
          <w:rFonts w:asciiTheme="minorHAnsi" w:hAnsiTheme="minorHAnsi"/>
          <w:b/>
        </w:rPr>
        <w:t>VERB:</w:t>
      </w:r>
      <w:r>
        <w:rPr>
          <w:rFonts w:asciiTheme="minorHAnsi" w:hAnsiTheme="minorHAnsi"/>
        </w:rPr>
        <w:t xml:space="preserve">  This US physical activity intervention was aimed at 9 – 13 year olds and specifically included the perceptions of ethnic minorities and those with physical disabilities.  The involvement of a wide range of stakeholders, including communities, at all stages of development and implementation, coupled with comprehensive qualitative and quantitative research to provide insights into barriers to, and enablers of, increasing physical activity led to sustained improvement in physical activity across the target segment</w:t>
      </w:r>
      <w:r w:rsidR="00C23BCD">
        <w:rPr>
          <w:rFonts w:asciiTheme="minorHAnsi" w:hAnsiTheme="minorHAnsi"/>
        </w:rPr>
        <w:t>.</w:t>
      </w:r>
      <w:r>
        <w:rPr>
          <w:rStyle w:val="EndnoteReference"/>
          <w:rFonts w:asciiTheme="minorHAnsi" w:eastAsiaTheme="majorEastAsia" w:hAnsiTheme="minorHAnsi"/>
        </w:rPr>
        <w:endnoteReference w:id="231"/>
      </w:r>
    </w:p>
    <w:p w:rsidR="007736E4" w:rsidRDefault="007736E4" w:rsidP="007736E4">
      <w:pPr>
        <w:pBdr>
          <w:top w:val="single" w:sz="4" w:space="1" w:color="auto"/>
          <w:left w:val="single" w:sz="4" w:space="4" w:color="auto"/>
          <w:bottom w:val="single" w:sz="4" w:space="1" w:color="auto"/>
          <w:right w:val="single" w:sz="4" w:space="4" w:color="auto"/>
        </w:pBdr>
        <w:shd w:val="clear" w:color="auto" w:fill="CCFFFF"/>
        <w:rPr>
          <w:rFonts w:asciiTheme="minorHAnsi" w:hAnsiTheme="minorHAnsi" w:cstheme="minorHAnsi"/>
          <w:sz w:val="22"/>
          <w:szCs w:val="22"/>
        </w:rPr>
      </w:pPr>
    </w:p>
    <w:p w:rsidR="007736E4" w:rsidRPr="00C23BCD" w:rsidRDefault="007736E4" w:rsidP="007736E4">
      <w:pPr>
        <w:rPr>
          <w:rFonts w:asciiTheme="majorHAnsi" w:eastAsiaTheme="majorEastAsia" w:hAnsiTheme="majorHAnsi" w:cstheme="majorBidi"/>
          <w:b/>
          <w:bCs/>
          <w:i/>
          <w:iCs/>
          <w:color w:val="4F81BD" w:themeColor="accent1"/>
        </w:rPr>
      </w:pPr>
    </w:p>
    <w:p w:rsidR="007736E4" w:rsidRPr="00C23BCD" w:rsidRDefault="007736E4" w:rsidP="007736E4">
      <w:pPr>
        <w:jc w:val="both"/>
        <w:rPr>
          <w:rFonts w:asciiTheme="minorHAnsi" w:hAnsiTheme="minorHAnsi" w:cstheme="minorHAnsi"/>
        </w:rPr>
      </w:pPr>
      <w:r w:rsidRPr="00C23BCD">
        <w:rPr>
          <w:rFonts w:asciiTheme="minorHAnsi" w:hAnsiTheme="minorHAnsi" w:cstheme="minorHAnsi"/>
        </w:rPr>
        <w:t>In other cases, evidence of impact may indicate variable effects across different types of behaviours, as is shown in the health promoting schools case below.</w:t>
      </w:r>
    </w:p>
    <w:p w:rsidR="007736E4" w:rsidRDefault="007736E4" w:rsidP="007736E4">
      <w:pPr>
        <w:rPr>
          <w:rFonts w:asciiTheme="minorHAnsi" w:hAnsiTheme="minorHAnsi" w:cstheme="minorHAnsi"/>
          <w:sz w:val="22"/>
          <w:szCs w:val="22"/>
        </w:rPr>
      </w:pPr>
    </w:p>
    <w:p w:rsidR="007736E4" w:rsidRDefault="007736E4" w:rsidP="007736E4">
      <w:pPr>
        <w:pBdr>
          <w:top w:val="single" w:sz="4" w:space="1" w:color="auto"/>
          <w:left w:val="single" w:sz="4" w:space="4" w:color="auto"/>
          <w:bottom w:val="single" w:sz="4" w:space="1" w:color="auto"/>
          <w:right w:val="single" w:sz="4" w:space="4" w:color="auto"/>
        </w:pBdr>
        <w:shd w:val="clear" w:color="auto" w:fill="CCFFFF"/>
        <w:rPr>
          <w:rFonts w:asciiTheme="minorHAnsi" w:hAnsiTheme="minorHAnsi"/>
          <w:b/>
        </w:rPr>
      </w:pPr>
    </w:p>
    <w:p w:rsidR="007736E4" w:rsidRDefault="007736E4" w:rsidP="007736E4">
      <w:pPr>
        <w:pBdr>
          <w:top w:val="single" w:sz="4" w:space="1" w:color="auto"/>
          <w:left w:val="single" w:sz="4" w:space="4" w:color="auto"/>
          <w:bottom w:val="single" w:sz="4" w:space="1" w:color="auto"/>
          <w:right w:val="single" w:sz="4" w:space="4" w:color="auto"/>
        </w:pBdr>
        <w:shd w:val="clear" w:color="auto" w:fill="CCFFFF"/>
        <w:rPr>
          <w:rFonts w:asciiTheme="minorHAnsi" w:hAnsiTheme="minorHAnsi"/>
        </w:rPr>
      </w:pPr>
      <w:r w:rsidRPr="003D751B">
        <w:rPr>
          <w:rFonts w:asciiTheme="minorHAnsi" w:hAnsiTheme="minorHAnsi"/>
          <w:b/>
        </w:rPr>
        <w:t>Health Promoting Schools</w:t>
      </w:r>
      <w:r>
        <w:rPr>
          <w:rFonts w:asciiTheme="minorHAnsi" w:hAnsiTheme="minorHAnsi"/>
          <w:b/>
        </w:rPr>
        <w:t>:</w:t>
      </w:r>
      <w:r>
        <w:rPr>
          <w:rFonts w:asciiTheme="minorHAnsi" w:hAnsiTheme="minorHAnsi"/>
        </w:rPr>
        <w:t xml:space="preserve">  This is an international holistic, multi-factorial approach, targeting personal, cognitive and social skills in order to improve physical activity, healthy eating and emotional health.  Sustained improvements on these factors have been demonstrated in many countries in which the approach has been used</w:t>
      </w:r>
      <w:r>
        <w:rPr>
          <w:rStyle w:val="EndnoteReference"/>
          <w:rFonts w:asciiTheme="minorHAnsi" w:eastAsiaTheme="majorEastAsia" w:hAnsiTheme="minorHAnsi"/>
        </w:rPr>
        <w:endnoteReference w:id="232"/>
      </w:r>
      <w:r>
        <w:rPr>
          <w:rFonts w:asciiTheme="minorHAnsi" w:hAnsiTheme="minorHAnsi"/>
        </w:rPr>
        <w:t xml:space="preserve">, </w:t>
      </w:r>
      <w:r>
        <w:rPr>
          <w:rStyle w:val="EndnoteReference"/>
          <w:rFonts w:asciiTheme="minorHAnsi" w:eastAsiaTheme="majorEastAsia" w:hAnsiTheme="minorHAnsi"/>
        </w:rPr>
        <w:endnoteReference w:id="233"/>
      </w:r>
      <w:r>
        <w:rPr>
          <w:rFonts w:asciiTheme="minorHAnsi" w:hAnsiTheme="minorHAnsi"/>
        </w:rPr>
        <w:t>. Note:  associated programmes aimed at decreasing illicit substance use and reducing suicide potential have been less successful</w:t>
      </w:r>
      <w:r w:rsidR="00C23BCD">
        <w:rPr>
          <w:rFonts w:asciiTheme="minorHAnsi" w:hAnsiTheme="minorHAnsi"/>
        </w:rPr>
        <w:t>.</w:t>
      </w:r>
      <w:r>
        <w:rPr>
          <w:rStyle w:val="EndnoteReference"/>
          <w:rFonts w:asciiTheme="minorHAnsi" w:eastAsiaTheme="majorEastAsia" w:hAnsiTheme="minorHAnsi"/>
        </w:rPr>
        <w:endnoteReference w:id="234"/>
      </w:r>
    </w:p>
    <w:p w:rsidR="007736E4" w:rsidRPr="003D751B" w:rsidRDefault="007736E4" w:rsidP="007736E4">
      <w:pPr>
        <w:pBdr>
          <w:top w:val="single" w:sz="4" w:space="1" w:color="auto"/>
          <w:left w:val="single" w:sz="4" w:space="4" w:color="auto"/>
          <w:bottom w:val="single" w:sz="4" w:space="1" w:color="auto"/>
          <w:right w:val="single" w:sz="4" w:space="4" w:color="auto"/>
        </w:pBdr>
        <w:shd w:val="clear" w:color="auto" w:fill="CCFFFF"/>
        <w:rPr>
          <w:rFonts w:asciiTheme="minorHAnsi" w:hAnsiTheme="minorHAnsi"/>
        </w:rPr>
      </w:pPr>
    </w:p>
    <w:p w:rsidR="007736E4" w:rsidRDefault="007736E4" w:rsidP="007736E4">
      <w:pPr>
        <w:rPr>
          <w:rFonts w:asciiTheme="minorHAnsi" w:hAnsiTheme="minorHAnsi" w:cstheme="minorHAnsi"/>
          <w:sz w:val="22"/>
          <w:szCs w:val="22"/>
        </w:rPr>
      </w:pPr>
    </w:p>
    <w:p w:rsidR="007736E4" w:rsidRDefault="007736E4" w:rsidP="007736E4">
      <w:pPr>
        <w:rPr>
          <w:rFonts w:asciiTheme="minorHAnsi" w:hAnsiTheme="minorHAnsi" w:cstheme="minorHAnsi"/>
          <w:sz w:val="22"/>
          <w:szCs w:val="22"/>
        </w:rPr>
      </w:pPr>
    </w:p>
    <w:p w:rsidR="00C150F9" w:rsidRDefault="00A50E63" w:rsidP="007736E4">
      <w:pPr>
        <w:pStyle w:val="Heading3"/>
      </w:pPr>
      <w:bookmarkStart w:id="67" w:name="_Toc289256770"/>
      <w:r>
        <w:t>HLWP</w:t>
      </w:r>
      <w:r w:rsidR="00C174B4">
        <w:t>4.  A new public health system with strong local and national leadership</w:t>
      </w:r>
      <w:bookmarkEnd w:id="67"/>
    </w:p>
    <w:p w:rsidR="00FC027D" w:rsidRPr="00123F79" w:rsidRDefault="00FC027D" w:rsidP="00123F79">
      <w:pPr>
        <w:pStyle w:val="Default"/>
        <w:rPr>
          <w:rFonts w:asciiTheme="minorHAnsi" w:hAnsiTheme="minorHAnsi" w:cs="Times New Roman"/>
        </w:rPr>
      </w:pPr>
    </w:p>
    <w:p w:rsidR="00B81BDA" w:rsidRPr="00401356" w:rsidRDefault="00123F79" w:rsidP="00B81BDA">
      <w:pPr>
        <w:pStyle w:val="Default"/>
        <w:rPr>
          <w:rFonts w:asciiTheme="minorHAnsi" w:hAnsiTheme="minorHAnsi" w:cs="Times New Roman"/>
        </w:rPr>
      </w:pPr>
      <w:r w:rsidRPr="00123F79">
        <w:rPr>
          <w:rFonts w:asciiTheme="minorHAnsi" w:hAnsiTheme="minorHAnsi" w:cs="Times New Roman"/>
        </w:rPr>
        <w:t xml:space="preserve">A matter for ongoing debate is the location of Public Health England in terms of whether the needs of the public would be best served by an independent voice focussed on their specific needs versus </w:t>
      </w:r>
      <w:r>
        <w:rPr>
          <w:rFonts w:asciiTheme="minorHAnsi" w:hAnsiTheme="minorHAnsi" w:cs="Times New Roman"/>
        </w:rPr>
        <w:t xml:space="preserve">a location </w:t>
      </w:r>
      <w:r w:rsidRPr="00123F79">
        <w:rPr>
          <w:rFonts w:asciiTheme="minorHAnsi" w:hAnsiTheme="minorHAnsi" w:cs="Times New Roman"/>
        </w:rPr>
        <w:t>within the Department of Health which may achieve efficiencies of scale but result in public health being subsumed under a broader agenda and possibly losing its focus.</w:t>
      </w:r>
      <w:r>
        <w:rPr>
          <w:rFonts w:asciiTheme="minorHAnsi" w:hAnsiTheme="minorHAnsi" w:cs="Times New Roman"/>
        </w:rPr>
        <w:t xml:space="preserve"> </w:t>
      </w:r>
      <w:r w:rsidR="00B81BDA" w:rsidRPr="00401356">
        <w:rPr>
          <w:rFonts w:asciiTheme="minorHAnsi" w:hAnsiTheme="minorHAnsi" w:cs="Times New Roman"/>
        </w:rPr>
        <w:t>In the new NHS structure:</w:t>
      </w:r>
    </w:p>
    <w:p w:rsidR="00B81BDA" w:rsidRPr="00401356" w:rsidRDefault="00B81BDA" w:rsidP="00B81BDA">
      <w:pPr>
        <w:pStyle w:val="Default"/>
        <w:rPr>
          <w:rFonts w:asciiTheme="minorHAnsi" w:hAnsiTheme="minorHAnsi" w:cs="Times New Roman"/>
        </w:rPr>
      </w:pPr>
    </w:p>
    <w:p w:rsidR="00B81BDA" w:rsidRPr="00401356" w:rsidRDefault="00B81BDA" w:rsidP="00B81BDA">
      <w:pPr>
        <w:pStyle w:val="Default"/>
        <w:ind w:left="720"/>
        <w:rPr>
          <w:rFonts w:asciiTheme="minorHAnsi" w:hAnsiTheme="minorHAnsi" w:cs="Times New Roman"/>
        </w:rPr>
      </w:pPr>
      <w:r w:rsidRPr="00401356">
        <w:rPr>
          <w:rFonts w:asciiTheme="minorHAnsi" w:hAnsiTheme="minorHAnsi" w:cs="Times New Roman"/>
        </w:rPr>
        <w:t>There will be stronger incentives for GPs so that they play a</w:t>
      </w:r>
      <w:r w:rsidR="00A42D2C">
        <w:rPr>
          <w:rFonts w:asciiTheme="minorHAnsi" w:hAnsiTheme="minorHAnsi" w:cs="Times New Roman"/>
        </w:rPr>
        <w:t>n active role in public health (HLWP, p.52).</w:t>
      </w:r>
    </w:p>
    <w:p w:rsidR="00B81BDA" w:rsidRPr="00401356" w:rsidRDefault="00B81BDA" w:rsidP="00B81BDA">
      <w:pPr>
        <w:pStyle w:val="Default"/>
        <w:ind w:left="720"/>
        <w:rPr>
          <w:rFonts w:asciiTheme="minorHAnsi" w:hAnsiTheme="minorHAnsi" w:cs="Times New Roman"/>
        </w:rPr>
      </w:pPr>
    </w:p>
    <w:p w:rsidR="00B81BDA" w:rsidRPr="00401356" w:rsidRDefault="00B81BDA" w:rsidP="007C6320">
      <w:pPr>
        <w:pStyle w:val="Default"/>
        <w:jc w:val="both"/>
        <w:rPr>
          <w:rFonts w:asciiTheme="minorHAnsi" w:hAnsiTheme="minorHAnsi" w:cs="Times New Roman"/>
        </w:rPr>
      </w:pPr>
      <w:r w:rsidRPr="00401356">
        <w:rPr>
          <w:rFonts w:asciiTheme="minorHAnsi" w:hAnsiTheme="minorHAnsi" w:cs="Times New Roman"/>
        </w:rPr>
        <w:t xml:space="preserve">Incentives are only one part of the motivational equation. GPs (and GP consortia) will need help and training to change </w:t>
      </w:r>
      <w:r w:rsidRPr="00401356">
        <w:rPr>
          <w:rFonts w:asciiTheme="minorHAnsi" w:hAnsiTheme="minorHAnsi" w:cs="Times New Roman"/>
          <w:i/>
        </w:rPr>
        <w:t>their</w:t>
      </w:r>
      <w:r w:rsidRPr="00401356">
        <w:rPr>
          <w:rFonts w:asciiTheme="minorHAnsi" w:hAnsiTheme="minorHAnsi" w:cs="Times New Roman"/>
        </w:rPr>
        <w:t xml:space="preserve"> behaviour with respect to public health </w:t>
      </w:r>
      <w:r w:rsidRPr="00401356">
        <w:rPr>
          <w:rFonts w:asciiTheme="minorHAnsi" w:hAnsiTheme="minorHAnsi" w:cs="Times New Roman"/>
        </w:rPr>
        <w:lastRenderedPageBreak/>
        <w:t>promotion. In addition to drawing on behavioural science to achieve stated behaviour change objectives with respect to healthy living on the part of the general population, a meta-framework of organizational and individual change will be needed to modify attitudes and behaviours on the part of health professionals, other service providers and their respective organizations.</w:t>
      </w:r>
    </w:p>
    <w:p w:rsidR="00C174B4" w:rsidRPr="00401356" w:rsidRDefault="00C174B4" w:rsidP="007C6320">
      <w:pPr>
        <w:jc w:val="both"/>
        <w:rPr>
          <w:rFonts w:asciiTheme="minorHAnsi" w:hAnsiTheme="minorHAnsi" w:cstheme="minorHAnsi"/>
          <w:b/>
          <w:sz w:val="22"/>
          <w:szCs w:val="22"/>
        </w:rPr>
      </w:pPr>
    </w:p>
    <w:p w:rsidR="00C150F9" w:rsidRDefault="00A50E63" w:rsidP="00C174B4">
      <w:pPr>
        <w:pStyle w:val="Heading3"/>
      </w:pPr>
      <w:bookmarkStart w:id="68" w:name="_Toc289256771"/>
      <w:r>
        <w:t>HLWP</w:t>
      </w:r>
      <w:r w:rsidR="00C174B4" w:rsidRPr="00C174B4">
        <w:t>A new role and freedoms for local government</w:t>
      </w:r>
      <w:bookmarkEnd w:id="68"/>
      <w:r w:rsidR="00D32210">
        <w:t xml:space="preserve"> </w:t>
      </w:r>
    </w:p>
    <w:p w:rsidR="00C174B4" w:rsidRPr="00B03FC4" w:rsidRDefault="00C174B4" w:rsidP="00C150F9">
      <w:pPr>
        <w:rPr>
          <w:rFonts w:asciiTheme="minorHAnsi" w:hAnsiTheme="minorHAnsi"/>
        </w:rPr>
      </w:pPr>
    </w:p>
    <w:p w:rsidR="00B81BDA" w:rsidRPr="00B03FC4" w:rsidRDefault="00B81BDA" w:rsidP="007C6320">
      <w:pPr>
        <w:jc w:val="both"/>
        <w:rPr>
          <w:rFonts w:asciiTheme="minorHAnsi" w:hAnsiTheme="minorHAnsi"/>
        </w:rPr>
      </w:pPr>
      <w:r w:rsidRPr="00B03FC4">
        <w:rPr>
          <w:rFonts w:asciiTheme="minorHAnsi" w:hAnsiTheme="minorHAnsi"/>
        </w:rPr>
        <w:t xml:space="preserve">The White Paper envisions localism to </w:t>
      </w:r>
      <w:r w:rsidR="00A42D2C">
        <w:rPr>
          <w:rFonts w:asciiTheme="minorHAnsi" w:hAnsiTheme="minorHAnsi"/>
        </w:rPr>
        <w:t>‘</w:t>
      </w:r>
      <w:r w:rsidRPr="00B03FC4">
        <w:rPr>
          <w:rFonts w:asciiTheme="minorHAnsi" w:hAnsiTheme="minorHAnsi"/>
        </w:rPr>
        <w:t>be at the heart of this new system</w:t>
      </w:r>
      <w:r w:rsidR="00A42D2C">
        <w:rPr>
          <w:rFonts w:asciiTheme="minorHAnsi" w:hAnsiTheme="minorHAnsi"/>
        </w:rPr>
        <w:t>’</w:t>
      </w:r>
      <w:r w:rsidRPr="00B03FC4">
        <w:rPr>
          <w:rFonts w:asciiTheme="minorHAnsi" w:hAnsiTheme="minorHAnsi"/>
        </w:rPr>
        <w:t xml:space="preserve">, and seeking to devolve, </w:t>
      </w:r>
      <w:r w:rsidR="00A42D2C">
        <w:rPr>
          <w:rFonts w:asciiTheme="minorHAnsi" w:hAnsiTheme="minorHAnsi"/>
        </w:rPr>
        <w:t>‘</w:t>
      </w:r>
      <w:r w:rsidRPr="00B03FC4">
        <w:rPr>
          <w:rFonts w:asciiTheme="minorHAnsi" w:hAnsiTheme="minorHAnsi"/>
        </w:rPr>
        <w:t>responsibilities,</w:t>
      </w:r>
      <w:r w:rsidR="007736E4">
        <w:rPr>
          <w:rFonts w:asciiTheme="minorHAnsi" w:hAnsiTheme="minorHAnsi"/>
        </w:rPr>
        <w:t xml:space="preserve"> </w:t>
      </w:r>
      <w:r w:rsidRPr="00B03FC4">
        <w:rPr>
          <w:rFonts w:asciiTheme="minorHAnsi" w:hAnsiTheme="minorHAnsi"/>
        </w:rPr>
        <w:t>freedoms and funding</w:t>
      </w:r>
      <w:r w:rsidR="00A42D2C">
        <w:rPr>
          <w:rFonts w:asciiTheme="minorHAnsi" w:hAnsiTheme="minorHAnsi"/>
        </w:rPr>
        <w:t>’ (HLWP, p.51).</w:t>
      </w:r>
      <w:r w:rsidRPr="00B03FC4">
        <w:rPr>
          <w:rFonts w:asciiTheme="minorHAnsi" w:hAnsiTheme="minorHAnsi"/>
        </w:rPr>
        <w:t xml:space="preserve"> This will entail a creation of a crucial role, Directors of Public Health, who:</w:t>
      </w:r>
    </w:p>
    <w:p w:rsidR="00B81BDA" w:rsidRPr="00B03FC4" w:rsidRDefault="00B81BDA" w:rsidP="007C6320">
      <w:pPr>
        <w:jc w:val="both"/>
        <w:rPr>
          <w:rFonts w:asciiTheme="minorHAnsi" w:hAnsiTheme="minorHAnsi"/>
        </w:rPr>
      </w:pPr>
    </w:p>
    <w:p w:rsidR="00B81BDA" w:rsidRPr="00B03FC4" w:rsidRDefault="00A42D2C" w:rsidP="007C6320">
      <w:pPr>
        <w:ind w:left="720"/>
        <w:jc w:val="both"/>
        <w:rPr>
          <w:rFonts w:asciiTheme="minorHAnsi" w:hAnsiTheme="minorHAnsi"/>
        </w:rPr>
      </w:pPr>
      <w:r>
        <w:rPr>
          <w:rFonts w:asciiTheme="minorHAnsi" w:hAnsiTheme="minorHAnsi"/>
        </w:rPr>
        <w:t xml:space="preserve">... </w:t>
      </w:r>
      <w:r w:rsidR="00B81BDA" w:rsidRPr="00B03FC4">
        <w:rPr>
          <w:rFonts w:asciiTheme="minorHAnsi" w:hAnsiTheme="minorHAnsi"/>
        </w:rPr>
        <w:t>will be the strategic leaders for public health and health inequalities in local communities, working in partnership with the local NHS and across the public, private and voluntary sectors</w:t>
      </w:r>
      <w:r>
        <w:rPr>
          <w:rFonts w:asciiTheme="minorHAnsi" w:hAnsiTheme="minorHAnsi"/>
        </w:rPr>
        <w:t xml:space="preserve"> (HLWP, p.51).</w:t>
      </w:r>
      <w:r w:rsidR="00B81BDA" w:rsidRPr="00B03FC4">
        <w:rPr>
          <w:rFonts w:asciiTheme="minorHAnsi" w:hAnsiTheme="minorHAnsi"/>
        </w:rPr>
        <w:t xml:space="preserve"> </w:t>
      </w:r>
    </w:p>
    <w:p w:rsidR="00B81BDA" w:rsidRPr="00B03FC4" w:rsidRDefault="00B81BDA" w:rsidP="007C6320">
      <w:pPr>
        <w:ind w:left="720"/>
        <w:jc w:val="both"/>
        <w:rPr>
          <w:rFonts w:asciiTheme="minorHAnsi" w:hAnsiTheme="minorHAnsi"/>
        </w:rPr>
      </w:pPr>
    </w:p>
    <w:p w:rsidR="00B81BDA" w:rsidRPr="00B03FC4" w:rsidRDefault="00B81BDA" w:rsidP="007C6320">
      <w:pPr>
        <w:pStyle w:val="Default"/>
        <w:jc w:val="both"/>
        <w:rPr>
          <w:rFonts w:asciiTheme="minorHAnsi" w:hAnsiTheme="minorHAnsi"/>
        </w:rPr>
      </w:pPr>
      <w:r w:rsidRPr="00B03FC4">
        <w:rPr>
          <w:rFonts w:asciiTheme="minorHAnsi" w:hAnsiTheme="minorHAnsi" w:cs="Times New Roman"/>
        </w:rPr>
        <w:t xml:space="preserve">Furthermore, the DPH will be, </w:t>
      </w:r>
      <w:r w:rsidR="00A42D2C">
        <w:rPr>
          <w:rFonts w:asciiTheme="minorHAnsi" w:hAnsiTheme="minorHAnsi" w:cs="Times New Roman"/>
        </w:rPr>
        <w:t>‘</w:t>
      </w:r>
      <w:r w:rsidRPr="00B03FC4">
        <w:rPr>
          <w:rFonts w:asciiTheme="minorHAnsi" w:hAnsiTheme="minorHAnsi" w:cs="Times New Roman"/>
        </w:rPr>
        <w:t>a public health professional, with the training, expertise and skills needed to enable them to meet both the leadership and tec</w:t>
      </w:r>
      <w:r w:rsidR="00A42D2C">
        <w:rPr>
          <w:rFonts w:asciiTheme="minorHAnsi" w:hAnsiTheme="minorHAnsi" w:cs="Times New Roman"/>
        </w:rPr>
        <w:t>hnical requirements of the role’ (HLWP, p.55).</w:t>
      </w:r>
      <w:r w:rsidRPr="00B03FC4">
        <w:rPr>
          <w:rFonts w:asciiTheme="minorHAnsi" w:hAnsiTheme="minorHAnsi" w:cs="Times New Roman"/>
        </w:rPr>
        <w:t xml:space="preserve"> </w:t>
      </w:r>
    </w:p>
    <w:p w:rsidR="00B81BDA" w:rsidRPr="00B03FC4" w:rsidRDefault="00B81BDA" w:rsidP="007C6320">
      <w:pPr>
        <w:ind w:left="720"/>
        <w:jc w:val="both"/>
        <w:rPr>
          <w:rFonts w:asciiTheme="minorHAnsi" w:hAnsiTheme="minorHAnsi"/>
        </w:rPr>
      </w:pPr>
    </w:p>
    <w:p w:rsidR="00B81BDA" w:rsidRPr="00B03FC4" w:rsidRDefault="00B81BDA" w:rsidP="007C6320">
      <w:pPr>
        <w:jc w:val="both"/>
        <w:rPr>
          <w:rFonts w:asciiTheme="minorHAnsi" w:hAnsiTheme="minorHAnsi"/>
        </w:rPr>
      </w:pPr>
      <w:r w:rsidRPr="00B03FC4">
        <w:rPr>
          <w:rFonts w:asciiTheme="minorHAnsi" w:hAnsiTheme="minorHAnsi"/>
        </w:rPr>
        <w:t>Whilst it will be important that DsPHs are health professionals qualified to take up this function and responsibility, there will also need to be programmes and processes in place to ensure appropriate training and development for DsPHs (and other local government employees) who have to take on leadership responsibility. Technical competence and qualification will not necessarily guarantee that incumbents will have the requisite change management, leadership co-ordination and facilitative skills to expedite this demanding role. They will need support to acquire and development these skills.</w:t>
      </w:r>
    </w:p>
    <w:p w:rsidR="00B81BDA" w:rsidRPr="00B03FC4" w:rsidRDefault="00B81BDA" w:rsidP="007C6320">
      <w:pPr>
        <w:pStyle w:val="Default"/>
        <w:jc w:val="both"/>
        <w:rPr>
          <w:rFonts w:asciiTheme="minorHAnsi" w:hAnsiTheme="minorHAnsi" w:cs="Times New Roman"/>
        </w:rPr>
      </w:pPr>
    </w:p>
    <w:p w:rsidR="00B81BDA" w:rsidRPr="00B03FC4" w:rsidRDefault="00B81BDA" w:rsidP="007C6320">
      <w:pPr>
        <w:pStyle w:val="Default"/>
        <w:jc w:val="both"/>
        <w:rPr>
          <w:rFonts w:asciiTheme="minorHAnsi" w:hAnsiTheme="minorHAnsi" w:cs="Times New Roman"/>
        </w:rPr>
      </w:pPr>
      <w:r w:rsidRPr="00B03FC4">
        <w:rPr>
          <w:rFonts w:asciiTheme="minorHAnsi" w:hAnsiTheme="minorHAnsi" w:cs="Times New Roman"/>
        </w:rPr>
        <w:t xml:space="preserve">Public </w:t>
      </w:r>
      <w:r w:rsidR="00C23BCD">
        <w:rPr>
          <w:rFonts w:asciiTheme="minorHAnsi" w:hAnsiTheme="minorHAnsi" w:cs="Times New Roman"/>
        </w:rPr>
        <w:t xml:space="preserve">Health England (role outlined HLWP, </w:t>
      </w:r>
      <w:r w:rsidRPr="00B03FC4">
        <w:rPr>
          <w:rFonts w:asciiTheme="minorHAnsi" w:hAnsiTheme="minorHAnsi" w:cs="Times New Roman"/>
        </w:rPr>
        <w:t>p.65) would be an obvious locus for provision of leadership training and development for GPs, GP consortia, DsPH, and changes agents at local authority level, etc.</w:t>
      </w:r>
    </w:p>
    <w:p w:rsidR="00C174B4" w:rsidRDefault="00C174B4" w:rsidP="007C6320">
      <w:pPr>
        <w:jc w:val="both"/>
        <w:rPr>
          <w:rFonts w:asciiTheme="minorHAnsi" w:hAnsiTheme="minorHAnsi" w:cstheme="minorHAnsi"/>
          <w:b/>
          <w:sz w:val="22"/>
          <w:szCs w:val="22"/>
        </w:rPr>
      </w:pPr>
    </w:p>
    <w:p w:rsidR="007C6320" w:rsidRPr="007C6320" w:rsidRDefault="007C6320" w:rsidP="007C6320">
      <w:pPr>
        <w:jc w:val="both"/>
        <w:rPr>
          <w:rFonts w:ascii="Calibri" w:hAnsi="Calibri" w:cs="Calibri"/>
        </w:rPr>
      </w:pPr>
      <w:r w:rsidRPr="007C6320">
        <w:rPr>
          <w:rFonts w:ascii="Calibri" w:hAnsi="Calibri" w:cs="Calibri"/>
        </w:rPr>
        <w:t xml:space="preserve">The planned changes to public health structures must also attempt to build knowledge and confidence among key decision makers on how to design and implement behaviour change programmes using a </w:t>
      </w:r>
      <w:r w:rsidR="00C97857">
        <w:rPr>
          <w:rFonts w:ascii="Calibri" w:hAnsi="Calibri" w:cs="Calibri"/>
        </w:rPr>
        <w:t>transdisciplinary</w:t>
      </w:r>
      <w:r w:rsidRPr="007C6320">
        <w:rPr>
          <w:rFonts w:ascii="Calibri" w:hAnsi="Calibri" w:cs="Calibri"/>
        </w:rPr>
        <w:t xml:space="preserve"> approach. An active model of support is required rather than an assumption that the emerging Health and Wellbeing Boards will consider and invest time in understanding this approach. Appropriate specialist advice and support should be signposted using academic and other networks so that strategic decision-makers can have confidence about the proposed interventions they may then commission. </w:t>
      </w:r>
    </w:p>
    <w:p w:rsidR="007C6320" w:rsidRPr="007C6320" w:rsidRDefault="007C6320" w:rsidP="007C6320">
      <w:pPr>
        <w:jc w:val="both"/>
        <w:rPr>
          <w:rFonts w:ascii="Calibri" w:hAnsi="Calibri" w:cs="Calibri"/>
        </w:rPr>
      </w:pPr>
    </w:p>
    <w:p w:rsidR="008B4E09" w:rsidRDefault="007C6320" w:rsidP="007C6320">
      <w:pPr>
        <w:jc w:val="both"/>
        <w:rPr>
          <w:rFonts w:ascii="Calibri" w:hAnsi="Calibri" w:cs="Calibri"/>
        </w:rPr>
      </w:pPr>
      <w:r w:rsidRPr="007C6320">
        <w:rPr>
          <w:rFonts w:ascii="Calibri" w:hAnsi="Calibri" w:cs="Calibri"/>
        </w:rPr>
        <w:t xml:space="preserve">With the development of new decision-making structures, there is a significant opportunity to build an understanding and expectation of effective behaviour change but it should not be assumed that Health and Wellbeing Boards will be able to access appropriate guidance and support. Without a true understanding of sustainable behaviour change there is an increased risk that commissioning decisions </w:t>
      </w:r>
      <w:r w:rsidRPr="007C6320">
        <w:rPr>
          <w:rFonts w:ascii="Calibri" w:hAnsi="Calibri" w:cs="Calibri"/>
        </w:rPr>
        <w:lastRenderedPageBreak/>
        <w:t xml:space="preserve">will continue to be based on historic investments and not a clear assessment of population need and designing programmes to target support where it is needed most. </w:t>
      </w:r>
    </w:p>
    <w:p w:rsidR="008B4E09" w:rsidRDefault="008B4E09">
      <w:pPr>
        <w:rPr>
          <w:rFonts w:ascii="Calibri" w:hAnsi="Calibri" w:cs="Calibri"/>
        </w:rPr>
      </w:pPr>
      <w:r>
        <w:rPr>
          <w:rFonts w:ascii="Calibri" w:hAnsi="Calibri" w:cs="Calibri"/>
        </w:rPr>
        <w:br w:type="page"/>
      </w:r>
    </w:p>
    <w:p w:rsidR="00253C6B" w:rsidRPr="00695533" w:rsidRDefault="00F804A8" w:rsidP="007A3E26">
      <w:pPr>
        <w:pStyle w:val="Heading1"/>
      </w:pPr>
      <w:bookmarkStart w:id="69" w:name="_Toc289256772"/>
      <w:r w:rsidRPr="00695533">
        <w:lastRenderedPageBreak/>
        <w:t xml:space="preserve">10. </w:t>
      </w:r>
      <w:r w:rsidR="00253C6B" w:rsidRPr="00695533">
        <w:t>Conclusion</w:t>
      </w:r>
      <w:bookmarkEnd w:id="69"/>
    </w:p>
    <w:p w:rsidR="00F804A8" w:rsidRPr="00C23BCD" w:rsidRDefault="00F804A8" w:rsidP="00F804A8">
      <w:pPr>
        <w:pStyle w:val="xmsonormal"/>
        <w:jc w:val="both"/>
        <w:rPr>
          <w:rFonts w:asciiTheme="minorHAnsi" w:hAnsiTheme="minorHAnsi" w:cstheme="minorHAnsi"/>
        </w:rPr>
      </w:pPr>
      <w:r w:rsidRPr="00C23BCD">
        <w:rPr>
          <w:rFonts w:asciiTheme="minorHAnsi" w:hAnsiTheme="minorHAnsi" w:cstheme="minorHAnsi"/>
        </w:rPr>
        <w:t>This report has provided a critical approach to the main issues raised, or not specifically addressed by, the Health White Paper.  The complexity of factors potentially influencing and impacting on health indicates that a transdisciplinary approach to health-related behaviour change warrants serious consideration.  This would draw on the concepts, theories and competencies offered by a range of disciplines to provide synergistic solutions integrating and transcending individual disciplines.</w:t>
      </w:r>
    </w:p>
    <w:p w:rsidR="00F804A8" w:rsidRPr="00C23BCD" w:rsidRDefault="00F804A8" w:rsidP="00F804A8">
      <w:pPr>
        <w:pStyle w:val="xmsonormal"/>
        <w:jc w:val="both"/>
        <w:rPr>
          <w:rFonts w:asciiTheme="minorHAnsi" w:hAnsiTheme="minorHAnsi" w:cstheme="minorHAnsi"/>
        </w:rPr>
      </w:pPr>
      <w:r w:rsidRPr="00C23BCD">
        <w:rPr>
          <w:rFonts w:asciiTheme="minorHAnsi" w:hAnsiTheme="minorHAnsi" w:cstheme="minorHAnsi"/>
        </w:rPr>
        <w:t>Effective behaviour change interventions should be theory-based while recognising the limitations of extant theory</w:t>
      </w:r>
      <w:r w:rsidR="0019067B">
        <w:rPr>
          <w:rFonts w:asciiTheme="minorHAnsi" w:hAnsiTheme="minorHAnsi" w:cstheme="minorHAnsi"/>
        </w:rPr>
        <w:t xml:space="preserve">. They should make use of </w:t>
      </w:r>
      <w:r w:rsidRPr="00C23BCD">
        <w:rPr>
          <w:rFonts w:asciiTheme="minorHAnsi" w:hAnsiTheme="minorHAnsi" w:cstheme="minorHAnsi"/>
        </w:rPr>
        <w:t>the contributi</w:t>
      </w:r>
      <w:r w:rsidR="0019067B">
        <w:rPr>
          <w:rFonts w:asciiTheme="minorHAnsi" w:hAnsiTheme="minorHAnsi" w:cstheme="minorHAnsi"/>
        </w:rPr>
        <w:t xml:space="preserve">ons of different approaches, remaining cognisant of </w:t>
      </w:r>
      <w:r w:rsidRPr="00C23BCD">
        <w:rPr>
          <w:rFonts w:asciiTheme="minorHAnsi" w:hAnsiTheme="minorHAnsi" w:cstheme="minorHAnsi"/>
        </w:rPr>
        <w:t xml:space="preserve">key issues such as message framing </w:t>
      </w:r>
      <w:r w:rsidR="0019067B">
        <w:rPr>
          <w:rFonts w:asciiTheme="minorHAnsi" w:hAnsiTheme="minorHAnsi" w:cstheme="minorHAnsi"/>
        </w:rPr>
        <w:t>and</w:t>
      </w:r>
      <w:r w:rsidRPr="00C23BCD">
        <w:rPr>
          <w:rFonts w:asciiTheme="minorHAnsi" w:hAnsiTheme="minorHAnsi" w:cstheme="minorHAnsi"/>
        </w:rPr>
        <w:t xml:space="preserve"> context effects</w:t>
      </w:r>
      <w:r w:rsidR="0019067B">
        <w:rPr>
          <w:rFonts w:asciiTheme="minorHAnsi" w:hAnsiTheme="minorHAnsi" w:cstheme="minorHAnsi"/>
        </w:rPr>
        <w:t>,</w:t>
      </w:r>
      <w:r w:rsidRPr="00C23BCD">
        <w:rPr>
          <w:rFonts w:asciiTheme="minorHAnsi" w:hAnsiTheme="minorHAnsi" w:cstheme="minorHAnsi"/>
        </w:rPr>
        <w:t xml:space="preserve"> and </w:t>
      </w:r>
      <w:r w:rsidR="0019067B">
        <w:rPr>
          <w:rFonts w:asciiTheme="minorHAnsi" w:hAnsiTheme="minorHAnsi" w:cstheme="minorHAnsi"/>
        </w:rPr>
        <w:t xml:space="preserve">also be clear about </w:t>
      </w:r>
      <w:r w:rsidRPr="00C23BCD">
        <w:rPr>
          <w:rFonts w:asciiTheme="minorHAnsi" w:hAnsiTheme="minorHAnsi" w:cstheme="minorHAnsi"/>
        </w:rPr>
        <w:t>the overarching importance of strong and effective leadership.</w:t>
      </w:r>
    </w:p>
    <w:p w:rsidR="00F804A8" w:rsidRDefault="0019067B" w:rsidP="00F804A8">
      <w:pPr>
        <w:pStyle w:val="xmsonormal"/>
        <w:jc w:val="both"/>
        <w:rPr>
          <w:rFonts w:asciiTheme="minorHAnsi" w:hAnsiTheme="minorHAnsi" w:cstheme="minorHAnsi"/>
        </w:rPr>
      </w:pPr>
      <w:r>
        <w:rPr>
          <w:rFonts w:asciiTheme="minorHAnsi" w:hAnsiTheme="minorHAnsi" w:cstheme="minorHAnsi"/>
        </w:rPr>
        <w:t>R</w:t>
      </w:r>
      <w:r w:rsidR="00F804A8" w:rsidRPr="00C23BCD">
        <w:rPr>
          <w:rFonts w:asciiTheme="minorHAnsi" w:hAnsiTheme="minorHAnsi" w:cstheme="minorHAnsi"/>
        </w:rPr>
        <w:t xml:space="preserve">esearch strategies </w:t>
      </w:r>
      <w:r>
        <w:rPr>
          <w:rFonts w:asciiTheme="minorHAnsi" w:hAnsiTheme="minorHAnsi" w:cstheme="minorHAnsi"/>
        </w:rPr>
        <w:t xml:space="preserve">used </w:t>
      </w:r>
      <w:r w:rsidR="00F804A8" w:rsidRPr="00C23BCD">
        <w:rPr>
          <w:rFonts w:asciiTheme="minorHAnsi" w:hAnsiTheme="minorHAnsi" w:cstheme="minorHAnsi"/>
        </w:rPr>
        <w:t>to inform and evaluate behaviour change at all levels</w:t>
      </w:r>
      <w:r>
        <w:rPr>
          <w:rFonts w:asciiTheme="minorHAnsi" w:hAnsiTheme="minorHAnsi" w:cstheme="minorHAnsi"/>
        </w:rPr>
        <w:t xml:space="preserve"> - national through regional</w:t>
      </w:r>
      <w:r w:rsidR="00F804A8" w:rsidRPr="00C23BCD">
        <w:rPr>
          <w:rFonts w:asciiTheme="minorHAnsi" w:hAnsiTheme="minorHAnsi" w:cstheme="minorHAnsi"/>
        </w:rPr>
        <w:t xml:space="preserve"> and local community </w:t>
      </w:r>
      <w:r>
        <w:rPr>
          <w:rFonts w:asciiTheme="minorHAnsi" w:hAnsiTheme="minorHAnsi" w:cstheme="minorHAnsi"/>
        </w:rPr>
        <w:t xml:space="preserve">- </w:t>
      </w:r>
      <w:r w:rsidR="00F804A8" w:rsidRPr="00C23BCD">
        <w:rPr>
          <w:rFonts w:asciiTheme="minorHAnsi" w:hAnsiTheme="minorHAnsi" w:cstheme="minorHAnsi"/>
        </w:rPr>
        <w:t>could usefully draw on a wider range of methods and types of evidence than have been used for past interventions</w:t>
      </w:r>
      <w:r>
        <w:rPr>
          <w:rFonts w:asciiTheme="minorHAnsi" w:hAnsiTheme="minorHAnsi" w:cstheme="minorHAnsi"/>
        </w:rPr>
        <w:t>. Widening the scope</w:t>
      </w:r>
      <w:r w:rsidR="00F804A8" w:rsidRPr="00C23BCD">
        <w:rPr>
          <w:rFonts w:asciiTheme="minorHAnsi" w:hAnsiTheme="minorHAnsi" w:cstheme="minorHAnsi"/>
        </w:rPr>
        <w:t xml:space="preserve"> in </w:t>
      </w:r>
      <w:r>
        <w:rPr>
          <w:rFonts w:asciiTheme="minorHAnsi" w:hAnsiTheme="minorHAnsi" w:cstheme="minorHAnsi"/>
        </w:rPr>
        <w:t xml:space="preserve">this way will </w:t>
      </w:r>
      <w:r w:rsidR="00F804A8" w:rsidRPr="00C23BCD">
        <w:rPr>
          <w:rFonts w:asciiTheme="minorHAnsi" w:hAnsiTheme="minorHAnsi" w:cstheme="minorHAnsi"/>
        </w:rPr>
        <w:t>maximise the utility and accessibility of research data.</w:t>
      </w:r>
    </w:p>
    <w:p w:rsidR="0019067B" w:rsidRPr="00C23BCD" w:rsidRDefault="006A63E4" w:rsidP="00F804A8">
      <w:pPr>
        <w:pStyle w:val="xmsonormal"/>
        <w:jc w:val="both"/>
        <w:rPr>
          <w:rFonts w:asciiTheme="minorHAnsi" w:hAnsiTheme="minorHAnsi" w:cstheme="minorHAnsi"/>
        </w:rPr>
      </w:pPr>
      <w:r>
        <w:rPr>
          <w:rFonts w:asciiTheme="minorHAnsi" w:hAnsiTheme="minorHAnsi" w:cstheme="minorHAnsi"/>
        </w:rPr>
        <w:t xml:space="preserve">It is the report </w:t>
      </w:r>
      <w:r w:rsidR="0019067B">
        <w:rPr>
          <w:rFonts w:asciiTheme="minorHAnsi" w:hAnsiTheme="minorHAnsi" w:cstheme="minorHAnsi"/>
        </w:rPr>
        <w:t>authors</w:t>
      </w:r>
      <w:r>
        <w:rPr>
          <w:rFonts w:asciiTheme="minorHAnsi" w:hAnsiTheme="minorHAnsi" w:cstheme="minorHAnsi"/>
        </w:rPr>
        <w:t>’</w:t>
      </w:r>
      <w:r w:rsidR="0019067B">
        <w:rPr>
          <w:rFonts w:asciiTheme="minorHAnsi" w:hAnsiTheme="minorHAnsi" w:cstheme="minorHAnsi"/>
        </w:rPr>
        <w:t xml:space="preserve"> </w:t>
      </w:r>
      <w:r>
        <w:rPr>
          <w:rFonts w:asciiTheme="minorHAnsi" w:hAnsiTheme="minorHAnsi" w:cstheme="minorHAnsi"/>
        </w:rPr>
        <w:t xml:space="preserve">hope </w:t>
      </w:r>
      <w:r w:rsidR="0019067B">
        <w:rPr>
          <w:rFonts w:asciiTheme="minorHAnsi" w:hAnsiTheme="minorHAnsi" w:cstheme="minorHAnsi"/>
        </w:rPr>
        <w:t xml:space="preserve">that this response </w:t>
      </w:r>
      <w:r w:rsidR="00471420">
        <w:rPr>
          <w:rFonts w:asciiTheme="minorHAnsi" w:hAnsiTheme="minorHAnsi"/>
        </w:rPr>
        <w:t xml:space="preserve">proves helpful in informing future health policy activities, research agendas and interventions that flow from the </w:t>
      </w:r>
      <w:r w:rsidRPr="00BE0F24">
        <w:rPr>
          <w:rFonts w:asciiTheme="minorHAnsi" w:hAnsiTheme="minorHAnsi"/>
          <w:i/>
        </w:rPr>
        <w:t>Healthy Lives, Healthy People</w:t>
      </w:r>
      <w:r>
        <w:rPr>
          <w:rFonts w:asciiTheme="minorHAnsi" w:hAnsiTheme="minorHAnsi"/>
          <w:i/>
        </w:rPr>
        <w:t xml:space="preserve"> </w:t>
      </w:r>
      <w:r w:rsidR="00471420">
        <w:rPr>
          <w:rFonts w:asciiTheme="minorHAnsi" w:hAnsiTheme="minorHAnsi"/>
        </w:rPr>
        <w:t>White Paper.</w:t>
      </w:r>
    </w:p>
    <w:p w:rsidR="00253C6B" w:rsidRPr="00C23BCD" w:rsidRDefault="00253C6B" w:rsidP="006F24D6">
      <w:pPr>
        <w:pStyle w:val="Heading2"/>
        <w:rPr>
          <w:rFonts w:asciiTheme="minorHAnsi" w:hAnsiTheme="minorHAnsi" w:cstheme="minorHAnsi"/>
          <w:color w:val="auto"/>
        </w:rPr>
      </w:pPr>
    </w:p>
    <w:p w:rsidR="00253C6B" w:rsidRPr="00C23BCD" w:rsidRDefault="00253C6B" w:rsidP="006F24D6">
      <w:pPr>
        <w:pStyle w:val="Heading2"/>
        <w:rPr>
          <w:rFonts w:asciiTheme="minorHAnsi" w:hAnsiTheme="minorHAnsi" w:cstheme="minorHAnsi"/>
          <w:color w:val="auto"/>
        </w:rPr>
      </w:pPr>
    </w:p>
    <w:p w:rsidR="00253C6B" w:rsidRPr="00C23BCD" w:rsidRDefault="00253C6B" w:rsidP="00253C6B">
      <w:pPr>
        <w:rPr>
          <w:rFonts w:asciiTheme="minorHAnsi" w:hAnsiTheme="minorHAnsi" w:cstheme="minorHAnsi"/>
        </w:rPr>
      </w:pPr>
    </w:p>
    <w:p w:rsidR="00253C6B" w:rsidRPr="00C23BCD" w:rsidRDefault="00253C6B" w:rsidP="00253C6B">
      <w:pPr>
        <w:rPr>
          <w:rFonts w:asciiTheme="minorHAnsi" w:hAnsiTheme="minorHAnsi" w:cstheme="minorHAnsi"/>
        </w:rPr>
      </w:pPr>
    </w:p>
    <w:p w:rsidR="00253C6B" w:rsidRPr="00C23BCD" w:rsidRDefault="00253C6B" w:rsidP="00253C6B">
      <w:pPr>
        <w:rPr>
          <w:rFonts w:asciiTheme="minorHAnsi" w:hAnsiTheme="minorHAnsi" w:cstheme="minorHAnsi"/>
        </w:rPr>
      </w:pPr>
    </w:p>
    <w:p w:rsidR="00253C6B" w:rsidRPr="00C23BCD" w:rsidRDefault="00253C6B" w:rsidP="00253C6B">
      <w:pPr>
        <w:rPr>
          <w:rFonts w:asciiTheme="minorHAnsi" w:hAnsiTheme="minorHAnsi" w:cstheme="minorHAnsi"/>
        </w:rPr>
      </w:pPr>
    </w:p>
    <w:p w:rsidR="00253C6B" w:rsidRPr="00C23BCD" w:rsidRDefault="00253C6B" w:rsidP="00253C6B">
      <w:pPr>
        <w:rPr>
          <w:rFonts w:asciiTheme="minorHAnsi" w:hAnsiTheme="minorHAnsi" w:cstheme="minorHAnsi"/>
        </w:rPr>
      </w:pPr>
    </w:p>
    <w:p w:rsidR="0036036D" w:rsidRPr="00C23BCD" w:rsidRDefault="0036036D">
      <w:pPr>
        <w:rPr>
          <w:rFonts w:asciiTheme="minorHAnsi" w:eastAsiaTheme="majorEastAsia" w:hAnsiTheme="minorHAnsi" w:cstheme="minorHAnsi"/>
          <w:b/>
          <w:bCs/>
          <w:color w:val="4F81BD" w:themeColor="accent1"/>
          <w:sz w:val="26"/>
          <w:szCs w:val="26"/>
        </w:rPr>
      </w:pPr>
      <w:r w:rsidRPr="00C23BCD">
        <w:rPr>
          <w:rFonts w:asciiTheme="minorHAnsi" w:hAnsiTheme="minorHAnsi" w:cstheme="minorHAnsi"/>
        </w:rPr>
        <w:br w:type="page"/>
      </w:r>
    </w:p>
    <w:p w:rsidR="00D72BB6" w:rsidRPr="00695533" w:rsidRDefault="001F2953" w:rsidP="00253C6B">
      <w:pPr>
        <w:pStyle w:val="Heading2"/>
        <w:rPr>
          <w:sz w:val="28"/>
          <w:szCs w:val="28"/>
        </w:rPr>
      </w:pPr>
      <w:bookmarkStart w:id="70" w:name="_Toc289256773"/>
      <w:r w:rsidRPr="00695533">
        <w:rPr>
          <w:sz w:val="28"/>
          <w:szCs w:val="28"/>
        </w:rPr>
        <w:lastRenderedPageBreak/>
        <w:t>Contributors</w:t>
      </w:r>
      <w:bookmarkEnd w:id="70"/>
    </w:p>
    <w:p w:rsidR="00D72BB6" w:rsidRDefault="00D72BB6" w:rsidP="00D72BB6"/>
    <w:p w:rsidR="00D72BB6" w:rsidRPr="00D72BB6" w:rsidRDefault="00D72BB6" w:rsidP="00D72BB6">
      <w:pPr>
        <w:rPr>
          <w:rFonts w:asciiTheme="minorHAnsi" w:hAnsiTheme="minorHAnsi" w:cstheme="minorHAnsi"/>
        </w:rPr>
      </w:pPr>
      <w:r w:rsidRPr="00D72BB6">
        <w:rPr>
          <w:rFonts w:asciiTheme="minorHAnsi" w:hAnsiTheme="minorHAnsi" w:cstheme="minorHAnsi"/>
        </w:rPr>
        <w:t>Dr Erel Avineri,</w:t>
      </w:r>
      <w:r>
        <w:rPr>
          <w:rFonts w:asciiTheme="minorHAnsi" w:hAnsiTheme="minorHAnsi" w:cstheme="minorHAnsi"/>
        </w:rPr>
        <w:t xml:space="preserve"> </w:t>
      </w:r>
      <w:r w:rsidRPr="00D72BB6">
        <w:rPr>
          <w:rFonts w:asciiTheme="minorHAnsi" w:hAnsiTheme="minorHAnsi" w:cstheme="minorHAnsi"/>
        </w:rPr>
        <w:t>Reader in Travel Behaviour,</w:t>
      </w:r>
      <w:r>
        <w:rPr>
          <w:rFonts w:asciiTheme="minorHAnsi" w:hAnsiTheme="minorHAnsi" w:cstheme="minorHAnsi"/>
        </w:rPr>
        <w:t xml:space="preserve"> </w:t>
      </w:r>
      <w:r w:rsidRPr="00D72BB6">
        <w:rPr>
          <w:rFonts w:asciiTheme="minorHAnsi" w:hAnsiTheme="minorHAnsi" w:cstheme="minorHAnsi"/>
        </w:rPr>
        <w:t>Centre for Transport &amp; Society,</w:t>
      </w:r>
      <w:r>
        <w:rPr>
          <w:rFonts w:asciiTheme="minorHAnsi" w:hAnsiTheme="minorHAnsi" w:cstheme="minorHAnsi"/>
        </w:rPr>
        <w:t xml:space="preserve"> </w:t>
      </w:r>
      <w:r w:rsidRPr="00D72BB6">
        <w:rPr>
          <w:rFonts w:asciiTheme="minorHAnsi" w:hAnsiTheme="minorHAnsi" w:cstheme="minorHAnsi"/>
        </w:rPr>
        <w:t>Faculty of Environment and Technolog</w:t>
      </w:r>
      <w:r>
        <w:rPr>
          <w:rFonts w:asciiTheme="minorHAnsi" w:hAnsiTheme="minorHAnsi" w:cstheme="minorHAnsi"/>
        </w:rPr>
        <w:t xml:space="preserve">y, </w:t>
      </w:r>
      <w:r w:rsidRPr="00D72BB6">
        <w:rPr>
          <w:rFonts w:asciiTheme="minorHAnsi" w:hAnsiTheme="minorHAnsi" w:cstheme="minorHAnsi"/>
        </w:rPr>
        <w:t>University of the West of England</w:t>
      </w:r>
    </w:p>
    <w:p w:rsidR="006E62D1" w:rsidRPr="00E76F40" w:rsidRDefault="006E62D1" w:rsidP="00D72BB6">
      <w:pPr>
        <w:rPr>
          <w:rFonts w:asciiTheme="minorHAnsi" w:hAnsiTheme="minorHAnsi" w:cstheme="minorHAnsi"/>
        </w:rPr>
      </w:pPr>
    </w:p>
    <w:p w:rsidR="00D72BB6" w:rsidRDefault="006E62D1" w:rsidP="00D72BB6">
      <w:pPr>
        <w:rPr>
          <w:rFonts w:asciiTheme="minorHAnsi" w:hAnsiTheme="minorHAnsi" w:cstheme="minorHAnsi"/>
        </w:rPr>
      </w:pPr>
      <w:r w:rsidRPr="00E76F40">
        <w:rPr>
          <w:rFonts w:asciiTheme="minorHAnsi" w:hAnsiTheme="minorHAnsi" w:cstheme="minorHAnsi"/>
        </w:rPr>
        <w:t>Professor Martin Boddy. Assistant Vice Chancellor, Research and Knowledge Exchange, University of the West of England</w:t>
      </w:r>
    </w:p>
    <w:p w:rsidR="006E62D1" w:rsidRDefault="006E62D1" w:rsidP="00D72BB6">
      <w:pPr>
        <w:rPr>
          <w:rFonts w:asciiTheme="minorHAnsi" w:hAnsiTheme="minorHAnsi" w:cstheme="minorHAnsi"/>
        </w:rPr>
      </w:pPr>
    </w:p>
    <w:p w:rsidR="00D72BB6" w:rsidRDefault="00D72BB6" w:rsidP="00D72BB6">
      <w:pPr>
        <w:rPr>
          <w:rFonts w:asciiTheme="minorHAnsi" w:hAnsiTheme="minorHAnsi" w:cstheme="minorHAnsi"/>
        </w:rPr>
      </w:pPr>
      <w:r>
        <w:rPr>
          <w:rFonts w:asciiTheme="minorHAnsi" w:hAnsiTheme="minorHAnsi" w:cstheme="minorHAnsi"/>
        </w:rPr>
        <w:t xml:space="preserve">Nicola Bowtell, </w:t>
      </w:r>
      <w:r w:rsidR="00B960E7">
        <w:rPr>
          <w:rFonts w:asciiTheme="minorHAnsi" w:hAnsiTheme="minorHAnsi" w:cstheme="minorHAnsi"/>
        </w:rPr>
        <w:t>End of Life Analyst,</w:t>
      </w:r>
      <w:r>
        <w:rPr>
          <w:rFonts w:asciiTheme="minorHAnsi" w:hAnsiTheme="minorHAnsi" w:cstheme="minorHAnsi"/>
        </w:rPr>
        <w:t xml:space="preserve">  South West Public Heath Observatory</w:t>
      </w:r>
    </w:p>
    <w:p w:rsidR="00D72BB6" w:rsidRDefault="00D72BB6" w:rsidP="00D72BB6">
      <w:pPr>
        <w:rPr>
          <w:rFonts w:asciiTheme="minorHAnsi" w:hAnsiTheme="minorHAnsi" w:cstheme="minorHAnsi"/>
        </w:rPr>
      </w:pPr>
    </w:p>
    <w:p w:rsidR="00B81BDA" w:rsidRPr="00B81BDA" w:rsidRDefault="00B81BDA" w:rsidP="00B81BDA">
      <w:pPr>
        <w:rPr>
          <w:rFonts w:asciiTheme="minorHAnsi" w:hAnsiTheme="minorHAnsi"/>
        </w:rPr>
      </w:pPr>
      <w:r>
        <w:rPr>
          <w:rFonts w:asciiTheme="minorHAnsi" w:hAnsiTheme="minorHAnsi" w:cstheme="minorHAnsi"/>
        </w:rPr>
        <w:t xml:space="preserve">Dr Noel Burchell, </w:t>
      </w:r>
      <w:r w:rsidRPr="00B81BDA">
        <w:rPr>
          <w:rFonts w:asciiTheme="minorHAnsi" w:hAnsiTheme="minorHAnsi" w:cs="Arial"/>
        </w:rPr>
        <w:t>Associate Dean (Resources and Planning), Faculty of Business and Law, University of the West of England</w:t>
      </w:r>
    </w:p>
    <w:p w:rsidR="00B81BDA" w:rsidRPr="00B81BDA" w:rsidRDefault="00B81BDA" w:rsidP="00D72BB6">
      <w:pPr>
        <w:rPr>
          <w:rFonts w:asciiTheme="minorHAnsi" w:hAnsiTheme="minorHAnsi" w:cstheme="minorHAnsi"/>
        </w:rPr>
      </w:pPr>
    </w:p>
    <w:p w:rsidR="001F7B90" w:rsidRDefault="00D72BB6" w:rsidP="001F7B90">
      <w:pPr>
        <w:rPr>
          <w:rFonts w:asciiTheme="minorHAnsi" w:hAnsiTheme="minorHAnsi" w:cstheme="minorHAnsi"/>
        </w:rPr>
      </w:pPr>
      <w:r w:rsidRPr="00D72BB6">
        <w:rPr>
          <w:rFonts w:asciiTheme="minorHAnsi" w:hAnsiTheme="minorHAnsi" w:cstheme="minorHAnsi"/>
        </w:rPr>
        <w:t>Professor Peter Case, Professor of Organization Studies, Director, Bristol Centre for Leadership and Organizational Ethics (BCLOE),</w:t>
      </w:r>
      <w:r w:rsidR="001F7B90">
        <w:rPr>
          <w:rFonts w:asciiTheme="minorHAnsi" w:hAnsiTheme="minorHAnsi" w:cstheme="minorHAnsi"/>
        </w:rPr>
        <w:t xml:space="preserve"> University of the West of England</w:t>
      </w:r>
    </w:p>
    <w:p w:rsidR="00D72BB6" w:rsidRPr="00D72BB6" w:rsidRDefault="00D72BB6" w:rsidP="00D72BB6">
      <w:pPr>
        <w:rPr>
          <w:rFonts w:asciiTheme="minorHAnsi" w:hAnsiTheme="minorHAnsi" w:cstheme="minorHAnsi"/>
        </w:rPr>
      </w:pPr>
    </w:p>
    <w:p w:rsidR="00D72BB6" w:rsidRPr="00D72BB6" w:rsidRDefault="00D72BB6" w:rsidP="00D72BB6">
      <w:pPr>
        <w:rPr>
          <w:rFonts w:asciiTheme="minorHAnsi" w:hAnsiTheme="minorHAnsi" w:cstheme="minorHAnsi"/>
        </w:rPr>
      </w:pPr>
      <w:r w:rsidRPr="00D72BB6">
        <w:rPr>
          <w:rFonts w:asciiTheme="minorHAnsi" w:hAnsiTheme="minorHAnsi" w:cstheme="minorHAnsi"/>
        </w:rPr>
        <w:t>Dr Tim Chatterton,</w:t>
      </w:r>
      <w:r w:rsidR="000E59D0">
        <w:rPr>
          <w:rFonts w:asciiTheme="minorHAnsi" w:hAnsiTheme="minorHAnsi" w:cstheme="minorHAnsi"/>
        </w:rPr>
        <w:t xml:space="preserve"> </w:t>
      </w:r>
      <w:r w:rsidRPr="00D72BB6">
        <w:rPr>
          <w:rFonts w:asciiTheme="minorHAnsi" w:hAnsiTheme="minorHAnsi" w:cstheme="minorHAnsi"/>
        </w:rPr>
        <w:t>Senior Research Fellow,</w:t>
      </w:r>
      <w:r>
        <w:rPr>
          <w:rFonts w:asciiTheme="minorHAnsi" w:hAnsiTheme="minorHAnsi" w:cstheme="minorHAnsi"/>
        </w:rPr>
        <w:t xml:space="preserve"> </w:t>
      </w:r>
      <w:r w:rsidRPr="00D72BB6">
        <w:rPr>
          <w:rFonts w:asciiTheme="minorHAnsi" w:hAnsiTheme="minorHAnsi" w:cstheme="minorHAnsi"/>
        </w:rPr>
        <w:t>Air Quality Management Resource Centre, Faculty of Environment and Technology,</w:t>
      </w:r>
      <w:r>
        <w:rPr>
          <w:rFonts w:asciiTheme="minorHAnsi" w:hAnsiTheme="minorHAnsi" w:cstheme="minorHAnsi"/>
        </w:rPr>
        <w:t xml:space="preserve"> </w:t>
      </w:r>
      <w:r w:rsidRPr="00D72BB6">
        <w:rPr>
          <w:rFonts w:asciiTheme="minorHAnsi" w:hAnsiTheme="minorHAnsi" w:cstheme="minorHAnsi"/>
        </w:rPr>
        <w:t>University of the West of England</w:t>
      </w:r>
    </w:p>
    <w:p w:rsidR="00D72BB6" w:rsidRDefault="00D72BB6" w:rsidP="00D72BB6">
      <w:pPr>
        <w:rPr>
          <w:rFonts w:asciiTheme="minorHAnsi" w:hAnsiTheme="minorHAnsi" w:cstheme="minorHAnsi"/>
        </w:rPr>
      </w:pPr>
    </w:p>
    <w:p w:rsidR="00E76F40" w:rsidRDefault="00E76F40" w:rsidP="00D72BB6">
      <w:pPr>
        <w:rPr>
          <w:rFonts w:asciiTheme="minorHAnsi" w:hAnsiTheme="minorHAnsi" w:cstheme="minorHAnsi"/>
        </w:rPr>
      </w:pPr>
      <w:r>
        <w:rPr>
          <w:rFonts w:asciiTheme="minorHAnsi" w:hAnsiTheme="minorHAnsi" w:cstheme="minorHAnsi"/>
        </w:rPr>
        <w:t xml:space="preserve">Dr Svetlana Cicmil, Reader in </w:t>
      </w:r>
      <w:r w:rsidR="00162FD7">
        <w:rPr>
          <w:rFonts w:asciiTheme="minorHAnsi" w:hAnsiTheme="minorHAnsi" w:cstheme="minorHAnsi"/>
        </w:rPr>
        <w:t>Global Operations, University of the West of England</w:t>
      </w:r>
    </w:p>
    <w:p w:rsidR="00E76F40" w:rsidRDefault="00E76F40" w:rsidP="00D72BB6">
      <w:pPr>
        <w:rPr>
          <w:rFonts w:asciiTheme="minorHAnsi" w:hAnsiTheme="minorHAnsi" w:cstheme="minorHAnsi"/>
        </w:rPr>
      </w:pPr>
    </w:p>
    <w:p w:rsidR="00D72BB6" w:rsidRDefault="00D72BB6" w:rsidP="00D72BB6">
      <w:pPr>
        <w:rPr>
          <w:rFonts w:asciiTheme="minorHAnsi" w:hAnsiTheme="minorHAnsi" w:cstheme="minorHAnsi"/>
        </w:rPr>
      </w:pPr>
      <w:r>
        <w:rPr>
          <w:rFonts w:asciiTheme="minorHAnsi" w:hAnsiTheme="minorHAnsi" w:cstheme="minorHAnsi"/>
        </w:rPr>
        <w:t>Professor Lynne Eagle, Professor of Marketing and Co-Director, Bristol Social Marketing Centre (BSMC), University of the West of England</w:t>
      </w:r>
    </w:p>
    <w:p w:rsidR="000E59D0" w:rsidRDefault="000E59D0" w:rsidP="00D72BB6">
      <w:pPr>
        <w:rPr>
          <w:rFonts w:asciiTheme="minorHAnsi" w:hAnsiTheme="minorHAnsi" w:cstheme="minorHAnsi"/>
        </w:rPr>
      </w:pPr>
    </w:p>
    <w:p w:rsidR="00420F80" w:rsidRPr="00420F80" w:rsidRDefault="00420F80" w:rsidP="00420F80">
      <w:pPr>
        <w:rPr>
          <w:rFonts w:asciiTheme="minorHAnsi" w:hAnsiTheme="minorHAnsi"/>
        </w:rPr>
      </w:pPr>
      <w:r w:rsidRPr="00420F80">
        <w:rPr>
          <w:rFonts w:asciiTheme="minorHAnsi" w:hAnsiTheme="minorHAnsi"/>
        </w:rPr>
        <w:t>Dr. Sarah Hills, Knowledge Exchange Development Manager, Institute for Sustainability, Health and Environment (ISHE), ), University of the West of England</w:t>
      </w:r>
    </w:p>
    <w:p w:rsidR="00420F80" w:rsidRPr="00420F80" w:rsidRDefault="00420F80" w:rsidP="00D72BB6">
      <w:pPr>
        <w:rPr>
          <w:rFonts w:asciiTheme="minorHAnsi" w:hAnsiTheme="minorHAnsi" w:cstheme="minorHAnsi"/>
        </w:rPr>
      </w:pPr>
    </w:p>
    <w:p w:rsidR="000E59D0" w:rsidRPr="000E59D0" w:rsidRDefault="000E59D0" w:rsidP="000E59D0">
      <w:pPr>
        <w:rPr>
          <w:rFonts w:asciiTheme="minorHAnsi" w:hAnsiTheme="minorHAnsi" w:cstheme="minorHAnsi"/>
        </w:rPr>
      </w:pPr>
      <w:r w:rsidRPr="00420F80">
        <w:rPr>
          <w:rFonts w:asciiTheme="minorHAnsi" w:hAnsiTheme="minorHAnsi" w:cs="AdvPECF938"/>
        </w:rPr>
        <w:t>Mat Jones, Senior</w:t>
      </w:r>
      <w:r w:rsidRPr="000E59D0">
        <w:rPr>
          <w:rFonts w:asciiTheme="minorHAnsi" w:hAnsiTheme="minorHAnsi" w:cs="AdvPECF938"/>
        </w:rPr>
        <w:t xml:space="preserve"> Lecturer Health and Social Policy, </w:t>
      </w:r>
      <w:r w:rsidRPr="000E59D0">
        <w:rPr>
          <w:rFonts w:asciiTheme="minorHAnsi" w:hAnsiTheme="minorHAnsi" w:cstheme="minorHAnsi"/>
        </w:rPr>
        <w:t>University of the West of England</w:t>
      </w:r>
    </w:p>
    <w:p w:rsidR="000E59D0" w:rsidRDefault="000E59D0" w:rsidP="00D72BB6">
      <w:pPr>
        <w:rPr>
          <w:rFonts w:asciiTheme="minorHAnsi" w:hAnsiTheme="minorHAnsi" w:cstheme="minorHAnsi"/>
        </w:rPr>
      </w:pPr>
    </w:p>
    <w:p w:rsidR="00F02A45" w:rsidRDefault="00F02A45" w:rsidP="00D72BB6">
      <w:pPr>
        <w:rPr>
          <w:rFonts w:asciiTheme="minorHAnsi" w:hAnsiTheme="minorHAnsi" w:cstheme="minorHAnsi"/>
        </w:rPr>
      </w:pPr>
      <w:r>
        <w:rPr>
          <w:rFonts w:asciiTheme="minorHAnsi" w:hAnsiTheme="minorHAnsi" w:cstheme="minorHAnsi"/>
        </w:rPr>
        <w:t>Dr Gill Kemp, Associate Head of Department, Business &amp; Management, University of the West of England</w:t>
      </w:r>
    </w:p>
    <w:p w:rsidR="00F02A45" w:rsidRDefault="00F02A45" w:rsidP="00D72BB6">
      <w:pPr>
        <w:rPr>
          <w:rFonts w:asciiTheme="minorHAnsi" w:hAnsiTheme="minorHAnsi" w:cstheme="minorHAnsi"/>
        </w:rPr>
      </w:pPr>
    </w:p>
    <w:p w:rsidR="00652A4B" w:rsidRPr="00652A4B" w:rsidRDefault="00652A4B" w:rsidP="00652A4B">
      <w:pPr>
        <w:rPr>
          <w:rFonts w:asciiTheme="minorHAnsi" w:hAnsiTheme="minorHAnsi" w:cstheme="minorHAnsi"/>
        </w:rPr>
      </w:pPr>
      <w:r w:rsidRPr="00652A4B">
        <w:rPr>
          <w:rFonts w:asciiTheme="minorHAnsi" w:hAnsiTheme="minorHAnsi" w:cstheme="minorHAnsi"/>
        </w:rPr>
        <w:t xml:space="preserve">Professor </w:t>
      </w:r>
      <w:r w:rsidRPr="00652A4B">
        <w:rPr>
          <w:rFonts w:asciiTheme="minorHAnsi" w:hAnsiTheme="minorHAnsi" w:cs="Tahoma"/>
          <w:lang w:val="en-US"/>
        </w:rPr>
        <w:t>Lamine Mahdjoubi,</w:t>
      </w:r>
      <w:r w:rsidRPr="00652A4B">
        <w:rPr>
          <w:rFonts w:asciiTheme="minorHAnsi" w:hAnsiTheme="minorHAnsi" w:cs="Segoe UI"/>
        </w:rPr>
        <w:t xml:space="preserve"> Professor of Built Environment, </w:t>
      </w:r>
      <w:r w:rsidRPr="00652A4B">
        <w:rPr>
          <w:rFonts w:asciiTheme="minorHAnsi" w:hAnsiTheme="minorHAnsi" w:cstheme="minorHAnsi"/>
        </w:rPr>
        <w:t>University of the West of England</w:t>
      </w:r>
    </w:p>
    <w:p w:rsidR="00652A4B" w:rsidRPr="000E59D0" w:rsidRDefault="00652A4B" w:rsidP="00D72BB6">
      <w:pPr>
        <w:rPr>
          <w:rFonts w:asciiTheme="minorHAnsi" w:hAnsiTheme="minorHAnsi" w:cstheme="minorHAnsi"/>
        </w:rPr>
      </w:pPr>
    </w:p>
    <w:p w:rsidR="00D72BB6" w:rsidRDefault="00D72BB6" w:rsidP="00D72BB6">
      <w:pPr>
        <w:rPr>
          <w:rFonts w:asciiTheme="minorHAnsi" w:hAnsiTheme="minorHAnsi" w:cstheme="minorHAnsi"/>
        </w:rPr>
      </w:pPr>
      <w:r>
        <w:rPr>
          <w:rFonts w:asciiTheme="minorHAnsi" w:hAnsiTheme="minorHAnsi" w:cstheme="minorHAnsi"/>
        </w:rPr>
        <w:t xml:space="preserve">Matt Lenny, </w:t>
      </w:r>
      <w:r w:rsidR="00B960E7">
        <w:rPr>
          <w:rFonts w:asciiTheme="minorHAnsi" w:hAnsiTheme="minorHAnsi" w:cstheme="minorHAnsi"/>
        </w:rPr>
        <w:t>Head of Social Marketing</w:t>
      </w:r>
      <w:r>
        <w:rPr>
          <w:rFonts w:asciiTheme="minorHAnsi" w:hAnsiTheme="minorHAnsi" w:cstheme="minorHAnsi"/>
        </w:rPr>
        <w:t>, Cornwall and Isles of Scilly PCT</w:t>
      </w:r>
    </w:p>
    <w:p w:rsidR="00D72BB6" w:rsidRDefault="00D72BB6" w:rsidP="00D72BB6">
      <w:pPr>
        <w:rPr>
          <w:rFonts w:asciiTheme="minorHAnsi" w:hAnsiTheme="minorHAnsi" w:cstheme="minorHAnsi"/>
        </w:rPr>
      </w:pPr>
    </w:p>
    <w:p w:rsidR="00D72BB6" w:rsidRDefault="000E59D0" w:rsidP="00D72BB6">
      <w:pPr>
        <w:rPr>
          <w:rFonts w:asciiTheme="minorHAnsi" w:hAnsiTheme="minorHAnsi" w:cstheme="minorHAnsi"/>
        </w:rPr>
      </w:pPr>
      <w:r>
        <w:rPr>
          <w:rFonts w:asciiTheme="minorHAnsi" w:hAnsiTheme="minorHAnsi" w:cstheme="minorHAnsi"/>
        </w:rPr>
        <w:t>Dr Yvette Morey, Research Fellow, Bristol Social Marketing Centre, University of the West of England</w:t>
      </w:r>
    </w:p>
    <w:p w:rsidR="00D72BB6" w:rsidRDefault="00D72BB6" w:rsidP="00D72BB6">
      <w:pPr>
        <w:rPr>
          <w:rFonts w:asciiTheme="minorHAnsi" w:hAnsiTheme="minorHAnsi" w:cstheme="minorHAnsi"/>
        </w:rPr>
      </w:pPr>
    </w:p>
    <w:p w:rsidR="001F7B90" w:rsidRDefault="001C5AC7" w:rsidP="001F7B90">
      <w:pPr>
        <w:rPr>
          <w:rFonts w:asciiTheme="minorHAnsi" w:hAnsiTheme="minorHAnsi" w:cstheme="minorHAnsi"/>
        </w:rPr>
      </w:pPr>
      <w:r w:rsidRPr="001F7B90">
        <w:rPr>
          <w:rFonts w:asciiTheme="minorHAnsi" w:hAnsiTheme="minorHAnsi" w:cstheme="minorHAnsi"/>
        </w:rPr>
        <w:t>Dr</w:t>
      </w:r>
      <w:r w:rsidR="000E59D0" w:rsidRPr="001F7B90">
        <w:rPr>
          <w:rFonts w:asciiTheme="minorHAnsi" w:hAnsiTheme="minorHAnsi" w:cstheme="minorHAnsi"/>
        </w:rPr>
        <w:t xml:space="preserve"> Peter Simpson, </w:t>
      </w:r>
      <w:r w:rsidR="00E76F40">
        <w:rPr>
          <w:rFonts w:asciiTheme="minorHAnsi" w:hAnsiTheme="minorHAnsi"/>
        </w:rPr>
        <w:t>Reader in Organiz</w:t>
      </w:r>
      <w:r w:rsidRPr="001F7B90">
        <w:rPr>
          <w:rFonts w:asciiTheme="minorHAnsi" w:hAnsiTheme="minorHAnsi"/>
        </w:rPr>
        <w:t xml:space="preserve">ation Studies, Director of MBA and Executive Education &amp; </w:t>
      </w:r>
      <w:r w:rsidR="00B960E7" w:rsidRPr="001F7B90">
        <w:rPr>
          <w:rFonts w:asciiTheme="minorHAnsi" w:hAnsiTheme="minorHAnsi" w:cstheme="minorHAnsi"/>
        </w:rPr>
        <w:t>Deputy Director Bristol Centre for Leadership and Organizational Ethics (BCLOE),</w:t>
      </w:r>
      <w:r w:rsidR="001F7B90" w:rsidRPr="001F7B90">
        <w:rPr>
          <w:rFonts w:asciiTheme="minorHAnsi" w:hAnsiTheme="minorHAnsi" w:cstheme="minorHAnsi"/>
        </w:rPr>
        <w:t xml:space="preserve"> </w:t>
      </w:r>
      <w:r w:rsidR="001F7B90">
        <w:rPr>
          <w:rFonts w:asciiTheme="minorHAnsi" w:hAnsiTheme="minorHAnsi" w:cstheme="minorHAnsi"/>
        </w:rPr>
        <w:t>University of the West of England</w:t>
      </w:r>
    </w:p>
    <w:p w:rsidR="000E59D0" w:rsidRPr="001F7B90" w:rsidRDefault="000E59D0" w:rsidP="00D72BB6">
      <w:pPr>
        <w:rPr>
          <w:rFonts w:asciiTheme="minorHAnsi" w:hAnsiTheme="minorHAnsi" w:cstheme="minorHAnsi"/>
        </w:rPr>
      </w:pPr>
    </w:p>
    <w:p w:rsidR="00652A4B" w:rsidRDefault="00D72BB6">
      <w:pPr>
        <w:rPr>
          <w:rFonts w:asciiTheme="majorHAnsi" w:eastAsiaTheme="majorEastAsia" w:hAnsiTheme="majorHAnsi" w:cstheme="majorBidi"/>
          <w:b/>
          <w:bCs/>
          <w:color w:val="4F81BD" w:themeColor="accent1"/>
          <w:sz w:val="26"/>
          <w:szCs w:val="26"/>
          <w:lang w:val="en-NZ"/>
        </w:rPr>
      </w:pPr>
      <w:r>
        <w:rPr>
          <w:rFonts w:asciiTheme="minorHAnsi" w:hAnsiTheme="minorHAnsi" w:cstheme="minorHAnsi"/>
        </w:rPr>
        <w:t xml:space="preserve">Dr Julia Verne, Director, South West Public Health Observatory and Deputy </w:t>
      </w:r>
      <w:r w:rsidR="00B81BDA">
        <w:rPr>
          <w:rFonts w:asciiTheme="minorHAnsi" w:hAnsiTheme="minorHAnsi" w:cstheme="minorHAnsi"/>
        </w:rPr>
        <w:t xml:space="preserve">Regional </w:t>
      </w:r>
      <w:r>
        <w:rPr>
          <w:rFonts w:asciiTheme="minorHAnsi" w:hAnsiTheme="minorHAnsi" w:cstheme="minorHAnsi"/>
        </w:rPr>
        <w:t xml:space="preserve">Director </w:t>
      </w:r>
      <w:r w:rsidR="00B81BDA">
        <w:rPr>
          <w:rFonts w:asciiTheme="minorHAnsi" w:hAnsiTheme="minorHAnsi" w:cstheme="minorHAnsi"/>
        </w:rPr>
        <w:t xml:space="preserve">of </w:t>
      </w:r>
      <w:r>
        <w:rPr>
          <w:rFonts w:asciiTheme="minorHAnsi" w:hAnsiTheme="minorHAnsi" w:cstheme="minorHAnsi"/>
        </w:rPr>
        <w:t>Public Health</w:t>
      </w:r>
      <w:r w:rsidR="00B81BDA">
        <w:rPr>
          <w:rFonts w:asciiTheme="minorHAnsi" w:hAnsiTheme="minorHAnsi" w:cstheme="minorHAnsi"/>
        </w:rPr>
        <w:t xml:space="preserve"> for</w:t>
      </w:r>
      <w:r>
        <w:rPr>
          <w:rFonts w:asciiTheme="minorHAnsi" w:hAnsiTheme="minorHAnsi" w:cstheme="minorHAnsi"/>
        </w:rPr>
        <w:t xml:space="preserve"> South West</w:t>
      </w:r>
      <w:r w:rsidR="00652A4B">
        <w:rPr>
          <w:lang w:val="en-NZ"/>
        </w:rPr>
        <w:br w:type="page"/>
      </w:r>
    </w:p>
    <w:p w:rsidR="00FB1195" w:rsidRPr="008B4E09" w:rsidRDefault="00FB1195" w:rsidP="00785E02">
      <w:pPr>
        <w:pStyle w:val="Heading2"/>
        <w:rPr>
          <w:sz w:val="28"/>
          <w:szCs w:val="28"/>
          <w:lang w:val="en-NZ"/>
        </w:rPr>
      </w:pPr>
      <w:bookmarkStart w:id="71" w:name="_Toc289256774"/>
      <w:r w:rsidRPr="008B4E09">
        <w:rPr>
          <w:sz w:val="28"/>
          <w:szCs w:val="28"/>
          <w:lang w:val="en-NZ"/>
        </w:rPr>
        <w:lastRenderedPageBreak/>
        <w:t>Appendix A:  Critical Review of the Potential Efficacy of Product Placement Regulations on Health-related Issues</w:t>
      </w:r>
      <w:bookmarkEnd w:id="71"/>
    </w:p>
    <w:p w:rsidR="00FB1195" w:rsidRDefault="00FB1195" w:rsidP="00EA6F6E">
      <w:pPr>
        <w:jc w:val="center"/>
        <w:rPr>
          <w:b/>
          <w:highlight w:val="yellow"/>
          <w:lang w:val="en-NZ"/>
        </w:rPr>
      </w:pPr>
    </w:p>
    <w:p w:rsidR="00785E02" w:rsidRPr="00C46FC5" w:rsidRDefault="00785E02" w:rsidP="00785E02">
      <w:pPr>
        <w:rPr>
          <w:rFonts w:asciiTheme="minorHAnsi" w:hAnsiTheme="minorHAnsi"/>
        </w:rPr>
      </w:pPr>
      <w:r w:rsidRPr="00C46FC5">
        <w:rPr>
          <w:rFonts w:asciiTheme="minorHAnsi" w:hAnsiTheme="minorHAnsi"/>
        </w:rPr>
        <w:t>*</w:t>
      </w:r>
      <w:r>
        <w:rPr>
          <w:rFonts w:asciiTheme="minorHAnsi" w:hAnsiTheme="minorHAnsi"/>
        </w:rPr>
        <w:t xml:space="preserve">Based on </w:t>
      </w:r>
      <w:r w:rsidRPr="00C46FC5">
        <w:rPr>
          <w:rFonts w:asciiTheme="minorHAnsi" w:hAnsiTheme="minorHAnsi"/>
        </w:rPr>
        <w:t>Paper submitted for 2011 ICORIA Conference</w:t>
      </w:r>
    </w:p>
    <w:p w:rsidR="00785E02" w:rsidRPr="00C46FC5" w:rsidRDefault="00785E02" w:rsidP="00785E02">
      <w:pPr>
        <w:rPr>
          <w:rFonts w:asciiTheme="minorHAnsi" w:hAnsiTheme="minorHAnsi"/>
        </w:rPr>
      </w:pPr>
    </w:p>
    <w:p w:rsidR="00785E02" w:rsidRPr="00C46FC5" w:rsidRDefault="00785E02" w:rsidP="00785E02">
      <w:pPr>
        <w:rPr>
          <w:rFonts w:asciiTheme="minorHAnsi" w:hAnsiTheme="minorHAnsi"/>
        </w:rPr>
      </w:pPr>
      <w:r w:rsidRPr="00C46FC5">
        <w:rPr>
          <w:rFonts w:asciiTheme="minorHAnsi" w:hAnsiTheme="minorHAnsi"/>
        </w:rPr>
        <w:t>Lynne Eagle</w:t>
      </w:r>
      <w:r>
        <w:rPr>
          <w:rFonts w:asciiTheme="minorHAnsi" w:hAnsiTheme="minorHAnsi"/>
        </w:rPr>
        <w:t xml:space="preserve"> </w:t>
      </w:r>
      <w:r w:rsidRPr="001550CA">
        <w:rPr>
          <w:rFonts w:asciiTheme="minorHAnsi" w:hAnsiTheme="minorHAnsi"/>
          <w:vertAlign w:val="superscript"/>
        </w:rPr>
        <w:t>1</w:t>
      </w:r>
      <w:r w:rsidRPr="00C46FC5">
        <w:rPr>
          <w:rFonts w:asciiTheme="minorHAnsi" w:hAnsiTheme="minorHAnsi"/>
        </w:rPr>
        <w:t>, Yvette Morey</w:t>
      </w:r>
      <w:r>
        <w:rPr>
          <w:rFonts w:asciiTheme="minorHAnsi" w:hAnsiTheme="minorHAnsi"/>
        </w:rPr>
        <w:t xml:space="preserve"> </w:t>
      </w:r>
      <w:r w:rsidRPr="001550CA">
        <w:rPr>
          <w:rFonts w:asciiTheme="minorHAnsi" w:hAnsiTheme="minorHAnsi"/>
          <w:vertAlign w:val="superscript"/>
        </w:rPr>
        <w:t>1</w:t>
      </w:r>
      <w:r w:rsidRPr="00C46FC5">
        <w:rPr>
          <w:rFonts w:asciiTheme="minorHAnsi" w:hAnsiTheme="minorHAnsi"/>
        </w:rPr>
        <w:t>, Stephan Dahl</w:t>
      </w:r>
      <w:r>
        <w:rPr>
          <w:rFonts w:asciiTheme="minorHAnsi" w:hAnsiTheme="minorHAnsi"/>
        </w:rPr>
        <w:t xml:space="preserve"> </w:t>
      </w:r>
      <w:r w:rsidRPr="001550CA">
        <w:rPr>
          <w:rFonts w:asciiTheme="minorHAnsi" w:hAnsiTheme="minorHAnsi"/>
          <w:vertAlign w:val="superscript"/>
        </w:rPr>
        <w:t>2</w:t>
      </w:r>
      <w:r w:rsidRPr="00C46FC5">
        <w:rPr>
          <w:rFonts w:asciiTheme="minorHAnsi" w:hAnsiTheme="minorHAnsi"/>
        </w:rPr>
        <w:t>, Julia Verne</w:t>
      </w:r>
      <w:r>
        <w:rPr>
          <w:rFonts w:asciiTheme="minorHAnsi" w:hAnsiTheme="minorHAnsi"/>
        </w:rPr>
        <w:t xml:space="preserve"> </w:t>
      </w:r>
      <w:r w:rsidRPr="001550CA">
        <w:rPr>
          <w:rFonts w:asciiTheme="minorHAnsi" w:hAnsiTheme="minorHAnsi"/>
          <w:vertAlign w:val="superscript"/>
        </w:rPr>
        <w:t xml:space="preserve">3 </w:t>
      </w:r>
    </w:p>
    <w:p w:rsidR="00785E02" w:rsidRPr="001550CA" w:rsidRDefault="00785E02" w:rsidP="00785E02">
      <w:pPr>
        <w:spacing w:before="60"/>
        <w:rPr>
          <w:rFonts w:asciiTheme="minorHAnsi" w:hAnsiTheme="minorHAnsi"/>
          <w:sz w:val="20"/>
          <w:szCs w:val="20"/>
        </w:rPr>
      </w:pPr>
      <w:r w:rsidRPr="001550CA">
        <w:rPr>
          <w:rFonts w:asciiTheme="minorHAnsi" w:hAnsiTheme="minorHAnsi"/>
          <w:sz w:val="20"/>
          <w:szCs w:val="20"/>
          <w:vertAlign w:val="superscript"/>
        </w:rPr>
        <w:t>1</w:t>
      </w:r>
      <w:r>
        <w:rPr>
          <w:rFonts w:asciiTheme="minorHAnsi" w:hAnsiTheme="minorHAnsi"/>
          <w:sz w:val="20"/>
          <w:szCs w:val="20"/>
          <w:vertAlign w:val="superscript"/>
        </w:rPr>
        <w:t xml:space="preserve"> </w:t>
      </w:r>
      <w:r w:rsidRPr="001550CA">
        <w:rPr>
          <w:rFonts w:asciiTheme="minorHAnsi" w:hAnsiTheme="minorHAnsi"/>
          <w:sz w:val="20"/>
          <w:szCs w:val="20"/>
        </w:rPr>
        <w:t xml:space="preserve">University of the West of England, </w:t>
      </w:r>
      <w:r w:rsidRPr="001550CA">
        <w:rPr>
          <w:rFonts w:asciiTheme="minorHAnsi" w:hAnsiTheme="minorHAnsi"/>
          <w:sz w:val="20"/>
          <w:szCs w:val="20"/>
          <w:vertAlign w:val="superscript"/>
        </w:rPr>
        <w:t>2</w:t>
      </w:r>
      <w:r>
        <w:rPr>
          <w:rFonts w:asciiTheme="minorHAnsi" w:hAnsiTheme="minorHAnsi"/>
          <w:sz w:val="20"/>
          <w:szCs w:val="20"/>
          <w:vertAlign w:val="superscript"/>
        </w:rPr>
        <w:t xml:space="preserve"> </w:t>
      </w:r>
      <w:r w:rsidRPr="001550CA">
        <w:rPr>
          <w:rFonts w:asciiTheme="minorHAnsi" w:hAnsiTheme="minorHAnsi"/>
          <w:sz w:val="20"/>
          <w:szCs w:val="20"/>
        </w:rPr>
        <w:t xml:space="preserve">University of Hull Business School, </w:t>
      </w:r>
      <w:r w:rsidRPr="001550CA">
        <w:rPr>
          <w:rFonts w:asciiTheme="minorHAnsi" w:hAnsiTheme="minorHAnsi"/>
          <w:sz w:val="20"/>
          <w:szCs w:val="20"/>
          <w:vertAlign w:val="superscript"/>
        </w:rPr>
        <w:t xml:space="preserve">3 </w:t>
      </w:r>
      <w:r w:rsidRPr="001550CA">
        <w:rPr>
          <w:rFonts w:asciiTheme="minorHAnsi" w:hAnsiTheme="minorHAnsi"/>
          <w:sz w:val="20"/>
          <w:szCs w:val="20"/>
        </w:rPr>
        <w:t>South West Health Observatory</w:t>
      </w:r>
    </w:p>
    <w:p w:rsidR="00785E02" w:rsidRPr="00C46FC5" w:rsidRDefault="00785E02" w:rsidP="00785E02">
      <w:pPr>
        <w:jc w:val="center"/>
        <w:rPr>
          <w:rFonts w:asciiTheme="minorHAnsi" w:hAnsiTheme="minorHAnsi"/>
        </w:rPr>
      </w:pPr>
    </w:p>
    <w:p w:rsidR="00785E02" w:rsidRPr="00C46FC5" w:rsidRDefault="00785E02" w:rsidP="00785E02">
      <w:pPr>
        <w:pStyle w:val="Heading4"/>
        <w:rPr>
          <w:rFonts w:asciiTheme="minorHAnsi" w:hAnsiTheme="minorHAnsi"/>
        </w:rPr>
      </w:pPr>
      <w:r w:rsidRPr="00C46FC5">
        <w:rPr>
          <w:rFonts w:asciiTheme="minorHAnsi" w:hAnsiTheme="minorHAnsi"/>
        </w:rPr>
        <w:t>ABSTRACT</w:t>
      </w:r>
    </w:p>
    <w:p w:rsidR="00785E02" w:rsidRPr="00C46FC5" w:rsidRDefault="00785E02" w:rsidP="00785E02">
      <w:pPr>
        <w:jc w:val="both"/>
        <w:rPr>
          <w:rFonts w:asciiTheme="minorHAnsi" w:hAnsiTheme="minorHAnsi"/>
        </w:rPr>
      </w:pPr>
      <w:r w:rsidRPr="00C46FC5">
        <w:rPr>
          <w:rFonts w:asciiTheme="minorHAnsi" w:hAnsiTheme="minorHAnsi"/>
        </w:rPr>
        <w:t>This paper discusses the implications of recent EU and, specifically, UK, relaxation of regulations governing product placements within EU-originated media content.  Using the UK regulations that came into force from February 2011, we suggest that the regulations are potentially ineffective, inconsistent with other legislation and regulation and do not reflect the subtleties of product placements across a range of media forms.   Recommendations for future research conclude the paper.</w:t>
      </w:r>
    </w:p>
    <w:p w:rsidR="00785E02" w:rsidRPr="00C46FC5" w:rsidRDefault="00785E02" w:rsidP="00785E02">
      <w:pPr>
        <w:jc w:val="both"/>
        <w:rPr>
          <w:rFonts w:asciiTheme="minorHAnsi" w:hAnsiTheme="minorHAnsi"/>
        </w:rPr>
      </w:pPr>
    </w:p>
    <w:p w:rsidR="00785E02" w:rsidRPr="00C46FC5" w:rsidRDefault="00785E02" w:rsidP="00785E02">
      <w:pPr>
        <w:pStyle w:val="Heading4"/>
        <w:rPr>
          <w:rFonts w:asciiTheme="minorHAnsi" w:hAnsiTheme="minorHAnsi"/>
        </w:rPr>
      </w:pPr>
      <w:r w:rsidRPr="00C46FC5">
        <w:rPr>
          <w:rFonts w:asciiTheme="minorHAnsi" w:hAnsiTheme="minorHAnsi"/>
        </w:rPr>
        <w:t>INTRODUCTION</w:t>
      </w:r>
    </w:p>
    <w:p w:rsidR="00785E02" w:rsidRPr="00C46FC5" w:rsidRDefault="00785E02" w:rsidP="00785E02">
      <w:pPr>
        <w:jc w:val="both"/>
        <w:rPr>
          <w:rFonts w:asciiTheme="minorHAnsi" w:hAnsiTheme="minorHAnsi"/>
          <w:lang w:val="en-NZ"/>
        </w:rPr>
      </w:pPr>
      <w:r w:rsidRPr="00C46FC5">
        <w:rPr>
          <w:rFonts w:asciiTheme="minorHAnsi" w:hAnsiTheme="minorHAnsi"/>
          <w:lang w:val="en-NZ"/>
        </w:rPr>
        <w:t>Product placement involves the insertion of a recognizable branded product into the content or background of a range of media broadcasting formats. Placements may occur in traditional media formats such as radio, television and movies, as well as newer formats such as console-based video games, online games (advergames) and social media sites. A placement may be paid for directly, be provided as part of an exchange of goods or services, or be a part of a joint promotional package</w:t>
      </w:r>
      <w:bookmarkStart w:id="72" w:name="_Ref286052424"/>
      <w:r w:rsidRPr="00C46FC5">
        <w:rPr>
          <w:rStyle w:val="EndnoteReference"/>
          <w:rFonts w:asciiTheme="minorHAnsi" w:hAnsiTheme="minorHAnsi"/>
          <w:lang w:val="en-NZ"/>
        </w:rPr>
        <w:endnoteReference w:id="235"/>
      </w:r>
      <w:bookmarkEnd w:id="72"/>
      <w:r w:rsidRPr="00C46FC5">
        <w:rPr>
          <w:rFonts w:asciiTheme="minorHAnsi" w:hAnsiTheme="minorHAnsi"/>
          <w:lang w:val="en-NZ"/>
        </w:rPr>
        <w:t xml:space="preserve">. In traditional media formats, such as movies and television, product placement can occur passively (the product is part of the setting but is not actually used), or actively (the product is used by an actor, with or without verbal acknowledgement, as part of the script). </w:t>
      </w:r>
    </w:p>
    <w:p w:rsidR="00785E02" w:rsidRPr="00C46FC5" w:rsidRDefault="00785E02" w:rsidP="00785E02">
      <w:pPr>
        <w:jc w:val="both"/>
        <w:rPr>
          <w:rFonts w:asciiTheme="minorHAnsi" w:hAnsiTheme="minorHAnsi"/>
          <w:lang w:val="en-NZ"/>
        </w:rPr>
      </w:pPr>
    </w:p>
    <w:p w:rsidR="00785E02" w:rsidRPr="00C46FC5" w:rsidRDefault="00785E02" w:rsidP="00785E02">
      <w:pPr>
        <w:jc w:val="both"/>
        <w:rPr>
          <w:rFonts w:asciiTheme="minorHAnsi" w:hAnsiTheme="minorHAnsi"/>
          <w:lang w:val="en-NZ"/>
        </w:rPr>
      </w:pPr>
      <w:r w:rsidRPr="00C46FC5">
        <w:rPr>
          <w:rFonts w:asciiTheme="minorHAnsi" w:hAnsiTheme="minorHAnsi"/>
          <w:lang w:val="en-NZ"/>
        </w:rPr>
        <w:t>Recent developments in television programmes such as reality and talent shows have provided new opportunities for product placement while product placement in popular music – particularly in rap and hip-hop genres – is endemic</w:t>
      </w:r>
      <w:r w:rsidRPr="00C46FC5">
        <w:rPr>
          <w:rStyle w:val="EndnoteReference"/>
          <w:rFonts w:asciiTheme="minorHAnsi" w:hAnsiTheme="minorHAnsi"/>
          <w:lang w:val="en-NZ"/>
        </w:rPr>
        <w:endnoteReference w:id="236"/>
      </w:r>
      <w:r w:rsidRPr="00C46FC5">
        <w:rPr>
          <w:rFonts w:asciiTheme="minorHAnsi" w:hAnsiTheme="minorHAnsi"/>
          <w:lang w:val="en-NZ"/>
        </w:rPr>
        <w:t>. In newer media formats such as console-based video games and advergames products may be peripheral or integral to the game itself. Finally, product placement has found its way onto social media sites such as Facebook, Twitter and You Tube where the combination of user-generated content and word-of-mouth recommendations are regarded as in invaluable opportunities for product placement by marketers</w:t>
      </w:r>
      <w:bookmarkStart w:id="73" w:name="_Ref286050850"/>
      <w:r w:rsidRPr="00C46FC5">
        <w:rPr>
          <w:rStyle w:val="EndnoteReference"/>
          <w:rFonts w:asciiTheme="minorHAnsi" w:hAnsiTheme="minorHAnsi"/>
          <w:lang w:val="en-NZ"/>
        </w:rPr>
        <w:endnoteReference w:id="237"/>
      </w:r>
      <w:bookmarkEnd w:id="73"/>
      <w:r w:rsidRPr="00C46FC5">
        <w:rPr>
          <w:rFonts w:asciiTheme="minorHAnsi" w:hAnsiTheme="minorHAnsi"/>
          <w:lang w:val="en-NZ"/>
        </w:rPr>
        <w:t>.  The impact of this activity is poorly understood and attempts to minimise any potential harmful impacts do not reflect the realities of product placements within new media forms.</w:t>
      </w:r>
    </w:p>
    <w:p w:rsidR="00785E02" w:rsidRPr="00C46FC5" w:rsidRDefault="00785E02" w:rsidP="00785E02">
      <w:pPr>
        <w:pStyle w:val="Heading4"/>
        <w:rPr>
          <w:rFonts w:asciiTheme="minorHAnsi" w:hAnsiTheme="minorHAnsi"/>
          <w:lang w:val="en-NZ"/>
        </w:rPr>
      </w:pPr>
      <w:r w:rsidRPr="00C46FC5">
        <w:rPr>
          <w:rFonts w:asciiTheme="minorHAnsi" w:hAnsiTheme="minorHAnsi"/>
          <w:lang w:val="en-NZ"/>
        </w:rPr>
        <w:t>DISCUSSION</w:t>
      </w:r>
    </w:p>
    <w:p w:rsidR="00785E02" w:rsidRPr="00C46FC5" w:rsidRDefault="00785E02" w:rsidP="00785E02">
      <w:pPr>
        <w:pStyle w:val="Heading5"/>
        <w:rPr>
          <w:rFonts w:asciiTheme="minorHAnsi" w:hAnsiTheme="minorHAnsi"/>
          <w:lang w:val="en-NZ"/>
        </w:rPr>
      </w:pPr>
      <w:r w:rsidRPr="00C46FC5">
        <w:rPr>
          <w:rFonts w:asciiTheme="minorHAnsi" w:hAnsiTheme="minorHAnsi"/>
          <w:lang w:val="en-NZ"/>
        </w:rPr>
        <w:t>History</w:t>
      </w:r>
    </w:p>
    <w:p w:rsidR="00785E02" w:rsidRPr="00C46FC5" w:rsidRDefault="00785E02" w:rsidP="00785E02">
      <w:pPr>
        <w:jc w:val="both"/>
        <w:rPr>
          <w:rFonts w:asciiTheme="minorHAnsi" w:hAnsiTheme="minorHAnsi"/>
        </w:rPr>
      </w:pPr>
      <w:r w:rsidRPr="00C46FC5">
        <w:rPr>
          <w:rFonts w:asciiTheme="minorHAnsi" w:hAnsiTheme="minorHAnsi"/>
          <w:lang w:val="en-NZ"/>
        </w:rPr>
        <w:t xml:space="preserve">Funding from product placements has long been attractive to entertainment (movies, television and radio) producers as it provides an opportunity to offset </w:t>
      </w:r>
      <w:r w:rsidRPr="00C46FC5">
        <w:rPr>
          <w:rFonts w:asciiTheme="minorHAnsi" w:hAnsiTheme="minorHAnsi"/>
          <w:lang w:val="en-NZ"/>
        </w:rPr>
        <w:lastRenderedPageBreak/>
        <w:t>production costs</w:t>
      </w:r>
      <w:r w:rsidRPr="00C46FC5">
        <w:rPr>
          <w:rStyle w:val="EndnoteReference"/>
          <w:rFonts w:asciiTheme="minorHAnsi" w:hAnsiTheme="minorHAnsi"/>
          <w:lang w:val="en-NZ"/>
        </w:rPr>
        <w:endnoteReference w:id="238"/>
      </w:r>
      <w:r w:rsidRPr="00C46FC5">
        <w:rPr>
          <w:rFonts w:asciiTheme="minorHAnsi" w:hAnsiTheme="minorHAnsi"/>
          <w:lang w:val="en-NZ"/>
        </w:rPr>
        <w:t xml:space="preserve">. The first recorded product placement in the movies was the featuring of Gordon’s Gin in the 1951 Humphrey Bogart and Katherine Hepburn movie </w:t>
      </w:r>
      <w:r w:rsidRPr="00C46FC5">
        <w:rPr>
          <w:rFonts w:asciiTheme="minorHAnsi" w:hAnsiTheme="minorHAnsi"/>
          <w:i/>
          <w:lang w:val="en-NZ"/>
        </w:rPr>
        <w:t>The African Queen</w:t>
      </w:r>
      <w:r w:rsidRPr="00C46FC5">
        <w:rPr>
          <w:rStyle w:val="EndnoteReference"/>
          <w:rFonts w:asciiTheme="minorHAnsi" w:hAnsiTheme="minorHAnsi"/>
          <w:i/>
          <w:lang w:val="en-NZ"/>
        </w:rPr>
        <w:endnoteReference w:id="239"/>
      </w:r>
      <w:r w:rsidRPr="00C46FC5">
        <w:rPr>
          <w:rFonts w:asciiTheme="minorHAnsi" w:hAnsiTheme="minorHAnsi"/>
          <w:lang w:val="en-NZ"/>
        </w:rPr>
        <w:t>.  Product placements were contained within programme content originating from outside the EU, especially from US programming but were not permitted within EU-originated programme content until a 2007 EU directive</w:t>
      </w:r>
      <w:r w:rsidRPr="00C46FC5">
        <w:rPr>
          <w:rStyle w:val="EndnoteReference"/>
          <w:rFonts w:asciiTheme="minorHAnsi" w:hAnsiTheme="minorHAnsi"/>
          <w:lang w:val="en-NZ"/>
        </w:rPr>
        <w:endnoteReference w:id="240"/>
      </w:r>
      <w:r w:rsidRPr="00C46FC5">
        <w:rPr>
          <w:rFonts w:asciiTheme="minorHAnsi" w:hAnsiTheme="minorHAnsi"/>
          <w:lang w:val="en-NZ"/>
        </w:rPr>
        <w:t xml:space="preserve"> .  With effect from February 2011, product placements have been permitted within UK-originated broadcasting, including </w:t>
      </w:r>
      <w:r w:rsidRPr="00C46FC5">
        <w:rPr>
          <w:rFonts w:asciiTheme="minorHAnsi" w:hAnsiTheme="minorHAnsi"/>
        </w:rPr>
        <w:t>sports programming, soaps, films and television and radio entertainment shows</w:t>
      </w:r>
      <w:r w:rsidRPr="00C46FC5">
        <w:rPr>
          <w:rStyle w:val="EndnoteReference"/>
          <w:rFonts w:asciiTheme="minorHAnsi" w:hAnsiTheme="minorHAnsi"/>
        </w:rPr>
        <w:endnoteReference w:id="241"/>
      </w:r>
      <w:r w:rsidRPr="00C46FC5">
        <w:rPr>
          <w:rFonts w:asciiTheme="minorHAnsi" w:hAnsiTheme="minorHAnsi"/>
        </w:rPr>
        <w:t>.  The following</w:t>
      </w:r>
      <w:r w:rsidRPr="00C46FC5">
        <w:rPr>
          <w:rFonts w:asciiTheme="minorHAnsi" w:hAnsiTheme="minorHAnsi"/>
          <w:lang w:val="en-NZ"/>
        </w:rPr>
        <w:t xml:space="preserve"> prohibitions apply: </w:t>
      </w:r>
      <w:r w:rsidRPr="00C46FC5">
        <w:rPr>
          <w:rFonts w:asciiTheme="minorHAnsi" w:hAnsiTheme="minorHAnsi"/>
        </w:rPr>
        <w:t>placements are banned during news and children’s programmes, together with religious, current affairs and consumer advice programming. The placement of items such as tobacco, alcohol, gambling, infant formula, all medicinal products, electronic or smokeless cigarettes, cigarette lighters etc and foods or drinks high in fat, salt and sugar</w:t>
      </w:r>
      <w:r w:rsidRPr="00C46FC5">
        <w:rPr>
          <w:rStyle w:val="EndnoteReference"/>
          <w:rFonts w:asciiTheme="minorHAnsi" w:hAnsiTheme="minorHAnsi"/>
        </w:rPr>
        <w:endnoteReference w:id="242"/>
      </w:r>
      <w:r w:rsidRPr="00C46FC5">
        <w:rPr>
          <w:rFonts w:asciiTheme="minorHAnsi" w:hAnsiTheme="minorHAnsi"/>
        </w:rPr>
        <w:t xml:space="preserve">. </w:t>
      </w:r>
    </w:p>
    <w:p w:rsidR="00785E02" w:rsidRPr="00C46FC5" w:rsidRDefault="00785E02" w:rsidP="00785E02">
      <w:pPr>
        <w:pStyle w:val="Heading5"/>
        <w:rPr>
          <w:rFonts w:asciiTheme="minorHAnsi" w:hAnsiTheme="minorHAnsi"/>
          <w:lang w:val="en-NZ"/>
        </w:rPr>
      </w:pPr>
      <w:r w:rsidRPr="00C46FC5">
        <w:rPr>
          <w:rFonts w:asciiTheme="minorHAnsi" w:hAnsiTheme="minorHAnsi"/>
          <w:lang w:val="en-NZ"/>
        </w:rPr>
        <w:t>Product Placement in Music</w:t>
      </w:r>
    </w:p>
    <w:p w:rsidR="00785E02" w:rsidRPr="00C46FC5" w:rsidRDefault="00785E02" w:rsidP="00785E02">
      <w:pPr>
        <w:jc w:val="both"/>
        <w:rPr>
          <w:rFonts w:asciiTheme="minorHAnsi" w:hAnsiTheme="minorHAnsi"/>
          <w:lang w:val="en-NZ"/>
        </w:rPr>
      </w:pPr>
      <w:r w:rsidRPr="00C46FC5">
        <w:rPr>
          <w:rFonts w:asciiTheme="minorHAnsi" w:hAnsiTheme="minorHAnsi"/>
          <w:lang w:val="en-NZ"/>
        </w:rPr>
        <w:t xml:space="preserve">Product placement in popular music – particularly in rap and hip-hop – is endemic. Songs by rappers like Flo Rida, Kanye West and Jay Z often receive airplay on national stations. In 2008 Flo Rida’s song </w:t>
      </w:r>
      <w:r w:rsidRPr="00C46FC5">
        <w:rPr>
          <w:rFonts w:asciiTheme="minorHAnsi" w:hAnsiTheme="minorHAnsi"/>
          <w:i/>
          <w:lang w:val="en-NZ"/>
        </w:rPr>
        <w:t>Low</w:t>
      </w:r>
      <w:r w:rsidRPr="00C46FC5">
        <w:rPr>
          <w:rFonts w:asciiTheme="minorHAnsi" w:hAnsiTheme="minorHAnsi"/>
          <w:lang w:val="en-NZ"/>
        </w:rPr>
        <w:t xml:space="preserve"> peaked at number 2 on the UK Singles Chart and name checked brands such as Apple Bottom, Reebok, Cadillac, Maybach, Patron, Hennessy, and Glock amongst others (American Brandstand, 2008). Music videos are, similarly, often vehicles for product placement. Lady Gaga’s 9.5 minute video for her single </w:t>
      </w:r>
      <w:r w:rsidRPr="00C46FC5">
        <w:rPr>
          <w:rFonts w:asciiTheme="minorHAnsi" w:hAnsiTheme="minorHAnsi"/>
          <w:i/>
          <w:lang w:val="en-NZ"/>
        </w:rPr>
        <w:t>Telephone</w:t>
      </w:r>
      <w:r w:rsidRPr="00C46FC5">
        <w:rPr>
          <w:rFonts w:asciiTheme="minorHAnsi" w:hAnsiTheme="minorHAnsi"/>
          <w:lang w:val="en-NZ"/>
        </w:rPr>
        <w:t xml:space="preserve"> includes 10 product placements and was viewed by more than 4 million people in the first 24 hours after its release</w:t>
      </w:r>
      <w:r w:rsidRPr="00C46FC5">
        <w:rPr>
          <w:rStyle w:val="EndnoteReference"/>
          <w:rFonts w:asciiTheme="minorHAnsi" w:hAnsiTheme="minorHAnsi"/>
          <w:lang w:val="en-NZ"/>
        </w:rPr>
        <w:endnoteReference w:id="243"/>
      </w:r>
      <w:r w:rsidRPr="00C46FC5">
        <w:rPr>
          <w:rFonts w:asciiTheme="minorHAnsi" w:hAnsiTheme="minorHAnsi"/>
          <w:lang w:val="en-NZ"/>
        </w:rPr>
        <w:t xml:space="preserve">. </w:t>
      </w:r>
    </w:p>
    <w:p w:rsidR="00785E02" w:rsidRPr="00C46FC5" w:rsidRDefault="00785E02" w:rsidP="00785E02">
      <w:pPr>
        <w:pStyle w:val="Heading5"/>
        <w:rPr>
          <w:rFonts w:asciiTheme="minorHAnsi" w:hAnsiTheme="minorHAnsi"/>
          <w:lang w:val="en-NZ"/>
        </w:rPr>
      </w:pPr>
      <w:r w:rsidRPr="00C46FC5">
        <w:rPr>
          <w:rFonts w:asciiTheme="minorHAnsi" w:hAnsiTheme="minorHAnsi"/>
          <w:lang w:val="en-NZ"/>
        </w:rPr>
        <w:t>Product Placement in Computer-based Media / Social Media</w:t>
      </w:r>
    </w:p>
    <w:p w:rsidR="00785E02" w:rsidRPr="00C46FC5" w:rsidRDefault="00785E02" w:rsidP="00785E02">
      <w:pPr>
        <w:jc w:val="both"/>
        <w:rPr>
          <w:rFonts w:asciiTheme="minorHAnsi" w:hAnsiTheme="minorHAnsi"/>
          <w:lang w:val="en-NZ"/>
        </w:rPr>
      </w:pPr>
      <w:r w:rsidRPr="00C46FC5">
        <w:rPr>
          <w:rFonts w:asciiTheme="minorHAnsi" w:hAnsiTheme="minorHAnsi"/>
          <w:lang w:val="en-NZ"/>
        </w:rPr>
        <w:t>In newer media such as advergames – free online games that offer high quality game</w:t>
      </w:r>
      <w:r>
        <w:rPr>
          <w:rFonts w:asciiTheme="minorHAnsi" w:hAnsiTheme="minorHAnsi"/>
          <w:lang w:val="en-NZ"/>
        </w:rPr>
        <w:t>-</w:t>
      </w:r>
      <w:r w:rsidRPr="00C46FC5">
        <w:rPr>
          <w:rFonts w:asciiTheme="minorHAnsi" w:hAnsiTheme="minorHAnsi"/>
          <w:lang w:val="en-NZ"/>
        </w:rPr>
        <w:t xml:space="preserve">play in order to promote a particular product – the product is often an integral part of the game itself. For example, the Chrysler Group created the </w:t>
      </w:r>
      <w:r w:rsidRPr="00C46FC5">
        <w:rPr>
          <w:rFonts w:asciiTheme="minorHAnsi" w:hAnsiTheme="minorHAnsi"/>
          <w:i/>
          <w:lang w:val="en-NZ"/>
        </w:rPr>
        <w:t>Island Rally Racing Series</w:t>
      </w:r>
      <w:r w:rsidRPr="00C46FC5">
        <w:rPr>
          <w:rFonts w:asciiTheme="minorHAnsi" w:hAnsiTheme="minorHAnsi"/>
          <w:lang w:val="en-NZ"/>
        </w:rPr>
        <w:t xml:space="preserve"> in order to promote a new range of vehicles for their Chrysler, Jeep and Dodge brands</w:t>
      </w:r>
      <w:r w:rsidRPr="00C46FC5">
        <w:rPr>
          <w:rStyle w:val="EndnoteReference"/>
          <w:rFonts w:asciiTheme="minorHAnsi" w:hAnsiTheme="minorHAnsi"/>
          <w:lang w:val="en-NZ"/>
        </w:rPr>
        <w:endnoteReference w:id="244"/>
      </w:r>
      <w:r w:rsidRPr="00C46FC5">
        <w:rPr>
          <w:rFonts w:asciiTheme="minorHAnsi" w:hAnsiTheme="minorHAnsi"/>
          <w:lang w:val="en-NZ"/>
        </w:rPr>
        <w:t>. Advergames appear to have evolved in response to low click-through rates for conventional web advertisements such as banner ads</w:t>
      </w:r>
      <w:r w:rsidRPr="00C46FC5">
        <w:rPr>
          <w:rStyle w:val="EndnoteReference"/>
          <w:rFonts w:asciiTheme="minorHAnsi" w:hAnsiTheme="minorHAnsi"/>
          <w:lang w:val="en-NZ"/>
        </w:rPr>
        <w:endnoteReference w:id="245"/>
      </w:r>
      <w:r w:rsidRPr="00C46FC5">
        <w:rPr>
          <w:rFonts w:asciiTheme="minorHAnsi" w:hAnsiTheme="minorHAnsi"/>
          <w:lang w:val="en-NZ"/>
        </w:rPr>
        <w:t xml:space="preserve">  and aim to offer entertainment that engages gamers in such a way that an emotional connection is forged between the game and the brand featured within it</w:t>
      </w:r>
      <w:r w:rsidRPr="00C46FC5">
        <w:rPr>
          <w:rStyle w:val="EndnoteReference"/>
          <w:rFonts w:asciiTheme="minorHAnsi" w:hAnsiTheme="minorHAnsi"/>
          <w:lang w:val="en-NZ"/>
        </w:rPr>
        <w:endnoteReference w:id="246"/>
      </w:r>
      <w:r w:rsidRPr="00C46FC5">
        <w:rPr>
          <w:rFonts w:asciiTheme="minorHAnsi" w:hAnsiTheme="minorHAnsi"/>
          <w:lang w:val="en-NZ"/>
        </w:rPr>
        <w:t xml:space="preserve">. </w:t>
      </w:r>
    </w:p>
    <w:p w:rsidR="00785E02" w:rsidRPr="00C46FC5" w:rsidRDefault="00785E02" w:rsidP="00785E02">
      <w:pPr>
        <w:jc w:val="both"/>
        <w:rPr>
          <w:rFonts w:asciiTheme="minorHAnsi" w:hAnsiTheme="minorHAnsi"/>
          <w:lang w:val="en-NZ"/>
        </w:rPr>
      </w:pPr>
    </w:p>
    <w:p w:rsidR="00785E02" w:rsidRPr="00C46FC5" w:rsidRDefault="00785E02" w:rsidP="00785E02">
      <w:pPr>
        <w:jc w:val="both"/>
        <w:rPr>
          <w:rFonts w:asciiTheme="minorHAnsi" w:hAnsiTheme="minorHAnsi"/>
          <w:lang w:val="en-NZ"/>
        </w:rPr>
      </w:pPr>
      <w:r w:rsidRPr="00C46FC5">
        <w:rPr>
          <w:rFonts w:asciiTheme="minorHAnsi" w:hAnsiTheme="minorHAnsi"/>
          <w:lang w:val="en-NZ"/>
        </w:rPr>
        <w:t>In console-based games product placement may be central or peripheral to the game, however, the immersive nature of game-play means that target audiences react and engage with placements differently. The repetitive exposure provided in videogames that may be played many times is also seen as an advantage for placements in newer media forms</w:t>
      </w:r>
      <w:r w:rsidRPr="00C46FC5">
        <w:rPr>
          <w:rStyle w:val="EndnoteReference"/>
          <w:rFonts w:asciiTheme="minorHAnsi" w:hAnsiTheme="minorHAnsi"/>
          <w:lang w:val="en-NZ"/>
        </w:rPr>
        <w:endnoteReference w:id="247"/>
      </w:r>
      <w:r w:rsidRPr="00C46FC5">
        <w:rPr>
          <w:rFonts w:asciiTheme="minorHAnsi" w:hAnsiTheme="minorHAnsi"/>
          <w:lang w:val="en-NZ"/>
        </w:rPr>
        <w:t>. A particular cause for concern is the popularity of these types of games with children as how they interact with and negotiate product placement in this format is not understood</w:t>
      </w:r>
      <w:r w:rsidRPr="00C46FC5">
        <w:rPr>
          <w:rStyle w:val="EndnoteReference"/>
          <w:rFonts w:asciiTheme="minorHAnsi" w:hAnsiTheme="minorHAnsi"/>
          <w:lang w:val="en-NZ"/>
        </w:rPr>
        <w:endnoteReference w:id="248"/>
      </w:r>
      <w:r w:rsidRPr="00C46FC5">
        <w:rPr>
          <w:rFonts w:asciiTheme="minorHAnsi" w:hAnsiTheme="minorHAnsi"/>
          <w:lang w:val="en-NZ"/>
        </w:rPr>
        <w:t>.  More recently, product placement has extended to social media sites with marketing companies offering cash and discount incentives to those who mention the relevant brands to their friends on social networking sites; similarly companies like Sponsored Tweets pay people for mentioning brands in their tweets</w:t>
      </w:r>
      <w:fldSimple w:instr=" NOTEREF _Ref286050850 \h  \* MERGEFORMAT ">
        <w:r w:rsidR="00CE6342" w:rsidRPr="00CE6342">
          <w:rPr>
            <w:rFonts w:asciiTheme="minorHAnsi" w:hAnsiTheme="minorHAnsi"/>
            <w:vertAlign w:val="superscript"/>
            <w:lang w:val="en-NZ"/>
          </w:rPr>
          <w:t>237</w:t>
        </w:r>
      </w:fldSimple>
      <w:r w:rsidRPr="00C46FC5">
        <w:rPr>
          <w:rFonts w:asciiTheme="minorHAnsi" w:hAnsiTheme="minorHAnsi"/>
          <w:lang w:val="en-NZ"/>
        </w:rPr>
        <w:t>.  The impact of this activity is also totally un-researched</w:t>
      </w:r>
    </w:p>
    <w:p w:rsidR="00785E02" w:rsidRPr="00C46FC5" w:rsidRDefault="00785E02" w:rsidP="00785E02">
      <w:pPr>
        <w:rPr>
          <w:rFonts w:asciiTheme="minorHAnsi" w:hAnsiTheme="minorHAnsi"/>
          <w:b/>
          <w:lang w:val="en-NZ"/>
        </w:rPr>
      </w:pPr>
    </w:p>
    <w:p w:rsidR="00785E02" w:rsidRPr="00C46FC5" w:rsidRDefault="00785E02" w:rsidP="00785E02">
      <w:pPr>
        <w:pStyle w:val="Heading4"/>
        <w:rPr>
          <w:lang w:val="en-NZ"/>
        </w:rPr>
      </w:pPr>
      <w:r w:rsidRPr="00C46FC5">
        <w:rPr>
          <w:lang w:val="en-NZ"/>
        </w:rPr>
        <w:lastRenderedPageBreak/>
        <w:t>SPECIFIC PRODUCT PLACEMENT CONCERNS</w:t>
      </w:r>
    </w:p>
    <w:p w:rsidR="00785E02" w:rsidRPr="00C46FC5" w:rsidRDefault="00785E02" w:rsidP="00785E02">
      <w:pPr>
        <w:pStyle w:val="Heading5"/>
        <w:rPr>
          <w:lang w:val="en-NZ"/>
        </w:rPr>
      </w:pPr>
      <w:r w:rsidRPr="00C46FC5">
        <w:rPr>
          <w:lang w:val="en-NZ"/>
        </w:rPr>
        <w:t>Children</w:t>
      </w:r>
    </w:p>
    <w:p w:rsidR="00785E02" w:rsidRPr="00C46FC5" w:rsidRDefault="00785E02" w:rsidP="00785E02">
      <w:pPr>
        <w:jc w:val="both"/>
        <w:rPr>
          <w:rFonts w:asciiTheme="minorHAnsi" w:hAnsiTheme="minorHAnsi"/>
          <w:lang w:val="en-NZ"/>
        </w:rPr>
      </w:pPr>
      <w:r w:rsidRPr="00C46FC5">
        <w:rPr>
          <w:rFonts w:asciiTheme="minorHAnsi" w:hAnsiTheme="minorHAnsi"/>
          <w:lang w:val="en-NZ"/>
        </w:rPr>
        <w:t>Children’s limited ability to understand the nature of persuasion knowledge and thus limited defences against persuasive communication</w:t>
      </w:r>
      <w:r w:rsidRPr="00C46FC5">
        <w:rPr>
          <w:rStyle w:val="EndnoteReference"/>
          <w:rFonts w:asciiTheme="minorHAnsi" w:hAnsiTheme="minorHAnsi"/>
          <w:lang w:val="en-NZ"/>
        </w:rPr>
        <w:endnoteReference w:id="249"/>
      </w:r>
      <w:r w:rsidRPr="00C46FC5">
        <w:rPr>
          <w:rFonts w:asciiTheme="minorHAnsi" w:hAnsiTheme="minorHAnsi"/>
          <w:vertAlign w:val="superscript"/>
          <w:lang w:val="en-NZ"/>
        </w:rPr>
        <w:t xml:space="preserve">, </w:t>
      </w:r>
      <w:bookmarkStart w:id="74" w:name="_Ref286051214"/>
      <w:r w:rsidRPr="00C46FC5">
        <w:rPr>
          <w:rStyle w:val="EndnoteReference"/>
          <w:rFonts w:asciiTheme="minorHAnsi" w:hAnsiTheme="minorHAnsi"/>
          <w:lang w:val="en-NZ"/>
        </w:rPr>
        <w:endnoteReference w:id="250"/>
      </w:r>
      <w:bookmarkEnd w:id="74"/>
      <w:r w:rsidRPr="00C46FC5">
        <w:rPr>
          <w:rFonts w:asciiTheme="minorHAnsi" w:hAnsiTheme="minorHAnsi"/>
          <w:lang w:val="en-NZ"/>
        </w:rPr>
        <w:t xml:space="preserve"> is held by lobby groups to be justification for limiting the type and amount of exposure to persuasive communication.  There is, however, little specific research in this area and it remains a very difficult – and hotly contested topic</w:t>
      </w:r>
      <w:r w:rsidRPr="00C46FC5">
        <w:rPr>
          <w:rStyle w:val="EndnoteReference"/>
          <w:rFonts w:asciiTheme="minorHAnsi" w:hAnsiTheme="minorHAnsi"/>
          <w:lang w:val="en-NZ"/>
        </w:rPr>
        <w:endnoteReference w:id="251"/>
      </w:r>
      <w:r w:rsidRPr="00C46FC5">
        <w:rPr>
          <w:rFonts w:asciiTheme="minorHAnsi" w:hAnsiTheme="minorHAnsi"/>
          <w:lang w:val="en-NZ"/>
        </w:rPr>
        <w:t>.  International moves to deliver media literacy training to children represent attempts to increase knowledge of commercial persuasion forms and techniques and to help children to develop coping skills</w:t>
      </w:r>
      <w:r w:rsidRPr="00C46FC5">
        <w:rPr>
          <w:rStyle w:val="EndnoteReference"/>
          <w:rFonts w:asciiTheme="minorHAnsi" w:hAnsiTheme="minorHAnsi"/>
          <w:lang w:val="en-NZ"/>
        </w:rPr>
        <w:endnoteReference w:id="252"/>
      </w:r>
      <w:r w:rsidRPr="00C46FC5">
        <w:rPr>
          <w:rFonts w:asciiTheme="minorHAnsi" w:hAnsiTheme="minorHAnsi"/>
          <w:vertAlign w:val="superscript"/>
          <w:lang w:val="en-NZ"/>
        </w:rPr>
        <w:t xml:space="preserve">, </w:t>
      </w:r>
      <w:r w:rsidRPr="00C46FC5">
        <w:rPr>
          <w:rStyle w:val="EndnoteReference"/>
          <w:rFonts w:asciiTheme="minorHAnsi" w:hAnsiTheme="minorHAnsi"/>
          <w:lang w:val="en-NZ"/>
        </w:rPr>
        <w:endnoteReference w:id="253"/>
      </w:r>
      <w:r w:rsidRPr="00C46FC5">
        <w:rPr>
          <w:rFonts w:asciiTheme="minorHAnsi" w:hAnsiTheme="minorHAnsi"/>
          <w:lang w:val="en-NZ"/>
        </w:rPr>
        <w:t xml:space="preserve">.  These programmes, however, focus on overt marketing communication and not on the more subtle forms of persuasive communication discussed in this paper.  There is also considerable doubt regarding the effectiveness of these programmes, particularly among younger children </w:t>
      </w:r>
      <w:fldSimple w:instr=" NOTEREF _Ref286051214 \h  \* MERGEFORMAT ">
        <w:r w:rsidR="00CE6342" w:rsidRPr="00CE6342">
          <w:rPr>
            <w:rFonts w:asciiTheme="minorHAnsi" w:hAnsiTheme="minorHAnsi"/>
            <w:vertAlign w:val="superscript"/>
            <w:lang w:val="en-NZ"/>
          </w:rPr>
          <w:t>250</w:t>
        </w:r>
      </w:fldSimple>
      <w:r w:rsidRPr="00C46FC5">
        <w:rPr>
          <w:rFonts w:asciiTheme="minorHAnsi" w:hAnsiTheme="minorHAnsi"/>
          <w:vertAlign w:val="superscript"/>
          <w:lang w:val="en-NZ"/>
        </w:rPr>
        <w:t>,</w:t>
      </w:r>
      <w:r w:rsidRPr="00C46FC5">
        <w:rPr>
          <w:rStyle w:val="EndnoteReference"/>
          <w:rFonts w:asciiTheme="minorHAnsi" w:hAnsiTheme="minorHAnsi"/>
          <w:lang w:val="en-NZ"/>
        </w:rPr>
        <w:endnoteReference w:id="254"/>
      </w:r>
      <w:r w:rsidRPr="00C46FC5">
        <w:rPr>
          <w:rFonts w:asciiTheme="minorHAnsi" w:hAnsiTheme="minorHAnsi"/>
          <w:lang w:val="en-NZ"/>
        </w:rPr>
        <w:t xml:space="preserve">. </w:t>
      </w:r>
    </w:p>
    <w:p w:rsidR="00785E02" w:rsidRPr="00C46FC5" w:rsidRDefault="00785E02" w:rsidP="00785E02">
      <w:pPr>
        <w:jc w:val="both"/>
        <w:rPr>
          <w:rFonts w:asciiTheme="minorHAnsi" w:hAnsiTheme="minorHAnsi"/>
          <w:lang w:val="en-NZ"/>
        </w:rPr>
      </w:pPr>
    </w:p>
    <w:p w:rsidR="00785E02" w:rsidRPr="00C46FC5" w:rsidRDefault="00785E02" w:rsidP="00785E02">
      <w:pPr>
        <w:jc w:val="both"/>
        <w:rPr>
          <w:rFonts w:asciiTheme="minorHAnsi" w:hAnsiTheme="minorHAnsi"/>
          <w:lang w:val="en-NZ"/>
        </w:rPr>
      </w:pPr>
      <w:r w:rsidRPr="00C46FC5">
        <w:rPr>
          <w:rFonts w:asciiTheme="minorHAnsi" w:hAnsiTheme="minorHAnsi"/>
          <w:lang w:val="en-NZ"/>
        </w:rPr>
        <w:t xml:space="preserve">A number of general concerns have been raised in relation to the potential impact of product placement on vulnerable groups such as children if the characters using a specific brand or product type portray the product’s use as ‘cool’ or desirable </w:t>
      </w:r>
      <w:bookmarkStart w:id="75" w:name="_Ref286054470"/>
      <w:r w:rsidRPr="00C46FC5">
        <w:rPr>
          <w:rStyle w:val="EndnoteReference"/>
          <w:rFonts w:asciiTheme="minorHAnsi" w:hAnsiTheme="minorHAnsi"/>
          <w:lang w:val="en-NZ"/>
        </w:rPr>
        <w:endnoteReference w:id="255"/>
      </w:r>
      <w:bookmarkEnd w:id="75"/>
      <w:r w:rsidRPr="00C46FC5">
        <w:rPr>
          <w:rFonts w:asciiTheme="minorHAnsi" w:hAnsiTheme="minorHAnsi"/>
          <w:vertAlign w:val="superscript"/>
          <w:lang w:val="en-NZ"/>
        </w:rPr>
        <w:t>,</w:t>
      </w:r>
      <w:bookmarkStart w:id="76" w:name="_Ref286052616"/>
      <w:r w:rsidRPr="00C46FC5">
        <w:rPr>
          <w:rStyle w:val="EndnoteReference"/>
          <w:rFonts w:asciiTheme="minorHAnsi" w:hAnsiTheme="minorHAnsi"/>
          <w:lang w:val="en-NZ"/>
        </w:rPr>
        <w:endnoteReference w:id="256"/>
      </w:r>
      <w:bookmarkEnd w:id="76"/>
      <w:r w:rsidRPr="00C46FC5">
        <w:rPr>
          <w:rFonts w:asciiTheme="minorHAnsi" w:hAnsiTheme="minorHAnsi"/>
          <w:lang w:val="en-NZ"/>
        </w:rPr>
        <w:t xml:space="preserve"> </w:t>
      </w:r>
      <w:r w:rsidR="00002B71" w:rsidRPr="00C46FC5">
        <w:rPr>
          <w:rFonts w:asciiTheme="minorHAnsi" w:hAnsiTheme="minorHAnsi"/>
          <w:lang w:val="en-NZ"/>
        </w:rPr>
        <w:fldChar w:fldCharType="begin"/>
      </w:r>
      <w:r w:rsidRPr="00C46FC5">
        <w:rPr>
          <w:rFonts w:asciiTheme="minorHAnsi" w:hAnsiTheme="minorHAnsi"/>
          <w:lang w:val="en-NZ"/>
        </w:rPr>
        <w:instrText xml:space="preserve"> ADDIN EN.CITE &lt;EndNote&gt;&lt;Cite&gt;&lt;Author&gt;Sargent&lt;/Author&gt;&lt;Year&gt;2001&lt;/Year&gt;&lt;RecNum&gt;369&lt;/RecNum&gt;&lt;MDL&gt;&lt;REFERENCE_TYPE&gt;0&lt;/REFERENCE_TYPE&gt;&lt;REFNUM&gt;369&lt;/REFNUM&gt;&lt;AUTHORS&gt;&lt;AUTHOR&gt;Sargent, James D.&lt;/AUTHOR&gt;&lt;AUTHOR&gt;Tickle, Jennifer J.&lt;/AUTHOR&gt;&lt;AUTHOR&gt;Beach. Michael L.&lt;/AUTHOR&gt;&lt;AUTHOR&gt;Dalton, Madeline A.&lt;/AUTHOR&gt;&lt;AUTHOR&gt;Ahrens, M.Bridget &lt;/AUTHOR&gt;&lt;AUTHOR&gt;Heatherton, Todd.F.&lt;/AUTHOR&gt;&lt;/AUTHORS&gt;&lt;YEAR&gt;2001&lt;/YEAR&gt;&lt;TITLE&gt;Brand Appearances in Contemporary Cinema Films and Contribution to Global Marketing of Cigarettes&lt;/TITLE&gt;&lt;SECONDARY_TITLE&gt;The Lancet&lt;/SECONDARY_TITLE&gt;&lt;VOLUME&gt;357&lt;/VOLUME&gt;&lt;NUMBER&gt;9249&lt;/NUMBER&gt;&lt;PAGES&gt;29 - 32&lt;/PAGES&gt;&lt;KEYWORDS&gt;&lt;KEYWORD&gt;product placement&lt;/KEYWORD&gt;&lt;KEYWORD&gt;peer influence&lt;/KEYWORD&gt;&lt;/KEYWORDS&gt;&lt;/MDL&gt;&lt;/Cite&gt;&lt;Cite&gt;&lt;Author&gt;Auty&lt;/Author&gt;&lt;Year&gt;2004&lt;/Year&gt;&lt;RecNum&gt;306&lt;/RecNum&gt;&lt;MDL&gt;&lt;REFERENCE_TYPE&gt;0&lt;/REFERENCE_TYPE&gt;&lt;REFNUM&gt;306&lt;/REFNUM&gt;&lt;AUTHORS&gt;&lt;AUTHOR&gt;Auty, Susan&lt;/AUTHOR&gt;&lt;AUTHOR&gt;Lewis, Charlie&lt;/AUTHOR&gt;&lt;/AUTHORS&gt;&lt;YEAR&gt;2004&lt;/YEAR&gt;&lt;TITLE&gt;Exploring Children&amp;apos;s Choice:  The Reminder Effect of Product Placement&lt;/TITLE&gt;&lt;SECONDARY_TITLE&gt;Psychology &amp;amp; Marketing&lt;/SECONDARY_TITLE&gt;&lt;VOLUME&gt;21&lt;/VOLUME&gt;&lt;NUMBER&gt;9&lt;/NUMBER&gt;&lt;PAGES&gt;697 - 713&lt;/PAGES&gt;&lt;KEYWORDS&gt;&lt;KEYWORD&gt;product placement&lt;/KEYWORD&gt;&lt;/KEYWORDS&gt;&lt;/MDL&gt;&lt;/Cite&gt;&lt;/EndNote&gt;</w:instrText>
      </w:r>
      <w:r w:rsidR="00002B71" w:rsidRPr="00C46FC5">
        <w:rPr>
          <w:rFonts w:asciiTheme="minorHAnsi" w:hAnsiTheme="minorHAnsi"/>
          <w:lang w:val="en-NZ"/>
        </w:rPr>
        <w:fldChar w:fldCharType="separate"/>
      </w:r>
      <w:r w:rsidRPr="00C46FC5">
        <w:rPr>
          <w:rFonts w:asciiTheme="minorHAnsi" w:hAnsiTheme="minorHAnsi"/>
          <w:lang w:val="en-NZ"/>
        </w:rPr>
        <w:t>)</w:t>
      </w:r>
      <w:r w:rsidR="00002B71" w:rsidRPr="00C46FC5">
        <w:rPr>
          <w:rFonts w:asciiTheme="minorHAnsi" w:hAnsiTheme="minorHAnsi"/>
          <w:lang w:val="en-NZ"/>
        </w:rPr>
        <w:fldChar w:fldCharType="end"/>
      </w:r>
      <w:r w:rsidRPr="00C46FC5">
        <w:rPr>
          <w:rFonts w:asciiTheme="minorHAnsi" w:hAnsiTheme="minorHAnsi"/>
          <w:lang w:val="en-NZ"/>
        </w:rPr>
        <w:t xml:space="preserve">. While up to half of children do recognize the commercial intent of programme placements, 72% reported that </w:t>
      </w:r>
      <w:r w:rsidR="00A42D2C">
        <w:rPr>
          <w:rFonts w:asciiTheme="minorHAnsi" w:hAnsiTheme="minorHAnsi"/>
          <w:lang w:val="en-NZ"/>
        </w:rPr>
        <w:t>‘</w:t>
      </w:r>
      <w:r w:rsidRPr="00C46FC5">
        <w:rPr>
          <w:rFonts w:asciiTheme="minorHAnsi" w:hAnsiTheme="minorHAnsi"/>
          <w:lang w:val="en-NZ"/>
        </w:rPr>
        <w:t>seeing a favourite character using a certain brand makes them want to use that brand at least some of the time</w:t>
      </w:r>
      <w:r w:rsidR="00A42D2C">
        <w:rPr>
          <w:rFonts w:asciiTheme="minorHAnsi" w:hAnsiTheme="minorHAnsi"/>
          <w:lang w:val="en-NZ"/>
        </w:rPr>
        <w:t>’.</w:t>
      </w:r>
      <w:bookmarkStart w:id="77" w:name="_Ref286052530"/>
      <w:r w:rsidRPr="00C46FC5">
        <w:rPr>
          <w:rStyle w:val="EndnoteReference"/>
          <w:rFonts w:asciiTheme="minorHAnsi" w:hAnsiTheme="minorHAnsi"/>
          <w:lang w:val="en-NZ"/>
        </w:rPr>
        <w:endnoteReference w:id="257"/>
      </w:r>
      <w:bookmarkEnd w:id="77"/>
      <w:r w:rsidRPr="00C46FC5">
        <w:rPr>
          <w:rFonts w:asciiTheme="minorHAnsi" w:hAnsiTheme="minorHAnsi"/>
          <w:vertAlign w:val="superscript"/>
          <w:lang w:val="en-NZ"/>
        </w:rPr>
        <w:t>, p.14</w:t>
      </w:r>
      <w:r w:rsidRPr="00C46FC5">
        <w:rPr>
          <w:rFonts w:asciiTheme="minorHAnsi" w:hAnsiTheme="minorHAnsi"/>
          <w:lang w:val="en-NZ"/>
        </w:rPr>
        <w:t xml:space="preserve"> </w:t>
      </w:r>
    </w:p>
    <w:p w:rsidR="00785E02" w:rsidRPr="00C46FC5" w:rsidRDefault="00785E02" w:rsidP="00785E02">
      <w:pPr>
        <w:jc w:val="both"/>
        <w:rPr>
          <w:rFonts w:asciiTheme="minorHAnsi" w:hAnsiTheme="minorHAnsi"/>
          <w:lang w:val="en-NZ"/>
        </w:rPr>
      </w:pPr>
    </w:p>
    <w:p w:rsidR="00785E02" w:rsidRPr="00C46FC5" w:rsidRDefault="00785E02" w:rsidP="00785E02">
      <w:pPr>
        <w:jc w:val="both"/>
        <w:rPr>
          <w:rFonts w:asciiTheme="minorHAnsi" w:hAnsiTheme="minorHAnsi"/>
          <w:lang w:val="en-NZ"/>
        </w:rPr>
      </w:pPr>
      <w:r w:rsidRPr="00C46FC5">
        <w:rPr>
          <w:rFonts w:asciiTheme="minorHAnsi" w:hAnsiTheme="minorHAnsi"/>
          <w:lang w:val="en-NZ"/>
        </w:rPr>
        <w:t>This may indicate a link between involvement in, and loyalty to, the programme and loyalty to the products the programme characters explicitly or implicitly endorse</w:t>
      </w:r>
      <w:bookmarkStart w:id="78" w:name="_Ref286052903"/>
      <w:r w:rsidR="00A42D2C">
        <w:rPr>
          <w:rFonts w:asciiTheme="minorHAnsi" w:hAnsiTheme="minorHAnsi"/>
          <w:lang w:val="en-NZ"/>
        </w:rPr>
        <w:t>.</w:t>
      </w:r>
      <w:r w:rsidRPr="00C46FC5">
        <w:rPr>
          <w:rStyle w:val="EndnoteReference"/>
          <w:rFonts w:asciiTheme="minorHAnsi" w:hAnsiTheme="minorHAnsi"/>
          <w:lang w:val="en-NZ"/>
        </w:rPr>
        <w:endnoteReference w:id="258"/>
      </w:r>
      <w:bookmarkEnd w:id="78"/>
      <w:r w:rsidRPr="00C46FC5">
        <w:rPr>
          <w:rFonts w:asciiTheme="minorHAnsi" w:hAnsiTheme="minorHAnsi"/>
          <w:vertAlign w:val="superscript"/>
          <w:lang w:val="en-NZ"/>
        </w:rPr>
        <w:t xml:space="preserve">, </w:t>
      </w:r>
      <w:fldSimple w:instr=" NOTEREF _Ref286052424 \h  \* MERGEFORMAT ">
        <w:r w:rsidR="00CE6342" w:rsidRPr="00CE6342">
          <w:rPr>
            <w:rFonts w:asciiTheme="minorHAnsi" w:hAnsiTheme="minorHAnsi"/>
            <w:vertAlign w:val="superscript"/>
            <w:lang w:val="en-NZ"/>
          </w:rPr>
          <w:t>235</w:t>
        </w:r>
      </w:fldSimple>
      <w:r w:rsidRPr="00C46FC5">
        <w:rPr>
          <w:rFonts w:asciiTheme="minorHAnsi" w:hAnsiTheme="minorHAnsi"/>
          <w:vertAlign w:val="superscript"/>
          <w:lang w:val="en-NZ"/>
        </w:rPr>
        <w:t>,</w:t>
      </w:r>
      <w:r w:rsidRPr="00C46FC5">
        <w:rPr>
          <w:rFonts w:asciiTheme="minorHAnsi" w:hAnsiTheme="minorHAnsi"/>
          <w:lang w:val="en-NZ"/>
        </w:rPr>
        <w:t xml:space="preserve"> </w:t>
      </w:r>
      <w:r w:rsidRPr="00C46FC5">
        <w:rPr>
          <w:rStyle w:val="EndnoteReference"/>
          <w:rFonts w:asciiTheme="minorHAnsi" w:hAnsiTheme="minorHAnsi"/>
          <w:lang w:val="en-NZ"/>
        </w:rPr>
        <w:endnoteReference w:id="259"/>
      </w:r>
      <w:r w:rsidRPr="00C46FC5">
        <w:rPr>
          <w:rFonts w:asciiTheme="minorHAnsi" w:hAnsiTheme="minorHAnsi"/>
          <w:lang w:val="en-NZ"/>
        </w:rPr>
        <w:t xml:space="preserve">  While these concerns extend well beyond tobacco advertising, it must be a major concern to regulators that tobacco brands featured in 20% of movies rated as suitable for children over the period 1988 to 1997</w:t>
      </w:r>
      <w:r w:rsidR="00A42D2C">
        <w:rPr>
          <w:rFonts w:asciiTheme="minorHAnsi" w:hAnsiTheme="minorHAnsi"/>
          <w:lang w:val="en-NZ"/>
        </w:rPr>
        <w:t>.</w:t>
      </w:r>
      <w:fldSimple w:instr=" NOTEREF _Ref286052616 \h  \* MERGEFORMAT ">
        <w:r w:rsidR="00CE6342" w:rsidRPr="00CE6342">
          <w:rPr>
            <w:rFonts w:asciiTheme="minorHAnsi" w:hAnsiTheme="minorHAnsi"/>
            <w:vertAlign w:val="superscript"/>
            <w:lang w:val="en-NZ"/>
          </w:rPr>
          <w:t>256</w:t>
        </w:r>
      </w:fldSimple>
    </w:p>
    <w:p w:rsidR="00785E02" w:rsidRPr="00C46FC5" w:rsidRDefault="00785E02" w:rsidP="00785E02">
      <w:pPr>
        <w:pStyle w:val="Heading5"/>
        <w:rPr>
          <w:lang w:val="en-NZ"/>
        </w:rPr>
      </w:pPr>
      <w:r w:rsidRPr="00C46FC5">
        <w:rPr>
          <w:lang w:val="en-NZ"/>
        </w:rPr>
        <w:t>Tobacco</w:t>
      </w:r>
    </w:p>
    <w:p w:rsidR="00785E02" w:rsidRPr="00C46FC5" w:rsidRDefault="00785E02" w:rsidP="00785E02">
      <w:pPr>
        <w:jc w:val="both"/>
        <w:rPr>
          <w:rFonts w:asciiTheme="minorHAnsi" w:hAnsiTheme="minorHAnsi"/>
          <w:lang w:val="en-NZ"/>
        </w:rPr>
      </w:pPr>
      <w:r w:rsidRPr="00C46FC5">
        <w:rPr>
          <w:rFonts w:asciiTheme="minorHAnsi" w:hAnsiTheme="minorHAnsi"/>
          <w:lang w:val="en-NZ"/>
        </w:rPr>
        <w:t>Of greater concern is the finding that portrayal of movie stars smoking increases the likelihood of teenagers commencing smoking</w:t>
      </w:r>
      <w:r w:rsidRPr="00C46FC5">
        <w:rPr>
          <w:rStyle w:val="EndnoteReference"/>
          <w:rFonts w:asciiTheme="minorHAnsi" w:hAnsiTheme="minorHAnsi"/>
          <w:lang w:val="en-NZ"/>
        </w:rPr>
        <w:endnoteReference w:id="260"/>
      </w:r>
      <w:r w:rsidRPr="00C46FC5">
        <w:rPr>
          <w:rFonts w:asciiTheme="minorHAnsi" w:hAnsiTheme="minorHAnsi"/>
          <w:lang w:val="en-NZ"/>
        </w:rPr>
        <w:t>. The incidence of smoking as portrayed in movies does not reflect its actual (lower) consumption in society</w:t>
      </w:r>
      <w:r w:rsidRPr="00C46FC5">
        <w:rPr>
          <w:rFonts w:asciiTheme="minorHAnsi" w:hAnsiTheme="minorHAnsi"/>
          <w:vertAlign w:val="superscript"/>
          <w:lang w:val="en-NZ"/>
        </w:rPr>
        <w:t xml:space="preserve"> </w:t>
      </w:r>
      <w:fldSimple w:instr=" NOTEREF _Ref286052424 \h  \* MERGEFORMAT ">
        <w:r w:rsidR="00CE6342" w:rsidRPr="00CE6342">
          <w:rPr>
            <w:rFonts w:asciiTheme="minorHAnsi" w:hAnsiTheme="minorHAnsi"/>
            <w:vertAlign w:val="superscript"/>
            <w:lang w:val="en-NZ"/>
          </w:rPr>
          <w:t>235</w:t>
        </w:r>
      </w:fldSimple>
      <w:r w:rsidRPr="00C46FC5">
        <w:rPr>
          <w:rFonts w:asciiTheme="minorHAnsi" w:hAnsiTheme="minorHAnsi"/>
          <w:lang w:val="en-NZ"/>
        </w:rPr>
        <w:t>.  An analysis of the impact of the positive portrayal of smoking in the entertainment media indicates that non-smokers attitudes towards smoking and smokers were affected by the exposure.  The exposure appears to lead to an increased tolerance of the behaviours involved. This outcome is accounted for by Social Learning Theory, in which repeated exposure to an observed behaviour can result in actual behavioural change</w:t>
      </w:r>
      <w:r>
        <w:rPr>
          <w:rFonts w:asciiTheme="minorHAnsi" w:hAnsiTheme="minorHAnsi"/>
          <w:lang w:val="en-NZ"/>
        </w:rPr>
        <w:t xml:space="preserve"> </w:t>
      </w:r>
      <w:fldSimple w:instr=" NOTEREF _Ref286052903 \h  \* MERGEFORMAT ">
        <w:r w:rsidR="00CE6342" w:rsidRPr="00CE6342">
          <w:rPr>
            <w:rFonts w:asciiTheme="minorHAnsi" w:hAnsiTheme="minorHAnsi"/>
            <w:vertAlign w:val="superscript"/>
            <w:lang w:val="en-NZ"/>
          </w:rPr>
          <w:t>258</w:t>
        </w:r>
      </w:fldSimple>
      <w:r w:rsidRPr="00C46FC5">
        <w:rPr>
          <w:rFonts w:asciiTheme="minorHAnsi" w:hAnsiTheme="minorHAnsi"/>
          <w:lang w:val="en-NZ"/>
        </w:rPr>
        <w:t xml:space="preserve"> </w:t>
      </w:r>
      <w:r w:rsidR="00002B71" w:rsidRPr="00C46FC5">
        <w:rPr>
          <w:rFonts w:asciiTheme="minorHAnsi" w:hAnsiTheme="minorHAnsi"/>
          <w:lang w:val="en-NZ"/>
        </w:rPr>
        <w:fldChar w:fldCharType="begin"/>
      </w:r>
      <w:r w:rsidRPr="00C46FC5">
        <w:rPr>
          <w:rFonts w:asciiTheme="minorHAnsi" w:hAnsiTheme="minorHAnsi"/>
          <w:lang w:val="en-NZ"/>
        </w:rPr>
        <w:instrText xml:space="preserve"> ADDIN EN.CITE &lt;EndNote&gt;&lt;Cite&gt;&lt;Author&gt;Avery&lt;/Author&gt;&lt;Year&gt;2000&lt;/Year&gt;&lt;RecNum&gt;305&lt;/RecNum&gt;&lt;MDL&gt;&lt;REFERENCE_TYPE&gt;0&lt;/REFERENCE_TYPE&gt;&lt;REFNUM&gt;305&lt;/REFNUM&gt;&lt;AUTHORS&gt;&lt;AUTHOR&gt;Avery, Rosemary J.  &lt;/AUTHOR&gt;&lt;AUTHOR&gt;Ferraro, Rosellina&lt;/AUTHOR&gt;&lt;/AUTHORS&gt;&lt;YEAR&gt;2000&lt;/YEAR&gt;&lt;TITLE&gt;Verisimilitude or Advertising?  Brand Appearances on Prime-Time Television&lt;/TITLE&gt;&lt;SECONDARY_TITLE&gt;The Journal of Consumer Affairs&lt;/SECONDARY_TITLE&gt;&lt;VOLUME&gt;34&lt;/VOLUME&gt;&lt;NUMBER&gt;2&lt;/NUMBER&gt;&lt;PAGES&gt;217 -244&lt;/PAGES&gt;&lt;KEYWORDS&gt;&lt;KEYWORD&gt;product placement&lt;/KEYWORD&gt;&lt;/KEYWORDS&gt;&lt;/MDL&gt;&lt;/Cite&gt;&lt;/EndNote&gt;</w:instrText>
      </w:r>
      <w:r w:rsidR="00002B71" w:rsidRPr="00C46FC5">
        <w:rPr>
          <w:rFonts w:asciiTheme="minorHAnsi" w:hAnsiTheme="minorHAnsi"/>
          <w:lang w:val="en-NZ"/>
        </w:rPr>
        <w:fldChar w:fldCharType="end"/>
      </w:r>
      <w:r w:rsidRPr="00C46FC5">
        <w:rPr>
          <w:rFonts w:asciiTheme="minorHAnsi" w:hAnsiTheme="minorHAnsi"/>
          <w:lang w:val="en-NZ"/>
        </w:rPr>
        <w:t>.</w:t>
      </w:r>
    </w:p>
    <w:p w:rsidR="00785E02" w:rsidRPr="00C46FC5" w:rsidRDefault="00785E02" w:rsidP="00785E02">
      <w:pPr>
        <w:jc w:val="both"/>
        <w:rPr>
          <w:rFonts w:asciiTheme="minorHAnsi" w:hAnsiTheme="minorHAnsi"/>
          <w:lang w:val="en-NZ"/>
        </w:rPr>
      </w:pPr>
    </w:p>
    <w:p w:rsidR="00785E02" w:rsidRPr="00C46FC5" w:rsidRDefault="00785E02" w:rsidP="00785E02">
      <w:pPr>
        <w:jc w:val="both"/>
        <w:rPr>
          <w:rFonts w:asciiTheme="minorHAnsi" w:hAnsiTheme="minorHAnsi"/>
          <w:lang w:val="en-NZ"/>
        </w:rPr>
      </w:pPr>
      <w:r>
        <w:rPr>
          <w:rFonts w:asciiTheme="minorHAnsi" w:hAnsiTheme="minorHAnsi"/>
          <w:lang w:val="en-NZ"/>
        </w:rPr>
        <w:t xml:space="preserve">One study </w:t>
      </w:r>
      <w:r w:rsidRPr="00C46FC5">
        <w:rPr>
          <w:rFonts w:asciiTheme="minorHAnsi" w:hAnsiTheme="minorHAnsi"/>
          <w:lang w:val="en-NZ"/>
        </w:rPr>
        <w:t xml:space="preserve">observes that </w:t>
      </w:r>
      <w:r w:rsidR="00A42D2C">
        <w:rPr>
          <w:rFonts w:asciiTheme="minorHAnsi" w:hAnsiTheme="minorHAnsi"/>
          <w:lang w:val="en-NZ"/>
        </w:rPr>
        <w:t>‘</w:t>
      </w:r>
      <w:r w:rsidRPr="00C46FC5">
        <w:rPr>
          <w:rFonts w:asciiTheme="minorHAnsi" w:hAnsiTheme="minorHAnsi"/>
          <w:lang w:val="en-NZ"/>
        </w:rPr>
        <w:t>regulators had not fully appreciated the evolution of new promotion vehicles</w:t>
      </w:r>
      <w:r w:rsidR="00A42D2C">
        <w:rPr>
          <w:rFonts w:asciiTheme="minorHAnsi" w:hAnsiTheme="minorHAnsi"/>
          <w:lang w:val="en-NZ"/>
        </w:rPr>
        <w:t>’ nor ‘</w:t>
      </w:r>
      <w:r w:rsidRPr="00C46FC5">
        <w:rPr>
          <w:rFonts w:asciiTheme="minorHAnsi" w:hAnsiTheme="minorHAnsi"/>
          <w:lang w:val="en-NZ"/>
        </w:rPr>
        <w:t>the industry's resourcefulness in identifying and developing these</w:t>
      </w:r>
      <w:r w:rsidR="00A42D2C">
        <w:rPr>
          <w:rFonts w:asciiTheme="minorHAnsi" w:hAnsiTheme="minorHAnsi"/>
          <w:lang w:val="en-NZ"/>
        </w:rPr>
        <w:t>’.</w:t>
      </w:r>
      <w:r w:rsidRPr="00C46FC5">
        <w:rPr>
          <w:rStyle w:val="EndnoteReference"/>
          <w:rFonts w:asciiTheme="minorHAnsi" w:hAnsiTheme="minorHAnsi"/>
          <w:lang w:val="en-NZ"/>
        </w:rPr>
        <w:endnoteReference w:id="261"/>
      </w:r>
      <w:r w:rsidRPr="00C46FC5">
        <w:rPr>
          <w:rFonts w:asciiTheme="minorHAnsi" w:hAnsiTheme="minorHAnsi"/>
          <w:vertAlign w:val="superscript"/>
          <w:lang w:val="en-NZ"/>
        </w:rPr>
        <w:t>, p. 1251</w:t>
      </w:r>
      <w:r w:rsidRPr="00C46FC5">
        <w:rPr>
          <w:rFonts w:asciiTheme="minorHAnsi" w:hAnsiTheme="minorHAnsi"/>
          <w:lang w:val="en-NZ"/>
        </w:rPr>
        <w:t xml:space="preserve">  </w:t>
      </w:r>
      <w:r>
        <w:rPr>
          <w:rFonts w:asciiTheme="minorHAnsi" w:hAnsiTheme="minorHAnsi"/>
          <w:lang w:val="en-NZ"/>
        </w:rPr>
        <w:t xml:space="preserve">This study also </w:t>
      </w:r>
      <w:r w:rsidRPr="00C46FC5">
        <w:rPr>
          <w:rFonts w:asciiTheme="minorHAnsi" w:hAnsiTheme="minorHAnsi"/>
          <w:lang w:val="en-NZ"/>
        </w:rPr>
        <w:t xml:space="preserve">notes a range of promotional devices such as music and entertainment-oriented websites that are provided by tobacco companies, as well as brand stretching tactics whereby tobacco brand names are placed on products as diverse as sunglasses, clothing and retail outlets for travel and clothing.  Where these activities are included as part of movies, television programmes originating from outside the European Union’s sphere of influence, they will not be subject to the EU, let alone OFCOM, regulatory provisions, in spite of concerns that </w:t>
      </w:r>
      <w:r w:rsidRPr="00C46FC5">
        <w:rPr>
          <w:rFonts w:asciiTheme="minorHAnsi" w:hAnsiTheme="minorHAnsi"/>
          <w:lang w:val="en-NZ"/>
        </w:rPr>
        <w:lastRenderedPageBreak/>
        <w:t xml:space="preserve">American programmes contain high amounts of tobacco use </w:t>
      </w:r>
      <w:r>
        <w:rPr>
          <w:rStyle w:val="EndnoteReference"/>
          <w:rFonts w:asciiTheme="minorHAnsi" w:hAnsiTheme="minorHAnsi"/>
          <w:lang w:val="en-NZ"/>
        </w:rPr>
        <w:endnoteReference w:id="262"/>
      </w:r>
      <w:r w:rsidRPr="00C46FC5">
        <w:rPr>
          <w:rFonts w:asciiTheme="minorHAnsi" w:hAnsiTheme="minorHAnsi"/>
          <w:lang w:val="en-NZ"/>
        </w:rPr>
        <w:t xml:space="preserve">. This also applies to the growing amount of non-broadcast and web-based promotional activity. </w:t>
      </w:r>
    </w:p>
    <w:p w:rsidR="00785E02" w:rsidRPr="00C46FC5" w:rsidRDefault="00785E02" w:rsidP="00785E02">
      <w:pPr>
        <w:pStyle w:val="Heading5"/>
        <w:rPr>
          <w:lang w:val="en-NZ"/>
        </w:rPr>
      </w:pPr>
      <w:r w:rsidRPr="00C46FC5">
        <w:rPr>
          <w:lang w:val="en-NZ"/>
        </w:rPr>
        <w:t>Alcohol</w:t>
      </w:r>
    </w:p>
    <w:p w:rsidR="00785E02" w:rsidRPr="00C46FC5" w:rsidRDefault="00785E02" w:rsidP="00785E02">
      <w:pPr>
        <w:jc w:val="both"/>
        <w:rPr>
          <w:rFonts w:asciiTheme="minorHAnsi" w:hAnsiTheme="minorHAnsi"/>
          <w:lang w:val="en-NZ"/>
        </w:rPr>
      </w:pPr>
      <w:r w:rsidRPr="00C46FC5">
        <w:rPr>
          <w:rFonts w:asciiTheme="minorHAnsi" w:hAnsiTheme="minorHAnsi"/>
          <w:lang w:val="en-NZ"/>
        </w:rPr>
        <w:t>Similar to the tobacco industry, the alcohol industry has been found to share promotional practice in order to circumvent advertising bans</w:t>
      </w:r>
      <w:r>
        <w:rPr>
          <w:rStyle w:val="EndnoteReference"/>
          <w:rFonts w:asciiTheme="minorHAnsi" w:hAnsiTheme="minorHAnsi"/>
          <w:lang w:val="en-NZ"/>
        </w:rPr>
        <w:endnoteReference w:id="263"/>
      </w:r>
      <w:r w:rsidRPr="00C46FC5">
        <w:rPr>
          <w:rFonts w:asciiTheme="minorHAnsi" w:hAnsiTheme="minorHAnsi"/>
        </w:rPr>
        <w:t>. This included promotions in social networks, such as facebook</w:t>
      </w:r>
      <w:r>
        <w:rPr>
          <w:rFonts w:asciiTheme="minorHAnsi" w:hAnsiTheme="minorHAnsi"/>
        </w:rPr>
        <w:t xml:space="preserve"> </w:t>
      </w:r>
      <w:r>
        <w:rPr>
          <w:rStyle w:val="EndnoteReference"/>
          <w:rFonts w:asciiTheme="minorHAnsi" w:hAnsiTheme="minorHAnsi"/>
        </w:rPr>
        <w:endnoteReference w:id="264"/>
      </w:r>
      <w:r w:rsidRPr="00C46FC5">
        <w:rPr>
          <w:rFonts w:asciiTheme="minorHAnsi" w:hAnsiTheme="minorHAnsi"/>
        </w:rPr>
        <w:t>, and concerns about alcohol branded merchandise</w:t>
      </w:r>
      <w:r>
        <w:rPr>
          <w:rStyle w:val="EndnoteReference"/>
          <w:rFonts w:asciiTheme="minorHAnsi" w:hAnsiTheme="minorHAnsi"/>
        </w:rPr>
        <w:endnoteReference w:id="265"/>
      </w:r>
      <w:r w:rsidRPr="00C46FC5">
        <w:rPr>
          <w:rFonts w:asciiTheme="minorHAnsi" w:hAnsiTheme="minorHAnsi"/>
        </w:rPr>
        <w:t xml:space="preserve"> </w:t>
      </w:r>
      <w:r w:rsidRPr="00C46FC5">
        <w:rPr>
          <w:rFonts w:asciiTheme="minorHAnsi" w:hAnsiTheme="minorHAnsi" w:cs="Helvetica"/>
          <w:lang w:val="en-US" w:eastAsia="en-US"/>
        </w:rPr>
        <w:t xml:space="preserve"> </w:t>
      </w:r>
      <w:r w:rsidRPr="00C46FC5">
        <w:rPr>
          <w:rFonts w:asciiTheme="minorHAnsi" w:hAnsiTheme="minorHAnsi"/>
        </w:rPr>
        <w:t>and the usage of alcohol, tobacco and drugs related messages in popular music</w:t>
      </w:r>
      <w:r>
        <w:rPr>
          <w:rStyle w:val="EndnoteReference"/>
          <w:rFonts w:asciiTheme="minorHAnsi" w:hAnsiTheme="minorHAnsi"/>
        </w:rPr>
        <w:endnoteReference w:id="266"/>
      </w:r>
      <w:r w:rsidRPr="00C46FC5">
        <w:rPr>
          <w:rFonts w:asciiTheme="minorHAnsi" w:hAnsiTheme="minorHAnsi"/>
        </w:rPr>
        <w:t xml:space="preserve"> </w:t>
      </w:r>
      <w:r>
        <w:rPr>
          <w:rFonts w:asciiTheme="minorHAnsi" w:hAnsiTheme="minorHAnsi"/>
        </w:rPr>
        <w:t>.</w:t>
      </w:r>
    </w:p>
    <w:p w:rsidR="00785E02" w:rsidRPr="00C46FC5" w:rsidRDefault="00785E02" w:rsidP="00785E02">
      <w:pPr>
        <w:pStyle w:val="Heading5"/>
        <w:rPr>
          <w:lang w:val="en-NZ"/>
        </w:rPr>
      </w:pPr>
      <w:r w:rsidRPr="00C46FC5">
        <w:rPr>
          <w:lang w:val="en-NZ"/>
        </w:rPr>
        <w:t>Potential Regulatory Effectiveness</w:t>
      </w:r>
    </w:p>
    <w:p w:rsidR="00785E02" w:rsidRPr="00C46FC5" w:rsidRDefault="00785E02" w:rsidP="00785E02">
      <w:pPr>
        <w:jc w:val="both"/>
        <w:rPr>
          <w:rFonts w:asciiTheme="minorHAnsi" w:hAnsiTheme="minorHAnsi"/>
          <w:lang w:val="en-NZ"/>
        </w:rPr>
      </w:pPr>
      <w:r w:rsidRPr="00C46FC5">
        <w:rPr>
          <w:rFonts w:asciiTheme="minorHAnsi" w:hAnsiTheme="minorHAnsi"/>
        </w:rPr>
        <w:t>The UK regulations are unlikely to have any influence on children’s exposure to product placement. The National Consumer Council estimates that nearly 70% of children’s viewing (up to 80% for 10-15 yr olds) takes place during adult programming</w:t>
      </w:r>
      <w:r>
        <w:rPr>
          <w:rStyle w:val="EndnoteReference"/>
          <w:rFonts w:asciiTheme="minorHAnsi" w:hAnsiTheme="minorHAnsi"/>
        </w:rPr>
        <w:endnoteReference w:id="267"/>
      </w:r>
      <w:r w:rsidRPr="00C46FC5">
        <w:rPr>
          <w:rFonts w:asciiTheme="minorHAnsi" w:hAnsiTheme="minorHAnsi"/>
        </w:rPr>
        <w:t>. Further, restrictions do not extend to product placement across electronic media such as video and online games. The shift to online advertising and product placement in social networking and media sharing sites such as bebo, Facebook and You Tube are not taken into account by the restrictions.  This is a significant oversight given that 16-24yr olds are estimated to spend more time online than they do watching television</w:t>
      </w:r>
      <w:r>
        <w:rPr>
          <w:rStyle w:val="EndnoteReference"/>
          <w:rFonts w:asciiTheme="minorHAnsi" w:hAnsiTheme="minorHAnsi"/>
        </w:rPr>
        <w:endnoteReference w:id="268"/>
      </w:r>
      <w:r w:rsidRPr="00C46FC5">
        <w:rPr>
          <w:rFonts w:asciiTheme="minorHAnsi" w:hAnsiTheme="minorHAnsi"/>
        </w:rPr>
        <w:t xml:space="preserve"> .</w:t>
      </w:r>
    </w:p>
    <w:p w:rsidR="00785E02" w:rsidRPr="00C46FC5" w:rsidRDefault="00785E02" w:rsidP="00785E02">
      <w:pPr>
        <w:pStyle w:val="Heading5"/>
        <w:rPr>
          <w:lang w:val="en-NZ"/>
        </w:rPr>
      </w:pPr>
      <w:r w:rsidRPr="00C46FC5">
        <w:rPr>
          <w:lang w:val="en-NZ"/>
        </w:rPr>
        <w:t>Inconsistency with Other Legislation</w:t>
      </w:r>
    </w:p>
    <w:p w:rsidR="00785E02" w:rsidRPr="00C46FC5" w:rsidRDefault="00785E02" w:rsidP="00785E02">
      <w:pPr>
        <w:jc w:val="both"/>
        <w:rPr>
          <w:rFonts w:asciiTheme="minorHAnsi" w:hAnsiTheme="minorHAnsi"/>
        </w:rPr>
      </w:pPr>
      <w:r w:rsidRPr="00C46FC5">
        <w:rPr>
          <w:rFonts w:asciiTheme="minorHAnsi" w:hAnsiTheme="minorHAnsi"/>
        </w:rPr>
        <w:t>A further concern is the gap between OFCOM’s restrictions on the kinds of products that can be placed and the ongoing placement of harmful products not identified by these restrictions. One example of this is the inclusion of sunbeds in several reality-format television programmes airing in the UK despite legislation that bans the use of sunbeds by under 18s (Sunbed [Regulation] Act, 2010) in recognition of sunbeds’ carcinogenic properties</w:t>
      </w:r>
      <w:r>
        <w:rPr>
          <w:rStyle w:val="EndnoteReference"/>
          <w:rFonts w:asciiTheme="minorHAnsi" w:hAnsiTheme="minorHAnsi"/>
        </w:rPr>
        <w:endnoteReference w:id="269"/>
      </w:r>
      <w:r w:rsidRPr="00C46FC5">
        <w:rPr>
          <w:rFonts w:asciiTheme="minorHAnsi" w:hAnsiTheme="minorHAnsi"/>
        </w:rPr>
        <w:t xml:space="preserve">.  It would appear reasonable to expect that the intent of this legislation be reflected in regulations covering mass communication tactics such as product placements. </w:t>
      </w:r>
    </w:p>
    <w:p w:rsidR="00785E02" w:rsidRPr="00C46FC5" w:rsidRDefault="00785E02" w:rsidP="00785E02">
      <w:pPr>
        <w:jc w:val="both"/>
        <w:rPr>
          <w:rFonts w:asciiTheme="minorHAnsi" w:hAnsiTheme="minorHAnsi"/>
        </w:rPr>
      </w:pPr>
    </w:p>
    <w:p w:rsidR="00785E02" w:rsidRPr="00C46FC5" w:rsidRDefault="00785E02" w:rsidP="00785E02">
      <w:pPr>
        <w:jc w:val="both"/>
        <w:rPr>
          <w:rFonts w:asciiTheme="minorHAnsi" w:hAnsiTheme="minorHAnsi"/>
        </w:rPr>
      </w:pPr>
      <w:r w:rsidRPr="00C46FC5">
        <w:rPr>
          <w:rFonts w:asciiTheme="minorHAnsi" w:hAnsiTheme="minorHAnsi"/>
        </w:rPr>
        <w:t xml:space="preserve">However, over recent years a number of popular television programmes have either directly featured the use of sunbeds and/or place an emphasis on getting a tan and being tanned. These include </w:t>
      </w:r>
      <w:r w:rsidRPr="00C46FC5">
        <w:rPr>
          <w:rFonts w:asciiTheme="minorHAnsi" w:hAnsiTheme="minorHAnsi"/>
          <w:i/>
        </w:rPr>
        <w:t>Sunset Tan</w:t>
      </w:r>
      <w:r w:rsidRPr="00C46FC5">
        <w:rPr>
          <w:rFonts w:asciiTheme="minorHAnsi" w:hAnsiTheme="minorHAnsi"/>
        </w:rPr>
        <w:t>, a reality series set in a tanning salon in Los Angeles which first aired on the US cable channel E! in 2007. Based on an existing tanning salon which received a great deal of media attention after it became popular with a number of high-profile celebrities (including Britney Spears, Paris Hilton and Kim Kardashian), the series ran for several seasons in the US. The show is no longer running, and did not air in the UK, however video clips from the series are available to watch online (</w:t>
      </w:r>
      <w:hyperlink r:id="rId32" w:history="1">
        <w:r w:rsidRPr="00C46FC5">
          <w:rPr>
            <w:rStyle w:val="Hyperlink"/>
            <w:rFonts w:asciiTheme="minorHAnsi" w:hAnsiTheme="minorHAnsi"/>
          </w:rPr>
          <w:t>http://www.sunsettan.com</w:t>
        </w:r>
      </w:hyperlink>
      <w:r w:rsidRPr="00C46FC5">
        <w:rPr>
          <w:rFonts w:asciiTheme="minorHAnsi" w:hAnsiTheme="minorHAnsi"/>
        </w:rPr>
        <w:t xml:space="preserve">). </w:t>
      </w:r>
    </w:p>
    <w:p w:rsidR="00785E02" w:rsidRPr="00C46FC5" w:rsidRDefault="00785E02" w:rsidP="00785E02">
      <w:pPr>
        <w:pStyle w:val="Heading5"/>
      </w:pPr>
      <w:r w:rsidRPr="00C46FC5">
        <w:t>Reality Shows Reflecting Unwise Behaviours</w:t>
      </w:r>
    </w:p>
    <w:p w:rsidR="00785E02" w:rsidRPr="00C46FC5" w:rsidRDefault="00785E02" w:rsidP="00785E02">
      <w:pPr>
        <w:jc w:val="both"/>
        <w:rPr>
          <w:rFonts w:asciiTheme="minorHAnsi" w:hAnsiTheme="minorHAnsi"/>
        </w:rPr>
      </w:pPr>
      <w:r w:rsidRPr="00C46FC5">
        <w:rPr>
          <w:rFonts w:asciiTheme="minorHAnsi" w:hAnsiTheme="minorHAnsi"/>
        </w:rPr>
        <w:t>Celebrity role models, such as the cast members of the shows above, who maintain year-round tans and who openly endorse the use of sunbeds are known to influence the tanning behaviours of teenage girls</w:t>
      </w:r>
      <w:r w:rsidRPr="00AE054B">
        <w:rPr>
          <w:rStyle w:val="EndnoteReference"/>
          <w:rFonts w:asciiTheme="minorHAnsi" w:hAnsiTheme="minorHAnsi"/>
        </w:rPr>
        <w:endnoteReference w:id="270"/>
      </w:r>
      <w:r w:rsidRPr="00AE054B">
        <w:rPr>
          <w:rFonts w:asciiTheme="minorHAnsi" w:hAnsiTheme="minorHAnsi"/>
          <w:vertAlign w:val="superscript"/>
        </w:rPr>
        <w:t xml:space="preserve">, </w:t>
      </w:r>
      <w:r>
        <w:rPr>
          <w:rStyle w:val="EndnoteReference"/>
          <w:rFonts w:asciiTheme="minorHAnsi" w:hAnsiTheme="minorHAnsi"/>
        </w:rPr>
        <w:endnoteReference w:id="271"/>
      </w:r>
      <w:r w:rsidRPr="00C46FC5">
        <w:rPr>
          <w:rFonts w:asciiTheme="minorHAnsi" w:hAnsiTheme="minorHAnsi"/>
        </w:rPr>
        <w:t xml:space="preserve">, yet this is not reflected in any regulations.  For example, the regulations do not address programmes whose central focus reflects unwise behaviour, such as MTV’s </w:t>
      </w:r>
      <w:r w:rsidRPr="00C46FC5">
        <w:rPr>
          <w:rFonts w:asciiTheme="minorHAnsi" w:hAnsiTheme="minorHAnsi"/>
          <w:i/>
        </w:rPr>
        <w:t xml:space="preserve">Jersey Shore, </w:t>
      </w:r>
      <w:r w:rsidRPr="00C46FC5">
        <w:rPr>
          <w:rFonts w:asciiTheme="minorHAnsi" w:hAnsiTheme="minorHAnsi"/>
        </w:rPr>
        <w:t xml:space="preserve">a reality show that has successfully crossed over from the US to the UK and which features eight young people living and working in a number of resorts along the Jersey shoreline. </w:t>
      </w:r>
    </w:p>
    <w:p w:rsidR="00785E02" w:rsidRPr="00C46FC5" w:rsidRDefault="00785E02" w:rsidP="00785E02">
      <w:pPr>
        <w:jc w:val="both"/>
        <w:rPr>
          <w:rFonts w:asciiTheme="minorHAnsi" w:hAnsiTheme="minorHAnsi"/>
        </w:rPr>
      </w:pPr>
    </w:p>
    <w:p w:rsidR="00785E02" w:rsidRPr="00C46FC5" w:rsidRDefault="00785E02" w:rsidP="00785E02">
      <w:pPr>
        <w:jc w:val="both"/>
        <w:rPr>
          <w:rFonts w:asciiTheme="minorHAnsi" w:hAnsiTheme="minorHAnsi"/>
        </w:rPr>
      </w:pPr>
      <w:r w:rsidRPr="00C46FC5">
        <w:rPr>
          <w:rFonts w:asciiTheme="minorHAnsi" w:hAnsiTheme="minorHAnsi"/>
        </w:rPr>
        <w:t xml:space="preserve">MTV’s promotional material stated that it had gathered the </w:t>
      </w:r>
      <w:r w:rsidR="00A42D2C">
        <w:rPr>
          <w:rFonts w:asciiTheme="minorHAnsi" w:hAnsiTheme="minorHAnsi"/>
        </w:rPr>
        <w:t>‘</w:t>
      </w:r>
      <w:r w:rsidRPr="00C46FC5">
        <w:rPr>
          <w:rFonts w:asciiTheme="minorHAnsi" w:hAnsiTheme="minorHAnsi"/>
        </w:rPr>
        <w:t>hottest, tannest, craziest guidos</w:t>
      </w:r>
      <w:r w:rsidR="00A42D2C">
        <w:rPr>
          <w:rFonts w:asciiTheme="minorHAnsi" w:hAnsiTheme="minorHAnsi"/>
        </w:rPr>
        <w:t>’</w:t>
      </w:r>
      <w:r w:rsidRPr="00C46FC5">
        <w:rPr>
          <w:rFonts w:asciiTheme="minorHAnsi" w:hAnsiTheme="minorHAnsi"/>
        </w:rPr>
        <w:t xml:space="preserve"> for the show</w:t>
      </w:r>
      <w:r w:rsidR="00A42D2C">
        <w:rPr>
          <w:rFonts w:asciiTheme="minorHAnsi" w:hAnsiTheme="minorHAnsi"/>
        </w:rPr>
        <w:t>.</w:t>
      </w:r>
      <w:r>
        <w:rPr>
          <w:rStyle w:val="EndnoteReference"/>
          <w:rFonts w:asciiTheme="minorHAnsi" w:hAnsiTheme="minorHAnsi"/>
        </w:rPr>
        <w:endnoteReference w:id="272"/>
      </w:r>
      <w:r w:rsidRPr="00C46FC5">
        <w:rPr>
          <w:rFonts w:asciiTheme="minorHAnsi" w:hAnsiTheme="minorHAnsi"/>
        </w:rPr>
        <w:t xml:space="preserve"> Cast members have become minor celebrities with actresses like Nicole ‘Snooki’ Polizzi often appearing in </w:t>
      </w:r>
      <w:r w:rsidRPr="00C46FC5">
        <w:rPr>
          <w:rFonts w:asciiTheme="minorHAnsi" w:hAnsiTheme="minorHAnsi"/>
          <w:i/>
        </w:rPr>
        <w:t>heat</w:t>
      </w:r>
      <w:r w:rsidRPr="00C46FC5">
        <w:rPr>
          <w:rFonts w:asciiTheme="minorHAnsi" w:hAnsiTheme="minorHAnsi"/>
        </w:rPr>
        <w:t xml:space="preserve"> magazine. A reflection of the show’s popularity and influence can be seen in a recent art</w:t>
      </w:r>
      <w:r w:rsidR="00A42D2C">
        <w:rPr>
          <w:rFonts w:asciiTheme="minorHAnsi" w:hAnsiTheme="minorHAnsi"/>
        </w:rPr>
        <w:t>icle in the Mirror which cited ‘</w:t>
      </w:r>
      <w:r w:rsidRPr="00C46FC5">
        <w:rPr>
          <w:rFonts w:asciiTheme="minorHAnsi" w:hAnsiTheme="minorHAnsi"/>
        </w:rPr>
        <w:t xml:space="preserve">the distinctly mahogany cast of MTV’s </w:t>
      </w:r>
      <w:r w:rsidRPr="00C46FC5">
        <w:rPr>
          <w:rFonts w:asciiTheme="minorHAnsi" w:hAnsiTheme="minorHAnsi"/>
          <w:i/>
        </w:rPr>
        <w:t>Jersey Shore</w:t>
      </w:r>
      <w:r w:rsidR="00A42D2C">
        <w:rPr>
          <w:rFonts w:asciiTheme="minorHAnsi" w:hAnsiTheme="minorHAnsi"/>
        </w:rPr>
        <w:t>’</w:t>
      </w:r>
      <w:r w:rsidRPr="00C46FC5">
        <w:rPr>
          <w:rFonts w:asciiTheme="minorHAnsi" w:hAnsiTheme="minorHAnsi"/>
        </w:rPr>
        <w:t xml:space="preserve"> as an inspiration for this summer’s ‘fashion tan’, </w:t>
      </w:r>
      <w:r w:rsidR="00A42D2C">
        <w:rPr>
          <w:rFonts w:asciiTheme="minorHAnsi" w:hAnsiTheme="minorHAnsi"/>
        </w:rPr>
        <w:t>‘</w:t>
      </w:r>
      <w:r w:rsidRPr="00C46FC5">
        <w:rPr>
          <w:rFonts w:asciiTheme="minorHAnsi" w:hAnsiTheme="minorHAnsi"/>
        </w:rPr>
        <w:t>a deeper, ultra-luxe tan, which quickly spread to celebs like Victoria Beckham and Cheryl Cole</w:t>
      </w:r>
      <w:r w:rsidR="00A42D2C">
        <w:rPr>
          <w:rFonts w:asciiTheme="minorHAnsi" w:hAnsiTheme="minorHAnsi"/>
        </w:rPr>
        <w:t>’.</w:t>
      </w:r>
      <w:r>
        <w:rPr>
          <w:rStyle w:val="EndnoteReference"/>
          <w:rFonts w:asciiTheme="minorHAnsi" w:hAnsiTheme="minorHAnsi"/>
        </w:rPr>
        <w:endnoteReference w:id="273"/>
      </w:r>
      <w:r w:rsidRPr="00C46FC5">
        <w:rPr>
          <w:rFonts w:asciiTheme="minorHAnsi" w:hAnsiTheme="minorHAnsi"/>
        </w:rPr>
        <w:t xml:space="preserve"> </w:t>
      </w:r>
    </w:p>
    <w:p w:rsidR="00785E02" w:rsidRPr="00C46FC5" w:rsidRDefault="00785E02" w:rsidP="00785E02">
      <w:pPr>
        <w:jc w:val="both"/>
        <w:rPr>
          <w:rFonts w:asciiTheme="minorHAnsi" w:hAnsiTheme="minorHAnsi"/>
        </w:rPr>
      </w:pPr>
    </w:p>
    <w:p w:rsidR="00785E02" w:rsidRPr="00C46FC5" w:rsidRDefault="00785E02" w:rsidP="00785E02">
      <w:pPr>
        <w:jc w:val="both"/>
        <w:rPr>
          <w:rFonts w:asciiTheme="minorHAnsi" w:hAnsiTheme="minorHAnsi"/>
        </w:rPr>
      </w:pPr>
      <w:r w:rsidRPr="00C46FC5">
        <w:rPr>
          <w:rFonts w:asciiTheme="minorHAnsi" w:hAnsiTheme="minorHAnsi"/>
        </w:rPr>
        <w:t xml:space="preserve">A second example is of a UK based reality show that has been phenomenally successful; Katie Price’s ITV2 show </w:t>
      </w:r>
      <w:r w:rsidRPr="00C46FC5">
        <w:rPr>
          <w:rFonts w:asciiTheme="minorHAnsi" w:hAnsiTheme="minorHAnsi"/>
          <w:i/>
        </w:rPr>
        <w:t>What Katie Did Next</w:t>
      </w:r>
      <w:r w:rsidRPr="00C46FC5">
        <w:rPr>
          <w:rFonts w:asciiTheme="minorHAnsi" w:hAnsiTheme="minorHAnsi"/>
        </w:rPr>
        <w:t xml:space="preserve">.  While tanning is not an </w:t>
      </w:r>
      <w:r w:rsidR="007F189C" w:rsidRPr="00C46FC5">
        <w:rPr>
          <w:rFonts w:asciiTheme="minorHAnsi" w:hAnsiTheme="minorHAnsi"/>
        </w:rPr>
        <w:t>explicit</w:t>
      </w:r>
      <w:r w:rsidRPr="00C46FC5">
        <w:rPr>
          <w:rFonts w:asciiTheme="minorHAnsi" w:hAnsiTheme="minorHAnsi"/>
        </w:rPr>
        <w:t xml:space="preserve"> focus of the show, Price is a known endorser of sunbeds</w:t>
      </w:r>
      <w:r>
        <w:rPr>
          <w:rStyle w:val="EndnoteReference"/>
          <w:rFonts w:asciiTheme="minorHAnsi" w:hAnsiTheme="minorHAnsi"/>
        </w:rPr>
        <w:endnoteReference w:id="274"/>
      </w:r>
      <w:r w:rsidRPr="00C46FC5">
        <w:rPr>
          <w:rFonts w:asciiTheme="minorHAnsi" w:hAnsiTheme="minorHAnsi"/>
        </w:rPr>
        <w:t xml:space="preserve">  and has her own private sunbed in her home. One episode features the ‘haunted sunbed’ in which the sunbed alarm is triggered unexpectedly in the middle of the night</w:t>
      </w:r>
      <w:r>
        <w:rPr>
          <w:rStyle w:val="EndnoteReference"/>
          <w:rFonts w:asciiTheme="minorHAnsi" w:hAnsiTheme="minorHAnsi"/>
        </w:rPr>
        <w:endnoteReference w:id="275"/>
      </w:r>
      <w:r w:rsidRPr="00C46FC5">
        <w:rPr>
          <w:rFonts w:asciiTheme="minorHAnsi" w:hAnsiTheme="minorHAnsi"/>
        </w:rPr>
        <w:t xml:space="preserve">. </w:t>
      </w:r>
    </w:p>
    <w:p w:rsidR="00785E02" w:rsidRPr="00C46FC5" w:rsidRDefault="00785E02" w:rsidP="00785E02">
      <w:pPr>
        <w:rPr>
          <w:rFonts w:asciiTheme="minorHAnsi" w:hAnsiTheme="minorHAnsi"/>
          <w:b/>
          <w:lang w:val="en-NZ"/>
        </w:rPr>
      </w:pPr>
    </w:p>
    <w:p w:rsidR="00785E02" w:rsidRPr="00C46FC5" w:rsidRDefault="00785E02" w:rsidP="00785E02">
      <w:pPr>
        <w:pStyle w:val="Heading4"/>
        <w:rPr>
          <w:lang w:val="en-NZ"/>
        </w:rPr>
      </w:pPr>
      <w:r w:rsidRPr="00C46FC5">
        <w:rPr>
          <w:lang w:val="en-NZ"/>
        </w:rPr>
        <w:t>CONCLUSIONS</w:t>
      </w:r>
    </w:p>
    <w:p w:rsidR="00785E02" w:rsidRPr="00C46FC5" w:rsidRDefault="00785E02" w:rsidP="00785E02">
      <w:pPr>
        <w:jc w:val="both"/>
        <w:rPr>
          <w:rFonts w:asciiTheme="minorHAnsi" w:hAnsiTheme="minorHAnsi"/>
          <w:lang w:val="en-NZ"/>
        </w:rPr>
      </w:pPr>
      <w:r w:rsidRPr="00C46FC5">
        <w:rPr>
          <w:rFonts w:asciiTheme="minorHAnsi" w:hAnsiTheme="minorHAnsi"/>
          <w:lang w:val="en-NZ"/>
        </w:rPr>
        <w:t>The practice of product placements raises many legislative and ethical issues, particularly in terms of growing concerns regarding the impact of persuasive communication on vulnerable groups such as children</w:t>
      </w:r>
      <w:r>
        <w:rPr>
          <w:rFonts w:asciiTheme="minorHAnsi" w:hAnsiTheme="minorHAnsi"/>
          <w:lang w:val="en-NZ"/>
        </w:rPr>
        <w:t xml:space="preserve"> </w:t>
      </w:r>
      <w:fldSimple w:instr=" NOTEREF _Ref286054470 \h  \* MERGEFORMAT ">
        <w:r w:rsidR="00CE6342" w:rsidRPr="00CE6342">
          <w:rPr>
            <w:rFonts w:asciiTheme="minorHAnsi" w:hAnsiTheme="minorHAnsi"/>
            <w:vertAlign w:val="superscript"/>
            <w:lang w:val="en-NZ"/>
          </w:rPr>
          <w:t>255</w:t>
        </w:r>
      </w:fldSimple>
      <w:r w:rsidRPr="00C46FC5">
        <w:rPr>
          <w:rFonts w:asciiTheme="minorHAnsi" w:hAnsiTheme="minorHAnsi"/>
          <w:lang w:val="en-NZ"/>
        </w:rPr>
        <w:t xml:space="preserve"> </w:t>
      </w:r>
      <w:r w:rsidR="00002B71" w:rsidRPr="00C46FC5">
        <w:rPr>
          <w:rFonts w:asciiTheme="minorHAnsi" w:hAnsiTheme="minorHAnsi"/>
          <w:lang w:val="en-NZ"/>
        </w:rPr>
        <w:fldChar w:fldCharType="begin"/>
      </w:r>
      <w:r w:rsidRPr="00C46FC5">
        <w:rPr>
          <w:rFonts w:asciiTheme="minorHAnsi" w:hAnsiTheme="minorHAnsi"/>
          <w:lang w:val="en-NZ"/>
        </w:rPr>
        <w:instrText xml:space="preserve"> ADDIN EN.CITE &lt;EndNote&gt;&lt;Cite&gt;&lt;Author&gt;Auty&lt;/Author&gt;&lt;Year&gt;2004&lt;/Year&gt;&lt;RecNum&gt;306&lt;/RecNum&gt;&lt;MDL&gt;&lt;REFERENCE_TYPE&gt;0&lt;/REFERENCE_TYPE&gt;&lt;REFNUM&gt;306&lt;/REFNUM&gt;&lt;AUTHORS&gt;&lt;AUTHOR&gt;Auty, Susan&lt;/AUTHOR&gt;&lt;AUTHOR&gt;Lewis, Charlie&lt;/AUTHOR&gt;&lt;/AUTHORS&gt;&lt;YEAR&gt;2004&lt;/YEAR&gt;&lt;TITLE&gt;Exploring Children&amp;apos;s Choice:  The Reminder Effect of Product Placement&lt;/TITLE&gt;&lt;SECONDARY_TITLE&gt;Psychology &amp;amp; Marketing&lt;/SECONDARY_TITLE&gt;&lt;VOLUME&gt;21&lt;/VOLUME&gt;&lt;NUMBER&gt;9&lt;/NUMBER&gt;&lt;PAGES&gt;697 - 713&lt;/PAGES&gt;&lt;KEYWORDS&gt;&lt;KEYWORD&gt;product placement&lt;/KEYWORD&gt;&lt;/KEYWORDS&gt;&lt;/MDL&gt;&lt;/Cite&gt;&lt;/EndNote&gt;</w:instrText>
      </w:r>
      <w:r w:rsidR="00002B71" w:rsidRPr="00C46FC5">
        <w:rPr>
          <w:rFonts w:asciiTheme="minorHAnsi" w:hAnsiTheme="minorHAnsi"/>
          <w:lang w:val="en-NZ"/>
        </w:rPr>
        <w:fldChar w:fldCharType="end"/>
      </w:r>
      <w:r w:rsidRPr="00C46FC5">
        <w:rPr>
          <w:rFonts w:asciiTheme="minorHAnsi" w:hAnsiTheme="minorHAnsi"/>
          <w:lang w:val="en-NZ"/>
        </w:rPr>
        <w:t>; calls for tighter regulation of products such as alcohol</w:t>
      </w:r>
      <w:r>
        <w:rPr>
          <w:rStyle w:val="EndnoteReference"/>
          <w:rFonts w:asciiTheme="minorHAnsi" w:hAnsiTheme="minorHAnsi"/>
          <w:lang w:val="en-NZ"/>
        </w:rPr>
        <w:endnoteReference w:id="276"/>
      </w:r>
      <w:r w:rsidRPr="00C46FC5">
        <w:rPr>
          <w:rFonts w:asciiTheme="minorHAnsi" w:hAnsiTheme="minorHAnsi"/>
          <w:lang w:val="en-NZ"/>
        </w:rPr>
        <w:t xml:space="preserve"> and outright bans on the promotion of tobacco products</w:t>
      </w:r>
      <w:r>
        <w:rPr>
          <w:rStyle w:val="EndnoteReference"/>
          <w:rFonts w:asciiTheme="minorHAnsi" w:hAnsiTheme="minorHAnsi"/>
          <w:lang w:val="en-NZ"/>
        </w:rPr>
        <w:endnoteReference w:id="277"/>
      </w:r>
      <w:r w:rsidRPr="00C46FC5">
        <w:rPr>
          <w:rFonts w:asciiTheme="minorHAnsi" w:hAnsiTheme="minorHAnsi"/>
          <w:lang w:val="en-NZ"/>
        </w:rPr>
        <w:t xml:space="preserve">.  </w:t>
      </w:r>
    </w:p>
    <w:p w:rsidR="00785E02" w:rsidRPr="00C46FC5" w:rsidRDefault="00785E02" w:rsidP="00785E02">
      <w:pPr>
        <w:jc w:val="center"/>
        <w:rPr>
          <w:rFonts w:asciiTheme="minorHAnsi" w:hAnsiTheme="minorHAnsi"/>
          <w:b/>
          <w:lang w:val="en-NZ"/>
        </w:rPr>
      </w:pPr>
    </w:p>
    <w:p w:rsidR="00785E02" w:rsidRPr="00C46FC5" w:rsidRDefault="00785E02" w:rsidP="00785E02">
      <w:pPr>
        <w:jc w:val="both"/>
        <w:rPr>
          <w:rFonts w:asciiTheme="minorHAnsi" w:hAnsiTheme="minorHAnsi"/>
          <w:lang w:val="en-NZ"/>
        </w:rPr>
      </w:pPr>
      <w:r w:rsidRPr="00C46FC5">
        <w:rPr>
          <w:rFonts w:asciiTheme="minorHAnsi" w:hAnsiTheme="minorHAnsi"/>
          <w:lang w:val="en-NZ"/>
        </w:rPr>
        <w:t xml:space="preserve">We argue that the 2011 regulations are unlikely to be effective as they fail to address a number of significant issues. These include firstly, a failure to take children’s actual viewing practices, which are largely focused on adult programming, into account; a neglect of product placement across electronic and social media.  Secondly, a failure to act on the presence of a number of harmful products, such as sunbeds, that fall beyond the current list of restricted products. </w:t>
      </w:r>
    </w:p>
    <w:p w:rsidR="00785E02" w:rsidRPr="00C46FC5" w:rsidRDefault="00785E02" w:rsidP="00785E02">
      <w:pPr>
        <w:jc w:val="both"/>
        <w:rPr>
          <w:rFonts w:asciiTheme="minorHAnsi" w:hAnsiTheme="minorHAnsi"/>
          <w:lang w:val="en-NZ"/>
        </w:rPr>
      </w:pPr>
    </w:p>
    <w:p w:rsidR="00785E02" w:rsidRPr="00C46FC5" w:rsidRDefault="00785E02" w:rsidP="00785E02">
      <w:pPr>
        <w:jc w:val="both"/>
        <w:rPr>
          <w:rFonts w:asciiTheme="minorHAnsi" w:hAnsiTheme="minorHAnsi"/>
          <w:lang w:val="en-NZ"/>
        </w:rPr>
      </w:pPr>
      <w:r w:rsidRPr="00C46FC5">
        <w:rPr>
          <w:rFonts w:asciiTheme="minorHAnsi" w:hAnsiTheme="minorHAnsi"/>
          <w:lang w:val="en-NZ"/>
        </w:rPr>
        <w:t xml:space="preserve">Finally we argue the need for academic work that not only responds to product placement as and when it happens, and that contributes to an understanding for the impact of product placement in individual media and the cumulative effects of exposure to placements across the increasingly fragmented nature of contemporary ways of engaging with media forms.  Regulatory decisions would therefore be informed by a detailed understanding of product placement real-world effects and which was able to respond appropriately to the ever-shifting terrain of formats for, product placement. </w:t>
      </w:r>
    </w:p>
    <w:p w:rsidR="00785E02" w:rsidRPr="00C46FC5" w:rsidRDefault="00785E02" w:rsidP="00785E02">
      <w:pPr>
        <w:rPr>
          <w:rFonts w:asciiTheme="minorHAnsi" w:hAnsiTheme="minorHAnsi"/>
          <w:b/>
          <w:caps/>
          <w:lang w:val="en-NZ"/>
        </w:rPr>
      </w:pPr>
    </w:p>
    <w:p w:rsidR="00785E02" w:rsidRDefault="00785E02" w:rsidP="00785E02">
      <w:pPr>
        <w:pStyle w:val="Heading4"/>
        <w:rPr>
          <w:caps/>
          <w:lang w:val="en-NZ"/>
        </w:rPr>
      </w:pPr>
    </w:p>
    <w:p w:rsidR="00785E02" w:rsidRDefault="00785E02">
      <w:pPr>
        <w:rPr>
          <w:rFonts w:asciiTheme="minorHAnsi" w:eastAsiaTheme="majorEastAsia" w:hAnsiTheme="minorHAnsi" w:cstheme="majorBidi"/>
          <w:b/>
          <w:bCs/>
          <w:i/>
          <w:iCs/>
          <w:caps/>
          <w:color w:val="4F81BD" w:themeColor="accent1"/>
          <w:lang w:val="en-NZ"/>
        </w:rPr>
      </w:pPr>
      <w:r>
        <w:rPr>
          <w:rFonts w:asciiTheme="minorHAnsi" w:hAnsiTheme="minorHAnsi"/>
          <w:caps/>
          <w:lang w:val="en-NZ"/>
        </w:rPr>
        <w:br w:type="page"/>
      </w:r>
    </w:p>
    <w:p w:rsidR="00785E02" w:rsidRPr="008B4E09" w:rsidRDefault="008B4E09" w:rsidP="007A3E26">
      <w:pPr>
        <w:pStyle w:val="Heading1"/>
        <w:rPr>
          <w:i/>
          <w:caps/>
          <w:lang w:val="en-NZ"/>
        </w:rPr>
      </w:pPr>
      <w:bookmarkStart w:id="79" w:name="_Toc289256775"/>
      <w:r>
        <w:rPr>
          <w:lang w:val="en-NZ"/>
        </w:rPr>
        <w:lastRenderedPageBreak/>
        <w:t>References</w:t>
      </w:r>
      <w:bookmarkEnd w:id="79"/>
      <w:r>
        <w:rPr>
          <w:lang w:val="en-NZ"/>
        </w:rPr>
        <w:t xml:space="preserve"> </w:t>
      </w:r>
    </w:p>
    <w:sectPr w:rsidR="00785E02" w:rsidRPr="008B4E09" w:rsidSect="001D1B01">
      <w:headerReference w:type="default" r:id="rId33"/>
      <w:footerReference w:type="default" r:id="rId34"/>
      <w:endnotePr>
        <w:numFmt w:val="decimal"/>
      </w:endnotePr>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674A" w:rsidRDefault="0083674A" w:rsidP="007B3E18">
      <w:r>
        <w:separator/>
      </w:r>
    </w:p>
  </w:endnote>
  <w:endnote w:type="continuationSeparator" w:id="0">
    <w:p w:rsidR="0083674A" w:rsidRDefault="0083674A" w:rsidP="007B3E18">
      <w:r>
        <w:continuationSeparator/>
      </w:r>
    </w:p>
  </w:endnote>
  <w:endnote w:id="1">
    <w:p w:rsidR="002B3E5E" w:rsidRPr="00F74AFE" w:rsidRDefault="002B3E5E" w:rsidP="006C4C23">
      <w:pPr>
        <w:pStyle w:val="EndnoteText"/>
        <w:spacing w:after="0"/>
        <w:rPr>
          <w:rFonts w:asciiTheme="minorHAnsi" w:hAnsiTheme="minorHAnsi" w:cstheme="minorHAnsi"/>
        </w:rPr>
      </w:pPr>
      <w:r w:rsidRPr="00F74AFE">
        <w:rPr>
          <w:rStyle w:val="EndnoteReference"/>
          <w:rFonts w:asciiTheme="minorHAnsi" w:hAnsiTheme="minorHAnsi" w:cstheme="minorHAnsi"/>
        </w:rPr>
        <w:endnoteRef/>
      </w:r>
      <w:r w:rsidRPr="00F74AFE">
        <w:rPr>
          <w:rFonts w:asciiTheme="minorHAnsi" w:hAnsiTheme="minorHAnsi" w:cstheme="minorHAnsi"/>
        </w:rPr>
        <w:t xml:space="preserve"> The </w:t>
      </w:r>
      <w:r w:rsidRPr="00F74AFE">
        <w:rPr>
          <w:rFonts w:asciiTheme="minorHAnsi" w:hAnsiTheme="minorHAnsi" w:cstheme="minorHAnsi"/>
          <w:i/>
        </w:rPr>
        <w:t>Healthy Lives White Paper</w:t>
      </w:r>
      <w:r w:rsidRPr="00F74AFE">
        <w:rPr>
          <w:rFonts w:asciiTheme="minorHAnsi" w:hAnsiTheme="minorHAnsi" w:cstheme="minorHAnsi"/>
        </w:rPr>
        <w:t xml:space="preserve"> is referred to with the abbreviation HLWP throughout this document.</w:t>
      </w:r>
    </w:p>
  </w:endnote>
  <w:endnote w:id="2">
    <w:p w:rsidR="002B3E5E" w:rsidRPr="00F74AFE" w:rsidRDefault="002B3E5E" w:rsidP="008F7614">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Glanz, K., &amp; Bishop, D. B. (2010). The role of behavioral science theory in development and implementation of public health interventions. </w:t>
      </w:r>
      <w:r w:rsidRPr="00F74AFE">
        <w:rPr>
          <w:rFonts w:asciiTheme="minorHAnsi" w:hAnsiTheme="minorHAnsi" w:cstheme="minorHAnsi"/>
          <w:i/>
          <w:iCs/>
          <w:sz w:val="20"/>
          <w:szCs w:val="20"/>
        </w:rPr>
        <w:t>Annual Review of Public Health</w:t>
      </w:r>
      <w:r w:rsidRPr="00F74AFE">
        <w:rPr>
          <w:rFonts w:asciiTheme="minorHAnsi" w:hAnsiTheme="minorHAnsi" w:cstheme="minorHAnsi"/>
          <w:iCs/>
          <w:sz w:val="20"/>
          <w:szCs w:val="20"/>
        </w:rPr>
        <w:t>, 31</w:t>
      </w:r>
      <w:r w:rsidRPr="00F74AFE">
        <w:rPr>
          <w:rFonts w:asciiTheme="minorHAnsi" w:hAnsiTheme="minorHAnsi" w:cstheme="minorHAnsi"/>
          <w:sz w:val="20"/>
          <w:szCs w:val="20"/>
        </w:rPr>
        <w:t>, 399-418.</w:t>
      </w:r>
    </w:p>
  </w:endnote>
  <w:endnote w:id="3">
    <w:p w:rsidR="002B3E5E" w:rsidRPr="00F74AFE" w:rsidRDefault="002B3E5E" w:rsidP="008F7614">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Smith, P. M. (2007). A transdisciplinary approach to research on work and health: What is it, what could it contribute, and what are the challenges? </w:t>
      </w:r>
      <w:r w:rsidRPr="00F74AFE">
        <w:rPr>
          <w:rFonts w:asciiTheme="minorHAnsi" w:hAnsiTheme="minorHAnsi" w:cstheme="minorHAnsi"/>
          <w:i/>
          <w:iCs/>
          <w:sz w:val="20"/>
          <w:szCs w:val="20"/>
        </w:rPr>
        <w:t>Critical Public Health</w:t>
      </w:r>
      <w:r w:rsidRPr="00F74AFE">
        <w:rPr>
          <w:rFonts w:asciiTheme="minorHAnsi" w:hAnsiTheme="minorHAnsi" w:cstheme="minorHAnsi"/>
          <w:iCs/>
          <w:sz w:val="20"/>
          <w:szCs w:val="20"/>
        </w:rPr>
        <w:t>, 17</w:t>
      </w:r>
      <w:r w:rsidRPr="00F74AFE">
        <w:rPr>
          <w:rFonts w:asciiTheme="minorHAnsi" w:hAnsiTheme="minorHAnsi" w:cstheme="minorHAnsi"/>
          <w:sz w:val="20"/>
          <w:szCs w:val="20"/>
        </w:rPr>
        <w:t>(2), 159-169.</w:t>
      </w:r>
    </w:p>
  </w:endnote>
  <w:endnote w:id="4">
    <w:p w:rsidR="002B3E5E" w:rsidRPr="00F74AFE" w:rsidRDefault="002B3E5E" w:rsidP="008F7614">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Fielding, J. E., Brownson, R. C., &amp; Green, L. W. (2011). Public health:  Moving from ‘what’ to ‘how’. </w:t>
      </w:r>
      <w:r w:rsidRPr="00F74AFE">
        <w:rPr>
          <w:rFonts w:asciiTheme="minorHAnsi" w:hAnsiTheme="minorHAnsi" w:cstheme="minorHAnsi"/>
          <w:i/>
          <w:iCs/>
          <w:sz w:val="20"/>
          <w:szCs w:val="20"/>
        </w:rPr>
        <w:t>Annual Review of Public Health</w:t>
      </w:r>
      <w:r w:rsidRPr="00F74AFE">
        <w:rPr>
          <w:rFonts w:asciiTheme="minorHAnsi" w:hAnsiTheme="minorHAnsi" w:cstheme="minorHAnsi"/>
          <w:iCs/>
          <w:sz w:val="20"/>
          <w:szCs w:val="20"/>
        </w:rPr>
        <w:t>, 31</w:t>
      </w:r>
      <w:r w:rsidRPr="00F74AFE">
        <w:rPr>
          <w:rFonts w:asciiTheme="minorHAnsi" w:hAnsiTheme="minorHAnsi" w:cstheme="minorHAnsi"/>
          <w:sz w:val="20"/>
          <w:szCs w:val="20"/>
        </w:rPr>
        <w:t>(1), 1.</w:t>
      </w:r>
    </w:p>
  </w:endnote>
  <w:endnote w:id="5">
    <w:p w:rsidR="002B3E5E" w:rsidRPr="00F74AFE" w:rsidRDefault="002B3E5E" w:rsidP="008F7614">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Holmes, J. H., Lehman, A., Hade, E., Ferketich, A. K., Gehlert, S., Rauscher, G. H., et al. (2008). Challenges for Multilevel Health Disparities Research in a Transdisciplinary Environment. </w:t>
      </w:r>
      <w:r w:rsidRPr="00F74AFE">
        <w:rPr>
          <w:rFonts w:asciiTheme="minorHAnsi" w:hAnsiTheme="minorHAnsi" w:cstheme="minorHAnsi"/>
          <w:i/>
          <w:iCs/>
          <w:sz w:val="20"/>
          <w:szCs w:val="20"/>
        </w:rPr>
        <w:t>American Journal of Preventive Medicine</w:t>
      </w:r>
      <w:r w:rsidRPr="00F74AFE">
        <w:rPr>
          <w:rFonts w:asciiTheme="minorHAnsi" w:hAnsiTheme="minorHAnsi" w:cstheme="minorHAnsi"/>
          <w:iCs/>
          <w:sz w:val="20"/>
          <w:szCs w:val="20"/>
        </w:rPr>
        <w:t>, 35</w:t>
      </w:r>
      <w:r w:rsidRPr="00F74AFE">
        <w:rPr>
          <w:rFonts w:asciiTheme="minorHAnsi" w:hAnsiTheme="minorHAnsi" w:cstheme="minorHAnsi"/>
          <w:sz w:val="20"/>
          <w:szCs w:val="20"/>
        </w:rPr>
        <w:t>(2, Supplement 1), S182-S192.</w:t>
      </w:r>
    </w:p>
  </w:endnote>
  <w:endnote w:id="6">
    <w:p w:rsidR="002B3E5E" w:rsidRPr="00F74AFE" w:rsidRDefault="002B3E5E" w:rsidP="008F7614">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Mâsse, L. C., Moser, R. P., Stokols, D., Taylor, B. K., Marcus, S. E., Morgan, G. D., et al. (2008). Measuring Collaboration and Transdisciplinary Integration in Team Science. </w:t>
      </w:r>
      <w:r w:rsidRPr="00F74AFE">
        <w:rPr>
          <w:rFonts w:asciiTheme="minorHAnsi" w:hAnsiTheme="minorHAnsi" w:cstheme="minorHAnsi"/>
          <w:i/>
          <w:iCs/>
          <w:sz w:val="20"/>
          <w:szCs w:val="20"/>
        </w:rPr>
        <w:t>American Journal of Preventive Medicine</w:t>
      </w:r>
      <w:r w:rsidRPr="00F74AFE">
        <w:rPr>
          <w:rFonts w:asciiTheme="minorHAnsi" w:hAnsiTheme="minorHAnsi" w:cstheme="minorHAnsi"/>
          <w:iCs/>
          <w:sz w:val="20"/>
          <w:szCs w:val="20"/>
        </w:rPr>
        <w:t>, 35</w:t>
      </w:r>
      <w:r w:rsidRPr="00F74AFE">
        <w:rPr>
          <w:rFonts w:asciiTheme="minorHAnsi" w:hAnsiTheme="minorHAnsi" w:cstheme="minorHAnsi"/>
          <w:sz w:val="20"/>
          <w:szCs w:val="20"/>
        </w:rPr>
        <w:t>(2, Supplement 1), S151-S160.</w:t>
      </w:r>
    </w:p>
  </w:endnote>
  <w:endnote w:id="7">
    <w:p w:rsidR="002B3E5E" w:rsidRPr="00F74AFE" w:rsidRDefault="002B3E5E" w:rsidP="008F7614">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Kreps, G. L., &amp; Maibach, E. W. (2008). Transdisciplinary science: The nexus between communication and public health. </w:t>
      </w:r>
      <w:r w:rsidRPr="00F74AFE">
        <w:rPr>
          <w:rFonts w:asciiTheme="minorHAnsi" w:hAnsiTheme="minorHAnsi" w:cstheme="minorHAnsi"/>
          <w:i/>
          <w:iCs/>
          <w:sz w:val="20"/>
          <w:szCs w:val="20"/>
        </w:rPr>
        <w:t>Journal of Communication</w:t>
      </w:r>
      <w:r w:rsidRPr="00F74AFE">
        <w:rPr>
          <w:rFonts w:asciiTheme="minorHAnsi" w:hAnsiTheme="minorHAnsi" w:cstheme="minorHAnsi"/>
          <w:iCs/>
          <w:sz w:val="20"/>
          <w:szCs w:val="20"/>
        </w:rPr>
        <w:t>, 58</w:t>
      </w:r>
      <w:r w:rsidRPr="00F74AFE">
        <w:rPr>
          <w:rFonts w:asciiTheme="minorHAnsi" w:hAnsiTheme="minorHAnsi" w:cstheme="minorHAnsi"/>
          <w:sz w:val="20"/>
          <w:szCs w:val="20"/>
        </w:rPr>
        <w:t>(4), 732-748.</w:t>
      </w:r>
    </w:p>
  </w:endnote>
  <w:endnote w:id="8">
    <w:p w:rsidR="002B3E5E" w:rsidRPr="00F74AFE" w:rsidRDefault="002B3E5E" w:rsidP="008F7614">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Ramadier, T. (2004). Transdisciplinarity and its challenges: the case of urban studies. </w:t>
      </w:r>
      <w:r w:rsidRPr="00F74AFE">
        <w:rPr>
          <w:rFonts w:asciiTheme="minorHAnsi" w:hAnsiTheme="minorHAnsi" w:cstheme="minorHAnsi"/>
          <w:i/>
          <w:iCs/>
          <w:sz w:val="20"/>
          <w:szCs w:val="20"/>
        </w:rPr>
        <w:t>Futures</w:t>
      </w:r>
      <w:r w:rsidRPr="00F74AFE">
        <w:rPr>
          <w:rFonts w:asciiTheme="minorHAnsi" w:hAnsiTheme="minorHAnsi" w:cstheme="minorHAnsi"/>
          <w:iCs/>
          <w:sz w:val="20"/>
          <w:szCs w:val="20"/>
        </w:rPr>
        <w:t>, 36</w:t>
      </w:r>
      <w:r w:rsidRPr="00F74AFE">
        <w:rPr>
          <w:rFonts w:asciiTheme="minorHAnsi" w:hAnsiTheme="minorHAnsi" w:cstheme="minorHAnsi"/>
          <w:sz w:val="20"/>
          <w:szCs w:val="20"/>
        </w:rPr>
        <w:t>(4), 423-439.</w:t>
      </w:r>
    </w:p>
  </w:endnote>
  <w:endnote w:id="9">
    <w:p w:rsidR="002B3E5E" w:rsidRPr="00F74AFE" w:rsidRDefault="002B3E5E" w:rsidP="008F7614">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Balsiger, P. W. (2004). Supradisciplinary research practices: history, objectives and rationale. </w:t>
      </w:r>
      <w:r w:rsidRPr="00F74AFE">
        <w:rPr>
          <w:rFonts w:asciiTheme="minorHAnsi" w:hAnsiTheme="minorHAnsi" w:cstheme="minorHAnsi"/>
          <w:i/>
          <w:iCs/>
          <w:sz w:val="20"/>
          <w:szCs w:val="20"/>
        </w:rPr>
        <w:t>Futures</w:t>
      </w:r>
      <w:r w:rsidRPr="00F74AFE">
        <w:rPr>
          <w:rFonts w:asciiTheme="minorHAnsi" w:hAnsiTheme="minorHAnsi" w:cstheme="minorHAnsi"/>
          <w:iCs/>
          <w:sz w:val="20"/>
          <w:szCs w:val="20"/>
        </w:rPr>
        <w:t>, 36</w:t>
      </w:r>
      <w:r w:rsidRPr="00F74AFE">
        <w:rPr>
          <w:rFonts w:asciiTheme="minorHAnsi" w:hAnsiTheme="minorHAnsi" w:cstheme="minorHAnsi"/>
          <w:sz w:val="20"/>
          <w:szCs w:val="20"/>
        </w:rPr>
        <w:t>(4), 407-421.</w:t>
      </w:r>
    </w:p>
  </w:endnote>
  <w:endnote w:id="10">
    <w:p w:rsidR="002B3E5E" w:rsidRPr="00F74AFE" w:rsidRDefault="002B3E5E" w:rsidP="003401D6">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Emmons, K. M., Viswanath, K., &amp; Colditz, G. A. (2008). The Role of Transdisciplinary Collaboration in Translating and Disseminating Health Research: Lessons Learned and Exemplars of Success. </w:t>
      </w:r>
      <w:r w:rsidRPr="00F74AFE">
        <w:rPr>
          <w:rFonts w:asciiTheme="minorHAnsi" w:hAnsiTheme="minorHAnsi" w:cstheme="minorHAnsi"/>
          <w:i/>
          <w:iCs/>
          <w:sz w:val="20"/>
          <w:szCs w:val="20"/>
        </w:rPr>
        <w:t>American Journal of Preventive Medicine</w:t>
      </w:r>
      <w:r w:rsidRPr="00F74AFE">
        <w:rPr>
          <w:rFonts w:asciiTheme="minorHAnsi" w:hAnsiTheme="minorHAnsi" w:cstheme="minorHAnsi"/>
          <w:iCs/>
          <w:sz w:val="20"/>
          <w:szCs w:val="20"/>
        </w:rPr>
        <w:t>, 35</w:t>
      </w:r>
      <w:r w:rsidRPr="00F74AFE">
        <w:rPr>
          <w:rFonts w:asciiTheme="minorHAnsi" w:hAnsiTheme="minorHAnsi" w:cstheme="minorHAnsi"/>
          <w:sz w:val="20"/>
          <w:szCs w:val="20"/>
        </w:rPr>
        <w:t>(2, Supplement 1), S204-S210.</w:t>
      </w:r>
    </w:p>
  </w:endnote>
  <w:endnote w:id="11">
    <w:p w:rsidR="002B3E5E" w:rsidRPr="00F74AFE" w:rsidRDefault="002B3E5E" w:rsidP="003401D6">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Colditz, G. A., Emmons, K. M., Vishwanath, K., &amp; Kerner, J. F. (2008). Translating science to practice: community and academic perspectives. </w:t>
      </w:r>
      <w:r w:rsidRPr="00F74AFE">
        <w:rPr>
          <w:rFonts w:asciiTheme="minorHAnsi" w:hAnsiTheme="minorHAnsi" w:cstheme="minorHAnsi"/>
          <w:i/>
          <w:iCs/>
          <w:sz w:val="20"/>
          <w:szCs w:val="20"/>
        </w:rPr>
        <w:t>Journal Of Public Health Management And Practice</w:t>
      </w:r>
      <w:r w:rsidRPr="00F74AFE">
        <w:rPr>
          <w:rFonts w:asciiTheme="minorHAnsi" w:hAnsiTheme="minorHAnsi" w:cstheme="minorHAnsi"/>
          <w:iCs/>
          <w:sz w:val="20"/>
          <w:szCs w:val="20"/>
        </w:rPr>
        <w:t>, 14</w:t>
      </w:r>
      <w:r w:rsidRPr="00F74AFE">
        <w:rPr>
          <w:rFonts w:asciiTheme="minorHAnsi" w:hAnsiTheme="minorHAnsi" w:cstheme="minorHAnsi"/>
          <w:sz w:val="20"/>
          <w:szCs w:val="20"/>
        </w:rPr>
        <w:t>(2), 144-149.</w:t>
      </w:r>
    </w:p>
  </w:endnote>
  <w:endnote w:id="12">
    <w:p w:rsidR="002B3E5E" w:rsidRPr="00F74AFE" w:rsidRDefault="002B3E5E" w:rsidP="003401D6">
      <w:pPr>
        <w:autoSpaceDE w:val="0"/>
        <w:autoSpaceDN w:val="0"/>
        <w:adjustRightInd w:val="0"/>
        <w:rPr>
          <w:rFonts w:asciiTheme="minorHAnsi" w:hAnsiTheme="minorHAnsi" w:cstheme="minorHAnsi"/>
          <w:sz w:val="20"/>
          <w:szCs w:val="20"/>
        </w:rPr>
      </w:pPr>
      <w:r w:rsidRPr="00F74AFE">
        <w:rPr>
          <w:rStyle w:val="EndnoteReference"/>
          <w:rFonts w:asciiTheme="minorHAnsi" w:eastAsiaTheme="majorEastAsia" w:hAnsiTheme="minorHAnsi" w:cstheme="minorHAnsi"/>
          <w:sz w:val="20"/>
          <w:szCs w:val="20"/>
        </w:rPr>
        <w:endnoteRef/>
      </w:r>
      <w:r w:rsidRPr="00F74AFE">
        <w:rPr>
          <w:rFonts w:asciiTheme="minorHAnsi" w:hAnsiTheme="minorHAnsi" w:cstheme="minorHAnsi"/>
          <w:sz w:val="20"/>
          <w:szCs w:val="20"/>
        </w:rPr>
        <w:t xml:space="preserve"> Stokols, D., Harvey, R., Gress, J., Fuqua, J., &amp; Phillips, K. (2005). In vivo studies of transdisciplinary scientific collaboration: Lessons learned and implications for active living research. </w:t>
      </w:r>
      <w:r w:rsidRPr="00F74AFE">
        <w:rPr>
          <w:rFonts w:asciiTheme="minorHAnsi" w:hAnsiTheme="minorHAnsi" w:cstheme="minorHAnsi"/>
          <w:i/>
          <w:iCs/>
          <w:sz w:val="20"/>
          <w:szCs w:val="20"/>
        </w:rPr>
        <w:t>American Journal of Preventive Medicine</w:t>
      </w:r>
      <w:r w:rsidRPr="00F74AFE">
        <w:rPr>
          <w:rFonts w:asciiTheme="minorHAnsi" w:hAnsiTheme="minorHAnsi" w:cstheme="minorHAnsi"/>
          <w:iCs/>
          <w:sz w:val="20"/>
          <w:szCs w:val="20"/>
        </w:rPr>
        <w:t>, 28</w:t>
      </w:r>
      <w:r w:rsidRPr="00F74AFE">
        <w:rPr>
          <w:rFonts w:asciiTheme="minorHAnsi" w:hAnsiTheme="minorHAnsi" w:cstheme="minorHAnsi"/>
          <w:sz w:val="20"/>
          <w:szCs w:val="20"/>
        </w:rPr>
        <w:t>(2, Supplement 2), 202-213.</w:t>
      </w:r>
    </w:p>
  </w:endnote>
  <w:endnote w:id="13">
    <w:p w:rsidR="002B3E5E" w:rsidRPr="00F74AFE" w:rsidRDefault="002B3E5E" w:rsidP="003401D6">
      <w:pPr>
        <w:autoSpaceDE w:val="0"/>
        <w:autoSpaceDN w:val="0"/>
        <w:adjustRightInd w:val="0"/>
        <w:rPr>
          <w:rFonts w:asciiTheme="minorHAnsi" w:hAnsiTheme="minorHAnsi" w:cstheme="minorHAnsi"/>
          <w:sz w:val="20"/>
          <w:szCs w:val="20"/>
        </w:rPr>
      </w:pPr>
      <w:r w:rsidRPr="00F74AFE">
        <w:rPr>
          <w:rStyle w:val="EndnoteReference"/>
          <w:rFonts w:asciiTheme="minorHAnsi" w:eastAsiaTheme="majorEastAsia" w:hAnsiTheme="minorHAnsi" w:cstheme="minorHAnsi"/>
          <w:sz w:val="20"/>
          <w:szCs w:val="20"/>
        </w:rPr>
        <w:endnoteRef/>
      </w:r>
      <w:r w:rsidRPr="00F74AFE">
        <w:rPr>
          <w:rFonts w:asciiTheme="minorHAnsi" w:hAnsiTheme="minorHAnsi" w:cstheme="minorHAnsi"/>
          <w:sz w:val="20"/>
          <w:szCs w:val="20"/>
        </w:rPr>
        <w:t xml:space="preserve"> Waters, E. A., Weinstein, N. D., Colditz, G. A., &amp; Emmons, K. M. (2007). Reducing Aversion to Side Effects in Preventive Medical Treatment Decisions. </w:t>
      </w:r>
      <w:r w:rsidRPr="00F74AFE">
        <w:rPr>
          <w:rFonts w:asciiTheme="minorHAnsi" w:hAnsiTheme="minorHAnsi" w:cstheme="minorHAnsi"/>
          <w:i/>
          <w:iCs/>
          <w:sz w:val="20"/>
          <w:szCs w:val="20"/>
        </w:rPr>
        <w:t>Journal of Experimental Psychology: Applied</w:t>
      </w:r>
      <w:r w:rsidRPr="00F74AFE">
        <w:rPr>
          <w:rFonts w:asciiTheme="minorHAnsi" w:hAnsiTheme="minorHAnsi" w:cstheme="minorHAnsi"/>
          <w:iCs/>
          <w:sz w:val="20"/>
          <w:szCs w:val="20"/>
        </w:rPr>
        <w:t>, 13</w:t>
      </w:r>
      <w:r w:rsidRPr="00F74AFE">
        <w:rPr>
          <w:rFonts w:asciiTheme="minorHAnsi" w:hAnsiTheme="minorHAnsi" w:cstheme="minorHAnsi"/>
          <w:sz w:val="20"/>
          <w:szCs w:val="20"/>
        </w:rPr>
        <w:t>(1), 11-21.</w:t>
      </w:r>
    </w:p>
  </w:endnote>
  <w:endnote w:id="14">
    <w:p w:rsidR="002B3E5E" w:rsidRPr="00F74AFE" w:rsidRDefault="002B3E5E" w:rsidP="003401D6">
      <w:pPr>
        <w:pStyle w:val="EndnoteText"/>
        <w:spacing w:after="0"/>
        <w:rPr>
          <w:rFonts w:asciiTheme="minorHAnsi" w:hAnsiTheme="minorHAnsi" w:cstheme="minorHAnsi"/>
        </w:rPr>
      </w:pPr>
      <w:r w:rsidRPr="00F74AFE">
        <w:rPr>
          <w:rStyle w:val="EndnoteReference"/>
          <w:rFonts w:asciiTheme="minorHAnsi" w:hAnsiTheme="minorHAnsi" w:cstheme="minorHAnsi"/>
        </w:rPr>
        <w:endnoteRef/>
      </w:r>
      <w:r w:rsidRPr="00F74AFE">
        <w:rPr>
          <w:rFonts w:asciiTheme="minorHAnsi" w:hAnsiTheme="minorHAnsi" w:cstheme="minorHAnsi"/>
        </w:rPr>
        <w:t xml:space="preserve"> Chen, M. S-C. (2005).  The AANCART’s Infrastructure:  Empirical Evidence of Transdisciplinary Effectiveness.  </w:t>
      </w:r>
      <w:r w:rsidRPr="00F74AFE">
        <w:rPr>
          <w:rFonts w:asciiTheme="minorHAnsi" w:hAnsiTheme="minorHAnsi" w:cstheme="minorHAnsi"/>
          <w:i/>
        </w:rPr>
        <w:t>Journal of Healthcare for the Poor and Underserved</w:t>
      </w:r>
      <w:r w:rsidRPr="00F74AFE">
        <w:rPr>
          <w:rFonts w:asciiTheme="minorHAnsi" w:hAnsiTheme="minorHAnsi" w:cstheme="minorHAnsi"/>
        </w:rPr>
        <w:t>, 16 (2), 237- 243.</w:t>
      </w:r>
    </w:p>
  </w:endnote>
  <w:endnote w:id="15">
    <w:p w:rsidR="002B3E5E" w:rsidRPr="00F74AFE" w:rsidRDefault="002B3E5E" w:rsidP="003401D6">
      <w:pPr>
        <w:pStyle w:val="EndnoteText"/>
        <w:spacing w:after="0"/>
        <w:rPr>
          <w:rFonts w:asciiTheme="minorHAnsi" w:hAnsiTheme="minorHAnsi" w:cstheme="minorHAnsi"/>
        </w:rPr>
      </w:pPr>
      <w:r w:rsidRPr="00F74AFE">
        <w:rPr>
          <w:rStyle w:val="EndnoteReference"/>
          <w:rFonts w:asciiTheme="minorHAnsi" w:hAnsiTheme="minorHAnsi" w:cstheme="minorHAnsi"/>
        </w:rPr>
        <w:endnoteRef/>
      </w:r>
      <w:r w:rsidRPr="00F74AFE">
        <w:rPr>
          <w:rFonts w:asciiTheme="minorHAnsi" w:hAnsiTheme="minorHAnsi" w:cstheme="minorHAnsi"/>
        </w:rPr>
        <w:t xml:space="preserve"> Cronin, K. (2008). </w:t>
      </w:r>
      <w:r w:rsidRPr="00F74AFE">
        <w:rPr>
          <w:rFonts w:asciiTheme="minorHAnsi" w:hAnsiTheme="minorHAnsi" w:cstheme="minorHAnsi"/>
          <w:i/>
        </w:rPr>
        <w:t>Transdisciplinary Research (TDR) and Sustainability</w:t>
      </w:r>
      <w:r w:rsidRPr="00F74AFE">
        <w:rPr>
          <w:rFonts w:asciiTheme="minorHAnsi" w:hAnsiTheme="minorHAnsi" w:cstheme="minorHAnsi"/>
        </w:rPr>
        <w:t>.  Report for Ministry of Research, Science and Technology. Wellington, Environmental Sicence and Research Ltd.</w:t>
      </w:r>
    </w:p>
  </w:endnote>
  <w:endnote w:id="16">
    <w:p w:rsidR="002B3E5E" w:rsidRPr="00F74AFE" w:rsidRDefault="002B3E5E" w:rsidP="008F7614">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Gambescia, S. F., Woodhouse, L. D., Auld, M. E., Green, B. L., Quinn, S. C., &amp; Airhihenbuwa, C. O. (2006). Framing a Transdisciplinary Research Agenda in Health Education to Address Health Disparities and Social Inequities: A Road Map for SOPHE Action. </w:t>
      </w:r>
      <w:r w:rsidRPr="00F74AFE">
        <w:rPr>
          <w:rFonts w:asciiTheme="minorHAnsi" w:hAnsiTheme="minorHAnsi" w:cstheme="minorHAnsi"/>
          <w:i/>
          <w:iCs/>
          <w:sz w:val="20"/>
          <w:szCs w:val="20"/>
        </w:rPr>
        <w:t>Health Education &amp; Behavior</w:t>
      </w:r>
      <w:r w:rsidRPr="00F74AFE">
        <w:rPr>
          <w:rFonts w:asciiTheme="minorHAnsi" w:hAnsiTheme="minorHAnsi" w:cstheme="minorHAnsi"/>
          <w:iCs/>
          <w:sz w:val="20"/>
          <w:szCs w:val="20"/>
        </w:rPr>
        <w:t>, 33</w:t>
      </w:r>
      <w:r w:rsidRPr="00F74AFE">
        <w:rPr>
          <w:rFonts w:asciiTheme="minorHAnsi" w:hAnsiTheme="minorHAnsi" w:cstheme="minorHAnsi"/>
          <w:sz w:val="20"/>
          <w:szCs w:val="20"/>
        </w:rPr>
        <w:t>(4), 531-537.</w:t>
      </w:r>
    </w:p>
  </w:endnote>
  <w:endnote w:id="17">
    <w:p w:rsidR="002B3E5E" w:rsidRPr="00F74AFE" w:rsidRDefault="002B3E5E" w:rsidP="003E3041">
      <w:pPr>
        <w:pStyle w:val="NoSpacing"/>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Foresight (2007). Tackling Obesities: Future Choices - Project Report (2nd Edition).London: Government Office for Science.</w:t>
      </w:r>
    </w:p>
  </w:endnote>
  <w:endnote w:id="18">
    <w:p w:rsidR="002B3E5E" w:rsidRPr="00F74AFE" w:rsidRDefault="002B3E5E" w:rsidP="003E3041">
      <w:pPr>
        <w:pStyle w:val="NoSpacing"/>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Maani, K. E. &amp; Cavana, R. Y. (2000). </w:t>
      </w:r>
      <w:r w:rsidRPr="00F74AFE">
        <w:rPr>
          <w:rFonts w:asciiTheme="minorHAnsi" w:hAnsiTheme="minorHAnsi" w:cstheme="minorHAnsi"/>
          <w:i/>
          <w:sz w:val="20"/>
          <w:szCs w:val="20"/>
        </w:rPr>
        <w:t>Systems Thinking and Modelling – Understanding Change and Complexity</w:t>
      </w:r>
      <w:r w:rsidRPr="00F74AFE">
        <w:rPr>
          <w:rFonts w:asciiTheme="minorHAnsi" w:hAnsiTheme="minorHAnsi" w:cstheme="minorHAnsi"/>
          <w:sz w:val="20"/>
          <w:szCs w:val="20"/>
        </w:rPr>
        <w:t xml:space="preserve">. Auckland: Pearson Education. </w:t>
      </w:r>
    </w:p>
  </w:endnote>
  <w:endnote w:id="19">
    <w:p w:rsidR="002B3E5E" w:rsidRPr="00F74AFE" w:rsidRDefault="002B3E5E" w:rsidP="008F7614">
      <w:pPr>
        <w:pStyle w:val="EndnoteText"/>
        <w:spacing w:after="0"/>
        <w:rPr>
          <w:rFonts w:asciiTheme="minorHAnsi" w:hAnsiTheme="minorHAnsi" w:cstheme="minorHAnsi"/>
        </w:rPr>
      </w:pPr>
      <w:r w:rsidRPr="00F74AFE">
        <w:rPr>
          <w:rStyle w:val="EndnoteReference"/>
          <w:rFonts w:asciiTheme="minorHAnsi" w:hAnsiTheme="minorHAnsi" w:cstheme="minorHAnsi"/>
        </w:rPr>
        <w:endnoteRef/>
      </w:r>
      <w:r w:rsidRPr="00F74AFE">
        <w:rPr>
          <w:rFonts w:asciiTheme="minorHAnsi" w:hAnsiTheme="minorHAnsi" w:cstheme="minorHAnsi"/>
        </w:rPr>
        <w:t xml:space="preserve"> National Social Marketing Centre (2005).  </w:t>
      </w:r>
      <w:r w:rsidRPr="00F74AFE">
        <w:rPr>
          <w:rFonts w:asciiTheme="minorHAnsi" w:hAnsiTheme="minorHAnsi" w:cstheme="minorHAnsi"/>
          <w:i/>
        </w:rPr>
        <w:t>Social Marketing:  Pocket Guide</w:t>
      </w:r>
      <w:r w:rsidRPr="00F74AFE">
        <w:rPr>
          <w:rFonts w:asciiTheme="minorHAnsi" w:hAnsiTheme="minorHAnsi" w:cstheme="minorHAnsi"/>
        </w:rPr>
        <w:t>.  London:  National Social Marketing Centre.</w:t>
      </w:r>
    </w:p>
  </w:endnote>
  <w:endnote w:id="20">
    <w:p w:rsidR="002B3E5E" w:rsidRPr="00F74AFE" w:rsidRDefault="002B3E5E" w:rsidP="008F7614">
      <w:pPr>
        <w:pStyle w:val="EndnoteText"/>
        <w:spacing w:after="0"/>
        <w:rPr>
          <w:rFonts w:asciiTheme="minorHAnsi" w:hAnsiTheme="minorHAnsi" w:cstheme="minorHAnsi"/>
        </w:rPr>
      </w:pPr>
      <w:r w:rsidRPr="00F74AFE">
        <w:rPr>
          <w:rStyle w:val="EndnoteReference"/>
          <w:rFonts w:asciiTheme="minorHAnsi" w:hAnsiTheme="minorHAnsi" w:cstheme="minorHAnsi"/>
        </w:rPr>
        <w:endnoteRef/>
      </w:r>
      <w:r w:rsidRPr="00F74AFE">
        <w:rPr>
          <w:rFonts w:asciiTheme="minorHAnsi" w:hAnsiTheme="minorHAnsi" w:cstheme="minorHAnsi"/>
        </w:rPr>
        <w:t xml:space="preserve"> Marteau, T. M., Ogilvie, D., Roland, M., Suhrcke, M., &amp; Kelly, M. P. (2011). Judging nudging: can nudging improve population health? </w:t>
      </w:r>
      <w:r w:rsidRPr="00F74AFE">
        <w:rPr>
          <w:rFonts w:asciiTheme="minorHAnsi" w:hAnsiTheme="minorHAnsi" w:cstheme="minorHAnsi"/>
          <w:i/>
          <w:iCs/>
        </w:rPr>
        <w:t>BMJ</w:t>
      </w:r>
      <w:r w:rsidRPr="00F74AFE">
        <w:rPr>
          <w:rFonts w:asciiTheme="minorHAnsi" w:hAnsiTheme="minorHAnsi" w:cstheme="minorHAnsi"/>
          <w:iCs/>
        </w:rPr>
        <w:t>, 342</w:t>
      </w:r>
      <w:r w:rsidRPr="00F74AFE">
        <w:rPr>
          <w:rFonts w:asciiTheme="minorHAnsi" w:hAnsiTheme="minorHAnsi" w:cstheme="minorHAnsi"/>
          <w:i/>
          <w:iCs/>
        </w:rPr>
        <w:t>, 263 - 265</w:t>
      </w:r>
      <w:r w:rsidRPr="00F74AFE">
        <w:rPr>
          <w:rFonts w:asciiTheme="minorHAnsi" w:hAnsiTheme="minorHAnsi" w:cstheme="minorHAnsi"/>
        </w:rPr>
        <w:t>.</w:t>
      </w:r>
    </w:p>
  </w:endnote>
  <w:endnote w:id="21">
    <w:p w:rsidR="002B3E5E" w:rsidRPr="00F74AFE" w:rsidRDefault="002B3E5E" w:rsidP="00207B24">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Glanz, K., &amp; Bishop, D. B. (2010). The role of behavioral science theory in development and implementation of public health interventions. </w:t>
      </w:r>
      <w:r w:rsidRPr="00F74AFE">
        <w:rPr>
          <w:rFonts w:asciiTheme="minorHAnsi" w:hAnsiTheme="minorHAnsi" w:cstheme="minorHAnsi"/>
          <w:i/>
          <w:iCs/>
          <w:sz w:val="20"/>
          <w:szCs w:val="20"/>
        </w:rPr>
        <w:t>Annual Review of Public Health</w:t>
      </w:r>
      <w:r w:rsidRPr="00F74AFE">
        <w:rPr>
          <w:rFonts w:asciiTheme="minorHAnsi" w:hAnsiTheme="minorHAnsi" w:cstheme="minorHAnsi"/>
          <w:iCs/>
          <w:sz w:val="20"/>
          <w:szCs w:val="20"/>
        </w:rPr>
        <w:t>, 31</w:t>
      </w:r>
      <w:r w:rsidRPr="00F74AFE">
        <w:rPr>
          <w:rFonts w:asciiTheme="minorHAnsi" w:hAnsiTheme="minorHAnsi" w:cstheme="minorHAnsi"/>
          <w:sz w:val="20"/>
          <w:szCs w:val="20"/>
        </w:rPr>
        <w:t>, 399-418.</w:t>
      </w:r>
    </w:p>
  </w:endnote>
  <w:endnote w:id="22">
    <w:p w:rsidR="002B3E5E" w:rsidRPr="00F74AFE" w:rsidRDefault="002B3E5E" w:rsidP="00207B24">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Glanz, K., Rimer, B. K., &amp; Lewis, F. M. (Eds). (2002). </w:t>
      </w:r>
      <w:r w:rsidRPr="00F74AFE">
        <w:rPr>
          <w:rFonts w:asciiTheme="minorHAnsi" w:hAnsiTheme="minorHAnsi" w:cstheme="minorHAnsi"/>
          <w:i/>
          <w:iCs/>
          <w:sz w:val="20"/>
          <w:szCs w:val="20"/>
        </w:rPr>
        <w:t>Health Behavior and Health Education</w:t>
      </w:r>
      <w:r w:rsidRPr="00F74AFE">
        <w:rPr>
          <w:rFonts w:asciiTheme="minorHAnsi" w:hAnsiTheme="minorHAnsi" w:cstheme="minorHAnsi"/>
          <w:sz w:val="20"/>
          <w:szCs w:val="20"/>
        </w:rPr>
        <w:t xml:space="preserve"> (3rd ed.). San Francisco: Jossey-Bass.</w:t>
      </w:r>
    </w:p>
  </w:endnote>
  <w:endnote w:id="23">
    <w:p w:rsidR="002B3E5E" w:rsidRPr="00F74AFE" w:rsidRDefault="002B3E5E" w:rsidP="00207B24">
      <w:pPr>
        <w:pStyle w:val="EndnoteText"/>
        <w:spacing w:after="0"/>
        <w:rPr>
          <w:rFonts w:asciiTheme="minorHAnsi" w:hAnsiTheme="minorHAnsi" w:cstheme="minorHAnsi"/>
        </w:rPr>
      </w:pPr>
      <w:r w:rsidRPr="00F74AFE">
        <w:rPr>
          <w:rStyle w:val="EndnoteReference"/>
          <w:rFonts w:asciiTheme="minorHAnsi" w:hAnsiTheme="minorHAnsi" w:cstheme="minorHAnsi"/>
        </w:rPr>
        <w:endnoteRef/>
      </w:r>
      <w:r w:rsidRPr="00F74AFE">
        <w:rPr>
          <w:rFonts w:asciiTheme="minorHAnsi" w:hAnsiTheme="minorHAnsi" w:cstheme="minorHAnsi"/>
        </w:rPr>
        <w:t xml:space="preserve"> Darnton, A. (2008).  Reference Report:  An Overview of behaviour change models and their uses:  Report for Government Social Research, July.</w:t>
      </w:r>
    </w:p>
  </w:endnote>
  <w:endnote w:id="24">
    <w:p w:rsidR="002B3E5E" w:rsidRPr="00F74AFE" w:rsidRDefault="002B3E5E" w:rsidP="00207B24">
      <w:pPr>
        <w:rPr>
          <w:rFonts w:asciiTheme="minorHAnsi" w:hAnsiTheme="minorHAnsi" w:cstheme="minorHAnsi"/>
          <w:sz w:val="20"/>
          <w:szCs w:val="20"/>
          <w:lang w:val="en-US"/>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Bandura, A. (1986). </w:t>
      </w:r>
      <w:r w:rsidRPr="00F74AFE">
        <w:rPr>
          <w:rFonts w:asciiTheme="minorHAnsi" w:hAnsiTheme="minorHAnsi" w:cstheme="minorHAnsi"/>
          <w:i/>
          <w:sz w:val="20"/>
          <w:szCs w:val="20"/>
          <w:lang w:val="en-US"/>
        </w:rPr>
        <w:t>Social Foundations of Thought and Action: A Social Cognitive Theory</w:t>
      </w:r>
      <w:r w:rsidRPr="00F74AFE">
        <w:rPr>
          <w:rFonts w:asciiTheme="minorHAnsi" w:hAnsiTheme="minorHAnsi" w:cstheme="minorHAnsi"/>
          <w:sz w:val="20"/>
          <w:szCs w:val="20"/>
          <w:lang w:val="en-US"/>
        </w:rPr>
        <w:t>. Englewood Cliffs, NJ: Prentice Hall</w:t>
      </w:r>
    </w:p>
  </w:endnote>
  <w:endnote w:id="25">
    <w:p w:rsidR="002B3E5E" w:rsidRPr="00F74AFE" w:rsidRDefault="002B3E5E" w:rsidP="00207B24">
      <w:pPr>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Wood, R. &amp; Bandura, A. (1989). Social Cognitive Theory of Organizational Management. </w:t>
      </w:r>
      <w:r w:rsidRPr="00F74AFE">
        <w:rPr>
          <w:rFonts w:asciiTheme="minorHAnsi" w:hAnsiTheme="minorHAnsi" w:cstheme="minorHAnsi"/>
          <w:i/>
          <w:sz w:val="20"/>
          <w:szCs w:val="20"/>
        </w:rPr>
        <w:t>Academy of Management Review</w:t>
      </w:r>
      <w:r w:rsidRPr="00F74AFE">
        <w:rPr>
          <w:rFonts w:asciiTheme="minorHAnsi" w:hAnsiTheme="minorHAnsi" w:cstheme="minorHAnsi"/>
          <w:sz w:val="20"/>
          <w:szCs w:val="20"/>
        </w:rPr>
        <w:t>, 14(3): 361-384</w:t>
      </w:r>
    </w:p>
  </w:endnote>
  <w:endnote w:id="26">
    <w:p w:rsidR="002B3E5E" w:rsidRPr="00F74AFE" w:rsidRDefault="002B3E5E" w:rsidP="008F7614">
      <w:pPr>
        <w:pStyle w:val="EndnoteText"/>
        <w:spacing w:after="0"/>
        <w:rPr>
          <w:rFonts w:asciiTheme="minorHAnsi" w:hAnsiTheme="minorHAnsi" w:cstheme="minorHAnsi"/>
        </w:rPr>
      </w:pPr>
      <w:r w:rsidRPr="00F74AFE">
        <w:rPr>
          <w:rStyle w:val="EndnoteReference"/>
          <w:rFonts w:asciiTheme="minorHAnsi" w:hAnsiTheme="minorHAnsi" w:cstheme="minorHAnsi"/>
        </w:rPr>
        <w:endnoteRef/>
      </w:r>
      <w:r w:rsidRPr="00F74AFE">
        <w:rPr>
          <w:rFonts w:asciiTheme="minorHAnsi" w:hAnsiTheme="minorHAnsi" w:cstheme="minorHAnsi"/>
        </w:rPr>
        <w:t xml:space="preserve"> </w:t>
      </w:r>
      <w:r w:rsidRPr="00F74AFE">
        <w:rPr>
          <w:rFonts w:asciiTheme="minorHAnsi" w:hAnsiTheme="minorHAnsi" w:cstheme="minorHAnsi"/>
          <w:lang w:val="en-US"/>
        </w:rPr>
        <w:t xml:space="preserve">Fishbein, M., &amp; Ajzen, I. (1975). </w:t>
      </w:r>
      <w:r w:rsidRPr="00F74AFE">
        <w:rPr>
          <w:rFonts w:asciiTheme="minorHAnsi" w:hAnsiTheme="minorHAnsi" w:cstheme="minorHAnsi"/>
          <w:i/>
          <w:lang w:val="en-US"/>
        </w:rPr>
        <w:t>Belief, Attitude, and Behavior: An Introduction to Theory and Research</w:t>
      </w:r>
      <w:r w:rsidRPr="00F74AFE">
        <w:rPr>
          <w:rFonts w:asciiTheme="minorHAnsi" w:hAnsiTheme="minorHAnsi" w:cstheme="minorHAnsi"/>
          <w:lang w:val="en-US"/>
        </w:rPr>
        <w:t>. Reading, MA: Addison-Wesley</w:t>
      </w:r>
      <w:r w:rsidRPr="00F74AFE">
        <w:rPr>
          <w:rFonts w:asciiTheme="minorHAnsi" w:hAnsiTheme="minorHAnsi" w:cstheme="minorHAnsi"/>
        </w:rPr>
        <w:t xml:space="preserve"> </w:t>
      </w:r>
    </w:p>
  </w:endnote>
  <w:endnote w:id="27">
    <w:p w:rsidR="002B3E5E" w:rsidRPr="00F74AFE" w:rsidRDefault="002B3E5E" w:rsidP="008F7614">
      <w:pPr>
        <w:rPr>
          <w:rFonts w:asciiTheme="minorHAnsi" w:hAnsiTheme="minorHAnsi" w:cstheme="minorHAnsi"/>
          <w:sz w:val="20"/>
          <w:szCs w:val="20"/>
          <w:lang w:val="en-US"/>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Ajzen, I. &amp; Fishbein, M. (1980). </w:t>
      </w:r>
      <w:r w:rsidRPr="00F74AFE">
        <w:rPr>
          <w:rFonts w:asciiTheme="minorHAnsi" w:hAnsiTheme="minorHAnsi" w:cstheme="minorHAnsi"/>
          <w:i/>
          <w:sz w:val="20"/>
          <w:szCs w:val="20"/>
        </w:rPr>
        <w:t>Understanding Attitudes and Predicting Social Behaviour</w:t>
      </w:r>
      <w:r w:rsidRPr="00F74AFE">
        <w:rPr>
          <w:rFonts w:asciiTheme="minorHAnsi" w:hAnsiTheme="minorHAnsi" w:cstheme="minorHAnsi"/>
          <w:sz w:val="20"/>
          <w:szCs w:val="20"/>
        </w:rPr>
        <w:t>. Englewood Cliffs, NJ: Prentice-Hall</w:t>
      </w:r>
    </w:p>
  </w:endnote>
  <w:endnote w:id="28">
    <w:p w:rsidR="002B3E5E" w:rsidRPr="00F74AFE" w:rsidRDefault="002B3E5E" w:rsidP="008F7614">
      <w:pPr>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Ajzen, I. (1991). The Theory of Planned Behaviour. </w:t>
      </w:r>
      <w:r w:rsidRPr="00F74AFE">
        <w:rPr>
          <w:rFonts w:asciiTheme="minorHAnsi" w:hAnsiTheme="minorHAnsi" w:cstheme="minorHAnsi"/>
          <w:i/>
          <w:sz w:val="20"/>
          <w:szCs w:val="20"/>
        </w:rPr>
        <w:t>Organizational Behavior and Human Decision Processes</w:t>
      </w:r>
      <w:r w:rsidRPr="00F74AFE">
        <w:rPr>
          <w:rFonts w:asciiTheme="minorHAnsi" w:hAnsiTheme="minorHAnsi" w:cstheme="minorHAnsi"/>
          <w:sz w:val="20"/>
          <w:szCs w:val="20"/>
        </w:rPr>
        <w:t>,</w:t>
      </w:r>
      <w:r w:rsidRPr="00F74AFE">
        <w:rPr>
          <w:rFonts w:asciiTheme="minorHAnsi" w:hAnsiTheme="minorHAnsi" w:cstheme="minorHAnsi"/>
          <w:i/>
          <w:sz w:val="20"/>
          <w:szCs w:val="20"/>
        </w:rPr>
        <w:t xml:space="preserve"> </w:t>
      </w:r>
      <w:r w:rsidRPr="00F74AFE">
        <w:rPr>
          <w:rFonts w:asciiTheme="minorHAnsi" w:hAnsiTheme="minorHAnsi" w:cstheme="minorHAnsi"/>
          <w:sz w:val="20"/>
          <w:szCs w:val="20"/>
        </w:rPr>
        <w:t>50, 1979-211</w:t>
      </w:r>
    </w:p>
  </w:endnote>
  <w:endnote w:id="29">
    <w:p w:rsidR="002B3E5E" w:rsidRPr="00F74AFE" w:rsidRDefault="002B3E5E" w:rsidP="008F7614">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Fishbein, M. (2008). A Reasoned Action Approach to Health Promotion. </w:t>
      </w:r>
      <w:r w:rsidRPr="00F74AFE">
        <w:rPr>
          <w:rFonts w:asciiTheme="minorHAnsi" w:hAnsiTheme="minorHAnsi" w:cstheme="minorHAnsi"/>
          <w:i/>
          <w:iCs/>
          <w:sz w:val="20"/>
          <w:szCs w:val="20"/>
        </w:rPr>
        <w:t>Medical Decision Making</w:t>
      </w:r>
      <w:r w:rsidRPr="00F74AFE">
        <w:rPr>
          <w:rFonts w:asciiTheme="minorHAnsi" w:hAnsiTheme="minorHAnsi" w:cstheme="minorHAnsi"/>
          <w:iCs/>
          <w:sz w:val="20"/>
          <w:szCs w:val="20"/>
        </w:rPr>
        <w:t>, 28</w:t>
      </w:r>
      <w:r w:rsidRPr="00F74AFE">
        <w:rPr>
          <w:rFonts w:asciiTheme="minorHAnsi" w:hAnsiTheme="minorHAnsi" w:cstheme="minorHAnsi"/>
          <w:sz w:val="20"/>
          <w:szCs w:val="20"/>
        </w:rPr>
        <w:t>(6), 834-844.</w:t>
      </w:r>
    </w:p>
  </w:endnote>
  <w:endnote w:id="30">
    <w:p w:rsidR="002B3E5E" w:rsidRPr="00F74AFE" w:rsidRDefault="002B3E5E" w:rsidP="008F7614">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Smith-McLallen, A., &amp; Fishbein, M. (2008). Predictors of intentions to perform six cancer-related behaviours: roles for injunctive and descriptive norms. </w:t>
      </w:r>
      <w:r w:rsidRPr="00F74AFE">
        <w:rPr>
          <w:rFonts w:asciiTheme="minorHAnsi" w:hAnsiTheme="minorHAnsi" w:cstheme="minorHAnsi"/>
          <w:i/>
          <w:iCs/>
          <w:sz w:val="20"/>
          <w:szCs w:val="20"/>
        </w:rPr>
        <w:t>Psychology, Health &amp; Medicine</w:t>
      </w:r>
      <w:r w:rsidRPr="00F74AFE">
        <w:rPr>
          <w:rFonts w:asciiTheme="minorHAnsi" w:hAnsiTheme="minorHAnsi" w:cstheme="minorHAnsi"/>
          <w:iCs/>
          <w:sz w:val="20"/>
          <w:szCs w:val="20"/>
        </w:rPr>
        <w:t>, 13</w:t>
      </w:r>
      <w:r w:rsidRPr="00F74AFE">
        <w:rPr>
          <w:rFonts w:asciiTheme="minorHAnsi" w:hAnsiTheme="minorHAnsi" w:cstheme="minorHAnsi"/>
          <w:sz w:val="20"/>
          <w:szCs w:val="20"/>
        </w:rPr>
        <w:t>(4), 389-401.</w:t>
      </w:r>
    </w:p>
  </w:endnote>
  <w:endnote w:id="31">
    <w:p w:rsidR="002B3E5E" w:rsidRPr="00F74AFE" w:rsidRDefault="002B3E5E" w:rsidP="008F7614">
      <w:pPr>
        <w:pStyle w:val="EndnoteText"/>
        <w:spacing w:after="0"/>
        <w:rPr>
          <w:rFonts w:asciiTheme="minorHAnsi" w:hAnsiTheme="minorHAnsi" w:cstheme="minorHAnsi"/>
        </w:rPr>
      </w:pPr>
      <w:r w:rsidRPr="00F74AFE">
        <w:rPr>
          <w:rStyle w:val="EndnoteReference"/>
          <w:rFonts w:asciiTheme="minorHAnsi" w:hAnsiTheme="minorHAnsi" w:cstheme="minorHAnsi"/>
        </w:rPr>
        <w:endnoteRef/>
      </w:r>
      <w:r w:rsidRPr="00F74AFE">
        <w:rPr>
          <w:rFonts w:asciiTheme="minorHAnsi" w:hAnsiTheme="minorHAnsi" w:cstheme="minorHAnsi"/>
        </w:rPr>
        <w:t xml:space="preserve"> Fishbein, M., &amp; Yzer, M. C. (2003). Using Theory to Design Effective Health Behavior Interventions. </w:t>
      </w:r>
      <w:r w:rsidRPr="00F74AFE">
        <w:rPr>
          <w:rFonts w:asciiTheme="minorHAnsi" w:hAnsiTheme="minorHAnsi" w:cstheme="minorHAnsi"/>
          <w:i/>
          <w:iCs/>
        </w:rPr>
        <w:t>Communication Theory</w:t>
      </w:r>
      <w:r w:rsidRPr="00F74AFE">
        <w:rPr>
          <w:rFonts w:asciiTheme="minorHAnsi" w:hAnsiTheme="minorHAnsi" w:cstheme="minorHAnsi"/>
          <w:iCs/>
        </w:rPr>
        <w:t>, 13</w:t>
      </w:r>
      <w:r w:rsidRPr="00F74AFE">
        <w:rPr>
          <w:rFonts w:asciiTheme="minorHAnsi" w:hAnsiTheme="minorHAnsi" w:cstheme="minorHAnsi"/>
        </w:rPr>
        <w:t>(2), 164 - 183.</w:t>
      </w:r>
    </w:p>
  </w:endnote>
  <w:endnote w:id="32">
    <w:p w:rsidR="002B3E5E" w:rsidRPr="00F74AFE" w:rsidRDefault="002B3E5E" w:rsidP="003C2DC5">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Fishbein, M., &amp; Cappella, J. (2006). The Role of Theory in Developing Effective Health Communications. </w:t>
      </w:r>
      <w:r w:rsidRPr="00F74AFE">
        <w:rPr>
          <w:rFonts w:asciiTheme="minorHAnsi" w:hAnsiTheme="minorHAnsi" w:cstheme="minorHAnsi"/>
          <w:i/>
          <w:iCs/>
          <w:sz w:val="20"/>
          <w:szCs w:val="20"/>
        </w:rPr>
        <w:t>Journal of Communication</w:t>
      </w:r>
      <w:r w:rsidRPr="00F74AFE">
        <w:rPr>
          <w:rFonts w:asciiTheme="minorHAnsi" w:hAnsiTheme="minorHAnsi" w:cstheme="minorHAnsi"/>
          <w:iCs/>
          <w:sz w:val="20"/>
          <w:szCs w:val="20"/>
        </w:rPr>
        <w:t>, 56</w:t>
      </w:r>
      <w:r w:rsidRPr="00F74AFE">
        <w:rPr>
          <w:rFonts w:asciiTheme="minorHAnsi" w:hAnsiTheme="minorHAnsi" w:cstheme="minorHAnsi"/>
          <w:sz w:val="20"/>
          <w:szCs w:val="20"/>
        </w:rPr>
        <w:t>(August Supplement), S1 - S17.</w:t>
      </w:r>
    </w:p>
  </w:endnote>
  <w:endnote w:id="33">
    <w:p w:rsidR="002B3E5E" w:rsidRPr="00F74AFE" w:rsidRDefault="002B3E5E" w:rsidP="00CF58B1">
      <w:pPr>
        <w:pStyle w:val="EndnoteText"/>
        <w:spacing w:after="0"/>
        <w:rPr>
          <w:rFonts w:asciiTheme="minorHAnsi" w:hAnsiTheme="minorHAnsi" w:cstheme="minorHAnsi"/>
        </w:rPr>
      </w:pPr>
      <w:r w:rsidRPr="00F74AFE">
        <w:rPr>
          <w:rStyle w:val="EndnoteReference"/>
          <w:rFonts w:asciiTheme="minorHAnsi" w:hAnsiTheme="minorHAnsi" w:cstheme="minorHAnsi"/>
        </w:rPr>
        <w:endnoteRef/>
      </w:r>
      <w:r w:rsidRPr="00F74AFE">
        <w:rPr>
          <w:rFonts w:asciiTheme="minorHAnsi" w:hAnsiTheme="minorHAnsi" w:cstheme="minorHAnsi"/>
        </w:rPr>
        <w:t xml:space="preserve"> Triandis, H. (1977).  </w:t>
      </w:r>
      <w:r w:rsidRPr="00F74AFE">
        <w:rPr>
          <w:rFonts w:asciiTheme="minorHAnsi" w:hAnsiTheme="minorHAnsi" w:cstheme="minorHAnsi"/>
          <w:i/>
        </w:rPr>
        <w:t>Interpersonal Behavior</w:t>
      </w:r>
      <w:r w:rsidRPr="00F74AFE">
        <w:rPr>
          <w:rFonts w:asciiTheme="minorHAnsi" w:hAnsiTheme="minorHAnsi" w:cstheme="minorHAnsi"/>
        </w:rPr>
        <w:t>.  Monterey, CA:  Brooks / Cole</w:t>
      </w:r>
    </w:p>
  </w:endnote>
  <w:endnote w:id="34">
    <w:p w:rsidR="002B3E5E" w:rsidRPr="00F74AFE" w:rsidRDefault="002B3E5E" w:rsidP="00CF58B1">
      <w:pPr>
        <w:pStyle w:val="EndnoteText"/>
        <w:spacing w:after="0"/>
        <w:rPr>
          <w:rFonts w:asciiTheme="minorHAnsi" w:hAnsiTheme="minorHAnsi" w:cstheme="minorHAnsi"/>
        </w:rPr>
      </w:pPr>
      <w:r w:rsidRPr="00F74AFE">
        <w:rPr>
          <w:rStyle w:val="EndnoteReference"/>
          <w:rFonts w:asciiTheme="minorHAnsi" w:hAnsiTheme="minorHAnsi" w:cstheme="minorHAnsi"/>
        </w:rPr>
        <w:endnoteRef/>
      </w:r>
      <w:r w:rsidRPr="00F74AFE">
        <w:rPr>
          <w:rFonts w:asciiTheme="minorHAnsi" w:hAnsiTheme="minorHAnsi" w:cstheme="minorHAnsi"/>
        </w:rPr>
        <w:t xml:space="preserve"> </w:t>
      </w:r>
      <w:hyperlink r:id="rId1" w:history="1">
        <w:r w:rsidRPr="00F74AFE">
          <w:rPr>
            <w:rStyle w:val="Hyperlink"/>
            <w:rFonts w:asciiTheme="minorHAnsi" w:hAnsiTheme="minorHAnsi" w:cstheme="minorHAnsi"/>
          </w:rPr>
          <w:t>http://www.yale.edu/acmelab/articles/Bargh_1994.pdf</w:t>
        </w:r>
      </w:hyperlink>
    </w:p>
  </w:endnote>
  <w:endnote w:id="35">
    <w:p w:rsidR="002B3E5E" w:rsidRPr="00F74AFE" w:rsidRDefault="002B3E5E" w:rsidP="001F0E1D">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Verplanken, B., &amp; Wood, W. (2006). Interventions to Break and Create Consumer Habits. </w:t>
      </w:r>
      <w:r w:rsidRPr="00F74AFE">
        <w:rPr>
          <w:rFonts w:asciiTheme="minorHAnsi" w:hAnsiTheme="minorHAnsi" w:cstheme="minorHAnsi"/>
          <w:i/>
          <w:iCs/>
          <w:sz w:val="20"/>
          <w:szCs w:val="20"/>
        </w:rPr>
        <w:t>Journal of Public Policy &amp; Marketing</w:t>
      </w:r>
      <w:r w:rsidRPr="00F74AFE">
        <w:rPr>
          <w:rFonts w:asciiTheme="minorHAnsi" w:hAnsiTheme="minorHAnsi" w:cstheme="minorHAnsi"/>
          <w:iCs/>
          <w:sz w:val="20"/>
          <w:szCs w:val="20"/>
        </w:rPr>
        <w:t>, 25</w:t>
      </w:r>
      <w:r w:rsidRPr="00F74AFE">
        <w:rPr>
          <w:rFonts w:asciiTheme="minorHAnsi" w:hAnsiTheme="minorHAnsi" w:cstheme="minorHAnsi"/>
          <w:sz w:val="20"/>
          <w:szCs w:val="20"/>
        </w:rPr>
        <w:t>(1), 90-103.</w:t>
      </w:r>
    </w:p>
  </w:endnote>
  <w:endnote w:id="36">
    <w:p w:rsidR="002B3E5E" w:rsidRPr="00F74AFE" w:rsidRDefault="002B3E5E" w:rsidP="001F0E1D">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Darnton, A. (2010). EVO502: Unlocking habits/reconfiguring routines, final report to Department</w:t>
      </w:r>
    </w:p>
    <w:p w:rsidR="002B3E5E" w:rsidRPr="00F74AFE" w:rsidRDefault="002B3E5E" w:rsidP="001F0E1D">
      <w:pPr>
        <w:pStyle w:val="EndnoteText"/>
        <w:spacing w:after="0"/>
        <w:rPr>
          <w:rFonts w:asciiTheme="minorHAnsi" w:hAnsiTheme="minorHAnsi" w:cstheme="minorHAnsi"/>
        </w:rPr>
      </w:pPr>
      <w:r w:rsidRPr="00F74AFE">
        <w:rPr>
          <w:rFonts w:asciiTheme="minorHAnsi" w:hAnsiTheme="minorHAnsi" w:cstheme="minorHAnsi"/>
        </w:rPr>
        <w:t>of the Environment, Food and Rural Affairs.</w:t>
      </w:r>
    </w:p>
  </w:endnote>
  <w:endnote w:id="37">
    <w:p w:rsidR="002B3E5E" w:rsidRPr="00F74AFE" w:rsidRDefault="002B3E5E" w:rsidP="001F0E1D">
      <w:pPr>
        <w:autoSpaceDE w:val="0"/>
        <w:autoSpaceDN w:val="0"/>
        <w:adjustRightInd w:val="0"/>
        <w:rPr>
          <w:rFonts w:asciiTheme="minorHAnsi" w:hAnsiTheme="minorHAnsi" w:cstheme="minorHAnsi"/>
          <w: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Shove, E. (2010), Beyond the ABC: climate change policy and theories of social change, </w:t>
      </w:r>
      <w:r w:rsidRPr="00F74AFE">
        <w:rPr>
          <w:rFonts w:asciiTheme="minorHAnsi" w:hAnsiTheme="minorHAnsi" w:cstheme="minorHAnsi"/>
          <w:i/>
          <w:sz w:val="20"/>
          <w:szCs w:val="20"/>
        </w:rPr>
        <w:t>Environment</w:t>
      </w:r>
    </w:p>
    <w:p w:rsidR="002B3E5E" w:rsidRPr="00F74AFE" w:rsidRDefault="002B3E5E" w:rsidP="001F0E1D">
      <w:pPr>
        <w:pStyle w:val="EndnoteText"/>
        <w:spacing w:after="0"/>
        <w:rPr>
          <w:rFonts w:asciiTheme="minorHAnsi" w:hAnsiTheme="minorHAnsi" w:cstheme="minorHAnsi"/>
        </w:rPr>
      </w:pPr>
      <w:r w:rsidRPr="00F74AFE">
        <w:rPr>
          <w:rFonts w:asciiTheme="minorHAnsi" w:hAnsiTheme="minorHAnsi" w:cstheme="minorHAnsi"/>
          <w:i/>
        </w:rPr>
        <w:t>and Planning</w:t>
      </w:r>
      <w:r w:rsidRPr="00F74AFE">
        <w:rPr>
          <w:rFonts w:asciiTheme="minorHAnsi" w:hAnsiTheme="minorHAnsi" w:cstheme="minorHAnsi"/>
        </w:rPr>
        <w:t>,</w:t>
      </w:r>
      <w:r w:rsidRPr="00F74AFE">
        <w:rPr>
          <w:rFonts w:asciiTheme="minorHAnsi" w:hAnsiTheme="minorHAnsi" w:cstheme="minorHAnsi"/>
          <w:i/>
        </w:rPr>
        <w:t xml:space="preserve"> A</w:t>
      </w:r>
      <w:r w:rsidRPr="00F74AFE">
        <w:rPr>
          <w:rFonts w:asciiTheme="minorHAnsi" w:hAnsiTheme="minorHAnsi" w:cstheme="minorHAnsi"/>
        </w:rPr>
        <w:t xml:space="preserve"> 42, 1273-1285</w:t>
      </w:r>
    </w:p>
  </w:endnote>
  <w:endnote w:id="38">
    <w:p w:rsidR="002B3E5E" w:rsidRPr="00F74AFE" w:rsidRDefault="002B3E5E" w:rsidP="001F0E1D">
      <w:pPr>
        <w:pStyle w:val="EndnoteText"/>
        <w:spacing w:after="0"/>
        <w:rPr>
          <w:rFonts w:asciiTheme="minorHAnsi" w:hAnsiTheme="minorHAnsi" w:cstheme="minorHAnsi"/>
        </w:rPr>
      </w:pPr>
      <w:r w:rsidRPr="00F74AFE">
        <w:rPr>
          <w:rStyle w:val="EndnoteReference"/>
          <w:rFonts w:asciiTheme="minorHAnsi" w:hAnsiTheme="minorHAnsi" w:cstheme="minorHAnsi"/>
        </w:rPr>
        <w:endnoteRef/>
      </w:r>
      <w:r w:rsidRPr="00F74AFE">
        <w:rPr>
          <w:rFonts w:asciiTheme="minorHAnsi" w:hAnsiTheme="minorHAnsi" w:cstheme="minorHAnsi"/>
        </w:rPr>
        <w:t xml:space="preserve"> Geels, F.W. and Schot, J. (2007). Typology of socio-technical transition pathways. </w:t>
      </w:r>
      <w:r w:rsidRPr="00F74AFE">
        <w:rPr>
          <w:rFonts w:asciiTheme="minorHAnsi" w:hAnsiTheme="minorHAnsi" w:cstheme="minorHAnsi"/>
          <w:i/>
        </w:rPr>
        <w:t>Research Policy</w:t>
      </w:r>
      <w:r w:rsidRPr="00F74AFE">
        <w:rPr>
          <w:rFonts w:asciiTheme="minorHAnsi" w:hAnsiTheme="minorHAnsi" w:cstheme="minorHAnsi"/>
        </w:rPr>
        <w:t>, 36(3), April, 399-417.</w:t>
      </w:r>
    </w:p>
  </w:endnote>
  <w:endnote w:id="39">
    <w:p w:rsidR="002B3E5E" w:rsidRPr="00F74AFE" w:rsidRDefault="002B3E5E" w:rsidP="001F0E1D">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Dahlgren, G., &amp; Whitehead, M. (2007). Policies and Strategies to Promote Social Equity in Health.  Report for Institute of Future Studies..</w:t>
      </w:r>
    </w:p>
  </w:endnote>
  <w:endnote w:id="40">
    <w:p w:rsidR="002B3E5E" w:rsidRPr="00F74AFE" w:rsidRDefault="002B3E5E" w:rsidP="001F0E1D">
      <w:pPr>
        <w:autoSpaceDE w:val="0"/>
        <w:autoSpaceDN w:val="0"/>
        <w:adjustRightInd w:val="0"/>
        <w:rPr>
          <w:rFonts w:asciiTheme="minorHAnsi" w:hAnsiTheme="minorHAnsi" w:cstheme="minorHAnsi"/>
          <w:sz w:val="20"/>
          <w:szCs w:val="20"/>
        </w:rPr>
      </w:pPr>
      <w:r w:rsidRPr="00F74AFE">
        <w:rPr>
          <w:rStyle w:val="EndnoteReference"/>
          <w:rFonts w:asciiTheme="minorHAnsi" w:eastAsiaTheme="majorEastAsia" w:hAnsiTheme="minorHAnsi" w:cstheme="minorHAnsi"/>
          <w:sz w:val="20"/>
          <w:szCs w:val="20"/>
        </w:rPr>
        <w:endnoteRef/>
      </w:r>
      <w:r w:rsidRPr="00F74AFE">
        <w:rPr>
          <w:rFonts w:asciiTheme="minorHAnsi" w:hAnsiTheme="minorHAnsi" w:cstheme="minorHAnsi"/>
          <w:sz w:val="20"/>
          <w:szCs w:val="20"/>
        </w:rPr>
        <w:t xml:space="preserve"> Michie, S., Johnston, M., Francis, J., Hardeman, W., &amp; Eccles, M. (2008). From Theory to Intervention: Mapping Theoretically Derived Behavioural Determinants to Behaviour Change Techniques. </w:t>
      </w:r>
      <w:r w:rsidRPr="00F74AFE">
        <w:rPr>
          <w:rFonts w:asciiTheme="minorHAnsi" w:hAnsiTheme="minorHAnsi" w:cstheme="minorHAnsi"/>
          <w:i/>
          <w:iCs/>
          <w:sz w:val="20"/>
          <w:szCs w:val="20"/>
        </w:rPr>
        <w:t>Applied Psychology: An International Review</w:t>
      </w:r>
      <w:r w:rsidRPr="00F74AFE">
        <w:rPr>
          <w:rFonts w:asciiTheme="minorHAnsi" w:hAnsiTheme="minorHAnsi" w:cstheme="minorHAnsi"/>
          <w:iCs/>
          <w:sz w:val="20"/>
          <w:szCs w:val="20"/>
        </w:rPr>
        <w:t>, 57</w:t>
      </w:r>
      <w:r w:rsidRPr="00F74AFE">
        <w:rPr>
          <w:rFonts w:asciiTheme="minorHAnsi" w:hAnsiTheme="minorHAnsi" w:cstheme="minorHAnsi"/>
          <w:sz w:val="20"/>
          <w:szCs w:val="20"/>
        </w:rPr>
        <w:t>(4), 660-680.</w:t>
      </w:r>
    </w:p>
  </w:endnote>
  <w:endnote w:id="41">
    <w:p w:rsidR="002B3E5E" w:rsidRPr="00F74AFE" w:rsidRDefault="002B3E5E" w:rsidP="001F0E1D">
      <w:pPr>
        <w:autoSpaceDE w:val="0"/>
        <w:autoSpaceDN w:val="0"/>
        <w:adjustRightInd w:val="0"/>
        <w:rPr>
          <w:rFonts w:asciiTheme="minorHAnsi" w:hAnsiTheme="minorHAnsi" w:cstheme="minorHAnsi"/>
          <w:sz w:val="20"/>
          <w:szCs w:val="20"/>
        </w:rPr>
      </w:pPr>
      <w:r w:rsidRPr="00F74AFE">
        <w:rPr>
          <w:rStyle w:val="EndnoteReference"/>
          <w:rFonts w:asciiTheme="minorHAnsi" w:eastAsiaTheme="majorEastAsia" w:hAnsiTheme="minorHAnsi" w:cstheme="minorHAnsi"/>
          <w:sz w:val="20"/>
          <w:szCs w:val="20"/>
        </w:rPr>
        <w:endnoteRef/>
      </w:r>
      <w:r w:rsidRPr="00F74AFE">
        <w:rPr>
          <w:rFonts w:asciiTheme="minorHAnsi" w:hAnsiTheme="minorHAnsi" w:cstheme="minorHAnsi"/>
          <w:sz w:val="20"/>
          <w:szCs w:val="20"/>
        </w:rPr>
        <w:t xml:space="preserve"> Gardner, B., Whittington, C., McAteer, J., Eccles, M. P., &amp; Michie, S. (2010). Using theory to synthesise evidence from behaviour change interventions: The example of audit and feedback. </w:t>
      </w:r>
      <w:r w:rsidRPr="00F74AFE">
        <w:rPr>
          <w:rFonts w:asciiTheme="minorHAnsi" w:hAnsiTheme="minorHAnsi" w:cstheme="minorHAnsi"/>
          <w:i/>
          <w:iCs/>
          <w:sz w:val="20"/>
          <w:szCs w:val="20"/>
        </w:rPr>
        <w:t>Social Science &amp; Medicine</w:t>
      </w:r>
      <w:r w:rsidRPr="00F74AFE">
        <w:rPr>
          <w:rFonts w:asciiTheme="minorHAnsi" w:hAnsiTheme="minorHAnsi" w:cstheme="minorHAnsi"/>
          <w:iCs/>
          <w:sz w:val="20"/>
          <w:szCs w:val="20"/>
        </w:rPr>
        <w:t>, 70</w:t>
      </w:r>
      <w:r w:rsidRPr="00F74AFE">
        <w:rPr>
          <w:rFonts w:asciiTheme="minorHAnsi" w:hAnsiTheme="minorHAnsi" w:cstheme="minorHAnsi"/>
          <w:sz w:val="20"/>
          <w:szCs w:val="20"/>
        </w:rPr>
        <w:t>(10), 1618-1625.</w:t>
      </w:r>
    </w:p>
  </w:endnote>
  <w:endnote w:id="42">
    <w:p w:rsidR="002B3E5E" w:rsidRPr="00F74AFE" w:rsidRDefault="002B3E5E" w:rsidP="001F0E1D">
      <w:pPr>
        <w:pStyle w:val="NoSpacing"/>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Noar, S. M., Zimmerman, R. S. (2005). Health behavior theory and cumulative knowledge regarding health behaviors: Are we moving in the right direction? </w:t>
      </w:r>
      <w:r w:rsidRPr="00F74AFE">
        <w:rPr>
          <w:rFonts w:asciiTheme="minorHAnsi" w:hAnsiTheme="minorHAnsi" w:cstheme="minorHAnsi"/>
          <w:i/>
          <w:sz w:val="20"/>
          <w:szCs w:val="20"/>
        </w:rPr>
        <w:t>Health Education Research</w:t>
      </w:r>
      <w:r w:rsidRPr="00F74AFE">
        <w:rPr>
          <w:rFonts w:asciiTheme="minorHAnsi" w:hAnsiTheme="minorHAnsi" w:cstheme="minorHAnsi"/>
          <w:sz w:val="20"/>
          <w:szCs w:val="20"/>
        </w:rPr>
        <w:t>, 20, 275–90.</w:t>
      </w:r>
    </w:p>
  </w:endnote>
  <w:endnote w:id="43">
    <w:p w:rsidR="002B3E5E" w:rsidRPr="00F74AFE" w:rsidRDefault="002B3E5E" w:rsidP="0063016A">
      <w:pPr>
        <w:pStyle w:val="NoSpacing"/>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Weinstein, N. D., Rothman, A. J. (2005). Commentary: Revitalizing research on health behavior theories. </w:t>
      </w:r>
      <w:r w:rsidRPr="00F74AFE">
        <w:rPr>
          <w:rFonts w:asciiTheme="minorHAnsi" w:hAnsiTheme="minorHAnsi" w:cstheme="minorHAnsi"/>
          <w:i/>
          <w:sz w:val="20"/>
          <w:szCs w:val="20"/>
        </w:rPr>
        <w:t>Health Education Research</w:t>
      </w:r>
      <w:r w:rsidRPr="00F74AFE">
        <w:rPr>
          <w:rFonts w:asciiTheme="minorHAnsi" w:hAnsiTheme="minorHAnsi" w:cstheme="minorHAnsi"/>
          <w:sz w:val="20"/>
          <w:szCs w:val="20"/>
        </w:rPr>
        <w:t>,</w:t>
      </w:r>
      <w:r w:rsidRPr="00F74AFE">
        <w:rPr>
          <w:rFonts w:asciiTheme="minorHAnsi" w:hAnsiTheme="minorHAnsi" w:cstheme="minorHAnsi"/>
          <w:i/>
          <w:sz w:val="20"/>
          <w:szCs w:val="20"/>
        </w:rPr>
        <w:t xml:space="preserve"> </w:t>
      </w:r>
      <w:r w:rsidRPr="00F74AFE">
        <w:rPr>
          <w:rFonts w:asciiTheme="minorHAnsi" w:hAnsiTheme="minorHAnsi" w:cstheme="minorHAnsi"/>
          <w:sz w:val="20"/>
          <w:szCs w:val="20"/>
        </w:rPr>
        <w:t>20, 294–97.</w:t>
      </w:r>
    </w:p>
  </w:endnote>
  <w:endnote w:id="44">
    <w:p w:rsidR="002B3E5E" w:rsidRPr="00F74AFE" w:rsidRDefault="002B3E5E" w:rsidP="003C2DC5">
      <w:pPr>
        <w:autoSpaceDE w:val="0"/>
        <w:autoSpaceDN w:val="0"/>
        <w:adjustRightInd w:val="0"/>
        <w:rPr>
          <w:rFonts w:asciiTheme="minorHAnsi" w:hAnsiTheme="minorHAnsi" w:cstheme="minorHAnsi"/>
          <w:sz w:val="20"/>
          <w:szCs w:val="20"/>
        </w:rPr>
      </w:pPr>
      <w:r w:rsidRPr="00F74AFE">
        <w:rPr>
          <w:rStyle w:val="EndnoteReference"/>
          <w:rFonts w:asciiTheme="minorHAnsi" w:eastAsiaTheme="majorEastAsia" w:hAnsiTheme="minorHAnsi" w:cstheme="minorHAnsi"/>
          <w:sz w:val="20"/>
          <w:szCs w:val="20"/>
        </w:rPr>
        <w:endnoteRef/>
      </w:r>
      <w:r w:rsidRPr="00F74AFE">
        <w:rPr>
          <w:rFonts w:asciiTheme="minorHAnsi" w:hAnsiTheme="minorHAnsi" w:cstheme="minorHAnsi"/>
          <w:sz w:val="20"/>
          <w:szCs w:val="20"/>
        </w:rPr>
        <w:t xml:space="preserve"> Hardeman, W., Kinmonth, A. L., Michie, S., &amp; Sutton, S. (2011). Theory of planned behaviour cognitions do not predict self-reported or objective physical activity levels or change in the ProActive trial. </w:t>
      </w:r>
      <w:r w:rsidRPr="00F74AFE">
        <w:rPr>
          <w:rFonts w:asciiTheme="minorHAnsi" w:hAnsiTheme="minorHAnsi" w:cstheme="minorHAnsi"/>
          <w:i/>
          <w:iCs/>
          <w:sz w:val="20"/>
          <w:szCs w:val="20"/>
        </w:rPr>
        <w:t>British Journal of Health Psychology</w:t>
      </w:r>
      <w:r w:rsidRPr="00F74AFE">
        <w:rPr>
          <w:rFonts w:asciiTheme="minorHAnsi" w:hAnsiTheme="minorHAnsi" w:cstheme="minorHAnsi"/>
          <w:iCs/>
          <w:sz w:val="20"/>
          <w:szCs w:val="20"/>
        </w:rPr>
        <w:t>, 16</w:t>
      </w:r>
      <w:r w:rsidRPr="00F74AFE">
        <w:rPr>
          <w:rFonts w:asciiTheme="minorHAnsi" w:hAnsiTheme="minorHAnsi" w:cstheme="minorHAnsi"/>
          <w:sz w:val="20"/>
          <w:szCs w:val="20"/>
        </w:rPr>
        <w:t>(1), 135-150.</w:t>
      </w:r>
    </w:p>
  </w:endnote>
  <w:endnote w:id="45">
    <w:p w:rsidR="002B3E5E" w:rsidRPr="00F74AFE" w:rsidRDefault="002B3E5E" w:rsidP="003E3041">
      <w:pPr>
        <w:pStyle w:val="NoSpacing"/>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Henwood, K. L. &amp; Pidgeon, N. F. (1992). Qualitative Research and Psychological Theorizing. </w:t>
      </w:r>
      <w:r w:rsidRPr="00F74AFE">
        <w:rPr>
          <w:rFonts w:asciiTheme="minorHAnsi" w:hAnsiTheme="minorHAnsi" w:cstheme="minorHAnsi"/>
          <w:i/>
          <w:sz w:val="20"/>
          <w:szCs w:val="20"/>
        </w:rPr>
        <w:t>British Journal of Psychology</w:t>
      </w:r>
      <w:r w:rsidRPr="00F74AFE">
        <w:rPr>
          <w:rFonts w:asciiTheme="minorHAnsi" w:hAnsiTheme="minorHAnsi" w:cstheme="minorHAnsi"/>
          <w:sz w:val="20"/>
          <w:szCs w:val="20"/>
        </w:rPr>
        <w:t>, 83</w:t>
      </w:r>
      <w:r w:rsidRPr="00F74AFE">
        <w:rPr>
          <w:rFonts w:asciiTheme="minorHAnsi" w:hAnsiTheme="minorHAnsi" w:cstheme="minorHAnsi"/>
          <w:i/>
          <w:sz w:val="20"/>
          <w:szCs w:val="20"/>
        </w:rPr>
        <w:t>,</w:t>
      </w:r>
      <w:r w:rsidRPr="00F74AFE">
        <w:rPr>
          <w:rFonts w:asciiTheme="minorHAnsi" w:hAnsiTheme="minorHAnsi" w:cstheme="minorHAnsi"/>
          <w:sz w:val="20"/>
          <w:szCs w:val="20"/>
        </w:rPr>
        <w:t xml:space="preserve"> 97 – 111.</w:t>
      </w:r>
    </w:p>
  </w:endnote>
  <w:endnote w:id="46">
    <w:p w:rsidR="002B3E5E" w:rsidRPr="00F74AFE" w:rsidRDefault="002B3E5E" w:rsidP="003E3041">
      <w:pPr>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Willig, C. (2008). </w:t>
      </w:r>
      <w:r w:rsidRPr="00F74AFE">
        <w:rPr>
          <w:rFonts w:asciiTheme="minorHAnsi" w:hAnsiTheme="minorHAnsi" w:cstheme="minorHAnsi"/>
          <w:i/>
          <w:sz w:val="20"/>
          <w:szCs w:val="20"/>
        </w:rPr>
        <w:t>Introducing Qualitative Research in Psychology: Adventures in Theory and Method</w:t>
      </w:r>
      <w:r w:rsidRPr="00F74AFE">
        <w:rPr>
          <w:rFonts w:asciiTheme="minorHAnsi" w:hAnsiTheme="minorHAnsi" w:cstheme="minorHAnsi"/>
          <w:sz w:val="20"/>
          <w:szCs w:val="20"/>
        </w:rPr>
        <w:t xml:space="preserve">. Maidenhead: Open University Press. </w:t>
      </w:r>
    </w:p>
  </w:endnote>
  <w:endnote w:id="47">
    <w:p w:rsidR="002B3E5E" w:rsidRPr="00F74AFE" w:rsidRDefault="002B3E5E" w:rsidP="003E3041">
      <w:pPr>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Glanz, K. &amp; Bishop, D.P. (2010). The Role of Behavioural Science Theory in Development and Implementation of Public Health Interventions. </w:t>
      </w:r>
      <w:r w:rsidRPr="00F74AFE">
        <w:rPr>
          <w:rFonts w:asciiTheme="minorHAnsi" w:hAnsiTheme="minorHAnsi" w:cstheme="minorHAnsi"/>
          <w:i/>
          <w:sz w:val="20"/>
          <w:szCs w:val="20"/>
        </w:rPr>
        <w:t>Annual Review of Public Health</w:t>
      </w:r>
      <w:r w:rsidRPr="00F74AFE">
        <w:rPr>
          <w:rFonts w:asciiTheme="minorHAnsi" w:hAnsiTheme="minorHAnsi" w:cstheme="minorHAnsi"/>
          <w:sz w:val="20"/>
          <w:szCs w:val="20"/>
        </w:rPr>
        <w:t xml:space="preserve">, 31, 399 – 418. </w:t>
      </w:r>
    </w:p>
  </w:endnote>
  <w:endnote w:id="48">
    <w:p w:rsidR="002B3E5E" w:rsidRPr="00F74AFE" w:rsidRDefault="002B3E5E" w:rsidP="003E3041">
      <w:pPr>
        <w:pStyle w:val="NoSpacing"/>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Haug, F. (ed.)(1987). </w:t>
      </w:r>
      <w:r w:rsidRPr="00F74AFE">
        <w:rPr>
          <w:rFonts w:asciiTheme="minorHAnsi" w:hAnsiTheme="minorHAnsi" w:cstheme="minorHAnsi"/>
          <w:i/>
          <w:sz w:val="20"/>
          <w:szCs w:val="20"/>
        </w:rPr>
        <w:t>Female Sexualisation</w:t>
      </w:r>
      <w:r w:rsidRPr="00F74AFE">
        <w:rPr>
          <w:rFonts w:asciiTheme="minorHAnsi" w:hAnsiTheme="minorHAnsi" w:cstheme="minorHAnsi"/>
          <w:sz w:val="20"/>
          <w:szCs w:val="20"/>
        </w:rPr>
        <w:t xml:space="preserve">. London: Verso. </w:t>
      </w:r>
    </w:p>
  </w:endnote>
  <w:endnote w:id="49">
    <w:p w:rsidR="002B3E5E" w:rsidRPr="00F74AFE" w:rsidRDefault="002B3E5E" w:rsidP="00922BC4">
      <w:pPr>
        <w:pStyle w:val="Reference"/>
        <w:spacing w:after="0"/>
        <w:ind w:left="0" w:right="0" w:firstLine="0"/>
        <w:rPr>
          <w:rFonts w:asciiTheme="minorHAnsi" w:hAnsiTheme="minorHAnsi" w:cstheme="minorHAnsi"/>
        </w:rPr>
      </w:pPr>
      <w:r w:rsidRPr="00F74AFE">
        <w:rPr>
          <w:rStyle w:val="EndnoteReference"/>
          <w:rFonts w:asciiTheme="minorHAnsi" w:eastAsia="Cambria" w:hAnsiTheme="minorHAnsi" w:cstheme="minorHAnsi"/>
        </w:rPr>
        <w:endnoteRef/>
      </w:r>
      <w:r w:rsidRPr="00F74AFE">
        <w:rPr>
          <w:rFonts w:asciiTheme="minorHAnsi" w:hAnsiTheme="minorHAnsi" w:cstheme="minorHAnsi"/>
        </w:rPr>
        <w:t xml:space="preserve"> </w:t>
      </w:r>
      <w:r w:rsidRPr="00F74AFE">
        <w:rPr>
          <w:rFonts w:asciiTheme="minorHAnsi" w:hAnsiTheme="minorHAnsi" w:cstheme="minorHAnsi"/>
        </w:rPr>
        <w:tab/>
        <w:t xml:space="preserve">Barry, T. E. (1987). The Development of the Hierarchy of Effects:  A Historical Perspective. </w:t>
      </w:r>
      <w:r w:rsidRPr="00F74AFE">
        <w:rPr>
          <w:rFonts w:asciiTheme="minorHAnsi" w:hAnsiTheme="minorHAnsi" w:cstheme="minorHAnsi"/>
          <w:i/>
        </w:rPr>
        <w:t>Current Issues and Research In Advertising</w:t>
      </w:r>
      <w:r w:rsidRPr="00F74AFE">
        <w:rPr>
          <w:rFonts w:asciiTheme="minorHAnsi" w:hAnsiTheme="minorHAnsi" w:cstheme="minorHAnsi"/>
        </w:rPr>
        <w:t>, 10(2), 251 - 295.</w:t>
      </w:r>
    </w:p>
  </w:endnote>
  <w:endnote w:id="50">
    <w:p w:rsidR="002B3E5E" w:rsidRPr="00F74AFE" w:rsidRDefault="002B3E5E" w:rsidP="00922BC4">
      <w:pPr>
        <w:pStyle w:val="Reference"/>
        <w:spacing w:after="0"/>
        <w:ind w:left="0" w:right="0" w:firstLine="0"/>
        <w:rPr>
          <w:rFonts w:asciiTheme="minorHAnsi" w:hAnsiTheme="minorHAnsi" w:cstheme="minorHAnsi"/>
        </w:rPr>
      </w:pPr>
      <w:r w:rsidRPr="00F74AFE">
        <w:rPr>
          <w:rStyle w:val="EndnoteReference"/>
          <w:rFonts w:asciiTheme="minorHAnsi" w:eastAsia="Cambria" w:hAnsiTheme="minorHAnsi" w:cstheme="minorHAnsi"/>
        </w:rPr>
        <w:endnoteRef/>
      </w:r>
      <w:r w:rsidRPr="00F74AFE">
        <w:rPr>
          <w:rFonts w:asciiTheme="minorHAnsi" w:hAnsiTheme="minorHAnsi" w:cstheme="minorHAnsi"/>
        </w:rPr>
        <w:t xml:space="preserve"> </w:t>
      </w:r>
      <w:r w:rsidRPr="00F74AFE">
        <w:rPr>
          <w:rFonts w:asciiTheme="minorHAnsi" w:hAnsiTheme="minorHAnsi" w:cstheme="minorHAnsi"/>
        </w:rPr>
        <w:tab/>
        <w:t xml:space="preserve">Barry, T. F., &amp; Howard, D. J. (1990). A Review and Critique of the Hierarchy of Effects in Advertising. </w:t>
      </w:r>
      <w:r w:rsidRPr="00F74AFE">
        <w:rPr>
          <w:rFonts w:asciiTheme="minorHAnsi" w:hAnsiTheme="minorHAnsi" w:cstheme="minorHAnsi"/>
          <w:i/>
        </w:rPr>
        <w:t>International Journal of Advertising</w:t>
      </w:r>
      <w:r w:rsidRPr="00F74AFE">
        <w:rPr>
          <w:rFonts w:asciiTheme="minorHAnsi" w:hAnsiTheme="minorHAnsi" w:cstheme="minorHAnsi"/>
        </w:rPr>
        <w:t>, 9(2), 121-135.</w:t>
      </w:r>
    </w:p>
  </w:endnote>
  <w:endnote w:id="51">
    <w:p w:rsidR="002B3E5E" w:rsidRPr="00F74AFE" w:rsidRDefault="002B3E5E" w:rsidP="00922BC4">
      <w:pPr>
        <w:pStyle w:val="Reference"/>
        <w:spacing w:after="0"/>
        <w:ind w:left="0" w:right="0" w:firstLine="0"/>
        <w:rPr>
          <w:rFonts w:asciiTheme="minorHAnsi" w:hAnsiTheme="minorHAnsi" w:cstheme="minorHAnsi"/>
        </w:rPr>
      </w:pPr>
      <w:r w:rsidRPr="00F74AFE">
        <w:rPr>
          <w:rStyle w:val="EndnoteReference"/>
          <w:rFonts w:asciiTheme="minorHAnsi" w:eastAsia="Cambria" w:hAnsiTheme="minorHAnsi" w:cstheme="minorHAnsi"/>
        </w:rPr>
        <w:endnoteRef/>
      </w:r>
      <w:r w:rsidRPr="00F74AFE">
        <w:rPr>
          <w:rFonts w:asciiTheme="minorHAnsi" w:hAnsiTheme="minorHAnsi" w:cstheme="minorHAnsi"/>
        </w:rPr>
        <w:t xml:space="preserve"> </w:t>
      </w:r>
      <w:r w:rsidRPr="00F74AFE">
        <w:rPr>
          <w:rFonts w:asciiTheme="minorHAnsi" w:hAnsiTheme="minorHAnsi" w:cstheme="minorHAnsi"/>
        </w:rPr>
        <w:tab/>
        <w:t xml:space="preserve">Colley, R. H. (1962). Squeezing the Waste out of Advertising. </w:t>
      </w:r>
      <w:r w:rsidRPr="00F74AFE">
        <w:rPr>
          <w:rFonts w:asciiTheme="minorHAnsi" w:hAnsiTheme="minorHAnsi" w:cstheme="minorHAnsi"/>
          <w:i/>
          <w:iCs/>
        </w:rPr>
        <w:t>Harvard Business Review</w:t>
      </w:r>
      <w:r w:rsidRPr="00F74AFE">
        <w:rPr>
          <w:rFonts w:asciiTheme="minorHAnsi" w:hAnsiTheme="minorHAnsi" w:cstheme="minorHAnsi"/>
          <w:iCs/>
        </w:rPr>
        <w:t>, July - August</w:t>
      </w:r>
      <w:r w:rsidRPr="00F74AFE">
        <w:rPr>
          <w:rFonts w:asciiTheme="minorHAnsi" w:hAnsiTheme="minorHAnsi" w:cstheme="minorHAnsi"/>
        </w:rPr>
        <w:t>, 76-88.</w:t>
      </w:r>
    </w:p>
  </w:endnote>
  <w:endnote w:id="52">
    <w:p w:rsidR="002B3E5E" w:rsidRPr="00F74AFE" w:rsidRDefault="002B3E5E" w:rsidP="00922BC4">
      <w:pPr>
        <w:pStyle w:val="Reference"/>
        <w:spacing w:after="0"/>
        <w:ind w:left="0" w:right="0" w:firstLine="0"/>
        <w:rPr>
          <w:rFonts w:asciiTheme="minorHAnsi" w:hAnsiTheme="minorHAnsi" w:cstheme="minorHAnsi"/>
        </w:rPr>
      </w:pPr>
      <w:r w:rsidRPr="00F74AFE">
        <w:rPr>
          <w:rStyle w:val="EndnoteReference"/>
          <w:rFonts w:asciiTheme="minorHAnsi" w:eastAsia="Cambria" w:hAnsiTheme="minorHAnsi" w:cstheme="minorHAnsi"/>
        </w:rPr>
        <w:endnoteRef/>
      </w:r>
      <w:r w:rsidRPr="00F74AFE">
        <w:rPr>
          <w:rFonts w:asciiTheme="minorHAnsi" w:hAnsiTheme="minorHAnsi" w:cstheme="minorHAnsi"/>
          <w:lang w:val="pt-PT"/>
        </w:rPr>
        <w:t xml:space="preserve"> </w:t>
      </w:r>
      <w:r w:rsidRPr="00F74AFE">
        <w:rPr>
          <w:rFonts w:asciiTheme="minorHAnsi" w:hAnsiTheme="minorHAnsi" w:cstheme="minorHAnsi"/>
          <w:lang w:val="pt-PT"/>
        </w:rPr>
        <w:tab/>
        <w:t xml:space="preserve">Cacioppo, J. T., &amp; Petty, R. E. (1984). </w:t>
      </w:r>
      <w:r w:rsidRPr="00F74AFE">
        <w:rPr>
          <w:rFonts w:asciiTheme="minorHAnsi" w:hAnsiTheme="minorHAnsi" w:cstheme="minorHAnsi"/>
        </w:rPr>
        <w:t xml:space="preserve">The Elaboration Likelihood Model of Persuasion. </w:t>
      </w:r>
      <w:r w:rsidRPr="00F74AFE">
        <w:rPr>
          <w:rFonts w:asciiTheme="minorHAnsi" w:hAnsiTheme="minorHAnsi" w:cstheme="minorHAnsi"/>
          <w:i/>
        </w:rPr>
        <w:t>Advances in Consumer Research</w:t>
      </w:r>
      <w:r w:rsidRPr="00F74AFE">
        <w:rPr>
          <w:rFonts w:asciiTheme="minorHAnsi" w:hAnsiTheme="minorHAnsi" w:cstheme="minorHAnsi"/>
        </w:rPr>
        <w:t>, 11(1), 673-675.</w:t>
      </w:r>
    </w:p>
  </w:endnote>
  <w:endnote w:id="53">
    <w:p w:rsidR="002B3E5E" w:rsidRPr="00F74AFE" w:rsidRDefault="002B3E5E" w:rsidP="00922BC4">
      <w:pPr>
        <w:pStyle w:val="Reference"/>
        <w:spacing w:after="0"/>
        <w:ind w:left="0" w:right="0" w:firstLine="0"/>
        <w:rPr>
          <w:rFonts w:asciiTheme="minorHAnsi" w:hAnsiTheme="minorHAnsi" w:cstheme="minorHAnsi"/>
        </w:rPr>
      </w:pPr>
      <w:r w:rsidRPr="00F74AFE">
        <w:rPr>
          <w:rStyle w:val="EndnoteReference"/>
          <w:rFonts w:asciiTheme="minorHAnsi" w:eastAsia="Cambria" w:hAnsiTheme="minorHAnsi" w:cstheme="minorHAnsi"/>
        </w:rPr>
        <w:endnoteRef/>
      </w:r>
      <w:r w:rsidRPr="00F74AFE">
        <w:rPr>
          <w:rFonts w:asciiTheme="minorHAnsi" w:hAnsiTheme="minorHAnsi" w:cstheme="minorHAnsi"/>
        </w:rPr>
        <w:t xml:space="preserve"> </w:t>
      </w:r>
      <w:r w:rsidRPr="00F74AFE">
        <w:rPr>
          <w:rFonts w:asciiTheme="minorHAnsi" w:hAnsiTheme="minorHAnsi" w:cstheme="minorHAnsi"/>
        </w:rPr>
        <w:tab/>
        <w:t xml:space="preserve">Ehrenberg, A. S. C. (1974). Repetitive Advertising and the Consumer. </w:t>
      </w:r>
      <w:r w:rsidRPr="00F74AFE">
        <w:rPr>
          <w:rFonts w:asciiTheme="minorHAnsi" w:hAnsiTheme="minorHAnsi" w:cstheme="minorHAnsi"/>
          <w:i/>
        </w:rPr>
        <w:t>Journal of Advertising Research</w:t>
      </w:r>
      <w:r w:rsidRPr="00F74AFE">
        <w:rPr>
          <w:rFonts w:asciiTheme="minorHAnsi" w:hAnsiTheme="minorHAnsi" w:cstheme="minorHAnsi"/>
        </w:rPr>
        <w:t>, 14(2), 25.</w:t>
      </w:r>
    </w:p>
  </w:endnote>
  <w:endnote w:id="54">
    <w:p w:rsidR="002B3E5E" w:rsidRPr="00F74AFE" w:rsidRDefault="002B3E5E" w:rsidP="00922BC4">
      <w:pPr>
        <w:pStyle w:val="Reference"/>
        <w:spacing w:after="0"/>
        <w:ind w:left="0" w:right="0" w:firstLine="0"/>
        <w:rPr>
          <w:rFonts w:asciiTheme="minorHAnsi" w:hAnsiTheme="minorHAnsi" w:cstheme="minorHAnsi"/>
        </w:rPr>
      </w:pPr>
      <w:r w:rsidRPr="00F74AFE">
        <w:rPr>
          <w:rStyle w:val="EndnoteReference"/>
          <w:rFonts w:asciiTheme="minorHAnsi" w:eastAsia="Cambria" w:hAnsiTheme="minorHAnsi" w:cstheme="minorHAnsi"/>
        </w:rPr>
        <w:endnoteRef/>
      </w:r>
      <w:r w:rsidRPr="00F74AFE">
        <w:rPr>
          <w:rFonts w:asciiTheme="minorHAnsi" w:hAnsiTheme="minorHAnsi" w:cstheme="minorHAnsi"/>
        </w:rPr>
        <w:t xml:space="preserve"> </w:t>
      </w:r>
      <w:r w:rsidRPr="00F74AFE">
        <w:rPr>
          <w:rFonts w:asciiTheme="minorHAnsi" w:hAnsiTheme="minorHAnsi" w:cstheme="minorHAnsi"/>
        </w:rPr>
        <w:tab/>
        <w:t xml:space="preserve">Ehrenberg, A. S. C., Barnard, N., &amp; Scriven, J. A. (1997). Justifying Our Advertising Budgets. </w:t>
      </w:r>
      <w:r w:rsidRPr="00F74AFE">
        <w:rPr>
          <w:rFonts w:asciiTheme="minorHAnsi" w:hAnsiTheme="minorHAnsi" w:cstheme="minorHAnsi"/>
          <w:i/>
        </w:rPr>
        <w:t>Marketing and Research Today</w:t>
      </w:r>
      <w:r w:rsidRPr="00F74AFE">
        <w:rPr>
          <w:rFonts w:asciiTheme="minorHAnsi" w:hAnsiTheme="minorHAnsi" w:cstheme="minorHAnsi"/>
        </w:rPr>
        <w:t>, 25(1), 38 - 44.</w:t>
      </w:r>
    </w:p>
  </w:endnote>
  <w:endnote w:id="55">
    <w:p w:rsidR="002B3E5E" w:rsidRPr="00F74AFE" w:rsidRDefault="002B3E5E" w:rsidP="00922BC4">
      <w:pPr>
        <w:pStyle w:val="Reference"/>
        <w:spacing w:after="0"/>
        <w:ind w:left="0" w:right="0" w:firstLine="0"/>
        <w:rPr>
          <w:rFonts w:asciiTheme="minorHAnsi" w:hAnsiTheme="minorHAnsi" w:cstheme="minorHAnsi"/>
        </w:rPr>
      </w:pPr>
      <w:r w:rsidRPr="00F74AFE">
        <w:rPr>
          <w:rStyle w:val="EndnoteReference"/>
          <w:rFonts w:asciiTheme="minorHAnsi" w:eastAsia="Cambria" w:hAnsiTheme="minorHAnsi" w:cstheme="minorHAnsi"/>
        </w:rPr>
        <w:endnoteRef/>
      </w:r>
      <w:r w:rsidRPr="00F74AFE">
        <w:rPr>
          <w:rFonts w:asciiTheme="minorHAnsi" w:hAnsiTheme="minorHAnsi" w:cstheme="minorHAnsi"/>
        </w:rPr>
        <w:t xml:space="preserve"> </w:t>
      </w:r>
      <w:r w:rsidRPr="00F74AFE">
        <w:rPr>
          <w:rFonts w:asciiTheme="minorHAnsi" w:hAnsiTheme="minorHAnsi" w:cstheme="minorHAnsi"/>
        </w:rPr>
        <w:tab/>
        <w:t xml:space="preserve">Jones, J. P. (1990). Advertising:  Strong Force or Weak Force?  Two Views an Ocean Apart. </w:t>
      </w:r>
      <w:r w:rsidRPr="00F74AFE">
        <w:rPr>
          <w:rFonts w:asciiTheme="minorHAnsi" w:hAnsiTheme="minorHAnsi" w:cstheme="minorHAnsi"/>
          <w:i/>
        </w:rPr>
        <w:t>International Journal of Advertising</w:t>
      </w:r>
      <w:r w:rsidRPr="00F74AFE">
        <w:rPr>
          <w:rFonts w:asciiTheme="minorHAnsi" w:hAnsiTheme="minorHAnsi" w:cstheme="minorHAnsi"/>
        </w:rPr>
        <w:t>, 9(3), 233-246.</w:t>
      </w:r>
    </w:p>
  </w:endnote>
  <w:endnote w:id="56">
    <w:p w:rsidR="002B3E5E" w:rsidRPr="00F74AFE" w:rsidRDefault="002B3E5E" w:rsidP="00922BC4">
      <w:pPr>
        <w:pStyle w:val="Reference"/>
        <w:spacing w:after="0"/>
        <w:ind w:left="0" w:right="0" w:firstLine="0"/>
        <w:rPr>
          <w:rFonts w:asciiTheme="minorHAnsi" w:hAnsiTheme="minorHAnsi" w:cstheme="minorHAnsi"/>
        </w:rPr>
      </w:pPr>
      <w:r w:rsidRPr="00F74AFE">
        <w:rPr>
          <w:rStyle w:val="EndnoteReference"/>
          <w:rFonts w:asciiTheme="minorHAnsi" w:eastAsia="Cambria" w:hAnsiTheme="minorHAnsi" w:cstheme="minorHAnsi"/>
        </w:rPr>
        <w:endnoteRef/>
      </w:r>
      <w:r w:rsidRPr="00F74AFE">
        <w:rPr>
          <w:rFonts w:asciiTheme="minorHAnsi" w:hAnsiTheme="minorHAnsi" w:cstheme="minorHAnsi"/>
          <w:lang w:val="nl-NL"/>
        </w:rPr>
        <w:t xml:space="preserve"> </w:t>
      </w:r>
      <w:r w:rsidRPr="00F74AFE">
        <w:rPr>
          <w:rFonts w:asciiTheme="minorHAnsi" w:hAnsiTheme="minorHAnsi" w:cstheme="minorHAnsi"/>
          <w:lang w:val="nl-NL"/>
        </w:rPr>
        <w:tab/>
        <w:t xml:space="preserve">Ehrenberg, A., Barnard, N., Kennedy, R., &amp; Bloom, H. (2002). </w:t>
      </w:r>
      <w:r w:rsidRPr="00F74AFE">
        <w:rPr>
          <w:rFonts w:asciiTheme="minorHAnsi" w:hAnsiTheme="minorHAnsi" w:cstheme="minorHAnsi"/>
        </w:rPr>
        <w:t xml:space="preserve">Brand Advertising as Creative Publicity. </w:t>
      </w:r>
      <w:r w:rsidRPr="00F74AFE">
        <w:rPr>
          <w:rFonts w:asciiTheme="minorHAnsi" w:hAnsiTheme="minorHAnsi" w:cstheme="minorHAnsi"/>
          <w:i/>
          <w:iCs/>
        </w:rPr>
        <w:t>Journal of Advertising Research</w:t>
      </w:r>
      <w:r w:rsidRPr="00F74AFE">
        <w:rPr>
          <w:rFonts w:asciiTheme="minorHAnsi" w:hAnsiTheme="minorHAnsi" w:cstheme="minorHAnsi"/>
          <w:iCs/>
        </w:rPr>
        <w:t>, 42</w:t>
      </w:r>
      <w:r w:rsidRPr="00F74AFE">
        <w:rPr>
          <w:rFonts w:asciiTheme="minorHAnsi" w:hAnsiTheme="minorHAnsi" w:cstheme="minorHAnsi"/>
        </w:rPr>
        <w:t>(4), 7-18.</w:t>
      </w:r>
    </w:p>
  </w:endnote>
  <w:endnote w:id="57">
    <w:p w:rsidR="002B3E5E" w:rsidRPr="00F74AFE" w:rsidRDefault="002B3E5E" w:rsidP="00922BC4">
      <w:pPr>
        <w:pStyle w:val="Reference"/>
        <w:spacing w:after="0"/>
        <w:ind w:left="0" w:right="0" w:firstLine="0"/>
        <w:rPr>
          <w:rFonts w:asciiTheme="minorHAnsi" w:hAnsiTheme="minorHAnsi" w:cstheme="minorHAnsi"/>
        </w:rPr>
      </w:pPr>
      <w:r w:rsidRPr="00F74AFE">
        <w:rPr>
          <w:rStyle w:val="EndnoteReference"/>
          <w:rFonts w:asciiTheme="minorHAnsi" w:eastAsia="Cambria" w:hAnsiTheme="minorHAnsi" w:cstheme="minorHAnsi"/>
        </w:rPr>
        <w:endnoteRef/>
      </w:r>
      <w:r w:rsidRPr="00F74AFE">
        <w:rPr>
          <w:rFonts w:asciiTheme="minorHAnsi" w:hAnsiTheme="minorHAnsi" w:cstheme="minorHAnsi"/>
        </w:rPr>
        <w:t xml:space="preserve"> </w:t>
      </w:r>
      <w:r w:rsidRPr="00F74AFE">
        <w:rPr>
          <w:rFonts w:asciiTheme="minorHAnsi" w:hAnsiTheme="minorHAnsi" w:cstheme="minorHAnsi"/>
        </w:rPr>
        <w:tab/>
        <w:t xml:space="preserve">Premkumar, G., &amp; Bhattacherjee, A. (2008). Explaining information technology usage: A test of competing models. </w:t>
      </w:r>
      <w:r w:rsidRPr="00F74AFE">
        <w:rPr>
          <w:rFonts w:asciiTheme="minorHAnsi" w:hAnsiTheme="minorHAnsi" w:cstheme="minorHAnsi"/>
          <w:i/>
        </w:rPr>
        <w:t>Omega</w:t>
      </w:r>
      <w:r w:rsidRPr="00F74AFE">
        <w:rPr>
          <w:rFonts w:asciiTheme="minorHAnsi" w:hAnsiTheme="minorHAnsi" w:cstheme="minorHAnsi"/>
        </w:rPr>
        <w:t>, 36(1), 64-75.</w:t>
      </w:r>
    </w:p>
  </w:endnote>
  <w:endnote w:id="58">
    <w:p w:rsidR="002B3E5E" w:rsidRPr="00F74AFE" w:rsidRDefault="002B3E5E" w:rsidP="0064301F">
      <w:pPr>
        <w:pStyle w:val="Reference"/>
        <w:spacing w:after="0"/>
        <w:ind w:left="0" w:right="0" w:firstLine="0"/>
        <w:rPr>
          <w:rFonts w:asciiTheme="minorHAnsi" w:hAnsiTheme="minorHAnsi" w:cstheme="minorHAnsi"/>
        </w:rPr>
      </w:pPr>
      <w:r w:rsidRPr="00F74AFE">
        <w:rPr>
          <w:rStyle w:val="EndnoteReference"/>
          <w:rFonts w:asciiTheme="minorHAnsi" w:eastAsia="Cambria" w:hAnsiTheme="minorHAnsi" w:cstheme="minorHAnsi"/>
        </w:rPr>
        <w:endnoteRef/>
      </w:r>
      <w:r w:rsidRPr="00F74AFE">
        <w:rPr>
          <w:rFonts w:asciiTheme="minorHAnsi" w:hAnsiTheme="minorHAnsi" w:cstheme="minorHAnsi"/>
        </w:rPr>
        <w:t xml:space="preserve"> </w:t>
      </w:r>
      <w:r w:rsidRPr="00F74AFE">
        <w:rPr>
          <w:rFonts w:asciiTheme="minorHAnsi" w:hAnsiTheme="minorHAnsi" w:cstheme="minorHAnsi"/>
        </w:rPr>
        <w:tab/>
        <w:t xml:space="preserve">Koufaris, M. (2002). Applying the Technology Acceptance Model and Flow Theory to Online Consumer Behavior. </w:t>
      </w:r>
      <w:r w:rsidRPr="00F74AFE">
        <w:rPr>
          <w:rFonts w:asciiTheme="minorHAnsi" w:hAnsiTheme="minorHAnsi" w:cstheme="minorHAnsi"/>
          <w:i/>
          <w:iCs/>
        </w:rPr>
        <w:t>Information Systems Research</w:t>
      </w:r>
      <w:r w:rsidRPr="00F74AFE">
        <w:rPr>
          <w:rFonts w:asciiTheme="minorHAnsi" w:hAnsiTheme="minorHAnsi" w:cstheme="minorHAnsi"/>
          <w:iCs/>
        </w:rPr>
        <w:t>, 13</w:t>
      </w:r>
      <w:r w:rsidRPr="00F74AFE">
        <w:rPr>
          <w:rFonts w:asciiTheme="minorHAnsi" w:hAnsiTheme="minorHAnsi" w:cstheme="minorHAnsi"/>
        </w:rPr>
        <w:t>(2), 205-223.</w:t>
      </w:r>
    </w:p>
  </w:endnote>
  <w:endnote w:id="59">
    <w:p w:rsidR="002B3E5E" w:rsidRPr="00F74AFE" w:rsidRDefault="002B3E5E" w:rsidP="0064301F">
      <w:pPr>
        <w:pStyle w:val="Reference"/>
        <w:spacing w:after="0"/>
        <w:ind w:left="0" w:right="0" w:firstLine="0"/>
        <w:rPr>
          <w:rFonts w:asciiTheme="minorHAnsi" w:hAnsiTheme="minorHAnsi" w:cstheme="minorHAnsi"/>
        </w:rPr>
      </w:pPr>
      <w:r w:rsidRPr="00F74AFE">
        <w:rPr>
          <w:rStyle w:val="EndnoteReference"/>
          <w:rFonts w:asciiTheme="minorHAnsi" w:eastAsia="Cambria" w:hAnsiTheme="minorHAnsi" w:cstheme="minorHAnsi"/>
        </w:rPr>
        <w:endnoteRef/>
      </w:r>
      <w:r w:rsidRPr="00F74AFE">
        <w:rPr>
          <w:rFonts w:asciiTheme="minorHAnsi" w:hAnsiTheme="minorHAnsi" w:cstheme="minorHAnsi"/>
        </w:rPr>
        <w:t xml:space="preserve"> </w:t>
      </w:r>
      <w:r w:rsidRPr="00F74AFE">
        <w:rPr>
          <w:rFonts w:asciiTheme="minorHAnsi" w:hAnsiTheme="minorHAnsi" w:cstheme="minorHAnsi"/>
        </w:rPr>
        <w:tab/>
        <w:t xml:space="preserve">Venkatesh, V., Morris, M. G., Davis, G. B., &amp; Davis, F. D. (2003). User Acceptance of Information Technology:  Towards a Unified View. </w:t>
      </w:r>
      <w:r w:rsidRPr="00F74AFE">
        <w:rPr>
          <w:rFonts w:asciiTheme="minorHAnsi" w:hAnsiTheme="minorHAnsi" w:cstheme="minorHAnsi"/>
          <w:i/>
          <w:iCs/>
        </w:rPr>
        <w:t>MIS Quarterly</w:t>
      </w:r>
      <w:r w:rsidRPr="00F74AFE">
        <w:rPr>
          <w:rFonts w:asciiTheme="minorHAnsi" w:hAnsiTheme="minorHAnsi" w:cstheme="minorHAnsi"/>
          <w:iCs/>
        </w:rPr>
        <w:t>, 27</w:t>
      </w:r>
      <w:r w:rsidRPr="00F74AFE">
        <w:rPr>
          <w:rFonts w:asciiTheme="minorHAnsi" w:hAnsiTheme="minorHAnsi" w:cstheme="minorHAnsi"/>
        </w:rPr>
        <w:t>(3), 425-478.</w:t>
      </w:r>
    </w:p>
  </w:endnote>
  <w:endnote w:id="60">
    <w:p w:rsidR="002B3E5E" w:rsidRPr="00F74AFE" w:rsidRDefault="002B3E5E" w:rsidP="00607886">
      <w:pPr>
        <w:rPr>
          <w:rFonts w:asciiTheme="minorHAnsi" w:hAnsiTheme="minorHAnsi" w:cstheme="minorHAnsi"/>
          <w:sz w:val="20"/>
          <w:szCs w:val="20"/>
        </w:rPr>
      </w:pPr>
      <w:r w:rsidRPr="00F74AFE">
        <w:rPr>
          <w:rStyle w:val="EndnoteReference"/>
          <w:rFonts w:asciiTheme="minorHAnsi" w:eastAsiaTheme="majorEastAsia" w:hAnsiTheme="minorHAnsi" w:cstheme="minorHAnsi"/>
          <w:sz w:val="20"/>
          <w:szCs w:val="20"/>
        </w:rPr>
        <w:endnoteRef/>
      </w:r>
      <w:r w:rsidRPr="00F74AFE">
        <w:rPr>
          <w:rFonts w:asciiTheme="minorHAnsi" w:hAnsiTheme="minorHAnsi" w:cstheme="minorHAnsi"/>
          <w:sz w:val="20"/>
          <w:szCs w:val="20"/>
        </w:rPr>
        <w:t xml:space="preserve"> Avineri, E. and Goodwin, P. (Eds.), (2010).</w:t>
      </w:r>
      <w:r w:rsidRPr="00F74AFE">
        <w:rPr>
          <w:rFonts w:asciiTheme="minorHAnsi" w:hAnsiTheme="minorHAnsi" w:cstheme="minorHAnsi"/>
          <w:i/>
          <w:iCs/>
          <w:sz w:val="20"/>
          <w:szCs w:val="20"/>
        </w:rPr>
        <w:t xml:space="preserve"> Individual Behaviour Change: Evidence in Transport and Public Health</w:t>
      </w:r>
      <w:r w:rsidRPr="00F74AFE">
        <w:rPr>
          <w:rFonts w:asciiTheme="minorHAnsi" w:hAnsiTheme="minorHAnsi" w:cstheme="minorHAnsi"/>
          <w:sz w:val="20"/>
          <w:szCs w:val="20"/>
        </w:rPr>
        <w:t>. The Department for Transport, London.</w:t>
      </w:r>
    </w:p>
  </w:endnote>
  <w:endnote w:id="61">
    <w:p w:rsidR="002B3E5E" w:rsidRPr="00F74AFE" w:rsidRDefault="002B3E5E" w:rsidP="00607886">
      <w:pPr>
        <w:rPr>
          <w:rFonts w:asciiTheme="minorHAnsi" w:hAnsiTheme="minorHAnsi" w:cstheme="minorHAnsi"/>
          <w:sz w:val="20"/>
          <w:szCs w:val="20"/>
        </w:rPr>
      </w:pPr>
      <w:r w:rsidRPr="00F74AFE">
        <w:rPr>
          <w:rStyle w:val="EndnoteReference"/>
          <w:rFonts w:asciiTheme="minorHAnsi" w:eastAsiaTheme="majorEastAsia" w:hAnsiTheme="minorHAnsi" w:cstheme="minorHAnsi"/>
          <w:sz w:val="20"/>
          <w:szCs w:val="20"/>
        </w:rPr>
        <w:endnoteRef/>
      </w:r>
      <w:r w:rsidRPr="00F74AFE">
        <w:rPr>
          <w:rFonts w:asciiTheme="minorHAnsi" w:hAnsiTheme="minorHAnsi" w:cstheme="minorHAnsi"/>
          <w:sz w:val="20"/>
          <w:szCs w:val="20"/>
        </w:rPr>
        <w:t xml:space="preserve"> </w:t>
      </w:r>
      <w:r w:rsidRPr="00F74AFE">
        <w:rPr>
          <w:rFonts w:asciiTheme="minorHAnsi" w:hAnsiTheme="minorHAnsi" w:cstheme="minorHAnsi"/>
          <w:i/>
          <w:sz w:val="20"/>
          <w:szCs w:val="20"/>
        </w:rPr>
        <w:t>Kahneman, D.  and Tversky</w:t>
      </w:r>
      <w:r w:rsidRPr="00F74AFE">
        <w:rPr>
          <w:rFonts w:asciiTheme="minorHAnsi" w:hAnsiTheme="minorHAnsi" w:cstheme="minorHAnsi"/>
          <w:sz w:val="20"/>
          <w:szCs w:val="20"/>
        </w:rPr>
        <w:t xml:space="preserve">, A. (1979). Prospect Theory: An analysis of decision under risk. </w:t>
      </w:r>
      <w:r w:rsidRPr="00F74AFE">
        <w:rPr>
          <w:rFonts w:asciiTheme="minorHAnsi" w:hAnsiTheme="minorHAnsi" w:cstheme="minorHAnsi"/>
          <w:i/>
          <w:iCs/>
          <w:sz w:val="20"/>
          <w:szCs w:val="20"/>
        </w:rPr>
        <w:t>Econometrica</w:t>
      </w:r>
      <w:r w:rsidRPr="00F74AFE">
        <w:rPr>
          <w:rFonts w:asciiTheme="minorHAnsi" w:hAnsiTheme="minorHAnsi" w:cstheme="minorHAnsi"/>
          <w:iCs/>
          <w:sz w:val="20"/>
          <w:szCs w:val="20"/>
        </w:rPr>
        <w:t>,</w:t>
      </w:r>
      <w:r w:rsidRPr="00F74AFE">
        <w:rPr>
          <w:rFonts w:asciiTheme="minorHAnsi" w:hAnsiTheme="minorHAnsi" w:cstheme="minorHAnsi"/>
          <w:sz w:val="20"/>
          <w:szCs w:val="20"/>
        </w:rPr>
        <w:t xml:space="preserve"> 47(2), 263-291.</w:t>
      </w:r>
    </w:p>
  </w:endnote>
  <w:endnote w:id="62">
    <w:p w:rsidR="002B3E5E" w:rsidRPr="00F74AFE" w:rsidRDefault="002B3E5E" w:rsidP="00607886">
      <w:pPr>
        <w:rPr>
          <w:rFonts w:asciiTheme="minorHAnsi" w:hAnsiTheme="minorHAnsi" w:cstheme="minorHAnsi"/>
          <w:sz w:val="20"/>
          <w:szCs w:val="20"/>
        </w:rPr>
      </w:pPr>
      <w:r w:rsidRPr="00F74AFE">
        <w:rPr>
          <w:rStyle w:val="EndnoteReference"/>
          <w:rFonts w:asciiTheme="minorHAnsi" w:eastAsiaTheme="majorEastAsia" w:hAnsiTheme="minorHAnsi" w:cstheme="minorHAnsi"/>
          <w:sz w:val="20"/>
          <w:szCs w:val="20"/>
        </w:rPr>
        <w:endnoteRef/>
      </w:r>
      <w:r w:rsidRPr="00F74AFE">
        <w:rPr>
          <w:rFonts w:asciiTheme="minorHAnsi" w:hAnsiTheme="minorHAnsi" w:cstheme="minorHAnsi"/>
          <w:sz w:val="20"/>
          <w:szCs w:val="20"/>
        </w:rPr>
        <w:t xml:space="preserve"> Avineri, E. and Prashker, J.N. (2003). Sensitivity to Uncertainty: The need for a paradigm shift. </w:t>
      </w:r>
      <w:r w:rsidRPr="00F74AFE">
        <w:rPr>
          <w:rFonts w:asciiTheme="minorHAnsi" w:hAnsiTheme="minorHAnsi" w:cstheme="minorHAnsi"/>
          <w:i/>
          <w:iCs/>
          <w:sz w:val="20"/>
          <w:szCs w:val="20"/>
        </w:rPr>
        <w:t>Transportation Reseach Record</w:t>
      </w:r>
      <w:r w:rsidRPr="00F74AFE">
        <w:rPr>
          <w:rFonts w:asciiTheme="minorHAnsi" w:hAnsiTheme="minorHAnsi" w:cstheme="minorHAnsi"/>
          <w:iCs/>
          <w:sz w:val="20"/>
          <w:szCs w:val="20"/>
        </w:rPr>
        <w:t>,</w:t>
      </w:r>
      <w:r w:rsidRPr="00F74AFE">
        <w:rPr>
          <w:rFonts w:asciiTheme="minorHAnsi" w:hAnsiTheme="minorHAnsi" w:cstheme="minorHAnsi"/>
          <w:sz w:val="20"/>
          <w:szCs w:val="20"/>
        </w:rPr>
        <w:t xml:space="preserve"> 1854, 90-98.</w:t>
      </w:r>
    </w:p>
  </w:endnote>
  <w:endnote w:id="63">
    <w:p w:rsidR="002B3E5E" w:rsidRPr="00F74AFE" w:rsidRDefault="002B3E5E" w:rsidP="00607886">
      <w:pPr>
        <w:rPr>
          <w:rFonts w:asciiTheme="minorHAnsi" w:hAnsiTheme="minorHAnsi" w:cstheme="minorHAnsi"/>
          <w:sz w:val="20"/>
          <w:szCs w:val="20"/>
        </w:rPr>
      </w:pPr>
      <w:r w:rsidRPr="00F74AFE">
        <w:rPr>
          <w:rStyle w:val="EndnoteReference"/>
          <w:rFonts w:asciiTheme="minorHAnsi" w:eastAsiaTheme="majorEastAsia" w:hAnsiTheme="minorHAnsi" w:cstheme="minorHAnsi"/>
          <w:sz w:val="20"/>
          <w:szCs w:val="20"/>
        </w:rPr>
        <w:endnoteRef/>
      </w:r>
      <w:r w:rsidRPr="00F74AFE">
        <w:rPr>
          <w:rFonts w:asciiTheme="minorHAnsi" w:hAnsiTheme="minorHAnsi" w:cstheme="minorHAnsi"/>
          <w:sz w:val="20"/>
          <w:szCs w:val="20"/>
        </w:rPr>
        <w:t xml:space="preserve"> Ariely, D.  (2008). </w:t>
      </w:r>
      <w:r w:rsidRPr="00F74AFE">
        <w:rPr>
          <w:rFonts w:asciiTheme="minorHAnsi" w:hAnsiTheme="minorHAnsi" w:cstheme="minorHAnsi"/>
          <w:i/>
          <w:iCs/>
          <w:sz w:val="20"/>
          <w:szCs w:val="20"/>
        </w:rPr>
        <w:t>Predictably Irrational: The Hidden Forces that Shape our Decisions</w:t>
      </w:r>
      <w:r w:rsidRPr="00F74AFE">
        <w:rPr>
          <w:rFonts w:asciiTheme="minorHAnsi" w:hAnsiTheme="minorHAnsi" w:cstheme="minorHAnsi"/>
          <w:sz w:val="20"/>
          <w:szCs w:val="20"/>
        </w:rPr>
        <w:t>. New York: Harper-Collins.</w:t>
      </w:r>
    </w:p>
  </w:endnote>
  <w:endnote w:id="64">
    <w:p w:rsidR="002B3E5E" w:rsidRPr="00F74AFE" w:rsidRDefault="002B3E5E" w:rsidP="00607886">
      <w:pPr>
        <w:rPr>
          <w:rFonts w:asciiTheme="minorHAnsi" w:hAnsiTheme="minorHAnsi" w:cstheme="minorHAnsi"/>
          <w:sz w:val="20"/>
          <w:szCs w:val="20"/>
        </w:rPr>
      </w:pPr>
      <w:r w:rsidRPr="00F74AFE">
        <w:rPr>
          <w:rStyle w:val="EndnoteReference"/>
          <w:rFonts w:asciiTheme="minorHAnsi" w:eastAsiaTheme="majorEastAsia" w:hAnsiTheme="minorHAnsi" w:cstheme="minorHAnsi"/>
          <w:sz w:val="20"/>
          <w:szCs w:val="20"/>
        </w:rPr>
        <w:endnoteRef/>
      </w:r>
      <w:r w:rsidRPr="00F74AFE">
        <w:rPr>
          <w:rFonts w:asciiTheme="minorHAnsi" w:hAnsiTheme="minorHAnsi" w:cstheme="minorHAnsi"/>
          <w:sz w:val="20"/>
          <w:szCs w:val="20"/>
        </w:rPr>
        <w:t xml:space="preserve"> Thaler, R. And Sunstein, C.R. (2008). </w:t>
      </w:r>
      <w:r w:rsidRPr="00F74AFE">
        <w:rPr>
          <w:rFonts w:asciiTheme="minorHAnsi" w:hAnsiTheme="minorHAnsi" w:cstheme="minorHAnsi"/>
          <w:i/>
          <w:iCs/>
          <w:sz w:val="20"/>
          <w:szCs w:val="20"/>
        </w:rPr>
        <w:t>Nudge: Improving Decisions about Health, Wealth and Happiness</w:t>
      </w:r>
      <w:r w:rsidRPr="00F74AFE">
        <w:rPr>
          <w:rFonts w:asciiTheme="minorHAnsi" w:hAnsiTheme="minorHAnsi" w:cstheme="minorHAnsi"/>
          <w:sz w:val="20"/>
          <w:szCs w:val="20"/>
        </w:rPr>
        <w:t>. New Haven, CT: Yale University Press.</w:t>
      </w:r>
    </w:p>
  </w:endnote>
  <w:endnote w:id="65">
    <w:p w:rsidR="002B3E5E" w:rsidRPr="00F74AFE" w:rsidRDefault="002B3E5E" w:rsidP="00607886">
      <w:pPr>
        <w:rPr>
          <w:rFonts w:asciiTheme="minorHAnsi" w:hAnsiTheme="minorHAnsi" w:cstheme="minorHAnsi"/>
          <w:sz w:val="20"/>
          <w:szCs w:val="20"/>
        </w:rPr>
      </w:pPr>
      <w:r w:rsidRPr="00F74AFE">
        <w:rPr>
          <w:rStyle w:val="EndnoteReference"/>
          <w:rFonts w:asciiTheme="minorHAnsi" w:eastAsiaTheme="majorEastAsia" w:hAnsiTheme="minorHAnsi" w:cstheme="minorHAnsi"/>
          <w:sz w:val="20"/>
          <w:szCs w:val="20"/>
        </w:rPr>
        <w:endnoteRef/>
      </w:r>
      <w:r w:rsidRPr="00F74AFE">
        <w:rPr>
          <w:rFonts w:asciiTheme="minorHAnsi" w:hAnsiTheme="minorHAnsi" w:cstheme="minorHAnsi"/>
          <w:sz w:val="20"/>
          <w:szCs w:val="20"/>
        </w:rPr>
        <w:t xml:space="preserve"> Marteau, T.M., Aschcroft, R.E., and Oliver, A. (2009). Using financial incentives to achieve healthy behaviour. </w:t>
      </w:r>
      <w:r w:rsidRPr="00F74AFE">
        <w:rPr>
          <w:rFonts w:asciiTheme="minorHAnsi" w:hAnsiTheme="minorHAnsi" w:cstheme="minorHAnsi"/>
          <w:i/>
          <w:iCs/>
          <w:sz w:val="20"/>
          <w:szCs w:val="20"/>
        </w:rPr>
        <w:t>British Medical Journal</w:t>
      </w:r>
      <w:r w:rsidRPr="00F74AFE">
        <w:rPr>
          <w:rFonts w:asciiTheme="minorHAnsi" w:hAnsiTheme="minorHAnsi" w:cstheme="minorHAnsi"/>
          <w:iCs/>
          <w:sz w:val="20"/>
          <w:szCs w:val="20"/>
        </w:rPr>
        <w:t>,</w:t>
      </w:r>
      <w:r w:rsidRPr="00F74AFE">
        <w:rPr>
          <w:rFonts w:asciiTheme="minorHAnsi" w:hAnsiTheme="minorHAnsi" w:cstheme="minorHAnsi"/>
          <w:sz w:val="20"/>
          <w:szCs w:val="20"/>
        </w:rPr>
        <w:t xml:space="preserve"> 338, 1415.</w:t>
      </w:r>
    </w:p>
  </w:endnote>
  <w:endnote w:id="66">
    <w:p w:rsidR="002B3E5E" w:rsidRPr="00F74AFE" w:rsidRDefault="002B3E5E" w:rsidP="00607886">
      <w:pPr>
        <w:rPr>
          <w:rFonts w:asciiTheme="minorHAnsi" w:hAnsiTheme="minorHAnsi" w:cstheme="minorHAnsi"/>
          <w:sz w:val="20"/>
          <w:szCs w:val="20"/>
        </w:rPr>
      </w:pPr>
      <w:r w:rsidRPr="00F74AFE">
        <w:rPr>
          <w:rStyle w:val="EndnoteReference"/>
          <w:rFonts w:asciiTheme="minorHAnsi" w:eastAsiaTheme="majorEastAsia" w:hAnsiTheme="minorHAnsi" w:cstheme="minorHAnsi"/>
          <w:sz w:val="20"/>
          <w:szCs w:val="20"/>
        </w:rPr>
        <w:endnoteRef/>
      </w:r>
      <w:r w:rsidRPr="00F74AFE">
        <w:rPr>
          <w:rFonts w:asciiTheme="minorHAnsi" w:hAnsiTheme="minorHAnsi" w:cstheme="minorHAnsi"/>
          <w:sz w:val="20"/>
          <w:szCs w:val="20"/>
        </w:rPr>
        <w:t xml:space="preserve"> Heymen, J. and Ariely, D. (2004). Effort for payment: A tale of two markets. </w:t>
      </w:r>
      <w:r w:rsidRPr="00F74AFE">
        <w:rPr>
          <w:rFonts w:asciiTheme="minorHAnsi" w:hAnsiTheme="minorHAnsi" w:cstheme="minorHAnsi"/>
          <w:i/>
          <w:iCs/>
          <w:sz w:val="20"/>
          <w:szCs w:val="20"/>
        </w:rPr>
        <w:t>Psychological Science</w:t>
      </w:r>
      <w:r w:rsidRPr="00F74AFE">
        <w:rPr>
          <w:rFonts w:asciiTheme="minorHAnsi" w:hAnsiTheme="minorHAnsi" w:cstheme="minorHAnsi"/>
          <w:iCs/>
          <w:sz w:val="20"/>
          <w:szCs w:val="20"/>
        </w:rPr>
        <w:t>,</w:t>
      </w:r>
      <w:r w:rsidRPr="00F74AFE">
        <w:rPr>
          <w:rFonts w:asciiTheme="minorHAnsi" w:hAnsiTheme="minorHAnsi" w:cstheme="minorHAnsi"/>
          <w:sz w:val="20"/>
          <w:szCs w:val="20"/>
        </w:rPr>
        <w:t xml:space="preserve"> 15(11), 787-793.</w:t>
      </w:r>
    </w:p>
  </w:endnote>
  <w:endnote w:id="67">
    <w:p w:rsidR="002B3E5E" w:rsidRPr="00F74AFE" w:rsidRDefault="002B3E5E" w:rsidP="00607886">
      <w:pPr>
        <w:rPr>
          <w:rFonts w:asciiTheme="minorHAnsi" w:hAnsiTheme="minorHAnsi" w:cstheme="minorHAnsi"/>
          <w:sz w:val="20"/>
          <w:szCs w:val="20"/>
        </w:rPr>
      </w:pPr>
      <w:r w:rsidRPr="00F74AFE">
        <w:rPr>
          <w:rStyle w:val="EndnoteReference"/>
          <w:rFonts w:asciiTheme="minorHAnsi" w:eastAsiaTheme="majorEastAsia" w:hAnsiTheme="minorHAnsi" w:cstheme="minorHAnsi"/>
          <w:sz w:val="20"/>
          <w:szCs w:val="20"/>
        </w:rPr>
        <w:endnoteRef/>
      </w:r>
      <w:r w:rsidRPr="00F74AFE">
        <w:rPr>
          <w:rFonts w:asciiTheme="minorHAnsi" w:hAnsiTheme="minorHAnsi" w:cstheme="minorHAnsi"/>
          <w:sz w:val="20"/>
          <w:szCs w:val="20"/>
        </w:rPr>
        <w:t xml:space="preserve"> Frey, B. (1997). A constitution of knaves crowds out civic virtues. </w:t>
      </w:r>
      <w:r w:rsidRPr="00F74AFE">
        <w:rPr>
          <w:rFonts w:asciiTheme="minorHAnsi" w:hAnsiTheme="minorHAnsi" w:cstheme="minorHAnsi"/>
          <w:i/>
          <w:iCs/>
          <w:sz w:val="20"/>
          <w:szCs w:val="20"/>
        </w:rPr>
        <w:t>Economic Journal</w:t>
      </w:r>
      <w:r w:rsidRPr="00F74AFE">
        <w:rPr>
          <w:rFonts w:asciiTheme="minorHAnsi" w:hAnsiTheme="minorHAnsi" w:cstheme="minorHAnsi"/>
          <w:iCs/>
          <w:sz w:val="20"/>
          <w:szCs w:val="20"/>
        </w:rPr>
        <w:t>,</w:t>
      </w:r>
      <w:r w:rsidRPr="00F74AFE">
        <w:rPr>
          <w:rFonts w:asciiTheme="minorHAnsi" w:hAnsiTheme="minorHAnsi" w:cstheme="minorHAnsi"/>
          <w:sz w:val="20"/>
          <w:szCs w:val="20"/>
        </w:rPr>
        <w:t xml:space="preserve"> 107, 1043-1053.</w:t>
      </w:r>
    </w:p>
  </w:endnote>
  <w:endnote w:id="68">
    <w:p w:rsidR="002B3E5E" w:rsidRPr="00F74AFE" w:rsidRDefault="002B3E5E" w:rsidP="00607886">
      <w:pPr>
        <w:rPr>
          <w:rFonts w:asciiTheme="minorHAnsi" w:hAnsiTheme="minorHAnsi" w:cstheme="minorHAnsi"/>
          <w:sz w:val="20"/>
          <w:szCs w:val="20"/>
        </w:rPr>
      </w:pPr>
      <w:r w:rsidRPr="00F74AFE">
        <w:rPr>
          <w:rStyle w:val="EndnoteReference"/>
          <w:rFonts w:asciiTheme="minorHAnsi" w:eastAsiaTheme="majorEastAsia" w:hAnsiTheme="minorHAnsi" w:cstheme="minorHAnsi"/>
          <w:sz w:val="20"/>
          <w:szCs w:val="20"/>
        </w:rPr>
        <w:endnoteRef/>
      </w:r>
      <w:r w:rsidRPr="00F74AFE">
        <w:rPr>
          <w:rFonts w:asciiTheme="minorHAnsi" w:hAnsiTheme="minorHAnsi" w:cstheme="minorHAnsi"/>
          <w:sz w:val="20"/>
          <w:szCs w:val="20"/>
        </w:rPr>
        <w:t xml:space="preserve"> Ariely, D.  (2008). </w:t>
      </w:r>
      <w:r w:rsidRPr="00F74AFE">
        <w:rPr>
          <w:rFonts w:asciiTheme="minorHAnsi" w:hAnsiTheme="minorHAnsi" w:cstheme="minorHAnsi"/>
          <w:i/>
          <w:iCs/>
          <w:sz w:val="20"/>
          <w:szCs w:val="20"/>
        </w:rPr>
        <w:t>Predictably Irrational: The Hidden Forces that Shape our Decisions</w:t>
      </w:r>
      <w:r w:rsidRPr="00F74AFE">
        <w:rPr>
          <w:rFonts w:asciiTheme="minorHAnsi" w:hAnsiTheme="minorHAnsi" w:cstheme="minorHAnsi"/>
          <w:sz w:val="20"/>
          <w:szCs w:val="20"/>
        </w:rPr>
        <w:t>. New York: Harper-Collins.</w:t>
      </w:r>
    </w:p>
  </w:endnote>
  <w:endnote w:id="69">
    <w:p w:rsidR="002B3E5E" w:rsidRPr="00F74AFE" w:rsidRDefault="002B3E5E" w:rsidP="00607886">
      <w:pPr>
        <w:rPr>
          <w:rFonts w:asciiTheme="minorHAnsi" w:hAnsiTheme="minorHAnsi" w:cstheme="minorHAnsi"/>
          <w:sz w:val="20"/>
          <w:szCs w:val="20"/>
        </w:rPr>
      </w:pPr>
      <w:r w:rsidRPr="00F74AFE">
        <w:rPr>
          <w:rStyle w:val="EndnoteReference"/>
          <w:rFonts w:asciiTheme="minorHAnsi" w:eastAsiaTheme="majorEastAsia" w:hAnsiTheme="minorHAnsi" w:cstheme="minorHAnsi"/>
          <w:sz w:val="20"/>
          <w:szCs w:val="20"/>
        </w:rPr>
        <w:endnoteRef/>
      </w:r>
      <w:r w:rsidRPr="00F74AFE">
        <w:rPr>
          <w:rFonts w:asciiTheme="minorHAnsi" w:hAnsiTheme="minorHAnsi" w:cstheme="minorHAnsi"/>
          <w:sz w:val="20"/>
          <w:szCs w:val="20"/>
        </w:rPr>
        <w:t xml:space="preserve"> Thaler, R. And Sunstein, C.R. (2008). </w:t>
      </w:r>
      <w:r w:rsidRPr="00F74AFE">
        <w:rPr>
          <w:rFonts w:asciiTheme="minorHAnsi" w:hAnsiTheme="minorHAnsi" w:cstheme="minorHAnsi"/>
          <w:i/>
          <w:iCs/>
          <w:sz w:val="20"/>
          <w:szCs w:val="20"/>
        </w:rPr>
        <w:t>Nudge: Improving Decisions about Health, Wealth and Happiness</w:t>
      </w:r>
      <w:r w:rsidRPr="00F74AFE">
        <w:rPr>
          <w:rFonts w:asciiTheme="minorHAnsi" w:hAnsiTheme="minorHAnsi" w:cstheme="minorHAnsi"/>
          <w:sz w:val="20"/>
          <w:szCs w:val="20"/>
        </w:rPr>
        <w:t>. New Haven, CT: Yale University Press.</w:t>
      </w:r>
    </w:p>
  </w:endnote>
  <w:endnote w:id="70">
    <w:p w:rsidR="002B3E5E" w:rsidRPr="00F74AFE" w:rsidRDefault="002B3E5E" w:rsidP="00607886">
      <w:pPr>
        <w:rPr>
          <w:rFonts w:asciiTheme="minorHAnsi" w:hAnsiTheme="minorHAnsi" w:cstheme="minorHAnsi"/>
          <w:sz w:val="20"/>
          <w:szCs w:val="20"/>
        </w:rPr>
      </w:pPr>
      <w:r w:rsidRPr="00F74AFE">
        <w:rPr>
          <w:rStyle w:val="EndnoteReference"/>
          <w:rFonts w:asciiTheme="minorHAnsi" w:eastAsiaTheme="majorEastAsia" w:hAnsiTheme="minorHAnsi" w:cstheme="minorHAnsi"/>
          <w:sz w:val="20"/>
          <w:szCs w:val="20"/>
        </w:rPr>
        <w:endnoteRef/>
      </w:r>
      <w:r w:rsidRPr="00F74AFE">
        <w:rPr>
          <w:rFonts w:asciiTheme="minorHAnsi" w:hAnsiTheme="minorHAnsi" w:cstheme="minorHAnsi"/>
          <w:sz w:val="20"/>
          <w:szCs w:val="20"/>
        </w:rPr>
        <w:t xml:space="preserve"> Waygood, E.O.D. and Avineri, E. (2011). Does ‘500g of CO2 for a five mile trip’ mean anything? Towards more effective presentation of CO2 information. Presented  at the </w:t>
      </w:r>
      <w:r w:rsidRPr="00F74AFE">
        <w:rPr>
          <w:rFonts w:asciiTheme="minorHAnsi" w:hAnsiTheme="minorHAnsi" w:cstheme="minorHAnsi"/>
          <w:i/>
          <w:iCs/>
          <w:sz w:val="20"/>
          <w:szCs w:val="20"/>
        </w:rPr>
        <w:t>Transportation Research Board Annual Meeting</w:t>
      </w:r>
      <w:r w:rsidRPr="00F74AFE">
        <w:rPr>
          <w:rFonts w:asciiTheme="minorHAnsi" w:hAnsiTheme="minorHAnsi" w:cstheme="minorHAnsi"/>
          <w:sz w:val="20"/>
          <w:szCs w:val="20"/>
        </w:rPr>
        <w:t>. Washington DC.</w:t>
      </w:r>
    </w:p>
  </w:endnote>
  <w:endnote w:id="71">
    <w:p w:rsidR="002B3E5E" w:rsidRPr="00F74AFE" w:rsidRDefault="002B3E5E" w:rsidP="00607886">
      <w:pPr>
        <w:rPr>
          <w:rFonts w:asciiTheme="minorHAnsi" w:hAnsiTheme="minorHAnsi" w:cstheme="minorHAnsi"/>
          <w:sz w:val="20"/>
          <w:szCs w:val="20"/>
        </w:rPr>
      </w:pPr>
      <w:r w:rsidRPr="00F74AFE">
        <w:rPr>
          <w:rStyle w:val="EndnoteReference"/>
          <w:rFonts w:asciiTheme="minorHAnsi" w:eastAsiaTheme="majorEastAsia" w:hAnsiTheme="minorHAnsi" w:cstheme="minorHAnsi"/>
          <w:sz w:val="20"/>
          <w:szCs w:val="20"/>
        </w:rPr>
        <w:endnoteRef/>
      </w:r>
      <w:r w:rsidRPr="00F74AFE">
        <w:rPr>
          <w:rFonts w:asciiTheme="minorHAnsi" w:hAnsiTheme="minorHAnsi" w:cstheme="minorHAnsi"/>
          <w:sz w:val="20"/>
          <w:szCs w:val="20"/>
        </w:rPr>
        <w:t xml:space="preserve"> Avineri, E. and Goodwin, P. (Eds). (2010).</w:t>
      </w:r>
      <w:r w:rsidRPr="00F74AFE">
        <w:rPr>
          <w:rFonts w:asciiTheme="minorHAnsi" w:hAnsiTheme="minorHAnsi" w:cstheme="minorHAnsi"/>
          <w:i/>
          <w:iCs/>
          <w:sz w:val="20"/>
          <w:szCs w:val="20"/>
        </w:rPr>
        <w:t xml:space="preserve"> Individual Behaviour Change: Evidence in Transport and Public Health</w:t>
      </w:r>
      <w:r w:rsidRPr="00F74AFE">
        <w:rPr>
          <w:rFonts w:asciiTheme="minorHAnsi" w:hAnsiTheme="minorHAnsi" w:cstheme="minorHAnsi"/>
          <w:sz w:val="20"/>
          <w:szCs w:val="20"/>
        </w:rPr>
        <w:t>. London: The Department for Transport.</w:t>
      </w:r>
    </w:p>
  </w:endnote>
  <w:endnote w:id="72">
    <w:p w:rsidR="002B3E5E" w:rsidRPr="00F74AFE" w:rsidRDefault="002B3E5E" w:rsidP="0064301F">
      <w:pPr>
        <w:pStyle w:val="EndnoteText"/>
        <w:spacing w:after="0"/>
        <w:rPr>
          <w:rFonts w:asciiTheme="minorHAnsi" w:hAnsiTheme="minorHAnsi" w:cstheme="minorHAnsi"/>
        </w:rPr>
      </w:pPr>
      <w:r w:rsidRPr="00F74AFE">
        <w:rPr>
          <w:rStyle w:val="EndnoteReference"/>
          <w:rFonts w:asciiTheme="minorHAnsi" w:hAnsiTheme="minorHAnsi" w:cstheme="minorHAnsi"/>
        </w:rPr>
        <w:endnoteRef/>
      </w:r>
      <w:r w:rsidRPr="00F74AFE">
        <w:rPr>
          <w:rFonts w:asciiTheme="minorHAnsi" w:hAnsiTheme="minorHAnsi" w:cstheme="minorHAnsi"/>
        </w:rPr>
        <w:t xml:space="preserve"> Cummings, T. &amp; Worley, C. (1993). </w:t>
      </w:r>
      <w:r w:rsidRPr="00F74AFE">
        <w:rPr>
          <w:rFonts w:asciiTheme="minorHAnsi" w:hAnsiTheme="minorHAnsi" w:cstheme="minorHAnsi"/>
          <w:i/>
        </w:rPr>
        <w:t>Organization Development and Change</w:t>
      </w:r>
      <w:r w:rsidRPr="00F74AFE">
        <w:rPr>
          <w:rFonts w:asciiTheme="minorHAnsi" w:hAnsiTheme="minorHAnsi" w:cstheme="minorHAnsi"/>
        </w:rPr>
        <w:t>. 5</w:t>
      </w:r>
      <w:r w:rsidRPr="00F74AFE">
        <w:rPr>
          <w:rFonts w:asciiTheme="minorHAnsi" w:hAnsiTheme="minorHAnsi" w:cstheme="minorHAnsi"/>
          <w:vertAlign w:val="superscript"/>
        </w:rPr>
        <w:t>th</w:t>
      </w:r>
      <w:r w:rsidRPr="00F74AFE">
        <w:rPr>
          <w:rFonts w:asciiTheme="minorHAnsi" w:hAnsiTheme="minorHAnsi" w:cstheme="minorHAnsi"/>
        </w:rPr>
        <w:t xml:space="preserve"> Ed. St. Paul, MN: West Publishing.</w:t>
      </w:r>
    </w:p>
  </w:endnote>
  <w:endnote w:id="73">
    <w:p w:rsidR="002B3E5E" w:rsidRPr="00F74AFE" w:rsidRDefault="002B3E5E" w:rsidP="0064301F">
      <w:pPr>
        <w:pStyle w:val="EndnoteText"/>
        <w:spacing w:after="0"/>
        <w:rPr>
          <w:rFonts w:asciiTheme="minorHAnsi" w:hAnsiTheme="minorHAnsi" w:cstheme="minorHAnsi"/>
        </w:rPr>
      </w:pPr>
      <w:r w:rsidRPr="00F74AFE">
        <w:rPr>
          <w:rStyle w:val="EndnoteReference"/>
          <w:rFonts w:asciiTheme="minorHAnsi" w:hAnsiTheme="minorHAnsi" w:cstheme="minorHAnsi"/>
        </w:rPr>
        <w:endnoteRef/>
      </w:r>
      <w:r w:rsidRPr="00F74AFE">
        <w:rPr>
          <w:rFonts w:asciiTheme="minorHAnsi" w:hAnsiTheme="minorHAnsi" w:cstheme="minorHAnsi"/>
        </w:rPr>
        <w:t xml:space="preserve"> Robbins, S. (1986). </w:t>
      </w:r>
      <w:r w:rsidRPr="00F74AFE">
        <w:rPr>
          <w:rFonts w:asciiTheme="minorHAnsi" w:hAnsiTheme="minorHAnsi" w:cstheme="minorHAnsi"/>
          <w:i/>
        </w:rPr>
        <w:t>Organizational Behaviour</w:t>
      </w:r>
      <w:r w:rsidRPr="00F74AFE">
        <w:rPr>
          <w:rFonts w:asciiTheme="minorHAnsi" w:hAnsiTheme="minorHAnsi" w:cstheme="minorHAnsi"/>
        </w:rPr>
        <w:t>. London: Prentice Hall.</w:t>
      </w:r>
    </w:p>
  </w:endnote>
  <w:endnote w:id="74">
    <w:p w:rsidR="002B3E5E" w:rsidRPr="00F74AFE" w:rsidRDefault="002B3E5E" w:rsidP="0064301F">
      <w:pPr>
        <w:pStyle w:val="EndnoteText"/>
        <w:spacing w:after="0"/>
        <w:rPr>
          <w:rFonts w:asciiTheme="minorHAnsi" w:hAnsiTheme="minorHAnsi" w:cstheme="minorHAnsi"/>
        </w:rPr>
      </w:pPr>
      <w:r w:rsidRPr="00F74AFE">
        <w:rPr>
          <w:rStyle w:val="EndnoteReference"/>
          <w:rFonts w:asciiTheme="minorHAnsi" w:hAnsiTheme="minorHAnsi" w:cstheme="minorHAnsi"/>
        </w:rPr>
        <w:endnoteRef/>
      </w:r>
      <w:r w:rsidRPr="00F74AFE">
        <w:rPr>
          <w:rFonts w:asciiTheme="minorHAnsi" w:hAnsiTheme="minorHAnsi" w:cstheme="minorHAnsi"/>
        </w:rPr>
        <w:t xml:space="preserve"> Stacey, R. (1996). </w:t>
      </w:r>
      <w:r w:rsidRPr="00F74AFE">
        <w:rPr>
          <w:rFonts w:asciiTheme="minorHAnsi" w:hAnsiTheme="minorHAnsi" w:cstheme="minorHAnsi"/>
          <w:i/>
          <w:iCs/>
        </w:rPr>
        <w:t xml:space="preserve">Strategic Management and Organizational </w:t>
      </w:r>
      <w:r w:rsidRPr="00F74AFE">
        <w:rPr>
          <w:rFonts w:asciiTheme="minorHAnsi" w:hAnsiTheme="minorHAnsi" w:cstheme="minorHAnsi"/>
        </w:rPr>
        <w:t>Dynamics. 2</w:t>
      </w:r>
      <w:r w:rsidRPr="00F74AFE">
        <w:rPr>
          <w:rFonts w:asciiTheme="minorHAnsi" w:hAnsiTheme="minorHAnsi" w:cstheme="minorHAnsi"/>
          <w:vertAlign w:val="superscript"/>
        </w:rPr>
        <w:t>nd</w:t>
      </w:r>
      <w:r w:rsidRPr="00F74AFE">
        <w:rPr>
          <w:rFonts w:asciiTheme="minorHAnsi" w:hAnsiTheme="minorHAnsi" w:cstheme="minorHAnsi"/>
        </w:rPr>
        <w:t xml:space="preserve"> Ed. London: Pitman. </w:t>
      </w:r>
    </w:p>
  </w:endnote>
  <w:endnote w:id="75">
    <w:p w:rsidR="002B3E5E" w:rsidRPr="00F74AFE" w:rsidRDefault="002B3E5E" w:rsidP="0064301F">
      <w:pPr>
        <w:pStyle w:val="EndnoteText"/>
        <w:spacing w:after="0"/>
        <w:rPr>
          <w:rFonts w:asciiTheme="minorHAnsi" w:hAnsiTheme="minorHAnsi" w:cstheme="minorHAnsi"/>
        </w:rPr>
      </w:pPr>
      <w:r w:rsidRPr="00F74AFE">
        <w:rPr>
          <w:rStyle w:val="EndnoteReference"/>
          <w:rFonts w:asciiTheme="minorHAnsi" w:hAnsiTheme="minorHAnsi" w:cstheme="minorHAnsi"/>
        </w:rPr>
        <w:endnoteRef/>
      </w:r>
      <w:r w:rsidRPr="00F74AFE">
        <w:rPr>
          <w:rFonts w:asciiTheme="minorHAnsi" w:hAnsiTheme="minorHAnsi" w:cstheme="minorHAnsi"/>
        </w:rPr>
        <w:t xml:space="preserve"> Mohammadi, N. K. (2010). </w:t>
      </w:r>
      <w:r w:rsidRPr="00F74AFE">
        <w:rPr>
          <w:rFonts w:asciiTheme="minorHAnsi" w:hAnsiTheme="minorHAnsi" w:cstheme="minorHAnsi"/>
          <w:i/>
        </w:rPr>
        <w:t>Complexity Science, Schools and Heath: Application for Management of Change in Schools to Promote Health and Education</w:t>
      </w:r>
      <w:r w:rsidRPr="00F74AFE">
        <w:rPr>
          <w:rFonts w:asciiTheme="minorHAnsi" w:hAnsiTheme="minorHAnsi" w:cstheme="minorHAnsi"/>
        </w:rPr>
        <w:t>. London: Lambert Academic Publishing.</w:t>
      </w:r>
    </w:p>
  </w:endnote>
  <w:endnote w:id="76">
    <w:p w:rsidR="002B3E5E" w:rsidRPr="00F74AFE" w:rsidRDefault="002B3E5E" w:rsidP="008F7614">
      <w:pPr>
        <w:pStyle w:val="EndnoteText"/>
        <w:spacing w:after="0"/>
        <w:rPr>
          <w:rFonts w:asciiTheme="minorHAnsi" w:hAnsiTheme="minorHAnsi" w:cstheme="minorHAnsi"/>
        </w:rPr>
      </w:pPr>
      <w:r w:rsidRPr="00F74AFE">
        <w:rPr>
          <w:rStyle w:val="EndnoteReference"/>
          <w:rFonts w:asciiTheme="minorHAnsi" w:hAnsiTheme="minorHAnsi" w:cstheme="minorHAnsi"/>
        </w:rPr>
        <w:endnoteRef/>
      </w:r>
      <w:r w:rsidRPr="00F74AFE">
        <w:rPr>
          <w:rFonts w:asciiTheme="minorHAnsi" w:hAnsiTheme="minorHAnsi" w:cstheme="minorHAnsi"/>
        </w:rPr>
        <w:t xml:space="preserve"> Letiche, H. (2010) </w:t>
      </w:r>
      <w:r w:rsidRPr="00F74AFE">
        <w:rPr>
          <w:rFonts w:asciiTheme="minorHAnsi" w:hAnsiTheme="minorHAnsi" w:cstheme="minorHAnsi"/>
          <w:i/>
        </w:rPr>
        <w:t>Making Healthcare Care</w:t>
      </w:r>
      <w:r w:rsidRPr="00F74AFE">
        <w:rPr>
          <w:rFonts w:asciiTheme="minorHAnsi" w:hAnsiTheme="minorHAnsi" w:cstheme="minorHAnsi"/>
        </w:rPr>
        <w:t xml:space="preserve">. Charlotte, NC: Information Age Publishing. </w:t>
      </w:r>
    </w:p>
  </w:endnote>
  <w:endnote w:id="77">
    <w:p w:rsidR="002B3E5E" w:rsidRPr="00F74AFE" w:rsidRDefault="002B3E5E" w:rsidP="008F7614">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Hargreaves, A. and Fink, D. (2006). </w:t>
      </w:r>
      <w:r w:rsidRPr="00F74AFE">
        <w:rPr>
          <w:rFonts w:asciiTheme="minorHAnsi" w:hAnsiTheme="minorHAnsi" w:cstheme="minorHAnsi"/>
          <w:i/>
          <w:sz w:val="20"/>
          <w:szCs w:val="20"/>
        </w:rPr>
        <w:t>Sustainable Leadership</w:t>
      </w:r>
      <w:r w:rsidRPr="00F74AFE">
        <w:rPr>
          <w:rFonts w:asciiTheme="minorHAnsi" w:hAnsiTheme="minorHAnsi" w:cstheme="minorHAnsi"/>
          <w:sz w:val="20"/>
          <w:szCs w:val="20"/>
        </w:rPr>
        <w:t xml:space="preserve">. San Francisco: Jossey Bass; Bolden, R. (2007) ‘Distributed Leadership’. In A. Marturano &amp; J. Gosling (eds) </w:t>
      </w:r>
      <w:r w:rsidRPr="00F74AFE">
        <w:rPr>
          <w:rFonts w:asciiTheme="minorHAnsi" w:hAnsiTheme="minorHAnsi" w:cstheme="minorHAnsi"/>
          <w:i/>
          <w:sz w:val="20"/>
          <w:szCs w:val="20"/>
        </w:rPr>
        <w:t>Leadership, The Key Concepts</w:t>
      </w:r>
      <w:r w:rsidRPr="00F74AFE">
        <w:rPr>
          <w:rFonts w:asciiTheme="minorHAnsi" w:hAnsiTheme="minorHAnsi" w:cstheme="minorHAnsi"/>
          <w:sz w:val="20"/>
          <w:szCs w:val="20"/>
        </w:rPr>
        <w:t>. Abingdon: Routledge.</w:t>
      </w:r>
    </w:p>
  </w:endnote>
  <w:endnote w:id="78">
    <w:p w:rsidR="002B3E5E" w:rsidRPr="00F74AFE" w:rsidRDefault="002B3E5E" w:rsidP="008F7614">
      <w:pPr>
        <w:autoSpaceDE w:val="0"/>
        <w:autoSpaceDN w:val="0"/>
        <w:adjustRightInd w:val="0"/>
        <w:rPr>
          <w:rFonts w:asciiTheme="minorHAnsi" w:hAnsiTheme="minorHAnsi" w:cstheme="minorHAnsi"/>
          <w:sz w:val="20"/>
          <w:szCs w:val="20"/>
        </w:rPr>
      </w:pPr>
      <w:r w:rsidRPr="00F74AFE">
        <w:rPr>
          <w:rStyle w:val="EndnoteReference"/>
          <w:rFonts w:asciiTheme="minorHAnsi" w:eastAsia="Cambria" w:hAnsiTheme="minorHAnsi" w:cstheme="minorHAnsi"/>
          <w:sz w:val="20"/>
          <w:szCs w:val="20"/>
          <w:lang w:eastAsia="en-US"/>
        </w:rPr>
        <w:endnoteRef/>
      </w:r>
      <w:r w:rsidRPr="00F74AFE">
        <w:rPr>
          <w:rFonts w:asciiTheme="minorHAnsi" w:hAnsiTheme="minorHAnsi" w:cstheme="minorHAnsi"/>
          <w:sz w:val="20"/>
          <w:szCs w:val="20"/>
        </w:rPr>
        <w:t xml:space="preserve"> Buchanan, D. &amp; Boddy D. (1992). </w:t>
      </w:r>
      <w:r w:rsidRPr="00F74AFE">
        <w:rPr>
          <w:rFonts w:asciiTheme="minorHAnsi" w:hAnsiTheme="minorHAnsi" w:cstheme="minorHAnsi"/>
          <w:i/>
          <w:sz w:val="20"/>
          <w:szCs w:val="20"/>
        </w:rPr>
        <w:t>The Expertise of the Change Agent</w:t>
      </w:r>
      <w:r w:rsidRPr="00F74AFE">
        <w:rPr>
          <w:rFonts w:asciiTheme="minorHAnsi" w:hAnsiTheme="minorHAnsi" w:cstheme="minorHAnsi"/>
          <w:sz w:val="20"/>
          <w:szCs w:val="20"/>
        </w:rPr>
        <w:t>, London: Prentice-Hall.</w:t>
      </w:r>
    </w:p>
  </w:endnote>
  <w:endnote w:id="79">
    <w:p w:rsidR="002B3E5E" w:rsidRPr="00F74AFE" w:rsidRDefault="002B3E5E" w:rsidP="008F7614">
      <w:pPr>
        <w:pStyle w:val="EndnoteText"/>
        <w:spacing w:after="0"/>
        <w:rPr>
          <w:rFonts w:asciiTheme="minorHAnsi" w:hAnsiTheme="minorHAnsi" w:cstheme="minorHAnsi"/>
        </w:rPr>
      </w:pPr>
      <w:r w:rsidRPr="00F74AFE">
        <w:rPr>
          <w:rStyle w:val="EndnoteReference"/>
          <w:rFonts w:asciiTheme="minorHAnsi" w:eastAsia="Times New Roman" w:hAnsiTheme="minorHAnsi" w:cstheme="minorHAnsi"/>
          <w:lang w:eastAsia="en-GB"/>
        </w:rPr>
        <w:endnoteRef/>
      </w:r>
      <w:r w:rsidRPr="00F74AFE">
        <w:rPr>
          <w:rStyle w:val="EndnoteReference"/>
          <w:rFonts w:asciiTheme="minorHAnsi" w:eastAsia="Times New Roman" w:hAnsiTheme="minorHAnsi" w:cstheme="minorHAnsi"/>
          <w:lang w:eastAsia="en-GB"/>
        </w:rPr>
        <w:t xml:space="preserve"> </w:t>
      </w:r>
      <w:r w:rsidRPr="00F74AFE">
        <w:rPr>
          <w:rFonts w:asciiTheme="minorHAnsi" w:hAnsiTheme="minorHAnsi" w:cstheme="minorHAnsi"/>
        </w:rPr>
        <w:t xml:space="preserve">Freeman, R. E. (1984). </w:t>
      </w:r>
      <w:r w:rsidRPr="00F74AFE">
        <w:rPr>
          <w:rFonts w:asciiTheme="minorHAnsi" w:hAnsiTheme="minorHAnsi" w:cstheme="minorHAnsi"/>
          <w:i/>
          <w:iCs/>
        </w:rPr>
        <w:t>Strategic Management: A Stakeholder Approach</w:t>
      </w:r>
      <w:r w:rsidRPr="00F74AFE">
        <w:rPr>
          <w:rFonts w:asciiTheme="minorHAnsi" w:hAnsiTheme="minorHAnsi" w:cstheme="minorHAnsi"/>
        </w:rPr>
        <w:t>. London: Pitman.</w:t>
      </w:r>
    </w:p>
  </w:endnote>
  <w:endnote w:id="80">
    <w:p w:rsidR="002B3E5E" w:rsidRPr="00F74AFE" w:rsidRDefault="002B3E5E" w:rsidP="0019067B">
      <w:pPr>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National Social Marketing Centre. (2006). </w:t>
      </w:r>
      <w:r w:rsidRPr="00F74AFE">
        <w:rPr>
          <w:rFonts w:asciiTheme="minorHAnsi" w:hAnsiTheme="minorHAnsi" w:cstheme="minorHAnsi"/>
          <w:i/>
          <w:iCs/>
          <w:sz w:val="20"/>
          <w:szCs w:val="20"/>
        </w:rPr>
        <w:t>It's Our Health!  Realising the Potential of Effective Social Marketing</w:t>
      </w:r>
      <w:r w:rsidRPr="00F74AFE">
        <w:rPr>
          <w:rFonts w:asciiTheme="minorHAnsi" w:hAnsiTheme="minorHAnsi" w:cstheme="minorHAnsi"/>
          <w:sz w:val="20"/>
          <w:szCs w:val="20"/>
        </w:rPr>
        <w:t>. London: National Social Marketing Centre.</w:t>
      </w:r>
    </w:p>
  </w:endnote>
  <w:endnote w:id="81">
    <w:p w:rsidR="002B3E5E" w:rsidRPr="00F74AFE" w:rsidRDefault="002B3E5E" w:rsidP="008F7614">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Andreasen, A. R. (2002). Commercial Marketing and Social Change. </w:t>
      </w:r>
      <w:r w:rsidRPr="00F74AFE">
        <w:rPr>
          <w:rFonts w:asciiTheme="minorHAnsi" w:hAnsiTheme="minorHAnsi" w:cstheme="minorHAnsi"/>
          <w:i/>
          <w:iCs/>
          <w:sz w:val="20"/>
          <w:szCs w:val="20"/>
        </w:rPr>
        <w:t>Social Marketing Quarterly</w:t>
      </w:r>
      <w:r w:rsidRPr="00F74AFE">
        <w:rPr>
          <w:rFonts w:asciiTheme="minorHAnsi" w:hAnsiTheme="minorHAnsi" w:cstheme="minorHAnsi"/>
          <w:iCs/>
          <w:sz w:val="20"/>
          <w:szCs w:val="20"/>
        </w:rPr>
        <w:t>, 8</w:t>
      </w:r>
      <w:r w:rsidRPr="00F74AFE">
        <w:rPr>
          <w:rFonts w:asciiTheme="minorHAnsi" w:hAnsiTheme="minorHAnsi" w:cstheme="minorHAnsi"/>
          <w:sz w:val="20"/>
          <w:szCs w:val="20"/>
        </w:rPr>
        <w:t>(2), 41-45.</w:t>
      </w:r>
    </w:p>
  </w:endnote>
  <w:endnote w:id="82">
    <w:p w:rsidR="002B3E5E" w:rsidRPr="00F74AFE" w:rsidRDefault="002B3E5E" w:rsidP="008F7614">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Department of Health. (2004). </w:t>
      </w:r>
      <w:r w:rsidRPr="00F74AFE">
        <w:rPr>
          <w:rFonts w:asciiTheme="minorHAnsi" w:hAnsiTheme="minorHAnsi" w:cstheme="minorHAnsi"/>
          <w:i/>
          <w:iCs/>
          <w:sz w:val="20"/>
          <w:szCs w:val="20"/>
        </w:rPr>
        <w:t>Choosing Health: Making Healthy Choices Easier</w:t>
      </w:r>
      <w:r w:rsidRPr="00F74AFE">
        <w:rPr>
          <w:rFonts w:asciiTheme="minorHAnsi" w:hAnsiTheme="minorHAnsi" w:cstheme="minorHAnsi"/>
          <w:sz w:val="20"/>
          <w:szCs w:val="20"/>
        </w:rPr>
        <w:t xml:space="preserve"> (White Paper). London: Department of Health. </w:t>
      </w:r>
    </w:p>
  </w:endnote>
  <w:endnote w:id="83">
    <w:p w:rsidR="002B3E5E" w:rsidRPr="00F74AFE" w:rsidRDefault="002B3E5E" w:rsidP="008F7614">
      <w:pPr>
        <w:pStyle w:val="EndnoteText"/>
        <w:spacing w:after="0"/>
        <w:rPr>
          <w:rFonts w:asciiTheme="minorHAnsi" w:hAnsiTheme="minorHAnsi" w:cstheme="minorHAnsi"/>
        </w:rPr>
      </w:pPr>
      <w:r w:rsidRPr="00F74AFE">
        <w:rPr>
          <w:rStyle w:val="EndnoteReference"/>
          <w:rFonts w:asciiTheme="minorHAnsi" w:hAnsiTheme="minorHAnsi" w:cstheme="minorHAnsi"/>
        </w:rPr>
        <w:endnoteRef/>
      </w:r>
      <w:r w:rsidRPr="00F74AFE">
        <w:rPr>
          <w:rFonts w:asciiTheme="minorHAnsi" w:hAnsiTheme="minorHAnsi" w:cstheme="minorHAnsi"/>
        </w:rPr>
        <w:t xml:space="preserve"> Greenhalgh, T., Robert, G., Macfarlane, F., Bate, P., &amp; Kyriakidou, O. (2004). Diffusion of Innovations in Service Organizations: Systematic Review and Recommendations. </w:t>
      </w:r>
      <w:r w:rsidRPr="00F74AFE">
        <w:rPr>
          <w:rFonts w:asciiTheme="minorHAnsi" w:hAnsiTheme="minorHAnsi" w:cstheme="minorHAnsi"/>
          <w:i/>
        </w:rPr>
        <w:t>Milbank Quarterly</w:t>
      </w:r>
      <w:r w:rsidRPr="00F74AFE">
        <w:rPr>
          <w:rFonts w:asciiTheme="minorHAnsi" w:hAnsiTheme="minorHAnsi" w:cstheme="minorHAnsi"/>
        </w:rPr>
        <w:t>, 82(4), 581-629.</w:t>
      </w:r>
    </w:p>
  </w:endnote>
  <w:endnote w:id="84">
    <w:p w:rsidR="002B3E5E" w:rsidRPr="00F74AFE" w:rsidRDefault="002B3E5E" w:rsidP="008F7614">
      <w:pPr>
        <w:pStyle w:val="EndnoteText"/>
        <w:spacing w:after="0"/>
        <w:rPr>
          <w:rFonts w:asciiTheme="minorHAnsi" w:hAnsiTheme="minorHAnsi" w:cstheme="minorHAnsi"/>
        </w:rPr>
      </w:pPr>
      <w:r w:rsidRPr="00F74AFE">
        <w:rPr>
          <w:rStyle w:val="EndnoteReference"/>
          <w:rFonts w:asciiTheme="minorHAnsi" w:hAnsiTheme="minorHAnsi" w:cstheme="minorHAnsi"/>
        </w:rPr>
        <w:endnoteRef/>
      </w:r>
      <w:r w:rsidRPr="00F74AFE">
        <w:rPr>
          <w:rFonts w:asciiTheme="minorHAnsi" w:hAnsiTheme="minorHAnsi" w:cstheme="minorHAnsi"/>
        </w:rPr>
        <w:t xml:space="preserve"> Cairns, G. &amp; Stead, M. (2009).  Nutrition Communication:  Obesity and social marketing:  works in progress.   </w:t>
      </w:r>
      <w:r w:rsidRPr="00F74AFE">
        <w:rPr>
          <w:rFonts w:asciiTheme="minorHAnsi" w:hAnsiTheme="minorHAnsi" w:cstheme="minorHAnsi"/>
          <w:i/>
        </w:rPr>
        <w:t>Proceedings of the Nutrition Society</w:t>
      </w:r>
      <w:r w:rsidRPr="00F74AFE">
        <w:rPr>
          <w:rFonts w:asciiTheme="minorHAnsi" w:hAnsiTheme="minorHAnsi" w:cstheme="minorHAnsi"/>
        </w:rPr>
        <w:t>, 68, 11-16.</w:t>
      </w:r>
    </w:p>
  </w:endnote>
  <w:endnote w:id="85">
    <w:p w:rsidR="002B3E5E" w:rsidRPr="00F74AFE" w:rsidRDefault="002B3E5E" w:rsidP="00CF58B1">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Luck, J., Hagigi, F., Parker, L., Yano, E., Rubenstein, L., &amp; Kirchner, J. (2009). A social marketing approach to implementing evidence-based practice in VHA QUERI: the TIDES depression collaborative care model. </w:t>
      </w:r>
      <w:r w:rsidRPr="00F74AFE">
        <w:rPr>
          <w:rFonts w:asciiTheme="minorHAnsi" w:hAnsiTheme="minorHAnsi" w:cstheme="minorHAnsi"/>
          <w:i/>
          <w:iCs/>
          <w:sz w:val="20"/>
          <w:szCs w:val="20"/>
        </w:rPr>
        <w:t>Implementation Science</w:t>
      </w:r>
      <w:r w:rsidRPr="00F74AFE">
        <w:rPr>
          <w:rFonts w:asciiTheme="minorHAnsi" w:hAnsiTheme="minorHAnsi" w:cstheme="minorHAnsi"/>
          <w:iCs/>
          <w:sz w:val="20"/>
          <w:szCs w:val="20"/>
        </w:rPr>
        <w:t>, 4</w:t>
      </w:r>
      <w:r w:rsidRPr="00F74AFE">
        <w:rPr>
          <w:rFonts w:asciiTheme="minorHAnsi" w:hAnsiTheme="minorHAnsi" w:cstheme="minorHAnsi"/>
          <w:sz w:val="20"/>
          <w:szCs w:val="20"/>
        </w:rPr>
        <w:t>(1), 64-64.</w:t>
      </w:r>
    </w:p>
  </w:endnote>
  <w:endnote w:id="86">
    <w:p w:rsidR="002B3E5E" w:rsidRPr="00F74AFE" w:rsidRDefault="002B3E5E" w:rsidP="00CF58B1">
      <w:pPr>
        <w:pStyle w:val="EndnoteText"/>
        <w:spacing w:after="0"/>
        <w:rPr>
          <w:rFonts w:asciiTheme="minorHAnsi" w:hAnsiTheme="minorHAnsi" w:cstheme="minorHAnsi"/>
        </w:rPr>
      </w:pPr>
      <w:r w:rsidRPr="00F74AFE">
        <w:rPr>
          <w:rStyle w:val="EndnoteReference"/>
          <w:rFonts w:asciiTheme="minorHAnsi" w:hAnsiTheme="minorHAnsi" w:cstheme="minorHAnsi"/>
        </w:rPr>
        <w:endnoteRef/>
      </w:r>
      <w:r w:rsidRPr="00F74AFE">
        <w:rPr>
          <w:rFonts w:asciiTheme="minorHAnsi" w:hAnsiTheme="minorHAnsi" w:cstheme="minorHAnsi"/>
        </w:rPr>
        <w:t xml:space="preserve"> Andreasen, A.R. (1995).  </w:t>
      </w:r>
      <w:r w:rsidRPr="00F74AFE">
        <w:rPr>
          <w:rFonts w:asciiTheme="minorHAnsi" w:hAnsiTheme="minorHAnsi" w:cstheme="minorHAnsi"/>
          <w:i/>
        </w:rPr>
        <w:t>Marketing Social Change:  Changing Behavior to Promote Health, Social Development and the Environment</w:t>
      </w:r>
      <w:r w:rsidRPr="00F74AFE">
        <w:rPr>
          <w:rFonts w:asciiTheme="minorHAnsi" w:hAnsiTheme="minorHAnsi" w:cstheme="minorHAnsi"/>
        </w:rPr>
        <w:t>.  San Francisco:  Jossey-Bass.</w:t>
      </w:r>
    </w:p>
  </w:endnote>
  <w:endnote w:id="87">
    <w:p w:rsidR="002B3E5E" w:rsidRPr="00F74AFE" w:rsidRDefault="002B3E5E" w:rsidP="00CF58B1">
      <w:pPr>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Stainton Rogers, W. (2003). </w:t>
      </w:r>
      <w:r w:rsidRPr="00F74AFE">
        <w:rPr>
          <w:rFonts w:asciiTheme="minorHAnsi" w:hAnsiTheme="minorHAnsi" w:cstheme="minorHAnsi"/>
          <w:i/>
          <w:sz w:val="20"/>
          <w:szCs w:val="20"/>
        </w:rPr>
        <w:t>Social Psychology. Experimental and Critical Approaches</w:t>
      </w:r>
      <w:r w:rsidRPr="00F74AFE">
        <w:rPr>
          <w:rFonts w:asciiTheme="minorHAnsi" w:hAnsiTheme="minorHAnsi" w:cstheme="minorHAnsi"/>
          <w:sz w:val="20"/>
          <w:szCs w:val="20"/>
        </w:rPr>
        <w:t>. Maidenhead: Open University Press.</w:t>
      </w:r>
    </w:p>
  </w:endnote>
  <w:endnote w:id="88">
    <w:p w:rsidR="002B3E5E" w:rsidRPr="00F74AFE" w:rsidRDefault="002B3E5E" w:rsidP="00CF58B1">
      <w:pPr>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Baron, R.A.,  Branscombe, N.R., &amp; Byrne, D. (2003). </w:t>
      </w:r>
      <w:r w:rsidRPr="00F74AFE">
        <w:rPr>
          <w:rFonts w:asciiTheme="minorHAnsi" w:hAnsiTheme="minorHAnsi" w:cstheme="minorHAnsi"/>
          <w:i/>
          <w:sz w:val="20"/>
          <w:szCs w:val="20"/>
        </w:rPr>
        <w:t>Social Psychology</w:t>
      </w:r>
      <w:r w:rsidRPr="00F74AFE">
        <w:rPr>
          <w:rFonts w:asciiTheme="minorHAnsi" w:hAnsiTheme="minorHAnsi" w:cstheme="minorHAnsi"/>
          <w:sz w:val="20"/>
          <w:szCs w:val="20"/>
        </w:rPr>
        <w:t>. London: Pearson.</w:t>
      </w:r>
    </w:p>
  </w:endnote>
  <w:endnote w:id="89">
    <w:p w:rsidR="002B3E5E" w:rsidRPr="00F74AFE" w:rsidRDefault="002B3E5E" w:rsidP="00CF58B1">
      <w:pPr>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Buunk, A. &amp; Van Vugt, M. (2008). </w:t>
      </w:r>
      <w:r w:rsidRPr="00F74AFE">
        <w:rPr>
          <w:rFonts w:asciiTheme="minorHAnsi" w:hAnsiTheme="minorHAnsi" w:cstheme="minorHAnsi"/>
          <w:i/>
          <w:sz w:val="20"/>
          <w:szCs w:val="20"/>
        </w:rPr>
        <w:t>Applying Social Psychology. From Problems to Solutions</w:t>
      </w:r>
      <w:r w:rsidRPr="00F74AFE">
        <w:rPr>
          <w:rFonts w:asciiTheme="minorHAnsi" w:hAnsiTheme="minorHAnsi" w:cstheme="minorHAnsi"/>
          <w:sz w:val="20"/>
          <w:szCs w:val="20"/>
        </w:rPr>
        <w:t xml:space="preserve">. London: Sage.  </w:t>
      </w:r>
    </w:p>
  </w:endnote>
  <w:endnote w:id="90">
    <w:p w:rsidR="002B3E5E" w:rsidRPr="00F74AFE" w:rsidRDefault="002B3E5E" w:rsidP="008F2954">
      <w:pPr>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Gergen &amp; Gergen and Sarbin in Burr, V. (1995). </w:t>
      </w:r>
      <w:r w:rsidRPr="00F74AFE">
        <w:rPr>
          <w:rFonts w:asciiTheme="minorHAnsi" w:hAnsiTheme="minorHAnsi" w:cstheme="minorHAnsi"/>
          <w:i/>
          <w:sz w:val="20"/>
          <w:szCs w:val="20"/>
        </w:rPr>
        <w:t>An Introduction to Social Constructionism</w:t>
      </w:r>
      <w:r w:rsidRPr="00F74AFE">
        <w:rPr>
          <w:rFonts w:asciiTheme="minorHAnsi" w:hAnsiTheme="minorHAnsi" w:cstheme="minorHAnsi"/>
          <w:sz w:val="20"/>
          <w:szCs w:val="20"/>
        </w:rPr>
        <w:t xml:space="preserve">. London: Routledge. </w:t>
      </w:r>
    </w:p>
  </w:endnote>
  <w:endnote w:id="91">
    <w:p w:rsidR="002B3E5E" w:rsidRPr="00F74AFE" w:rsidRDefault="002B3E5E" w:rsidP="00F01573">
      <w:pPr>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bCs/>
          <w:sz w:val="20"/>
          <w:szCs w:val="20"/>
        </w:rPr>
        <w:t>Kelly, M.P</w:t>
      </w:r>
      <w:r w:rsidRPr="00F74AFE">
        <w:rPr>
          <w:rFonts w:asciiTheme="minorHAnsi" w:hAnsiTheme="minorHAnsi" w:cstheme="minorHAnsi"/>
          <w:sz w:val="20"/>
          <w:szCs w:val="20"/>
        </w:rPr>
        <w:t>.</w:t>
      </w:r>
      <w:r w:rsidRPr="00F74AFE">
        <w:rPr>
          <w:rFonts w:asciiTheme="minorHAnsi" w:hAnsiTheme="minorHAnsi" w:cstheme="minorHAnsi"/>
          <w:bCs/>
          <w:sz w:val="20"/>
          <w:szCs w:val="20"/>
        </w:rPr>
        <w:t>, Stewart, E</w:t>
      </w:r>
      <w:r w:rsidRPr="00F74AFE">
        <w:rPr>
          <w:rFonts w:asciiTheme="minorHAnsi" w:hAnsiTheme="minorHAnsi" w:cstheme="minorHAnsi"/>
          <w:sz w:val="20"/>
          <w:szCs w:val="20"/>
        </w:rPr>
        <w:t>.</w:t>
      </w:r>
      <w:r w:rsidRPr="00F74AFE">
        <w:rPr>
          <w:rFonts w:asciiTheme="minorHAnsi" w:hAnsiTheme="minorHAnsi" w:cstheme="minorHAnsi"/>
          <w:bCs/>
          <w:sz w:val="20"/>
          <w:szCs w:val="20"/>
        </w:rPr>
        <w:t>, Morgan, A</w:t>
      </w:r>
      <w:r w:rsidRPr="00F74AFE">
        <w:rPr>
          <w:rFonts w:asciiTheme="minorHAnsi" w:hAnsiTheme="minorHAnsi" w:cstheme="minorHAnsi"/>
          <w:sz w:val="20"/>
          <w:szCs w:val="20"/>
        </w:rPr>
        <w:t>.</w:t>
      </w:r>
      <w:r w:rsidRPr="00F74AFE">
        <w:rPr>
          <w:rFonts w:asciiTheme="minorHAnsi" w:hAnsiTheme="minorHAnsi" w:cstheme="minorHAnsi"/>
          <w:bCs/>
          <w:sz w:val="20"/>
          <w:szCs w:val="20"/>
        </w:rPr>
        <w:t>, Killoran, A</w:t>
      </w:r>
      <w:r w:rsidRPr="00F74AFE">
        <w:rPr>
          <w:rFonts w:asciiTheme="minorHAnsi" w:hAnsiTheme="minorHAnsi" w:cstheme="minorHAnsi"/>
          <w:sz w:val="20"/>
          <w:szCs w:val="20"/>
        </w:rPr>
        <w:t>.</w:t>
      </w:r>
      <w:r w:rsidRPr="00F74AFE">
        <w:rPr>
          <w:rFonts w:asciiTheme="minorHAnsi" w:hAnsiTheme="minorHAnsi" w:cstheme="minorHAnsi"/>
          <w:bCs/>
          <w:sz w:val="20"/>
          <w:szCs w:val="20"/>
        </w:rPr>
        <w:t>, Fischer, A</w:t>
      </w:r>
      <w:r w:rsidRPr="00F74AFE">
        <w:rPr>
          <w:rFonts w:asciiTheme="minorHAnsi" w:hAnsiTheme="minorHAnsi" w:cstheme="minorHAnsi"/>
          <w:sz w:val="20"/>
          <w:szCs w:val="20"/>
        </w:rPr>
        <w:t>.</w:t>
      </w:r>
      <w:r w:rsidRPr="00F74AFE">
        <w:rPr>
          <w:rFonts w:asciiTheme="minorHAnsi" w:hAnsiTheme="minorHAnsi" w:cstheme="minorHAnsi"/>
          <w:bCs/>
          <w:sz w:val="20"/>
          <w:szCs w:val="20"/>
        </w:rPr>
        <w:t>, Threlfall, A</w:t>
      </w:r>
      <w:r w:rsidRPr="00F74AFE">
        <w:rPr>
          <w:rFonts w:asciiTheme="minorHAnsi" w:hAnsiTheme="minorHAnsi" w:cstheme="minorHAnsi"/>
          <w:sz w:val="20"/>
          <w:szCs w:val="20"/>
        </w:rPr>
        <w:t>.</w:t>
      </w:r>
      <w:r w:rsidRPr="00F74AFE">
        <w:rPr>
          <w:rFonts w:asciiTheme="minorHAnsi" w:hAnsiTheme="minorHAnsi" w:cstheme="minorHAnsi"/>
          <w:bCs/>
          <w:sz w:val="20"/>
          <w:szCs w:val="20"/>
        </w:rPr>
        <w:t xml:space="preserve"> and Bonnefoy, J</w:t>
      </w:r>
      <w:r w:rsidRPr="00F74AFE">
        <w:rPr>
          <w:rFonts w:asciiTheme="minorHAnsi" w:hAnsiTheme="minorHAnsi" w:cstheme="minorHAnsi"/>
          <w:sz w:val="20"/>
          <w:szCs w:val="20"/>
        </w:rPr>
        <w:t>. (</w:t>
      </w:r>
      <w:r w:rsidRPr="00F74AFE">
        <w:rPr>
          <w:rFonts w:asciiTheme="minorHAnsi" w:hAnsiTheme="minorHAnsi" w:cstheme="minorHAnsi"/>
          <w:bCs/>
          <w:sz w:val="20"/>
          <w:szCs w:val="20"/>
        </w:rPr>
        <w:t xml:space="preserve">2009) A </w:t>
      </w:r>
      <w:r w:rsidRPr="00F74AFE">
        <w:rPr>
          <w:rFonts w:asciiTheme="minorHAnsi" w:hAnsiTheme="minorHAnsi" w:cstheme="minorHAnsi"/>
          <w:sz w:val="20"/>
          <w:szCs w:val="20"/>
        </w:rPr>
        <w:t>conceptual framework for public health: NICE's emerging approach.</w:t>
      </w:r>
      <w:r w:rsidRPr="00F74AFE">
        <w:rPr>
          <w:rFonts w:asciiTheme="minorHAnsi" w:hAnsiTheme="minorHAnsi" w:cstheme="minorHAnsi"/>
          <w:bCs/>
          <w:sz w:val="20"/>
          <w:szCs w:val="20"/>
        </w:rPr>
        <w:t xml:space="preserve"> </w:t>
      </w:r>
      <w:r w:rsidRPr="00F74AFE">
        <w:rPr>
          <w:rFonts w:asciiTheme="minorHAnsi" w:hAnsiTheme="minorHAnsi" w:cstheme="minorHAnsi"/>
          <w:bCs/>
          <w:i/>
          <w:sz w:val="20"/>
          <w:szCs w:val="20"/>
        </w:rPr>
        <w:t>Public Health</w:t>
      </w:r>
      <w:r w:rsidRPr="00F74AFE">
        <w:rPr>
          <w:rFonts w:asciiTheme="minorHAnsi" w:hAnsiTheme="minorHAnsi" w:cstheme="minorHAnsi"/>
          <w:bCs/>
          <w:sz w:val="20"/>
          <w:szCs w:val="20"/>
        </w:rPr>
        <w:t>, 123(1): 14-20.</w:t>
      </w:r>
    </w:p>
  </w:endnote>
  <w:endnote w:id="92">
    <w:p w:rsidR="002B3E5E" w:rsidRPr="00F74AFE" w:rsidRDefault="002B3E5E" w:rsidP="0087688F">
      <w:pPr>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Michie, S., Jochelson, K., Markham, W. and Bridle, C. (2009). Low-income groups and behaviour change interventions: a review of intervention content, effectiveness and theoretical frameworks.  </w:t>
      </w:r>
      <w:r w:rsidRPr="00F74AFE">
        <w:rPr>
          <w:rFonts w:asciiTheme="minorHAnsi" w:hAnsiTheme="minorHAnsi" w:cstheme="minorHAnsi"/>
          <w:i/>
          <w:sz w:val="20"/>
          <w:szCs w:val="20"/>
        </w:rPr>
        <w:t>Journal of Epidemiology Community Health</w:t>
      </w:r>
      <w:r w:rsidRPr="00F74AFE">
        <w:rPr>
          <w:rFonts w:asciiTheme="minorHAnsi" w:hAnsiTheme="minorHAnsi" w:cstheme="minorHAnsi"/>
          <w:sz w:val="20"/>
          <w:szCs w:val="20"/>
        </w:rPr>
        <w:t>, 63: 610–622.</w:t>
      </w:r>
    </w:p>
  </w:endnote>
  <w:endnote w:id="93">
    <w:p w:rsidR="002B3E5E" w:rsidRPr="00F74AFE" w:rsidRDefault="002B3E5E" w:rsidP="00EE7AD2">
      <w:pPr>
        <w:pStyle w:val="Default"/>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Ishikawa H., Kiuchi T. (2010). Health literacy and health communication. </w:t>
      </w:r>
      <w:r w:rsidRPr="00F74AFE">
        <w:rPr>
          <w:rFonts w:asciiTheme="minorHAnsi" w:hAnsiTheme="minorHAnsi" w:cstheme="minorHAnsi"/>
          <w:i/>
          <w:sz w:val="20"/>
          <w:szCs w:val="20"/>
        </w:rPr>
        <w:t>Biopsychosoc Med</w:t>
      </w:r>
      <w:r w:rsidRPr="00F74AFE">
        <w:rPr>
          <w:rFonts w:asciiTheme="minorHAnsi" w:hAnsiTheme="minorHAnsi" w:cstheme="minorHAnsi"/>
          <w:sz w:val="20"/>
          <w:szCs w:val="20"/>
        </w:rPr>
        <w:t xml:space="preserve">, 5(4), 18. </w:t>
      </w:r>
    </w:p>
  </w:endnote>
  <w:endnote w:id="94">
    <w:p w:rsidR="002B3E5E" w:rsidRPr="00F74AFE" w:rsidRDefault="002B3E5E" w:rsidP="00EE7AD2">
      <w:pPr>
        <w:pStyle w:val="Default"/>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Osborn C.Y., Paasche-Orlow M.K., Bailey S.C., et al. (2010). The mechanisms linking health literacy to behavior and health status. </w:t>
      </w:r>
      <w:r w:rsidRPr="00F74AFE">
        <w:rPr>
          <w:rFonts w:asciiTheme="minorHAnsi" w:hAnsiTheme="minorHAnsi" w:cstheme="minorHAnsi"/>
          <w:i/>
          <w:sz w:val="20"/>
          <w:szCs w:val="20"/>
        </w:rPr>
        <w:t>Am J Health Behav</w:t>
      </w:r>
      <w:r w:rsidRPr="00F74AFE">
        <w:rPr>
          <w:rFonts w:asciiTheme="minorHAnsi" w:hAnsiTheme="minorHAnsi" w:cstheme="minorHAnsi"/>
          <w:sz w:val="20"/>
          <w:szCs w:val="20"/>
        </w:rPr>
        <w:t xml:space="preserve">, 35 (1), 118-128. </w:t>
      </w:r>
    </w:p>
  </w:endnote>
  <w:endnote w:id="95">
    <w:p w:rsidR="002B3E5E" w:rsidRPr="00F74AFE" w:rsidRDefault="002B3E5E" w:rsidP="00EE7AD2">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Eichler, K., Wieser, S., &amp; Brügger, U. (2009). The costs of limited health literacy: a systematic review. </w:t>
      </w:r>
      <w:r w:rsidRPr="00F74AFE">
        <w:rPr>
          <w:rFonts w:asciiTheme="minorHAnsi" w:hAnsiTheme="minorHAnsi" w:cstheme="minorHAnsi"/>
          <w:i/>
          <w:iCs/>
          <w:sz w:val="20"/>
          <w:szCs w:val="20"/>
        </w:rPr>
        <w:t>International Journal of Public Health</w:t>
      </w:r>
      <w:r w:rsidRPr="00F74AFE">
        <w:rPr>
          <w:rFonts w:asciiTheme="minorHAnsi" w:hAnsiTheme="minorHAnsi" w:cstheme="minorHAnsi"/>
          <w:iCs/>
          <w:sz w:val="20"/>
          <w:szCs w:val="20"/>
        </w:rPr>
        <w:t>, 54</w:t>
      </w:r>
      <w:r w:rsidRPr="00F74AFE">
        <w:rPr>
          <w:rFonts w:asciiTheme="minorHAnsi" w:hAnsiTheme="minorHAnsi" w:cstheme="minorHAnsi"/>
          <w:sz w:val="20"/>
          <w:szCs w:val="20"/>
        </w:rPr>
        <w:t>(5), 313-324.</w:t>
      </w:r>
    </w:p>
  </w:endnote>
  <w:endnote w:id="96">
    <w:p w:rsidR="002B3E5E" w:rsidRPr="00F74AFE" w:rsidRDefault="002B3E5E" w:rsidP="00EE7AD2">
      <w:pPr>
        <w:pStyle w:val="EndnoteText"/>
        <w:spacing w:after="0"/>
        <w:rPr>
          <w:rFonts w:asciiTheme="minorHAnsi" w:hAnsiTheme="minorHAnsi" w:cstheme="minorHAnsi"/>
        </w:rPr>
      </w:pPr>
      <w:r w:rsidRPr="00F74AFE">
        <w:rPr>
          <w:rStyle w:val="EndnoteReference"/>
          <w:rFonts w:asciiTheme="minorHAnsi" w:hAnsiTheme="minorHAnsi" w:cstheme="minorHAnsi"/>
        </w:rPr>
        <w:endnoteRef/>
      </w:r>
      <w:r w:rsidRPr="00F74AFE">
        <w:rPr>
          <w:rFonts w:asciiTheme="minorHAnsi" w:hAnsiTheme="minorHAnsi" w:cstheme="minorHAnsi"/>
        </w:rPr>
        <w:t xml:space="preserve"> </w:t>
      </w:r>
      <w:r>
        <w:rPr>
          <w:rFonts w:asciiTheme="minorHAnsi" w:hAnsiTheme="minorHAnsi" w:cstheme="minorHAnsi"/>
        </w:rPr>
        <w:t xml:space="preserve">Baur, </w:t>
      </w:r>
      <w:r w:rsidRPr="00F74AFE">
        <w:rPr>
          <w:rFonts w:asciiTheme="minorHAnsi" w:hAnsiTheme="minorHAnsi" w:cstheme="minorHAnsi"/>
        </w:rPr>
        <w:t xml:space="preserve">C. (2010). New directions in research on public health and health literacy. </w:t>
      </w:r>
      <w:r w:rsidRPr="00F74AFE">
        <w:rPr>
          <w:rFonts w:asciiTheme="minorHAnsi" w:hAnsiTheme="minorHAnsi" w:cstheme="minorHAnsi"/>
          <w:i/>
        </w:rPr>
        <w:t>J Health Commun</w:t>
      </w:r>
      <w:r w:rsidRPr="00F74AFE">
        <w:rPr>
          <w:rFonts w:asciiTheme="minorHAnsi" w:hAnsiTheme="minorHAnsi" w:cstheme="minorHAnsi"/>
        </w:rPr>
        <w:t xml:space="preserve">, </w:t>
      </w:r>
      <w:r>
        <w:rPr>
          <w:rFonts w:asciiTheme="minorHAnsi" w:hAnsiTheme="minorHAnsi" w:cstheme="minorHAnsi"/>
        </w:rPr>
        <w:t xml:space="preserve">15(Supp </w:t>
      </w:r>
      <w:r w:rsidRPr="00F74AFE">
        <w:rPr>
          <w:rFonts w:asciiTheme="minorHAnsi" w:hAnsiTheme="minorHAnsi" w:cstheme="minorHAnsi"/>
        </w:rPr>
        <w:t>2</w:t>
      </w:r>
      <w:r>
        <w:rPr>
          <w:rFonts w:asciiTheme="minorHAnsi" w:hAnsiTheme="minorHAnsi" w:cstheme="minorHAnsi"/>
        </w:rPr>
        <w:t>)</w:t>
      </w:r>
      <w:r w:rsidRPr="00F74AFE">
        <w:rPr>
          <w:rFonts w:asciiTheme="minorHAnsi" w:hAnsiTheme="minorHAnsi" w:cstheme="minorHAnsi"/>
        </w:rPr>
        <w:t>, 42-50.</w:t>
      </w:r>
    </w:p>
  </w:endnote>
  <w:endnote w:id="97">
    <w:p w:rsidR="002B3E5E" w:rsidRPr="00F74AFE" w:rsidRDefault="002B3E5E" w:rsidP="00EE7AD2">
      <w:pPr>
        <w:pStyle w:val="Default"/>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Parker R., Ratzan S.C. (2010). Health literacy: a second decade of distinction for Americans. </w:t>
      </w:r>
      <w:r w:rsidRPr="00F74AFE">
        <w:rPr>
          <w:rFonts w:asciiTheme="minorHAnsi" w:hAnsiTheme="minorHAnsi" w:cstheme="minorHAnsi"/>
          <w:i/>
          <w:sz w:val="20"/>
          <w:szCs w:val="20"/>
        </w:rPr>
        <w:t>J Health Commun</w:t>
      </w:r>
      <w:r w:rsidRPr="00F74AFE">
        <w:rPr>
          <w:rFonts w:asciiTheme="minorHAnsi" w:hAnsiTheme="minorHAnsi" w:cstheme="minorHAnsi"/>
          <w:sz w:val="20"/>
          <w:szCs w:val="20"/>
        </w:rPr>
        <w:t xml:space="preserve">, </w:t>
      </w:r>
      <w:r>
        <w:rPr>
          <w:rFonts w:asciiTheme="minorHAnsi" w:hAnsiTheme="minorHAnsi" w:cstheme="minorHAnsi"/>
          <w:sz w:val="20"/>
          <w:szCs w:val="20"/>
        </w:rPr>
        <w:t xml:space="preserve">15 (Supp </w:t>
      </w:r>
      <w:r w:rsidRPr="00F74AFE">
        <w:rPr>
          <w:rFonts w:asciiTheme="minorHAnsi" w:hAnsiTheme="minorHAnsi" w:cstheme="minorHAnsi"/>
          <w:sz w:val="20"/>
          <w:szCs w:val="20"/>
        </w:rPr>
        <w:t>2</w:t>
      </w:r>
      <w:r>
        <w:rPr>
          <w:rFonts w:asciiTheme="minorHAnsi" w:hAnsiTheme="minorHAnsi" w:cstheme="minorHAnsi"/>
          <w:sz w:val="20"/>
          <w:szCs w:val="20"/>
        </w:rPr>
        <w:t>)</w:t>
      </w:r>
      <w:r w:rsidRPr="00F74AFE">
        <w:rPr>
          <w:rFonts w:asciiTheme="minorHAnsi" w:hAnsiTheme="minorHAnsi" w:cstheme="minorHAnsi"/>
          <w:sz w:val="20"/>
          <w:szCs w:val="20"/>
        </w:rPr>
        <w:t xml:space="preserve">, 20-33. </w:t>
      </w:r>
    </w:p>
  </w:endnote>
  <w:endnote w:id="98">
    <w:p w:rsidR="002B3E5E" w:rsidRPr="00F74AFE" w:rsidRDefault="002B3E5E" w:rsidP="00EE7AD2">
      <w:pPr>
        <w:pStyle w:val="Default"/>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Ratzan S.C. (2010). The national health literacy action plan: the time has come for action. </w:t>
      </w:r>
      <w:r w:rsidRPr="00F74AFE">
        <w:rPr>
          <w:rFonts w:asciiTheme="minorHAnsi" w:hAnsiTheme="minorHAnsi" w:cstheme="minorHAnsi"/>
          <w:i/>
          <w:sz w:val="20"/>
          <w:szCs w:val="20"/>
        </w:rPr>
        <w:t>J Health Commun</w:t>
      </w:r>
      <w:r w:rsidRPr="00F74AFE">
        <w:rPr>
          <w:rFonts w:asciiTheme="minorHAnsi" w:hAnsiTheme="minorHAnsi" w:cstheme="minorHAnsi"/>
          <w:sz w:val="20"/>
          <w:szCs w:val="20"/>
        </w:rPr>
        <w:t>, 15(6), 575-577.</w:t>
      </w:r>
    </w:p>
  </w:endnote>
  <w:endnote w:id="99">
    <w:p w:rsidR="002B3E5E" w:rsidRPr="00F74AFE" w:rsidRDefault="002B3E5E" w:rsidP="00EE7AD2">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Kemp, G., &amp; Eagle, L. (2008). Shared meanings or missed opportunities? The implications of functional health literacy for social marketing interventions. </w:t>
      </w:r>
      <w:r w:rsidRPr="00F74AFE">
        <w:rPr>
          <w:rFonts w:asciiTheme="minorHAnsi" w:hAnsiTheme="minorHAnsi" w:cstheme="minorHAnsi"/>
          <w:i/>
          <w:iCs/>
          <w:sz w:val="20"/>
          <w:szCs w:val="20"/>
        </w:rPr>
        <w:t>International Review on Public and Nonprofit Marketing</w:t>
      </w:r>
      <w:r w:rsidRPr="00F74AFE">
        <w:rPr>
          <w:rFonts w:asciiTheme="minorHAnsi" w:hAnsiTheme="minorHAnsi" w:cstheme="minorHAnsi"/>
          <w:iCs/>
          <w:sz w:val="20"/>
          <w:szCs w:val="20"/>
        </w:rPr>
        <w:t>, 5</w:t>
      </w:r>
      <w:r w:rsidRPr="00F74AFE">
        <w:rPr>
          <w:rFonts w:asciiTheme="minorHAnsi" w:hAnsiTheme="minorHAnsi" w:cstheme="minorHAnsi"/>
          <w:sz w:val="20"/>
          <w:szCs w:val="20"/>
        </w:rPr>
        <w:t>(2), 117-128.</w:t>
      </w:r>
    </w:p>
  </w:endnote>
  <w:endnote w:id="100">
    <w:p w:rsidR="002B3E5E" w:rsidRPr="00F74AFE" w:rsidRDefault="002B3E5E" w:rsidP="00AC76D1">
      <w:pPr>
        <w:rPr>
          <w:rFonts w:asciiTheme="minorHAnsi" w:hAnsiTheme="minorHAnsi" w:cstheme="minorHAnsi"/>
          <w:sz w:val="20"/>
          <w:szCs w:val="20"/>
        </w:rPr>
      </w:pPr>
      <w:r w:rsidRPr="00F74AFE">
        <w:rPr>
          <w:rStyle w:val="EndnoteReference"/>
          <w:rFonts w:asciiTheme="minorHAnsi" w:eastAsiaTheme="majorEastAsia" w:hAnsiTheme="minorHAnsi" w:cstheme="minorHAnsi"/>
          <w:sz w:val="20"/>
          <w:szCs w:val="20"/>
        </w:rPr>
        <w:endnoteRef/>
      </w:r>
      <w:r w:rsidRPr="00F74AFE">
        <w:rPr>
          <w:rFonts w:asciiTheme="minorHAnsi" w:hAnsiTheme="minorHAnsi" w:cstheme="minorHAnsi"/>
          <w:sz w:val="20"/>
          <w:szCs w:val="20"/>
        </w:rPr>
        <w:t xml:space="preserve"> Schultz, P.W., Nolan, J.M., Cialdini, R.B., Goldstein, N.J. and Griskecius, V. (2007). The constructive, destructive and reconstructive power of social norms.</w:t>
      </w:r>
      <w:r w:rsidRPr="00F74AFE">
        <w:rPr>
          <w:rFonts w:asciiTheme="minorHAnsi" w:hAnsiTheme="minorHAnsi" w:cstheme="minorHAnsi"/>
          <w:i/>
          <w:sz w:val="20"/>
          <w:szCs w:val="20"/>
        </w:rPr>
        <w:t xml:space="preserve"> Psychological Science</w:t>
      </w:r>
      <w:r w:rsidRPr="00F74AFE">
        <w:rPr>
          <w:rFonts w:asciiTheme="minorHAnsi" w:hAnsiTheme="minorHAnsi" w:cstheme="minorHAnsi"/>
          <w:sz w:val="20"/>
          <w:szCs w:val="20"/>
        </w:rPr>
        <w:t>,</w:t>
      </w:r>
      <w:r w:rsidRPr="00F74AFE">
        <w:rPr>
          <w:rFonts w:asciiTheme="minorHAnsi" w:hAnsiTheme="minorHAnsi" w:cstheme="minorHAnsi"/>
          <w:i/>
          <w:sz w:val="20"/>
          <w:szCs w:val="20"/>
        </w:rPr>
        <w:t xml:space="preserve"> </w:t>
      </w:r>
      <w:r w:rsidRPr="00F74AFE">
        <w:rPr>
          <w:rFonts w:asciiTheme="minorHAnsi" w:hAnsiTheme="minorHAnsi" w:cstheme="minorHAnsi"/>
          <w:sz w:val="20"/>
          <w:szCs w:val="20"/>
        </w:rPr>
        <w:t>18</w:t>
      </w:r>
      <w:r>
        <w:rPr>
          <w:rFonts w:asciiTheme="minorHAnsi" w:hAnsiTheme="minorHAnsi" w:cstheme="minorHAnsi"/>
          <w:sz w:val="20"/>
          <w:szCs w:val="20"/>
        </w:rPr>
        <w:t xml:space="preserve"> (5)</w:t>
      </w:r>
      <w:r w:rsidRPr="00F74AFE">
        <w:rPr>
          <w:rFonts w:asciiTheme="minorHAnsi" w:hAnsiTheme="minorHAnsi" w:cstheme="minorHAnsi"/>
          <w:sz w:val="20"/>
          <w:szCs w:val="20"/>
        </w:rPr>
        <w:t>, 429-434.</w:t>
      </w:r>
    </w:p>
  </w:endnote>
  <w:endnote w:id="101">
    <w:p w:rsidR="002B3E5E" w:rsidRPr="00F74AFE" w:rsidRDefault="002B3E5E" w:rsidP="00AC76D1">
      <w:pPr>
        <w:rPr>
          <w:rFonts w:asciiTheme="minorHAnsi" w:hAnsiTheme="minorHAnsi" w:cstheme="minorHAnsi"/>
          <w:sz w:val="20"/>
          <w:szCs w:val="20"/>
        </w:rPr>
      </w:pPr>
      <w:r w:rsidRPr="00F74AFE">
        <w:rPr>
          <w:rStyle w:val="EndnoteReference"/>
          <w:rFonts w:asciiTheme="minorHAnsi" w:eastAsiaTheme="majorEastAsia" w:hAnsiTheme="minorHAnsi" w:cstheme="minorHAnsi"/>
          <w:sz w:val="20"/>
          <w:szCs w:val="20"/>
        </w:rPr>
        <w:endnoteRef/>
      </w:r>
      <w:r w:rsidRPr="00F74AFE">
        <w:rPr>
          <w:rFonts w:asciiTheme="minorHAnsi" w:hAnsiTheme="minorHAnsi" w:cstheme="minorHAnsi"/>
          <w:sz w:val="20"/>
          <w:szCs w:val="20"/>
        </w:rPr>
        <w:t xml:space="preserve"> DeYoung, R. (1996). Some psychological aspects of reduced consumption behavior. The role of intrinsic motivation and competence motivation.</w:t>
      </w:r>
      <w:r w:rsidRPr="00F74AFE">
        <w:rPr>
          <w:rFonts w:asciiTheme="minorHAnsi" w:hAnsiTheme="minorHAnsi" w:cstheme="minorHAnsi"/>
          <w:i/>
          <w:sz w:val="20"/>
          <w:szCs w:val="20"/>
        </w:rPr>
        <w:t xml:space="preserve"> Environment and Behavior</w:t>
      </w:r>
      <w:r w:rsidRPr="00F74AFE">
        <w:rPr>
          <w:rFonts w:asciiTheme="minorHAnsi" w:hAnsiTheme="minorHAnsi" w:cstheme="minorHAnsi"/>
          <w:sz w:val="20"/>
          <w:szCs w:val="20"/>
        </w:rPr>
        <w:t>,</w:t>
      </w:r>
      <w:r w:rsidRPr="00F74AFE">
        <w:rPr>
          <w:rFonts w:asciiTheme="minorHAnsi" w:hAnsiTheme="minorHAnsi" w:cstheme="minorHAnsi"/>
          <w:i/>
          <w:sz w:val="20"/>
          <w:szCs w:val="20"/>
        </w:rPr>
        <w:t xml:space="preserve"> </w:t>
      </w:r>
      <w:r w:rsidRPr="00F74AFE">
        <w:rPr>
          <w:rFonts w:asciiTheme="minorHAnsi" w:hAnsiTheme="minorHAnsi" w:cstheme="minorHAnsi"/>
          <w:sz w:val="20"/>
          <w:szCs w:val="20"/>
        </w:rPr>
        <w:t>28, 358-409.</w:t>
      </w:r>
    </w:p>
  </w:endnote>
  <w:endnote w:id="102">
    <w:p w:rsidR="002B3E5E" w:rsidRPr="00F74AFE" w:rsidRDefault="002B3E5E" w:rsidP="00AC76D1">
      <w:pPr>
        <w:rPr>
          <w:rFonts w:asciiTheme="minorHAnsi" w:hAnsiTheme="minorHAnsi" w:cstheme="minorHAnsi"/>
          <w:sz w:val="20"/>
          <w:szCs w:val="20"/>
        </w:rPr>
      </w:pPr>
      <w:r w:rsidRPr="00F74AFE">
        <w:rPr>
          <w:rStyle w:val="EndnoteReference"/>
          <w:rFonts w:asciiTheme="minorHAnsi" w:eastAsiaTheme="majorEastAsia" w:hAnsiTheme="minorHAnsi" w:cstheme="minorHAnsi"/>
          <w:sz w:val="20"/>
          <w:szCs w:val="20"/>
        </w:rPr>
        <w:endnoteRef/>
      </w:r>
      <w:r w:rsidRPr="00F74AFE">
        <w:rPr>
          <w:rFonts w:asciiTheme="minorHAnsi" w:hAnsiTheme="minorHAnsi" w:cstheme="minorHAnsi"/>
          <w:sz w:val="20"/>
          <w:szCs w:val="20"/>
        </w:rPr>
        <w:t xml:space="preserve"> Avineri, E. and Goodwin, P. (Eds), (2010). </w:t>
      </w:r>
      <w:r w:rsidRPr="00F74AFE">
        <w:rPr>
          <w:rFonts w:asciiTheme="minorHAnsi" w:hAnsiTheme="minorHAnsi" w:cstheme="minorHAnsi"/>
          <w:i/>
          <w:sz w:val="20"/>
          <w:szCs w:val="20"/>
        </w:rPr>
        <w:t xml:space="preserve">Individual Behaviour Change: Evidence in Transport and Public Health. </w:t>
      </w:r>
      <w:r w:rsidRPr="00F74AFE">
        <w:rPr>
          <w:rFonts w:asciiTheme="minorHAnsi" w:hAnsiTheme="minorHAnsi" w:cstheme="minorHAnsi"/>
          <w:sz w:val="20"/>
          <w:szCs w:val="20"/>
        </w:rPr>
        <w:t>The Department for Transport, London.</w:t>
      </w:r>
    </w:p>
  </w:endnote>
  <w:endnote w:id="103">
    <w:p w:rsidR="002B3E5E" w:rsidRPr="00F74AFE" w:rsidRDefault="002B3E5E" w:rsidP="00AC76D1">
      <w:pPr>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Jones, S., &amp; Rossiter, J. (2008). Young adults' perceptions of smoking actors. </w:t>
      </w:r>
      <w:r w:rsidRPr="00F74AFE">
        <w:rPr>
          <w:rFonts w:asciiTheme="minorHAnsi" w:hAnsiTheme="minorHAnsi" w:cstheme="minorHAnsi"/>
          <w:i/>
          <w:sz w:val="20"/>
          <w:szCs w:val="20"/>
        </w:rPr>
        <w:t>Health Education</w:t>
      </w:r>
      <w:r w:rsidRPr="00F74AFE">
        <w:rPr>
          <w:rFonts w:asciiTheme="minorHAnsi" w:hAnsiTheme="minorHAnsi" w:cstheme="minorHAnsi"/>
          <w:sz w:val="20"/>
          <w:szCs w:val="20"/>
        </w:rPr>
        <w:t>, 450-62.</w:t>
      </w:r>
    </w:p>
  </w:endnote>
  <w:endnote w:id="104">
    <w:p w:rsidR="002B3E5E" w:rsidRPr="00F74AFE" w:rsidRDefault="002B3E5E" w:rsidP="00AC76D1">
      <w:pPr>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Stern, S. R. (2005). Messages from Teens on the Big Screen: Smoking, Drinking, and Drug Use in Teen-Centered Films. </w:t>
      </w:r>
      <w:r w:rsidRPr="00F74AFE">
        <w:rPr>
          <w:rFonts w:asciiTheme="minorHAnsi" w:hAnsiTheme="minorHAnsi" w:cstheme="minorHAnsi"/>
          <w:i/>
          <w:sz w:val="20"/>
          <w:szCs w:val="20"/>
        </w:rPr>
        <w:t>Journal of Health Communication: International Perspectives</w:t>
      </w:r>
      <w:r w:rsidRPr="00F74AFE">
        <w:rPr>
          <w:rFonts w:asciiTheme="minorHAnsi" w:hAnsiTheme="minorHAnsi" w:cstheme="minorHAnsi"/>
          <w:sz w:val="20"/>
          <w:szCs w:val="20"/>
        </w:rPr>
        <w:t>, 10</w:t>
      </w:r>
      <w:r w:rsidRPr="00F74AFE">
        <w:rPr>
          <w:rFonts w:asciiTheme="minorHAnsi" w:hAnsiTheme="minorHAnsi" w:cstheme="minorHAnsi"/>
          <w:i/>
          <w:sz w:val="20"/>
          <w:szCs w:val="20"/>
        </w:rPr>
        <w:t xml:space="preserve"> </w:t>
      </w:r>
      <w:r w:rsidRPr="00F74AFE">
        <w:rPr>
          <w:rFonts w:asciiTheme="minorHAnsi" w:hAnsiTheme="minorHAnsi" w:cstheme="minorHAnsi"/>
          <w:sz w:val="20"/>
          <w:szCs w:val="20"/>
        </w:rPr>
        <w:t>(4), 331–346.</w:t>
      </w:r>
    </w:p>
  </w:endnote>
  <w:endnote w:id="105">
    <w:p w:rsidR="002B3E5E" w:rsidRPr="00F74AFE" w:rsidRDefault="002B3E5E" w:rsidP="00AC76D1">
      <w:pPr>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Villani, S. (2005). Impact of Media on Children and Adolescents: A 10-Year Review of the Research. </w:t>
      </w:r>
      <w:r w:rsidRPr="00F74AFE">
        <w:rPr>
          <w:rFonts w:asciiTheme="minorHAnsi" w:hAnsiTheme="minorHAnsi" w:cstheme="minorHAnsi"/>
          <w:i/>
          <w:sz w:val="20"/>
          <w:szCs w:val="20"/>
        </w:rPr>
        <w:t>Journal of American Academy of Child and Adolescent Psychiatry</w:t>
      </w:r>
      <w:r w:rsidRPr="00F74AFE">
        <w:rPr>
          <w:rFonts w:asciiTheme="minorHAnsi" w:hAnsiTheme="minorHAnsi" w:cstheme="minorHAnsi"/>
          <w:sz w:val="20"/>
          <w:szCs w:val="20"/>
        </w:rPr>
        <w:t>, 40(4), 392-401.</w:t>
      </w:r>
    </w:p>
  </w:endnote>
  <w:endnote w:id="106">
    <w:p w:rsidR="002B3E5E" w:rsidRPr="00F74AFE" w:rsidRDefault="002B3E5E" w:rsidP="00AC76D1">
      <w:pPr>
        <w:pStyle w:val="EndnoteText"/>
        <w:spacing w:after="0"/>
        <w:rPr>
          <w:rFonts w:asciiTheme="minorHAnsi" w:hAnsiTheme="minorHAnsi" w:cstheme="minorHAnsi"/>
        </w:rPr>
      </w:pPr>
      <w:r w:rsidRPr="00F74AFE">
        <w:rPr>
          <w:rStyle w:val="EndnoteReference"/>
          <w:rFonts w:asciiTheme="minorHAnsi" w:hAnsiTheme="minorHAnsi" w:cstheme="minorHAnsi"/>
        </w:rPr>
        <w:endnoteRef/>
      </w:r>
      <w:r w:rsidRPr="00F74AFE">
        <w:rPr>
          <w:rFonts w:asciiTheme="minorHAnsi" w:hAnsiTheme="minorHAnsi" w:cstheme="minorHAnsi"/>
        </w:rPr>
        <w:t xml:space="preserve"> Champion, H., &amp; Furnham, A. (1999). The effect of the media on body satisfaction in adolescent girls. </w:t>
      </w:r>
      <w:r w:rsidRPr="00F74AFE">
        <w:rPr>
          <w:rFonts w:asciiTheme="minorHAnsi" w:hAnsiTheme="minorHAnsi" w:cstheme="minorHAnsi"/>
          <w:i/>
        </w:rPr>
        <w:t>European Eating Disorders Review</w:t>
      </w:r>
      <w:r w:rsidRPr="00F74AFE">
        <w:rPr>
          <w:rFonts w:asciiTheme="minorHAnsi" w:hAnsiTheme="minorHAnsi" w:cstheme="minorHAnsi"/>
        </w:rPr>
        <w:t>, 7(3), 213-228.</w:t>
      </w:r>
    </w:p>
  </w:endnote>
  <w:endnote w:id="107">
    <w:p w:rsidR="002B3E5E" w:rsidRPr="00F74AFE" w:rsidRDefault="002B3E5E" w:rsidP="00AC76D1">
      <w:pPr>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Bessenoff, G. R. (2006). Can the media affect us? Social comparison, self-discrepancy, and the thin ideal. </w:t>
      </w:r>
      <w:r w:rsidRPr="00F74AFE">
        <w:rPr>
          <w:rFonts w:asciiTheme="minorHAnsi" w:hAnsiTheme="minorHAnsi" w:cstheme="minorHAnsi"/>
          <w:i/>
          <w:sz w:val="20"/>
          <w:szCs w:val="20"/>
        </w:rPr>
        <w:t>Psychology of Women Quarterly</w:t>
      </w:r>
      <w:r w:rsidRPr="00F74AFE">
        <w:rPr>
          <w:rFonts w:asciiTheme="minorHAnsi" w:hAnsiTheme="minorHAnsi" w:cstheme="minorHAnsi"/>
          <w:sz w:val="20"/>
          <w:szCs w:val="20"/>
        </w:rPr>
        <w:t>, 30(3), 239-251.</w:t>
      </w:r>
    </w:p>
  </w:endnote>
  <w:endnote w:id="108">
    <w:p w:rsidR="002B3E5E" w:rsidRPr="00F74AFE" w:rsidRDefault="002B3E5E" w:rsidP="00AC76D1">
      <w:pPr>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Dohnt, H., &amp; Tiggemann, M. (2006). Body Image Concerns in Young Girls: The Role of Peers and Media Prior to Adolescence. </w:t>
      </w:r>
      <w:r w:rsidRPr="00F74AFE">
        <w:rPr>
          <w:rFonts w:asciiTheme="minorHAnsi" w:hAnsiTheme="minorHAnsi" w:cstheme="minorHAnsi"/>
          <w:i/>
          <w:sz w:val="20"/>
          <w:szCs w:val="20"/>
        </w:rPr>
        <w:t>Journal of Youth and Adolescence</w:t>
      </w:r>
      <w:r w:rsidRPr="00F74AFE">
        <w:rPr>
          <w:rFonts w:asciiTheme="minorHAnsi" w:hAnsiTheme="minorHAnsi" w:cstheme="minorHAnsi"/>
          <w:sz w:val="20"/>
          <w:szCs w:val="20"/>
        </w:rPr>
        <w:t>, 35(2), 135-145.</w:t>
      </w:r>
    </w:p>
  </w:endnote>
  <w:endnote w:id="109">
    <w:p w:rsidR="002B3E5E" w:rsidRPr="00F74AFE" w:rsidRDefault="002B3E5E" w:rsidP="00AC76D1">
      <w:pPr>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Ogden, J., &amp; Sherwood, F. (2008). Reducing the impact of media images: an evaluation of the effectiveness of an airbrushing educational intervention on body dissatisfaction. </w:t>
      </w:r>
      <w:r w:rsidRPr="00F74AFE">
        <w:rPr>
          <w:rFonts w:asciiTheme="minorHAnsi" w:hAnsiTheme="minorHAnsi" w:cstheme="minorHAnsi"/>
          <w:i/>
          <w:sz w:val="20"/>
          <w:szCs w:val="20"/>
        </w:rPr>
        <w:t>Health Education</w:t>
      </w:r>
      <w:r w:rsidRPr="00F74AFE">
        <w:rPr>
          <w:rFonts w:asciiTheme="minorHAnsi" w:hAnsiTheme="minorHAnsi" w:cstheme="minorHAnsi"/>
          <w:sz w:val="20"/>
          <w:szCs w:val="20"/>
        </w:rPr>
        <w:t xml:space="preserve">, </w:t>
      </w:r>
      <w:r>
        <w:rPr>
          <w:rFonts w:asciiTheme="minorHAnsi" w:hAnsiTheme="minorHAnsi" w:cstheme="minorHAnsi"/>
          <w:sz w:val="20"/>
          <w:szCs w:val="20"/>
        </w:rPr>
        <w:t xml:space="preserve">12 (11), </w:t>
      </w:r>
      <w:r w:rsidRPr="00F74AFE">
        <w:rPr>
          <w:rFonts w:asciiTheme="minorHAnsi" w:hAnsiTheme="minorHAnsi" w:cstheme="minorHAnsi"/>
          <w:sz w:val="20"/>
          <w:szCs w:val="20"/>
        </w:rPr>
        <w:t>489-500.</w:t>
      </w:r>
    </w:p>
  </w:endnote>
  <w:endnote w:id="110">
    <w:p w:rsidR="002B3E5E" w:rsidRPr="00F74AFE" w:rsidRDefault="002B3E5E" w:rsidP="00AC76D1">
      <w:pPr>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Sarwer, D. B., Cash, T., Magee, L., Williams, E., Thompson, J. K., Roehrig, M., Tantleff-Dunn, S., Agliata, A., Wilfley, D., Amidon, A. D., Anderson, D. A., &amp; Romanofski, M. (2005). Female College Students and Cosmetic Surgery: An Investigation of Experiences, Attitudes, and Body Image. </w:t>
      </w:r>
      <w:r w:rsidRPr="00F74AFE">
        <w:rPr>
          <w:rFonts w:asciiTheme="minorHAnsi" w:hAnsiTheme="minorHAnsi" w:cstheme="minorHAnsi"/>
          <w:i/>
          <w:sz w:val="20"/>
          <w:szCs w:val="20"/>
        </w:rPr>
        <w:t>Plastic and Reconstructive Surgery</w:t>
      </w:r>
      <w:r w:rsidRPr="00F74AFE">
        <w:rPr>
          <w:rFonts w:asciiTheme="minorHAnsi" w:hAnsiTheme="minorHAnsi" w:cstheme="minorHAnsi"/>
          <w:sz w:val="20"/>
          <w:szCs w:val="20"/>
        </w:rPr>
        <w:t>, 115(3), 931-938</w:t>
      </w:r>
    </w:p>
  </w:endnote>
  <w:endnote w:id="111">
    <w:p w:rsidR="002B3E5E" w:rsidRPr="00F74AFE" w:rsidRDefault="002B3E5E" w:rsidP="00AC76D1">
      <w:pPr>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Andrist, L. C. (2003). Media Images, Body Dissatisfaction, and Disordered Eating in Adolescent Women. </w:t>
      </w:r>
      <w:r w:rsidRPr="00F74AFE">
        <w:rPr>
          <w:rFonts w:asciiTheme="minorHAnsi" w:hAnsiTheme="minorHAnsi" w:cstheme="minorHAnsi"/>
          <w:i/>
          <w:sz w:val="20"/>
          <w:szCs w:val="20"/>
        </w:rPr>
        <w:t>American Journal of Maternal Child Nursing</w:t>
      </w:r>
      <w:r w:rsidRPr="00F74AFE">
        <w:rPr>
          <w:rFonts w:asciiTheme="minorHAnsi" w:hAnsiTheme="minorHAnsi" w:cstheme="minorHAnsi"/>
          <w:sz w:val="20"/>
          <w:szCs w:val="20"/>
        </w:rPr>
        <w:t>, 28(2), 119-124</w:t>
      </w:r>
    </w:p>
  </w:endnote>
  <w:endnote w:id="112">
    <w:p w:rsidR="002B3E5E" w:rsidRPr="00F74AFE" w:rsidRDefault="002B3E5E" w:rsidP="00AC76D1">
      <w:pPr>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Fabrianesi, B., Jones, S. &amp; Reid, A.  (2008). Are Pre-adolescent Girl’s Magazines Providing Age-Appropriate Role Models?  </w:t>
      </w:r>
      <w:r w:rsidRPr="00F74AFE">
        <w:rPr>
          <w:rFonts w:asciiTheme="minorHAnsi" w:hAnsiTheme="minorHAnsi" w:cstheme="minorHAnsi"/>
          <w:i/>
          <w:sz w:val="20"/>
          <w:szCs w:val="20"/>
        </w:rPr>
        <w:t>Health Education</w:t>
      </w:r>
      <w:r w:rsidRPr="00F74AFE">
        <w:rPr>
          <w:rFonts w:asciiTheme="minorHAnsi" w:hAnsiTheme="minorHAnsi" w:cstheme="minorHAnsi"/>
          <w:sz w:val="20"/>
          <w:szCs w:val="20"/>
        </w:rPr>
        <w:t xml:space="preserve">, 108 (6), 437 – 449.  </w:t>
      </w:r>
    </w:p>
  </w:endnote>
  <w:endnote w:id="113">
    <w:p w:rsidR="002B3E5E" w:rsidRPr="00F74AFE" w:rsidRDefault="002B3E5E" w:rsidP="00AC76D1">
      <w:pPr>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Rawe, J. &amp; Scully, S. (2006).  Why Teens are Obsessed with Tanning.  </w:t>
      </w:r>
      <w:r w:rsidRPr="00F74AFE">
        <w:rPr>
          <w:rFonts w:asciiTheme="minorHAnsi" w:hAnsiTheme="minorHAnsi" w:cstheme="minorHAnsi"/>
          <w:i/>
          <w:sz w:val="20"/>
          <w:szCs w:val="20"/>
        </w:rPr>
        <w:t>Time</w:t>
      </w:r>
      <w:r w:rsidRPr="00F74AFE">
        <w:rPr>
          <w:rFonts w:asciiTheme="minorHAnsi" w:hAnsiTheme="minorHAnsi" w:cstheme="minorHAnsi"/>
          <w:sz w:val="20"/>
          <w:szCs w:val="20"/>
        </w:rPr>
        <w:t>, 168 (6), 54 – 56.</w:t>
      </w:r>
    </w:p>
  </w:endnote>
  <w:endnote w:id="114">
    <w:p w:rsidR="002B3E5E" w:rsidRPr="00F74AFE" w:rsidRDefault="002B3E5E" w:rsidP="00AC76D1">
      <w:pPr>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Hastings, G.B., &amp; Macfadyen, L. (2002). The Limitations of fear messages. </w:t>
      </w:r>
      <w:r w:rsidRPr="00F74AFE">
        <w:rPr>
          <w:rFonts w:asciiTheme="minorHAnsi" w:hAnsiTheme="minorHAnsi" w:cstheme="minorHAnsi"/>
          <w:i/>
          <w:sz w:val="20"/>
          <w:szCs w:val="20"/>
        </w:rPr>
        <w:t>Tobacco Control, 11</w:t>
      </w:r>
      <w:r w:rsidRPr="00F74AFE">
        <w:rPr>
          <w:rFonts w:asciiTheme="minorHAnsi" w:hAnsiTheme="minorHAnsi" w:cstheme="minorHAnsi"/>
          <w:sz w:val="20"/>
          <w:szCs w:val="20"/>
        </w:rPr>
        <w:t>, 73-75</w:t>
      </w:r>
    </w:p>
  </w:endnote>
  <w:endnote w:id="115">
    <w:p w:rsidR="002B3E5E" w:rsidRPr="00F74AFE" w:rsidRDefault="002B3E5E" w:rsidP="008F2954">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Berry, T. R., Spence, J. C., Plotnikoff, R. C., Bauman, A., McCargar, L., Witcher, C., et al. (2009). A mixed methods evaluation of televised health promotion advertisements targeted at older adults. </w:t>
      </w:r>
      <w:r w:rsidRPr="00F74AFE">
        <w:rPr>
          <w:rFonts w:asciiTheme="minorHAnsi" w:hAnsiTheme="minorHAnsi" w:cstheme="minorHAnsi"/>
          <w:i/>
          <w:iCs/>
          <w:sz w:val="20"/>
          <w:szCs w:val="20"/>
        </w:rPr>
        <w:t>Evaluation and Program Planning</w:t>
      </w:r>
      <w:r w:rsidRPr="00F74AFE">
        <w:rPr>
          <w:rFonts w:asciiTheme="minorHAnsi" w:hAnsiTheme="minorHAnsi" w:cstheme="minorHAnsi"/>
          <w:iCs/>
          <w:sz w:val="20"/>
          <w:szCs w:val="20"/>
        </w:rPr>
        <w:t>, 32</w:t>
      </w:r>
      <w:r w:rsidRPr="00F74AFE">
        <w:rPr>
          <w:rFonts w:asciiTheme="minorHAnsi" w:hAnsiTheme="minorHAnsi" w:cstheme="minorHAnsi"/>
          <w:sz w:val="20"/>
          <w:szCs w:val="20"/>
        </w:rPr>
        <w:t>(3), 278-288.</w:t>
      </w:r>
    </w:p>
  </w:endnote>
  <w:endnote w:id="116">
    <w:p w:rsidR="002B3E5E" w:rsidRPr="00F74AFE" w:rsidRDefault="002B3E5E" w:rsidP="008F2954">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McComas, K. A., &amp; Trumbo, C. W. (2001). Source Credibility in Environmental Health Risk Controversies: Application of Meyer's Credibility Index. </w:t>
      </w:r>
      <w:r w:rsidRPr="00F74AFE">
        <w:rPr>
          <w:rFonts w:asciiTheme="minorHAnsi" w:hAnsiTheme="minorHAnsi" w:cstheme="minorHAnsi"/>
          <w:i/>
          <w:iCs/>
          <w:sz w:val="20"/>
          <w:szCs w:val="20"/>
        </w:rPr>
        <w:t>Risk Analysis: An International Journal</w:t>
      </w:r>
      <w:r w:rsidRPr="00F74AFE">
        <w:rPr>
          <w:rFonts w:asciiTheme="minorHAnsi" w:hAnsiTheme="minorHAnsi" w:cstheme="minorHAnsi"/>
          <w:iCs/>
          <w:sz w:val="20"/>
          <w:szCs w:val="20"/>
        </w:rPr>
        <w:t>, 21</w:t>
      </w:r>
      <w:r w:rsidRPr="00F74AFE">
        <w:rPr>
          <w:rFonts w:asciiTheme="minorHAnsi" w:hAnsiTheme="minorHAnsi" w:cstheme="minorHAnsi"/>
          <w:sz w:val="20"/>
          <w:szCs w:val="20"/>
        </w:rPr>
        <w:t>(3), 467-480.</w:t>
      </w:r>
    </w:p>
  </w:endnote>
  <w:endnote w:id="117">
    <w:p w:rsidR="002B3E5E" w:rsidRPr="00F74AFE" w:rsidRDefault="002B3E5E" w:rsidP="008F2954">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Gilson, L. (2003). Trust and the development of health care as a social institution. </w:t>
      </w:r>
      <w:r w:rsidRPr="00F74AFE">
        <w:rPr>
          <w:rFonts w:asciiTheme="minorHAnsi" w:hAnsiTheme="minorHAnsi" w:cstheme="minorHAnsi"/>
          <w:i/>
          <w:iCs/>
          <w:sz w:val="20"/>
          <w:szCs w:val="20"/>
        </w:rPr>
        <w:t>Social Science &amp; Medicine</w:t>
      </w:r>
      <w:r w:rsidRPr="00F74AFE">
        <w:rPr>
          <w:rFonts w:asciiTheme="minorHAnsi" w:hAnsiTheme="minorHAnsi" w:cstheme="minorHAnsi"/>
          <w:iCs/>
          <w:sz w:val="20"/>
          <w:szCs w:val="20"/>
        </w:rPr>
        <w:t>, 56</w:t>
      </w:r>
      <w:r w:rsidRPr="00F74AFE">
        <w:rPr>
          <w:rFonts w:asciiTheme="minorHAnsi" w:hAnsiTheme="minorHAnsi" w:cstheme="minorHAnsi"/>
          <w:sz w:val="20"/>
          <w:szCs w:val="20"/>
        </w:rPr>
        <w:t>(7), 1453-1468.</w:t>
      </w:r>
    </w:p>
  </w:endnote>
  <w:endnote w:id="118">
    <w:p w:rsidR="002B3E5E" w:rsidRPr="00F74AFE" w:rsidRDefault="002B3E5E" w:rsidP="008F2954">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Siegrist, M., Cvetkovich, G. T., &amp; Gutscher, H. (2001). Shared Values, Social Trust, and the Perception of Geographic Cancer Clusters. </w:t>
      </w:r>
      <w:r w:rsidRPr="00F74AFE">
        <w:rPr>
          <w:rFonts w:asciiTheme="minorHAnsi" w:hAnsiTheme="minorHAnsi" w:cstheme="minorHAnsi"/>
          <w:i/>
          <w:iCs/>
          <w:sz w:val="20"/>
          <w:szCs w:val="20"/>
        </w:rPr>
        <w:t>Risk Analysis: An International Journal</w:t>
      </w:r>
      <w:r w:rsidRPr="00F74AFE">
        <w:rPr>
          <w:rFonts w:asciiTheme="minorHAnsi" w:hAnsiTheme="minorHAnsi" w:cstheme="minorHAnsi"/>
          <w:iCs/>
          <w:sz w:val="20"/>
          <w:szCs w:val="20"/>
        </w:rPr>
        <w:t>, 21</w:t>
      </w:r>
      <w:r w:rsidRPr="00F74AFE">
        <w:rPr>
          <w:rFonts w:asciiTheme="minorHAnsi" w:hAnsiTheme="minorHAnsi" w:cstheme="minorHAnsi"/>
          <w:sz w:val="20"/>
          <w:szCs w:val="20"/>
        </w:rPr>
        <w:t>(6), 1047-1054.</w:t>
      </w:r>
    </w:p>
  </w:endnote>
  <w:endnote w:id="119">
    <w:p w:rsidR="002B3E5E" w:rsidRPr="00F74AFE" w:rsidRDefault="002B3E5E" w:rsidP="008F2954">
      <w:pPr>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Cooper, L.Z., Larson, H.J., &amp; Katz, S.L. (2008) Protecting Public Trust in Immunization. </w:t>
      </w:r>
      <w:r w:rsidRPr="00F74AFE">
        <w:rPr>
          <w:rFonts w:asciiTheme="minorHAnsi" w:hAnsiTheme="minorHAnsi" w:cstheme="minorHAnsi"/>
          <w:i/>
          <w:sz w:val="20"/>
          <w:szCs w:val="20"/>
        </w:rPr>
        <w:t xml:space="preserve">Paediatrics. </w:t>
      </w:r>
      <w:r w:rsidRPr="00F74AFE">
        <w:rPr>
          <w:rFonts w:asciiTheme="minorHAnsi" w:hAnsiTheme="minorHAnsi" w:cstheme="minorHAnsi"/>
          <w:sz w:val="20"/>
          <w:szCs w:val="20"/>
        </w:rPr>
        <w:t>122, 149 – 153.</w:t>
      </w:r>
    </w:p>
  </w:endnote>
  <w:endnote w:id="120">
    <w:p w:rsidR="002B3E5E" w:rsidRPr="00F74AFE" w:rsidRDefault="002B3E5E" w:rsidP="008F2954">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Stroud, L. (2005). MMR-public policy in crisis: whose tragedy? </w:t>
      </w:r>
      <w:r w:rsidRPr="00F74AFE">
        <w:rPr>
          <w:rFonts w:asciiTheme="minorHAnsi" w:hAnsiTheme="minorHAnsi" w:cstheme="minorHAnsi"/>
          <w:i/>
          <w:iCs/>
          <w:sz w:val="20"/>
          <w:szCs w:val="20"/>
        </w:rPr>
        <w:t>Journal of Health Organization and Management</w:t>
      </w:r>
      <w:r w:rsidRPr="00F74AFE">
        <w:rPr>
          <w:rFonts w:asciiTheme="minorHAnsi" w:hAnsiTheme="minorHAnsi" w:cstheme="minorHAnsi"/>
          <w:iCs/>
          <w:sz w:val="20"/>
          <w:szCs w:val="20"/>
        </w:rPr>
        <w:t>, 19</w:t>
      </w:r>
      <w:r w:rsidRPr="00F74AFE">
        <w:rPr>
          <w:rFonts w:asciiTheme="minorHAnsi" w:hAnsiTheme="minorHAnsi" w:cstheme="minorHAnsi"/>
          <w:sz w:val="20"/>
          <w:szCs w:val="20"/>
        </w:rPr>
        <w:t>(3), 252-260.</w:t>
      </w:r>
    </w:p>
  </w:endnote>
  <w:endnote w:id="121">
    <w:p w:rsidR="002B3E5E" w:rsidRPr="00F74AFE" w:rsidRDefault="002B3E5E" w:rsidP="008F2954">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Eastin, M. S. (2001). Credibility Assessments of Online Health Information: The Effects of Source Expertise and Knowledge of Content. </w:t>
      </w:r>
      <w:r w:rsidRPr="00F74AFE">
        <w:rPr>
          <w:rFonts w:asciiTheme="minorHAnsi" w:hAnsiTheme="minorHAnsi" w:cstheme="minorHAnsi"/>
          <w:i/>
          <w:iCs/>
          <w:sz w:val="20"/>
          <w:szCs w:val="20"/>
        </w:rPr>
        <w:t>Journal of Computer-Mediated Communication</w:t>
      </w:r>
      <w:r w:rsidRPr="00F74AFE">
        <w:rPr>
          <w:rFonts w:asciiTheme="minorHAnsi" w:hAnsiTheme="minorHAnsi" w:cstheme="minorHAnsi"/>
          <w:iCs/>
          <w:sz w:val="20"/>
          <w:szCs w:val="20"/>
        </w:rPr>
        <w:t>, 6</w:t>
      </w:r>
      <w:r w:rsidRPr="00F74AFE">
        <w:rPr>
          <w:rFonts w:asciiTheme="minorHAnsi" w:hAnsiTheme="minorHAnsi" w:cstheme="minorHAnsi"/>
          <w:sz w:val="20"/>
          <w:szCs w:val="20"/>
        </w:rPr>
        <w:t>(4), 1-10.</w:t>
      </w:r>
    </w:p>
  </w:endnote>
  <w:endnote w:id="122">
    <w:p w:rsidR="002B3E5E" w:rsidRPr="00F74AFE" w:rsidRDefault="002B3E5E" w:rsidP="008F2954">
      <w:pPr>
        <w:pStyle w:val="EndnoteText"/>
        <w:spacing w:after="0"/>
        <w:rPr>
          <w:rFonts w:asciiTheme="minorHAnsi" w:hAnsiTheme="minorHAnsi" w:cstheme="minorHAnsi"/>
        </w:rPr>
      </w:pPr>
      <w:r w:rsidRPr="00F74AFE">
        <w:rPr>
          <w:rStyle w:val="EndnoteReference"/>
          <w:rFonts w:asciiTheme="minorHAnsi" w:hAnsiTheme="minorHAnsi" w:cstheme="minorHAnsi"/>
        </w:rPr>
        <w:endnoteRef/>
      </w:r>
      <w:r w:rsidRPr="00F74AFE">
        <w:rPr>
          <w:rFonts w:asciiTheme="minorHAnsi" w:hAnsiTheme="minorHAnsi" w:cstheme="minorHAnsi"/>
        </w:rPr>
        <w:t xml:space="preserve"> </w:t>
      </w:r>
      <w:r w:rsidRPr="00F74AFE">
        <w:rPr>
          <w:rFonts w:asciiTheme="minorHAnsi" w:hAnsiTheme="minorHAnsi" w:cstheme="minorHAnsi"/>
          <w:lang w:val="en-NZ"/>
        </w:rPr>
        <w:t>Lankes, R.D.  (2008</w:t>
      </w:r>
      <w:r w:rsidRPr="00F74AFE">
        <w:rPr>
          <w:rFonts w:asciiTheme="minorHAnsi" w:hAnsiTheme="minorHAnsi" w:cstheme="minorHAnsi"/>
          <w:b/>
          <w:lang w:val="en-NZ"/>
        </w:rPr>
        <w:t xml:space="preserve">).  </w:t>
      </w:r>
      <w:r w:rsidRPr="00F74AFE">
        <w:rPr>
          <w:rFonts w:asciiTheme="minorHAnsi" w:hAnsiTheme="minorHAnsi" w:cstheme="minorHAnsi"/>
          <w:lang w:val="en-NZ"/>
        </w:rPr>
        <w:t xml:space="preserve">Trusting the Internet:  New Approaches to Credibility Tools.  In Metzger, M. &amp; Flanagan, A.J. (eds) </w:t>
      </w:r>
      <w:r w:rsidRPr="00F74AFE">
        <w:rPr>
          <w:rFonts w:asciiTheme="minorHAnsi" w:hAnsiTheme="minorHAnsi" w:cstheme="minorHAnsi"/>
          <w:i/>
          <w:lang w:val="en-NZ"/>
        </w:rPr>
        <w:t>Digital Media, Youth &amp; Credibility.</w:t>
      </w:r>
      <w:r w:rsidRPr="00F74AFE">
        <w:rPr>
          <w:rFonts w:asciiTheme="minorHAnsi" w:hAnsiTheme="minorHAnsi" w:cstheme="minorHAnsi"/>
          <w:lang w:val="en-NZ"/>
        </w:rPr>
        <w:t xml:space="preserve">  Cambridge MA:  MIT Press.</w:t>
      </w:r>
    </w:p>
  </w:endnote>
  <w:endnote w:id="123">
    <w:p w:rsidR="002B3E5E" w:rsidRPr="00F74AFE" w:rsidRDefault="002B3E5E" w:rsidP="008F2954">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Holmes, B. (2008). Communicating about emerging infectious disease: the importance of research. </w:t>
      </w:r>
      <w:r w:rsidRPr="00F74AFE">
        <w:rPr>
          <w:rFonts w:asciiTheme="minorHAnsi" w:hAnsiTheme="minorHAnsi" w:cstheme="minorHAnsi"/>
          <w:i/>
          <w:iCs/>
          <w:sz w:val="20"/>
          <w:szCs w:val="20"/>
        </w:rPr>
        <w:t>Health, risk and society</w:t>
      </w:r>
      <w:r w:rsidRPr="00F74AFE">
        <w:rPr>
          <w:rFonts w:asciiTheme="minorHAnsi" w:hAnsiTheme="minorHAnsi" w:cstheme="minorHAnsi"/>
          <w:iCs/>
          <w:sz w:val="20"/>
          <w:szCs w:val="20"/>
        </w:rPr>
        <w:t>, 10</w:t>
      </w:r>
      <w:r w:rsidRPr="00F74AFE">
        <w:rPr>
          <w:rFonts w:asciiTheme="minorHAnsi" w:hAnsiTheme="minorHAnsi" w:cstheme="minorHAnsi"/>
          <w:sz w:val="20"/>
          <w:szCs w:val="20"/>
        </w:rPr>
        <w:t>(4), 349-360.</w:t>
      </w:r>
    </w:p>
  </w:endnote>
  <w:endnote w:id="124">
    <w:p w:rsidR="002B3E5E" w:rsidRPr="00F74AFE" w:rsidRDefault="002B3E5E" w:rsidP="008F2954">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Dudo, A. D., Michael, F. D., &amp; Dominique, B. (2007). Reporting a Potential Pandemic: A Risk-Related Assessment of Avian Influenza Coverage in U.S. Newspapers. </w:t>
      </w:r>
      <w:r w:rsidRPr="00F74AFE">
        <w:rPr>
          <w:rFonts w:asciiTheme="minorHAnsi" w:hAnsiTheme="minorHAnsi" w:cstheme="minorHAnsi"/>
          <w:i/>
          <w:iCs/>
          <w:sz w:val="20"/>
          <w:szCs w:val="20"/>
        </w:rPr>
        <w:t>Science Communication</w:t>
      </w:r>
      <w:r w:rsidRPr="00F74AFE">
        <w:rPr>
          <w:rFonts w:asciiTheme="minorHAnsi" w:hAnsiTheme="minorHAnsi" w:cstheme="minorHAnsi"/>
          <w:iCs/>
          <w:sz w:val="20"/>
          <w:szCs w:val="20"/>
        </w:rPr>
        <w:t>, 28</w:t>
      </w:r>
      <w:r w:rsidRPr="00F74AFE">
        <w:rPr>
          <w:rFonts w:asciiTheme="minorHAnsi" w:hAnsiTheme="minorHAnsi" w:cstheme="minorHAnsi"/>
          <w:sz w:val="20"/>
          <w:szCs w:val="20"/>
        </w:rPr>
        <w:t>(4), 429-454.</w:t>
      </w:r>
    </w:p>
  </w:endnote>
  <w:endnote w:id="125">
    <w:p w:rsidR="002B3E5E" w:rsidRPr="00F74AFE" w:rsidRDefault="002B3E5E" w:rsidP="008F2954">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Minkler, M., Fadem, P., Perry, M., Blum, K., Moore, L., &amp; Rogers, J. (2002). Ethical Dilemmas in Participatory Action Research: A Case Study from the Disability Community. </w:t>
      </w:r>
      <w:r w:rsidRPr="00F74AFE">
        <w:rPr>
          <w:rFonts w:asciiTheme="minorHAnsi" w:hAnsiTheme="minorHAnsi" w:cstheme="minorHAnsi"/>
          <w:i/>
          <w:iCs/>
          <w:sz w:val="20"/>
          <w:szCs w:val="20"/>
        </w:rPr>
        <w:t>Health Educ Behav</w:t>
      </w:r>
      <w:r w:rsidRPr="00F74AFE">
        <w:rPr>
          <w:rFonts w:asciiTheme="minorHAnsi" w:hAnsiTheme="minorHAnsi" w:cstheme="minorHAnsi"/>
          <w:iCs/>
          <w:sz w:val="20"/>
          <w:szCs w:val="20"/>
        </w:rPr>
        <w:t>, 29</w:t>
      </w:r>
      <w:r w:rsidRPr="00F74AFE">
        <w:rPr>
          <w:rFonts w:asciiTheme="minorHAnsi" w:hAnsiTheme="minorHAnsi" w:cstheme="minorHAnsi"/>
          <w:sz w:val="20"/>
          <w:szCs w:val="20"/>
        </w:rPr>
        <w:t>(1), 14-29.</w:t>
      </w:r>
    </w:p>
  </w:endnote>
  <w:endnote w:id="126">
    <w:p w:rsidR="002B3E5E" w:rsidRPr="00F74AFE" w:rsidRDefault="002B3E5E" w:rsidP="008F7614">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Minkler, M. (2004). Ethical Challenges for the ‘Outside’ Researcher in Community-Based Participatory Research. </w:t>
      </w:r>
      <w:r w:rsidRPr="00F74AFE">
        <w:rPr>
          <w:rFonts w:asciiTheme="minorHAnsi" w:hAnsiTheme="minorHAnsi" w:cstheme="minorHAnsi"/>
          <w:i/>
          <w:iCs/>
          <w:sz w:val="20"/>
          <w:szCs w:val="20"/>
        </w:rPr>
        <w:t>Health Educ Behav</w:t>
      </w:r>
      <w:r w:rsidRPr="00F74AFE">
        <w:rPr>
          <w:rFonts w:asciiTheme="minorHAnsi" w:hAnsiTheme="minorHAnsi" w:cstheme="minorHAnsi"/>
          <w:iCs/>
          <w:sz w:val="20"/>
          <w:szCs w:val="20"/>
        </w:rPr>
        <w:t>, 31</w:t>
      </w:r>
      <w:r w:rsidRPr="00F74AFE">
        <w:rPr>
          <w:rFonts w:asciiTheme="minorHAnsi" w:hAnsiTheme="minorHAnsi" w:cstheme="minorHAnsi"/>
          <w:sz w:val="20"/>
          <w:szCs w:val="20"/>
        </w:rPr>
        <w:t>(6), 684-697.</w:t>
      </w:r>
    </w:p>
  </w:endnote>
  <w:endnote w:id="127">
    <w:p w:rsidR="002B3E5E" w:rsidRPr="00F74AFE" w:rsidRDefault="002B3E5E" w:rsidP="008F7614">
      <w:pPr>
        <w:pStyle w:val="EndnoteText"/>
        <w:spacing w:after="0"/>
        <w:rPr>
          <w:rFonts w:asciiTheme="minorHAnsi" w:hAnsiTheme="minorHAnsi" w:cstheme="minorHAnsi"/>
          <w:lang w:val="en-NZ"/>
        </w:rPr>
      </w:pPr>
      <w:r w:rsidRPr="00F74AFE">
        <w:rPr>
          <w:rStyle w:val="EndnoteReference"/>
          <w:rFonts w:asciiTheme="minorHAnsi" w:hAnsiTheme="minorHAnsi" w:cstheme="minorHAnsi"/>
        </w:rPr>
        <w:endnoteRef/>
      </w:r>
      <w:r w:rsidRPr="00F74AFE">
        <w:rPr>
          <w:rFonts w:asciiTheme="minorHAnsi" w:hAnsiTheme="minorHAnsi" w:cstheme="minorHAnsi"/>
        </w:rPr>
        <w:t xml:space="preserve">  Himmelman, A.T. (1996).  On the Theory and Practice of Transformational Collaboration, 19-43,  in C. Huxham (ed.) </w:t>
      </w:r>
      <w:r w:rsidRPr="00F74AFE">
        <w:rPr>
          <w:rFonts w:asciiTheme="minorHAnsi" w:hAnsiTheme="minorHAnsi" w:cstheme="minorHAnsi"/>
          <w:i/>
        </w:rPr>
        <w:t>Creating Collaborative Advantage</w:t>
      </w:r>
      <w:r w:rsidRPr="00F74AFE">
        <w:rPr>
          <w:rFonts w:asciiTheme="minorHAnsi" w:hAnsiTheme="minorHAnsi" w:cstheme="minorHAnsi"/>
        </w:rPr>
        <w:t>.  London:  Sage.</w:t>
      </w:r>
    </w:p>
  </w:endnote>
  <w:endnote w:id="128">
    <w:p w:rsidR="002B3E5E" w:rsidRPr="00F74AFE" w:rsidRDefault="002B3E5E" w:rsidP="008F7614">
      <w:pPr>
        <w:pStyle w:val="EndnoteText"/>
        <w:spacing w:after="0"/>
        <w:rPr>
          <w:rFonts w:asciiTheme="minorHAnsi" w:hAnsiTheme="minorHAnsi" w:cstheme="minorHAnsi"/>
          <w:lang w:val="en-NZ"/>
        </w:rPr>
      </w:pPr>
      <w:r w:rsidRPr="00F74AFE">
        <w:rPr>
          <w:rStyle w:val="EndnoteReference"/>
          <w:rFonts w:asciiTheme="minorHAnsi" w:hAnsiTheme="minorHAnsi" w:cstheme="minorHAnsi"/>
        </w:rPr>
        <w:endnoteRef/>
      </w:r>
      <w:r w:rsidRPr="00F74AFE">
        <w:rPr>
          <w:rFonts w:asciiTheme="minorHAnsi" w:hAnsiTheme="minorHAnsi" w:cstheme="minorHAnsi"/>
        </w:rPr>
        <w:t xml:space="preserve"> Roberts, M.J. &amp; Reich, M.R. (2002).  Ethical Analysis in Public Health.  </w:t>
      </w:r>
      <w:r w:rsidRPr="00F74AFE">
        <w:rPr>
          <w:rFonts w:asciiTheme="minorHAnsi" w:hAnsiTheme="minorHAnsi" w:cstheme="minorHAnsi"/>
          <w:i/>
        </w:rPr>
        <w:t>The Lancet</w:t>
      </w:r>
      <w:r w:rsidRPr="00F74AFE">
        <w:rPr>
          <w:rFonts w:asciiTheme="minorHAnsi" w:hAnsiTheme="minorHAnsi" w:cstheme="minorHAnsi"/>
        </w:rPr>
        <w:t>, 359 (23 March), 1055 – 1059.</w:t>
      </w:r>
    </w:p>
  </w:endnote>
  <w:endnote w:id="129">
    <w:p w:rsidR="002B3E5E" w:rsidRPr="00F74AFE" w:rsidRDefault="002B3E5E" w:rsidP="008F7614">
      <w:pPr>
        <w:pStyle w:val="EndnoteText"/>
        <w:spacing w:after="0"/>
        <w:rPr>
          <w:rFonts w:asciiTheme="minorHAnsi" w:hAnsiTheme="minorHAnsi" w:cstheme="minorHAnsi"/>
          <w:lang w:val="en-NZ"/>
        </w:rPr>
      </w:pPr>
      <w:r w:rsidRPr="00F74AFE">
        <w:rPr>
          <w:rStyle w:val="EndnoteReference"/>
          <w:rFonts w:asciiTheme="minorHAnsi" w:hAnsiTheme="minorHAnsi" w:cstheme="minorHAnsi"/>
        </w:rPr>
        <w:endnoteRef/>
      </w:r>
      <w:r w:rsidRPr="00F74AFE">
        <w:rPr>
          <w:rFonts w:asciiTheme="minorHAnsi" w:hAnsiTheme="minorHAnsi" w:cstheme="minorHAnsi"/>
        </w:rPr>
        <w:t xml:space="preserve"> Gray, B. (1996).  Cross-sectorial Partners:  Collaborative Alliances, in C. Huxham (ed.) </w:t>
      </w:r>
      <w:r w:rsidRPr="00F74AFE">
        <w:rPr>
          <w:rFonts w:asciiTheme="minorHAnsi" w:hAnsiTheme="minorHAnsi" w:cstheme="minorHAnsi"/>
          <w:i/>
        </w:rPr>
        <w:t>Creating Collaborative Advantage</w:t>
      </w:r>
      <w:r w:rsidRPr="00F74AFE">
        <w:rPr>
          <w:rFonts w:asciiTheme="minorHAnsi" w:hAnsiTheme="minorHAnsi" w:cstheme="minorHAnsi"/>
        </w:rPr>
        <w:t>.  London:  Sage Publications.</w:t>
      </w:r>
    </w:p>
  </w:endnote>
  <w:endnote w:id="130">
    <w:p w:rsidR="002B3E5E" w:rsidRPr="00F74AFE" w:rsidRDefault="002B3E5E" w:rsidP="00922BC4">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Murphy, P. E., &amp; Bloom, P.N. (1992). Ethical Issues in Social Marketing, 68-78, in S. Fine (ed.) </w:t>
      </w:r>
      <w:r w:rsidRPr="00F74AFE">
        <w:rPr>
          <w:rFonts w:asciiTheme="minorHAnsi" w:hAnsiTheme="minorHAnsi" w:cstheme="minorHAnsi"/>
          <w:i/>
          <w:iCs/>
          <w:sz w:val="20"/>
          <w:szCs w:val="20"/>
        </w:rPr>
        <w:t>Marketing the Public Sector Promoting the Causes of Public and Nonprofit Agencies</w:t>
      </w:r>
      <w:r w:rsidRPr="00F74AFE">
        <w:rPr>
          <w:rFonts w:asciiTheme="minorHAnsi" w:hAnsiTheme="minorHAnsi" w:cstheme="minorHAnsi"/>
          <w:iCs/>
          <w:sz w:val="20"/>
          <w:szCs w:val="20"/>
        </w:rPr>
        <w:t>.</w:t>
      </w:r>
      <w:r w:rsidRPr="00F74AFE">
        <w:rPr>
          <w:rFonts w:asciiTheme="minorHAnsi" w:hAnsiTheme="minorHAnsi" w:cstheme="minorHAnsi"/>
          <w:sz w:val="20"/>
          <w:szCs w:val="20"/>
        </w:rPr>
        <w:t xml:space="preserve"> Edison NJ: Transaction Publishers. </w:t>
      </w:r>
    </w:p>
  </w:endnote>
  <w:endnote w:id="131">
    <w:p w:rsidR="002B3E5E" w:rsidRPr="00F74AFE" w:rsidRDefault="002B3E5E" w:rsidP="00922BC4">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Cho, H. &amp; Salmon, C.T. (2007).Unintended Effects of Health Communication Campaigns. </w:t>
      </w:r>
      <w:r w:rsidRPr="00F74AFE">
        <w:rPr>
          <w:rFonts w:asciiTheme="minorHAnsi" w:hAnsiTheme="minorHAnsi" w:cstheme="minorHAnsi"/>
          <w:i/>
          <w:iCs/>
          <w:sz w:val="20"/>
          <w:szCs w:val="20"/>
        </w:rPr>
        <w:t xml:space="preserve">Journal of Communication,  </w:t>
      </w:r>
      <w:r w:rsidRPr="00F74AFE">
        <w:rPr>
          <w:rFonts w:asciiTheme="minorHAnsi" w:hAnsiTheme="minorHAnsi" w:cstheme="minorHAnsi"/>
          <w:iCs/>
          <w:sz w:val="20"/>
          <w:szCs w:val="20"/>
        </w:rPr>
        <w:t>57</w:t>
      </w:r>
      <w:r w:rsidRPr="00F74AFE">
        <w:rPr>
          <w:rFonts w:asciiTheme="minorHAnsi" w:hAnsiTheme="minorHAnsi" w:cstheme="minorHAnsi"/>
          <w:sz w:val="20"/>
          <w:szCs w:val="20"/>
        </w:rPr>
        <w:t xml:space="preserve">(2): 293 – 317. </w:t>
      </w:r>
    </w:p>
  </w:endnote>
  <w:endnote w:id="132">
    <w:p w:rsidR="002B3E5E" w:rsidRPr="00F74AFE" w:rsidRDefault="002B3E5E" w:rsidP="00922BC4">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Hoffman, W. M., Frederick, R. E. &amp; Schwartz, M. S. (2001). </w:t>
      </w:r>
      <w:r w:rsidRPr="00F74AFE">
        <w:rPr>
          <w:rFonts w:asciiTheme="minorHAnsi" w:hAnsiTheme="minorHAnsi" w:cstheme="minorHAnsi"/>
          <w:i/>
          <w:iCs/>
          <w:sz w:val="20"/>
          <w:szCs w:val="20"/>
        </w:rPr>
        <w:t>Business Ethics:  Readings and Cases in Corporate Morality</w:t>
      </w:r>
      <w:r w:rsidRPr="00F74AFE">
        <w:rPr>
          <w:rFonts w:asciiTheme="minorHAnsi" w:hAnsiTheme="minorHAnsi" w:cstheme="minorHAnsi"/>
          <w:sz w:val="20"/>
          <w:szCs w:val="20"/>
        </w:rPr>
        <w:t xml:space="preserve"> (4th ed.).  New York: McGraw-Hill.</w:t>
      </w:r>
    </w:p>
  </w:endnote>
  <w:endnote w:id="133">
    <w:p w:rsidR="002B3E5E" w:rsidRPr="00F74AFE" w:rsidRDefault="002B3E5E" w:rsidP="00922BC4">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Andreasen, A. R. (Ed.). (2001). </w:t>
      </w:r>
      <w:r w:rsidRPr="00F74AFE">
        <w:rPr>
          <w:rFonts w:asciiTheme="minorHAnsi" w:hAnsiTheme="minorHAnsi" w:cstheme="minorHAnsi"/>
          <w:i/>
          <w:iCs/>
          <w:sz w:val="20"/>
          <w:szCs w:val="20"/>
        </w:rPr>
        <w:t xml:space="preserve">Ethics in Social Marketing. </w:t>
      </w:r>
      <w:r w:rsidRPr="00F74AFE">
        <w:rPr>
          <w:rFonts w:asciiTheme="minorHAnsi" w:hAnsiTheme="minorHAnsi" w:cstheme="minorHAnsi"/>
          <w:sz w:val="20"/>
          <w:szCs w:val="20"/>
        </w:rPr>
        <w:t>Washington DC:</w:t>
      </w:r>
    </w:p>
    <w:p w:rsidR="002B3E5E" w:rsidRPr="00F74AFE" w:rsidRDefault="002B3E5E" w:rsidP="00922BC4">
      <w:pPr>
        <w:autoSpaceDE w:val="0"/>
        <w:autoSpaceDN w:val="0"/>
        <w:adjustRightInd w:val="0"/>
        <w:rPr>
          <w:rFonts w:asciiTheme="minorHAnsi" w:hAnsiTheme="minorHAnsi" w:cstheme="minorHAnsi"/>
          <w:sz w:val="20"/>
          <w:szCs w:val="20"/>
        </w:rPr>
      </w:pPr>
      <w:r w:rsidRPr="00F74AFE">
        <w:rPr>
          <w:rFonts w:asciiTheme="minorHAnsi" w:hAnsiTheme="minorHAnsi" w:cstheme="minorHAnsi"/>
          <w:sz w:val="20"/>
          <w:szCs w:val="20"/>
        </w:rPr>
        <w:t xml:space="preserve">Georgetown University Press. </w:t>
      </w:r>
    </w:p>
  </w:endnote>
  <w:endnote w:id="134">
    <w:p w:rsidR="002B3E5E" w:rsidRPr="00F74AFE" w:rsidRDefault="002B3E5E" w:rsidP="00922BC4">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Dunfee, T. W., Smith, N.C., &amp; Ross W. T. Jr. (1999). Social Contracts and Marketing Ethics. </w:t>
      </w:r>
      <w:r w:rsidRPr="00F74AFE">
        <w:rPr>
          <w:rFonts w:asciiTheme="minorHAnsi" w:hAnsiTheme="minorHAnsi" w:cstheme="minorHAnsi"/>
          <w:i/>
          <w:iCs/>
          <w:sz w:val="20"/>
          <w:szCs w:val="20"/>
        </w:rPr>
        <w:t>Journal of Marketing</w:t>
      </w:r>
      <w:r w:rsidRPr="00F74AFE">
        <w:rPr>
          <w:rFonts w:asciiTheme="minorHAnsi" w:hAnsiTheme="minorHAnsi" w:cstheme="minorHAnsi"/>
          <w:iCs/>
          <w:sz w:val="20"/>
          <w:szCs w:val="20"/>
        </w:rPr>
        <w:t>,</w:t>
      </w:r>
      <w:r w:rsidRPr="00F74AFE">
        <w:rPr>
          <w:rFonts w:asciiTheme="minorHAnsi" w:hAnsiTheme="minorHAnsi" w:cstheme="minorHAnsi"/>
          <w:i/>
          <w:iCs/>
          <w:sz w:val="20"/>
          <w:szCs w:val="20"/>
        </w:rPr>
        <w:t xml:space="preserve">   </w:t>
      </w:r>
      <w:r w:rsidRPr="00F74AFE">
        <w:rPr>
          <w:rFonts w:asciiTheme="minorHAnsi" w:hAnsiTheme="minorHAnsi" w:cstheme="minorHAnsi"/>
          <w:iCs/>
          <w:sz w:val="20"/>
          <w:szCs w:val="20"/>
        </w:rPr>
        <w:t>63</w:t>
      </w:r>
      <w:r w:rsidRPr="00F74AFE">
        <w:rPr>
          <w:rFonts w:asciiTheme="minorHAnsi" w:hAnsiTheme="minorHAnsi" w:cstheme="minorHAnsi"/>
          <w:sz w:val="20"/>
          <w:szCs w:val="20"/>
        </w:rPr>
        <w:t>(3), 14-32.</w:t>
      </w:r>
    </w:p>
  </w:endnote>
  <w:endnote w:id="135">
    <w:p w:rsidR="002B3E5E" w:rsidRPr="00F74AFE" w:rsidRDefault="002B3E5E" w:rsidP="00922BC4">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Easley, C. E., Marks, S. P., &amp; Morgan, R. B.  Jr. (2001). The Challenge and Place of International Human Rights in Public Health. </w:t>
      </w:r>
      <w:r w:rsidRPr="00F74AFE">
        <w:rPr>
          <w:rFonts w:asciiTheme="minorHAnsi" w:hAnsiTheme="minorHAnsi" w:cstheme="minorHAnsi"/>
          <w:i/>
          <w:iCs/>
          <w:sz w:val="20"/>
          <w:szCs w:val="20"/>
        </w:rPr>
        <w:t>American Journal of Public Health</w:t>
      </w:r>
      <w:r w:rsidRPr="00F74AFE">
        <w:rPr>
          <w:rFonts w:asciiTheme="minorHAnsi" w:hAnsiTheme="minorHAnsi" w:cstheme="minorHAnsi"/>
          <w:iCs/>
          <w:sz w:val="20"/>
          <w:szCs w:val="20"/>
        </w:rPr>
        <w:t>,</w:t>
      </w:r>
      <w:r w:rsidRPr="00F74AFE">
        <w:rPr>
          <w:rFonts w:asciiTheme="minorHAnsi" w:hAnsiTheme="minorHAnsi" w:cstheme="minorHAnsi"/>
          <w:i/>
          <w:iCs/>
          <w:sz w:val="20"/>
          <w:szCs w:val="20"/>
        </w:rPr>
        <w:t xml:space="preserve"> </w:t>
      </w:r>
      <w:r w:rsidRPr="00F74AFE">
        <w:rPr>
          <w:rFonts w:asciiTheme="minorHAnsi" w:hAnsiTheme="minorHAnsi" w:cstheme="minorHAnsi"/>
          <w:iCs/>
          <w:sz w:val="20"/>
          <w:szCs w:val="20"/>
        </w:rPr>
        <w:t>91</w:t>
      </w:r>
      <w:r w:rsidRPr="00F74AFE">
        <w:rPr>
          <w:rFonts w:asciiTheme="minorHAnsi" w:hAnsiTheme="minorHAnsi" w:cstheme="minorHAnsi"/>
          <w:sz w:val="20"/>
          <w:szCs w:val="20"/>
        </w:rPr>
        <w:t>(12), 1922-1925.</w:t>
      </w:r>
    </w:p>
  </w:endnote>
  <w:endnote w:id="136">
    <w:p w:rsidR="002B3E5E" w:rsidRPr="00F74AFE" w:rsidRDefault="002B3E5E" w:rsidP="00B52F86">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Advertising Standards Authority (2007). Adjudication Department of Health.   Retrieved  from </w:t>
      </w:r>
      <w:r w:rsidRPr="00F74AFE">
        <w:rPr>
          <w:rFonts w:asciiTheme="minorHAnsi" w:hAnsiTheme="minorHAnsi" w:cstheme="minorHAnsi"/>
          <w:color w:val="0000FF"/>
          <w:sz w:val="20"/>
          <w:szCs w:val="20"/>
          <w:u w:val="single"/>
        </w:rPr>
        <w:t xml:space="preserve">http:/www.asa.prg.uk/asa/adjudications/Public/TF_ADJ_42557.htm  </w:t>
      </w:r>
    </w:p>
  </w:endnote>
  <w:endnote w:id="137">
    <w:p w:rsidR="002B3E5E" w:rsidRPr="00F74AFE" w:rsidRDefault="002B3E5E" w:rsidP="00930954">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Brenkert, G. G. (2002). Ethical Challenges of Social Marketing. </w:t>
      </w:r>
      <w:r w:rsidRPr="00F74AFE">
        <w:rPr>
          <w:rFonts w:asciiTheme="minorHAnsi" w:hAnsiTheme="minorHAnsi" w:cstheme="minorHAnsi"/>
          <w:i/>
          <w:iCs/>
          <w:sz w:val="20"/>
          <w:szCs w:val="20"/>
        </w:rPr>
        <w:t>Journal of Public Policy &amp; Marketing</w:t>
      </w:r>
      <w:r w:rsidRPr="00F74AFE">
        <w:rPr>
          <w:rFonts w:asciiTheme="minorHAnsi" w:hAnsiTheme="minorHAnsi" w:cstheme="minorHAnsi"/>
          <w:iCs/>
          <w:sz w:val="20"/>
          <w:szCs w:val="20"/>
        </w:rPr>
        <w:t>, 21</w:t>
      </w:r>
      <w:r w:rsidRPr="00F74AFE">
        <w:rPr>
          <w:rFonts w:asciiTheme="minorHAnsi" w:hAnsiTheme="minorHAnsi" w:cstheme="minorHAnsi"/>
          <w:sz w:val="20"/>
          <w:szCs w:val="20"/>
        </w:rPr>
        <w:t>(1), 14-36.</w:t>
      </w:r>
    </w:p>
  </w:endnote>
  <w:endnote w:id="138">
    <w:p w:rsidR="002B3E5E" w:rsidRPr="00F74AFE" w:rsidRDefault="002B3E5E" w:rsidP="00B52F86">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Kotler, P., Roberto, N. &amp; Lee, N. (2002). </w:t>
      </w:r>
      <w:r w:rsidRPr="00F74AFE">
        <w:rPr>
          <w:rFonts w:asciiTheme="minorHAnsi" w:hAnsiTheme="minorHAnsi" w:cstheme="minorHAnsi"/>
          <w:i/>
          <w:iCs/>
          <w:sz w:val="20"/>
          <w:szCs w:val="20"/>
        </w:rPr>
        <w:t xml:space="preserve">Social Marketing:  Improving the Quality of Life. </w:t>
      </w:r>
      <w:r w:rsidRPr="00F74AFE">
        <w:rPr>
          <w:rFonts w:asciiTheme="minorHAnsi" w:hAnsiTheme="minorHAnsi" w:cstheme="minorHAnsi"/>
          <w:sz w:val="20"/>
          <w:szCs w:val="20"/>
        </w:rPr>
        <w:t xml:space="preserve">Thousand Oaks, CA: Sage. </w:t>
      </w:r>
    </w:p>
  </w:endnote>
  <w:endnote w:id="139">
    <w:p w:rsidR="002B3E5E" w:rsidRPr="00F74AFE" w:rsidRDefault="002B3E5E" w:rsidP="00922BC4">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Brenkert, G. G. (2002). Ethical Challenges of Social Marketing.  </w:t>
      </w:r>
      <w:r w:rsidRPr="00F74AFE">
        <w:rPr>
          <w:rFonts w:asciiTheme="minorHAnsi" w:hAnsiTheme="minorHAnsi" w:cstheme="minorHAnsi"/>
          <w:i/>
          <w:iCs/>
          <w:sz w:val="20"/>
          <w:szCs w:val="20"/>
        </w:rPr>
        <w:t>Journal of Public Policy and Marketing</w:t>
      </w:r>
      <w:r w:rsidRPr="00F74AFE">
        <w:rPr>
          <w:rFonts w:asciiTheme="minorHAnsi" w:hAnsiTheme="minorHAnsi" w:cstheme="minorHAnsi"/>
          <w:iCs/>
          <w:sz w:val="20"/>
          <w:szCs w:val="20"/>
        </w:rPr>
        <w:t>, 21</w:t>
      </w:r>
      <w:r w:rsidRPr="00F74AFE">
        <w:rPr>
          <w:rFonts w:asciiTheme="minorHAnsi" w:hAnsiTheme="minorHAnsi" w:cstheme="minorHAnsi"/>
          <w:sz w:val="20"/>
          <w:szCs w:val="20"/>
        </w:rPr>
        <w:t>(1): 14-36.</w:t>
      </w:r>
    </w:p>
  </w:endnote>
  <w:endnote w:id="140">
    <w:p w:rsidR="002B3E5E" w:rsidRPr="00F74AFE" w:rsidRDefault="002B3E5E" w:rsidP="00922BC4">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Pires, G. D. &amp; Stanton, J. (2002). Ethnic Marketing Ethics. </w:t>
      </w:r>
      <w:r w:rsidRPr="00F74AFE">
        <w:rPr>
          <w:rFonts w:asciiTheme="minorHAnsi" w:hAnsiTheme="minorHAnsi" w:cstheme="minorHAnsi"/>
          <w:i/>
          <w:iCs/>
          <w:sz w:val="20"/>
          <w:szCs w:val="20"/>
        </w:rPr>
        <w:t>Journal of Business Ethics</w:t>
      </w:r>
      <w:r w:rsidRPr="00F74AFE">
        <w:rPr>
          <w:rFonts w:asciiTheme="minorHAnsi" w:hAnsiTheme="minorHAnsi" w:cstheme="minorHAnsi"/>
          <w:iCs/>
          <w:sz w:val="20"/>
          <w:szCs w:val="20"/>
        </w:rPr>
        <w:t>,</w:t>
      </w:r>
      <w:r w:rsidRPr="00F74AFE">
        <w:rPr>
          <w:rFonts w:asciiTheme="minorHAnsi" w:hAnsiTheme="minorHAnsi" w:cstheme="minorHAnsi"/>
          <w:i/>
          <w:iCs/>
          <w:sz w:val="20"/>
          <w:szCs w:val="20"/>
        </w:rPr>
        <w:t xml:space="preserve"> </w:t>
      </w:r>
      <w:r w:rsidRPr="00F74AFE">
        <w:rPr>
          <w:rFonts w:asciiTheme="minorHAnsi" w:hAnsiTheme="minorHAnsi" w:cstheme="minorHAnsi"/>
          <w:iCs/>
          <w:sz w:val="20"/>
          <w:szCs w:val="20"/>
        </w:rPr>
        <w:t>36</w:t>
      </w:r>
      <w:r w:rsidRPr="00F74AFE">
        <w:rPr>
          <w:rFonts w:asciiTheme="minorHAnsi" w:hAnsiTheme="minorHAnsi" w:cstheme="minorHAnsi"/>
          <w:sz w:val="20"/>
          <w:szCs w:val="20"/>
        </w:rPr>
        <w:t>(1/2), 111-118.</w:t>
      </w:r>
    </w:p>
  </w:endnote>
  <w:endnote w:id="141">
    <w:p w:rsidR="002B3E5E" w:rsidRPr="00F74AFE" w:rsidRDefault="002B3E5E" w:rsidP="00254C30">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Moreno, C., Alvarado, M., Balcazar, H., Lane, C., Newman, E., Ortiz, G. &amp; Forrest, M.  (1997). Heart Disease Education and Prevention Program Targeting Immigrant Latinos:  Using Focus Group Responses to Develop Effective Interventions. </w:t>
      </w:r>
      <w:r w:rsidRPr="00F74AFE">
        <w:rPr>
          <w:rFonts w:asciiTheme="minorHAnsi" w:hAnsiTheme="minorHAnsi" w:cstheme="minorHAnsi"/>
          <w:i/>
          <w:iCs/>
          <w:sz w:val="20"/>
          <w:szCs w:val="20"/>
        </w:rPr>
        <w:t xml:space="preserve">Journal of Community Health, </w:t>
      </w:r>
      <w:r w:rsidRPr="00F74AFE">
        <w:rPr>
          <w:rFonts w:asciiTheme="minorHAnsi" w:hAnsiTheme="minorHAnsi" w:cstheme="minorHAnsi"/>
          <w:iCs/>
          <w:sz w:val="20"/>
          <w:szCs w:val="20"/>
        </w:rPr>
        <w:t>22</w:t>
      </w:r>
      <w:r w:rsidRPr="00F74AFE">
        <w:rPr>
          <w:rFonts w:asciiTheme="minorHAnsi" w:hAnsiTheme="minorHAnsi" w:cstheme="minorHAnsi"/>
          <w:sz w:val="20"/>
          <w:szCs w:val="20"/>
        </w:rPr>
        <w:t>(6), 435 - 450.</w:t>
      </w:r>
    </w:p>
  </w:endnote>
  <w:endnote w:id="142">
    <w:p w:rsidR="002B3E5E" w:rsidRPr="00F74AFE" w:rsidRDefault="002B3E5E" w:rsidP="00254C30">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Kyngas, H. A., Duffy, M. &amp; Kroll, T. (2000). Conceptual Analysis of Compliance. </w:t>
      </w:r>
      <w:r w:rsidRPr="00F74AFE">
        <w:rPr>
          <w:rFonts w:asciiTheme="minorHAnsi" w:hAnsiTheme="minorHAnsi" w:cstheme="minorHAnsi"/>
          <w:i/>
          <w:iCs/>
          <w:sz w:val="20"/>
          <w:szCs w:val="20"/>
        </w:rPr>
        <w:t xml:space="preserve">Journal of Clinical Nursing, </w:t>
      </w:r>
      <w:r w:rsidRPr="00F74AFE">
        <w:rPr>
          <w:rFonts w:asciiTheme="minorHAnsi" w:hAnsiTheme="minorHAnsi" w:cstheme="minorHAnsi"/>
          <w:iCs/>
          <w:sz w:val="20"/>
          <w:szCs w:val="20"/>
        </w:rPr>
        <w:t>9</w:t>
      </w:r>
      <w:r w:rsidRPr="00F74AFE">
        <w:rPr>
          <w:rFonts w:asciiTheme="minorHAnsi" w:hAnsiTheme="minorHAnsi" w:cstheme="minorHAnsi"/>
          <w:sz w:val="20"/>
          <w:szCs w:val="20"/>
        </w:rPr>
        <w:t>(1), 5 - 12.</w:t>
      </w:r>
    </w:p>
  </w:endnote>
  <w:endnote w:id="143">
    <w:p w:rsidR="002B3E5E" w:rsidRPr="00F74AFE" w:rsidRDefault="002B3E5E" w:rsidP="00922BC4">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Saeed, M., Z. U. Ahmed &amp; Mukhtar, S-M. (2001). International Marketing Ethics from an Islamic Perspective: A Value-Maximization Approach. </w:t>
      </w:r>
      <w:r w:rsidRPr="00F74AFE">
        <w:rPr>
          <w:rFonts w:asciiTheme="minorHAnsi" w:hAnsiTheme="minorHAnsi" w:cstheme="minorHAnsi"/>
          <w:i/>
          <w:iCs/>
          <w:sz w:val="20"/>
          <w:szCs w:val="20"/>
        </w:rPr>
        <w:t>Journal of Business Ethics</w:t>
      </w:r>
      <w:r w:rsidRPr="00F74AFE">
        <w:rPr>
          <w:rFonts w:asciiTheme="minorHAnsi" w:hAnsiTheme="minorHAnsi" w:cstheme="minorHAnsi"/>
          <w:iCs/>
          <w:sz w:val="20"/>
          <w:szCs w:val="20"/>
        </w:rPr>
        <w:t>,</w:t>
      </w:r>
      <w:r w:rsidRPr="00F74AFE">
        <w:rPr>
          <w:rFonts w:asciiTheme="minorHAnsi" w:hAnsiTheme="minorHAnsi" w:cstheme="minorHAnsi"/>
          <w:i/>
          <w:iCs/>
          <w:sz w:val="20"/>
          <w:szCs w:val="20"/>
        </w:rPr>
        <w:t xml:space="preserve"> </w:t>
      </w:r>
      <w:r w:rsidRPr="00F74AFE">
        <w:rPr>
          <w:rFonts w:asciiTheme="minorHAnsi" w:hAnsiTheme="minorHAnsi" w:cstheme="minorHAnsi"/>
          <w:iCs/>
          <w:sz w:val="20"/>
          <w:szCs w:val="20"/>
        </w:rPr>
        <w:t>32</w:t>
      </w:r>
      <w:r w:rsidRPr="00F74AFE">
        <w:rPr>
          <w:rFonts w:asciiTheme="minorHAnsi" w:hAnsiTheme="minorHAnsi" w:cstheme="minorHAnsi"/>
          <w:sz w:val="20"/>
          <w:szCs w:val="20"/>
        </w:rPr>
        <w:t>(2), 127-142.</w:t>
      </w:r>
    </w:p>
  </w:endnote>
  <w:endnote w:id="144">
    <w:p w:rsidR="002B3E5E" w:rsidRPr="00F74AFE" w:rsidRDefault="002B3E5E" w:rsidP="00922BC4">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Vitell, S. J. &amp;  Paolillo, J. G.P. (2004). A Cross-cultural Study of the Antecedents of the Perceived Role of Ethics and Social Responsibility. </w:t>
      </w:r>
      <w:r w:rsidRPr="00F74AFE">
        <w:rPr>
          <w:rFonts w:asciiTheme="minorHAnsi" w:hAnsiTheme="minorHAnsi" w:cstheme="minorHAnsi"/>
          <w:i/>
          <w:iCs/>
          <w:sz w:val="20"/>
          <w:szCs w:val="20"/>
        </w:rPr>
        <w:t>Business Ethics: A European Review</w:t>
      </w:r>
      <w:r w:rsidRPr="00F74AFE">
        <w:rPr>
          <w:rFonts w:asciiTheme="minorHAnsi" w:hAnsiTheme="minorHAnsi" w:cstheme="minorHAnsi"/>
          <w:iCs/>
          <w:sz w:val="20"/>
          <w:szCs w:val="20"/>
        </w:rPr>
        <w:t>,</w:t>
      </w:r>
      <w:r w:rsidRPr="00F74AFE">
        <w:rPr>
          <w:rFonts w:asciiTheme="minorHAnsi" w:hAnsiTheme="minorHAnsi" w:cstheme="minorHAnsi"/>
          <w:i/>
          <w:iCs/>
          <w:sz w:val="20"/>
          <w:szCs w:val="20"/>
        </w:rPr>
        <w:t xml:space="preserve"> </w:t>
      </w:r>
      <w:r w:rsidRPr="00F74AFE">
        <w:rPr>
          <w:rFonts w:asciiTheme="minorHAnsi" w:hAnsiTheme="minorHAnsi" w:cstheme="minorHAnsi"/>
          <w:iCs/>
          <w:sz w:val="20"/>
          <w:szCs w:val="20"/>
        </w:rPr>
        <w:t>13</w:t>
      </w:r>
      <w:r w:rsidRPr="00F74AFE">
        <w:rPr>
          <w:rFonts w:asciiTheme="minorHAnsi" w:hAnsiTheme="minorHAnsi" w:cstheme="minorHAnsi"/>
          <w:sz w:val="20"/>
          <w:szCs w:val="20"/>
        </w:rPr>
        <w:t>(2/3), 185-199.</w:t>
      </w:r>
    </w:p>
  </w:endnote>
  <w:endnote w:id="145">
    <w:p w:rsidR="002B3E5E" w:rsidRPr="00F74AFE" w:rsidRDefault="002B3E5E" w:rsidP="00922BC4">
      <w:pPr>
        <w:jc w:val="both"/>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Constant, A., Salmi, L. R., Lafont, S., Chiron, M. and Lagarde, E. (2008) The recent dramatic decline in road mortality in France: how drivers’ attitudes towards road traffic safety changed between 2001 and 2004 in the GAZEL cohort. </w:t>
      </w:r>
      <w:r w:rsidRPr="00F74AFE">
        <w:rPr>
          <w:rFonts w:asciiTheme="minorHAnsi" w:hAnsiTheme="minorHAnsi" w:cstheme="minorHAnsi"/>
          <w:i/>
          <w:sz w:val="20"/>
          <w:szCs w:val="20"/>
        </w:rPr>
        <w:t>Health Research Education</w:t>
      </w:r>
      <w:r w:rsidRPr="00F74AFE">
        <w:rPr>
          <w:rFonts w:asciiTheme="minorHAnsi" w:hAnsiTheme="minorHAnsi" w:cstheme="minorHAnsi"/>
          <w:sz w:val="20"/>
          <w:szCs w:val="20"/>
        </w:rPr>
        <w:t xml:space="preserve">, 23, 848–858. </w:t>
      </w:r>
    </w:p>
  </w:endnote>
  <w:endnote w:id="146">
    <w:p w:rsidR="002B3E5E" w:rsidRPr="00F74AFE" w:rsidRDefault="002B3E5E" w:rsidP="008F7614">
      <w:pPr>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Haynes, R. B., H. McDonald, et al. (2002). Helping Patients Follow Prescribed Treatment. </w:t>
      </w:r>
      <w:r w:rsidRPr="00F74AFE">
        <w:rPr>
          <w:rFonts w:asciiTheme="minorHAnsi" w:hAnsiTheme="minorHAnsi" w:cstheme="minorHAnsi"/>
          <w:i/>
          <w:sz w:val="20"/>
          <w:szCs w:val="20"/>
        </w:rPr>
        <w:t>Journal of the American Medical Association</w:t>
      </w:r>
      <w:r w:rsidRPr="00F74AFE">
        <w:rPr>
          <w:rFonts w:asciiTheme="minorHAnsi" w:hAnsiTheme="minorHAnsi" w:cstheme="minorHAnsi"/>
          <w:sz w:val="20"/>
          <w:szCs w:val="20"/>
        </w:rPr>
        <w:t>, 288(22), 2880-2883.</w:t>
      </w:r>
    </w:p>
  </w:endnote>
  <w:endnote w:id="147">
    <w:p w:rsidR="002B3E5E" w:rsidRPr="00F74AFE" w:rsidRDefault="002B3E5E" w:rsidP="008F7614">
      <w:pPr>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Carter, S., D. Taylor, et al. (2003). </w:t>
      </w:r>
      <w:r w:rsidRPr="00F74AFE">
        <w:rPr>
          <w:rFonts w:asciiTheme="minorHAnsi" w:hAnsiTheme="minorHAnsi" w:cstheme="minorHAnsi"/>
          <w:i/>
          <w:sz w:val="20"/>
          <w:szCs w:val="20"/>
        </w:rPr>
        <w:t>A Question of Choice: Compliance in Medicine Taking</w:t>
      </w:r>
      <w:r w:rsidRPr="00F74AFE">
        <w:rPr>
          <w:rFonts w:asciiTheme="minorHAnsi" w:hAnsiTheme="minorHAnsi" w:cstheme="minorHAnsi"/>
          <w:sz w:val="20"/>
          <w:szCs w:val="20"/>
        </w:rPr>
        <w:t>. London, Medicines Partnership.</w:t>
      </w:r>
    </w:p>
  </w:endnote>
  <w:endnote w:id="148">
    <w:p w:rsidR="002B3E5E" w:rsidRPr="00F74AFE" w:rsidRDefault="002B3E5E" w:rsidP="008F7614">
      <w:pPr>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Myers, L. B. and K. Midence (1998). </w:t>
      </w:r>
      <w:r w:rsidRPr="00F74AFE">
        <w:rPr>
          <w:rFonts w:asciiTheme="minorHAnsi" w:hAnsiTheme="minorHAnsi" w:cstheme="minorHAnsi"/>
          <w:i/>
          <w:sz w:val="20"/>
          <w:szCs w:val="20"/>
        </w:rPr>
        <w:t>Adherence to Treatment in Medical Conditions</w:t>
      </w:r>
      <w:r w:rsidRPr="00F74AFE">
        <w:rPr>
          <w:rFonts w:asciiTheme="minorHAnsi" w:hAnsiTheme="minorHAnsi" w:cstheme="minorHAnsi"/>
          <w:sz w:val="20"/>
          <w:szCs w:val="20"/>
          <w:u w:val="single"/>
        </w:rPr>
        <w:t>.</w:t>
      </w:r>
      <w:r w:rsidRPr="00F74AFE">
        <w:rPr>
          <w:rFonts w:asciiTheme="minorHAnsi" w:hAnsiTheme="minorHAnsi" w:cstheme="minorHAnsi"/>
          <w:sz w:val="20"/>
          <w:szCs w:val="20"/>
        </w:rPr>
        <w:t xml:space="preserve"> Amsterdam, Hawood Publishers.</w:t>
      </w:r>
    </w:p>
  </w:endnote>
  <w:endnote w:id="149">
    <w:p w:rsidR="002B3E5E" w:rsidRPr="00F74AFE" w:rsidRDefault="002B3E5E" w:rsidP="008F7614">
      <w:pPr>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Koehler, A. M. and H. I. Maibach (2001). Electronic Monitoring in Medication Adherence Measurement. </w:t>
      </w:r>
      <w:r w:rsidRPr="00F74AFE">
        <w:rPr>
          <w:rFonts w:asciiTheme="minorHAnsi" w:hAnsiTheme="minorHAnsi" w:cstheme="minorHAnsi"/>
          <w:i/>
          <w:sz w:val="20"/>
          <w:szCs w:val="20"/>
        </w:rPr>
        <w:t>American Journal of Clinical Dermatology,</w:t>
      </w:r>
      <w:r w:rsidRPr="00F74AFE">
        <w:rPr>
          <w:rFonts w:asciiTheme="minorHAnsi" w:hAnsiTheme="minorHAnsi" w:cstheme="minorHAnsi"/>
          <w:sz w:val="20"/>
          <w:szCs w:val="20"/>
        </w:rPr>
        <w:t xml:space="preserve"> 2(1), 7 - 12.</w:t>
      </w:r>
    </w:p>
  </w:endnote>
  <w:endnote w:id="150">
    <w:p w:rsidR="002B3E5E" w:rsidRPr="00F74AFE" w:rsidRDefault="002B3E5E" w:rsidP="008F7614">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Osterberg, L., &amp; Blaschke, T. (2005). Adherence to Medication. </w:t>
      </w:r>
      <w:r w:rsidRPr="00F74AFE">
        <w:rPr>
          <w:rFonts w:asciiTheme="minorHAnsi" w:hAnsiTheme="minorHAnsi" w:cstheme="minorHAnsi"/>
          <w:i/>
          <w:iCs/>
          <w:sz w:val="20"/>
          <w:szCs w:val="20"/>
        </w:rPr>
        <w:t>New England Journal of Medicine, 353</w:t>
      </w:r>
      <w:r w:rsidRPr="00F74AFE">
        <w:rPr>
          <w:rFonts w:asciiTheme="minorHAnsi" w:hAnsiTheme="minorHAnsi" w:cstheme="minorHAnsi"/>
          <w:sz w:val="20"/>
          <w:szCs w:val="20"/>
        </w:rPr>
        <w:t>(5), 487 - 497.</w:t>
      </w:r>
    </w:p>
  </w:endnote>
  <w:endnote w:id="151">
    <w:p w:rsidR="002B3E5E" w:rsidRPr="00F74AFE" w:rsidRDefault="002B3E5E" w:rsidP="008F7614">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Kyngas, H. (2003). Patient Education:  Perspective of Adolescents with a Chronic Disease. </w:t>
      </w:r>
      <w:r w:rsidRPr="00F74AFE">
        <w:rPr>
          <w:rFonts w:asciiTheme="minorHAnsi" w:hAnsiTheme="minorHAnsi" w:cstheme="minorHAnsi"/>
          <w:i/>
          <w:iCs/>
          <w:sz w:val="20"/>
          <w:szCs w:val="20"/>
        </w:rPr>
        <w:t>Journal of Clinical Nursing</w:t>
      </w:r>
      <w:r w:rsidRPr="00F74AFE">
        <w:rPr>
          <w:rFonts w:asciiTheme="minorHAnsi" w:hAnsiTheme="minorHAnsi" w:cstheme="minorHAnsi"/>
          <w:iCs/>
          <w:sz w:val="20"/>
          <w:szCs w:val="20"/>
        </w:rPr>
        <w:t>, 12</w:t>
      </w:r>
      <w:r w:rsidRPr="00F74AFE">
        <w:rPr>
          <w:rFonts w:asciiTheme="minorHAnsi" w:hAnsiTheme="minorHAnsi" w:cstheme="minorHAnsi"/>
          <w:sz w:val="20"/>
          <w:szCs w:val="20"/>
        </w:rPr>
        <w:t>(5), 744 - 751.</w:t>
      </w:r>
    </w:p>
  </w:endnote>
  <w:endnote w:id="152">
    <w:p w:rsidR="002B3E5E" w:rsidRPr="00F74AFE" w:rsidRDefault="002B3E5E" w:rsidP="0006560E">
      <w:pPr>
        <w:jc w:val="both"/>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color w:val="000000"/>
          <w:sz w:val="20"/>
          <w:szCs w:val="20"/>
        </w:rPr>
        <w:t xml:space="preserve">Giddens, A. (1991). </w:t>
      </w:r>
      <w:r w:rsidRPr="00F74AFE">
        <w:rPr>
          <w:rFonts w:asciiTheme="minorHAnsi" w:hAnsiTheme="minorHAnsi" w:cstheme="minorHAnsi"/>
          <w:i/>
          <w:color w:val="000000"/>
          <w:sz w:val="20"/>
          <w:szCs w:val="20"/>
        </w:rPr>
        <w:t>Modernity and self-identity: Self and society in the late modern age</w:t>
      </w:r>
      <w:r w:rsidRPr="00F74AFE">
        <w:rPr>
          <w:rFonts w:asciiTheme="minorHAnsi" w:hAnsiTheme="minorHAnsi" w:cstheme="minorHAnsi"/>
          <w:color w:val="000000"/>
          <w:sz w:val="20"/>
          <w:szCs w:val="20"/>
        </w:rPr>
        <w:t>. Polity Press: Cambridge: Polity.</w:t>
      </w:r>
    </w:p>
  </w:endnote>
  <w:endnote w:id="153">
    <w:p w:rsidR="002B3E5E" w:rsidRPr="00F74AFE" w:rsidRDefault="002B3E5E" w:rsidP="0006560E">
      <w:pPr>
        <w:jc w:val="both"/>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color w:val="000000"/>
          <w:sz w:val="20"/>
          <w:szCs w:val="20"/>
        </w:rPr>
        <w:t xml:space="preserve">Flyvbjerg, B. (1998). </w:t>
      </w:r>
      <w:r w:rsidRPr="00F74AFE">
        <w:rPr>
          <w:rFonts w:asciiTheme="minorHAnsi" w:hAnsiTheme="minorHAnsi" w:cstheme="minorHAnsi"/>
          <w:i/>
          <w:color w:val="000000"/>
          <w:sz w:val="20"/>
          <w:szCs w:val="20"/>
        </w:rPr>
        <w:t>Rationality and Power: Democracy in Practice</w:t>
      </w:r>
      <w:r w:rsidRPr="00F74AFE">
        <w:rPr>
          <w:rFonts w:asciiTheme="minorHAnsi" w:hAnsiTheme="minorHAnsi" w:cstheme="minorHAnsi"/>
          <w:color w:val="000000"/>
          <w:sz w:val="20"/>
          <w:szCs w:val="20"/>
        </w:rPr>
        <w:t>. Chicago, IL: University of Chicago Press.</w:t>
      </w:r>
    </w:p>
  </w:endnote>
  <w:endnote w:id="154">
    <w:p w:rsidR="002B3E5E" w:rsidRPr="00F74AFE" w:rsidRDefault="002B3E5E" w:rsidP="0006560E">
      <w:pPr>
        <w:jc w:val="both"/>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w:t>
      </w:r>
      <w:r w:rsidRPr="00F74AFE">
        <w:rPr>
          <w:rFonts w:asciiTheme="minorHAnsi" w:hAnsiTheme="minorHAnsi" w:cstheme="minorHAnsi"/>
          <w:color w:val="000000"/>
          <w:sz w:val="20"/>
          <w:szCs w:val="20"/>
        </w:rPr>
        <w:t xml:space="preserve">Beck, U. (1992). </w:t>
      </w:r>
      <w:r w:rsidRPr="00F74AFE">
        <w:rPr>
          <w:rFonts w:asciiTheme="minorHAnsi" w:hAnsiTheme="minorHAnsi" w:cstheme="minorHAnsi"/>
          <w:i/>
          <w:color w:val="000000"/>
          <w:sz w:val="20"/>
          <w:szCs w:val="20"/>
        </w:rPr>
        <w:t>Risk Society: Towards a New Modernity</w:t>
      </w:r>
      <w:r w:rsidRPr="00F74AFE">
        <w:rPr>
          <w:rFonts w:asciiTheme="minorHAnsi" w:hAnsiTheme="minorHAnsi" w:cstheme="minorHAnsi"/>
          <w:color w:val="000000"/>
          <w:sz w:val="20"/>
          <w:szCs w:val="20"/>
        </w:rPr>
        <w:t>. New Delhi: Sage.</w:t>
      </w:r>
    </w:p>
  </w:endnote>
  <w:endnote w:id="155">
    <w:p w:rsidR="002B3E5E" w:rsidRPr="00F74AFE" w:rsidRDefault="002B3E5E" w:rsidP="0006560E">
      <w:pPr>
        <w:jc w:val="both"/>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w:t>
      </w:r>
      <w:r w:rsidRPr="00F74AFE">
        <w:rPr>
          <w:rFonts w:asciiTheme="minorHAnsi" w:hAnsiTheme="minorHAnsi" w:cstheme="minorHAnsi"/>
          <w:color w:val="000000"/>
          <w:sz w:val="20"/>
          <w:szCs w:val="20"/>
        </w:rPr>
        <w:t xml:space="preserve">Bernstein, P. (1998). </w:t>
      </w:r>
      <w:r w:rsidRPr="00F74AFE">
        <w:rPr>
          <w:rFonts w:asciiTheme="minorHAnsi" w:hAnsiTheme="minorHAnsi" w:cstheme="minorHAnsi"/>
          <w:i/>
          <w:color w:val="000000"/>
          <w:sz w:val="20"/>
          <w:szCs w:val="20"/>
        </w:rPr>
        <w:t>Against the Gods: The Remarkable Story of Risk</w:t>
      </w:r>
      <w:r w:rsidRPr="00F74AFE">
        <w:rPr>
          <w:rFonts w:asciiTheme="minorHAnsi" w:hAnsiTheme="minorHAnsi" w:cstheme="minorHAnsi"/>
          <w:color w:val="000000"/>
          <w:sz w:val="20"/>
          <w:szCs w:val="20"/>
        </w:rPr>
        <w:t>. New York: Wiley.</w:t>
      </w:r>
    </w:p>
  </w:endnote>
  <w:endnote w:id="156">
    <w:p w:rsidR="002B3E5E" w:rsidRPr="00F74AFE" w:rsidRDefault="002B3E5E" w:rsidP="0006560E">
      <w:pPr>
        <w:jc w:val="both"/>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color w:val="000000"/>
          <w:sz w:val="20"/>
          <w:szCs w:val="20"/>
        </w:rPr>
        <w:t xml:space="preserve">Ackoff, R. (1974). </w:t>
      </w:r>
      <w:r w:rsidRPr="00F74AFE">
        <w:rPr>
          <w:rFonts w:asciiTheme="minorHAnsi" w:hAnsiTheme="minorHAnsi" w:cstheme="minorHAnsi"/>
          <w:i/>
          <w:color w:val="000000"/>
          <w:sz w:val="20"/>
          <w:szCs w:val="20"/>
        </w:rPr>
        <w:t>Redesigning the Future: A Systems Approach to Societal Problems</w:t>
      </w:r>
      <w:r w:rsidRPr="00F74AFE">
        <w:rPr>
          <w:rFonts w:asciiTheme="minorHAnsi" w:hAnsiTheme="minorHAnsi" w:cstheme="minorHAnsi"/>
          <w:color w:val="000000"/>
          <w:sz w:val="20"/>
          <w:szCs w:val="20"/>
        </w:rPr>
        <w:t>, New York: Wiley.</w:t>
      </w:r>
    </w:p>
  </w:endnote>
  <w:endnote w:id="157">
    <w:p w:rsidR="002B3E5E" w:rsidRPr="00F74AFE" w:rsidRDefault="002B3E5E" w:rsidP="00930954">
      <w:pPr>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color w:val="000000"/>
          <w:sz w:val="20"/>
          <w:szCs w:val="20"/>
        </w:rPr>
        <w:t>Loosemore, M. (2006). Managing project risks. In S. Pryke and H. Smyth (eds.)</w:t>
      </w:r>
      <w:r w:rsidRPr="00F74AFE">
        <w:rPr>
          <w:rFonts w:asciiTheme="minorHAnsi" w:hAnsiTheme="minorHAnsi" w:cstheme="minorHAnsi"/>
          <w:i/>
          <w:color w:val="000000"/>
          <w:sz w:val="20"/>
          <w:szCs w:val="20"/>
        </w:rPr>
        <w:t xml:space="preserve">  The Management of Complex Projects: A Relational Approach</w:t>
      </w:r>
      <w:r w:rsidRPr="00F74AFE">
        <w:rPr>
          <w:rFonts w:asciiTheme="minorHAnsi" w:hAnsiTheme="minorHAnsi" w:cstheme="minorHAnsi"/>
          <w:color w:val="000000"/>
          <w:sz w:val="20"/>
          <w:szCs w:val="20"/>
        </w:rPr>
        <w:t>. Oxford: Blackwell.</w:t>
      </w:r>
    </w:p>
  </w:endnote>
  <w:endnote w:id="158">
    <w:p w:rsidR="002B3E5E" w:rsidRPr="00F74AFE" w:rsidRDefault="002B3E5E" w:rsidP="00E2497F">
      <w:pPr>
        <w:autoSpaceDE w:val="0"/>
        <w:autoSpaceDN w:val="0"/>
        <w:adjustRightInd w:val="0"/>
        <w:rPr>
          <w:rFonts w:asciiTheme="minorHAnsi" w:hAnsiTheme="minorHAnsi" w:cstheme="minorHAnsi"/>
          <w:sz w:val="20"/>
          <w:szCs w:val="20"/>
        </w:rPr>
      </w:pPr>
      <w:r w:rsidRPr="00F74AFE">
        <w:rPr>
          <w:rStyle w:val="EndnoteReference"/>
          <w:rFonts w:asciiTheme="minorHAnsi" w:eastAsia="Cambria" w:hAnsiTheme="minorHAnsi" w:cstheme="minorHAnsi"/>
          <w:sz w:val="20"/>
          <w:szCs w:val="20"/>
        </w:rPr>
        <w:endnoteRef/>
      </w:r>
      <w:r w:rsidRPr="00F74AFE">
        <w:rPr>
          <w:rFonts w:asciiTheme="minorHAnsi" w:hAnsiTheme="minorHAnsi" w:cstheme="minorHAnsi"/>
          <w:sz w:val="20"/>
          <w:szCs w:val="20"/>
        </w:rPr>
        <w:t xml:space="preserve"> Peattie, K., &amp; Peattie, S. (2003). Ready to Fly Solo?  Reducing Social Marketing's Dependence on Commercial Marketing Theory. </w:t>
      </w:r>
      <w:r w:rsidRPr="00F74AFE">
        <w:rPr>
          <w:rFonts w:asciiTheme="minorHAnsi" w:hAnsiTheme="minorHAnsi" w:cstheme="minorHAnsi"/>
          <w:i/>
          <w:iCs/>
          <w:sz w:val="20"/>
          <w:szCs w:val="20"/>
        </w:rPr>
        <w:t>Marketing Theory</w:t>
      </w:r>
      <w:r w:rsidRPr="00F74AFE">
        <w:rPr>
          <w:rFonts w:asciiTheme="minorHAnsi" w:hAnsiTheme="minorHAnsi" w:cstheme="minorHAnsi"/>
          <w:iCs/>
          <w:sz w:val="20"/>
          <w:szCs w:val="20"/>
        </w:rPr>
        <w:t>, 3</w:t>
      </w:r>
      <w:r w:rsidRPr="00F74AFE">
        <w:rPr>
          <w:rFonts w:asciiTheme="minorHAnsi" w:hAnsiTheme="minorHAnsi" w:cstheme="minorHAnsi"/>
          <w:sz w:val="20"/>
          <w:szCs w:val="20"/>
        </w:rPr>
        <w:t>(3), 365 - 385.</w:t>
      </w:r>
    </w:p>
  </w:endnote>
  <w:endnote w:id="159">
    <w:p w:rsidR="002B3E5E" w:rsidRPr="00F74AFE" w:rsidRDefault="002B3E5E" w:rsidP="00254C30">
      <w:pPr>
        <w:jc w:val="both"/>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OFCOM. (2010). Ofcom Publishes Product Placement Proposals. Retrieved 24 September 2010, from http://consumers.ofcom.org.uk/2010/06/ofcom-publishes-product-placement-proposals/</w:t>
      </w:r>
    </w:p>
  </w:endnote>
  <w:endnote w:id="160">
    <w:p w:rsidR="002B3E5E" w:rsidRPr="00F74AFE" w:rsidRDefault="002B3E5E" w:rsidP="00254C30">
      <w:pPr>
        <w:pStyle w:val="EndnoteText"/>
        <w:spacing w:after="0"/>
        <w:rPr>
          <w:rFonts w:asciiTheme="minorHAnsi" w:hAnsiTheme="minorHAnsi" w:cstheme="minorHAnsi"/>
        </w:rPr>
      </w:pPr>
      <w:r w:rsidRPr="00F74AFE">
        <w:rPr>
          <w:rStyle w:val="EndnoteReference"/>
          <w:rFonts w:asciiTheme="minorHAnsi" w:hAnsiTheme="minorHAnsi" w:cstheme="minorHAnsi"/>
        </w:rPr>
        <w:endnoteRef/>
      </w:r>
      <w:r w:rsidRPr="00F74AFE">
        <w:rPr>
          <w:rFonts w:asciiTheme="minorHAnsi" w:hAnsiTheme="minorHAnsi" w:cstheme="minorHAnsi"/>
        </w:rPr>
        <w:t xml:space="preserve"> Sunbed [Regulation] Act, 2010.  </w:t>
      </w:r>
    </w:p>
  </w:endnote>
  <w:endnote w:id="161">
    <w:p w:rsidR="002B3E5E" w:rsidRPr="00F74AFE" w:rsidRDefault="002B3E5E" w:rsidP="00786BBF">
      <w:pPr>
        <w:jc w:val="both"/>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w:t>
      </w:r>
      <w:r w:rsidRPr="00F74AFE">
        <w:rPr>
          <w:rFonts w:asciiTheme="minorHAnsi" w:hAnsiTheme="minorHAnsi" w:cstheme="minorHAnsi"/>
          <w:color w:val="000000"/>
          <w:sz w:val="20"/>
          <w:szCs w:val="20"/>
        </w:rPr>
        <w:t>Office for National Statistic</w:t>
      </w:r>
      <w:r w:rsidRPr="00F74AFE">
        <w:rPr>
          <w:rFonts w:asciiTheme="minorHAnsi" w:hAnsiTheme="minorHAnsi" w:cstheme="minorHAnsi"/>
          <w:sz w:val="20"/>
          <w:szCs w:val="20"/>
        </w:rPr>
        <w:t xml:space="preserve">s (2006). </w:t>
      </w:r>
      <w:r w:rsidRPr="00F74AFE">
        <w:rPr>
          <w:rFonts w:asciiTheme="minorHAnsi" w:hAnsiTheme="minorHAnsi" w:cstheme="minorHAnsi"/>
          <w:i/>
          <w:sz w:val="20"/>
          <w:szCs w:val="20"/>
        </w:rPr>
        <w:t>Mortality Statistics: Cause, England and Wales  2005</w:t>
      </w:r>
      <w:r w:rsidRPr="00F74AFE">
        <w:rPr>
          <w:rFonts w:asciiTheme="minorHAnsi" w:hAnsiTheme="minorHAnsi" w:cstheme="minorHAnsi"/>
          <w:sz w:val="20"/>
          <w:szCs w:val="20"/>
        </w:rPr>
        <w:t xml:space="preserve">. </w:t>
      </w:r>
      <w:r w:rsidRPr="00F74AFE">
        <w:rPr>
          <w:rFonts w:asciiTheme="minorHAnsi" w:hAnsiTheme="minorHAnsi" w:cstheme="minorHAnsi"/>
          <w:color w:val="000000"/>
          <w:sz w:val="20"/>
          <w:szCs w:val="20"/>
        </w:rPr>
        <w:t>London:  Office for National Statistics.</w:t>
      </w:r>
    </w:p>
  </w:endnote>
  <w:endnote w:id="162">
    <w:p w:rsidR="002B3E5E" w:rsidRPr="00F74AFE" w:rsidRDefault="002B3E5E" w:rsidP="00A86BD6">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Kliatchko, J. G. (2008). Revisiting the IMC construct. </w:t>
      </w:r>
      <w:r w:rsidRPr="00F74AFE">
        <w:rPr>
          <w:rFonts w:asciiTheme="minorHAnsi" w:hAnsiTheme="minorHAnsi" w:cstheme="minorHAnsi"/>
          <w:i/>
          <w:iCs/>
          <w:sz w:val="20"/>
          <w:szCs w:val="20"/>
        </w:rPr>
        <w:t>International Journal of Advertising</w:t>
      </w:r>
      <w:r w:rsidRPr="00F74AFE">
        <w:rPr>
          <w:rFonts w:asciiTheme="minorHAnsi" w:hAnsiTheme="minorHAnsi" w:cstheme="minorHAnsi"/>
          <w:iCs/>
          <w:sz w:val="20"/>
          <w:szCs w:val="20"/>
        </w:rPr>
        <w:t>, 27</w:t>
      </w:r>
      <w:r w:rsidRPr="00F74AFE">
        <w:rPr>
          <w:rFonts w:asciiTheme="minorHAnsi" w:hAnsiTheme="minorHAnsi" w:cstheme="minorHAnsi"/>
          <w:sz w:val="20"/>
          <w:szCs w:val="20"/>
        </w:rPr>
        <w:t>(1), 133-160.</w:t>
      </w:r>
    </w:p>
  </w:endnote>
  <w:endnote w:id="163">
    <w:p w:rsidR="002B3E5E" w:rsidRPr="00F74AFE" w:rsidRDefault="002B3E5E" w:rsidP="00A86BD6">
      <w:pPr>
        <w:pStyle w:val="EndnoteText"/>
        <w:spacing w:after="0"/>
        <w:rPr>
          <w:rFonts w:asciiTheme="minorHAnsi" w:hAnsiTheme="minorHAnsi" w:cstheme="minorHAnsi"/>
        </w:rPr>
      </w:pPr>
      <w:r w:rsidRPr="00F74AFE">
        <w:rPr>
          <w:rStyle w:val="EndnoteReference"/>
          <w:rFonts w:asciiTheme="minorHAnsi" w:hAnsiTheme="minorHAnsi" w:cstheme="minorHAnsi"/>
        </w:rPr>
        <w:endnoteRef/>
      </w:r>
      <w:r w:rsidRPr="00F74AFE">
        <w:rPr>
          <w:rFonts w:asciiTheme="minorHAnsi" w:hAnsiTheme="minorHAnsi" w:cstheme="minorHAnsi"/>
        </w:rPr>
        <w:t xml:space="preserve"> Kitchen, P.J.&amp; dePelsmacker, P. (2004).  </w:t>
      </w:r>
      <w:r w:rsidRPr="00F74AFE">
        <w:rPr>
          <w:rFonts w:asciiTheme="minorHAnsi" w:hAnsiTheme="minorHAnsi" w:cstheme="minorHAnsi"/>
          <w:i/>
        </w:rPr>
        <w:t>Integrated Marketing Communication:  A Primer</w:t>
      </w:r>
      <w:r w:rsidRPr="00F74AFE">
        <w:rPr>
          <w:rFonts w:asciiTheme="minorHAnsi" w:hAnsiTheme="minorHAnsi" w:cstheme="minorHAnsi"/>
        </w:rPr>
        <w:t>.  London, Routledge.</w:t>
      </w:r>
    </w:p>
  </w:endnote>
  <w:endnote w:id="164">
    <w:p w:rsidR="002B3E5E" w:rsidRPr="00F74AFE" w:rsidRDefault="002B3E5E" w:rsidP="00AE45CB">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Dobscha, S. (2007). The New Influencers: A Marketer's Guide to the New Social Media. </w:t>
      </w:r>
      <w:r w:rsidRPr="00F74AFE">
        <w:rPr>
          <w:rFonts w:asciiTheme="minorHAnsi" w:hAnsiTheme="minorHAnsi" w:cstheme="minorHAnsi"/>
          <w:i/>
          <w:iCs/>
          <w:sz w:val="20"/>
          <w:szCs w:val="20"/>
        </w:rPr>
        <w:t>International Journal of Advertising</w:t>
      </w:r>
      <w:r w:rsidRPr="00F74AFE">
        <w:rPr>
          <w:rFonts w:asciiTheme="minorHAnsi" w:hAnsiTheme="minorHAnsi" w:cstheme="minorHAnsi"/>
          <w:iCs/>
          <w:sz w:val="20"/>
          <w:szCs w:val="20"/>
        </w:rPr>
        <w:t>, 26</w:t>
      </w:r>
      <w:r w:rsidRPr="00F74AFE">
        <w:rPr>
          <w:rFonts w:asciiTheme="minorHAnsi" w:hAnsiTheme="minorHAnsi" w:cstheme="minorHAnsi"/>
          <w:sz w:val="20"/>
          <w:szCs w:val="20"/>
        </w:rPr>
        <w:t>(4), 567-569.</w:t>
      </w:r>
    </w:p>
  </w:endnote>
  <w:endnote w:id="165">
    <w:p w:rsidR="002B3E5E" w:rsidRPr="00F74AFE" w:rsidRDefault="002B3E5E" w:rsidP="00AE45CB">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Travis, D. (2000) </w:t>
      </w:r>
      <w:r w:rsidRPr="00F74AFE">
        <w:rPr>
          <w:rFonts w:asciiTheme="minorHAnsi" w:hAnsiTheme="minorHAnsi" w:cstheme="minorHAnsi"/>
          <w:i/>
          <w:iCs/>
          <w:sz w:val="20"/>
          <w:szCs w:val="20"/>
        </w:rPr>
        <w:t>Emotional Branding: How Successful Brands Gain the Irrational Edge</w:t>
      </w:r>
      <w:r w:rsidRPr="00F74AFE">
        <w:rPr>
          <w:rFonts w:asciiTheme="minorHAnsi" w:hAnsiTheme="minorHAnsi" w:cstheme="minorHAnsi"/>
          <w:sz w:val="20"/>
          <w:szCs w:val="20"/>
        </w:rPr>
        <w:t>.</w:t>
      </w:r>
    </w:p>
    <w:p w:rsidR="002B3E5E" w:rsidRPr="00F74AFE" w:rsidRDefault="002B3E5E" w:rsidP="00AE45CB">
      <w:pPr>
        <w:autoSpaceDE w:val="0"/>
        <w:autoSpaceDN w:val="0"/>
        <w:adjustRightInd w:val="0"/>
        <w:rPr>
          <w:rFonts w:asciiTheme="minorHAnsi" w:hAnsiTheme="minorHAnsi" w:cstheme="minorHAnsi"/>
          <w:sz w:val="20"/>
          <w:szCs w:val="20"/>
        </w:rPr>
      </w:pPr>
      <w:r w:rsidRPr="00F74AFE">
        <w:rPr>
          <w:rFonts w:asciiTheme="minorHAnsi" w:hAnsiTheme="minorHAnsi" w:cstheme="minorHAnsi"/>
          <w:sz w:val="20"/>
          <w:szCs w:val="20"/>
        </w:rPr>
        <w:t xml:space="preserve">Roseville, CA: Prima Venture. Cited in Peattie, K., &amp; Peattie, S. (2003). Ready to Fly Solo?  Reducing Social Marketing's Dependence on Commercial Marketing Theory. </w:t>
      </w:r>
      <w:r w:rsidRPr="00F74AFE">
        <w:rPr>
          <w:rFonts w:asciiTheme="minorHAnsi" w:hAnsiTheme="minorHAnsi" w:cstheme="minorHAnsi"/>
          <w:i/>
          <w:iCs/>
          <w:sz w:val="20"/>
          <w:szCs w:val="20"/>
        </w:rPr>
        <w:t>Marketing Theory</w:t>
      </w:r>
      <w:r w:rsidRPr="00F74AFE">
        <w:rPr>
          <w:rFonts w:asciiTheme="minorHAnsi" w:hAnsiTheme="minorHAnsi" w:cstheme="minorHAnsi"/>
          <w:iCs/>
          <w:sz w:val="20"/>
          <w:szCs w:val="20"/>
        </w:rPr>
        <w:t xml:space="preserve"> 3</w:t>
      </w:r>
      <w:r w:rsidRPr="00F74AFE">
        <w:rPr>
          <w:rFonts w:asciiTheme="minorHAnsi" w:hAnsiTheme="minorHAnsi" w:cstheme="minorHAnsi"/>
          <w:i/>
          <w:iCs/>
          <w:sz w:val="20"/>
          <w:szCs w:val="20"/>
        </w:rPr>
        <w:t>,</w:t>
      </w:r>
      <w:r w:rsidRPr="00F74AFE">
        <w:rPr>
          <w:rFonts w:asciiTheme="minorHAnsi" w:hAnsiTheme="minorHAnsi" w:cstheme="minorHAnsi"/>
          <w:sz w:val="20"/>
          <w:szCs w:val="20"/>
        </w:rPr>
        <w:t xml:space="preserve"> (3), 365 - 385.</w:t>
      </w:r>
    </w:p>
  </w:endnote>
  <w:endnote w:id="166">
    <w:p w:rsidR="002B3E5E" w:rsidRPr="00F74AFE" w:rsidRDefault="002B3E5E" w:rsidP="00AE45CB">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Crane, A. (2000). Marketing and the Natural Environment: What Role for Morality? </w:t>
      </w:r>
      <w:r w:rsidRPr="00F74AFE">
        <w:rPr>
          <w:rFonts w:asciiTheme="minorHAnsi" w:hAnsiTheme="minorHAnsi" w:cstheme="minorHAnsi"/>
          <w:i/>
          <w:iCs/>
          <w:sz w:val="20"/>
          <w:szCs w:val="20"/>
        </w:rPr>
        <w:t>Journal of Macromarketing</w:t>
      </w:r>
      <w:r w:rsidRPr="00F74AFE">
        <w:rPr>
          <w:rFonts w:asciiTheme="minorHAnsi" w:hAnsiTheme="minorHAnsi" w:cstheme="minorHAnsi"/>
          <w:iCs/>
          <w:sz w:val="20"/>
          <w:szCs w:val="20"/>
        </w:rPr>
        <w:t>, 20</w:t>
      </w:r>
      <w:r w:rsidRPr="00F74AFE">
        <w:rPr>
          <w:rFonts w:asciiTheme="minorHAnsi" w:hAnsiTheme="minorHAnsi" w:cstheme="minorHAnsi"/>
          <w:sz w:val="20"/>
          <w:szCs w:val="20"/>
        </w:rPr>
        <w:t xml:space="preserve">(2), 144. Cited in Peattie, K., &amp; Peattie, S. (2003). Ready to Fly Solo?  Reducing Social Marketing's Dependence on Commercial Marketing Theory. </w:t>
      </w:r>
      <w:r w:rsidRPr="00F74AFE">
        <w:rPr>
          <w:rFonts w:asciiTheme="minorHAnsi" w:hAnsiTheme="minorHAnsi" w:cstheme="minorHAnsi"/>
          <w:i/>
          <w:iCs/>
          <w:sz w:val="20"/>
          <w:szCs w:val="20"/>
        </w:rPr>
        <w:t>Marketing Theory</w:t>
      </w:r>
      <w:r w:rsidRPr="00F74AFE">
        <w:rPr>
          <w:rFonts w:asciiTheme="minorHAnsi" w:hAnsiTheme="minorHAnsi" w:cstheme="minorHAnsi"/>
          <w:iCs/>
          <w:sz w:val="20"/>
          <w:szCs w:val="20"/>
        </w:rPr>
        <w:t>, 3</w:t>
      </w:r>
      <w:r w:rsidRPr="00F74AFE">
        <w:rPr>
          <w:rFonts w:asciiTheme="minorHAnsi" w:hAnsiTheme="minorHAnsi" w:cstheme="minorHAnsi"/>
          <w:sz w:val="20"/>
          <w:szCs w:val="20"/>
        </w:rPr>
        <w:t>(3), 365 - 385.</w:t>
      </w:r>
    </w:p>
  </w:endnote>
  <w:endnote w:id="167">
    <w:p w:rsidR="002B3E5E" w:rsidRPr="00F74AFE" w:rsidRDefault="002B3E5E" w:rsidP="00AE45CB">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Sarkar, N. (2006). Emergency contraception: a contraceptive intervention approaching target despite controversy and opposition. </w:t>
      </w:r>
      <w:r w:rsidRPr="00F74AFE">
        <w:rPr>
          <w:rFonts w:asciiTheme="minorHAnsi" w:hAnsiTheme="minorHAnsi" w:cstheme="minorHAnsi"/>
          <w:i/>
          <w:iCs/>
          <w:sz w:val="20"/>
          <w:szCs w:val="20"/>
        </w:rPr>
        <w:t>Journal of Public Health</w:t>
      </w:r>
      <w:r w:rsidRPr="00F74AFE">
        <w:rPr>
          <w:rFonts w:asciiTheme="minorHAnsi" w:hAnsiTheme="minorHAnsi" w:cstheme="minorHAnsi"/>
          <w:iCs/>
          <w:sz w:val="20"/>
          <w:szCs w:val="20"/>
        </w:rPr>
        <w:t>, 14</w:t>
      </w:r>
      <w:r w:rsidRPr="00F74AFE">
        <w:rPr>
          <w:rFonts w:asciiTheme="minorHAnsi" w:hAnsiTheme="minorHAnsi" w:cstheme="minorHAnsi"/>
          <w:sz w:val="20"/>
          <w:szCs w:val="20"/>
        </w:rPr>
        <w:t>(3), 164-173.</w:t>
      </w:r>
    </w:p>
  </w:endnote>
  <w:endnote w:id="168">
    <w:p w:rsidR="002B3E5E" w:rsidRPr="00F74AFE" w:rsidRDefault="002B3E5E" w:rsidP="00AE45CB">
      <w:pPr>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Kemp, G., Eagle, L.C. &amp; Verne, J. (forthcoming) The Bronze Debate: Looking Gold versus Getting Old. </w:t>
      </w:r>
      <w:r w:rsidRPr="00F74AFE">
        <w:rPr>
          <w:rFonts w:asciiTheme="minorHAnsi" w:hAnsiTheme="minorHAnsi" w:cstheme="minorHAnsi"/>
          <w:i/>
          <w:sz w:val="20"/>
          <w:szCs w:val="20"/>
        </w:rPr>
        <w:t>Journal of Research for Consumers</w:t>
      </w:r>
      <w:r w:rsidRPr="00F74AFE">
        <w:rPr>
          <w:rFonts w:asciiTheme="minorHAnsi" w:hAnsiTheme="minorHAnsi" w:cstheme="minorHAnsi"/>
          <w:sz w:val="20"/>
          <w:szCs w:val="20"/>
        </w:rPr>
        <w:t xml:space="preserve">. </w:t>
      </w:r>
    </w:p>
  </w:endnote>
  <w:endnote w:id="169">
    <w:p w:rsidR="002B3E5E" w:rsidRPr="00F74AFE" w:rsidRDefault="002B3E5E" w:rsidP="00E2497F">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Kline, K. (2006) A Decade of Research on Health Content in the Media:  The Focus on Health Challenges and Sociocultural Context and Attendant Informational and Ideological Problems. </w:t>
      </w:r>
      <w:r w:rsidRPr="00F74AFE">
        <w:rPr>
          <w:rFonts w:asciiTheme="minorHAnsi" w:hAnsiTheme="minorHAnsi" w:cstheme="minorHAnsi"/>
          <w:i/>
          <w:iCs/>
          <w:sz w:val="20"/>
          <w:szCs w:val="20"/>
        </w:rPr>
        <w:t xml:space="preserve">Journal of Health Communication, </w:t>
      </w:r>
      <w:r w:rsidRPr="00F74AFE">
        <w:rPr>
          <w:rFonts w:asciiTheme="minorHAnsi" w:hAnsiTheme="minorHAnsi" w:cstheme="minorHAnsi"/>
          <w:iCs/>
          <w:sz w:val="20"/>
          <w:szCs w:val="20"/>
        </w:rPr>
        <w:t>11</w:t>
      </w:r>
      <w:r w:rsidRPr="00F74AFE">
        <w:rPr>
          <w:rFonts w:asciiTheme="minorHAnsi" w:hAnsiTheme="minorHAnsi" w:cstheme="minorHAnsi"/>
          <w:sz w:val="20"/>
          <w:szCs w:val="20"/>
        </w:rPr>
        <w:t>, 43 - 59.</w:t>
      </w:r>
    </w:p>
  </w:endnote>
  <w:endnote w:id="170">
    <w:p w:rsidR="002B3E5E" w:rsidRPr="00F74AFE" w:rsidRDefault="002B3E5E" w:rsidP="00786BBF">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Larsson, A., Oxman, A. D., Carling, C., &amp; Herrin, J. (2003) Medical Messages in the Media - Barriers and Solutions to Improving Medical Journalism. </w:t>
      </w:r>
      <w:r w:rsidRPr="00F74AFE">
        <w:rPr>
          <w:rFonts w:asciiTheme="minorHAnsi" w:hAnsiTheme="minorHAnsi" w:cstheme="minorHAnsi"/>
          <w:i/>
          <w:iCs/>
          <w:sz w:val="20"/>
          <w:szCs w:val="20"/>
        </w:rPr>
        <w:t xml:space="preserve">Health Expectations, </w:t>
      </w:r>
      <w:r w:rsidRPr="00F74AFE">
        <w:rPr>
          <w:rFonts w:asciiTheme="minorHAnsi" w:hAnsiTheme="minorHAnsi" w:cstheme="minorHAnsi"/>
          <w:iCs/>
          <w:sz w:val="20"/>
          <w:szCs w:val="20"/>
        </w:rPr>
        <w:t>6</w:t>
      </w:r>
      <w:r w:rsidRPr="00F74AFE">
        <w:rPr>
          <w:rFonts w:asciiTheme="minorHAnsi" w:hAnsiTheme="minorHAnsi" w:cstheme="minorHAnsi"/>
          <w:sz w:val="20"/>
          <w:szCs w:val="20"/>
        </w:rPr>
        <w:t>, 323 - 331.</w:t>
      </w:r>
    </w:p>
  </w:endnote>
  <w:endnote w:id="171">
    <w:p w:rsidR="002B3E5E" w:rsidRPr="00F74AFE" w:rsidRDefault="002B3E5E" w:rsidP="00AE45CB">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Kotler, P., Roberto, N., &amp; Lee, N. (2002). </w:t>
      </w:r>
      <w:r w:rsidRPr="00F74AFE">
        <w:rPr>
          <w:rFonts w:asciiTheme="minorHAnsi" w:hAnsiTheme="minorHAnsi" w:cstheme="minorHAnsi"/>
          <w:i/>
          <w:iCs/>
          <w:sz w:val="20"/>
          <w:szCs w:val="20"/>
        </w:rPr>
        <w:t>Social Marketing.  Improving the Quality of Life</w:t>
      </w:r>
      <w:r w:rsidRPr="00F74AFE">
        <w:rPr>
          <w:rFonts w:asciiTheme="minorHAnsi" w:hAnsiTheme="minorHAnsi" w:cstheme="minorHAnsi"/>
          <w:sz w:val="20"/>
          <w:szCs w:val="20"/>
        </w:rPr>
        <w:t>. Thousand Oaks, CA: Sage Publications.</w:t>
      </w:r>
    </w:p>
  </w:endnote>
  <w:endnote w:id="172">
    <w:p w:rsidR="002B3E5E" w:rsidRPr="00F74AFE" w:rsidRDefault="002B3E5E" w:rsidP="00B52F86">
      <w:pPr>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Eagle, L., Jones, S., and Kemp, G. Who can you trust? Deciphering Decline in Trust of Government-sponsored Sources of Health Information. Paper accepted for 2011 World Social Marketing Conference, Dublin.</w:t>
      </w:r>
    </w:p>
  </w:endnote>
  <w:endnote w:id="173">
    <w:p w:rsidR="002B3E5E" w:rsidRPr="00F74AFE" w:rsidRDefault="002B3E5E" w:rsidP="00BE0F24">
      <w:pPr>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Eagle, L.C., Kemp, G. &amp; Verne, J. (2010). Mass Media Barriers to Social Marketing Interventions:  The Example of Sun Protection.  </w:t>
      </w:r>
      <w:r w:rsidRPr="00F74AFE">
        <w:rPr>
          <w:rFonts w:asciiTheme="minorHAnsi" w:hAnsiTheme="minorHAnsi" w:cstheme="minorHAnsi"/>
          <w:i/>
          <w:sz w:val="20"/>
          <w:szCs w:val="20"/>
        </w:rPr>
        <w:t>Health Promotion International</w:t>
      </w:r>
      <w:r w:rsidRPr="00F74AFE">
        <w:rPr>
          <w:rFonts w:asciiTheme="minorHAnsi" w:hAnsiTheme="minorHAnsi" w:cstheme="minorHAnsi"/>
          <w:sz w:val="20"/>
          <w:szCs w:val="20"/>
        </w:rPr>
        <w:t>, advance access August, 1 – 10.</w:t>
      </w:r>
    </w:p>
  </w:endnote>
  <w:endnote w:id="174">
    <w:p w:rsidR="002B3E5E" w:rsidRPr="00F74AFE" w:rsidRDefault="002B3E5E" w:rsidP="00E268F9">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Ajzen, I. (2002). Perceived Behavioral Control, Self-Efficacy, Locus of Control, and the Theory of Planned Behavior1. </w:t>
      </w:r>
      <w:r w:rsidRPr="00F74AFE">
        <w:rPr>
          <w:rFonts w:asciiTheme="minorHAnsi" w:hAnsiTheme="minorHAnsi" w:cstheme="minorHAnsi"/>
          <w:i/>
          <w:iCs/>
          <w:sz w:val="20"/>
          <w:szCs w:val="20"/>
        </w:rPr>
        <w:t>Journal of Applied Social Psychology</w:t>
      </w:r>
      <w:r w:rsidRPr="00F74AFE">
        <w:rPr>
          <w:rFonts w:asciiTheme="minorHAnsi" w:hAnsiTheme="minorHAnsi" w:cstheme="minorHAnsi"/>
          <w:iCs/>
          <w:sz w:val="20"/>
          <w:szCs w:val="20"/>
        </w:rPr>
        <w:t>, 32</w:t>
      </w:r>
      <w:r w:rsidRPr="00F74AFE">
        <w:rPr>
          <w:rFonts w:asciiTheme="minorHAnsi" w:hAnsiTheme="minorHAnsi" w:cstheme="minorHAnsi"/>
          <w:sz w:val="20"/>
          <w:szCs w:val="20"/>
        </w:rPr>
        <w:t>(4), 665-683.</w:t>
      </w:r>
    </w:p>
  </w:endnote>
  <w:endnote w:id="175">
    <w:p w:rsidR="002B3E5E" w:rsidRPr="00F74AFE" w:rsidRDefault="002B3E5E" w:rsidP="00E268F9">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Armitage, C. J., &amp; Conner, M. (2001). Efficacy of the Theory of Planned Behaviour: A meta-analytic review. </w:t>
      </w:r>
      <w:r w:rsidRPr="00F74AFE">
        <w:rPr>
          <w:rFonts w:asciiTheme="minorHAnsi" w:hAnsiTheme="minorHAnsi" w:cstheme="minorHAnsi"/>
          <w:i/>
          <w:iCs/>
          <w:sz w:val="20"/>
          <w:szCs w:val="20"/>
        </w:rPr>
        <w:t>British Journal of Social Psychology</w:t>
      </w:r>
      <w:r w:rsidRPr="00F74AFE">
        <w:rPr>
          <w:rFonts w:asciiTheme="minorHAnsi" w:hAnsiTheme="minorHAnsi" w:cstheme="minorHAnsi"/>
          <w:iCs/>
          <w:sz w:val="20"/>
          <w:szCs w:val="20"/>
        </w:rPr>
        <w:t>, 40</w:t>
      </w:r>
      <w:r w:rsidRPr="00F74AFE">
        <w:rPr>
          <w:rFonts w:asciiTheme="minorHAnsi" w:hAnsiTheme="minorHAnsi" w:cstheme="minorHAnsi"/>
          <w:sz w:val="20"/>
          <w:szCs w:val="20"/>
        </w:rPr>
        <w:t>(4), 471-499.</w:t>
      </w:r>
    </w:p>
  </w:endnote>
  <w:endnote w:id="176">
    <w:p w:rsidR="002B3E5E" w:rsidRPr="00F74AFE" w:rsidRDefault="002B3E5E" w:rsidP="00E268F9">
      <w:pPr>
        <w:rPr>
          <w:rFonts w:asciiTheme="minorHAnsi" w:hAnsiTheme="minorHAnsi" w:cstheme="minorHAnsi"/>
          <w:sz w:val="20"/>
          <w:szCs w:val="20"/>
        </w:rPr>
      </w:pPr>
      <w:r w:rsidRPr="00F74AFE">
        <w:rPr>
          <w:rStyle w:val="EndnoteReference"/>
          <w:rFonts w:asciiTheme="minorHAnsi" w:eastAsiaTheme="majorEastAsia" w:hAnsiTheme="minorHAnsi" w:cstheme="minorHAnsi"/>
          <w:sz w:val="20"/>
          <w:szCs w:val="20"/>
        </w:rPr>
        <w:endnoteRef/>
      </w:r>
      <w:r w:rsidRPr="00F74AFE">
        <w:rPr>
          <w:rFonts w:asciiTheme="minorHAnsi" w:hAnsiTheme="minorHAnsi" w:cstheme="minorHAnsi"/>
          <w:sz w:val="20"/>
          <w:szCs w:val="20"/>
        </w:rPr>
        <w:t xml:space="preserve"> Reason, J., Manstead, A., Stardling, S., Baxter, J. and Campbell K. (1990) Errors and violations on the road: a real distinction. Ergonomics, 33(10/11), 1315–1332.</w:t>
      </w:r>
    </w:p>
  </w:endnote>
  <w:endnote w:id="177">
    <w:p w:rsidR="002B3E5E" w:rsidRPr="00F74AFE" w:rsidRDefault="002B3E5E" w:rsidP="00E268F9">
      <w:pPr>
        <w:rPr>
          <w:rFonts w:asciiTheme="minorHAnsi" w:hAnsiTheme="minorHAnsi" w:cstheme="minorHAnsi"/>
          <w:sz w:val="20"/>
          <w:szCs w:val="20"/>
        </w:rPr>
      </w:pPr>
      <w:r w:rsidRPr="00F74AFE">
        <w:rPr>
          <w:rStyle w:val="EndnoteReference"/>
          <w:rFonts w:asciiTheme="minorHAnsi" w:eastAsiaTheme="majorEastAsia" w:hAnsiTheme="minorHAnsi" w:cstheme="minorHAnsi"/>
          <w:sz w:val="20"/>
          <w:szCs w:val="20"/>
        </w:rPr>
        <w:endnoteRef/>
      </w:r>
      <w:r w:rsidRPr="00F74AFE">
        <w:rPr>
          <w:rFonts w:asciiTheme="minorHAnsi" w:hAnsiTheme="minorHAnsi" w:cstheme="minorHAnsi"/>
          <w:sz w:val="20"/>
          <w:szCs w:val="20"/>
        </w:rPr>
        <w:t xml:space="preserve"> Parker, D., Reason, J . T., Manstead, A. S. R. and Stradling, S. G. (1995). Driving errors, driving violations and accident involvement. Ergonomics, 38(5), 1036–1048.</w:t>
      </w:r>
    </w:p>
  </w:endnote>
  <w:endnote w:id="178">
    <w:p w:rsidR="002B3E5E" w:rsidRPr="00F74AFE" w:rsidRDefault="002B3E5E" w:rsidP="00BE0F24">
      <w:pPr>
        <w:rPr>
          <w:rFonts w:asciiTheme="minorHAnsi" w:hAnsiTheme="minorHAnsi" w:cstheme="minorHAnsi"/>
          <w:sz w:val="20"/>
          <w:szCs w:val="20"/>
        </w:rPr>
      </w:pPr>
      <w:r w:rsidRPr="00F74AFE">
        <w:rPr>
          <w:rStyle w:val="EndnoteReference"/>
          <w:rFonts w:asciiTheme="minorHAnsi" w:eastAsiaTheme="majorEastAsia" w:hAnsiTheme="minorHAnsi" w:cstheme="minorHAnsi"/>
          <w:sz w:val="20"/>
          <w:szCs w:val="20"/>
        </w:rPr>
        <w:endnoteRef/>
      </w:r>
      <w:r w:rsidRPr="00F74AFE">
        <w:rPr>
          <w:rFonts w:asciiTheme="minorHAnsi" w:hAnsiTheme="minorHAnsi" w:cstheme="minorHAnsi"/>
          <w:sz w:val="20"/>
          <w:szCs w:val="20"/>
        </w:rPr>
        <w:t xml:space="preserve"> Musselwhite, C.B.A., Avineri, E., Fulcher, E., and Susilo, Y.O. (2010). Understanding Public Attitudes to Road-User Safety – Literature Review. Road Safety Research Report No. 112. The Department for Transport, London.</w:t>
      </w:r>
    </w:p>
  </w:endnote>
  <w:endnote w:id="179">
    <w:p w:rsidR="002B3E5E" w:rsidRPr="00F74AFE" w:rsidRDefault="002B3E5E" w:rsidP="002A0207">
      <w:pPr>
        <w:pStyle w:val="EndnoteText"/>
        <w:spacing w:after="0"/>
        <w:rPr>
          <w:rFonts w:asciiTheme="minorHAnsi" w:hAnsiTheme="minorHAnsi" w:cstheme="minorHAnsi"/>
        </w:rPr>
      </w:pPr>
      <w:r w:rsidRPr="00F74AFE">
        <w:rPr>
          <w:rStyle w:val="EndnoteReference"/>
          <w:rFonts w:asciiTheme="minorHAnsi" w:hAnsiTheme="minorHAnsi" w:cstheme="minorHAnsi"/>
        </w:rPr>
        <w:endnoteRef/>
      </w:r>
      <w:r w:rsidRPr="00F74AFE">
        <w:rPr>
          <w:rFonts w:asciiTheme="minorHAnsi" w:hAnsiTheme="minorHAnsi" w:cstheme="minorHAnsi"/>
        </w:rPr>
        <w:t xml:space="preserve"> Avineri, E., &amp; Goodwin, P. (2010). </w:t>
      </w:r>
      <w:r w:rsidRPr="00F74AFE">
        <w:rPr>
          <w:rFonts w:asciiTheme="minorHAnsi" w:hAnsiTheme="minorHAnsi" w:cstheme="minorHAnsi"/>
          <w:i/>
          <w:iCs/>
        </w:rPr>
        <w:t>Individual Behaviour Change:  Evidence in Transport and Public Health</w:t>
      </w:r>
      <w:r w:rsidRPr="00F74AFE">
        <w:rPr>
          <w:rFonts w:asciiTheme="minorHAnsi" w:hAnsiTheme="minorHAnsi" w:cstheme="minorHAnsi"/>
        </w:rPr>
        <w:t>. London: The Department for Transport (by UWE Centre for Transport &amp; Society).</w:t>
      </w:r>
    </w:p>
  </w:endnote>
  <w:endnote w:id="180">
    <w:p w:rsidR="002B3E5E" w:rsidRPr="00F74AFE" w:rsidRDefault="002B3E5E" w:rsidP="002A0207">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Sugden, R. (2009). On Nudging: A Review of Nudge: Improving Decisions About Health, Wealth and Happiness by Richard H. Thaler and Cass R. Sunstein. </w:t>
      </w:r>
      <w:r w:rsidRPr="00F74AFE">
        <w:rPr>
          <w:rFonts w:asciiTheme="minorHAnsi" w:hAnsiTheme="minorHAnsi" w:cstheme="minorHAnsi"/>
          <w:i/>
          <w:iCs/>
          <w:sz w:val="20"/>
          <w:szCs w:val="20"/>
        </w:rPr>
        <w:t>International Journal of the Economics of Business</w:t>
      </w:r>
      <w:r w:rsidRPr="00F74AFE">
        <w:rPr>
          <w:rFonts w:asciiTheme="minorHAnsi" w:hAnsiTheme="minorHAnsi" w:cstheme="minorHAnsi"/>
          <w:iCs/>
          <w:sz w:val="20"/>
          <w:szCs w:val="20"/>
        </w:rPr>
        <w:t>, 16</w:t>
      </w:r>
      <w:r w:rsidRPr="00F74AFE">
        <w:rPr>
          <w:rFonts w:asciiTheme="minorHAnsi" w:hAnsiTheme="minorHAnsi" w:cstheme="minorHAnsi"/>
          <w:sz w:val="20"/>
          <w:szCs w:val="20"/>
        </w:rPr>
        <w:t>(3), 365-373.</w:t>
      </w:r>
    </w:p>
  </w:endnote>
  <w:endnote w:id="181">
    <w:p w:rsidR="002B3E5E" w:rsidRPr="00F74AFE" w:rsidRDefault="002B3E5E" w:rsidP="002A0207">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Marteau, T. M., Oliver, A., &amp; Ashcroft, R. E. (2009). Changing behaviour through state intervention. </w:t>
      </w:r>
      <w:r w:rsidRPr="00F74AFE">
        <w:rPr>
          <w:rFonts w:asciiTheme="minorHAnsi" w:hAnsiTheme="minorHAnsi" w:cstheme="minorHAnsi"/>
          <w:i/>
          <w:iCs/>
          <w:sz w:val="20"/>
          <w:szCs w:val="20"/>
        </w:rPr>
        <w:t>BMJ</w:t>
      </w:r>
      <w:r w:rsidRPr="00F74AFE">
        <w:rPr>
          <w:rFonts w:asciiTheme="minorHAnsi" w:hAnsiTheme="minorHAnsi" w:cstheme="minorHAnsi"/>
          <w:iCs/>
          <w:sz w:val="20"/>
          <w:szCs w:val="20"/>
        </w:rPr>
        <w:t>, 337</w:t>
      </w:r>
      <w:r>
        <w:rPr>
          <w:rFonts w:asciiTheme="minorHAnsi" w:hAnsiTheme="minorHAnsi" w:cstheme="minorHAnsi"/>
          <w:iCs/>
          <w:sz w:val="20"/>
          <w:szCs w:val="20"/>
        </w:rPr>
        <w:t>(12), 2543</w:t>
      </w:r>
      <w:r w:rsidRPr="00F74AFE">
        <w:rPr>
          <w:rFonts w:asciiTheme="minorHAnsi" w:hAnsiTheme="minorHAnsi" w:cstheme="minorHAnsi"/>
          <w:sz w:val="20"/>
          <w:szCs w:val="20"/>
        </w:rPr>
        <w:t>.</w:t>
      </w:r>
    </w:p>
  </w:endnote>
  <w:endnote w:id="182">
    <w:p w:rsidR="002B3E5E" w:rsidRPr="00F74AFE" w:rsidRDefault="002B3E5E" w:rsidP="002A0207">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Lira, A., Rodrigues, B., &amp; Zhang, X. (2004). Metaheuristics with Local Search Techniques for Retail Shelf-Space Optimization. </w:t>
      </w:r>
      <w:r w:rsidRPr="00F74AFE">
        <w:rPr>
          <w:rFonts w:asciiTheme="minorHAnsi" w:hAnsiTheme="minorHAnsi" w:cstheme="minorHAnsi"/>
          <w:i/>
          <w:iCs/>
          <w:sz w:val="20"/>
          <w:szCs w:val="20"/>
        </w:rPr>
        <w:t>Management Science</w:t>
      </w:r>
      <w:r w:rsidRPr="00F74AFE">
        <w:rPr>
          <w:rFonts w:asciiTheme="minorHAnsi" w:hAnsiTheme="minorHAnsi" w:cstheme="minorHAnsi"/>
          <w:iCs/>
          <w:sz w:val="20"/>
          <w:szCs w:val="20"/>
        </w:rPr>
        <w:t>, 50</w:t>
      </w:r>
      <w:r w:rsidRPr="00F74AFE">
        <w:rPr>
          <w:rFonts w:asciiTheme="minorHAnsi" w:hAnsiTheme="minorHAnsi" w:cstheme="minorHAnsi"/>
          <w:sz w:val="20"/>
          <w:szCs w:val="20"/>
        </w:rPr>
        <w:t>(1), 117-131.</w:t>
      </w:r>
    </w:p>
  </w:endnote>
  <w:endnote w:id="183">
    <w:p w:rsidR="002B3E5E" w:rsidRPr="00F74AFE" w:rsidRDefault="002B3E5E" w:rsidP="002A0207">
      <w:pPr>
        <w:pStyle w:val="EndnoteText"/>
        <w:spacing w:after="0"/>
        <w:rPr>
          <w:rFonts w:asciiTheme="minorHAnsi" w:hAnsiTheme="minorHAnsi" w:cstheme="minorHAnsi"/>
        </w:rPr>
      </w:pPr>
      <w:r w:rsidRPr="00F74AFE">
        <w:rPr>
          <w:rStyle w:val="EndnoteReference"/>
          <w:rFonts w:asciiTheme="minorHAnsi" w:hAnsiTheme="minorHAnsi" w:cstheme="minorHAnsi"/>
        </w:rPr>
        <w:endnoteRef/>
      </w:r>
      <w:r w:rsidRPr="00F74AFE">
        <w:rPr>
          <w:rFonts w:asciiTheme="minorHAnsi" w:hAnsiTheme="minorHAnsi" w:cstheme="minorHAnsi"/>
        </w:rPr>
        <w:t xml:space="preserve"> Urban, T.L. (2002).  The interdependence of inventory management and retail shelf management.  </w:t>
      </w:r>
      <w:r w:rsidRPr="00F74AFE">
        <w:rPr>
          <w:rFonts w:asciiTheme="minorHAnsi" w:hAnsiTheme="minorHAnsi" w:cstheme="minorHAnsi"/>
          <w:i/>
        </w:rPr>
        <w:t>International Journal of Physical Distribution &amp; Logistics</w:t>
      </w:r>
      <w:r w:rsidRPr="00F74AFE">
        <w:rPr>
          <w:rFonts w:asciiTheme="minorHAnsi" w:hAnsiTheme="minorHAnsi" w:cstheme="minorHAnsi"/>
        </w:rPr>
        <w:t>, 32(1),  41–58.</w:t>
      </w:r>
    </w:p>
  </w:endnote>
  <w:endnote w:id="184">
    <w:p w:rsidR="002B3E5E" w:rsidRPr="00F74AFE" w:rsidRDefault="002B3E5E" w:rsidP="002A0207">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Eagle, L., &amp; Brennan, R. (2007). Beyond Advertising: In-home Promotion of ‘fast food’. </w:t>
      </w:r>
      <w:r w:rsidRPr="00F74AFE">
        <w:rPr>
          <w:rFonts w:asciiTheme="minorHAnsi" w:hAnsiTheme="minorHAnsi" w:cstheme="minorHAnsi"/>
          <w:i/>
          <w:iCs/>
          <w:sz w:val="20"/>
          <w:szCs w:val="20"/>
        </w:rPr>
        <w:t>Young Consumers</w:t>
      </w:r>
      <w:r w:rsidRPr="00F74AFE">
        <w:rPr>
          <w:rFonts w:asciiTheme="minorHAnsi" w:hAnsiTheme="minorHAnsi" w:cstheme="minorHAnsi"/>
          <w:iCs/>
          <w:sz w:val="20"/>
          <w:szCs w:val="20"/>
        </w:rPr>
        <w:t>, 8</w:t>
      </w:r>
      <w:r w:rsidRPr="00F74AFE">
        <w:rPr>
          <w:rFonts w:asciiTheme="minorHAnsi" w:hAnsiTheme="minorHAnsi" w:cstheme="minorHAnsi"/>
          <w:sz w:val="20"/>
          <w:szCs w:val="20"/>
        </w:rPr>
        <w:t>(4), 278-288.</w:t>
      </w:r>
    </w:p>
  </w:endnote>
  <w:endnote w:id="185">
    <w:p w:rsidR="002B3E5E" w:rsidRPr="00F74AFE" w:rsidRDefault="002B3E5E" w:rsidP="002A0207">
      <w:pPr>
        <w:autoSpaceDE w:val="0"/>
        <w:autoSpaceDN w:val="0"/>
        <w:adjustRightInd w:val="0"/>
        <w:rPr>
          <w:rFonts w:asciiTheme="minorHAnsi" w:hAnsiTheme="minorHAnsi" w:cstheme="minorHAnsi"/>
          <w:sz w:val="20"/>
          <w:szCs w:val="20"/>
        </w:rPr>
      </w:pPr>
      <w:r w:rsidRPr="00F74AFE">
        <w:rPr>
          <w:rStyle w:val="EndnoteReference"/>
          <w:rFonts w:asciiTheme="minorHAnsi" w:eastAsia="Cambria" w:hAnsiTheme="minorHAnsi" w:cstheme="minorHAnsi"/>
          <w:sz w:val="20"/>
          <w:szCs w:val="20"/>
        </w:rPr>
        <w:endnoteRef/>
      </w:r>
      <w:r w:rsidRPr="00F74AFE">
        <w:rPr>
          <w:rFonts w:asciiTheme="minorHAnsi" w:hAnsiTheme="minorHAnsi" w:cstheme="minorHAnsi"/>
          <w:sz w:val="20"/>
          <w:szCs w:val="20"/>
        </w:rPr>
        <w:t xml:space="preserve"> Ringold, D. J. (2002). Boomerang Effect: In Response to Public Health Interventions: Some Unintended Consequences in the Alcoholic Beverage Market. </w:t>
      </w:r>
      <w:r w:rsidRPr="00F74AFE">
        <w:rPr>
          <w:rFonts w:asciiTheme="minorHAnsi" w:hAnsiTheme="minorHAnsi" w:cstheme="minorHAnsi"/>
          <w:i/>
          <w:iCs/>
          <w:sz w:val="20"/>
          <w:szCs w:val="20"/>
        </w:rPr>
        <w:t>Journal of Consumer Policy</w:t>
      </w:r>
      <w:r w:rsidRPr="00F74AFE">
        <w:rPr>
          <w:rFonts w:asciiTheme="minorHAnsi" w:hAnsiTheme="minorHAnsi" w:cstheme="minorHAnsi"/>
          <w:iCs/>
          <w:sz w:val="20"/>
          <w:szCs w:val="20"/>
        </w:rPr>
        <w:t>, 25</w:t>
      </w:r>
      <w:r w:rsidRPr="00F74AFE">
        <w:rPr>
          <w:rFonts w:asciiTheme="minorHAnsi" w:hAnsiTheme="minorHAnsi" w:cstheme="minorHAnsi"/>
          <w:sz w:val="20"/>
          <w:szCs w:val="20"/>
        </w:rPr>
        <w:t>(1), 27-63.</w:t>
      </w:r>
    </w:p>
  </w:endnote>
  <w:endnote w:id="186">
    <w:p w:rsidR="002B3E5E" w:rsidRPr="00F74AFE" w:rsidRDefault="002B3E5E" w:rsidP="002A0207">
      <w:pPr>
        <w:autoSpaceDE w:val="0"/>
        <w:autoSpaceDN w:val="0"/>
        <w:adjustRightInd w:val="0"/>
        <w:rPr>
          <w:rFonts w:asciiTheme="minorHAnsi" w:hAnsiTheme="minorHAnsi" w:cstheme="minorHAnsi"/>
          <w:sz w:val="20"/>
          <w:szCs w:val="20"/>
        </w:rPr>
      </w:pPr>
      <w:r w:rsidRPr="00F74AFE">
        <w:rPr>
          <w:rStyle w:val="EndnoteReference"/>
          <w:rFonts w:asciiTheme="minorHAnsi" w:eastAsia="Cambria" w:hAnsiTheme="minorHAnsi" w:cstheme="minorHAnsi"/>
          <w:sz w:val="20"/>
          <w:szCs w:val="20"/>
        </w:rPr>
        <w:endnoteRef/>
      </w:r>
      <w:r w:rsidRPr="00F74AFE">
        <w:rPr>
          <w:rFonts w:asciiTheme="minorHAnsi" w:hAnsiTheme="minorHAnsi" w:cstheme="minorHAnsi"/>
          <w:sz w:val="20"/>
          <w:szCs w:val="20"/>
        </w:rPr>
        <w:t xml:space="preserve"> Brehm, S., &amp; Brehm, J. W. (1981). </w:t>
      </w:r>
      <w:r w:rsidRPr="00F74AFE">
        <w:rPr>
          <w:rFonts w:asciiTheme="minorHAnsi" w:hAnsiTheme="minorHAnsi" w:cstheme="minorHAnsi"/>
          <w:i/>
          <w:iCs/>
          <w:sz w:val="20"/>
          <w:szCs w:val="20"/>
        </w:rPr>
        <w:t>Psychological Reactance</w:t>
      </w:r>
      <w:r w:rsidRPr="00F74AFE">
        <w:rPr>
          <w:rFonts w:asciiTheme="minorHAnsi" w:hAnsiTheme="minorHAnsi" w:cstheme="minorHAnsi"/>
          <w:sz w:val="20"/>
          <w:szCs w:val="20"/>
        </w:rPr>
        <w:t>. New York: Academic Press.</w:t>
      </w:r>
    </w:p>
  </w:endnote>
  <w:endnote w:id="187">
    <w:p w:rsidR="002B3E5E" w:rsidRPr="00F74AFE" w:rsidRDefault="002B3E5E" w:rsidP="00786BBF">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Sussman, S., Grana, R., Pokhrel, P., Rohrbach, L. A., &amp; Sun, P. (2010). Forbidden Fruit and the Prediction of Cigarette Smoking. </w:t>
      </w:r>
      <w:r w:rsidRPr="00F74AFE">
        <w:rPr>
          <w:rFonts w:asciiTheme="minorHAnsi" w:hAnsiTheme="minorHAnsi" w:cstheme="minorHAnsi"/>
          <w:i/>
          <w:iCs/>
          <w:sz w:val="20"/>
          <w:szCs w:val="20"/>
        </w:rPr>
        <w:t>Substance Use &amp; Misuse, 45</w:t>
      </w:r>
      <w:r w:rsidRPr="00F74AFE">
        <w:rPr>
          <w:rFonts w:asciiTheme="minorHAnsi" w:hAnsiTheme="minorHAnsi" w:cstheme="minorHAnsi"/>
          <w:sz w:val="20"/>
          <w:szCs w:val="20"/>
        </w:rPr>
        <w:t>(10), 1683-1693.</w:t>
      </w:r>
    </w:p>
  </w:endnote>
  <w:endnote w:id="188">
    <w:p w:rsidR="002B3E5E" w:rsidRPr="00F74AFE" w:rsidRDefault="002B3E5E" w:rsidP="002A0207">
      <w:pPr>
        <w:autoSpaceDE w:val="0"/>
        <w:autoSpaceDN w:val="0"/>
        <w:adjustRightInd w:val="0"/>
        <w:rPr>
          <w:rFonts w:asciiTheme="minorHAnsi" w:hAnsiTheme="minorHAnsi" w:cstheme="minorHAnsi"/>
          <w:sz w:val="20"/>
          <w:szCs w:val="20"/>
        </w:rPr>
      </w:pPr>
      <w:r w:rsidRPr="00F74AFE">
        <w:rPr>
          <w:rStyle w:val="EndnoteReference"/>
          <w:rFonts w:asciiTheme="minorHAnsi" w:eastAsia="Cambria" w:hAnsiTheme="minorHAnsi" w:cstheme="minorHAnsi"/>
          <w:sz w:val="20"/>
          <w:szCs w:val="20"/>
        </w:rPr>
        <w:endnoteRef/>
      </w:r>
      <w:r w:rsidRPr="00F74AFE">
        <w:rPr>
          <w:rFonts w:asciiTheme="minorHAnsi" w:hAnsiTheme="minorHAnsi" w:cstheme="minorHAnsi"/>
          <w:sz w:val="20"/>
          <w:szCs w:val="20"/>
        </w:rPr>
        <w:t xml:space="preserve"> Rummel, A., Howard, J., Swinton, J. M., &amp; Seymour, D. B. (2000). You Can't Have That! A Study of Reactance Effects &amp; Children's Consumer Behavior. </w:t>
      </w:r>
      <w:r w:rsidRPr="00F74AFE">
        <w:rPr>
          <w:rFonts w:asciiTheme="minorHAnsi" w:hAnsiTheme="minorHAnsi" w:cstheme="minorHAnsi"/>
          <w:i/>
          <w:iCs/>
          <w:sz w:val="20"/>
          <w:szCs w:val="20"/>
        </w:rPr>
        <w:t>Journal of Marketing Theory and Practice</w:t>
      </w:r>
      <w:r w:rsidRPr="00F74AFE">
        <w:rPr>
          <w:rFonts w:asciiTheme="minorHAnsi" w:hAnsiTheme="minorHAnsi" w:cstheme="minorHAnsi"/>
          <w:iCs/>
          <w:sz w:val="20"/>
          <w:szCs w:val="20"/>
        </w:rPr>
        <w:t>, 8</w:t>
      </w:r>
      <w:r w:rsidRPr="00F74AFE">
        <w:rPr>
          <w:rFonts w:asciiTheme="minorHAnsi" w:hAnsiTheme="minorHAnsi" w:cstheme="minorHAnsi"/>
          <w:sz w:val="20"/>
          <w:szCs w:val="20"/>
        </w:rPr>
        <w:t>(1), 38-44.</w:t>
      </w:r>
    </w:p>
  </w:endnote>
  <w:endnote w:id="189">
    <w:p w:rsidR="002B3E5E" w:rsidRPr="00F74AFE" w:rsidRDefault="002B3E5E" w:rsidP="002A0207">
      <w:pPr>
        <w:autoSpaceDE w:val="0"/>
        <w:autoSpaceDN w:val="0"/>
        <w:adjustRightInd w:val="0"/>
        <w:rPr>
          <w:rFonts w:asciiTheme="minorHAnsi" w:hAnsiTheme="minorHAnsi" w:cstheme="minorHAnsi"/>
          <w:sz w:val="20"/>
          <w:szCs w:val="20"/>
        </w:rPr>
      </w:pPr>
      <w:r w:rsidRPr="00F74AFE">
        <w:rPr>
          <w:rStyle w:val="EndnoteReference"/>
          <w:rFonts w:asciiTheme="minorHAnsi" w:eastAsia="Cambria" w:hAnsiTheme="minorHAnsi" w:cstheme="minorHAnsi"/>
          <w:sz w:val="20"/>
          <w:szCs w:val="20"/>
        </w:rPr>
        <w:endnoteRef/>
      </w:r>
      <w:r w:rsidRPr="00F74AFE">
        <w:rPr>
          <w:rFonts w:asciiTheme="minorHAnsi" w:hAnsiTheme="minorHAnsi" w:cstheme="minorHAnsi"/>
          <w:sz w:val="20"/>
          <w:szCs w:val="20"/>
        </w:rPr>
        <w:t xml:space="preserve"> Hellman, C. M., &amp; McMillin, W. L. (1997). The Relationship Between Psychological Reactance and Self-Esteem. </w:t>
      </w:r>
      <w:r w:rsidRPr="00F74AFE">
        <w:rPr>
          <w:rFonts w:asciiTheme="minorHAnsi" w:hAnsiTheme="minorHAnsi" w:cstheme="minorHAnsi"/>
          <w:i/>
          <w:iCs/>
          <w:sz w:val="20"/>
          <w:szCs w:val="20"/>
        </w:rPr>
        <w:t>Journal of Social Psychology</w:t>
      </w:r>
      <w:r w:rsidRPr="00F74AFE">
        <w:rPr>
          <w:rFonts w:asciiTheme="minorHAnsi" w:hAnsiTheme="minorHAnsi" w:cstheme="minorHAnsi"/>
          <w:iCs/>
          <w:sz w:val="20"/>
          <w:szCs w:val="20"/>
        </w:rPr>
        <w:t>, 137</w:t>
      </w:r>
      <w:r w:rsidRPr="00F74AFE">
        <w:rPr>
          <w:rFonts w:asciiTheme="minorHAnsi" w:hAnsiTheme="minorHAnsi" w:cstheme="minorHAnsi"/>
          <w:sz w:val="20"/>
          <w:szCs w:val="20"/>
        </w:rPr>
        <w:t>(1), 135-138.</w:t>
      </w:r>
    </w:p>
  </w:endnote>
  <w:endnote w:id="190">
    <w:p w:rsidR="002B3E5E" w:rsidRPr="00F74AFE" w:rsidRDefault="002B3E5E" w:rsidP="002A0207">
      <w:pPr>
        <w:autoSpaceDE w:val="0"/>
        <w:autoSpaceDN w:val="0"/>
        <w:adjustRightInd w:val="0"/>
        <w:rPr>
          <w:rFonts w:asciiTheme="minorHAnsi" w:hAnsiTheme="minorHAnsi" w:cstheme="minorHAnsi"/>
          <w:sz w:val="20"/>
          <w:szCs w:val="20"/>
        </w:rPr>
      </w:pPr>
      <w:r w:rsidRPr="00F74AFE">
        <w:rPr>
          <w:rStyle w:val="EndnoteReference"/>
          <w:rFonts w:asciiTheme="minorHAnsi" w:eastAsia="Cambria" w:hAnsiTheme="minorHAnsi" w:cstheme="minorHAnsi"/>
          <w:sz w:val="20"/>
          <w:szCs w:val="20"/>
        </w:rPr>
        <w:endnoteRef/>
      </w:r>
      <w:r w:rsidRPr="00F74AFE">
        <w:rPr>
          <w:rFonts w:asciiTheme="minorHAnsi" w:hAnsiTheme="minorHAnsi" w:cstheme="minorHAnsi"/>
          <w:sz w:val="20"/>
          <w:szCs w:val="20"/>
        </w:rPr>
        <w:t xml:space="preserve"> Buller, D. B., Borland, R., &amp; Burgon, M. (1998). Impact of Behavioral Intention on Effectiveness of Message Features:  Evidence from the Family Sun Safety Project. </w:t>
      </w:r>
      <w:r w:rsidRPr="00F74AFE">
        <w:rPr>
          <w:rFonts w:asciiTheme="minorHAnsi" w:hAnsiTheme="minorHAnsi" w:cstheme="minorHAnsi"/>
          <w:i/>
          <w:iCs/>
          <w:sz w:val="20"/>
          <w:szCs w:val="20"/>
        </w:rPr>
        <w:t>Human Communication Research</w:t>
      </w:r>
      <w:r w:rsidRPr="00F74AFE">
        <w:rPr>
          <w:rFonts w:asciiTheme="minorHAnsi" w:hAnsiTheme="minorHAnsi" w:cstheme="minorHAnsi"/>
          <w:iCs/>
          <w:sz w:val="20"/>
          <w:szCs w:val="20"/>
        </w:rPr>
        <w:t>, 24</w:t>
      </w:r>
      <w:r w:rsidRPr="00F74AFE">
        <w:rPr>
          <w:rFonts w:asciiTheme="minorHAnsi" w:hAnsiTheme="minorHAnsi" w:cstheme="minorHAnsi"/>
          <w:sz w:val="20"/>
          <w:szCs w:val="20"/>
        </w:rPr>
        <w:t>(3), 433-453.</w:t>
      </w:r>
    </w:p>
  </w:endnote>
  <w:endnote w:id="191">
    <w:p w:rsidR="002B3E5E" w:rsidRPr="00F74AFE" w:rsidRDefault="002B3E5E" w:rsidP="002A0207">
      <w:pPr>
        <w:autoSpaceDE w:val="0"/>
        <w:autoSpaceDN w:val="0"/>
        <w:adjustRightInd w:val="0"/>
        <w:rPr>
          <w:rFonts w:asciiTheme="minorHAnsi" w:hAnsiTheme="minorHAnsi" w:cstheme="minorHAnsi"/>
          <w:sz w:val="20"/>
          <w:szCs w:val="20"/>
        </w:rPr>
      </w:pPr>
      <w:r w:rsidRPr="00F74AFE">
        <w:rPr>
          <w:rStyle w:val="EndnoteReference"/>
          <w:rFonts w:asciiTheme="minorHAnsi" w:eastAsiaTheme="majorEastAsia" w:hAnsiTheme="minorHAnsi" w:cstheme="minorHAnsi"/>
          <w:sz w:val="20"/>
          <w:szCs w:val="20"/>
        </w:rPr>
        <w:endnoteRef/>
      </w:r>
      <w:r w:rsidRPr="00F74AFE">
        <w:rPr>
          <w:rFonts w:asciiTheme="minorHAnsi" w:hAnsiTheme="minorHAnsi" w:cstheme="minorHAnsi"/>
          <w:sz w:val="20"/>
          <w:szCs w:val="20"/>
        </w:rPr>
        <w:t xml:space="preserve"> Rothman, A. J., &amp; Salovey, P. (1997). Shaping Perceptions to Motivate Healthy Behavior: The Role of Message Framing. </w:t>
      </w:r>
      <w:r w:rsidRPr="00F74AFE">
        <w:rPr>
          <w:rFonts w:asciiTheme="minorHAnsi" w:hAnsiTheme="minorHAnsi" w:cstheme="minorHAnsi"/>
          <w:i/>
          <w:iCs/>
          <w:sz w:val="20"/>
          <w:szCs w:val="20"/>
        </w:rPr>
        <w:t>Psychological Bulletin</w:t>
      </w:r>
      <w:r w:rsidRPr="00F74AFE">
        <w:rPr>
          <w:rFonts w:asciiTheme="minorHAnsi" w:hAnsiTheme="minorHAnsi" w:cstheme="minorHAnsi"/>
          <w:iCs/>
          <w:sz w:val="20"/>
          <w:szCs w:val="20"/>
        </w:rPr>
        <w:t>, 121</w:t>
      </w:r>
      <w:r w:rsidRPr="00F74AFE">
        <w:rPr>
          <w:rFonts w:asciiTheme="minorHAnsi" w:hAnsiTheme="minorHAnsi" w:cstheme="minorHAnsi"/>
          <w:sz w:val="20"/>
          <w:szCs w:val="20"/>
        </w:rPr>
        <w:t>(1), 3 - 19.</w:t>
      </w:r>
    </w:p>
  </w:endnote>
  <w:endnote w:id="192">
    <w:p w:rsidR="002B3E5E" w:rsidRPr="00F74AFE" w:rsidRDefault="002B3E5E" w:rsidP="002A0207">
      <w:pPr>
        <w:autoSpaceDE w:val="0"/>
        <w:autoSpaceDN w:val="0"/>
        <w:adjustRightInd w:val="0"/>
        <w:rPr>
          <w:rFonts w:asciiTheme="minorHAnsi" w:hAnsiTheme="minorHAnsi" w:cstheme="minorHAnsi"/>
          <w:sz w:val="20"/>
          <w:szCs w:val="20"/>
        </w:rPr>
      </w:pPr>
      <w:r w:rsidRPr="00F74AFE">
        <w:rPr>
          <w:rStyle w:val="EndnoteReference"/>
          <w:rFonts w:asciiTheme="minorHAnsi" w:eastAsiaTheme="majorEastAsia" w:hAnsiTheme="minorHAnsi" w:cstheme="minorHAnsi"/>
          <w:sz w:val="20"/>
          <w:szCs w:val="20"/>
        </w:rPr>
        <w:endnoteRef/>
      </w:r>
      <w:r w:rsidRPr="00F74AFE">
        <w:rPr>
          <w:rFonts w:asciiTheme="minorHAnsi" w:hAnsiTheme="minorHAnsi" w:cstheme="minorHAnsi"/>
          <w:sz w:val="20"/>
          <w:szCs w:val="20"/>
        </w:rPr>
        <w:t xml:space="preserve"> Gerend, M. A., &amp; Cullen, M. (2008). Effects of message framing and temporal context on college student drinking behavior. </w:t>
      </w:r>
      <w:r w:rsidRPr="00F74AFE">
        <w:rPr>
          <w:rFonts w:asciiTheme="minorHAnsi" w:hAnsiTheme="minorHAnsi" w:cstheme="minorHAnsi"/>
          <w:i/>
          <w:iCs/>
          <w:sz w:val="20"/>
          <w:szCs w:val="20"/>
        </w:rPr>
        <w:t>Journal of Experimental Social Psychology</w:t>
      </w:r>
      <w:r w:rsidRPr="00F74AFE">
        <w:rPr>
          <w:rFonts w:asciiTheme="minorHAnsi" w:hAnsiTheme="minorHAnsi" w:cstheme="minorHAnsi"/>
          <w:iCs/>
          <w:sz w:val="20"/>
          <w:szCs w:val="20"/>
        </w:rPr>
        <w:t>, 44</w:t>
      </w:r>
      <w:r w:rsidRPr="00F74AFE">
        <w:rPr>
          <w:rFonts w:asciiTheme="minorHAnsi" w:hAnsiTheme="minorHAnsi" w:cstheme="minorHAnsi"/>
          <w:sz w:val="20"/>
          <w:szCs w:val="20"/>
        </w:rPr>
        <w:t>(4), 1167-1173.</w:t>
      </w:r>
    </w:p>
  </w:endnote>
  <w:endnote w:id="193">
    <w:p w:rsidR="002B3E5E" w:rsidRPr="00F74AFE" w:rsidRDefault="002B3E5E" w:rsidP="002A0207">
      <w:pPr>
        <w:pStyle w:val="EndnoteText"/>
        <w:spacing w:after="0"/>
        <w:rPr>
          <w:rFonts w:asciiTheme="minorHAnsi" w:hAnsiTheme="minorHAnsi" w:cstheme="minorHAnsi"/>
        </w:rPr>
      </w:pPr>
      <w:r w:rsidRPr="00F74AFE">
        <w:rPr>
          <w:rStyle w:val="EndnoteReference"/>
          <w:rFonts w:asciiTheme="minorHAnsi" w:hAnsiTheme="minorHAnsi" w:cstheme="minorHAnsi"/>
        </w:rPr>
        <w:endnoteRef/>
      </w:r>
      <w:r w:rsidRPr="00F74AFE">
        <w:rPr>
          <w:rFonts w:asciiTheme="minorHAnsi" w:hAnsiTheme="minorHAnsi" w:cstheme="minorHAnsi"/>
        </w:rPr>
        <w:t xml:space="preserve"> Ashfield-Watt, P. (2006).  Fruits and vegetables, 5+ a day: are we getting the message across?  Asia Pacific Journal of Clinical Nutrition, 15(2), 245 – 252.</w:t>
      </w:r>
    </w:p>
  </w:endnote>
  <w:endnote w:id="194">
    <w:p w:rsidR="002B3E5E" w:rsidRPr="00F74AFE" w:rsidRDefault="002B3E5E" w:rsidP="002A0207">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Holland,J., Ramazanoglu,C., Scott,S., Sharpe,S., Thomson, R.  (1990) Sex, gender and power: young women's sexuality in the shadow of AIDS. </w:t>
      </w:r>
      <w:r w:rsidRPr="00F74AFE">
        <w:rPr>
          <w:rFonts w:asciiTheme="minorHAnsi" w:hAnsiTheme="minorHAnsi" w:cstheme="minorHAnsi"/>
          <w:i/>
          <w:sz w:val="20"/>
          <w:szCs w:val="20"/>
        </w:rPr>
        <w:t>Sociology of Health &amp; Illness</w:t>
      </w:r>
      <w:r w:rsidRPr="00F74AFE">
        <w:rPr>
          <w:rFonts w:asciiTheme="minorHAnsi" w:hAnsiTheme="minorHAnsi" w:cstheme="minorHAnsi"/>
          <w:sz w:val="20"/>
          <w:szCs w:val="20"/>
        </w:rPr>
        <w:t>,</w:t>
      </w:r>
      <w:r w:rsidRPr="00F74AFE">
        <w:rPr>
          <w:rFonts w:asciiTheme="minorHAnsi" w:hAnsiTheme="minorHAnsi" w:cstheme="minorHAnsi"/>
          <w:i/>
          <w:sz w:val="20"/>
          <w:szCs w:val="20"/>
        </w:rPr>
        <w:t xml:space="preserve"> </w:t>
      </w:r>
      <w:r w:rsidRPr="00F74AFE">
        <w:rPr>
          <w:rFonts w:asciiTheme="minorHAnsi" w:hAnsiTheme="minorHAnsi" w:cstheme="minorHAnsi"/>
          <w:sz w:val="20"/>
          <w:szCs w:val="20"/>
        </w:rPr>
        <w:t>12(3), 336–350.</w:t>
      </w:r>
    </w:p>
  </w:endnote>
  <w:endnote w:id="195">
    <w:p w:rsidR="002B3E5E" w:rsidRPr="00F74AFE" w:rsidRDefault="002B3E5E" w:rsidP="002A0207">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Maheswaran, D., &amp; Meyers-Levy, J. (1990). The Influence of Message Framing and Issue Involvement. </w:t>
      </w:r>
      <w:r w:rsidRPr="00F74AFE">
        <w:rPr>
          <w:rFonts w:asciiTheme="minorHAnsi" w:hAnsiTheme="minorHAnsi" w:cstheme="minorHAnsi"/>
          <w:i/>
          <w:iCs/>
          <w:sz w:val="20"/>
          <w:szCs w:val="20"/>
        </w:rPr>
        <w:t>Journal of Marketing Research</w:t>
      </w:r>
      <w:r w:rsidRPr="00F74AFE">
        <w:rPr>
          <w:rFonts w:asciiTheme="minorHAnsi" w:hAnsiTheme="minorHAnsi" w:cstheme="minorHAnsi"/>
          <w:iCs/>
          <w:sz w:val="20"/>
          <w:szCs w:val="20"/>
        </w:rPr>
        <w:t>, XXVII</w:t>
      </w:r>
      <w:r w:rsidRPr="00F74AFE">
        <w:rPr>
          <w:rFonts w:asciiTheme="minorHAnsi" w:hAnsiTheme="minorHAnsi" w:cstheme="minorHAnsi"/>
          <w:sz w:val="20"/>
          <w:szCs w:val="20"/>
        </w:rPr>
        <w:t>, 361-367.</w:t>
      </w:r>
    </w:p>
  </w:endnote>
  <w:endnote w:id="196">
    <w:p w:rsidR="002B3E5E" w:rsidRPr="00F74AFE" w:rsidRDefault="002B3E5E" w:rsidP="002A0207">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Homer, P. M., &amp; Yoon, S.-G. (1992). Message Framing and the Interrelationships Among Ad-Based Feelings, Affect, and Cognition. </w:t>
      </w:r>
      <w:r w:rsidRPr="00F74AFE">
        <w:rPr>
          <w:rFonts w:asciiTheme="minorHAnsi" w:hAnsiTheme="minorHAnsi" w:cstheme="minorHAnsi"/>
          <w:i/>
          <w:iCs/>
          <w:sz w:val="20"/>
          <w:szCs w:val="20"/>
        </w:rPr>
        <w:t>Journal of Advertising</w:t>
      </w:r>
      <w:r w:rsidRPr="00F74AFE">
        <w:rPr>
          <w:rFonts w:asciiTheme="minorHAnsi" w:hAnsiTheme="minorHAnsi" w:cstheme="minorHAnsi"/>
          <w:iCs/>
          <w:sz w:val="20"/>
          <w:szCs w:val="20"/>
        </w:rPr>
        <w:t>, XXI</w:t>
      </w:r>
      <w:r w:rsidRPr="00F74AFE">
        <w:rPr>
          <w:rFonts w:asciiTheme="minorHAnsi" w:hAnsiTheme="minorHAnsi" w:cstheme="minorHAnsi"/>
          <w:sz w:val="20"/>
          <w:szCs w:val="20"/>
        </w:rPr>
        <w:t>(1), 19-31.</w:t>
      </w:r>
    </w:p>
  </w:endnote>
  <w:endnote w:id="197">
    <w:p w:rsidR="002B3E5E" w:rsidRPr="00F74AFE" w:rsidRDefault="002B3E5E" w:rsidP="002A0207">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Rothman, A. J., &amp; Salovey, P. (1997). Shaping Perceptions to Motivate Healthy Behavior: The Role of Message Framing. </w:t>
      </w:r>
      <w:r w:rsidRPr="00F74AFE">
        <w:rPr>
          <w:rFonts w:asciiTheme="minorHAnsi" w:hAnsiTheme="minorHAnsi" w:cstheme="minorHAnsi"/>
          <w:i/>
          <w:iCs/>
          <w:sz w:val="20"/>
          <w:szCs w:val="20"/>
        </w:rPr>
        <w:t>Psychological Bulletin</w:t>
      </w:r>
      <w:r w:rsidRPr="00F74AFE">
        <w:rPr>
          <w:rFonts w:asciiTheme="minorHAnsi" w:hAnsiTheme="minorHAnsi" w:cstheme="minorHAnsi"/>
          <w:iCs/>
          <w:sz w:val="20"/>
          <w:szCs w:val="20"/>
        </w:rPr>
        <w:t>, 121</w:t>
      </w:r>
      <w:r w:rsidRPr="00F74AFE">
        <w:rPr>
          <w:rFonts w:asciiTheme="minorHAnsi" w:hAnsiTheme="minorHAnsi" w:cstheme="minorHAnsi"/>
          <w:sz w:val="20"/>
          <w:szCs w:val="20"/>
        </w:rPr>
        <w:t>(1), 3.- 19.</w:t>
      </w:r>
    </w:p>
  </w:endnote>
  <w:endnote w:id="198">
    <w:p w:rsidR="002B3E5E" w:rsidRPr="00F74AFE" w:rsidRDefault="002B3E5E" w:rsidP="002A0207">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Block, L. G., &amp; Keller, P. A. (1995). When to Accentuate the Negative: The Effects of Perceived Efficacy and Message Framing on Intentions to Perform a Health-Related Behavior. </w:t>
      </w:r>
      <w:r w:rsidRPr="00F74AFE">
        <w:rPr>
          <w:rFonts w:asciiTheme="minorHAnsi" w:hAnsiTheme="minorHAnsi" w:cstheme="minorHAnsi"/>
          <w:i/>
          <w:iCs/>
          <w:sz w:val="20"/>
          <w:szCs w:val="20"/>
        </w:rPr>
        <w:t>Journal of Marketing Research</w:t>
      </w:r>
      <w:r w:rsidRPr="00F74AFE">
        <w:rPr>
          <w:rFonts w:asciiTheme="minorHAnsi" w:hAnsiTheme="minorHAnsi" w:cstheme="minorHAnsi"/>
          <w:iCs/>
          <w:sz w:val="20"/>
          <w:szCs w:val="20"/>
        </w:rPr>
        <w:t>, 32</w:t>
      </w:r>
      <w:r w:rsidRPr="00F74AFE">
        <w:rPr>
          <w:rFonts w:asciiTheme="minorHAnsi" w:hAnsiTheme="minorHAnsi" w:cstheme="minorHAnsi"/>
          <w:sz w:val="20"/>
          <w:szCs w:val="20"/>
        </w:rPr>
        <w:t>(2), 192 - 203.</w:t>
      </w:r>
    </w:p>
  </w:endnote>
  <w:endnote w:id="199">
    <w:p w:rsidR="002B3E5E" w:rsidRPr="00F74AFE" w:rsidRDefault="002B3E5E" w:rsidP="002A0207">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lang w:val="nl-NL"/>
        </w:rPr>
        <w:t xml:space="preserve"> van Assema, P., Martens, M., Ruiter, R. A. C., &amp; Brug, J. (2001). </w:t>
      </w:r>
      <w:r w:rsidRPr="00F74AFE">
        <w:rPr>
          <w:rFonts w:asciiTheme="minorHAnsi" w:hAnsiTheme="minorHAnsi" w:cstheme="minorHAnsi"/>
          <w:sz w:val="20"/>
          <w:szCs w:val="20"/>
        </w:rPr>
        <w:t xml:space="preserve">Framing of Nutrition Education Messages in Persuading Consumers of the Advantages of a Healthy Diet. </w:t>
      </w:r>
      <w:r w:rsidRPr="00F74AFE">
        <w:rPr>
          <w:rFonts w:asciiTheme="minorHAnsi" w:hAnsiTheme="minorHAnsi" w:cstheme="minorHAnsi"/>
          <w:i/>
          <w:iCs/>
          <w:sz w:val="20"/>
          <w:szCs w:val="20"/>
        </w:rPr>
        <w:t>Journal of Human Nutrition and Dietetics</w:t>
      </w:r>
      <w:r w:rsidRPr="00F74AFE">
        <w:rPr>
          <w:rFonts w:asciiTheme="minorHAnsi" w:hAnsiTheme="minorHAnsi" w:cstheme="minorHAnsi"/>
          <w:iCs/>
          <w:sz w:val="20"/>
          <w:szCs w:val="20"/>
        </w:rPr>
        <w:t>, 14</w:t>
      </w:r>
      <w:r w:rsidRPr="00F74AFE">
        <w:rPr>
          <w:rFonts w:asciiTheme="minorHAnsi" w:hAnsiTheme="minorHAnsi" w:cstheme="minorHAnsi"/>
          <w:sz w:val="20"/>
          <w:szCs w:val="20"/>
        </w:rPr>
        <w:t>(6), 435 - 442.</w:t>
      </w:r>
    </w:p>
  </w:endnote>
  <w:endnote w:id="200">
    <w:p w:rsidR="002B3E5E" w:rsidRPr="00F74AFE" w:rsidRDefault="002B3E5E" w:rsidP="002A0207">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lang w:val="nl-NL"/>
        </w:rPr>
        <w:t xml:space="preserve"> Stuart, A. E., &amp; Blanton, H. (2003). </w:t>
      </w:r>
      <w:r w:rsidRPr="00F74AFE">
        <w:rPr>
          <w:rFonts w:asciiTheme="minorHAnsi" w:hAnsiTheme="minorHAnsi" w:cstheme="minorHAnsi"/>
          <w:sz w:val="20"/>
          <w:szCs w:val="20"/>
        </w:rPr>
        <w:t xml:space="preserve">The Effects of Message Framing on Behavioral Prevalence Assumptions. </w:t>
      </w:r>
      <w:r w:rsidRPr="00F74AFE">
        <w:rPr>
          <w:rFonts w:asciiTheme="minorHAnsi" w:hAnsiTheme="minorHAnsi" w:cstheme="minorHAnsi"/>
          <w:i/>
          <w:iCs/>
          <w:sz w:val="20"/>
          <w:szCs w:val="20"/>
        </w:rPr>
        <w:t>European Journal of Social Psychology</w:t>
      </w:r>
      <w:r w:rsidRPr="00F74AFE">
        <w:rPr>
          <w:rFonts w:asciiTheme="minorHAnsi" w:hAnsiTheme="minorHAnsi" w:cstheme="minorHAnsi"/>
          <w:iCs/>
          <w:sz w:val="20"/>
          <w:szCs w:val="20"/>
        </w:rPr>
        <w:t>, 33</w:t>
      </w:r>
      <w:r w:rsidRPr="00F74AFE">
        <w:rPr>
          <w:rFonts w:asciiTheme="minorHAnsi" w:hAnsiTheme="minorHAnsi" w:cstheme="minorHAnsi"/>
          <w:sz w:val="20"/>
          <w:szCs w:val="20"/>
        </w:rPr>
        <w:t>, 93 - 102.</w:t>
      </w:r>
    </w:p>
  </w:endnote>
  <w:endnote w:id="201">
    <w:p w:rsidR="002B3E5E" w:rsidRPr="00F74AFE" w:rsidRDefault="002B3E5E" w:rsidP="002A0207">
      <w:pPr>
        <w:autoSpaceDE w:val="0"/>
        <w:autoSpaceDN w:val="0"/>
        <w:adjustRightInd w:val="0"/>
        <w:rPr>
          <w:rFonts w:asciiTheme="minorHAnsi" w:hAnsiTheme="minorHAnsi" w:cstheme="minorHAnsi"/>
          <w:sz w:val="20"/>
          <w:szCs w:val="20"/>
        </w:rPr>
      </w:pPr>
      <w:r w:rsidRPr="00F74AFE">
        <w:rPr>
          <w:rStyle w:val="EndnoteReference"/>
          <w:rFonts w:asciiTheme="minorHAnsi" w:eastAsiaTheme="majorEastAsia" w:hAnsiTheme="minorHAnsi" w:cstheme="minorHAnsi"/>
          <w:sz w:val="20"/>
          <w:szCs w:val="20"/>
        </w:rPr>
        <w:endnoteRef/>
      </w:r>
      <w:r w:rsidRPr="00F74AFE">
        <w:rPr>
          <w:rFonts w:asciiTheme="minorHAnsi" w:hAnsiTheme="minorHAnsi" w:cstheme="minorHAnsi"/>
          <w:sz w:val="20"/>
          <w:szCs w:val="20"/>
        </w:rPr>
        <w:t xml:space="preserve"> Snyder, L. B., Hamilton, M. A., Mitchell, E. W., Kiwanuka-Tondo, J., Fleming-Milici, F., &amp; Proctor, D. (2004). A Meta-Analysis of the Effect of Mediated Health Communication Campaigns on Behavior Change in the United States. </w:t>
      </w:r>
      <w:r w:rsidRPr="00F74AFE">
        <w:rPr>
          <w:rFonts w:asciiTheme="minorHAnsi" w:hAnsiTheme="minorHAnsi" w:cstheme="minorHAnsi"/>
          <w:i/>
          <w:iCs/>
          <w:sz w:val="20"/>
          <w:szCs w:val="20"/>
        </w:rPr>
        <w:t>Journal of Health Communication</w:t>
      </w:r>
      <w:r w:rsidRPr="00F74AFE">
        <w:rPr>
          <w:rFonts w:asciiTheme="minorHAnsi" w:hAnsiTheme="minorHAnsi" w:cstheme="minorHAnsi"/>
          <w:iCs/>
          <w:sz w:val="20"/>
          <w:szCs w:val="20"/>
        </w:rPr>
        <w:t>, 9</w:t>
      </w:r>
      <w:r w:rsidRPr="00F74AFE">
        <w:rPr>
          <w:rFonts w:asciiTheme="minorHAnsi" w:hAnsiTheme="minorHAnsi" w:cstheme="minorHAnsi"/>
          <w:sz w:val="20"/>
          <w:szCs w:val="20"/>
        </w:rPr>
        <w:t>(1), 71 - 96.</w:t>
      </w:r>
    </w:p>
  </w:endnote>
  <w:endnote w:id="202">
    <w:p w:rsidR="002B3E5E" w:rsidRPr="00F74AFE" w:rsidRDefault="002B3E5E" w:rsidP="002A0207">
      <w:pPr>
        <w:autoSpaceDE w:val="0"/>
        <w:autoSpaceDN w:val="0"/>
        <w:adjustRightInd w:val="0"/>
        <w:rPr>
          <w:rFonts w:asciiTheme="minorHAnsi" w:hAnsiTheme="minorHAnsi" w:cstheme="minorHAnsi"/>
          <w:sz w:val="20"/>
          <w:szCs w:val="20"/>
        </w:rPr>
      </w:pPr>
      <w:r w:rsidRPr="00F74AFE">
        <w:rPr>
          <w:rStyle w:val="EndnoteReference"/>
          <w:rFonts w:asciiTheme="minorHAnsi" w:eastAsiaTheme="majorEastAsia" w:hAnsiTheme="minorHAnsi" w:cstheme="minorHAnsi"/>
          <w:sz w:val="20"/>
          <w:szCs w:val="20"/>
        </w:rPr>
        <w:endnoteRef/>
      </w:r>
      <w:r w:rsidRPr="00F74AFE">
        <w:rPr>
          <w:rFonts w:asciiTheme="minorHAnsi" w:hAnsiTheme="minorHAnsi" w:cstheme="minorHAnsi"/>
          <w:sz w:val="20"/>
          <w:szCs w:val="20"/>
        </w:rPr>
        <w:t xml:space="preserve"> Jayanti, R. K., &amp; Burns, A. C. (1998). The Antecedents of Preventive Health Care Behavior: An Empirical Study. </w:t>
      </w:r>
      <w:r w:rsidRPr="00F74AFE">
        <w:rPr>
          <w:rFonts w:asciiTheme="minorHAnsi" w:hAnsiTheme="minorHAnsi" w:cstheme="minorHAnsi"/>
          <w:i/>
          <w:iCs/>
          <w:sz w:val="20"/>
          <w:szCs w:val="20"/>
        </w:rPr>
        <w:t>Journal of the Academy of Marketing Science</w:t>
      </w:r>
      <w:r w:rsidRPr="00F74AFE">
        <w:rPr>
          <w:rFonts w:asciiTheme="minorHAnsi" w:hAnsiTheme="minorHAnsi" w:cstheme="minorHAnsi"/>
          <w:iCs/>
          <w:sz w:val="20"/>
          <w:szCs w:val="20"/>
        </w:rPr>
        <w:t>, 26</w:t>
      </w:r>
      <w:r w:rsidRPr="00F74AFE">
        <w:rPr>
          <w:rFonts w:asciiTheme="minorHAnsi" w:hAnsiTheme="minorHAnsi" w:cstheme="minorHAnsi"/>
          <w:sz w:val="20"/>
          <w:szCs w:val="20"/>
        </w:rPr>
        <w:t>(1), 6-15.</w:t>
      </w:r>
    </w:p>
  </w:endnote>
  <w:endnote w:id="203">
    <w:p w:rsidR="002B3E5E" w:rsidRPr="00F74AFE" w:rsidRDefault="002B3E5E" w:rsidP="002A0207">
      <w:pPr>
        <w:autoSpaceDE w:val="0"/>
        <w:autoSpaceDN w:val="0"/>
        <w:adjustRightInd w:val="0"/>
        <w:rPr>
          <w:rFonts w:asciiTheme="minorHAnsi" w:hAnsiTheme="minorHAnsi" w:cstheme="minorHAnsi"/>
          <w:sz w:val="20"/>
          <w:szCs w:val="20"/>
        </w:rPr>
      </w:pPr>
      <w:r w:rsidRPr="00F74AFE">
        <w:rPr>
          <w:rStyle w:val="EndnoteReference"/>
          <w:rFonts w:asciiTheme="minorHAnsi" w:eastAsiaTheme="majorEastAsia" w:hAnsiTheme="minorHAnsi" w:cstheme="minorHAnsi"/>
          <w:sz w:val="20"/>
          <w:szCs w:val="20"/>
        </w:rPr>
        <w:endnoteRef/>
      </w:r>
      <w:r w:rsidRPr="00F74AFE">
        <w:rPr>
          <w:rFonts w:asciiTheme="minorHAnsi" w:hAnsiTheme="minorHAnsi" w:cstheme="minorHAnsi"/>
          <w:sz w:val="20"/>
          <w:szCs w:val="20"/>
        </w:rPr>
        <w:t xml:space="preserve"> Holloway, A., &amp; Watson, H. E. (2002). Role of self-efficacy and behaviour change. </w:t>
      </w:r>
      <w:r w:rsidRPr="00F74AFE">
        <w:rPr>
          <w:rFonts w:asciiTheme="minorHAnsi" w:hAnsiTheme="minorHAnsi" w:cstheme="minorHAnsi"/>
          <w:i/>
          <w:iCs/>
          <w:sz w:val="20"/>
          <w:szCs w:val="20"/>
        </w:rPr>
        <w:t>International Journal of Nursing Practice</w:t>
      </w:r>
      <w:r w:rsidRPr="00F74AFE">
        <w:rPr>
          <w:rFonts w:asciiTheme="minorHAnsi" w:hAnsiTheme="minorHAnsi" w:cstheme="minorHAnsi"/>
          <w:iCs/>
          <w:sz w:val="20"/>
          <w:szCs w:val="20"/>
        </w:rPr>
        <w:t>, 8</w:t>
      </w:r>
      <w:r w:rsidRPr="00F74AFE">
        <w:rPr>
          <w:rFonts w:asciiTheme="minorHAnsi" w:hAnsiTheme="minorHAnsi" w:cstheme="minorHAnsi"/>
          <w:sz w:val="20"/>
          <w:szCs w:val="20"/>
        </w:rPr>
        <w:t>(2), 106 - 115.</w:t>
      </w:r>
    </w:p>
  </w:endnote>
  <w:endnote w:id="204">
    <w:p w:rsidR="002B3E5E" w:rsidRPr="00F74AFE" w:rsidRDefault="002B3E5E" w:rsidP="002A0207">
      <w:pPr>
        <w:autoSpaceDE w:val="0"/>
        <w:autoSpaceDN w:val="0"/>
        <w:adjustRightInd w:val="0"/>
        <w:rPr>
          <w:rFonts w:asciiTheme="minorHAnsi" w:hAnsiTheme="minorHAnsi" w:cstheme="minorHAnsi"/>
          <w:sz w:val="20"/>
          <w:szCs w:val="20"/>
        </w:rPr>
      </w:pPr>
      <w:r w:rsidRPr="00F74AFE">
        <w:rPr>
          <w:rStyle w:val="EndnoteReference"/>
          <w:rFonts w:asciiTheme="minorHAnsi" w:eastAsiaTheme="majorEastAsia" w:hAnsiTheme="minorHAnsi" w:cstheme="minorHAnsi"/>
          <w:sz w:val="20"/>
          <w:szCs w:val="20"/>
        </w:rPr>
        <w:endnoteRef/>
      </w:r>
      <w:r w:rsidRPr="00F74AFE">
        <w:rPr>
          <w:rFonts w:asciiTheme="minorHAnsi" w:hAnsiTheme="minorHAnsi" w:cstheme="minorHAnsi"/>
          <w:sz w:val="20"/>
          <w:szCs w:val="20"/>
        </w:rPr>
        <w:t xml:space="preserve"> Strecher, V. J., De Vellis, B. M., Becker, M. H., &amp; Rosenstock, I. M. (1986). The Role of Self-Efficacy in Achieving Health Behavior Change. </w:t>
      </w:r>
      <w:r w:rsidRPr="00F74AFE">
        <w:rPr>
          <w:rFonts w:asciiTheme="minorHAnsi" w:hAnsiTheme="minorHAnsi" w:cstheme="minorHAnsi"/>
          <w:i/>
          <w:iCs/>
          <w:sz w:val="20"/>
          <w:szCs w:val="20"/>
        </w:rPr>
        <w:t>Health Education Quarterly</w:t>
      </w:r>
      <w:r w:rsidRPr="00F74AFE">
        <w:rPr>
          <w:rFonts w:asciiTheme="minorHAnsi" w:hAnsiTheme="minorHAnsi" w:cstheme="minorHAnsi"/>
          <w:iCs/>
          <w:sz w:val="20"/>
          <w:szCs w:val="20"/>
        </w:rPr>
        <w:t>, 13</w:t>
      </w:r>
      <w:r w:rsidRPr="00F74AFE">
        <w:rPr>
          <w:rFonts w:asciiTheme="minorHAnsi" w:hAnsiTheme="minorHAnsi" w:cstheme="minorHAnsi"/>
          <w:sz w:val="20"/>
          <w:szCs w:val="20"/>
        </w:rPr>
        <w:t>(1), 73 - 91.</w:t>
      </w:r>
    </w:p>
  </w:endnote>
  <w:endnote w:id="205">
    <w:p w:rsidR="002B3E5E" w:rsidRPr="00F74AFE" w:rsidRDefault="002B3E5E" w:rsidP="002A0207">
      <w:pPr>
        <w:autoSpaceDE w:val="0"/>
        <w:autoSpaceDN w:val="0"/>
        <w:adjustRightInd w:val="0"/>
        <w:rPr>
          <w:rFonts w:asciiTheme="minorHAnsi" w:hAnsiTheme="minorHAnsi" w:cstheme="minorHAnsi"/>
          <w:sz w:val="20"/>
          <w:szCs w:val="20"/>
        </w:rPr>
      </w:pPr>
      <w:r w:rsidRPr="00F74AFE">
        <w:rPr>
          <w:rStyle w:val="EndnoteReference"/>
          <w:rFonts w:asciiTheme="minorHAnsi" w:eastAsiaTheme="majorEastAsia" w:hAnsiTheme="minorHAnsi" w:cstheme="minorHAnsi"/>
          <w:sz w:val="20"/>
          <w:szCs w:val="20"/>
        </w:rPr>
        <w:endnoteRef/>
      </w:r>
      <w:r w:rsidRPr="00F74AFE">
        <w:rPr>
          <w:rFonts w:asciiTheme="minorHAnsi" w:hAnsiTheme="minorHAnsi" w:cstheme="minorHAnsi"/>
          <w:sz w:val="20"/>
          <w:szCs w:val="20"/>
          <w:lang w:val="nl-NL"/>
        </w:rPr>
        <w:t xml:space="preserve"> Donovan, R. J., &amp; Jalleh, G. (1999). </w:t>
      </w:r>
      <w:r w:rsidRPr="00F74AFE">
        <w:rPr>
          <w:rFonts w:asciiTheme="minorHAnsi" w:hAnsiTheme="minorHAnsi" w:cstheme="minorHAnsi"/>
          <w:sz w:val="20"/>
          <w:szCs w:val="20"/>
        </w:rPr>
        <w:t xml:space="preserve">Positively versus Negatively Framed Product Attributes: The Influence of Involvement. </w:t>
      </w:r>
      <w:r w:rsidRPr="00F74AFE">
        <w:rPr>
          <w:rFonts w:asciiTheme="minorHAnsi" w:hAnsiTheme="minorHAnsi" w:cstheme="minorHAnsi"/>
          <w:i/>
          <w:iCs/>
          <w:sz w:val="20"/>
          <w:szCs w:val="20"/>
        </w:rPr>
        <w:t>Psychology &amp; Marketing</w:t>
      </w:r>
      <w:r w:rsidRPr="00F74AFE">
        <w:rPr>
          <w:rFonts w:asciiTheme="minorHAnsi" w:hAnsiTheme="minorHAnsi" w:cstheme="minorHAnsi"/>
          <w:iCs/>
          <w:sz w:val="20"/>
          <w:szCs w:val="20"/>
        </w:rPr>
        <w:t>, 16</w:t>
      </w:r>
      <w:r w:rsidRPr="00F74AFE">
        <w:rPr>
          <w:rFonts w:asciiTheme="minorHAnsi" w:hAnsiTheme="minorHAnsi" w:cstheme="minorHAnsi"/>
          <w:sz w:val="20"/>
          <w:szCs w:val="20"/>
        </w:rPr>
        <w:t>(7), 613-630.</w:t>
      </w:r>
    </w:p>
  </w:endnote>
  <w:endnote w:id="206">
    <w:p w:rsidR="002B3E5E" w:rsidRPr="00F74AFE" w:rsidRDefault="002B3E5E" w:rsidP="002A0207">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May, M. (2004). Commentary: Still dying of ignorance? Human immunodeficiency virus (HIV) prevention strategies revisited. </w:t>
      </w:r>
      <w:r w:rsidRPr="00F74AFE">
        <w:rPr>
          <w:rFonts w:asciiTheme="minorHAnsi" w:hAnsiTheme="minorHAnsi" w:cstheme="minorHAnsi"/>
          <w:i/>
          <w:iCs/>
          <w:sz w:val="20"/>
          <w:szCs w:val="20"/>
        </w:rPr>
        <w:t>International Journal of Epidemiology</w:t>
      </w:r>
      <w:r w:rsidRPr="00F74AFE">
        <w:rPr>
          <w:rFonts w:asciiTheme="minorHAnsi" w:hAnsiTheme="minorHAnsi" w:cstheme="minorHAnsi"/>
          <w:iCs/>
          <w:sz w:val="20"/>
          <w:szCs w:val="20"/>
        </w:rPr>
        <w:t>, 33</w:t>
      </w:r>
      <w:r w:rsidRPr="00F74AFE">
        <w:rPr>
          <w:rFonts w:asciiTheme="minorHAnsi" w:hAnsiTheme="minorHAnsi" w:cstheme="minorHAnsi"/>
          <w:sz w:val="20"/>
          <w:szCs w:val="20"/>
        </w:rPr>
        <w:t>(3), 549-550.</w:t>
      </w:r>
    </w:p>
  </w:endnote>
  <w:endnote w:id="207">
    <w:p w:rsidR="002B3E5E" w:rsidRPr="00F74AFE" w:rsidRDefault="002B3E5E" w:rsidP="002A0207">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Cox, D., &amp; Cox, A. D. (2001). Communicating the Consequences of Early Detection: The Role of Evidence and Framing. </w:t>
      </w:r>
      <w:r w:rsidRPr="00F74AFE">
        <w:rPr>
          <w:rFonts w:asciiTheme="minorHAnsi" w:hAnsiTheme="minorHAnsi" w:cstheme="minorHAnsi"/>
          <w:i/>
          <w:iCs/>
          <w:sz w:val="20"/>
          <w:szCs w:val="20"/>
        </w:rPr>
        <w:t>Journal of Marketing</w:t>
      </w:r>
      <w:r w:rsidRPr="00F74AFE">
        <w:rPr>
          <w:rFonts w:asciiTheme="minorHAnsi" w:hAnsiTheme="minorHAnsi" w:cstheme="minorHAnsi"/>
          <w:iCs/>
          <w:sz w:val="20"/>
          <w:szCs w:val="20"/>
        </w:rPr>
        <w:t>, 65</w:t>
      </w:r>
      <w:r w:rsidRPr="00F74AFE">
        <w:rPr>
          <w:rFonts w:asciiTheme="minorHAnsi" w:hAnsiTheme="minorHAnsi" w:cstheme="minorHAnsi"/>
          <w:sz w:val="20"/>
          <w:szCs w:val="20"/>
        </w:rPr>
        <w:t>(3), 91-103.</w:t>
      </w:r>
    </w:p>
  </w:endnote>
  <w:endnote w:id="208">
    <w:p w:rsidR="002B3E5E" w:rsidRPr="00F74AFE" w:rsidRDefault="002B3E5E" w:rsidP="002A0207">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Wolburg, J. M. (2006). College Students’ Responses to Antismoking Messages: Denial, Defiance, and Other Boomerang Effects. </w:t>
      </w:r>
      <w:r w:rsidRPr="00F74AFE">
        <w:rPr>
          <w:rFonts w:asciiTheme="minorHAnsi" w:hAnsiTheme="minorHAnsi" w:cstheme="minorHAnsi"/>
          <w:i/>
          <w:iCs/>
          <w:sz w:val="20"/>
          <w:szCs w:val="20"/>
        </w:rPr>
        <w:t>Journal of Consumer Affairs</w:t>
      </w:r>
      <w:r w:rsidRPr="00F74AFE">
        <w:rPr>
          <w:rFonts w:asciiTheme="minorHAnsi" w:hAnsiTheme="minorHAnsi" w:cstheme="minorHAnsi"/>
          <w:iCs/>
          <w:sz w:val="20"/>
          <w:szCs w:val="20"/>
        </w:rPr>
        <w:t>, 40</w:t>
      </w:r>
      <w:r w:rsidRPr="00F74AFE">
        <w:rPr>
          <w:rFonts w:asciiTheme="minorHAnsi" w:hAnsiTheme="minorHAnsi" w:cstheme="minorHAnsi"/>
          <w:sz w:val="20"/>
          <w:szCs w:val="20"/>
        </w:rPr>
        <w:t>(2), 294-323.</w:t>
      </w:r>
    </w:p>
  </w:endnote>
  <w:endnote w:id="209">
    <w:p w:rsidR="002B3E5E" w:rsidRPr="00F74AFE" w:rsidRDefault="002B3E5E" w:rsidP="002A0207">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Bird, S., &amp; Tapp, A. (2008). Social Marketing and the Meaning of Cool. </w:t>
      </w:r>
      <w:r w:rsidRPr="00F74AFE">
        <w:rPr>
          <w:rFonts w:asciiTheme="minorHAnsi" w:hAnsiTheme="minorHAnsi" w:cstheme="minorHAnsi"/>
          <w:i/>
          <w:iCs/>
          <w:sz w:val="20"/>
          <w:szCs w:val="20"/>
        </w:rPr>
        <w:t>Social Marketing Quarterly</w:t>
      </w:r>
      <w:r w:rsidRPr="00F74AFE">
        <w:rPr>
          <w:rFonts w:asciiTheme="minorHAnsi" w:hAnsiTheme="minorHAnsi" w:cstheme="minorHAnsi"/>
          <w:iCs/>
          <w:sz w:val="20"/>
          <w:szCs w:val="20"/>
        </w:rPr>
        <w:t>, 14</w:t>
      </w:r>
      <w:r w:rsidRPr="00F74AFE">
        <w:rPr>
          <w:rFonts w:asciiTheme="minorHAnsi" w:hAnsiTheme="minorHAnsi" w:cstheme="minorHAnsi"/>
          <w:sz w:val="20"/>
          <w:szCs w:val="20"/>
        </w:rPr>
        <w:t>(1), 18 - 29.</w:t>
      </w:r>
    </w:p>
  </w:endnote>
  <w:endnote w:id="210">
    <w:p w:rsidR="002B3E5E" w:rsidRPr="00F74AFE" w:rsidRDefault="002B3E5E" w:rsidP="002A0207">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lang w:val="nl-NL"/>
        </w:rPr>
        <w:t xml:space="preserve"> Goldenbeld, C., Twisk, D., &amp; Houwing, S. (2008). </w:t>
      </w:r>
      <w:r w:rsidRPr="00F74AFE">
        <w:rPr>
          <w:rFonts w:asciiTheme="minorHAnsi" w:hAnsiTheme="minorHAnsi" w:cstheme="minorHAnsi"/>
          <w:sz w:val="20"/>
          <w:szCs w:val="20"/>
        </w:rPr>
        <w:t xml:space="preserve">Effects of persuasive communication and group discussions on acceptability of anti-speeding policies for male and female drivers. </w:t>
      </w:r>
      <w:r w:rsidRPr="00F74AFE">
        <w:rPr>
          <w:rFonts w:asciiTheme="minorHAnsi" w:hAnsiTheme="minorHAnsi" w:cstheme="minorHAnsi"/>
          <w:i/>
          <w:iCs/>
          <w:sz w:val="20"/>
          <w:szCs w:val="20"/>
        </w:rPr>
        <w:t>Transportation Research: Part F</w:t>
      </w:r>
      <w:r w:rsidRPr="00F74AFE">
        <w:rPr>
          <w:rFonts w:asciiTheme="minorHAnsi" w:hAnsiTheme="minorHAnsi" w:cstheme="minorHAnsi"/>
          <w:iCs/>
          <w:sz w:val="20"/>
          <w:szCs w:val="20"/>
        </w:rPr>
        <w:t>, 11</w:t>
      </w:r>
      <w:r w:rsidRPr="00F74AFE">
        <w:rPr>
          <w:rFonts w:asciiTheme="minorHAnsi" w:hAnsiTheme="minorHAnsi" w:cstheme="minorHAnsi"/>
          <w:sz w:val="20"/>
          <w:szCs w:val="20"/>
        </w:rPr>
        <w:t>(3), 207-220.</w:t>
      </w:r>
    </w:p>
  </w:endnote>
  <w:endnote w:id="211">
    <w:p w:rsidR="002B3E5E" w:rsidRPr="00F74AFE" w:rsidRDefault="002B3E5E" w:rsidP="002A0207">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Rothman, A. J., Martino, S. C., Bedell, B. T., Detweiler, J. B., &amp; Salovey, P. (1999). The Systematic Influence of Gain-and Loss-Framed Messages on Interest in and Use of Different Types of Health Behavior.</w:t>
      </w:r>
      <w:r w:rsidRPr="00F74AFE">
        <w:rPr>
          <w:rFonts w:asciiTheme="minorHAnsi" w:hAnsiTheme="minorHAnsi" w:cstheme="minorHAnsi"/>
          <w:i/>
          <w:iCs/>
          <w:sz w:val="20"/>
          <w:szCs w:val="20"/>
        </w:rPr>
        <w:t xml:space="preserve"> </w:t>
      </w:r>
      <w:r w:rsidRPr="00EE53BC">
        <w:rPr>
          <w:rFonts w:asciiTheme="minorHAnsi" w:hAnsiTheme="minorHAnsi" w:cs="Arial"/>
          <w:i/>
          <w:iCs/>
          <w:sz w:val="20"/>
          <w:szCs w:val="20"/>
        </w:rPr>
        <w:t>Personality and Social Psychology Bulletin</w:t>
      </w:r>
      <w:r w:rsidRPr="00F74AFE">
        <w:rPr>
          <w:rFonts w:asciiTheme="minorHAnsi" w:hAnsiTheme="minorHAnsi" w:cstheme="minorHAnsi"/>
          <w:i/>
          <w:iCs/>
          <w:sz w:val="20"/>
          <w:szCs w:val="20"/>
        </w:rPr>
        <w:t xml:space="preserve"> 25</w:t>
      </w:r>
      <w:r w:rsidRPr="00F74AFE">
        <w:rPr>
          <w:rFonts w:asciiTheme="minorHAnsi" w:hAnsiTheme="minorHAnsi" w:cstheme="minorHAnsi"/>
          <w:sz w:val="20"/>
          <w:szCs w:val="20"/>
        </w:rPr>
        <w:t>(11), 1355 - 1369.</w:t>
      </w:r>
    </w:p>
  </w:endnote>
  <w:endnote w:id="212">
    <w:p w:rsidR="002B3E5E" w:rsidRPr="00F74AFE" w:rsidRDefault="002B3E5E" w:rsidP="002A0207">
      <w:pPr>
        <w:jc w:val="both"/>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Jessop, D. C., Alberty, I. P., Rutter, J., &amp; Garrod, H. (2008). Understanding the impact of mortality-related health-risk information: A terror management theory perspective. </w:t>
      </w:r>
      <w:r w:rsidRPr="00F74AFE">
        <w:rPr>
          <w:rFonts w:asciiTheme="minorHAnsi" w:hAnsiTheme="minorHAnsi" w:cstheme="minorHAnsi"/>
          <w:i/>
          <w:sz w:val="20"/>
          <w:szCs w:val="20"/>
        </w:rPr>
        <w:t>Personality and Social Psychology Bulletin</w:t>
      </w:r>
      <w:r w:rsidRPr="00F74AFE">
        <w:rPr>
          <w:rFonts w:asciiTheme="minorHAnsi" w:hAnsiTheme="minorHAnsi" w:cstheme="minorHAnsi"/>
          <w:sz w:val="20"/>
          <w:szCs w:val="20"/>
        </w:rPr>
        <w:t>, 34, 951–964.</w:t>
      </w:r>
    </w:p>
  </w:endnote>
  <w:endnote w:id="213">
    <w:p w:rsidR="002B3E5E" w:rsidRPr="00F74AFE" w:rsidRDefault="002B3E5E" w:rsidP="002A0207">
      <w:pPr>
        <w:jc w:val="both"/>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Taubman Ben-Ari, O., Florian, V., &amp; Mikulincer, M. (1999). The impact of mortality salience on reckless driving: A terror management mechanism.</w:t>
      </w:r>
      <w:r w:rsidRPr="00F74AFE">
        <w:rPr>
          <w:rFonts w:asciiTheme="minorHAnsi" w:hAnsiTheme="minorHAnsi" w:cstheme="minorHAnsi"/>
          <w:i/>
          <w:sz w:val="20"/>
          <w:szCs w:val="20"/>
        </w:rPr>
        <w:t xml:space="preserve"> Journal of Personality and Social Psychology, </w:t>
      </w:r>
      <w:r w:rsidRPr="00F74AFE">
        <w:rPr>
          <w:rFonts w:asciiTheme="minorHAnsi" w:hAnsiTheme="minorHAnsi" w:cstheme="minorHAnsi"/>
          <w:sz w:val="20"/>
          <w:szCs w:val="20"/>
        </w:rPr>
        <w:t>76, 35–45.</w:t>
      </w:r>
    </w:p>
  </w:endnote>
  <w:endnote w:id="214">
    <w:p w:rsidR="002B3E5E" w:rsidRPr="00F74AFE" w:rsidRDefault="002B3E5E" w:rsidP="002A0207">
      <w:pPr>
        <w:pStyle w:val="EndnoteText"/>
        <w:spacing w:after="0"/>
        <w:rPr>
          <w:rFonts w:asciiTheme="minorHAnsi" w:hAnsiTheme="minorHAnsi" w:cstheme="minorHAnsi"/>
        </w:rPr>
      </w:pPr>
      <w:r w:rsidRPr="00F74AFE">
        <w:rPr>
          <w:rStyle w:val="EndnoteReference"/>
          <w:rFonts w:asciiTheme="minorHAnsi" w:hAnsiTheme="minorHAnsi" w:cstheme="minorHAnsi"/>
        </w:rPr>
        <w:endnoteRef/>
      </w:r>
      <w:r w:rsidRPr="00F74AFE">
        <w:rPr>
          <w:rFonts w:asciiTheme="minorHAnsi" w:hAnsiTheme="minorHAnsi" w:cstheme="minorHAnsi"/>
        </w:rPr>
        <w:t xml:space="preserve">  Hastings, G., Stead, M., &amp; Webb, J. (2004). Fear Appeals in Social Marketing Strategic and Ethical Reasons for Concern. </w:t>
      </w:r>
      <w:r w:rsidRPr="00F74AFE">
        <w:rPr>
          <w:rFonts w:asciiTheme="minorHAnsi" w:hAnsiTheme="minorHAnsi" w:cstheme="minorHAnsi"/>
          <w:i/>
          <w:iCs/>
        </w:rPr>
        <w:t>Psychology &amp; Marketing</w:t>
      </w:r>
      <w:r w:rsidRPr="00F74AFE">
        <w:rPr>
          <w:rFonts w:asciiTheme="minorHAnsi" w:hAnsiTheme="minorHAnsi" w:cstheme="minorHAnsi"/>
          <w:iCs/>
        </w:rPr>
        <w:t>, 21</w:t>
      </w:r>
      <w:r w:rsidRPr="00F74AFE">
        <w:rPr>
          <w:rFonts w:asciiTheme="minorHAnsi" w:hAnsiTheme="minorHAnsi" w:cstheme="minorHAnsi"/>
        </w:rPr>
        <w:t>(11), 961-986.</w:t>
      </w:r>
    </w:p>
  </w:endnote>
  <w:endnote w:id="215">
    <w:p w:rsidR="002B3E5E" w:rsidRPr="00F74AFE" w:rsidRDefault="002B3E5E" w:rsidP="002A0207">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Carlisle, S., &amp; Hanlon, P. (2008). 'Well-being' as a focus for public health? A critique and defence. </w:t>
      </w:r>
      <w:r w:rsidRPr="00F74AFE">
        <w:rPr>
          <w:rFonts w:asciiTheme="minorHAnsi" w:hAnsiTheme="minorHAnsi" w:cstheme="minorHAnsi"/>
          <w:i/>
          <w:iCs/>
          <w:sz w:val="20"/>
          <w:szCs w:val="20"/>
        </w:rPr>
        <w:t>Critical Public Health, 18</w:t>
      </w:r>
      <w:r w:rsidRPr="00F74AFE">
        <w:rPr>
          <w:rFonts w:asciiTheme="minorHAnsi" w:hAnsiTheme="minorHAnsi" w:cstheme="minorHAnsi"/>
          <w:sz w:val="20"/>
          <w:szCs w:val="20"/>
        </w:rPr>
        <w:t>(3), 263-270.</w:t>
      </w:r>
    </w:p>
  </w:endnote>
  <w:endnote w:id="216">
    <w:p w:rsidR="002B3E5E" w:rsidRPr="00F74AFE" w:rsidRDefault="002B3E5E" w:rsidP="002A0207">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Guttman, N., &amp; Salmon, C. T. (2004). Guilt, Fear, Stigma and Knowledge Gaps:  Ethical Issues in Public Health Communication Interventions. </w:t>
      </w:r>
      <w:r w:rsidRPr="00F74AFE">
        <w:rPr>
          <w:rFonts w:asciiTheme="minorHAnsi" w:hAnsiTheme="minorHAnsi" w:cstheme="minorHAnsi"/>
          <w:i/>
          <w:iCs/>
          <w:sz w:val="20"/>
          <w:szCs w:val="20"/>
        </w:rPr>
        <w:t>Bioethics</w:t>
      </w:r>
      <w:r w:rsidRPr="00F74AFE">
        <w:rPr>
          <w:rFonts w:asciiTheme="minorHAnsi" w:hAnsiTheme="minorHAnsi" w:cstheme="minorHAnsi"/>
          <w:iCs/>
          <w:sz w:val="20"/>
          <w:szCs w:val="20"/>
        </w:rPr>
        <w:t>, 18</w:t>
      </w:r>
      <w:r w:rsidRPr="00F74AFE">
        <w:rPr>
          <w:rFonts w:asciiTheme="minorHAnsi" w:hAnsiTheme="minorHAnsi" w:cstheme="minorHAnsi"/>
          <w:sz w:val="20"/>
          <w:szCs w:val="20"/>
        </w:rPr>
        <w:t>(6), 531 - 552.</w:t>
      </w:r>
    </w:p>
  </w:endnote>
  <w:endnote w:id="217">
    <w:p w:rsidR="002B3E5E" w:rsidRPr="00F74AFE" w:rsidRDefault="002B3E5E" w:rsidP="002A0207">
      <w:pPr>
        <w:tabs>
          <w:tab w:val="left" w:pos="284"/>
        </w:tabs>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Witte, K., &amp; Allen, M. (2000). A Meta-Analysis of Fear Appeals:  Implications for Efffective Publich Health Campaigns. </w:t>
      </w:r>
      <w:r w:rsidRPr="00F74AFE">
        <w:rPr>
          <w:rFonts w:asciiTheme="minorHAnsi" w:hAnsiTheme="minorHAnsi" w:cstheme="minorHAnsi"/>
          <w:i/>
          <w:iCs/>
          <w:sz w:val="20"/>
          <w:szCs w:val="20"/>
        </w:rPr>
        <w:t>Health Education &amp; Behavior</w:t>
      </w:r>
      <w:r w:rsidRPr="00F74AFE">
        <w:rPr>
          <w:rFonts w:asciiTheme="minorHAnsi" w:hAnsiTheme="minorHAnsi" w:cstheme="minorHAnsi"/>
          <w:iCs/>
          <w:sz w:val="20"/>
          <w:szCs w:val="20"/>
        </w:rPr>
        <w:t>, 27</w:t>
      </w:r>
      <w:r w:rsidRPr="00F74AFE">
        <w:rPr>
          <w:rFonts w:asciiTheme="minorHAnsi" w:hAnsiTheme="minorHAnsi" w:cstheme="minorHAnsi"/>
          <w:sz w:val="20"/>
          <w:szCs w:val="20"/>
        </w:rPr>
        <w:t xml:space="preserve">(5), 591 - 615. </w:t>
      </w:r>
    </w:p>
  </w:endnote>
  <w:endnote w:id="218">
    <w:p w:rsidR="002B3E5E" w:rsidRPr="00F74AFE" w:rsidRDefault="002B3E5E" w:rsidP="002A0207">
      <w:pPr>
        <w:tabs>
          <w:tab w:val="left" w:pos="284"/>
        </w:tabs>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Snipes, R. L., LaTour, M. S., &amp; Bliss, S. J. (1999). A Model of the Effects of Self-efficacy on the Perceived Ethicality and Performance of Fear Appeals in Advertising. </w:t>
      </w:r>
      <w:r w:rsidRPr="00F74AFE">
        <w:rPr>
          <w:rFonts w:asciiTheme="minorHAnsi" w:hAnsiTheme="minorHAnsi" w:cstheme="minorHAnsi"/>
          <w:i/>
          <w:iCs/>
          <w:sz w:val="20"/>
          <w:szCs w:val="20"/>
        </w:rPr>
        <w:t>Journal of Business Ethics, 19</w:t>
      </w:r>
      <w:r w:rsidRPr="00F74AFE">
        <w:rPr>
          <w:rFonts w:asciiTheme="minorHAnsi" w:hAnsiTheme="minorHAnsi" w:cstheme="minorHAnsi"/>
          <w:sz w:val="20"/>
          <w:szCs w:val="20"/>
        </w:rPr>
        <w:t>(3), 273-285.</w:t>
      </w:r>
    </w:p>
  </w:endnote>
  <w:endnote w:id="219">
    <w:p w:rsidR="002B3E5E" w:rsidRPr="00F74AFE" w:rsidRDefault="002B3E5E" w:rsidP="00B7496E">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Oxley, J. A., Congiu, M., Whelan, M., D'Elia, A., &amp; Charlton, J. (2007). The impacts of functional performance, behaviour and traffic exposure on road-crossing judgements of young children. </w:t>
      </w:r>
      <w:r w:rsidRPr="00F74AFE">
        <w:rPr>
          <w:rFonts w:asciiTheme="minorHAnsi" w:hAnsiTheme="minorHAnsi" w:cstheme="minorHAnsi"/>
          <w:i/>
          <w:iCs/>
          <w:sz w:val="20"/>
          <w:szCs w:val="20"/>
        </w:rPr>
        <w:t>Annual Proceedings / Association For The Advancement Of Automotive Medicine. Association For The Advancement Of Automotive Medicine</w:t>
      </w:r>
      <w:r w:rsidRPr="00F74AFE">
        <w:rPr>
          <w:rFonts w:asciiTheme="minorHAnsi" w:hAnsiTheme="minorHAnsi" w:cstheme="minorHAnsi"/>
          <w:iCs/>
          <w:sz w:val="20"/>
          <w:szCs w:val="20"/>
        </w:rPr>
        <w:t>, 51</w:t>
      </w:r>
      <w:r w:rsidRPr="00F74AFE">
        <w:rPr>
          <w:rFonts w:asciiTheme="minorHAnsi" w:hAnsiTheme="minorHAnsi" w:cstheme="minorHAnsi"/>
          <w:sz w:val="20"/>
          <w:szCs w:val="20"/>
        </w:rPr>
        <w:t>, 81-96.</w:t>
      </w:r>
    </w:p>
  </w:endnote>
  <w:endnote w:id="220">
    <w:p w:rsidR="002B3E5E" w:rsidRPr="00F74AFE" w:rsidRDefault="002B3E5E" w:rsidP="0044769A">
      <w:pPr>
        <w:rPr>
          <w:rFonts w:asciiTheme="minorHAnsi" w:hAnsiTheme="minorHAnsi" w:cstheme="minorHAnsi"/>
          <w:sz w:val="20"/>
          <w:szCs w:val="20"/>
        </w:rPr>
      </w:pPr>
      <w:r w:rsidRPr="00F74AFE">
        <w:rPr>
          <w:rStyle w:val="EndnoteReference"/>
          <w:rFonts w:asciiTheme="minorHAnsi" w:eastAsiaTheme="majorEastAsia" w:hAnsiTheme="minorHAnsi" w:cstheme="minorHAnsi"/>
          <w:sz w:val="20"/>
          <w:szCs w:val="20"/>
        </w:rPr>
        <w:endnoteRef/>
      </w:r>
      <w:r w:rsidRPr="00F74AFE">
        <w:rPr>
          <w:rFonts w:asciiTheme="minorHAnsi" w:hAnsiTheme="minorHAnsi" w:cstheme="minorHAnsi"/>
          <w:sz w:val="20"/>
          <w:szCs w:val="20"/>
        </w:rPr>
        <w:t xml:space="preserve"> Avineri, E., Shinar, D. and Susilo, Y.O., (2011). Fear of Falling and Cross Walking Behaviour of Older Pedestrians. Forthcoming in </w:t>
      </w:r>
      <w:r w:rsidRPr="00F74AFE">
        <w:rPr>
          <w:rFonts w:asciiTheme="minorHAnsi" w:hAnsiTheme="minorHAnsi" w:cstheme="minorHAnsi"/>
          <w:i/>
          <w:sz w:val="20"/>
          <w:szCs w:val="20"/>
        </w:rPr>
        <w:t>Accidents Analysis and Prevention</w:t>
      </w:r>
      <w:r w:rsidRPr="00F74AFE">
        <w:rPr>
          <w:rFonts w:asciiTheme="minorHAnsi" w:hAnsiTheme="minorHAnsi" w:cstheme="minorHAnsi"/>
          <w:sz w:val="20"/>
          <w:szCs w:val="20"/>
        </w:rPr>
        <w:t>.</w:t>
      </w:r>
    </w:p>
  </w:endnote>
  <w:endnote w:id="221">
    <w:p w:rsidR="002B3E5E" w:rsidRPr="00F74AFE" w:rsidRDefault="002B3E5E" w:rsidP="0044769A">
      <w:pPr>
        <w:rPr>
          <w:rFonts w:asciiTheme="minorHAnsi" w:hAnsiTheme="minorHAnsi" w:cstheme="minorHAnsi"/>
          <w:sz w:val="20"/>
          <w:szCs w:val="20"/>
        </w:rPr>
      </w:pPr>
      <w:r w:rsidRPr="00F74AFE">
        <w:rPr>
          <w:rStyle w:val="EndnoteReference"/>
          <w:rFonts w:asciiTheme="minorHAnsi" w:eastAsiaTheme="majorEastAsia" w:hAnsiTheme="minorHAnsi" w:cstheme="minorHAnsi"/>
          <w:sz w:val="20"/>
          <w:szCs w:val="20"/>
        </w:rPr>
        <w:endnoteRef/>
      </w:r>
      <w:r w:rsidRPr="00F74AFE">
        <w:rPr>
          <w:rFonts w:asciiTheme="minorHAnsi" w:hAnsiTheme="minorHAnsi" w:cstheme="minorHAnsi"/>
          <w:sz w:val="20"/>
          <w:szCs w:val="20"/>
        </w:rPr>
        <w:t xml:space="preserve"> DfT, (2001). </w:t>
      </w:r>
      <w:r w:rsidRPr="00F74AFE">
        <w:rPr>
          <w:rFonts w:asciiTheme="minorHAnsi" w:hAnsiTheme="minorHAnsi" w:cstheme="minorHAnsi"/>
          <w:i/>
          <w:sz w:val="20"/>
          <w:szCs w:val="20"/>
        </w:rPr>
        <w:t>Older Drivers: A Literature Review</w:t>
      </w:r>
      <w:r w:rsidRPr="00F74AFE">
        <w:rPr>
          <w:rFonts w:asciiTheme="minorHAnsi" w:hAnsiTheme="minorHAnsi" w:cstheme="minorHAnsi"/>
          <w:sz w:val="20"/>
          <w:szCs w:val="20"/>
        </w:rPr>
        <w:t>. Department for Transport, London.</w:t>
      </w:r>
    </w:p>
  </w:endnote>
  <w:endnote w:id="222">
    <w:p w:rsidR="002B3E5E" w:rsidRPr="00F74AFE" w:rsidRDefault="002B3E5E" w:rsidP="0044769A">
      <w:pPr>
        <w:rPr>
          <w:rFonts w:asciiTheme="minorHAnsi" w:hAnsiTheme="minorHAnsi" w:cstheme="minorHAnsi"/>
          <w:sz w:val="20"/>
          <w:szCs w:val="20"/>
        </w:rPr>
      </w:pPr>
      <w:r w:rsidRPr="00F74AFE">
        <w:rPr>
          <w:rStyle w:val="EndnoteReference"/>
          <w:rFonts w:asciiTheme="minorHAnsi" w:eastAsiaTheme="majorEastAsia" w:hAnsiTheme="minorHAnsi" w:cstheme="minorHAnsi"/>
          <w:sz w:val="20"/>
          <w:szCs w:val="20"/>
        </w:rPr>
        <w:endnoteRef/>
      </w:r>
      <w:r w:rsidRPr="00F74AFE">
        <w:rPr>
          <w:rFonts w:asciiTheme="minorHAnsi" w:hAnsiTheme="minorHAnsi" w:cstheme="minorHAnsi"/>
          <w:sz w:val="20"/>
          <w:szCs w:val="20"/>
        </w:rPr>
        <w:t xml:space="preserve"> Dunbar, G., Holland, C.A., Maylor, E.A., (2004). </w:t>
      </w:r>
      <w:r w:rsidRPr="00F74AFE">
        <w:rPr>
          <w:rFonts w:asciiTheme="minorHAnsi" w:hAnsiTheme="minorHAnsi" w:cstheme="minorHAnsi"/>
          <w:i/>
          <w:sz w:val="20"/>
          <w:szCs w:val="20"/>
        </w:rPr>
        <w:t>Older Pedestrians: A Critical Review of the Literature</w:t>
      </w:r>
      <w:r w:rsidRPr="00F74AFE">
        <w:rPr>
          <w:rFonts w:asciiTheme="minorHAnsi" w:hAnsiTheme="minorHAnsi" w:cstheme="minorHAnsi"/>
          <w:sz w:val="20"/>
          <w:szCs w:val="20"/>
        </w:rPr>
        <w:t>. DfT: London.</w:t>
      </w:r>
    </w:p>
  </w:endnote>
  <w:endnote w:id="223">
    <w:p w:rsidR="002B3E5E" w:rsidRPr="00F74AFE" w:rsidRDefault="002B3E5E" w:rsidP="0044769A">
      <w:pPr>
        <w:rPr>
          <w:rFonts w:asciiTheme="minorHAnsi" w:hAnsiTheme="minorHAnsi" w:cstheme="minorHAnsi"/>
          <w:sz w:val="20"/>
          <w:szCs w:val="20"/>
        </w:rPr>
      </w:pPr>
      <w:r w:rsidRPr="00F74AFE">
        <w:rPr>
          <w:rStyle w:val="EndnoteReference"/>
          <w:rFonts w:asciiTheme="minorHAnsi" w:eastAsiaTheme="majorEastAsia" w:hAnsiTheme="minorHAnsi" w:cstheme="minorHAnsi"/>
          <w:sz w:val="20"/>
          <w:szCs w:val="20"/>
        </w:rPr>
        <w:endnoteRef/>
      </w:r>
      <w:r w:rsidRPr="00F74AFE">
        <w:rPr>
          <w:rFonts w:asciiTheme="minorHAnsi" w:hAnsiTheme="minorHAnsi" w:cstheme="minorHAnsi"/>
          <w:sz w:val="20"/>
          <w:szCs w:val="20"/>
        </w:rPr>
        <w:t xml:space="preserve"> Orimo, H., Ito, H., Suzuki, T., Araki, A., Hosoi, T., Sawabe, M., 2006. Reviewing the definition of ‘elderly’. </w:t>
      </w:r>
      <w:r w:rsidRPr="00F74AFE">
        <w:rPr>
          <w:rFonts w:asciiTheme="minorHAnsi" w:hAnsiTheme="minorHAnsi" w:cstheme="minorHAnsi"/>
          <w:i/>
          <w:sz w:val="20"/>
          <w:szCs w:val="20"/>
        </w:rPr>
        <w:t>International Journal of Geriatrics Gerontology</w:t>
      </w:r>
      <w:r w:rsidRPr="00F74AFE">
        <w:rPr>
          <w:rFonts w:asciiTheme="minorHAnsi" w:hAnsiTheme="minorHAnsi" w:cstheme="minorHAnsi"/>
          <w:sz w:val="20"/>
          <w:szCs w:val="20"/>
        </w:rPr>
        <w:t>, 6, 149-158.</w:t>
      </w:r>
    </w:p>
  </w:endnote>
  <w:endnote w:id="224">
    <w:p w:rsidR="002B3E5E" w:rsidRPr="00F74AFE" w:rsidRDefault="002B3E5E" w:rsidP="0064301F">
      <w:pPr>
        <w:pStyle w:val="Default"/>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Faulkner, M. and Russell, P. (2010),  </w:t>
      </w:r>
      <w:r w:rsidRPr="00F74AFE">
        <w:rPr>
          <w:rFonts w:asciiTheme="minorHAnsi" w:hAnsiTheme="minorHAnsi" w:cstheme="minorHAnsi"/>
          <w:bCs/>
          <w:i/>
          <w:sz w:val="20"/>
          <w:szCs w:val="20"/>
        </w:rPr>
        <w:t>Review of Local Air Quality Management – A Report to Defra and the devolved administrations</w:t>
      </w:r>
      <w:r w:rsidRPr="00F74AFE">
        <w:rPr>
          <w:rFonts w:asciiTheme="minorHAnsi" w:hAnsiTheme="minorHAnsi" w:cstheme="minorHAnsi"/>
          <w:bCs/>
          <w:sz w:val="20"/>
          <w:szCs w:val="20"/>
        </w:rPr>
        <w:t>, In-House Policy Consultancy, March.</w:t>
      </w:r>
      <w:r w:rsidRPr="00F74AFE">
        <w:rPr>
          <w:rFonts w:asciiTheme="minorHAnsi" w:hAnsiTheme="minorHAnsi" w:cstheme="minorHAnsi"/>
          <w:sz w:val="20"/>
          <w:szCs w:val="20"/>
        </w:rPr>
        <w:t xml:space="preserve"> </w:t>
      </w:r>
      <w:hyperlink r:id="rId2" w:history="1">
        <w:r w:rsidRPr="00F74AFE">
          <w:rPr>
            <w:rStyle w:val="Hyperlink"/>
            <w:rFonts w:asciiTheme="minorHAnsi" w:hAnsiTheme="minorHAnsi" w:cstheme="minorHAnsi"/>
            <w:sz w:val="20"/>
            <w:szCs w:val="20"/>
          </w:rPr>
          <w:t>http://www.defra.gov.uk/environment/quality/air/airquality/local/documents/laqm-report.pdf</w:t>
        </w:r>
      </w:hyperlink>
      <w:r w:rsidRPr="00F74AFE">
        <w:rPr>
          <w:rFonts w:asciiTheme="minorHAnsi" w:hAnsiTheme="minorHAnsi" w:cstheme="minorHAnsi"/>
          <w:sz w:val="20"/>
          <w:szCs w:val="20"/>
        </w:rPr>
        <w:t xml:space="preserve"> </w:t>
      </w:r>
    </w:p>
  </w:endnote>
  <w:endnote w:id="225">
    <w:p w:rsidR="002B3E5E" w:rsidRPr="00F74AFE" w:rsidRDefault="002B3E5E" w:rsidP="0064301F">
      <w:pPr>
        <w:pStyle w:val="EndnoteText"/>
        <w:spacing w:after="0"/>
        <w:rPr>
          <w:rFonts w:asciiTheme="minorHAnsi" w:hAnsiTheme="minorHAnsi" w:cstheme="minorHAnsi"/>
        </w:rPr>
      </w:pPr>
      <w:r w:rsidRPr="00F74AFE">
        <w:rPr>
          <w:rStyle w:val="EndnoteReference"/>
          <w:rFonts w:asciiTheme="minorHAnsi" w:hAnsiTheme="minorHAnsi" w:cstheme="minorHAnsi"/>
        </w:rPr>
        <w:endnoteRef/>
      </w:r>
      <w:r w:rsidRPr="00F74AFE">
        <w:rPr>
          <w:rFonts w:asciiTheme="minorHAnsi" w:hAnsiTheme="minorHAnsi" w:cstheme="minorHAnsi"/>
        </w:rPr>
        <w:t xml:space="preserve"> House of Commons Environmental Audit Committee, Air Quality - Fifth Report of Session 2009-10, </w:t>
      </w:r>
      <w:hyperlink r:id="rId3" w:history="1">
        <w:r w:rsidRPr="00F74AFE">
          <w:rPr>
            <w:rStyle w:val="Hyperlink"/>
            <w:rFonts w:asciiTheme="minorHAnsi" w:hAnsiTheme="minorHAnsi" w:cstheme="minorHAnsi"/>
          </w:rPr>
          <w:t>http://www.parliament.uk/business/committees/committees-archive/environmental-audit-committee/inqairquality/</w:t>
        </w:r>
      </w:hyperlink>
      <w:r w:rsidRPr="00F74AFE">
        <w:rPr>
          <w:rFonts w:asciiTheme="minorHAnsi" w:hAnsiTheme="minorHAnsi" w:cstheme="minorHAnsi"/>
        </w:rPr>
        <w:t xml:space="preserve"> </w:t>
      </w:r>
    </w:p>
  </w:endnote>
  <w:endnote w:id="226">
    <w:p w:rsidR="002B3E5E" w:rsidRPr="00F74AFE" w:rsidRDefault="002B3E5E" w:rsidP="008F7614">
      <w:pPr>
        <w:pStyle w:val="EndnoteText"/>
        <w:spacing w:after="0"/>
        <w:rPr>
          <w:rFonts w:asciiTheme="minorHAnsi" w:hAnsiTheme="minorHAnsi" w:cstheme="minorHAnsi"/>
          <w:lang w:val="en-NZ"/>
        </w:rPr>
      </w:pPr>
      <w:r w:rsidRPr="00F74AFE">
        <w:rPr>
          <w:rStyle w:val="EndnoteReference"/>
          <w:rFonts w:asciiTheme="minorHAnsi" w:hAnsiTheme="minorHAnsi" w:cstheme="minorHAnsi"/>
        </w:rPr>
        <w:endnoteRef/>
      </w:r>
      <w:r w:rsidRPr="00F74AFE">
        <w:rPr>
          <w:rFonts w:asciiTheme="minorHAnsi" w:hAnsiTheme="minorHAnsi" w:cstheme="minorHAnsi"/>
        </w:rPr>
        <w:t xml:space="preserve"> </w:t>
      </w:r>
      <w:r w:rsidRPr="00F74AFE">
        <w:rPr>
          <w:rFonts w:asciiTheme="minorHAnsi" w:hAnsiTheme="minorHAnsi" w:cstheme="minorHAnsi"/>
          <w:bCs/>
        </w:rPr>
        <w:t xml:space="preserve">Varcoe, J. (2004). </w:t>
      </w:r>
      <w:r w:rsidRPr="00F74AFE">
        <w:rPr>
          <w:rFonts w:asciiTheme="minorHAnsi" w:hAnsiTheme="minorHAnsi" w:cstheme="minorHAnsi"/>
          <w:bCs/>
          <w:i/>
          <w:iCs/>
        </w:rPr>
        <w:t>Assessing the Effectiveness of Social Marketing.</w:t>
      </w:r>
      <w:r w:rsidRPr="00F74AFE">
        <w:rPr>
          <w:rFonts w:asciiTheme="minorHAnsi" w:hAnsiTheme="minorHAnsi" w:cstheme="minorHAnsi"/>
          <w:bCs/>
        </w:rPr>
        <w:t xml:space="preserve"> Paper presented at the ESOMAR Conference, Berlin.</w:t>
      </w:r>
    </w:p>
  </w:endnote>
  <w:endnote w:id="227">
    <w:p w:rsidR="002B3E5E" w:rsidRPr="00F74AFE" w:rsidRDefault="002B3E5E" w:rsidP="007736E4">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Francisco, V. T., &amp; Butterfoss, F. D. (2007). Social Validation of Goals, Procedures, and Effects in Public Health. </w:t>
      </w:r>
      <w:r w:rsidRPr="00F74AFE">
        <w:rPr>
          <w:rFonts w:asciiTheme="minorHAnsi" w:hAnsiTheme="minorHAnsi" w:cstheme="minorHAnsi"/>
          <w:i/>
          <w:iCs/>
          <w:sz w:val="20"/>
          <w:szCs w:val="20"/>
        </w:rPr>
        <w:t>Health Promot Pract</w:t>
      </w:r>
      <w:r w:rsidRPr="00F74AFE">
        <w:rPr>
          <w:rFonts w:asciiTheme="minorHAnsi" w:hAnsiTheme="minorHAnsi" w:cstheme="minorHAnsi"/>
          <w:iCs/>
          <w:sz w:val="20"/>
          <w:szCs w:val="20"/>
        </w:rPr>
        <w:t>, 8</w:t>
      </w:r>
      <w:r w:rsidRPr="00F74AFE">
        <w:rPr>
          <w:rFonts w:asciiTheme="minorHAnsi" w:hAnsiTheme="minorHAnsi" w:cstheme="minorHAnsi"/>
          <w:sz w:val="20"/>
          <w:szCs w:val="20"/>
        </w:rPr>
        <w:t>(2), 128-133.</w:t>
      </w:r>
    </w:p>
  </w:endnote>
  <w:endnote w:id="228">
    <w:p w:rsidR="002B3E5E" w:rsidRPr="00F74AFE" w:rsidRDefault="002B3E5E" w:rsidP="007736E4">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Holder, H. D. (2000). Community prevention of alcohol problems. </w:t>
      </w:r>
      <w:r w:rsidRPr="00F74AFE">
        <w:rPr>
          <w:rFonts w:asciiTheme="minorHAnsi" w:hAnsiTheme="minorHAnsi" w:cstheme="minorHAnsi"/>
          <w:i/>
          <w:iCs/>
          <w:sz w:val="20"/>
          <w:szCs w:val="20"/>
        </w:rPr>
        <w:t>Addictive Behaviors</w:t>
      </w:r>
      <w:r w:rsidRPr="00F74AFE">
        <w:rPr>
          <w:rFonts w:asciiTheme="minorHAnsi" w:hAnsiTheme="minorHAnsi" w:cstheme="minorHAnsi"/>
          <w:iCs/>
          <w:sz w:val="20"/>
          <w:szCs w:val="20"/>
        </w:rPr>
        <w:t>, 25</w:t>
      </w:r>
      <w:r w:rsidRPr="00F74AFE">
        <w:rPr>
          <w:rFonts w:asciiTheme="minorHAnsi" w:hAnsiTheme="minorHAnsi" w:cstheme="minorHAnsi"/>
          <w:sz w:val="20"/>
          <w:szCs w:val="20"/>
        </w:rPr>
        <w:t>(6), 843-859.</w:t>
      </w:r>
    </w:p>
  </w:endnote>
  <w:endnote w:id="229">
    <w:p w:rsidR="002B3E5E" w:rsidRPr="00F74AFE" w:rsidRDefault="002B3E5E" w:rsidP="007736E4">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Mastache, C., Mistral, W., Velleman, R., &amp; Templeton, L. (2008). Partnership working in community alcohol prevention programmes. </w:t>
      </w:r>
      <w:r w:rsidRPr="00F74AFE">
        <w:rPr>
          <w:rFonts w:asciiTheme="minorHAnsi" w:hAnsiTheme="minorHAnsi" w:cstheme="minorHAnsi"/>
          <w:i/>
          <w:iCs/>
          <w:sz w:val="20"/>
          <w:szCs w:val="20"/>
        </w:rPr>
        <w:t>Drugs: Education, Prevention &amp; Policy</w:t>
      </w:r>
      <w:r w:rsidRPr="00F74AFE">
        <w:rPr>
          <w:rFonts w:asciiTheme="minorHAnsi" w:hAnsiTheme="minorHAnsi" w:cstheme="minorHAnsi"/>
          <w:iCs/>
          <w:sz w:val="20"/>
          <w:szCs w:val="20"/>
        </w:rPr>
        <w:t>, 15</w:t>
      </w:r>
      <w:r w:rsidRPr="00F74AFE">
        <w:rPr>
          <w:rFonts w:asciiTheme="minorHAnsi" w:hAnsiTheme="minorHAnsi" w:cstheme="minorHAnsi"/>
          <w:sz w:val="20"/>
          <w:szCs w:val="20"/>
        </w:rPr>
        <w:t>, 4-14.</w:t>
      </w:r>
    </w:p>
  </w:endnote>
  <w:endnote w:id="230">
    <w:p w:rsidR="002B3E5E" w:rsidRPr="00F74AFE" w:rsidRDefault="002B3E5E" w:rsidP="007736E4">
      <w:pPr>
        <w:autoSpaceDE w:val="0"/>
        <w:autoSpaceDN w:val="0"/>
        <w:adjustRightInd w:val="0"/>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Mistral, W., Velleman, R., Mastache, C., &amp; Templeton, L. (2008). The challenge of evaluating community partnerships-a little local difficulty or endemic national problem? </w:t>
      </w:r>
      <w:r w:rsidRPr="00F74AFE">
        <w:rPr>
          <w:rFonts w:asciiTheme="minorHAnsi" w:hAnsiTheme="minorHAnsi" w:cstheme="minorHAnsi"/>
          <w:i/>
          <w:iCs/>
          <w:sz w:val="20"/>
          <w:szCs w:val="20"/>
        </w:rPr>
        <w:t>Drugs: Education, Prevention &amp; Policy</w:t>
      </w:r>
      <w:r w:rsidRPr="00F74AFE">
        <w:rPr>
          <w:rFonts w:asciiTheme="minorHAnsi" w:hAnsiTheme="minorHAnsi" w:cstheme="minorHAnsi"/>
          <w:iCs/>
          <w:sz w:val="20"/>
          <w:szCs w:val="20"/>
        </w:rPr>
        <w:t>, 15</w:t>
      </w:r>
      <w:r w:rsidRPr="00F74AFE">
        <w:rPr>
          <w:rFonts w:asciiTheme="minorHAnsi" w:hAnsiTheme="minorHAnsi" w:cstheme="minorHAnsi"/>
          <w:sz w:val="20"/>
          <w:szCs w:val="20"/>
        </w:rPr>
        <w:t>, 50-60.</w:t>
      </w:r>
    </w:p>
  </w:endnote>
  <w:endnote w:id="231">
    <w:p w:rsidR="002B3E5E" w:rsidRPr="00F74AFE" w:rsidRDefault="002B3E5E" w:rsidP="007736E4">
      <w:pPr>
        <w:autoSpaceDE w:val="0"/>
        <w:autoSpaceDN w:val="0"/>
        <w:adjustRightInd w:val="0"/>
        <w:rPr>
          <w:rFonts w:asciiTheme="minorHAnsi" w:hAnsiTheme="minorHAnsi" w:cstheme="minorHAnsi"/>
          <w:sz w:val="20"/>
          <w:szCs w:val="20"/>
        </w:rPr>
      </w:pPr>
      <w:r w:rsidRPr="00F74AFE">
        <w:rPr>
          <w:rStyle w:val="EndnoteReference"/>
          <w:rFonts w:asciiTheme="minorHAnsi" w:eastAsiaTheme="majorEastAsia" w:hAnsiTheme="minorHAnsi" w:cstheme="minorHAnsi"/>
          <w:sz w:val="20"/>
          <w:szCs w:val="20"/>
        </w:rPr>
        <w:endnoteRef/>
      </w:r>
      <w:r w:rsidRPr="00F74AFE">
        <w:rPr>
          <w:rFonts w:asciiTheme="minorHAnsi" w:hAnsiTheme="minorHAnsi" w:cstheme="minorHAnsi"/>
          <w:sz w:val="20"/>
          <w:szCs w:val="20"/>
        </w:rPr>
        <w:t xml:space="preserve"> VERB campaign details at </w:t>
      </w:r>
      <w:hyperlink r:id="rId4" w:history="1">
        <w:r w:rsidRPr="00F74AFE">
          <w:rPr>
            <w:rStyle w:val="Hyperlink"/>
            <w:rFonts w:asciiTheme="minorHAnsi" w:eastAsia="Cambria" w:hAnsiTheme="minorHAnsi" w:cstheme="minorHAnsi"/>
            <w:sz w:val="20"/>
            <w:szCs w:val="20"/>
          </w:rPr>
          <w:t>http://www.cdc.gov/youthcampaign/</w:t>
        </w:r>
      </w:hyperlink>
      <w:r w:rsidRPr="00F74AFE">
        <w:rPr>
          <w:rFonts w:asciiTheme="minorHAnsi" w:hAnsiTheme="minorHAnsi" w:cstheme="minorHAnsi"/>
          <w:sz w:val="20"/>
          <w:szCs w:val="20"/>
        </w:rPr>
        <w:t xml:space="preserve"> .  See also: Wong, F., Huhman, M., Heitzler, C., Asbury, L., Bretthauer-Mueller, R., McCarthy, S., et al. (2004). VERB - a social marketing campaign to increase physical activity among youth. </w:t>
      </w:r>
      <w:r w:rsidRPr="00F74AFE">
        <w:rPr>
          <w:rFonts w:asciiTheme="minorHAnsi" w:hAnsiTheme="minorHAnsi" w:cstheme="minorHAnsi"/>
          <w:i/>
          <w:iCs/>
          <w:sz w:val="20"/>
          <w:szCs w:val="20"/>
        </w:rPr>
        <w:t>Preventing Chronic Disease</w:t>
      </w:r>
      <w:r w:rsidRPr="00F74AFE">
        <w:rPr>
          <w:rFonts w:asciiTheme="minorHAnsi" w:hAnsiTheme="minorHAnsi" w:cstheme="minorHAnsi"/>
          <w:iCs/>
          <w:sz w:val="20"/>
          <w:szCs w:val="20"/>
        </w:rPr>
        <w:t>, 1</w:t>
      </w:r>
      <w:r w:rsidRPr="00F74AFE">
        <w:rPr>
          <w:rFonts w:asciiTheme="minorHAnsi" w:hAnsiTheme="minorHAnsi" w:cstheme="minorHAnsi"/>
          <w:sz w:val="20"/>
          <w:szCs w:val="20"/>
        </w:rPr>
        <w:t xml:space="preserve">(3), A10-A10. Bretthauer-Mueller, R., Berkowitz, J. M., Thomas, M., McCarthy, S., Green, L. A., Melancon, H., et al. (2008). Catalyzing Community Action Within a National Campaign: VERB(TM) Community and National Partnerships. </w:t>
      </w:r>
      <w:r w:rsidRPr="00F74AFE">
        <w:rPr>
          <w:rFonts w:asciiTheme="minorHAnsi" w:hAnsiTheme="minorHAnsi" w:cstheme="minorHAnsi"/>
          <w:i/>
          <w:iCs/>
          <w:sz w:val="20"/>
          <w:szCs w:val="20"/>
        </w:rPr>
        <w:t>American Journal of Preventive Medicine</w:t>
      </w:r>
      <w:r w:rsidRPr="00F74AFE">
        <w:rPr>
          <w:rFonts w:asciiTheme="minorHAnsi" w:hAnsiTheme="minorHAnsi" w:cstheme="minorHAnsi"/>
          <w:iCs/>
          <w:sz w:val="20"/>
          <w:szCs w:val="20"/>
        </w:rPr>
        <w:t>, 34</w:t>
      </w:r>
      <w:r w:rsidRPr="00F74AFE">
        <w:rPr>
          <w:rFonts w:asciiTheme="minorHAnsi" w:hAnsiTheme="minorHAnsi" w:cstheme="minorHAnsi"/>
          <w:sz w:val="20"/>
          <w:szCs w:val="20"/>
        </w:rPr>
        <w:t xml:space="preserve">(6, Supplement 1), S210-S221. Huhman, M., Berkowitz, J. M., Wong, F. L., Prosper, E., Gray, M., Prince, D., et al. (2008). The VERB Campaign's Strategy for Reaching African-American, Hispanic, Asian, and American Indian Children and Parents. </w:t>
      </w:r>
      <w:r w:rsidRPr="00F74AFE">
        <w:rPr>
          <w:rFonts w:asciiTheme="minorHAnsi" w:hAnsiTheme="minorHAnsi" w:cstheme="minorHAnsi"/>
          <w:i/>
          <w:iCs/>
          <w:sz w:val="20"/>
          <w:szCs w:val="20"/>
        </w:rPr>
        <w:t>American Journal of Preventive Medicine</w:t>
      </w:r>
      <w:r w:rsidRPr="00F74AFE">
        <w:rPr>
          <w:rFonts w:asciiTheme="minorHAnsi" w:hAnsiTheme="minorHAnsi" w:cstheme="minorHAnsi"/>
          <w:iCs/>
          <w:sz w:val="20"/>
          <w:szCs w:val="20"/>
        </w:rPr>
        <w:t>, 34</w:t>
      </w:r>
      <w:r w:rsidRPr="00F74AFE">
        <w:rPr>
          <w:rFonts w:asciiTheme="minorHAnsi" w:hAnsiTheme="minorHAnsi" w:cstheme="minorHAnsi"/>
          <w:sz w:val="20"/>
          <w:szCs w:val="20"/>
        </w:rPr>
        <w:t>(6 suppl.), S194-S209.</w:t>
      </w:r>
    </w:p>
  </w:endnote>
  <w:endnote w:id="232">
    <w:p w:rsidR="002B3E5E" w:rsidRPr="00F74AFE" w:rsidRDefault="002B3E5E" w:rsidP="007736E4">
      <w:pPr>
        <w:autoSpaceDE w:val="0"/>
        <w:autoSpaceDN w:val="0"/>
        <w:adjustRightInd w:val="0"/>
        <w:rPr>
          <w:rFonts w:asciiTheme="minorHAnsi" w:hAnsiTheme="minorHAnsi" w:cstheme="minorHAnsi"/>
          <w:sz w:val="20"/>
          <w:szCs w:val="20"/>
        </w:rPr>
      </w:pPr>
      <w:r w:rsidRPr="00F74AFE">
        <w:rPr>
          <w:rStyle w:val="EndnoteReference"/>
          <w:rFonts w:asciiTheme="minorHAnsi" w:eastAsiaTheme="majorEastAsia" w:hAnsiTheme="minorHAnsi" w:cstheme="minorHAnsi"/>
          <w:sz w:val="20"/>
          <w:szCs w:val="20"/>
        </w:rPr>
        <w:endnoteRef/>
      </w:r>
      <w:r w:rsidRPr="00F74AFE">
        <w:rPr>
          <w:rFonts w:asciiTheme="minorHAnsi" w:hAnsiTheme="minorHAnsi" w:cstheme="minorHAnsi"/>
          <w:sz w:val="20"/>
          <w:szCs w:val="20"/>
        </w:rPr>
        <w:t xml:space="preserve"> St Leger, L. H. (1999). The opportunities and effectiveness of the health promoting primary school in improving child health— a review of the claims and evidence. </w:t>
      </w:r>
      <w:r w:rsidRPr="00F74AFE">
        <w:rPr>
          <w:rFonts w:asciiTheme="minorHAnsi" w:hAnsiTheme="minorHAnsi" w:cstheme="minorHAnsi"/>
          <w:i/>
          <w:iCs/>
          <w:sz w:val="20"/>
          <w:szCs w:val="20"/>
        </w:rPr>
        <w:t>Health Educ. Res</w:t>
      </w:r>
      <w:r w:rsidRPr="00F74AFE">
        <w:rPr>
          <w:rFonts w:asciiTheme="minorHAnsi" w:hAnsiTheme="minorHAnsi" w:cstheme="minorHAnsi"/>
          <w:iCs/>
          <w:sz w:val="20"/>
          <w:szCs w:val="20"/>
        </w:rPr>
        <w:t>., 14</w:t>
      </w:r>
      <w:r w:rsidRPr="00F74AFE">
        <w:rPr>
          <w:rFonts w:asciiTheme="minorHAnsi" w:hAnsiTheme="minorHAnsi" w:cstheme="minorHAnsi"/>
          <w:sz w:val="20"/>
          <w:szCs w:val="20"/>
        </w:rPr>
        <w:t>(1), 51-69.</w:t>
      </w:r>
    </w:p>
  </w:endnote>
  <w:endnote w:id="233">
    <w:p w:rsidR="002B3E5E" w:rsidRPr="00F74AFE" w:rsidRDefault="002B3E5E" w:rsidP="007736E4">
      <w:pPr>
        <w:autoSpaceDE w:val="0"/>
        <w:autoSpaceDN w:val="0"/>
        <w:adjustRightInd w:val="0"/>
        <w:rPr>
          <w:rFonts w:asciiTheme="minorHAnsi" w:hAnsiTheme="minorHAnsi" w:cstheme="minorHAnsi"/>
          <w:sz w:val="20"/>
          <w:szCs w:val="20"/>
        </w:rPr>
      </w:pPr>
      <w:r w:rsidRPr="00F74AFE">
        <w:rPr>
          <w:rStyle w:val="EndnoteReference"/>
          <w:rFonts w:asciiTheme="minorHAnsi" w:eastAsiaTheme="majorEastAsia" w:hAnsiTheme="minorHAnsi" w:cstheme="minorHAnsi"/>
          <w:sz w:val="20"/>
          <w:szCs w:val="20"/>
        </w:rPr>
        <w:endnoteRef/>
      </w:r>
      <w:r w:rsidRPr="00F74AFE">
        <w:rPr>
          <w:rFonts w:asciiTheme="minorHAnsi" w:hAnsiTheme="minorHAnsi" w:cstheme="minorHAnsi"/>
          <w:sz w:val="20"/>
          <w:szCs w:val="20"/>
        </w:rPr>
        <w:t xml:space="preserve"> Lee, A. (2009). Health-Promoting Schools: Evidence for a Holistic Approach to Promoting Health and Improving Health Literacy. </w:t>
      </w:r>
      <w:r w:rsidRPr="00F74AFE">
        <w:rPr>
          <w:rFonts w:asciiTheme="minorHAnsi" w:hAnsiTheme="minorHAnsi" w:cstheme="minorHAnsi"/>
          <w:i/>
          <w:iCs/>
          <w:sz w:val="20"/>
          <w:szCs w:val="20"/>
        </w:rPr>
        <w:t>Applied Health Economics and Health Policy</w:t>
      </w:r>
      <w:r w:rsidRPr="00F74AFE">
        <w:rPr>
          <w:rFonts w:asciiTheme="minorHAnsi" w:hAnsiTheme="minorHAnsi" w:cstheme="minorHAnsi"/>
          <w:iCs/>
          <w:sz w:val="20"/>
          <w:szCs w:val="20"/>
        </w:rPr>
        <w:t>, 7</w:t>
      </w:r>
      <w:r w:rsidRPr="00F74AFE">
        <w:rPr>
          <w:rFonts w:asciiTheme="minorHAnsi" w:hAnsiTheme="minorHAnsi" w:cstheme="minorHAnsi"/>
          <w:sz w:val="20"/>
          <w:szCs w:val="20"/>
        </w:rPr>
        <w:t>(1), 11-17.</w:t>
      </w:r>
    </w:p>
  </w:endnote>
  <w:endnote w:id="234">
    <w:p w:rsidR="002B3E5E" w:rsidRPr="00F74AFE" w:rsidRDefault="002B3E5E" w:rsidP="007736E4">
      <w:pPr>
        <w:pStyle w:val="EndnoteText"/>
        <w:spacing w:after="0"/>
        <w:rPr>
          <w:rFonts w:asciiTheme="minorHAnsi" w:hAnsiTheme="minorHAnsi" w:cstheme="minorHAnsi"/>
        </w:rPr>
      </w:pPr>
      <w:r w:rsidRPr="00F74AFE">
        <w:rPr>
          <w:rStyle w:val="EndnoteReference"/>
          <w:rFonts w:asciiTheme="minorHAnsi" w:hAnsiTheme="minorHAnsi" w:cstheme="minorHAnsi"/>
        </w:rPr>
        <w:endnoteRef/>
      </w:r>
      <w:r w:rsidRPr="00F74AFE">
        <w:rPr>
          <w:rFonts w:asciiTheme="minorHAnsi" w:hAnsiTheme="minorHAnsi" w:cstheme="minorHAnsi"/>
        </w:rPr>
        <w:t xml:space="preserve"> Stewart-Brown, S. (2006).  What is the evidence on school health promotion in improving health and preventing disease and, specifically, what is the effectiveness of the health promoting schools approach?  Copenhagen:  WHO Regional Office for Europe.</w:t>
      </w:r>
    </w:p>
  </w:endnote>
  <w:endnote w:id="235">
    <w:p w:rsidR="002B3E5E" w:rsidRPr="00F74AFE" w:rsidRDefault="002B3E5E" w:rsidP="00785E02">
      <w:pPr>
        <w:jc w:val="both"/>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w:t>
      </w:r>
      <w:r w:rsidRPr="00F74AFE">
        <w:rPr>
          <w:rStyle w:val="medium-normal1"/>
          <w:rFonts w:asciiTheme="minorHAnsi" w:hAnsiTheme="minorHAnsi" w:cstheme="minorHAnsi"/>
          <w:color w:val="000000"/>
        </w:rPr>
        <w:t xml:space="preserve">Karrh, J. A. (1998). Brand Placement:  A Review, </w:t>
      </w:r>
      <w:r w:rsidRPr="00F74AFE">
        <w:rPr>
          <w:rStyle w:val="medium-normal1"/>
          <w:rFonts w:asciiTheme="minorHAnsi" w:hAnsiTheme="minorHAnsi" w:cstheme="minorHAnsi"/>
          <w:i/>
          <w:color w:val="000000"/>
        </w:rPr>
        <w:t>Journal of Current Issues and Research in Advertising</w:t>
      </w:r>
      <w:r w:rsidRPr="00F74AFE">
        <w:rPr>
          <w:rStyle w:val="medium-normal1"/>
          <w:rFonts w:asciiTheme="minorHAnsi" w:hAnsiTheme="minorHAnsi" w:cstheme="minorHAnsi"/>
          <w:color w:val="000000"/>
        </w:rPr>
        <w:t>, 209(2), 31 - 49.</w:t>
      </w:r>
    </w:p>
  </w:endnote>
  <w:endnote w:id="236">
    <w:p w:rsidR="002B3E5E" w:rsidRPr="00F74AFE" w:rsidRDefault="002B3E5E" w:rsidP="00785E02">
      <w:pPr>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w:t>
      </w:r>
      <w:r w:rsidRPr="00F74AFE">
        <w:rPr>
          <w:rFonts w:asciiTheme="minorHAnsi" w:hAnsiTheme="minorHAnsi" w:cstheme="minorHAnsi"/>
          <w:sz w:val="20"/>
          <w:szCs w:val="20"/>
          <w:lang w:val="en-NZ"/>
        </w:rPr>
        <w:t>Agenda Inc.</w:t>
      </w:r>
      <w:r w:rsidRPr="00F74AFE">
        <w:rPr>
          <w:rFonts w:asciiTheme="minorHAnsi" w:hAnsiTheme="minorHAnsi" w:cstheme="minorHAnsi"/>
          <w:i/>
          <w:sz w:val="20"/>
          <w:szCs w:val="20"/>
          <w:lang w:val="en-NZ"/>
        </w:rPr>
        <w:t xml:space="preserve"> American Brandstand, 2008</w:t>
      </w:r>
      <w:r w:rsidRPr="00F74AFE">
        <w:rPr>
          <w:rFonts w:asciiTheme="minorHAnsi" w:hAnsiTheme="minorHAnsi" w:cstheme="minorHAnsi"/>
          <w:sz w:val="20"/>
          <w:szCs w:val="20"/>
          <w:lang w:val="en-NZ"/>
        </w:rPr>
        <w:t xml:space="preserve"> [online]. Available at: </w:t>
      </w:r>
      <w:hyperlink r:id="rId5" w:history="1">
        <w:r w:rsidRPr="00F74AFE">
          <w:rPr>
            <w:rStyle w:val="Hyperlink"/>
            <w:rFonts w:asciiTheme="minorHAnsi" w:hAnsiTheme="minorHAnsi" w:cstheme="minorHAnsi"/>
            <w:sz w:val="20"/>
            <w:szCs w:val="20"/>
            <w:lang w:val="en-NZ"/>
          </w:rPr>
          <w:t>http://agendainc.com/media/ambr08.pdf</w:t>
        </w:r>
      </w:hyperlink>
      <w:r w:rsidRPr="00F74AFE">
        <w:rPr>
          <w:rFonts w:asciiTheme="minorHAnsi" w:hAnsiTheme="minorHAnsi" w:cstheme="minorHAnsi"/>
          <w:sz w:val="20"/>
          <w:szCs w:val="20"/>
          <w:lang w:val="en-NZ"/>
        </w:rPr>
        <w:t xml:space="preserve"> . [Accessed 20 February 2011.] </w:t>
      </w:r>
    </w:p>
  </w:endnote>
  <w:endnote w:id="237">
    <w:p w:rsidR="002B3E5E" w:rsidRPr="00F74AFE" w:rsidRDefault="002B3E5E" w:rsidP="00F74AFE">
      <w:pPr>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w:t>
      </w:r>
      <w:r w:rsidRPr="00F74AFE">
        <w:rPr>
          <w:rStyle w:val="medium-normal1"/>
          <w:rFonts w:asciiTheme="minorHAnsi" w:hAnsiTheme="minorHAnsi" w:cstheme="minorHAnsi"/>
          <w:color w:val="000000"/>
        </w:rPr>
        <w:t xml:space="preserve">van Buskirk, E. (2010). Gaming the System: How Marketers Rig the Social Media Machine, </w:t>
      </w:r>
      <w:r w:rsidRPr="00F74AFE">
        <w:rPr>
          <w:rStyle w:val="medium-normal1"/>
          <w:rFonts w:asciiTheme="minorHAnsi" w:hAnsiTheme="minorHAnsi" w:cstheme="minorHAnsi"/>
          <w:color w:val="000000"/>
          <w:u w:val="single"/>
        </w:rPr>
        <w:t>Wired.com</w:t>
      </w:r>
      <w:r w:rsidRPr="00F74AFE">
        <w:rPr>
          <w:rStyle w:val="medium-normal1"/>
          <w:rFonts w:asciiTheme="minorHAnsi" w:hAnsiTheme="minorHAnsi" w:cstheme="minorHAnsi"/>
          <w:color w:val="000000"/>
        </w:rPr>
        <w:t xml:space="preserve">, Retrieved on 21 September 2010 from </w:t>
      </w:r>
      <w:hyperlink r:id="rId6" w:history="1">
        <w:r w:rsidRPr="00F74AFE">
          <w:rPr>
            <w:rStyle w:val="Hyperlink"/>
            <w:rFonts w:asciiTheme="minorHAnsi" w:hAnsiTheme="minorHAnsi" w:cstheme="minorHAnsi"/>
            <w:sz w:val="20"/>
            <w:szCs w:val="20"/>
          </w:rPr>
          <w:t>http://www.wired.com/epicenter/2010/07/gaming-the-system-how-marketers-rig-the-social-media-machine/</w:t>
        </w:r>
      </w:hyperlink>
      <w:r w:rsidRPr="00F74AFE">
        <w:rPr>
          <w:rStyle w:val="medium-normal1"/>
          <w:rFonts w:asciiTheme="minorHAnsi" w:hAnsiTheme="minorHAnsi" w:cstheme="minorHAnsi"/>
          <w:color w:val="000000"/>
        </w:rPr>
        <w:t xml:space="preserve"> </w:t>
      </w:r>
    </w:p>
  </w:endnote>
  <w:endnote w:id="238">
    <w:p w:rsidR="002B3E5E" w:rsidRPr="00F74AFE" w:rsidRDefault="002B3E5E" w:rsidP="00785E02">
      <w:pPr>
        <w:jc w:val="both"/>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w:t>
      </w:r>
      <w:r w:rsidRPr="00F74AFE">
        <w:rPr>
          <w:rStyle w:val="medium-normal1"/>
          <w:rFonts w:asciiTheme="minorHAnsi" w:hAnsiTheme="minorHAnsi" w:cstheme="minorHAnsi"/>
          <w:color w:val="000000"/>
        </w:rPr>
        <w:t xml:space="preserve">DeLorme, D. E., &amp; Reid, L. N. (1999). Moviegoers' Experiences and Interpretations of Brands in Films Revisited, </w:t>
      </w:r>
      <w:r w:rsidRPr="00F74AFE">
        <w:rPr>
          <w:rStyle w:val="medium-normal1"/>
          <w:rFonts w:asciiTheme="minorHAnsi" w:hAnsiTheme="minorHAnsi" w:cstheme="minorHAnsi"/>
          <w:i/>
          <w:color w:val="000000"/>
        </w:rPr>
        <w:t>Journal of Advertising</w:t>
      </w:r>
      <w:r w:rsidRPr="00F74AFE">
        <w:rPr>
          <w:rStyle w:val="medium-normal1"/>
          <w:rFonts w:asciiTheme="minorHAnsi" w:hAnsiTheme="minorHAnsi" w:cstheme="minorHAnsi"/>
          <w:color w:val="000000"/>
        </w:rPr>
        <w:t>, 28(2), 71 - 95.</w:t>
      </w:r>
    </w:p>
  </w:endnote>
  <w:endnote w:id="239">
    <w:p w:rsidR="002B3E5E" w:rsidRPr="00F74AFE" w:rsidRDefault="002B3E5E" w:rsidP="00785E02">
      <w:pPr>
        <w:jc w:val="both"/>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w:t>
      </w:r>
      <w:r w:rsidRPr="00F74AFE">
        <w:rPr>
          <w:rStyle w:val="medium-normal1"/>
          <w:rFonts w:asciiTheme="minorHAnsi" w:hAnsiTheme="minorHAnsi" w:cstheme="minorHAnsi"/>
          <w:color w:val="000000"/>
        </w:rPr>
        <w:t xml:space="preserve">Balasubramanian, S. K., Karrh, J. A., &amp; Parwardhan, H. (2006). Audience Response to Product Placement.  An Integrative Framework and Future Research Agenda. </w:t>
      </w:r>
      <w:r w:rsidRPr="00F74AFE">
        <w:rPr>
          <w:rStyle w:val="medium-normal1"/>
          <w:rFonts w:asciiTheme="minorHAnsi" w:hAnsiTheme="minorHAnsi" w:cstheme="minorHAnsi"/>
          <w:i/>
          <w:color w:val="000000"/>
        </w:rPr>
        <w:t>Journal of Advertising</w:t>
      </w:r>
      <w:r w:rsidRPr="00F74AFE">
        <w:rPr>
          <w:rStyle w:val="medium-normal1"/>
          <w:rFonts w:asciiTheme="minorHAnsi" w:hAnsiTheme="minorHAnsi" w:cstheme="minorHAnsi"/>
          <w:color w:val="000000"/>
        </w:rPr>
        <w:t>, 35(3), 115 - 141.</w:t>
      </w:r>
    </w:p>
  </w:endnote>
  <w:endnote w:id="240">
    <w:p w:rsidR="002B3E5E" w:rsidRPr="00F74AFE" w:rsidRDefault="002B3E5E" w:rsidP="00785E02">
      <w:pPr>
        <w:jc w:val="both"/>
        <w:rPr>
          <w:rStyle w:val="medium-normal1"/>
          <w:rFonts w:asciiTheme="minorHAnsi" w:hAnsiTheme="minorHAnsi" w:cstheme="minorHAnsi"/>
          <w:color w:val="00000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w:t>
      </w:r>
      <w:r w:rsidRPr="00F74AFE">
        <w:rPr>
          <w:rStyle w:val="medium-normal1"/>
          <w:rFonts w:asciiTheme="minorHAnsi" w:hAnsiTheme="minorHAnsi" w:cstheme="minorHAnsi"/>
          <w:color w:val="000000"/>
        </w:rPr>
        <w:t xml:space="preserve">OFCOM (2010).  Broadcasting Code Review:  Commercial References in Television Programming.  Accessed from </w:t>
      </w:r>
    </w:p>
    <w:p w:rsidR="002B3E5E" w:rsidRPr="00F74AFE" w:rsidRDefault="00002B71" w:rsidP="00785E02">
      <w:pPr>
        <w:jc w:val="both"/>
        <w:rPr>
          <w:rFonts w:asciiTheme="minorHAnsi" w:hAnsiTheme="minorHAnsi" w:cstheme="minorHAnsi"/>
          <w:sz w:val="20"/>
          <w:szCs w:val="20"/>
        </w:rPr>
      </w:pPr>
      <w:hyperlink r:id="rId7" w:history="1">
        <w:r w:rsidR="002B3E5E" w:rsidRPr="00F74AFE">
          <w:rPr>
            <w:rStyle w:val="Hyperlink"/>
            <w:rFonts w:asciiTheme="minorHAnsi" w:hAnsiTheme="minorHAnsi" w:cstheme="minorHAnsi"/>
            <w:sz w:val="20"/>
            <w:szCs w:val="20"/>
          </w:rPr>
          <w:t>http://stakeholders.ofcom.org.uk/consultancy/bcrtv2010/summary</w:t>
        </w:r>
      </w:hyperlink>
      <w:r w:rsidR="002B3E5E" w:rsidRPr="00F74AFE">
        <w:rPr>
          <w:rStyle w:val="medium-normal1"/>
          <w:rFonts w:asciiTheme="minorHAnsi" w:hAnsiTheme="minorHAnsi" w:cstheme="minorHAnsi"/>
          <w:color w:val="000000"/>
        </w:rPr>
        <w:t xml:space="preserve"> </w:t>
      </w:r>
    </w:p>
  </w:endnote>
  <w:endnote w:id="241">
    <w:p w:rsidR="002B3E5E" w:rsidRPr="00F74AFE" w:rsidRDefault="002B3E5E" w:rsidP="00785E02">
      <w:pPr>
        <w:jc w:val="both"/>
        <w:rPr>
          <w:rStyle w:val="medium-normal1"/>
          <w:rFonts w:asciiTheme="minorHAnsi" w:hAnsiTheme="minorHAnsi" w:cstheme="minorHAnsi"/>
          <w:color w:val="00000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w:t>
      </w:r>
      <w:r w:rsidRPr="00F74AFE">
        <w:rPr>
          <w:rStyle w:val="medium-normal1"/>
          <w:rFonts w:asciiTheme="minorHAnsi" w:hAnsiTheme="minorHAnsi" w:cstheme="minorHAnsi"/>
          <w:color w:val="000000"/>
        </w:rPr>
        <w:t xml:space="preserve">O'Reilly, L. (2010). Product Placement to be Allowed from February, </w:t>
      </w:r>
      <w:r w:rsidRPr="00F74AFE">
        <w:rPr>
          <w:rStyle w:val="medium-normal1"/>
          <w:rFonts w:asciiTheme="minorHAnsi" w:hAnsiTheme="minorHAnsi" w:cstheme="minorHAnsi"/>
          <w:i/>
          <w:color w:val="000000"/>
        </w:rPr>
        <w:t>Marketing Week.</w:t>
      </w:r>
      <w:r w:rsidRPr="00F74AFE">
        <w:rPr>
          <w:rStyle w:val="medium-normal1"/>
          <w:rFonts w:asciiTheme="minorHAnsi" w:hAnsiTheme="minorHAnsi" w:cstheme="minorHAnsi"/>
          <w:color w:val="000000"/>
        </w:rPr>
        <w:t xml:space="preserve"> Retrieved 20 December 2010 from </w:t>
      </w:r>
    </w:p>
    <w:p w:rsidR="002B3E5E" w:rsidRPr="00F74AFE" w:rsidRDefault="00002B71" w:rsidP="00785E02">
      <w:pPr>
        <w:jc w:val="both"/>
        <w:rPr>
          <w:rFonts w:asciiTheme="minorHAnsi" w:hAnsiTheme="minorHAnsi" w:cstheme="minorHAnsi"/>
          <w:sz w:val="20"/>
          <w:szCs w:val="20"/>
        </w:rPr>
      </w:pPr>
      <w:hyperlink r:id="rId8" w:history="1">
        <w:r w:rsidR="002B3E5E" w:rsidRPr="00F74AFE">
          <w:rPr>
            <w:rStyle w:val="Hyperlink"/>
            <w:rFonts w:asciiTheme="minorHAnsi" w:hAnsiTheme="minorHAnsi" w:cstheme="minorHAnsi"/>
            <w:sz w:val="20"/>
            <w:szCs w:val="20"/>
          </w:rPr>
          <w:t>http://www.marketingweek.co.uk/sectors/media/product-placement-to-be-allowed-from-february/3021834.article</w:t>
        </w:r>
      </w:hyperlink>
      <w:r w:rsidR="002B3E5E" w:rsidRPr="00F74AFE">
        <w:rPr>
          <w:rStyle w:val="medium-normal1"/>
          <w:rFonts w:asciiTheme="minorHAnsi" w:hAnsiTheme="minorHAnsi" w:cstheme="minorHAnsi"/>
          <w:color w:val="000000"/>
        </w:rPr>
        <w:t xml:space="preserve"> </w:t>
      </w:r>
    </w:p>
  </w:endnote>
  <w:endnote w:id="242">
    <w:p w:rsidR="002B3E5E" w:rsidRPr="00F74AFE" w:rsidRDefault="002B3E5E" w:rsidP="00785E02">
      <w:pPr>
        <w:jc w:val="both"/>
        <w:rPr>
          <w:rFonts w:asciiTheme="minorHAnsi" w:hAnsiTheme="minorHAnsi" w:cstheme="minorHAnsi"/>
          <w:sz w:val="20"/>
          <w:szCs w:val="20"/>
          <w:lang w:val="en-NZ"/>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w:t>
      </w:r>
      <w:r w:rsidRPr="00F74AFE">
        <w:rPr>
          <w:rFonts w:asciiTheme="minorHAnsi" w:hAnsiTheme="minorHAnsi" w:cstheme="minorHAnsi"/>
          <w:sz w:val="20"/>
          <w:szCs w:val="20"/>
          <w:lang w:val="en-NZ"/>
        </w:rPr>
        <w:t xml:space="preserve">OFCOM (2011).  Broadcasting Code Review (2011). </w:t>
      </w:r>
    </w:p>
    <w:p w:rsidR="002B3E5E" w:rsidRPr="00F74AFE" w:rsidRDefault="00002B71" w:rsidP="00785E02">
      <w:pPr>
        <w:jc w:val="both"/>
        <w:rPr>
          <w:rFonts w:asciiTheme="minorHAnsi" w:hAnsiTheme="minorHAnsi" w:cstheme="minorHAnsi"/>
          <w:sz w:val="20"/>
          <w:szCs w:val="20"/>
        </w:rPr>
      </w:pPr>
      <w:hyperlink r:id="rId9" w:history="1">
        <w:r w:rsidR="002B3E5E" w:rsidRPr="00F74AFE">
          <w:rPr>
            <w:rStyle w:val="Hyperlink"/>
            <w:rFonts w:asciiTheme="minorHAnsi" w:hAnsiTheme="minorHAnsi" w:cstheme="minorHAnsi"/>
            <w:sz w:val="20"/>
            <w:szCs w:val="20"/>
            <w:lang w:val="en-NZ"/>
          </w:rPr>
          <w:t>http://stakeholders.ofcom.org.uk/binaries/consultations/724242/statement/annex1.pdf</w:t>
        </w:r>
      </w:hyperlink>
      <w:r w:rsidR="002B3E5E" w:rsidRPr="00F74AFE">
        <w:rPr>
          <w:rFonts w:asciiTheme="minorHAnsi" w:hAnsiTheme="minorHAnsi" w:cstheme="minorHAnsi"/>
          <w:sz w:val="20"/>
          <w:szCs w:val="20"/>
          <w:lang w:val="en-NZ"/>
        </w:rPr>
        <w:t xml:space="preserve"> </w:t>
      </w:r>
    </w:p>
  </w:endnote>
  <w:endnote w:id="243">
    <w:p w:rsidR="002B3E5E" w:rsidRPr="00F74AFE" w:rsidRDefault="002B3E5E" w:rsidP="00785E02">
      <w:pPr>
        <w:jc w:val="both"/>
        <w:rPr>
          <w:rStyle w:val="medium-normal1"/>
          <w:rFonts w:asciiTheme="minorHAnsi" w:hAnsiTheme="minorHAnsi" w:cstheme="minorHAnsi"/>
          <w:color w:val="00000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w:t>
      </w:r>
      <w:r w:rsidRPr="00F74AFE">
        <w:rPr>
          <w:rStyle w:val="medium-normal1"/>
          <w:rFonts w:asciiTheme="minorHAnsi" w:hAnsiTheme="minorHAnsi" w:cstheme="minorHAnsi"/>
          <w:color w:val="000000"/>
        </w:rPr>
        <w:t xml:space="preserve">Castillo, D. (2010). New PQ Media Report Finds U.S. Branded Entertainment Spending on Consumer Events &amp; Product Placement, </w:t>
      </w:r>
      <w:r w:rsidRPr="00F74AFE">
        <w:rPr>
          <w:rStyle w:val="medium-normal1"/>
          <w:rFonts w:asciiTheme="minorHAnsi" w:hAnsiTheme="minorHAnsi" w:cstheme="minorHAnsi"/>
          <w:i/>
          <w:color w:val="000000"/>
        </w:rPr>
        <w:t>Product Placement News</w:t>
      </w:r>
      <w:r w:rsidRPr="00F74AFE">
        <w:rPr>
          <w:rStyle w:val="medium-normal1"/>
          <w:rFonts w:asciiTheme="minorHAnsi" w:hAnsiTheme="minorHAnsi" w:cstheme="minorHAnsi"/>
          <w:color w:val="000000"/>
        </w:rPr>
        <w:t xml:space="preserve">. Retrieved on 18 January 2011 from </w:t>
      </w:r>
    </w:p>
    <w:p w:rsidR="002B3E5E" w:rsidRPr="00F74AFE" w:rsidRDefault="00002B71" w:rsidP="00785E02">
      <w:pPr>
        <w:jc w:val="both"/>
        <w:rPr>
          <w:rFonts w:asciiTheme="minorHAnsi" w:hAnsiTheme="minorHAnsi" w:cstheme="minorHAnsi"/>
          <w:sz w:val="20"/>
          <w:szCs w:val="20"/>
        </w:rPr>
      </w:pPr>
      <w:hyperlink r:id="rId10" w:history="1">
        <w:r w:rsidR="002B3E5E" w:rsidRPr="00F74AFE">
          <w:rPr>
            <w:rStyle w:val="Hyperlink"/>
            <w:rFonts w:asciiTheme="minorHAnsi" w:hAnsiTheme="minorHAnsi" w:cstheme="minorHAnsi"/>
            <w:sz w:val="20"/>
            <w:szCs w:val="20"/>
          </w:rPr>
          <w:t>http://productplacement.biz/201007072619/branded-entertainment/new-pq-media-report-finds-u-s-branded-entertainment-spending-on-consumer-events-product-placement-dipped-only-1-3-to-24-63-billion-in-2009-on-pace-to-grow-5-3-in-2010-exceeding-most-advertising.html</w:t>
        </w:r>
      </w:hyperlink>
      <w:r w:rsidR="002B3E5E" w:rsidRPr="00F74AFE">
        <w:rPr>
          <w:rStyle w:val="medium-normal1"/>
          <w:rFonts w:asciiTheme="minorHAnsi" w:hAnsiTheme="minorHAnsi" w:cstheme="minorHAnsi"/>
          <w:color w:val="000000"/>
        </w:rPr>
        <w:t xml:space="preserve"> </w:t>
      </w:r>
    </w:p>
  </w:endnote>
  <w:endnote w:id="244">
    <w:p w:rsidR="002B3E5E" w:rsidRPr="00F74AFE" w:rsidRDefault="002B3E5E" w:rsidP="00785E02">
      <w:pPr>
        <w:jc w:val="both"/>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w:t>
      </w:r>
      <w:r w:rsidRPr="00F74AFE">
        <w:rPr>
          <w:rStyle w:val="medium-normal1"/>
          <w:rFonts w:asciiTheme="minorHAnsi" w:hAnsiTheme="minorHAnsi" w:cstheme="minorHAnsi"/>
          <w:color w:val="000000"/>
        </w:rPr>
        <w:t xml:space="preserve">Moltenbrey, K. (2004). Adver-Driving, </w:t>
      </w:r>
      <w:r w:rsidRPr="00F74AFE">
        <w:rPr>
          <w:rStyle w:val="medium-normal1"/>
          <w:rFonts w:asciiTheme="minorHAnsi" w:hAnsiTheme="minorHAnsi" w:cstheme="minorHAnsi"/>
          <w:i/>
          <w:color w:val="000000"/>
        </w:rPr>
        <w:t>Computer Graphics World</w:t>
      </w:r>
      <w:r w:rsidRPr="00F74AFE">
        <w:rPr>
          <w:rStyle w:val="medium-normal1"/>
          <w:rFonts w:asciiTheme="minorHAnsi" w:hAnsiTheme="minorHAnsi" w:cstheme="minorHAnsi"/>
          <w:color w:val="000000"/>
        </w:rPr>
        <w:t>, 27(6), 30 - 31.</w:t>
      </w:r>
    </w:p>
  </w:endnote>
  <w:endnote w:id="245">
    <w:p w:rsidR="002B3E5E" w:rsidRPr="00F74AFE" w:rsidRDefault="002B3E5E" w:rsidP="00785E02">
      <w:pPr>
        <w:jc w:val="both"/>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w:t>
      </w:r>
      <w:r w:rsidRPr="00F74AFE">
        <w:rPr>
          <w:rStyle w:val="medium-normal1"/>
          <w:rFonts w:asciiTheme="minorHAnsi" w:hAnsiTheme="minorHAnsi" w:cstheme="minorHAnsi"/>
          <w:color w:val="000000"/>
        </w:rPr>
        <w:t xml:space="preserve">Kretchmer, S. B. (2004). Advertainment:  The Evolution of Product Placement as a Mass Media Marketing Strategy, 37-53, in M. Galician (ed.), </w:t>
      </w:r>
      <w:r w:rsidRPr="00F74AFE">
        <w:rPr>
          <w:rStyle w:val="medium-normal1"/>
          <w:rFonts w:asciiTheme="minorHAnsi" w:hAnsiTheme="minorHAnsi" w:cstheme="minorHAnsi"/>
          <w:i/>
          <w:color w:val="000000"/>
        </w:rPr>
        <w:t xml:space="preserve">Handbook of Product Placement in the Mass Media,:  New Strategies in Marketing Theory, Practice, Trends and Ethics. </w:t>
      </w:r>
      <w:r w:rsidRPr="00F74AFE">
        <w:rPr>
          <w:rStyle w:val="medium-normal1"/>
          <w:rFonts w:asciiTheme="minorHAnsi" w:hAnsiTheme="minorHAnsi" w:cstheme="minorHAnsi"/>
          <w:color w:val="000000"/>
        </w:rPr>
        <w:t>Binghamton, NY: Haworth Press.</w:t>
      </w:r>
    </w:p>
  </w:endnote>
  <w:endnote w:id="246">
    <w:p w:rsidR="002B3E5E" w:rsidRPr="00F74AFE" w:rsidRDefault="002B3E5E" w:rsidP="00785E02">
      <w:pPr>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w:t>
      </w:r>
      <w:r w:rsidRPr="00F74AFE">
        <w:rPr>
          <w:rStyle w:val="medium-normal1"/>
          <w:rFonts w:asciiTheme="minorHAnsi" w:hAnsiTheme="minorHAnsi" w:cstheme="minorHAnsi"/>
          <w:color w:val="000000"/>
        </w:rPr>
        <w:t xml:space="preserve">Edery, D. (2006). Reverse Product Placement in Virtual Worlds, </w:t>
      </w:r>
      <w:r w:rsidRPr="00F74AFE">
        <w:rPr>
          <w:rStyle w:val="medium-normal1"/>
          <w:rFonts w:asciiTheme="minorHAnsi" w:hAnsiTheme="minorHAnsi" w:cstheme="minorHAnsi"/>
          <w:i/>
          <w:color w:val="000000"/>
        </w:rPr>
        <w:t>Harvard Business Review</w:t>
      </w:r>
      <w:r w:rsidRPr="00F74AFE">
        <w:rPr>
          <w:rStyle w:val="medium-normal1"/>
          <w:rFonts w:asciiTheme="minorHAnsi" w:hAnsiTheme="minorHAnsi" w:cstheme="minorHAnsi"/>
          <w:color w:val="000000"/>
        </w:rPr>
        <w:t>, 84(12), 24.</w:t>
      </w:r>
    </w:p>
  </w:endnote>
  <w:endnote w:id="247">
    <w:p w:rsidR="002B3E5E" w:rsidRPr="00F74AFE" w:rsidRDefault="002B3E5E" w:rsidP="00785E02">
      <w:pPr>
        <w:jc w:val="both"/>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w:t>
      </w:r>
      <w:r w:rsidRPr="00F74AFE">
        <w:rPr>
          <w:rStyle w:val="medium-normal1"/>
          <w:rFonts w:asciiTheme="minorHAnsi" w:hAnsiTheme="minorHAnsi" w:cstheme="minorHAnsi"/>
          <w:color w:val="000000"/>
        </w:rPr>
        <w:t xml:space="preserve">Gunn, E. (2001). Product Placement Prize, </w:t>
      </w:r>
      <w:r w:rsidRPr="00F74AFE">
        <w:rPr>
          <w:rStyle w:val="medium-normal1"/>
          <w:rFonts w:asciiTheme="minorHAnsi" w:hAnsiTheme="minorHAnsi" w:cstheme="minorHAnsi"/>
          <w:i/>
          <w:color w:val="000000"/>
        </w:rPr>
        <w:t>Advertising Age</w:t>
      </w:r>
      <w:r w:rsidRPr="00F74AFE">
        <w:rPr>
          <w:rStyle w:val="medium-normal1"/>
          <w:rFonts w:asciiTheme="minorHAnsi" w:hAnsiTheme="minorHAnsi" w:cstheme="minorHAnsi"/>
          <w:color w:val="000000"/>
        </w:rPr>
        <w:t>, 72(7), 10.</w:t>
      </w:r>
    </w:p>
  </w:endnote>
  <w:endnote w:id="248">
    <w:p w:rsidR="002B3E5E" w:rsidRPr="00F74AFE" w:rsidRDefault="002B3E5E" w:rsidP="00785E02">
      <w:pPr>
        <w:jc w:val="both"/>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w:t>
      </w:r>
      <w:r w:rsidRPr="00F74AFE">
        <w:rPr>
          <w:rStyle w:val="medium-normal1"/>
          <w:rFonts w:asciiTheme="minorHAnsi" w:hAnsiTheme="minorHAnsi" w:cstheme="minorHAnsi"/>
          <w:color w:val="000000"/>
        </w:rPr>
        <w:t xml:space="preserve">Banerjee, S. (2004). Playing Games, </w:t>
      </w:r>
      <w:r w:rsidRPr="00F74AFE">
        <w:rPr>
          <w:rStyle w:val="medium-normal1"/>
          <w:rFonts w:asciiTheme="minorHAnsi" w:hAnsiTheme="minorHAnsi" w:cstheme="minorHAnsi"/>
          <w:i/>
          <w:color w:val="000000"/>
        </w:rPr>
        <w:t>Billboard</w:t>
      </w:r>
      <w:r w:rsidRPr="00F74AFE">
        <w:rPr>
          <w:rStyle w:val="medium-normal1"/>
          <w:rFonts w:asciiTheme="minorHAnsi" w:hAnsiTheme="minorHAnsi" w:cstheme="minorHAnsi"/>
          <w:color w:val="000000"/>
        </w:rPr>
        <w:t>, 116(20), 3 - 4.</w:t>
      </w:r>
    </w:p>
  </w:endnote>
  <w:endnote w:id="249">
    <w:p w:rsidR="002B3E5E" w:rsidRPr="00F74AFE" w:rsidRDefault="002B3E5E" w:rsidP="00785E02">
      <w:pPr>
        <w:jc w:val="both"/>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w:t>
      </w:r>
      <w:r w:rsidRPr="00F74AFE">
        <w:rPr>
          <w:rStyle w:val="medium-normal1"/>
          <w:rFonts w:asciiTheme="minorHAnsi" w:hAnsiTheme="minorHAnsi" w:cstheme="minorHAnsi"/>
          <w:color w:val="000000"/>
        </w:rPr>
        <w:t xml:space="preserve">Friestad, M., &amp; Wright, P. (1994). The Persuasion Knowledge Model:  How People Cope with Persuasion Attempts, </w:t>
      </w:r>
      <w:r w:rsidRPr="00F74AFE">
        <w:rPr>
          <w:rStyle w:val="medium-normal1"/>
          <w:rFonts w:asciiTheme="minorHAnsi" w:hAnsiTheme="minorHAnsi" w:cstheme="minorHAnsi"/>
          <w:i/>
          <w:color w:val="000000"/>
        </w:rPr>
        <w:t>Journal of Consumer Research</w:t>
      </w:r>
      <w:r w:rsidRPr="00F74AFE">
        <w:rPr>
          <w:rStyle w:val="medium-normal1"/>
          <w:rFonts w:asciiTheme="minorHAnsi" w:hAnsiTheme="minorHAnsi" w:cstheme="minorHAnsi"/>
          <w:color w:val="000000"/>
        </w:rPr>
        <w:t>, 21(1), 1 - 30.</w:t>
      </w:r>
    </w:p>
  </w:endnote>
  <w:endnote w:id="250">
    <w:p w:rsidR="002B3E5E" w:rsidRPr="00F74AFE" w:rsidRDefault="002B3E5E" w:rsidP="00785E02">
      <w:pPr>
        <w:jc w:val="both"/>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w:t>
      </w:r>
      <w:r w:rsidRPr="00F74AFE">
        <w:rPr>
          <w:rStyle w:val="medium-normal1"/>
          <w:rFonts w:asciiTheme="minorHAnsi" w:hAnsiTheme="minorHAnsi" w:cstheme="minorHAnsi"/>
          <w:color w:val="000000"/>
        </w:rPr>
        <w:t xml:space="preserve">Moses, L. J., &amp; Baldwin, D. A. (2005). What Can the Study of Cognitive Development Reveal About Childrens' Ability to Appreciate and Cope with Advertising? </w:t>
      </w:r>
      <w:r w:rsidRPr="00F74AFE">
        <w:rPr>
          <w:rStyle w:val="medium-normal1"/>
          <w:rFonts w:asciiTheme="minorHAnsi" w:hAnsiTheme="minorHAnsi" w:cstheme="minorHAnsi"/>
          <w:i/>
          <w:color w:val="000000"/>
        </w:rPr>
        <w:t>Journal of Public Policy &amp; Marketing, 24(</w:t>
      </w:r>
      <w:r w:rsidRPr="00F74AFE">
        <w:rPr>
          <w:rStyle w:val="medium-normal1"/>
          <w:rFonts w:asciiTheme="minorHAnsi" w:hAnsiTheme="minorHAnsi" w:cstheme="minorHAnsi"/>
          <w:color w:val="000000"/>
        </w:rPr>
        <w:t>2), 186 - 201.</w:t>
      </w:r>
    </w:p>
  </w:endnote>
  <w:endnote w:id="251">
    <w:p w:rsidR="002B3E5E" w:rsidRPr="00F74AFE" w:rsidRDefault="002B3E5E" w:rsidP="00785E02">
      <w:pPr>
        <w:jc w:val="both"/>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w:t>
      </w:r>
      <w:r w:rsidRPr="00F74AFE">
        <w:rPr>
          <w:rStyle w:val="medium-normal1"/>
          <w:rFonts w:asciiTheme="minorHAnsi" w:hAnsiTheme="minorHAnsi" w:cstheme="minorHAnsi"/>
          <w:color w:val="000000"/>
        </w:rPr>
        <w:t xml:space="preserve">Livingstone, S. (2005). Assessing the Research Base for the Policy Debate over the Effects of Food Advertising to Children, </w:t>
      </w:r>
      <w:r w:rsidRPr="00F74AFE">
        <w:rPr>
          <w:rStyle w:val="medium-normal1"/>
          <w:rFonts w:asciiTheme="minorHAnsi" w:hAnsiTheme="minorHAnsi" w:cstheme="minorHAnsi"/>
          <w:i/>
          <w:color w:val="000000"/>
        </w:rPr>
        <w:t>International Journal of Advertising</w:t>
      </w:r>
      <w:r w:rsidRPr="00F74AFE">
        <w:rPr>
          <w:rStyle w:val="medium-normal1"/>
          <w:rFonts w:asciiTheme="minorHAnsi" w:hAnsiTheme="minorHAnsi" w:cstheme="minorHAnsi"/>
          <w:color w:val="000000"/>
        </w:rPr>
        <w:t>, 24(3), 273 - 296.</w:t>
      </w:r>
    </w:p>
  </w:endnote>
  <w:endnote w:id="252">
    <w:p w:rsidR="002B3E5E" w:rsidRPr="00F74AFE" w:rsidRDefault="002B3E5E" w:rsidP="00785E02">
      <w:pPr>
        <w:jc w:val="both"/>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w:t>
      </w:r>
      <w:r w:rsidRPr="00F74AFE">
        <w:rPr>
          <w:rStyle w:val="medium-normal1"/>
          <w:rFonts w:asciiTheme="minorHAnsi" w:hAnsiTheme="minorHAnsi" w:cstheme="minorHAnsi"/>
          <w:color w:val="000000"/>
        </w:rPr>
        <w:t xml:space="preserve">Sargant, N. (2004). Why Does Media Literacy Matter? </w:t>
      </w:r>
      <w:r w:rsidRPr="00F74AFE">
        <w:rPr>
          <w:rStyle w:val="medium-normal1"/>
          <w:rFonts w:asciiTheme="minorHAnsi" w:hAnsiTheme="minorHAnsi" w:cstheme="minorHAnsi"/>
          <w:i/>
          <w:color w:val="000000"/>
        </w:rPr>
        <w:t>Adults Learning</w:t>
      </w:r>
      <w:r w:rsidRPr="00F74AFE">
        <w:rPr>
          <w:rStyle w:val="medium-normal1"/>
          <w:rFonts w:asciiTheme="minorHAnsi" w:hAnsiTheme="minorHAnsi" w:cstheme="minorHAnsi"/>
          <w:color w:val="000000"/>
        </w:rPr>
        <w:t>, 16(4), 28 - 30.</w:t>
      </w:r>
    </w:p>
  </w:endnote>
  <w:endnote w:id="253">
    <w:p w:rsidR="002B3E5E" w:rsidRPr="00F74AFE" w:rsidRDefault="002B3E5E" w:rsidP="00785E02">
      <w:pPr>
        <w:jc w:val="both"/>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w:t>
      </w:r>
      <w:r w:rsidRPr="00F74AFE">
        <w:rPr>
          <w:rStyle w:val="medium-normal1"/>
          <w:rFonts w:asciiTheme="minorHAnsi" w:hAnsiTheme="minorHAnsi" w:cstheme="minorHAnsi"/>
          <w:color w:val="000000"/>
        </w:rPr>
        <w:t xml:space="preserve">Tarlow, C. D. (2004). Just Think:  A Media Literacy Curriculum that Works. </w:t>
      </w:r>
      <w:r w:rsidRPr="00F74AFE">
        <w:rPr>
          <w:rStyle w:val="medium-normal1"/>
          <w:rFonts w:asciiTheme="minorHAnsi" w:hAnsiTheme="minorHAnsi" w:cstheme="minorHAnsi"/>
          <w:i/>
          <w:color w:val="000000"/>
        </w:rPr>
        <w:t>Mothering, 127</w:t>
      </w:r>
      <w:r w:rsidRPr="00F74AFE">
        <w:rPr>
          <w:rStyle w:val="medium-normal1"/>
          <w:rFonts w:asciiTheme="minorHAnsi" w:hAnsiTheme="minorHAnsi" w:cstheme="minorHAnsi"/>
          <w:color w:val="000000"/>
        </w:rPr>
        <w:t>(Nov / Dec), 70 - 71.</w:t>
      </w:r>
    </w:p>
  </w:endnote>
  <w:endnote w:id="254">
    <w:p w:rsidR="002B3E5E" w:rsidRPr="00F74AFE" w:rsidRDefault="002B3E5E" w:rsidP="00785E02">
      <w:pPr>
        <w:jc w:val="both"/>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w:t>
      </w:r>
      <w:r w:rsidRPr="00F74AFE">
        <w:rPr>
          <w:rStyle w:val="medium-normal1"/>
          <w:rFonts w:asciiTheme="minorHAnsi" w:hAnsiTheme="minorHAnsi" w:cstheme="minorHAnsi"/>
          <w:color w:val="000000"/>
        </w:rPr>
        <w:t xml:space="preserve">O'Sullivan, T. (2005). Advertising and Children:  What Do the Kids Think? </w:t>
      </w:r>
      <w:r w:rsidRPr="00F74AFE">
        <w:rPr>
          <w:rStyle w:val="medium-normal1"/>
          <w:rFonts w:asciiTheme="minorHAnsi" w:hAnsiTheme="minorHAnsi" w:cstheme="minorHAnsi"/>
          <w:i/>
          <w:color w:val="000000"/>
        </w:rPr>
        <w:t>Qualitative Market Research</w:t>
      </w:r>
      <w:r w:rsidRPr="00F74AFE">
        <w:rPr>
          <w:rStyle w:val="medium-normal1"/>
          <w:rFonts w:asciiTheme="minorHAnsi" w:hAnsiTheme="minorHAnsi" w:cstheme="minorHAnsi"/>
          <w:color w:val="000000"/>
        </w:rPr>
        <w:t>, 8(4), 371 - 384.</w:t>
      </w:r>
    </w:p>
  </w:endnote>
  <w:endnote w:id="255">
    <w:p w:rsidR="002B3E5E" w:rsidRPr="00F74AFE" w:rsidRDefault="002B3E5E" w:rsidP="00785E02">
      <w:pPr>
        <w:jc w:val="both"/>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w:t>
      </w:r>
      <w:r w:rsidRPr="00F74AFE">
        <w:rPr>
          <w:rStyle w:val="medium-normal1"/>
          <w:rFonts w:asciiTheme="minorHAnsi" w:hAnsiTheme="minorHAnsi" w:cstheme="minorHAnsi"/>
          <w:color w:val="000000"/>
        </w:rPr>
        <w:t xml:space="preserve">Auty, S., &amp; Lewis, C. (2004). Exploring Children's Choice:  The Reminder Effect of Product Placement, </w:t>
      </w:r>
      <w:r w:rsidRPr="00F74AFE">
        <w:rPr>
          <w:rStyle w:val="medium-normal1"/>
          <w:rFonts w:asciiTheme="minorHAnsi" w:hAnsiTheme="minorHAnsi" w:cstheme="minorHAnsi"/>
          <w:i/>
          <w:color w:val="000000"/>
        </w:rPr>
        <w:t>Psychology &amp; Marketing</w:t>
      </w:r>
      <w:r w:rsidRPr="00F74AFE">
        <w:rPr>
          <w:rStyle w:val="medium-normal1"/>
          <w:rFonts w:asciiTheme="minorHAnsi" w:hAnsiTheme="minorHAnsi" w:cstheme="minorHAnsi"/>
          <w:color w:val="000000"/>
        </w:rPr>
        <w:t>, 21(9), 697 - 713.</w:t>
      </w:r>
    </w:p>
  </w:endnote>
  <w:endnote w:id="256">
    <w:p w:rsidR="002B3E5E" w:rsidRPr="00F74AFE" w:rsidRDefault="002B3E5E" w:rsidP="00785E02">
      <w:pPr>
        <w:jc w:val="both"/>
        <w:rPr>
          <w:rStyle w:val="medium-normal1"/>
          <w:rFonts w:asciiTheme="minorHAnsi" w:hAnsiTheme="minorHAnsi" w:cstheme="minorHAnsi"/>
          <w:color w:val="00000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w:t>
      </w:r>
      <w:r w:rsidRPr="00F74AFE">
        <w:rPr>
          <w:rStyle w:val="medium-normal1"/>
          <w:rFonts w:asciiTheme="minorHAnsi" w:hAnsiTheme="minorHAnsi" w:cstheme="minorHAnsi"/>
          <w:color w:val="000000"/>
        </w:rPr>
        <w:t xml:space="preserve">Sargent, J. D., Tickle, J. J., L., B. M., Dalton, M. A., Ahrens, M. B., &amp; Heatherton, T. F. (2001). Brand Appearances in Contemporary Cinema Films and Contribution to Glo Morton, C. R., &amp; Friedman, M. (2002). 'I Saw it In the Movies':  Exploring the Link Between Product Placement Beliefs and Reported Usage Behaviour, </w:t>
      </w:r>
      <w:r w:rsidRPr="00F74AFE">
        <w:rPr>
          <w:rStyle w:val="medium-normal1"/>
          <w:rFonts w:asciiTheme="minorHAnsi" w:hAnsiTheme="minorHAnsi" w:cstheme="minorHAnsi"/>
          <w:i/>
          <w:color w:val="000000"/>
        </w:rPr>
        <w:t>Journal of Current Issues and Research in Advertising</w:t>
      </w:r>
      <w:r w:rsidRPr="00F74AFE">
        <w:rPr>
          <w:rStyle w:val="medium-normal1"/>
          <w:rFonts w:asciiTheme="minorHAnsi" w:hAnsiTheme="minorHAnsi" w:cstheme="minorHAnsi"/>
          <w:color w:val="000000"/>
        </w:rPr>
        <w:t>, 24(2), 33 - 40.</w:t>
      </w:r>
    </w:p>
    <w:p w:rsidR="002B3E5E" w:rsidRPr="00F74AFE" w:rsidRDefault="002B3E5E" w:rsidP="00785E02">
      <w:pPr>
        <w:jc w:val="both"/>
        <w:rPr>
          <w:rFonts w:asciiTheme="minorHAnsi" w:hAnsiTheme="minorHAnsi" w:cstheme="minorHAnsi"/>
          <w:sz w:val="20"/>
          <w:szCs w:val="20"/>
        </w:rPr>
      </w:pPr>
      <w:r w:rsidRPr="00F74AFE">
        <w:rPr>
          <w:rStyle w:val="medium-normal1"/>
          <w:rFonts w:asciiTheme="minorHAnsi" w:hAnsiTheme="minorHAnsi" w:cstheme="minorHAnsi"/>
          <w:color w:val="000000"/>
        </w:rPr>
        <w:t xml:space="preserve">bal Marketing of Cigarettes, </w:t>
      </w:r>
      <w:r w:rsidRPr="00F74AFE">
        <w:rPr>
          <w:rStyle w:val="medium-normal1"/>
          <w:rFonts w:asciiTheme="minorHAnsi" w:hAnsiTheme="minorHAnsi" w:cstheme="minorHAnsi"/>
          <w:i/>
          <w:color w:val="000000"/>
        </w:rPr>
        <w:t>The Lancet</w:t>
      </w:r>
      <w:r w:rsidRPr="00F74AFE">
        <w:rPr>
          <w:rStyle w:val="medium-normal1"/>
          <w:rFonts w:asciiTheme="minorHAnsi" w:hAnsiTheme="minorHAnsi" w:cstheme="minorHAnsi"/>
          <w:color w:val="000000"/>
        </w:rPr>
        <w:t>, 357(9249), 29 - 32.</w:t>
      </w:r>
    </w:p>
  </w:endnote>
  <w:endnote w:id="257">
    <w:p w:rsidR="002B3E5E" w:rsidRPr="00F74AFE" w:rsidRDefault="002B3E5E" w:rsidP="00785E02">
      <w:pPr>
        <w:jc w:val="both"/>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w:t>
      </w:r>
      <w:r w:rsidRPr="00F74AFE">
        <w:rPr>
          <w:rStyle w:val="medium-normal1"/>
          <w:rFonts w:asciiTheme="minorHAnsi" w:hAnsiTheme="minorHAnsi" w:cstheme="minorHAnsi"/>
          <w:color w:val="000000"/>
        </w:rPr>
        <w:t xml:space="preserve">Kennedy, D. G. (2004). Coming of Age in Consumerdom, </w:t>
      </w:r>
      <w:r w:rsidRPr="00F74AFE">
        <w:rPr>
          <w:rStyle w:val="medium-normal1"/>
          <w:rFonts w:asciiTheme="minorHAnsi" w:hAnsiTheme="minorHAnsi" w:cstheme="minorHAnsi"/>
          <w:i/>
          <w:color w:val="000000"/>
        </w:rPr>
        <w:t>American Demographics, 26</w:t>
      </w:r>
      <w:r w:rsidRPr="00F74AFE">
        <w:rPr>
          <w:rStyle w:val="medium-normal1"/>
          <w:rFonts w:asciiTheme="minorHAnsi" w:hAnsiTheme="minorHAnsi" w:cstheme="minorHAnsi"/>
          <w:color w:val="000000"/>
        </w:rPr>
        <w:t>(3), 14.</w:t>
      </w:r>
    </w:p>
  </w:endnote>
  <w:endnote w:id="258">
    <w:p w:rsidR="002B3E5E" w:rsidRPr="00F74AFE" w:rsidRDefault="002B3E5E" w:rsidP="00785E02">
      <w:pPr>
        <w:jc w:val="both"/>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w:t>
      </w:r>
      <w:r w:rsidRPr="00F74AFE">
        <w:rPr>
          <w:rStyle w:val="medium-normal1"/>
          <w:rFonts w:asciiTheme="minorHAnsi" w:hAnsiTheme="minorHAnsi" w:cstheme="minorHAnsi"/>
          <w:color w:val="000000"/>
        </w:rPr>
        <w:t xml:space="preserve">Avery, R. J., &amp; Ferraro, R. (2000). Verisimilitude or Advertising?  Brand Appearances on Prime-Time Television, </w:t>
      </w:r>
      <w:r w:rsidRPr="00F74AFE">
        <w:rPr>
          <w:rStyle w:val="medium-normal1"/>
          <w:rFonts w:asciiTheme="minorHAnsi" w:hAnsiTheme="minorHAnsi" w:cstheme="minorHAnsi"/>
          <w:i/>
          <w:color w:val="000000"/>
        </w:rPr>
        <w:t>The Journal of Consumer Affairs</w:t>
      </w:r>
      <w:r w:rsidRPr="00F74AFE">
        <w:rPr>
          <w:rStyle w:val="medium-normal1"/>
          <w:rFonts w:asciiTheme="minorHAnsi" w:hAnsiTheme="minorHAnsi" w:cstheme="minorHAnsi"/>
          <w:color w:val="000000"/>
        </w:rPr>
        <w:t>, 34(2), 217 -244.</w:t>
      </w:r>
    </w:p>
  </w:endnote>
  <w:endnote w:id="259">
    <w:p w:rsidR="002B3E5E" w:rsidRPr="00F74AFE" w:rsidRDefault="002B3E5E" w:rsidP="00785E02">
      <w:pPr>
        <w:jc w:val="both"/>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w:t>
      </w:r>
      <w:r w:rsidRPr="00F74AFE">
        <w:rPr>
          <w:rStyle w:val="medium-normal1"/>
          <w:rFonts w:asciiTheme="minorHAnsi" w:hAnsiTheme="minorHAnsi" w:cstheme="minorHAnsi"/>
          <w:color w:val="000000"/>
        </w:rPr>
        <w:t xml:space="preserve">Karrh, J. A., McKee, K. B., &amp; Pardun, C. J. (2003). Practitioners' Evolving Views on Product Placement, </w:t>
      </w:r>
      <w:r w:rsidRPr="00F74AFE">
        <w:rPr>
          <w:rStyle w:val="medium-normal1"/>
          <w:rFonts w:asciiTheme="minorHAnsi" w:hAnsiTheme="minorHAnsi" w:cstheme="minorHAnsi"/>
          <w:i/>
          <w:color w:val="000000"/>
        </w:rPr>
        <w:t>Journal of Advertising Research</w:t>
      </w:r>
      <w:r w:rsidRPr="00F74AFE">
        <w:rPr>
          <w:rStyle w:val="medium-normal1"/>
          <w:rFonts w:asciiTheme="minorHAnsi" w:hAnsiTheme="minorHAnsi" w:cstheme="minorHAnsi"/>
          <w:color w:val="000000"/>
        </w:rPr>
        <w:t>, 43 (2), 138 - 149.</w:t>
      </w:r>
    </w:p>
  </w:endnote>
  <w:endnote w:id="260">
    <w:p w:rsidR="002B3E5E" w:rsidRPr="00F74AFE" w:rsidRDefault="002B3E5E" w:rsidP="00785E02">
      <w:pPr>
        <w:jc w:val="both"/>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w:t>
      </w:r>
      <w:r w:rsidRPr="00F74AFE">
        <w:rPr>
          <w:rStyle w:val="medium-normal1"/>
          <w:rFonts w:asciiTheme="minorHAnsi" w:hAnsiTheme="minorHAnsi" w:cstheme="minorHAnsi"/>
          <w:color w:val="000000"/>
        </w:rPr>
        <w:t xml:space="preserve">Distefan, J. M., Pierce, J. P., &amp; Gilpin, E. A. (2004). Do Favourite Movie Stars Influence Adolescent Smoking Initiation? </w:t>
      </w:r>
      <w:r w:rsidRPr="00F74AFE">
        <w:rPr>
          <w:rStyle w:val="medium-normal1"/>
          <w:rFonts w:asciiTheme="minorHAnsi" w:hAnsiTheme="minorHAnsi" w:cstheme="minorHAnsi"/>
          <w:i/>
          <w:color w:val="000000"/>
        </w:rPr>
        <w:t>American Journal of Public Health</w:t>
      </w:r>
      <w:r w:rsidRPr="00F74AFE">
        <w:rPr>
          <w:rStyle w:val="medium-normal1"/>
          <w:rFonts w:asciiTheme="minorHAnsi" w:hAnsiTheme="minorHAnsi" w:cstheme="minorHAnsi"/>
          <w:color w:val="000000"/>
        </w:rPr>
        <w:t>, 94(7), 1239 -1244.</w:t>
      </w:r>
    </w:p>
  </w:endnote>
  <w:endnote w:id="261">
    <w:p w:rsidR="002B3E5E" w:rsidRPr="00F74AFE" w:rsidRDefault="002B3E5E" w:rsidP="007736E4">
      <w:pPr>
        <w:jc w:val="both"/>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w:t>
      </w:r>
      <w:r w:rsidRPr="00F74AFE">
        <w:rPr>
          <w:rStyle w:val="medium-normal1"/>
          <w:rFonts w:asciiTheme="minorHAnsi" w:hAnsiTheme="minorHAnsi" w:cstheme="minorHAnsi"/>
          <w:color w:val="000000"/>
        </w:rPr>
        <w:t xml:space="preserve">Hoek, J. (2004). Tobacco Promotion Restrictions:  Ironies and Unintended Consequences, </w:t>
      </w:r>
      <w:r w:rsidRPr="00F74AFE">
        <w:rPr>
          <w:rStyle w:val="medium-normal1"/>
          <w:rFonts w:asciiTheme="minorHAnsi" w:hAnsiTheme="minorHAnsi" w:cstheme="minorHAnsi"/>
          <w:i/>
          <w:color w:val="000000"/>
        </w:rPr>
        <w:t>Journal of Business Research</w:t>
      </w:r>
      <w:r w:rsidRPr="00F74AFE">
        <w:rPr>
          <w:rStyle w:val="medium-normal1"/>
          <w:rFonts w:asciiTheme="minorHAnsi" w:hAnsiTheme="minorHAnsi" w:cstheme="minorHAnsi"/>
          <w:color w:val="000000"/>
        </w:rPr>
        <w:t>,</w:t>
      </w:r>
      <w:r w:rsidRPr="00F74AFE">
        <w:rPr>
          <w:rStyle w:val="medium-normal1"/>
          <w:rFonts w:asciiTheme="minorHAnsi" w:hAnsiTheme="minorHAnsi" w:cstheme="minorHAnsi"/>
          <w:i/>
          <w:color w:val="000000"/>
        </w:rPr>
        <w:t xml:space="preserve"> </w:t>
      </w:r>
      <w:r w:rsidRPr="00F74AFE">
        <w:rPr>
          <w:rStyle w:val="medium-normal1"/>
          <w:rFonts w:asciiTheme="minorHAnsi" w:hAnsiTheme="minorHAnsi" w:cstheme="minorHAnsi"/>
          <w:color w:val="000000"/>
        </w:rPr>
        <w:t>57(11), 1250 - 1257.</w:t>
      </w:r>
    </w:p>
  </w:endnote>
  <w:endnote w:id="262">
    <w:p w:rsidR="002B3E5E" w:rsidRPr="00F74AFE" w:rsidRDefault="002B3E5E" w:rsidP="007736E4">
      <w:pPr>
        <w:pStyle w:val="Heading4"/>
        <w:spacing w:before="0"/>
        <w:rPr>
          <w:rFonts w:asciiTheme="minorHAnsi" w:hAnsiTheme="minorHAnsi" w:cstheme="minorHAnsi"/>
          <w:sz w:val="20"/>
          <w:szCs w:val="20"/>
        </w:rPr>
      </w:pPr>
      <w:r w:rsidRPr="00F74AFE">
        <w:rPr>
          <w:rStyle w:val="EndnoteReference"/>
          <w:rFonts w:asciiTheme="minorHAnsi" w:hAnsiTheme="minorHAnsi" w:cstheme="minorHAnsi"/>
          <w:b w:val="0"/>
          <w:color w:val="auto"/>
          <w:sz w:val="20"/>
          <w:szCs w:val="20"/>
        </w:rPr>
        <w:endnoteRef/>
      </w:r>
      <w:r w:rsidRPr="00F74AFE">
        <w:rPr>
          <w:rFonts w:asciiTheme="minorHAnsi" w:hAnsiTheme="minorHAnsi" w:cstheme="minorHAnsi"/>
          <w:b w:val="0"/>
          <w:color w:val="auto"/>
          <w:sz w:val="20"/>
          <w:szCs w:val="20"/>
        </w:rPr>
        <w:t xml:space="preserve"> Legacy Foundation (2011).   New Report: Kids' Television Programs Contain High Amounts of Tobacco Use, Press Release 7 February</w:t>
      </w:r>
      <w:r w:rsidRPr="00F74AFE">
        <w:rPr>
          <w:rFonts w:asciiTheme="minorHAnsi" w:hAnsiTheme="minorHAnsi" w:cstheme="minorHAnsi"/>
          <w:sz w:val="20"/>
          <w:szCs w:val="20"/>
        </w:rPr>
        <w:t xml:space="preserve"> </w:t>
      </w:r>
      <w:hyperlink r:id="rId11" w:history="1">
        <w:r w:rsidRPr="00F74AFE">
          <w:rPr>
            <w:rStyle w:val="Hyperlink"/>
            <w:rFonts w:asciiTheme="minorHAnsi" w:hAnsiTheme="minorHAnsi" w:cstheme="minorHAnsi"/>
            <w:b w:val="0"/>
            <w:sz w:val="20"/>
            <w:szCs w:val="20"/>
          </w:rPr>
          <w:t>http://www.prnewswire.com/news-releases/new-report-kids-television-programs-contain-high-amounts-of-tobacco-use-115509204.html</w:t>
        </w:r>
      </w:hyperlink>
      <w:r w:rsidRPr="00F74AFE">
        <w:rPr>
          <w:rFonts w:asciiTheme="minorHAnsi" w:hAnsiTheme="minorHAnsi" w:cstheme="minorHAnsi"/>
          <w:b w:val="0"/>
          <w:sz w:val="20"/>
          <w:szCs w:val="20"/>
        </w:rPr>
        <w:t xml:space="preserve"> </w:t>
      </w:r>
    </w:p>
  </w:endnote>
  <w:endnote w:id="263">
    <w:p w:rsidR="002B3E5E" w:rsidRPr="00F74AFE" w:rsidRDefault="002B3E5E" w:rsidP="007736E4">
      <w:pPr>
        <w:widowControl w:val="0"/>
        <w:autoSpaceDE w:val="0"/>
        <w:autoSpaceDN w:val="0"/>
        <w:adjustRightInd w:val="0"/>
        <w:jc w:val="both"/>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w:t>
      </w:r>
      <w:r w:rsidRPr="00F74AFE">
        <w:rPr>
          <w:rFonts w:asciiTheme="minorHAnsi" w:hAnsiTheme="minorHAnsi" w:cstheme="minorHAnsi"/>
          <w:sz w:val="20"/>
          <w:szCs w:val="20"/>
          <w:lang w:val="en-US" w:eastAsia="en-US"/>
        </w:rPr>
        <w:t xml:space="preserve">Bond, L., M. Daube, Chikritzhs, T. (2010). Selling addictions: Similarities in approaches between Big Tobacco and Big Booze, </w:t>
      </w:r>
      <w:r w:rsidRPr="00F74AFE">
        <w:rPr>
          <w:rFonts w:asciiTheme="minorHAnsi" w:hAnsiTheme="minorHAnsi" w:cstheme="minorHAnsi"/>
          <w:i/>
          <w:sz w:val="20"/>
          <w:szCs w:val="20"/>
          <w:lang w:val="en-US" w:eastAsia="en-US"/>
        </w:rPr>
        <w:t>Australasian Medical Journal</w:t>
      </w:r>
      <w:r w:rsidRPr="00F74AFE">
        <w:rPr>
          <w:rFonts w:asciiTheme="minorHAnsi" w:hAnsiTheme="minorHAnsi" w:cstheme="minorHAnsi"/>
          <w:sz w:val="20"/>
          <w:szCs w:val="20"/>
          <w:lang w:val="en-US" w:eastAsia="en-US"/>
        </w:rPr>
        <w:t xml:space="preserve">, </w:t>
      </w:r>
      <w:r w:rsidRPr="00F74AFE">
        <w:rPr>
          <w:rFonts w:asciiTheme="minorHAnsi" w:hAnsiTheme="minorHAnsi" w:cstheme="minorHAnsi"/>
          <w:sz w:val="20"/>
          <w:szCs w:val="20"/>
        </w:rPr>
        <w:t>3(6), 325-332.</w:t>
      </w:r>
    </w:p>
  </w:endnote>
  <w:endnote w:id="264">
    <w:p w:rsidR="002B3E5E" w:rsidRPr="00F74AFE" w:rsidRDefault="002B3E5E" w:rsidP="00785E02">
      <w:pPr>
        <w:widowControl w:val="0"/>
        <w:autoSpaceDE w:val="0"/>
        <w:autoSpaceDN w:val="0"/>
        <w:adjustRightInd w:val="0"/>
        <w:jc w:val="both"/>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w:t>
      </w:r>
      <w:r w:rsidRPr="00F74AFE">
        <w:rPr>
          <w:rFonts w:asciiTheme="minorHAnsi" w:hAnsiTheme="minorHAnsi" w:cstheme="minorHAnsi"/>
          <w:sz w:val="20"/>
          <w:szCs w:val="20"/>
          <w:lang w:val="en-US" w:eastAsia="en-US"/>
        </w:rPr>
        <w:t xml:space="preserve">Hastings, G., O. Brooks, et al. (2010). Failure of self regulation of UK alcohol advertising. </w:t>
      </w:r>
      <w:r w:rsidRPr="00F74AFE">
        <w:rPr>
          <w:rFonts w:asciiTheme="minorHAnsi" w:hAnsiTheme="minorHAnsi" w:cstheme="minorHAnsi"/>
          <w:i/>
          <w:sz w:val="20"/>
          <w:szCs w:val="20"/>
          <w:lang w:val="en-US" w:eastAsia="en-US"/>
        </w:rPr>
        <w:t>British Medical Journal</w:t>
      </w:r>
      <w:r w:rsidRPr="00F74AFE">
        <w:rPr>
          <w:rFonts w:asciiTheme="minorHAnsi" w:hAnsiTheme="minorHAnsi" w:cstheme="minorHAnsi"/>
          <w:sz w:val="20"/>
          <w:szCs w:val="20"/>
          <w:u w:val="single"/>
          <w:lang w:val="en-US" w:eastAsia="en-US"/>
        </w:rPr>
        <w:t>,</w:t>
      </w:r>
      <w:r w:rsidRPr="00F74AFE">
        <w:rPr>
          <w:rFonts w:asciiTheme="minorHAnsi" w:hAnsiTheme="minorHAnsi" w:cstheme="minorHAnsi"/>
          <w:sz w:val="20"/>
          <w:szCs w:val="20"/>
          <w:lang w:val="en-US" w:eastAsia="en-US"/>
        </w:rPr>
        <w:t xml:space="preserve"> </w:t>
      </w:r>
      <w:r w:rsidRPr="00F74AFE">
        <w:rPr>
          <w:rFonts w:asciiTheme="minorHAnsi" w:hAnsiTheme="minorHAnsi" w:cstheme="minorHAnsi"/>
          <w:bCs/>
          <w:sz w:val="20"/>
          <w:szCs w:val="20"/>
          <w:lang w:val="en-US" w:eastAsia="en-US"/>
        </w:rPr>
        <w:t>340(1),</w:t>
      </w:r>
      <w:r w:rsidRPr="00F74AFE">
        <w:rPr>
          <w:rFonts w:asciiTheme="minorHAnsi" w:hAnsiTheme="minorHAnsi" w:cstheme="minorHAnsi"/>
          <w:sz w:val="20"/>
          <w:szCs w:val="20"/>
          <w:lang w:val="en-US" w:eastAsia="en-US"/>
        </w:rPr>
        <w:t xml:space="preserve"> 5650.</w:t>
      </w:r>
    </w:p>
  </w:endnote>
  <w:endnote w:id="265">
    <w:p w:rsidR="002B3E5E" w:rsidRPr="00F74AFE" w:rsidRDefault="002B3E5E" w:rsidP="00785E02">
      <w:pPr>
        <w:widowControl w:val="0"/>
        <w:autoSpaceDE w:val="0"/>
        <w:autoSpaceDN w:val="0"/>
        <w:adjustRightInd w:val="0"/>
        <w:jc w:val="both"/>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w:t>
      </w:r>
      <w:r w:rsidRPr="00F74AFE">
        <w:rPr>
          <w:rFonts w:asciiTheme="minorHAnsi" w:hAnsiTheme="minorHAnsi" w:cstheme="minorHAnsi"/>
          <w:sz w:val="20"/>
          <w:szCs w:val="20"/>
          <w:lang w:val="en-US" w:eastAsia="en-US"/>
        </w:rPr>
        <w:t xml:space="preserve">McClure, A., M. Stoolmiller, et al. (2009). Alcohol-branded merchandise and its association with drinking attitudes and outcomes in US adolescents, </w:t>
      </w:r>
      <w:r w:rsidRPr="00F74AFE">
        <w:rPr>
          <w:rFonts w:asciiTheme="minorHAnsi" w:hAnsiTheme="minorHAnsi" w:cstheme="minorHAnsi"/>
          <w:i/>
          <w:sz w:val="20"/>
          <w:szCs w:val="20"/>
          <w:lang w:val="en-US" w:eastAsia="en-US"/>
        </w:rPr>
        <w:t>Archives of Pediatrics and Adolescent Medicine</w:t>
      </w:r>
      <w:r w:rsidRPr="00F74AFE">
        <w:rPr>
          <w:rFonts w:asciiTheme="minorHAnsi" w:hAnsiTheme="minorHAnsi" w:cstheme="minorHAnsi"/>
          <w:sz w:val="20"/>
          <w:szCs w:val="20"/>
          <w:u w:val="single"/>
          <w:lang w:val="en-US" w:eastAsia="en-US"/>
        </w:rPr>
        <w:t>,</w:t>
      </w:r>
      <w:r w:rsidRPr="00F74AFE">
        <w:rPr>
          <w:rFonts w:asciiTheme="minorHAnsi" w:hAnsiTheme="minorHAnsi" w:cstheme="minorHAnsi"/>
          <w:sz w:val="20"/>
          <w:szCs w:val="20"/>
          <w:lang w:val="en-US" w:eastAsia="en-US"/>
        </w:rPr>
        <w:t xml:space="preserve"> </w:t>
      </w:r>
      <w:r w:rsidRPr="00F74AFE">
        <w:rPr>
          <w:rFonts w:asciiTheme="minorHAnsi" w:hAnsiTheme="minorHAnsi" w:cstheme="minorHAnsi"/>
          <w:bCs/>
          <w:sz w:val="20"/>
          <w:szCs w:val="20"/>
          <w:lang w:val="en-US" w:eastAsia="en-US"/>
        </w:rPr>
        <w:t>163</w:t>
      </w:r>
      <w:r w:rsidRPr="00F74AFE">
        <w:rPr>
          <w:rFonts w:asciiTheme="minorHAnsi" w:hAnsiTheme="minorHAnsi" w:cstheme="minorHAnsi"/>
          <w:sz w:val="20"/>
          <w:szCs w:val="20"/>
          <w:lang w:val="en-US" w:eastAsia="en-US"/>
        </w:rPr>
        <w:t>(3)</w:t>
      </w:r>
      <w:r>
        <w:rPr>
          <w:rFonts w:asciiTheme="minorHAnsi" w:hAnsiTheme="minorHAnsi" w:cstheme="minorHAnsi"/>
          <w:sz w:val="20"/>
          <w:szCs w:val="20"/>
          <w:lang w:val="en-US" w:eastAsia="en-US"/>
        </w:rPr>
        <w:t>,</w:t>
      </w:r>
      <w:r w:rsidRPr="00F74AFE">
        <w:rPr>
          <w:rFonts w:asciiTheme="minorHAnsi" w:hAnsiTheme="minorHAnsi" w:cstheme="minorHAnsi"/>
          <w:sz w:val="20"/>
          <w:szCs w:val="20"/>
          <w:lang w:val="en-US" w:eastAsia="en-US"/>
        </w:rPr>
        <w:t xml:space="preserve"> 211.</w:t>
      </w:r>
    </w:p>
  </w:endnote>
  <w:endnote w:id="266">
    <w:p w:rsidR="002B3E5E" w:rsidRPr="00F74AFE" w:rsidRDefault="002B3E5E" w:rsidP="00785E02">
      <w:pPr>
        <w:widowControl w:val="0"/>
        <w:autoSpaceDE w:val="0"/>
        <w:autoSpaceDN w:val="0"/>
        <w:adjustRightInd w:val="0"/>
        <w:jc w:val="both"/>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w:t>
      </w:r>
      <w:r w:rsidRPr="00F74AFE">
        <w:rPr>
          <w:rFonts w:asciiTheme="minorHAnsi" w:hAnsiTheme="minorHAnsi" w:cstheme="minorHAnsi"/>
          <w:sz w:val="20"/>
          <w:szCs w:val="20"/>
          <w:lang w:val="en-US" w:eastAsia="en-US"/>
        </w:rPr>
        <w:t xml:space="preserve">Primack, B., M. Dalton, et al. (2008). Content analysis of tobacco, alcohol, and other drugs in popular music. </w:t>
      </w:r>
      <w:r w:rsidRPr="00F74AFE">
        <w:rPr>
          <w:rFonts w:asciiTheme="minorHAnsi" w:hAnsiTheme="minorHAnsi" w:cstheme="minorHAnsi"/>
          <w:i/>
          <w:sz w:val="20"/>
          <w:szCs w:val="20"/>
          <w:lang w:val="en-US" w:eastAsia="en-US"/>
        </w:rPr>
        <w:t>Archives of Pediatrics and Adolescent Medicine</w:t>
      </w:r>
      <w:r w:rsidRPr="00F74AFE">
        <w:rPr>
          <w:rFonts w:asciiTheme="minorHAnsi" w:hAnsiTheme="minorHAnsi" w:cstheme="minorHAnsi"/>
          <w:sz w:val="20"/>
          <w:szCs w:val="20"/>
          <w:u w:val="single"/>
          <w:lang w:val="en-US" w:eastAsia="en-US"/>
        </w:rPr>
        <w:t>,</w:t>
      </w:r>
      <w:r w:rsidRPr="00F74AFE">
        <w:rPr>
          <w:rFonts w:asciiTheme="minorHAnsi" w:hAnsiTheme="minorHAnsi" w:cstheme="minorHAnsi"/>
          <w:sz w:val="20"/>
          <w:szCs w:val="20"/>
          <w:lang w:val="en-US" w:eastAsia="en-US"/>
        </w:rPr>
        <w:t xml:space="preserve"> </w:t>
      </w:r>
      <w:r w:rsidRPr="00F74AFE">
        <w:rPr>
          <w:rFonts w:asciiTheme="minorHAnsi" w:hAnsiTheme="minorHAnsi" w:cstheme="minorHAnsi"/>
          <w:bCs/>
          <w:sz w:val="20"/>
          <w:szCs w:val="20"/>
          <w:lang w:val="en-US" w:eastAsia="en-US"/>
        </w:rPr>
        <w:t>162</w:t>
      </w:r>
      <w:r w:rsidRPr="00F74AFE">
        <w:rPr>
          <w:rFonts w:asciiTheme="minorHAnsi" w:hAnsiTheme="minorHAnsi" w:cstheme="minorHAnsi"/>
          <w:sz w:val="20"/>
          <w:szCs w:val="20"/>
          <w:lang w:val="en-US" w:eastAsia="en-US"/>
        </w:rPr>
        <w:t>(2)</w:t>
      </w:r>
      <w:r>
        <w:rPr>
          <w:rFonts w:asciiTheme="minorHAnsi" w:hAnsiTheme="minorHAnsi" w:cstheme="minorHAnsi"/>
          <w:sz w:val="20"/>
          <w:szCs w:val="20"/>
          <w:lang w:val="en-US" w:eastAsia="en-US"/>
        </w:rPr>
        <w:t>,</w:t>
      </w:r>
      <w:r w:rsidRPr="00F74AFE">
        <w:rPr>
          <w:rFonts w:asciiTheme="minorHAnsi" w:hAnsiTheme="minorHAnsi" w:cstheme="minorHAnsi"/>
          <w:sz w:val="20"/>
          <w:szCs w:val="20"/>
          <w:lang w:val="en-US" w:eastAsia="en-US"/>
        </w:rPr>
        <w:t xml:space="preserve"> 169.</w:t>
      </w:r>
    </w:p>
  </w:endnote>
  <w:endnote w:id="267">
    <w:p w:rsidR="002B3E5E" w:rsidRPr="00F74AFE" w:rsidRDefault="002B3E5E" w:rsidP="00785E02">
      <w:pPr>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w:t>
      </w:r>
      <w:r w:rsidRPr="00F74AFE">
        <w:rPr>
          <w:rStyle w:val="medium-normal1"/>
          <w:rFonts w:asciiTheme="minorHAnsi" w:hAnsiTheme="minorHAnsi" w:cstheme="minorHAnsi"/>
          <w:color w:val="000000"/>
        </w:rPr>
        <w:t>Gibson, O., &amp; Smithers, R. (2006). Junk Food Ad Ban Attacked from Both Sides,</w:t>
      </w:r>
      <w:r w:rsidRPr="00F74AFE">
        <w:rPr>
          <w:rStyle w:val="medium-normal1"/>
          <w:rFonts w:asciiTheme="minorHAnsi" w:hAnsiTheme="minorHAnsi" w:cstheme="minorHAnsi"/>
          <w:i/>
          <w:color w:val="000000"/>
        </w:rPr>
        <w:t xml:space="preserve"> The Guardian - online edition,</w:t>
      </w:r>
      <w:r w:rsidRPr="00F74AFE">
        <w:rPr>
          <w:rStyle w:val="medium-normal1"/>
          <w:rFonts w:asciiTheme="minorHAnsi" w:hAnsiTheme="minorHAnsi" w:cstheme="minorHAnsi"/>
          <w:color w:val="000000"/>
        </w:rPr>
        <w:t xml:space="preserve"> p. 1.</w:t>
      </w:r>
    </w:p>
  </w:endnote>
  <w:endnote w:id="268">
    <w:p w:rsidR="002B3E5E" w:rsidRPr="00F74AFE" w:rsidRDefault="002B3E5E" w:rsidP="006F4403">
      <w:pPr>
        <w:pStyle w:val="CommentText"/>
        <w:rPr>
          <w:rFonts w:asciiTheme="minorHAnsi" w:hAnsiTheme="minorHAnsi" w:cstheme="minorHAnsi"/>
        </w:rPr>
      </w:pPr>
      <w:r w:rsidRPr="00F74AFE">
        <w:rPr>
          <w:rStyle w:val="EndnoteReference"/>
          <w:rFonts w:asciiTheme="minorHAnsi" w:hAnsiTheme="minorHAnsi" w:cstheme="minorHAnsi"/>
        </w:rPr>
        <w:endnoteRef/>
      </w:r>
      <w:r w:rsidRPr="00F74AFE">
        <w:rPr>
          <w:rFonts w:asciiTheme="minorHAnsi" w:hAnsiTheme="minorHAnsi" w:cstheme="minorHAnsi"/>
        </w:rPr>
        <w:t xml:space="preserve"> </w:t>
      </w:r>
      <w:r w:rsidRPr="00F74AFE">
        <w:rPr>
          <w:rFonts w:asciiTheme="minorHAnsi" w:hAnsiTheme="minorHAnsi" w:cstheme="minorHAnsi"/>
          <w:color w:val="000000"/>
        </w:rPr>
        <w:t xml:space="preserve">Thomas, E. (2011).Screen addicts: Children spend more time in front of a computer or television every day than they spend exercising every week,  </w:t>
      </w:r>
      <w:r w:rsidRPr="00F74AFE">
        <w:rPr>
          <w:rFonts w:asciiTheme="minorHAnsi" w:hAnsiTheme="minorHAnsi" w:cstheme="minorHAnsi"/>
          <w:i/>
          <w:color w:val="000000"/>
        </w:rPr>
        <w:t>Daily Mai</w:t>
      </w:r>
      <w:r w:rsidRPr="00F74AFE">
        <w:rPr>
          <w:rFonts w:asciiTheme="minorHAnsi" w:hAnsiTheme="minorHAnsi" w:cstheme="minorHAnsi"/>
          <w:color w:val="000000"/>
          <w:u w:val="single"/>
        </w:rPr>
        <w:t>l</w:t>
      </w:r>
      <w:r w:rsidRPr="00F74AFE">
        <w:rPr>
          <w:rFonts w:asciiTheme="minorHAnsi" w:hAnsiTheme="minorHAnsi" w:cstheme="minorHAnsi"/>
          <w:color w:val="000000"/>
        </w:rPr>
        <w:t xml:space="preserve">, 1 February.  On-line edition </w:t>
      </w:r>
      <w:r w:rsidRPr="00F74AFE">
        <w:rPr>
          <w:rFonts w:asciiTheme="minorHAnsi" w:hAnsiTheme="minorHAnsi" w:cstheme="minorHAnsi"/>
          <w:color w:val="000000"/>
        </w:rPr>
        <w:br/>
        <w:t xml:space="preserve"> </w:t>
      </w:r>
      <w:hyperlink r:id="rId12" w:history="1">
        <w:r w:rsidRPr="00F74AFE">
          <w:rPr>
            <w:rStyle w:val="Hyperlink"/>
            <w:rFonts w:asciiTheme="minorHAnsi" w:hAnsiTheme="minorHAnsi" w:cstheme="minorHAnsi"/>
          </w:rPr>
          <w:t>http://www.dailymail.co.uk/sciencetech/article-1352361/Children-spend-time-computers-TV-exercising-week.html</w:t>
        </w:r>
      </w:hyperlink>
      <w:r w:rsidRPr="00F74AFE">
        <w:rPr>
          <w:rFonts w:asciiTheme="minorHAnsi" w:hAnsiTheme="minorHAnsi" w:cstheme="minorHAnsi"/>
        </w:rPr>
        <w:t xml:space="preserve"> </w:t>
      </w:r>
    </w:p>
  </w:endnote>
  <w:endnote w:id="269">
    <w:p w:rsidR="002B3E5E" w:rsidRPr="00F74AFE" w:rsidRDefault="002B3E5E" w:rsidP="006F4403">
      <w:pPr>
        <w:pStyle w:val="Heading1"/>
        <w:spacing w:before="0"/>
        <w:rPr>
          <w:rFonts w:asciiTheme="minorHAnsi" w:hAnsiTheme="minorHAnsi" w:cstheme="minorHAnsi"/>
          <w:b w:val="0"/>
          <w:color w:val="auto"/>
          <w:sz w:val="20"/>
          <w:szCs w:val="20"/>
        </w:rPr>
      </w:pPr>
      <w:r w:rsidRPr="00F74AFE">
        <w:rPr>
          <w:rStyle w:val="EndnoteReference"/>
          <w:rFonts w:asciiTheme="minorHAnsi" w:hAnsiTheme="minorHAnsi" w:cstheme="minorHAnsi"/>
          <w:b w:val="0"/>
          <w:color w:val="auto"/>
          <w:sz w:val="20"/>
          <w:szCs w:val="20"/>
        </w:rPr>
        <w:endnoteRef/>
      </w:r>
      <w:r w:rsidRPr="00F74AFE">
        <w:rPr>
          <w:rFonts w:asciiTheme="minorHAnsi" w:hAnsiTheme="minorHAnsi" w:cstheme="minorHAnsi"/>
          <w:b w:val="0"/>
          <w:color w:val="auto"/>
          <w:sz w:val="20"/>
          <w:szCs w:val="20"/>
        </w:rPr>
        <w:t xml:space="preserve"> </w:t>
      </w:r>
      <w:r w:rsidRPr="00F74AFE">
        <w:rPr>
          <w:rStyle w:val="medium-normal1"/>
          <w:rFonts w:asciiTheme="minorHAnsi" w:hAnsiTheme="minorHAnsi" w:cstheme="minorHAnsi"/>
          <w:b w:val="0"/>
          <w:color w:val="auto"/>
        </w:rPr>
        <w:t xml:space="preserve">World Health Organisation (2010).  </w:t>
      </w:r>
      <w:r w:rsidRPr="00F74AFE">
        <w:rPr>
          <w:rFonts w:asciiTheme="minorHAnsi" w:hAnsiTheme="minorHAnsi" w:cstheme="minorHAnsi"/>
          <w:b w:val="0"/>
          <w:i/>
          <w:color w:val="auto"/>
          <w:sz w:val="20"/>
          <w:szCs w:val="20"/>
        </w:rPr>
        <w:t>Sunbeds, tanning and UV exposure</w:t>
      </w:r>
      <w:r w:rsidRPr="00F74AFE">
        <w:rPr>
          <w:rFonts w:asciiTheme="minorHAnsi" w:hAnsiTheme="minorHAnsi" w:cstheme="minorHAnsi"/>
          <w:b w:val="0"/>
          <w:color w:val="auto"/>
          <w:sz w:val="20"/>
          <w:szCs w:val="20"/>
        </w:rPr>
        <w:t>. Fact sheet no. 287. [online]. Available at:</w:t>
      </w:r>
    </w:p>
    <w:p w:rsidR="002B3E5E" w:rsidRPr="00F74AFE" w:rsidRDefault="00002B71" w:rsidP="006F4403">
      <w:pPr>
        <w:rPr>
          <w:rFonts w:asciiTheme="minorHAnsi" w:hAnsiTheme="minorHAnsi" w:cstheme="minorHAnsi"/>
          <w:sz w:val="20"/>
          <w:szCs w:val="20"/>
        </w:rPr>
      </w:pPr>
      <w:hyperlink r:id="rId13" w:history="1">
        <w:r w:rsidR="002B3E5E" w:rsidRPr="00F74AFE">
          <w:rPr>
            <w:rStyle w:val="Hyperlink"/>
            <w:rFonts w:asciiTheme="minorHAnsi" w:hAnsiTheme="minorHAnsi" w:cstheme="minorHAnsi"/>
            <w:sz w:val="20"/>
            <w:szCs w:val="20"/>
          </w:rPr>
          <w:t>http://www.who.int/mediacentre/factsheets/fs287/en/</w:t>
        </w:r>
      </w:hyperlink>
      <w:r w:rsidR="002B3E5E" w:rsidRPr="00F74AFE">
        <w:rPr>
          <w:rStyle w:val="medium-normal1"/>
          <w:rFonts w:asciiTheme="minorHAnsi" w:hAnsiTheme="minorHAnsi" w:cstheme="minorHAnsi"/>
        </w:rPr>
        <w:t xml:space="preserve">  [Accessed: 20 February 2011].</w:t>
      </w:r>
    </w:p>
  </w:endnote>
  <w:endnote w:id="270">
    <w:p w:rsidR="002B3E5E" w:rsidRPr="00F74AFE" w:rsidRDefault="002B3E5E" w:rsidP="006F4403">
      <w:pPr>
        <w:jc w:val="both"/>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w:t>
      </w:r>
      <w:r w:rsidRPr="00F74AFE">
        <w:rPr>
          <w:rStyle w:val="medium-normal1"/>
          <w:rFonts w:asciiTheme="minorHAnsi" w:hAnsiTheme="minorHAnsi" w:cstheme="minorHAnsi"/>
          <w:color w:val="000000"/>
        </w:rPr>
        <w:t xml:space="preserve">Rawe, J. &amp; Scully, S. (2006). Why Teens are Obsessed with Tanning, </w:t>
      </w:r>
      <w:r w:rsidRPr="00F74AFE">
        <w:rPr>
          <w:rStyle w:val="medium-normal1"/>
          <w:rFonts w:asciiTheme="minorHAnsi" w:hAnsiTheme="minorHAnsi" w:cstheme="minorHAnsi"/>
          <w:i/>
          <w:color w:val="000000"/>
        </w:rPr>
        <w:t>Time</w:t>
      </w:r>
      <w:r w:rsidRPr="00F74AFE">
        <w:rPr>
          <w:rStyle w:val="medium-normal1"/>
          <w:rFonts w:asciiTheme="minorHAnsi" w:hAnsiTheme="minorHAnsi" w:cstheme="minorHAnsi"/>
          <w:color w:val="000000"/>
        </w:rPr>
        <w:t>, 168</w:t>
      </w:r>
      <w:r w:rsidRPr="00F74AFE">
        <w:rPr>
          <w:rStyle w:val="medium-normal1"/>
          <w:rFonts w:asciiTheme="minorHAnsi" w:hAnsiTheme="minorHAnsi" w:cstheme="minorHAnsi"/>
          <w:i/>
          <w:color w:val="000000"/>
        </w:rPr>
        <w:t xml:space="preserve"> </w:t>
      </w:r>
      <w:r w:rsidRPr="00F74AFE">
        <w:rPr>
          <w:rStyle w:val="medium-normal1"/>
          <w:rFonts w:asciiTheme="minorHAnsi" w:hAnsiTheme="minorHAnsi" w:cstheme="minorHAnsi"/>
          <w:color w:val="000000"/>
        </w:rPr>
        <w:t>(6), 54 – 56.</w:t>
      </w:r>
    </w:p>
  </w:endnote>
  <w:endnote w:id="271">
    <w:p w:rsidR="002B3E5E" w:rsidRPr="00F74AFE" w:rsidRDefault="002B3E5E" w:rsidP="00785E02">
      <w:pPr>
        <w:autoSpaceDE w:val="0"/>
        <w:autoSpaceDN w:val="0"/>
        <w:adjustRightInd w:val="0"/>
        <w:jc w:val="both"/>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Poorsattar, S. P., &amp; Hornung, R. L. (2008). Television Turning More Teens Toward Tanning, </w:t>
      </w:r>
      <w:r w:rsidRPr="00F74AFE">
        <w:rPr>
          <w:rFonts w:asciiTheme="minorHAnsi" w:hAnsiTheme="minorHAnsi" w:cstheme="minorHAnsi"/>
          <w:i/>
          <w:iCs/>
          <w:sz w:val="20"/>
          <w:szCs w:val="20"/>
        </w:rPr>
        <w:t>Journal of the American Academy of Dermatology</w:t>
      </w:r>
      <w:r w:rsidRPr="00F74AFE">
        <w:rPr>
          <w:rFonts w:asciiTheme="minorHAnsi" w:hAnsiTheme="minorHAnsi" w:cstheme="minorHAnsi"/>
          <w:iCs/>
          <w:sz w:val="20"/>
          <w:szCs w:val="20"/>
        </w:rPr>
        <w:t>, 58</w:t>
      </w:r>
      <w:r w:rsidRPr="00F74AFE">
        <w:rPr>
          <w:rFonts w:asciiTheme="minorHAnsi" w:hAnsiTheme="minorHAnsi" w:cstheme="minorHAnsi"/>
          <w:sz w:val="20"/>
          <w:szCs w:val="20"/>
        </w:rPr>
        <w:t>(1), 171-172.</w:t>
      </w:r>
    </w:p>
  </w:endnote>
  <w:endnote w:id="272">
    <w:p w:rsidR="002B3E5E" w:rsidRPr="00F74AFE" w:rsidRDefault="002B3E5E" w:rsidP="00785E02">
      <w:pPr>
        <w:autoSpaceDE w:val="0"/>
        <w:autoSpaceDN w:val="0"/>
        <w:adjustRightInd w:val="0"/>
        <w:jc w:val="both"/>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Pilkington, E. (2010). Italian-Americans hit back at Jersey Shore's use of the word 'guido'. </w:t>
      </w:r>
      <w:r w:rsidRPr="00F74AFE">
        <w:rPr>
          <w:rFonts w:asciiTheme="minorHAnsi" w:hAnsiTheme="minorHAnsi" w:cstheme="minorHAnsi"/>
          <w:i/>
          <w:sz w:val="20"/>
          <w:szCs w:val="20"/>
        </w:rPr>
        <w:t>Guardian online edition</w:t>
      </w:r>
      <w:r w:rsidRPr="00F74AFE">
        <w:rPr>
          <w:rFonts w:asciiTheme="minorHAnsi" w:hAnsiTheme="minorHAnsi" w:cstheme="minorHAnsi"/>
          <w:sz w:val="20"/>
          <w:szCs w:val="20"/>
        </w:rPr>
        <w:t xml:space="preserve">.,Retrieved 20 September 2010 from </w:t>
      </w:r>
    </w:p>
    <w:p w:rsidR="002B3E5E" w:rsidRPr="00F74AFE" w:rsidRDefault="00002B71" w:rsidP="00785E02">
      <w:pPr>
        <w:autoSpaceDE w:val="0"/>
        <w:autoSpaceDN w:val="0"/>
        <w:adjustRightInd w:val="0"/>
        <w:jc w:val="both"/>
        <w:rPr>
          <w:rFonts w:asciiTheme="minorHAnsi" w:hAnsiTheme="minorHAnsi" w:cstheme="minorHAnsi"/>
          <w:sz w:val="20"/>
          <w:szCs w:val="20"/>
        </w:rPr>
      </w:pPr>
      <w:hyperlink r:id="rId14" w:history="1">
        <w:r w:rsidR="002B3E5E" w:rsidRPr="00F74AFE">
          <w:rPr>
            <w:rStyle w:val="Hyperlink"/>
            <w:rFonts w:asciiTheme="minorHAnsi" w:hAnsiTheme="minorHAnsi" w:cstheme="minorHAnsi"/>
            <w:sz w:val="20"/>
            <w:szCs w:val="20"/>
          </w:rPr>
          <w:t>http://www.guardian.co.uk/media/2010/jan/03/mtv-jersey-shore-guidos-italian</w:t>
        </w:r>
      </w:hyperlink>
      <w:r w:rsidR="002B3E5E" w:rsidRPr="00F74AFE">
        <w:rPr>
          <w:rFonts w:asciiTheme="minorHAnsi" w:hAnsiTheme="minorHAnsi" w:cstheme="minorHAnsi"/>
          <w:sz w:val="20"/>
          <w:szCs w:val="20"/>
        </w:rPr>
        <w:t xml:space="preserve"> </w:t>
      </w:r>
    </w:p>
  </w:endnote>
  <w:endnote w:id="273">
    <w:p w:rsidR="002B3E5E" w:rsidRPr="00F74AFE" w:rsidRDefault="002B3E5E" w:rsidP="00785E02">
      <w:pPr>
        <w:jc w:val="both"/>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Corfield-Smith, S. (2010). Go to the Dark Side with your Tan, </w:t>
      </w:r>
      <w:r w:rsidRPr="00F74AFE">
        <w:rPr>
          <w:rFonts w:asciiTheme="minorHAnsi" w:hAnsiTheme="minorHAnsi" w:cstheme="minorHAnsi"/>
          <w:i/>
          <w:sz w:val="20"/>
          <w:szCs w:val="20"/>
        </w:rPr>
        <w:t>Mirror online edition</w:t>
      </w:r>
      <w:r w:rsidRPr="00F74AFE">
        <w:rPr>
          <w:rFonts w:asciiTheme="minorHAnsi" w:hAnsiTheme="minorHAnsi" w:cstheme="minorHAnsi"/>
          <w:sz w:val="20"/>
          <w:szCs w:val="20"/>
        </w:rPr>
        <w:t xml:space="preserve"> Retrieved on 20 September 2011 from </w:t>
      </w:r>
      <w:hyperlink r:id="rId15" w:history="1">
        <w:r w:rsidRPr="00F74AFE">
          <w:rPr>
            <w:rStyle w:val="Hyperlink"/>
            <w:rFonts w:asciiTheme="minorHAnsi" w:hAnsiTheme="minorHAnsi" w:cstheme="minorHAnsi"/>
            <w:sz w:val="20"/>
            <w:szCs w:val="20"/>
          </w:rPr>
          <w:t>http://www.mirror.co.uk/celebs/celebs-on-sunday/</w:t>
        </w:r>
      </w:hyperlink>
    </w:p>
  </w:endnote>
  <w:endnote w:id="274">
    <w:p w:rsidR="002B3E5E" w:rsidRPr="00F74AFE" w:rsidRDefault="002B3E5E" w:rsidP="00785E02">
      <w:pPr>
        <w:autoSpaceDE w:val="0"/>
        <w:autoSpaceDN w:val="0"/>
        <w:adjustRightInd w:val="0"/>
        <w:jc w:val="both"/>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w:t>
      </w:r>
      <w:r w:rsidRPr="00F74AFE">
        <w:rPr>
          <w:rStyle w:val="medium-normal1"/>
          <w:rFonts w:asciiTheme="minorHAnsi" w:hAnsiTheme="minorHAnsi" w:cstheme="minorHAnsi"/>
          <w:color w:val="000000"/>
        </w:rPr>
        <w:t xml:space="preserve">Karmali, S. (2010). </w:t>
      </w:r>
      <w:r w:rsidRPr="00F74AFE">
        <w:rPr>
          <w:rFonts w:asciiTheme="minorHAnsi" w:hAnsiTheme="minorHAnsi" w:cstheme="minorHAnsi"/>
          <w:sz w:val="20"/>
          <w:szCs w:val="20"/>
        </w:rPr>
        <w:t xml:space="preserve">Katie Price sparks outrage by promoting regular sunbed use,  </w:t>
      </w:r>
      <w:r w:rsidRPr="00F74AFE">
        <w:rPr>
          <w:rFonts w:asciiTheme="minorHAnsi" w:hAnsiTheme="minorHAnsi" w:cstheme="minorHAnsi"/>
          <w:i/>
          <w:sz w:val="20"/>
          <w:szCs w:val="20"/>
        </w:rPr>
        <w:t xml:space="preserve">Marie Claire online </w:t>
      </w:r>
      <w:r w:rsidRPr="00F74AFE">
        <w:rPr>
          <w:rFonts w:asciiTheme="minorHAnsi" w:hAnsiTheme="minorHAnsi" w:cstheme="minorHAnsi"/>
          <w:sz w:val="20"/>
          <w:szCs w:val="20"/>
        </w:rPr>
        <w:t xml:space="preserve">Retrieved 13 January 2010 from </w:t>
      </w:r>
    </w:p>
    <w:p w:rsidR="002B3E5E" w:rsidRPr="00F74AFE" w:rsidRDefault="00002B71" w:rsidP="00785E02">
      <w:pPr>
        <w:autoSpaceDE w:val="0"/>
        <w:autoSpaceDN w:val="0"/>
        <w:adjustRightInd w:val="0"/>
        <w:jc w:val="both"/>
        <w:rPr>
          <w:rFonts w:asciiTheme="minorHAnsi" w:hAnsiTheme="minorHAnsi" w:cstheme="minorHAnsi"/>
          <w:sz w:val="20"/>
          <w:szCs w:val="20"/>
        </w:rPr>
      </w:pPr>
      <w:hyperlink r:id="rId16" w:history="1">
        <w:r w:rsidR="002B3E5E" w:rsidRPr="00F74AFE">
          <w:rPr>
            <w:rStyle w:val="Hyperlink"/>
            <w:rFonts w:asciiTheme="minorHAnsi" w:hAnsiTheme="minorHAnsi" w:cstheme="minorHAnsi"/>
            <w:sz w:val="20"/>
            <w:szCs w:val="20"/>
          </w:rPr>
          <w:t>http://www.marieclaire.co.uk/news/beauty/438142/katie-price-sparks-outrage-by-promoting-regular-sunbed-use.html</w:t>
        </w:r>
      </w:hyperlink>
      <w:r w:rsidR="002B3E5E" w:rsidRPr="00F74AFE">
        <w:rPr>
          <w:rFonts w:asciiTheme="minorHAnsi" w:hAnsiTheme="minorHAnsi" w:cstheme="minorHAnsi"/>
          <w:sz w:val="20"/>
          <w:szCs w:val="20"/>
        </w:rPr>
        <w:t xml:space="preserve"> </w:t>
      </w:r>
    </w:p>
  </w:endnote>
  <w:endnote w:id="275">
    <w:p w:rsidR="002B3E5E" w:rsidRPr="00F74AFE" w:rsidRDefault="002B3E5E" w:rsidP="00785E02">
      <w:pPr>
        <w:jc w:val="both"/>
        <w:rPr>
          <w:rStyle w:val="medium-normal1"/>
          <w:rFonts w:asciiTheme="minorHAnsi" w:hAnsiTheme="minorHAnsi" w:cstheme="minorHAnsi"/>
          <w:color w:val="00000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w:t>
      </w:r>
      <w:r w:rsidRPr="00F74AFE">
        <w:rPr>
          <w:rStyle w:val="medium-normal1"/>
          <w:rFonts w:asciiTheme="minorHAnsi" w:hAnsiTheme="minorHAnsi" w:cstheme="minorHAnsi"/>
          <w:color w:val="000000"/>
        </w:rPr>
        <w:t xml:space="preserve">Wightmen, C. (2010). Price 'selling home because of ghosts', </w:t>
      </w:r>
      <w:r w:rsidRPr="00F74AFE">
        <w:rPr>
          <w:rStyle w:val="medium-normal1"/>
          <w:rFonts w:asciiTheme="minorHAnsi" w:hAnsiTheme="minorHAnsi" w:cstheme="minorHAnsi"/>
          <w:i/>
          <w:color w:val="000000"/>
          <w:u w:val="single"/>
        </w:rPr>
        <w:t>Digital Spy</w:t>
      </w:r>
      <w:r w:rsidRPr="00F74AFE">
        <w:rPr>
          <w:rStyle w:val="medium-normal1"/>
          <w:rFonts w:asciiTheme="minorHAnsi" w:hAnsiTheme="minorHAnsi" w:cstheme="minorHAnsi"/>
          <w:color w:val="000000"/>
        </w:rPr>
        <w:t xml:space="preserve">. Retrieved on 20 September 2010 from  </w:t>
      </w:r>
    </w:p>
    <w:p w:rsidR="002B3E5E" w:rsidRPr="00F74AFE" w:rsidRDefault="00002B71" w:rsidP="00785E02">
      <w:pPr>
        <w:jc w:val="both"/>
        <w:rPr>
          <w:rFonts w:asciiTheme="minorHAnsi" w:hAnsiTheme="minorHAnsi" w:cstheme="minorHAnsi"/>
          <w:sz w:val="20"/>
          <w:szCs w:val="20"/>
        </w:rPr>
      </w:pPr>
      <w:hyperlink r:id="rId17" w:history="1">
        <w:r w:rsidR="002B3E5E" w:rsidRPr="00F74AFE">
          <w:rPr>
            <w:rStyle w:val="Hyperlink"/>
            <w:rFonts w:asciiTheme="minorHAnsi" w:hAnsiTheme="minorHAnsi" w:cstheme="minorHAnsi"/>
            <w:sz w:val="20"/>
            <w:szCs w:val="20"/>
          </w:rPr>
          <w:t>http://www.digitalspy.co.uk/showbiz/news/a211082/price-selling-home-because-of-ghosts.html</w:t>
        </w:r>
      </w:hyperlink>
      <w:r w:rsidR="002B3E5E" w:rsidRPr="00F74AFE">
        <w:rPr>
          <w:rStyle w:val="medium-normal1"/>
          <w:rFonts w:asciiTheme="minorHAnsi" w:hAnsiTheme="minorHAnsi" w:cstheme="minorHAnsi"/>
          <w:color w:val="000000"/>
        </w:rPr>
        <w:t xml:space="preserve"> </w:t>
      </w:r>
    </w:p>
  </w:endnote>
  <w:endnote w:id="276">
    <w:p w:rsidR="002B3E5E" w:rsidRPr="00F74AFE" w:rsidRDefault="002B3E5E" w:rsidP="00785E02">
      <w:pPr>
        <w:jc w:val="both"/>
        <w:rPr>
          <w:rFonts w:asciiTheme="minorHAnsi" w:hAnsiTheme="minorHAnsi" w:cstheme="minorHAnsi"/>
          <w:sz w:val="20"/>
          <w:szCs w:val="2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w:t>
      </w:r>
      <w:r w:rsidRPr="00F74AFE">
        <w:rPr>
          <w:rStyle w:val="medium-normal1"/>
          <w:rFonts w:asciiTheme="minorHAnsi" w:hAnsiTheme="minorHAnsi" w:cstheme="minorHAnsi"/>
          <w:color w:val="000000"/>
        </w:rPr>
        <w:t xml:space="preserve">Singh, S. (2004). The New ASA Has an Ally With a Big Stick, </w:t>
      </w:r>
      <w:r w:rsidRPr="00F74AFE">
        <w:rPr>
          <w:rStyle w:val="medium-normal1"/>
          <w:rFonts w:asciiTheme="minorHAnsi" w:hAnsiTheme="minorHAnsi" w:cstheme="minorHAnsi"/>
          <w:i/>
          <w:color w:val="000000"/>
        </w:rPr>
        <w:t>Marketing Week</w:t>
      </w:r>
      <w:r w:rsidRPr="00F74AFE">
        <w:rPr>
          <w:rStyle w:val="medium-normal1"/>
          <w:rFonts w:asciiTheme="minorHAnsi" w:hAnsiTheme="minorHAnsi" w:cstheme="minorHAnsi"/>
          <w:color w:val="000000"/>
        </w:rPr>
        <w:t>,</w:t>
      </w:r>
      <w:r w:rsidRPr="00F74AFE">
        <w:rPr>
          <w:rStyle w:val="medium-normal1"/>
          <w:rFonts w:asciiTheme="minorHAnsi" w:hAnsiTheme="minorHAnsi" w:cstheme="minorHAnsi"/>
          <w:i/>
          <w:color w:val="000000"/>
        </w:rPr>
        <w:t xml:space="preserve"> </w:t>
      </w:r>
      <w:r w:rsidRPr="00F74AFE">
        <w:rPr>
          <w:rStyle w:val="medium-normal1"/>
          <w:rFonts w:asciiTheme="minorHAnsi" w:hAnsiTheme="minorHAnsi" w:cstheme="minorHAnsi"/>
          <w:color w:val="000000"/>
        </w:rPr>
        <w:t>27(44), 21.</w:t>
      </w:r>
    </w:p>
  </w:endnote>
  <w:endnote w:id="277">
    <w:p w:rsidR="002B3E5E" w:rsidRPr="00F74AFE" w:rsidRDefault="002B3E5E" w:rsidP="00785E02">
      <w:pPr>
        <w:jc w:val="both"/>
        <w:rPr>
          <w:rStyle w:val="medium-normal1"/>
          <w:rFonts w:asciiTheme="minorHAnsi" w:hAnsiTheme="minorHAnsi" w:cstheme="minorHAnsi"/>
          <w:color w:val="000000"/>
        </w:rPr>
      </w:pPr>
      <w:r w:rsidRPr="00F74AFE">
        <w:rPr>
          <w:rStyle w:val="EndnoteReference"/>
          <w:rFonts w:asciiTheme="minorHAnsi" w:hAnsiTheme="minorHAnsi" w:cstheme="minorHAnsi"/>
          <w:sz w:val="20"/>
          <w:szCs w:val="20"/>
        </w:rPr>
        <w:endnoteRef/>
      </w:r>
      <w:r w:rsidRPr="00F74AFE">
        <w:rPr>
          <w:rFonts w:asciiTheme="minorHAnsi" w:hAnsiTheme="minorHAnsi" w:cstheme="minorHAnsi"/>
          <w:sz w:val="20"/>
          <w:szCs w:val="20"/>
        </w:rPr>
        <w:t xml:space="preserve"> </w:t>
      </w:r>
      <w:r w:rsidRPr="00F74AFE">
        <w:rPr>
          <w:rStyle w:val="medium-normal1"/>
          <w:rFonts w:asciiTheme="minorHAnsi" w:hAnsiTheme="minorHAnsi" w:cstheme="minorHAnsi"/>
          <w:color w:val="000000"/>
        </w:rPr>
        <w:t xml:space="preserve">World Tobacco. (2004). UK Point of Sale Proposals Challenged, </w:t>
      </w:r>
      <w:r w:rsidRPr="00F74AFE">
        <w:rPr>
          <w:rStyle w:val="medium-normal1"/>
          <w:rFonts w:asciiTheme="minorHAnsi" w:hAnsiTheme="minorHAnsi" w:cstheme="minorHAnsi"/>
          <w:i/>
          <w:color w:val="000000"/>
        </w:rPr>
        <w:t>World Tobacco</w:t>
      </w:r>
      <w:r w:rsidRPr="00F74AFE">
        <w:rPr>
          <w:rStyle w:val="medium-normal1"/>
          <w:rFonts w:asciiTheme="minorHAnsi" w:hAnsiTheme="minorHAnsi" w:cstheme="minorHAnsi"/>
          <w:color w:val="000000"/>
        </w:rPr>
        <w:t>,</w:t>
      </w:r>
      <w:r w:rsidRPr="00F74AFE">
        <w:rPr>
          <w:rStyle w:val="medium-normal1"/>
          <w:rFonts w:asciiTheme="minorHAnsi" w:hAnsiTheme="minorHAnsi" w:cstheme="minorHAnsi"/>
          <w:i/>
          <w:color w:val="000000"/>
        </w:rPr>
        <w:t xml:space="preserve"> </w:t>
      </w:r>
      <w:r w:rsidRPr="00F74AFE">
        <w:rPr>
          <w:rStyle w:val="medium-normal1"/>
          <w:rFonts w:asciiTheme="minorHAnsi" w:hAnsiTheme="minorHAnsi" w:cstheme="minorHAnsi"/>
          <w:color w:val="000000"/>
        </w:rPr>
        <w:t>200(May), 10 - 11.</w:t>
      </w:r>
    </w:p>
    <w:p w:rsidR="002B3E5E" w:rsidRPr="00860CB9" w:rsidRDefault="002B3E5E" w:rsidP="00785E02">
      <w:pPr>
        <w:pStyle w:val="EndnoteText"/>
        <w:rPr>
          <w:rFonts w:asciiTheme="minorHAnsi" w:hAnsiTheme="minorHAnsi"/>
        </w:rPr>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dvPECF938">
    <w:panose1 w:val="00000000000000000000"/>
    <w:charset w:val="00"/>
    <w:family w:val="swiss"/>
    <w:notTrueType/>
    <w:pitch w:val="default"/>
    <w:sig w:usb0="00000003" w:usb1="00000000" w:usb2="00000000" w:usb3="00000000" w:csb0="00000001" w:csb1="00000000"/>
  </w:font>
  <w:font w:name="CMBX10">
    <w:panose1 w:val="00000000000000000000"/>
    <w:charset w:val="00"/>
    <w:family w:val="roman"/>
    <w:notTrueType/>
    <w:pitch w:val="default"/>
    <w:sig w:usb0="00000003" w:usb1="00000000" w:usb2="00000000" w:usb3="00000000" w:csb0="00000001" w:csb1="00000000"/>
  </w:font>
  <w:font w:name="AdvOT863180fb">
    <w:panose1 w:val="00000000000000000000"/>
    <w:charset w:val="00"/>
    <w:family w:val="auto"/>
    <w:notTrueType/>
    <w:pitch w:val="default"/>
    <w:sig w:usb0="00000003" w:usb1="00000000" w:usb2="00000000" w:usb3="00000000" w:csb0="00000001" w:csb1="00000000"/>
  </w:font>
  <w:font w:name="AdvOTb92eb7df.I">
    <w:panose1 w:val="00000000000000000000"/>
    <w:charset w:val="00"/>
    <w:family w:val="auto"/>
    <w:notTrueType/>
    <w:pitch w:val="default"/>
    <w:sig w:usb0="00000003" w:usb1="00000000" w:usb2="00000000" w:usb3="00000000" w:csb0="00000001" w:csb1="00000000"/>
  </w:font>
  <w:font w:name="AdvOTb83ee1dd.B">
    <w:panose1 w:val="00000000000000000000"/>
    <w:charset w:val="00"/>
    <w:family w:val="auto"/>
    <w:notTrueType/>
    <w:pitch w:val="default"/>
    <w:sig w:usb0="00000003" w:usb1="00000000" w:usb2="00000000" w:usb3="00000000" w:csb0="00000001" w:csb1="00000000"/>
  </w:font>
  <w:font w:name="AdvPECFD33">
    <w:panose1 w:val="00000000000000000000"/>
    <w:charset w:val="00"/>
    <w:family w:val="swiss"/>
    <w:notTrueType/>
    <w:pitch w:val="default"/>
    <w:sig w:usb0="00000003" w:usb1="00000000" w:usb2="00000000" w:usb3="00000000" w:csb0="00000001" w:csb1="00000000"/>
  </w:font>
  <w:font w:name="AdvPECF93C">
    <w:panose1 w:val="00000000000000000000"/>
    <w:charset w:val="00"/>
    <w:family w:val="swiss"/>
    <w:notTrueType/>
    <w:pitch w:val="default"/>
    <w:sig w:usb0="00000003" w:usb1="00000000" w:usb2="00000000" w:usb3="00000000" w:csb0="00000001" w:csb1="00000000"/>
  </w:font>
  <w:font w:name="TimesNewRomanPS">
    <w:altName w:val="TimesNewRomanPS"/>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00022FF" w:usb1="C000205B" w:usb2="00000009" w:usb3="00000000" w:csb0="000001D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595547"/>
      <w:docPartObj>
        <w:docPartGallery w:val="Page Numbers (Bottom of Page)"/>
        <w:docPartUnique/>
      </w:docPartObj>
    </w:sdtPr>
    <w:sdtContent>
      <w:p w:rsidR="002B3E5E" w:rsidRDefault="00002B71">
        <w:pPr>
          <w:pStyle w:val="Footer"/>
          <w:jc w:val="center"/>
        </w:pPr>
        <w:r w:rsidRPr="00883E4D">
          <w:rPr>
            <w:rFonts w:asciiTheme="minorHAnsi" w:hAnsiTheme="minorHAnsi"/>
          </w:rPr>
          <w:fldChar w:fldCharType="begin"/>
        </w:r>
        <w:r w:rsidR="00883E4D" w:rsidRPr="00883E4D">
          <w:rPr>
            <w:rFonts w:asciiTheme="minorHAnsi" w:hAnsiTheme="minorHAnsi"/>
          </w:rPr>
          <w:instrText xml:space="preserve"> PAGE   \* MERGEFORMAT </w:instrText>
        </w:r>
        <w:r w:rsidRPr="00883E4D">
          <w:rPr>
            <w:rFonts w:asciiTheme="minorHAnsi" w:hAnsiTheme="minorHAnsi"/>
          </w:rPr>
          <w:fldChar w:fldCharType="separate"/>
        </w:r>
        <w:r w:rsidR="00BD42A5">
          <w:rPr>
            <w:rFonts w:asciiTheme="minorHAnsi" w:hAnsiTheme="minorHAnsi"/>
            <w:noProof/>
          </w:rPr>
          <w:t>83</w:t>
        </w:r>
        <w:r w:rsidRPr="00883E4D">
          <w:rPr>
            <w:rFonts w:asciiTheme="minorHAnsi" w:hAnsiTheme="minorHAnsi"/>
          </w:rPr>
          <w:fldChar w:fldCharType="end"/>
        </w:r>
      </w:p>
    </w:sdtContent>
  </w:sdt>
  <w:p w:rsidR="002B3E5E" w:rsidRDefault="002B3E5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674A" w:rsidRDefault="0083674A" w:rsidP="007B3E18">
      <w:r>
        <w:separator/>
      </w:r>
    </w:p>
  </w:footnote>
  <w:footnote w:type="continuationSeparator" w:id="0">
    <w:p w:rsidR="0083674A" w:rsidRDefault="0083674A" w:rsidP="007B3E18">
      <w:r>
        <w:continuationSeparator/>
      </w:r>
    </w:p>
  </w:footnote>
  <w:footnote w:id="1">
    <w:p w:rsidR="002B3E5E" w:rsidRPr="00002AC0" w:rsidRDefault="00883E4D" w:rsidP="007A3E26">
      <w:pPr>
        <w:rPr>
          <w:rFonts w:asciiTheme="minorHAnsi" w:hAnsiTheme="minorHAnsi"/>
        </w:rPr>
      </w:pPr>
      <w:r w:rsidRPr="00883E4D">
        <w:rPr>
          <w:rStyle w:val="FootnoteReference"/>
          <w:rFonts w:asciiTheme="minorHAnsi" w:hAnsiTheme="minorHAnsi"/>
        </w:rPr>
        <w:footnoteRef/>
      </w:r>
      <w:r w:rsidRPr="00883E4D">
        <w:rPr>
          <w:rFonts w:asciiTheme="minorHAnsi" w:hAnsiTheme="minorHAnsi"/>
        </w:rPr>
        <w:t xml:space="preserve"> </w:t>
      </w:r>
      <w:r w:rsidRPr="00883E4D">
        <w:rPr>
          <w:rFonts w:asciiTheme="minorHAnsi" w:hAnsiTheme="minorHAnsi"/>
          <w:i/>
          <w:iCs/>
        </w:rPr>
        <w:t>Collaborationist</w:t>
      </w:r>
      <w:r w:rsidRPr="00883E4D">
        <w:rPr>
          <w:rFonts w:asciiTheme="minorHAnsi" w:hAnsiTheme="minorHAnsi"/>
        </w:rPr>
        <w:t xml:space="preserve"> : Multiple perceptions of the risk: Bounded rationality, intuition, multiplicity of values (social and individual); Complexity must be recognised in RM – problems with forecasting; Emphasis on consultation, collective responsibility and social responsibility in RM; Organisational resilience as important as prevention – there is no such thing as crisis-free environment; Multiple rationalities at play.</w:t>
      </w:r>
    </w:p>
    <w:p w:rsidR="002B3E5E" w:rsidRPr="00002AC0" w:rsidRDefault="00883E4D" w:rsidP="007A3E26">
      <w:pPr>
        <w:rPr>
          <w:rFonts w:asciiTheme="minorHAnsi" w:hAnsiTheme="minorHAnsi"/>
        </w:rPr>
      </w:pPr>
      <w:r w:rsidRPr="00883E4D">
        <w:rPr>
          <w:rFonts w:asciiTheme="minorHAnsi" w:hAnsiTheme="minorHAnsi"/>
          <w:i/>
          <w:iCs/>
        </w:rPr>
        <w:t xml:space="preserve">Homeostatic: </w:t>
      </w:r>
      <w:r w:rsidRPr="00883E4D">
        <w:rPr>
          <w:rFonts w:asciiTheme="minorHAnsi" w:hAnsiTheme="minorHAnsi"/>
        </w:rPr>
        <w:t>A scientific approach to RM / logic of probability; Rationality in decision; prevention  rather than cure; Anticipation rather than reaction (fail-safe vs safe-fail); Blame rather than forgiveness; Elitism rather than collectivism; Confinement rather than consultation; Structures and control systems rather than people and processes of interaction.</w:t>
      </w:r>
    </w:p>
    <w:p w:rsidR="002B3E5E" w:rsidRDefault="002B3E5E">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E5E" w:rsidRDefault="002B3E5E">
    <w:pPr>
      <w:pStyle w:val="Header"/>
    </w:pPr>
    <w:r>
      <w:tab/>
    </w:r>
    <w:r>
      <w:tab/>
    </w:r>
    <w:r>
      <w:tab/>
    </w:r>
    <w:r>
      <w:tab/>
    </w:r>
    <w:r>
      <w:tab/>
    </w:r>
    <w:r>
      <w:tab/>
    </w:r>
    <w:r>
      <w:tab/>
    </w:r>
  </w:p>
  <w:p w:rsidR="002B3E5E" w:rsidRDefault="002B3E5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9D81196"/>
    <w:lvl w:ilvl="0">
      <w:start w:val="1"/>
      <w:numFmt w:val="decimal"/>
      <w:lvlText w:val="%1."/>
      <w:lvlJc w:val="left"/>
      <w:pPr>
        <w:tabs>
          <w:tab w:val="num" w:pos="1492"/>
        </w:tabs>
        <w:ind w:left="1492" w:hanging="360"/>
      </w:pPr>
    </w:lvl>
  </w:abstractNum>
  <w:abstractNum w:abstractNumId="1">
    <w:nsid w:val="FFFFFF7D"/>
    <w:multiLevelType w:val="singleLevel"/>
    <w:tmpl w:val="C24672C2"/>
    <w:lvl w:ilvl="0">
      <w:start w:val="1"/>
      <w:numFmt w:val="decimal"/>
      <w:lvlText w:val="%1."/>
      <w:lvlJc w:val="left"/>
      <w:pPr>
        <w:tabs>
          <w:tab w:val="num" w:pos="1209"/>
        </w:tabs>
        <w:ind w:left="1209" w:hanging="360"/>
      </w:pPr>
    </w:lvl>
  </w:abstractNum>
  <w:abstractNum w:abstractNumId="2">
    <w:nsid w:val="FFFFFF7E"/>
    <w:multiLevelType w:val="singleLevel"/>
    <w:tmpl w:val="BF54A3CE"/>
    <w:lvl w:ilvl="0">
      <w:start w:val="1"/>
      <w:numFmt w:val="decimal"/>
      <w:lvlText w:val="%1."/>
      <w:lvlJc w:val="left"/>
      <w:pPr>
        <w:tabs>
          <w:tab w:val="num" w:pos="926"/>
        </w:tabs>
        <w:ind w:left="926" w:hanging="360"/>
      </w:pPr>
    </w:lvl>
  </w:abstractNum>
  <w:abstractNum w:abstractNumId="3">
    <w:nsid w:val="FFFFFF7F"/>
    <w:multiLevelType w:val="singleLevel"/>
    <w:tmpl w:val="DA4AD6F6"/>
    <w:lvl w:ilvl="0">
      <w:start w:val="1"/>
      <w:numFmt w:val="decimal"/>
      <w:lvlText w:val="%1."/>
      <w:lvlJc w:val="left"/>
      <w:pPr>
        <w:tabs>
          <w:tab w:val="num" w:pos="643"/>
        </w:tabs>
        <w:ind w:left="643" w:hanging="360"/>
      </w:pPr>
    </w:lvl>
  </w:abstractNum>
  <w:abstractNum w:abstractNumId="4">
    <w:nsid w:val="FFFFFF80"/>
    <w:multiLevelType w:val="singleLevel"/>
    <w:tmpl w:val="6380BFA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19E02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DBCF38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5E432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BCA4C32"/>
    <w:lvl w:ilvl="0">
      <w:start w:val="1"/>
      <w:numFmt w:val="decimal"/>
      <w:lvlText w:val="%1."/>
      <w:lvlJc w:val="left"/>
      <w:pPr>
        <w:tabs>
          <w:tab w:val="num" w:pos="360"/>
        </w:tabs>
        <w:ind w:left="360" w:hanging="360"/>
      </w:pPr>
    </w:lvl>
  </w:abstractNum>
  <w:abstractNum w:abstractNumId="9">
    <w:nsid w:val="FFFFFF89"/>
    <w:multiLevelType w:val="singleLevel"/>
    <w:tmpl w:val="01E067A6"/>
    <w:lvl w:ilvl="0">
      <w:start w:val="1"/>
      <w:numFmt w:val="bullet"/>
      <w:lvlText w:val=""/>
      <w:lvlJc w:val="left"/>
      <w:pPr>
        <w:tabs>
          <w:tab w:val="num" w:pos="360"/>
        </w:tabs>
        <w:ind w:left="360" w:hanging="360"/>
      </w:pPr>
      <w:rPr>
        <w:rFonts w:ascii="Symbol" w:hAnsi="Symbol" w:hint="default"/>
      </w:rPr>
    </w:lvl>
  </w:abstractNum>
  <w:abstractNum w:abstractNumId="10">
    <w:nsid w:val="008404F5"/>
    <w:multiLevelType w:val="hybridMultilevel"/>
    <w:tmpl w:val="DB726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AF229FA"/>
    <w:multiLevelType w:val="hybridMultilevel"/>
    <w:tmpl w:val="8BA23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1B86544"/>
    <w:multiLevelType w:val="hybridMultilevel"/>
    <w:tmpl w:val="7FA2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D2C480C"/>
    <w:multiLevelType w:val="hybridMultilevel"/>
    <w:tmpl w:val="8124D56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3775746"/>
    <w:multiLevelType w:val="hybridMultilevel"/>
    <w:tmpl w:val="D46028D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3EF39FC"/>
    <w:multiLevelType w:val="hybridMultilevel"/>
    <w:tmpl w:val="77AC92D0"/>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6">
    <w:nsid w:val="2BF8047F"/>
    <w:multiLevelType w:val="hybridMultilevel"/>
    <w:tmpl w:val="72107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5EF51DB"/>
    <w:multiLevelType w:val="hybridMultilevel"/>
    <w:tmpl w:val="834678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F1B272D"/>
    <w:multiLevelType w:val="hybridMultilevel"/>
    <w:tmpl w:val="35764D58"/>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9">
    <w:nsid w:val="42F26FF4"/>
    <w:multiLevelType w:val="hybridMultilevel"/>
    <w:tmpl w:val="5B3CA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4536712"/>
    <w:multiLevelType w:val="hybridMultilevel"/>
    <w:tmpl w:val="2E62F494"/>
    <w:lvl w:ilvl="0" w:tplc="08130001">
      <w:start w:val="1"/>
      <w:numFmt w:val="bullet"/>
      <w:lvlText w:val=""/>
      <w:lvlJc w:val="left"/>
      <w:pPr>
        <w:ind w:left="708" w:hanging="360"/>
      </w:pPr>
      <w:rPr>
        <w:rFonts w:ascii="Symbol" w:hAnsi="Symbol" w:hint="default"/>
      </w:rPr>
    </w:lvl>
    <w:lvl w:ilvl="1" w:tplc="08090001">
      <w:start w:val="1"/>
      <w:numFmt w:val="bullet"/>
      <w:lvlText w:val=""/>
      <w:lvlJc w:val="left"/>
      <w:pPr>
        <w:tabs>
          <w:tab w:val="num" w:pos="720"/>
        </w:tabs>
        <w:ind w:left="720" w:hanging="360"/>
      </w:pPr>
      <w:rPr>
        <w:rFonts w:ascii="Symbol" w:hAnsi="Symbol" w:hint="default"/>
      </w:rPr>
    </w:lvl>
    <w:lvl w:ilvl="2" w:tplc="08130005" w:tentative="1">
      <w:start w:val="1"/>
      <w:numFmt w:val="bullet"/>
      <w:lvlText w:val=""/>
      <w:lvlJc w:val="left"/>
      <w:pPr>
        <w:ind w:left="2148" w:hanging="360"/>
      </w:pPr>
      <w:rPr>
        <w:rFonts w:ascii="Wingdings" w:hAnsi="Wingdings" w:hint="default"/>
      </w:rPr>
    </w:lvl>
    <w:lvl w:ilvl="3" w:tplc="08130001" w:tentative="1">
      <w:start w:val="1"/>
      <w:numFmt w:val="bullet"/>
      <w:lvlText w:val=""/>
      <w:lvlJc w:val="left"/>
      <w:pPr>
        <w:ind w:left="2868" w:hanging="360"/>
      </w:pPr>
      <w:rPr>
        <w:rFonts w:ascii="Symbol" w:hAnsi="Symbol" w:hint="default"/>
      </w:rPr>
    </w:lvl>
    <w:lvl w:ilvl="4" w:tplc="08130003" w:tentative="1">
      <w:start w:val="1"/>
      <w:numFmt w:val="bullet"/>
      <w:lvlText w:val="o"/>
      <w:lvlJc w:val="left"/>
      <w:pPr>
        <w:ind w:left="3588" w:hanging="360"/>
      </w:pPr>
      <w:rPr>
        <w:rFonts w:ascii="Courier New" w:hAnsi="Courier New" w:hint="default"/>
      </w:rPr>
    </w:lvl>
    <w:lvl w:ilvl="5" w:tplc="08130005" w:tentative="1">
      <w:start w:val="1"/>
      <w:numFmt w:val="bullet"/>
      <w:lvlText w:val=""/>
      <w:lvlJc w:val="left"/>
      <w:pPr>
        <w:ind w:left="4308" w:hanging="360"/>
      </w:pPr>
      <w:rPr>
        <w:rFonts w:ascii="Wingdings" w:hAnsi="Wingdings" w:hint="default"/>
      </w:rPr>
    </w:lvl>
    <w:lvl w:ilvl="6" w:tplc="08130001" w:tentative="1">
      <w:start w:val="1"/>
      <w:numFmt w:val="bullet"/>
      <w:lvlText w:val=""/>
      <w:lvlJc w:val="left"/>
      <w:pPr>
        <w:ind w:left="5028" w:hanging="360"/>
      </w:pPr>
      <w:rPr>
        <w:rFonts w:ascii="Symbol" w:hAnsi="Symbol" w:hint="default"/>
      </w:rPr>
    </w:lvl>
    <w:lvl w:ilvl="7" w:tplc="08130003" w:tentative="1">
      <w:start w:val="1"/>
      <w:numFmt w:val="bullet"/>
      <w:lvlText w:val="o"/>
      <w:lvlJc w:val="left"/>
      <w:pPr>
        <w:ind w:left="5748" w:hanging="360"/>
      </w:pPr>
      <w:rPr>
        <w:rFonts w:ascii="Courier New" w:hAnsi="Courier New" w:hint="default"/>
      </w:rPr>
    </w:lvl>
    <w:lvl w:ilvl="8" w:tplc="08130005" w:tentative="1">
      <w:start w:val="1"/>
      <w:numFmt w:val="bullet"/>
      <w:lvlText w:val=""/>
      <w:lvlJc w:val="left"/>
      <w:pPr>
        <w:ind w:left="6468" w:hanging="360"/>
      </w:pPr>
      <w:rPr>
        <w:rFonts w:ascii="Wingdings" w:hAnsi="Wingdings" w:hint="default"/>
      </w:rPr>
    </w:lvl>
  </w:abstractNum>
  <w:abstractNum w:abstractNumId="21">
    <w:nsid w:val="481F035B"/>
    <w:multiLevelType w:val="hybridMultilevel"/>
    <w:tmpl w:val="D92E748A"/>
    <w:lvl w:ilvl="0" w:tplc="08130001">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cs="Courier New" w:hint="default"/>
      </w:rPr>
    </w:lvl>
    <w:lvl w:ilvl="2" w:tplc="08130005" w:tentative="1">
      <w:start w:val="1"/>
      <w:numFmt w:val="bullet"/>
      <w:lvlText w:val=""/>
      <w:lvlJc w:val="left"/>
      <w:pPr>
        <w:tabs>
          <w:tab w:val="num" w:pos="1800"/>
        </w:tabs>
        <w:ind w:left="1800" w:hanging="360"/>
      </w:pPr>
      <w:rPr>
        <w:rFonts w:ascii="Wingdings" w:hAnsi="Wingdings" w:hint="default"/>
      </w:rPr>
    </w:lvl>
    <w:lvl w:ilvl="3" w:tplc="08130001" w:tentative="1">
      <w:start w:val="1"/>
      <w:numFmt w:val="bullet"/>
      <w:lvlText w:val=""/>
      <w:lvlJc w:val="left"/>
      <w:pPr>
        <w:tabs>
          <w:tab w:val="num" w:pos="2520"/>
        </w:tabs>
        <w:ind w:left="2520" w:hanging="360"/>
      </w:pPr>
      <w:rPr>
        <w:rFonts w:ascii="Symbol" w:hAnsi="Symbol" w:hint="default"/>
      </w:rPr>
    </w:lvl>
    <w:lvl w:ilvl="4" w:tplc="08130003" w:tentative="1">
      <w:start w:val="1"/>
      <w:numFmt w:val="bullet"/>
      <w:lvlText w:val="o"/>
      <w:lvlJc w:val="left"/>
      <w:pPr>
        <w:tabs>
          <w:tab w:val="num" w:pos="3240"/>
        </w:tabs>
        <w:ind w:left="3240" w:hanging="360"/>
      </w:pPr>
      <w:rPr>
        <w:rFonts w:ascii="Courier New" w:hAnsi="Courier New" w:cs="Courier New" w:hint="default"/>
      </w:rPr>
    </w:lvl>
    <w:lvl w:ilvl="5" w:tplc="08130005" w:tentative="1">
      <w:start w:val="1"/>
      <w:numFmt w:val="bullet"/>
      <w:lvlText w:val=""/>
      <w:lvlJc w:val="left"/>
      <w:pPr>
        <w:tabs>
          <w:tab w:val="num" w:pos="3960"/>
        </w:tabs>
        <w:ind w:left="3960" w:hanging="360"/>
      </w:pPr>
      <w:rPr>
        <w:rFonts w:ascii="Wingdings" w:hAnsi="Wingdings" w:hint="default"/>
      </w:rPr>
    </w:lvl>
    <w:lvl w:ilvl="6" w:tplc="08130001" w:tentative="1">
      <w:start w:val="1"/>
      <w:numFmt w:val="bullet"/>
      <w:lvlText w:val=""/>
      <w:lvlJc w:val="left"/>
      <w:pPr>
        <w:tabs>
          <w:tab w:val="num" w:pos="4680"/>
        </w:tabs>
        <w:ind w:left="4680" w:hanging="360"/>
      </w:pPr>
      <w:rPr>
        <w:rFonts w:ascii="Symbol" w:hAnsi="Symbol" w:hint="default"/>
      </w:rPr>
    </w:lvl>
    <w:lvl w:ilvl="7" w:tplc="08130003" w:tentative="1">
      <w:start w:val="1"/>
      <w:numFmt w:val="bullet"/>
      <w:lvlText w:val="o"/>
      <w:lvlJc w:val="left"/>
      <w:pPr>
        <w:tabs>
          <w:tab w:val="num" w:pos="5400"/>
        </w:tabs>
        <w:ind w:left="5400" w:hanging="360"/>
      </w:pPr>
      <w:rPr>
        <w:rFonts w:ascii="Courier New" w:hAnsi="Courier New" w:cs="Courier New" w:hint="default"/>
      </w:rPr>
    </w:lvl>
    <w:lvl w:ilvl="8" w:tplc="08130005" w:tentative="1">
      <w:start w:val="1"/>
      <w:numFmt w:val="bullet"/>
      <w:lvlText w:val=""/>
      <w:lvlJc w:val="left"/>
      <w:pPr>
        <w:tabs>
          <w:tab w:val="num" w:pos="6120"/>
        </w:tabs>
        <w:ind w:left="6120" w:hanging="360"/>
      </w:pPr>
      <w:rPr>
        <w:rFonts w:ascii="Wingdings" w:hAnsi="Wingdings" w:hint="default"/>
      </w:rPr>
    </w:lvl>
  </w:abstractNum>
  <w:abstractNum w:abstractNumId="22">
    <w:nsid w:val="4A3A6300"/>
    <w:multiLevelType w:val="hybridMultilevel"/>
    <w:tmpl w:val="78141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ECF1545"/>
    <w:multiLevelType w:val="hybridMultilevel"/>
    <w:tmpl w:val="3CA4AA16"/>
    <w:lvl w:ilvl="0" w:tplc="C46A9F5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28A3EE8"/>
    <w:multiLevelType w:val="hybridMultilevel"/>
    <w:tmpl w:val="3B8CED46"/>
    <w:lvl w:ilvl="0" w:tplc="C46A9F5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3882AAB"/>
    <w:multiLevelType w:val="hybridMultilevel"/>
    <w:tmpl w:val="47B09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28472A9"/>
    <w:multiLevelType w:val="hybridMultilevel"/>
    <w:tmpl w:val="C096EF2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BF53323"/>
    <w:multiLevelType w:val="hybridMultilevel"/>
    <w:tmpl w:val="29FC2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D197C51"/>
    <w:multiLevelType w:val="hybridMultilevel"/>
    <w:tmpl w:val="F7AE62FC"/>
    <w:lvl w:ilvl="0" w:tplc="08090001">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cs="Courier New" w:hint="default"/>
      </w:rPr>
    </w:lvl>
    <w:lvl w:ilvl="2" w:tplc="08130005" w:tentative="1">
      <w:start w:val="1"/>
      <w:numFmt w:val="bullet"/>
      <w:lvlText w:val=""/>
      <w:lvlJc w:val="left"/>
      <w:pPr>
        <w:tabs>
          <w:tab w:val="num" w:pos="1800"/>
        </w:tabs>
        <w:ind w:left="1800" w:hanging="360"/>
      </w:pPr>
      <w:rPr>
        <w:rFonts w:ascii="Wingdings" w:hAnsi="Wingdings" w:hint="default"/>
      </w:rPr>
    </w:lvl>
    <w:lvl w:ilvl="3" w:tplc="08130001" w:tentative="1">
      <w:start w:val="1"/>
      <w:numFmt w:val="bullet"/>
      <w:lvlText w:val=""/>
      <w:lvlJc w:val="left"/>
      <w:pPr>
        <w:tabs>
          <w:tab w:val="num" w:pos="2520"/>
        </w:tabs>
        <w:ind w:left="2520" w:hanging="360"/>
      </w:pPr>
      <w:rPr>
        <w:rFonts w:ascii="Symbol" w:hAnsi="Symbol" w:hint="default"/>
      </w:rPr>
    </w:lvl>
    <w:lvl w:ilvl="4" w:tplc="08130003" w:tentative="1">
      <w:start w:val="1"/>
      <w:numFmt w:val="bullet"/>
      <w:lvlText w:val="o"/>
      <w:lvlJc w:val="left"/>
      <w:pPr>
        <w:tabs>
          <w:tab w:val="num" w:pos="3240"/>
        </w:tabs>
        <w:ind w:left="3240" w:hanging="360"/>
      </w:pPr>
      <w:rPr>
        <w:rFonts w:ascii="Courier New" w:hAnsi="Courier New" w:cs="Courier New" w:hint="default"/>
      </w:rPr>
    </w:lvl>
    <w:lvl w:ilvl="5" w:tplc="08130005" w:tentative="1">
      <w:start w:val="1"/>
      <w:numFmt w:val="bullet"/>
      <w:lvlText w:val=""/>
      <w:lvlJc w:val="left"/>
      <w:pPr>
        <w:tabs>
          <w:tab w:val="num" w:pos="3960"/>
        </w:tabs>
        <w:ind w:left="3960" w:hanging="360"/>
      </w:pPr>
      <w:rPr>
        <w:rFonts w:ascii="Wingdings" w:hAnsi="Wingdings" w:hint="default"/>
      </w:rPr>
    </w:lvl>
    <w:lvl w:ilvl="6" w:tplc="08130001" w:tentative="1">
      <w:start w:val="1"/>
      <w:numFmt w:val="bullet"/>
      <w:lvlText w:val=""/>
      <w:lvlJc w:val="left"/>
      <w:pPr>
        <w:tabs>
          <w:tab w:val="num" w:pos="4680"/>
        </w:tabs>
        <w:ind w:left="4680" w:hanging="360"/>
      </w:pPr>
      <w:rPr>
        <w:rFonts w:ascii="Symbol" w:hAnsi="Symbol" w:hint="default"/>
      </w:rPr>
    </w:lvl>
    <w:lvl w:ilvl="7" w:tplc="08130003" w:tentative="1">
      <w:start w:val="1"/>
      <w:numFmt w:val="bullet"/>
      <w:lvlText w:val="o"/>
      <w:lvlJc w:val="left"/>
      <w:pPr>
        <w:tabs>
          <w:tab w:val="num" w:pos="5400"/>
        </w:tabs>
        <w:ind w:left="5400" w:hanging="360"/>
      </w:pPr>
      <w:rPr>
        <w:rFonts w:ascii="Courier New" w:hAnsi="Courier New" w:cs="Courier New" w:hint="default"/>
      </w:rPr>
    </w:lvl>
    <w:lvl w:ilvl="8" w:tplc="08130005" w:tentative="1">
      <w:start w:val="1"/>
      <w:numFmt w:val="bullet"/>
      <w:lvlText w:val=""/>
      <w:lvlJc w:val="left"/>
      <w:pPr>
        <w:tabs>
          <w:tab w:val="num" w:pos="6120"/>
        </w:tabs>
        <w:ind w:left="6120" w:hanging="360"/>
      </w:pPr>
      <w:rPr>
        <w:rFonts w:ascii="Wingdings" w:hAnsi="Wingdings" w:hint="default"/>
      </w:rPr>
    </w:lvl>
  </w:abstractNum>
  <w:abstractNum w:abstractNumId="29">
    <w:nsid w:val="7D834DA4"/>
    <w:multiLevelType w:val="hybridMultilevel"/>
    <w:tmpl w:val="92E4CCB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27"/>
  </w:num>
  <w:num w:numId="13">
    <w:abstractNumId w:val="23"/>
  </w:num>
  <w:num w:numId="14">
    <w:abstractNumId w:val="11"/>
  </w:num>
  <w:num w:numId="15">
    <w:abstractNumId w:val="17"/>
  </w:num>
  <w:num w:numId="16">
    <w:abstractNumId w:val="24"/>
  </w:num>
  <w:num w:numId="17">
    <w:abstractNumId w:val="25"/>
  </w:num>
  <w:num w:numId="18">
    <w:abstractNumId w:val="26"/>
  </w:num>
  <w:num w:numId="19">
    <w:abstractNumId w:val="13"/>
  </w:num>
  <w:num w:numId="20">
    <w:abstractNumId w:val="29"/>
  </w:num>
  <w:num w:numId="21">
    <w:abstractNumId w:val="20"/>
  </w:num>
  <w:num w:numId="22">
    <w:abstractNumId w:val="10"/>
  </w:num>
  <w:num w:numId="23">
    <w:abstractNumId w:val="12"/>
  </w:num>
  <w:num w:numId="24">
    <w:abstractNumId w:val="22"/>
  </w:num>
  <w:num w:numId="25">
    <w:abstractNumId w:val="28"/>
  </w:num>
  <w:num w:numId="26">
    <w:abstractNumId w:val="16"/>
  </w:num>
  <w:num w:numId="27">
    <w:abstractNumId w:val="19"/>
  </w:num>
  <w:num w:numId="28">
    <w:abstractNumId w:val="14"/>
  </w:num>
  <w:num w:numId="29">
    <w:abstractNumId w:val="18"/>
  </w:num>
  <w:num w:numId="3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3F04"/>
  <w:defaultTabStop w:val="720"/>
  <w:characterSpacingControl w:val="doNotCompress"/>
  <w:footnotePr>
    <w:footnote w:id="-1"/>
    <w:footnote w:id="0"/>
  </w:footnotePr>
  <w:endnotePr>
    <w:numFmt w:val="decimal"/>
    <w:endnote w:id="-1"/>
    <w:endnote w:id="0"/>
  </w:endnotePr>
  <w:compat/>
  <w:rsids>
    <w:rsidRoot w:val="006C2CAC"/>
    <w:rsid w:val="000010E3"/>
    <w:rsid w:val="00002AC0"/>
    <w:rsid w:val="00002B71"/>
    <w:rsid w:val="00010BF5"/>
    <w:rsid w:val="000138BB"/>
    <w:rsid w:val="0002171A"/>
    <w:rsid w:val="0004157B"/>
    <w:rsid w:val="000445F2"/>
    <w:rsid w:val="0004580B"/>
    <w:rsid w:val="00060B9D"/>
    <w:rsid w:val="0006116C"/>
    <w:rsid w:val="00062DBE"/>
    <w:rsid w:val="00063F52"/>
    <w:rsid w:val="00064380"/>
    <w:rsid w:val="0006560E"/>
    <w:rsid w:val="00071E3E"/>
    <w:rsid w:val="00075B68"/>
    <w:rsid w:val="0007698D"/>
    <w:rsid w:val="000856D4"/>
    <w:rsid w:val="00091678"/>
    <w:rsid w:val="00094C48"/>
    <w:rsid w:val="000A07F6"/>
    <w:rsid w:val="000B4C22"/>
    <w:rsid w:val="000B7A4F"/>
    <w:rsid w:val="000D53B7"/>
    <w:rsid w:val="000E59D0"/>
    <w:rsid w:val="000F63DD"/>
    <w:rsid w:val="00123F79"/>
    <w:rsid w:val="00135773"/>
    <w:rsid w:val="001371A5"/>
    <w:rsid w:val="0014208E"/>
    <w:rsid w:val="001449E9"/>
    <w:rsid w:val="001524A2"/>
    <w:rsid w:val="00152685"/>
    <w:rsid w:val="00162FD7"/>
    <w:rsid w:val="001813C9"/>
    <w:rsid w:val="00183C9F"/>
    <w:rsid w:val="0019067B"/>
    <w:rsid w:val="00191DBB"/>
    <w:rsid w:val="001956DF"/>
    <w:rsid w:val="001A05F5"/>
    <w:rsid w:val="001A4B31"/>
    <w:rsid w:val="001A5DC1"/>
    <w:rsid w:val="001B0930"/>
    <w:rsid w:val="001B2D3D"/>
    <w:rsid w:val="001C5AC7"/>
    <w:rsid w:val="001D1B01"/>
    <w:rsid w:val="001D214A"/>
    <w:rsid w:val="001D41ED"/>
    <w:rsid w:val="001D446C"/>
    <w:rsid w:val="001D47C3"/>
    <w:rsid w:val="001E4442"/>
    <w:rsid w:val="001F0E1D"/>
    <w:rsid w:val="001F1BD2"/>
    <w:rsid w:val="001F2953"/>
    <w:rsid w:val="001F5A94"/>
    <w:rsid w:val="001F6CD9"/>
    <w:rsid w:val="001F7B90"/>
    <w:rsid w:val="00207B24"/>
    <w:rsid w:val="002142B7"/>
    <w:rsid w:val="00215F91"/>
    <w:rsid w:val="00220606"/>
    <w:rsid w:val="00225AD5"/>
    <w:rsid w:val="00244E51"/>
    <w:rsid w:val="00253C6B"/>
    <w:rsid w:val="00254C30"/>
    <w:rsid w:val="002560EC"/>
    <w:rsid w:val="00277594"/>
    <w:rsid w:val="002816F8"/>
    <w:rsid w:val="002948A5"/>
    <w:rsid w:val="002A0207"/>
    <w:rsid w:val="002A788E"/>
    <w:rsid w:val="002A78CA"/>
    <w:rsid w:val="002B0020"/>
    <w:rsid w:val="002B3E5E"/>
    <w:rsid w:val="002B4566"/>
    <w:rsid w:val="002C6EBC"/>
    <w:rsid w:val="002D77FB"/>
    <w:rsid w:val="002D78DE"/>
    <w:rsid w:val="002E2CB8"/>
    <w:rsid w:val="002E6083"/>
    <w:rsid w:val="002F2438"/>
    <w:rsid w:val="003021AC"/>
    <w:rsid w:val="003242EB"/>
    <w:rsid w:val="003336FE"/>
    <w:rsid w:val="003401D6"/>
    <w:rsid w:val="003421D7"/>
    <w:rsid w:val="003600AF"/>
    <w:rsid w:val="0036036D"/>
    <w:rsid w:val="003674B5"/>
    <w:rsid w:val="00373859"/>
    <w:rsid w:val="00380D85"/>
    <w:rsid w:val="00386236"/>
    <w:rsid w:val="00386A4A"/>
    <w:rsid w:val="0039105B"/>
    <w:rsid w:val="0039620C"/>
    <w:rsid w:val="00397AE4"/>
    <w:rsid w:val="003A7D06"/>
    <w:rsid w:val="003C2DC5"/>
    <w:rsid w:val="003D2285"/>
    <w:rsid w:val="003E0DD1"/>
    <w:rsid w:val="003E3041"/>
    <w:rsid w:val="003E7ACF"/>
    <w:rsid w:val="003F433E"/>
    <w:rsid w:val="003F5B01"/>
    <w:rsid w:val="00401356"/>
    <w:rsid w:val="00401ACC"/>
    <w:rsid w:val="004023C3"/>
    <w:rsid w:val="004109ED"/>
    <w:rsid w:val="00412996"/>
    <w:rsid w:val="004201C7"/>
    <w:rsid w:val="00420F80"/>
    <w:rsid w:val="004256FE"/>
    <w:rsid w:val="00433478"/>
    <w:rsid w:val="00434A16"/>
    <w:rsid w:val="00443FFD"/>
    <w:rsid w:val="0044769A"/>
    <w:rsid w:val="00471420"/>
    <w:rsid w:val="004732CF"/>
    <w:rsid w:val="00476BBC"/>
    <w:rsid w:val="0048556B"/>
    <w:rsid w:val="004A3843"/>
    <w:rsid w:val="004A5D61"/>
    <w:rsid w:val="004C0DCA"/>
    <w:rsid w:val="004C419C"/>
    <w:rsid w:val="004C796C"/>
    <w:rsid w:val="004D1744"/>
    <w:rsid w:val="005022DE"/>
    <w:rsid w:val="00515504"/>
    <w:rsid w:val="00530F97"/>
    <w:rsid w:val="00531956"/>
    <w:rsid w:val="00533AA8"/>
    <w:rsid w:val="00534C46"/>
    <w:rsid w:val="00543842"/>
    <w:rsid w:val="00546D22"/>
    <w:rsid w:val="00555ED5"/>
    <w:rsid w:val="00556075"/>
    <w:rsid w:val="0055788A"/>
    <w:rsid w:val="005609CC"/>
    <w:rsid w:val="00565191"/>
    <w:rsid w:val="00572387"/>
    <w:rsid w:val="00580A11"/>
    <w:rsid w:val="0059615F"/>
    <w:rsid w:val="005A729F"/>
    <w:rsid w:val="005B2C35"/>
    <w:rsid w:val="005B4402"/>
    <w:rsid w:val="005B51E8"/>
    <w:rsid w:val="005C5654"/>
    <w:rsid w:val="005D6836"/>
    <w:rsid w:val="005E02B6"/>
    <w:rsid w:val="005E2DCC"/>
    <w:rsid w:val="005E6B80"/>
    <w:rsid w:val="005F1B78"/>
    <w:rsid w:val="00601DC1"/>
    <w:rsid w:val="0060456A"/>
    <w:rsid w:val="00604EE9"/>
    <w:rsid w:val="00605BBB"/>
    <w:rsid w:val="0060721D"/>
    <w:rsid w:val="0060741E"/>
    <w:rsid w:val="00607886"/>
    <w:rsid w:val="00610DD1"/>
    <w:rsid w:val="00612A68"/>
    <w:rsid w:val="006143DA"/>
    <w:rsid w:val="0061779F"/>
    <w:rsid w:val="0062054F"/>
    <w:rsid w:val="00625AD2"/>
    <w:rsid w:val="0063016A"/>
    <w:rsid w:val="00635C1E"/>
    <w:rsid w:val="0064301F"/>
    <w:rsid w:val="00643D56"/>
    <w:rsid w:val="00651333"/>
    <w:rsid w:val="00652A4B"/>
    <w:rsid w:val="00661C24"/>
    <w:rsid w:val="0066236A"/>
    <w:rsid w:val="006668CA"/>
    <w:rsid w:val="00674A51"/>
    <w:rsid w:val="00692B72"/>
    <w:rsid w:val="00695533"/>
    <w:rsid w:val="00696F0C"/>
    <w:rsid w:val="006A2519"/>
    <w:rsid w:val="006A63E4"/>
    <w:rsid w:val="006C2CAC"/>
    <w:rsid w:val="006C38C3"/>
    <w:rsid w:val="006C4C23"/>
    <w:rsid w:val="006C7D67"/>
    <w:rsid w:val="006D1BEC"/>
    <w:rsid w:val="006E5D7B"/>
    <w:rsid w:val="006E62D1"/>
    <w:rsid w:val="006E7D32"/>
    <w:rsid w:val="006F0105"/>
    <w:rsid w:val="006F24D6"/>
    <w:rsid w:val="006F4403"/>
    <w:rsid w:val="00701F98"/>
    <w:rsid w:val="0070635B"/>
    <w:rsid w:val="00717152"/>
    <w:rsid w:val="00720B73"/>
    <w:rsid w:val="0073079A"/>
    <w:rsid w:val="00734D64"/>
    <w:rsid w:val="007478C2"/>
    <w:rsid w:val="007501DD"/>
    <w:rsid w:val="00756433"/>
    <w:rsid w:val="00761749"/>
    <w:rsid w:val="00762FD1"/>
    <w:rsid w:val="00763BBC"/>
    <w:rsid w:val="007654B7"/>
    <w:rsid w:val="00766548"/>
    <w:rsid w:val="00766E33"/>
    <w:rsid w:val="0077350B"/>
    <w:rsid w:val="007736E4"/>
    <w:rsid w:val="007775AC"/>
    <w:rsid w:val="0078470F"/>
    <w:rsid w:val="00785E02"/>
    <w:rsid w:val="007868B9"/>
    <w:rsid w:val="00786BBF"/>
    <w:rsid w:val="00790F61"/>
    <w:rsid w:val="00796F58"/>
    <w:rsid w:val="007A0C0E"/>
    <w:rsid w:val="007A182F"/>
    <w:rsid w:val="007A3BD6"/>
    <w:rsid w:val="007A3E26"/>
    <w:rsid w:val="007A4941"/>
    <w:rsid w:val="007B3E18"/>
    <w:rsid w:val="007B5EE8"/>
    <w:rsid w:val="007C6320"/>
    <w:rsid w:val="007D1BEE"/>
    <w:rsid w:val="007E5184"/>
    <w:rsid w:val="007F189C"/>
    <w:rsid w:val="0081481C"/>
    <w:rsid w:val="00834A40"/>
    <w:rsid w:val="0083674A"/>
    <w:rsid w:val="00843A3F"/>
    <w:rsid w:val="00871EDE"/>
    <w:rsid w:val="00872F5D"/>
    <w:rsid w:val="008755ED"/>
    <w:rsid w:val="0087688F"/>
    <w:rsid w:val="00880319"/>
    <w:rsid w:val="00883E4D"/>
    <w:rsid w:val="00892D82"/>
    <w:rsid w:val="00894C1C"/>
    <w:rsid w:val="008B4E09"/>
    <w:rsid w:val="008B772B"/>
    <w:rsid w:val="008C24D6"/>
    <w:rsid w:val="008C2912"/>
    <w:rsid w:val="008C54F9"/>
    <w:rsid w:val="008D374D"/>
    <w:rsid w:val="008F225C"/>
    <w:rsid w:val="008F2954"/>
    <w:rsid w:val="008F321B"/>
    <w:rsid w:val="008F7614"/>
    <w:rsid w:val="00911475"/>
    <w:rsid w:val="00911D30"/>
    <w:rsid w:val="0091547E"/>
    <w:rsid w:val="00917303"/>
    <w:rsid w:val="00917DCB"/>
    <w:rsid w:val="00922B92"/>
    <w:rsid w:val="00922BC4"/>
    <w:rsid w:val="00925226"/>
    <w:rsid w:val="00927D61"/>
    <w:rsid w:val="00930954"/>
    <w:rsid w:val="00932496"/>
    <w:rsid w:val="009466C4"/>
    <w:rsid w:val="00952374"/>
    <w:rsid w:val="00952767"/>
    <w:rsid w:val="009534F6"/>
    <w:rsid w:val="00954505"/>
    <w:rsid w:val="00971557"/>
    <w:rsid w:val="00972975"/>
    <w:rsid w:val="00973CF3"/>
    <w:rsid w:val="00976468"/>
    <w:rsid w:val="00993CFB"/>
    <w:rsid w:val="00995946"/>
    <w:rsid w:val="009A281B"/>
    <w:rsid w:val="009A4152"/>
    <w:rsid w:val="009A5A3F"/>
    <w:rsid w:val="009B3921"/>
    <w:rsid w:val="009D4C0A"/>
    <w:rsid w:val="009E1CE0"/>
    <w:rsid w:val="009E2C35"/>
    <w:rsid w:val="00A02BD3"/>
    <w:rsid w:val="00A03D04"/>
    <w:rsid w:val="00A076D5"/>
    <w:rsid w:val="00A129C7"/>
    <w:rsid w:val="00A22776"/>
    <w:rsid w:val="00A24503"/>
    <w:rsid w:val="00A35772"/>
    <w:rsid w:val="00A37542"/>
    <w:rsid w:val="00A42D2C"/>
    <w:rsid w:val="00A4597F"/>
    <w:rsid w:val="00A50E63"/>
    <w:rsid w:val="00A541D4"/>
    <w:rsid w:val="00A56AAF"/>
    <w:rsid w:val="00A64223"/>
    <w:rsid w:val="00A72256"/>
    <w:rsid w:val="00A86BD6"/>
    <w:rsid w:val="00A87F37"/>
    <w:rsid w:val="00A9401D"/>
    <w:rsid w:val="00A96C20"/>
    <w:rsid w:val="00AA18C1"/>
    <w:rsid w:val="00AB5895"/>
    <w:rsid w:val="00AB695D"/>
    <w:rsid w:val="00AC5E31"/>
    <w:rsid w:val="00AC76D1"/>
    <w:rsid w:val="00AD0BC3"/>
    <w:rsid w:val="00AD1D41"/>
    <w:rsid w:val="00AD5DFE"/>
    <w:rsid w:val="00AE1B5A"/>
    <w:rsid w:val="00AE45CB"/>
    <w:rsid w:val="00AF4CEB"/>
    <w:rsid w:val="00AF6878"/>
    <w:rsid w:val="00B02879"/>
    <w:rsid w:val="00B03FC4"/>
    <w:rsid w:val="00B12FEE"/>
    <w:rsid w:val="00B156E6"/>
    <w:rsid w:val="00B35CF8"/>
    <w:rsid w:val="00B370B8"/>
    <w:rsid w:val="00B43FA5"/>
    <w:rsid w:val="00B47C9B"/>
    <w:rsid w:val="00B5143F"/>
    <w:rsid w:val="00B5217A"/>
    <w:rsid w:val="00B52F86"/>
    <w:rsid w:val="00B56CB3"/>
    <w:rsid w:val="00B625B6"/>
    <w:rsid w:val="00B6590E"/>
    <w:rsid w:val="00B7496E"/>
    <w:rsid w:val="00B750E3"/>
    <w:rsid w:val="00B754B9"/>
    <w:rsid w:val="00B81BDA"/>
    <w:rsid w:val="00B86E4C"/>
    <w:rsid w:val="00B95572"/>
    <w:rsid w:val="00B960E7"/>
    <w:rsid w:val="00BB018F"/>
    <w:rsid w:val="00BB6D4E"/>
    <w:rsid w:val="00BD42A5"/>
    <w:rsid w:val="00BE0F24"/>
    <w:rsid w:val="00BE2219"/>
    <w:rsid w:val="00BE65D9"/>
    <w:rsid w:val="00C0705C"/>
    <w:rsid w:val="00C10612"/>
    <w:rsid w:val="00C150F9"/>
    <w:rsid w:val="00C159DF"/>
    <w:rsid w:val="00C15C06"/>
    <w:rsid w:val="00C174B4"/>
    <w:rsid w:val="00C23BCD"/>
    <w:rsid w:val="00C43212"/>
    <w:rsid w:val="00C446A8"/>
    <w:rsid w:val="00C454B4"/>
    <w:rsid w:val="00C47435"/>
    <w:rsid w:val="00C54AA2"/>
    <w:rsid w:val="00C65CEA"/>
    <w:rsid w:val="00C71103"/>
    <w:rsid w:val="00C84B19"/>
    <w:rsid w:val="00C85B49"/>
    <w:rsid w:val="00C906D2"/>
    <w:rsid w:val="00C93573"/>
    <w:rsid w:val="00C95CD2"/>
    <w:rsid w:val="00C97857"/>
    <w:rsid w:val="00CA1AC3"/>
    <w:rsid w:val="00CA321C"/>
    <w:rsid w:val="00CB2BF9"/>
    <w:rsid w:val="00CB408B"/>
    <w:rsid w:val="00CC1721"/>
    <w:rsid w:val="00CD00D8"/>
    <w:rsid w:val="00CE2CFF"/>
    <w:rsid w:val="00CE6342"/>
    <w:rsid w:val="00CE640C"/>
    <w:rsid w:val="00CE72FA"/>
    <w:rsid w:val="00CF0ADF"/>
    <w:rsid w:val="00CF2345"/>
    <w:rsid w:val="00CF3CCC"/>
    <w:rsid w:val="00CF4857"/>
    <w:rsid w:val="00CF5851"/>
    <w:rsid w:val="00CF58B1"/>
    <w:rsid w:val="00D03CB9"/>
    <w:rsid w:val="00D32210"/>
    <w:rsid w:val="00D44344"/>
    <w:rsid w:val="00D471B6"/>
    <w:rsid w:val="00D560D7"/>
    <w:rsid w:val="00D56AC5"/>
    <w:rsid w:val="00D60E27"/>
    <w:rsid w:val="00D648FB"/>
    <w:rsid w:val="00D66758"/>
    <w:rsid w:val="00D72BB6"/>
    <w:rsid w:val="00D7332B"/>
    <w:rsid w:val="00D74F8E"/>
    <w:rsid w:val="00D85503"/>
    <w:rsid w:val="00D8679E"/>
    <w:rsid w:val="00D86C77"/>
    <w:rsid w:val="00DA34CE"/>
    <w:rsid w:val="00DA6DC8"/>
    <w:rsid w:val="00DB47F1"/>
    <w:rsid w:val="00DB5AC1"/>
    <w:rsid w:val="00DB710D"/>
    <w:rsid w:val="00DC1582"/>
    <w:rsid w:val="00DD4F38"/>
    <w:rsid w:val="00DE1C0A"/>
    <w:rsid w:val="00DE7178"/>
    <w:rsid w:val="00DF4586"/>
    <w:rsid w:val="00E02C80"/>
    <w:rsid w:val="00E07B23"/>
    <w:rsid w:val="00E07B46"/>
    <w:rsid w:val="00E22122"/>
    <w:rsid w:val="00E2497F"/>
    <w:rsid w:val="00E268F9"/>
    <w:rsid w:val="00E36134"/>
    <w:rsid w:val="00E40FAB"/>
    <w:rsid w:val="00E534A3"/>
    <w:rsid w:val="00E70462"/>
    <w:rsid w:val="00E76F40"/>
    <w:rsid w:val="00E814BE"/>
    <w:rsid w:val="00E93621"/>
    <w:rsid w:val="00E960EB"/>
    <w:rsid w:val="00EA6F6E"/>
    <w:rsid w:val="00EC3A0F"/>
    <w:rsid w:val="00ED3523"/>
    <w:rsid w:val="00ED378B"/>
    <w:rsid w:val="00ED4F0A"/>
    <w:rsid w:val="00EE4EF9"/>
    <w:rsid w:val="00EE53BC"/>
    <w:rsid w:val="00EE5931"/>
    <w:rsid w:val="00EE7AD2"/>
    <w:rsid w:val="00EF7D89"/>
    <w:rsid w:val="00F01573"/>
    <w:rsid w:val="00F02A45"/>
    <w:rsid w:val="00F30814"/>
    <w:rsid w:val="00F3562E"/>
    <w:rsid w:val="00F3635C"/>
    <w:rsid w:val="00F452FA"/>
    <w:rsid w:val="00F52095"/>
    <w:rsid w:val="00F54669"/>
    <w:rsid w:val="00F550FF"/>
    <w:rsid w:val="00F60074"/>
    <w:rsid w:val="00F74AFE"/>
    <w:rsid w:val="00F804A8"/>
    <w:rsid w:val="00FB1195"/>
    <w:rsid w:val="00FC027D"/>
    <w:rsid w:val="00FC069D"/>
    <w:rsid w:val="00FC62F3"/>
    <w:rsid w:val="00FD26B8"/>
    <w:rsid w:val="00FE1B2A"/>
    <w:rsid w:val="00FE2ABA"/>
    <w:rsid w:val="00FE7DD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fc,#3cc,#6fc,#06f,#69f,#c9f,#cff,#0f9"/>
      <o:colormenu v:ext="edit" fillcolor="none [2732]" strokecolor="red" shadowcolor="none"/>
    </o:shapedefaults>
    <o:shapelayout v:ext="edit">
      <o:idmap v:ext="edit" data="1"/>
      <o:rules v:ext="edit">
        <o:r id="V:Rule29" type="connector" idref="#_x0000_s1258"/>
        <o:r id="V:Rule30" type="connector" idref="#_x0000_s1253"/>
        <o:r id="V:Rule31" type="connector" idref="#_x0000_s1263"/>
        <o:r id="V:Rule32" type="connector" idref="#_x0000_s1261"/>
        <o:r id="V:Rule33" type="connector" idref="#_x0000_s1252"/>
        <o:r id="V:Rule34" type="connector" idref="#_x0000_s1287"/>
        <o:r id="V:Rule35" type="connector" idref="#_x0000_s1254"/>
        <o:r id="V:Rule36" type="connector" idref="#_x0000_s1298"/>
        <o:r id="V:Rule37" type="connector" idref="#_x0000_s1285"/>
        <o:r id="V:Rule38" type="connector" idref="#_x0000_s1259"/>
        <o:r id="V:Rule39" type="connector" idref="#_x0000_s1265"/>
        <o:r id="V:Rule40" type="connector" idref="#_x0000_s1255"/>
        <o:r id="V:Rule41" type="connector" idref="#_x0000_s1290"/>
        <o:r id="V:Rule42" type="connector" idref="#_x0000_s1294"/>
        <o:r id="V:Rule43" type="connector" idref="#_x0000_s1264"/>
        <o:r id="V:Rule44" type="connector" idref="#_x0000_s1292"/>
        <o:r id="V:Rule45" type="connector" idref="#_x0000_s1260"/>
        <o:r id="V:Rule46" type="connector" idref="#_x0000_s1289"/>
        <o:r id="V:Rule47" type="connector" idref="#_x0000_s1295"/>
        <o:r id="V:Rule48" type="connector" idref="#_x0000_s1296"/>
        <o:r id="V:Rule49" type="connector" idref="#_x0000_s1293"/>
        <o:r id="V:Rule50" type="connector" idref="#_x0000_s1300"/>
        <o:r id="V:Rule51" type="connector" idref="#_x0000_s1299"/>
        <o:r id="V:Rule52" type="connector" idref="#_x0000_s1288"/>
        <o:r id="V:Rule53" type="connector" idref="#_x0000_s1262"/>
        <o:r id="V:Rule54" type="connector" idref="#_x0000_s1257"/>
        <o:r id="V:Rule55" type="connector" idref="#_x0000_s1286"/>
        <o:r id="V:Rule56" type="connector" idref="#_x0000_s12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endnote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5CD2"/>
    <w:rPr>
      <w:sz w:val="24"/>
      <w:szCs w:val="24"/>
    </w:rPr>
  </w:style>
  <w:style w:type="paragraph" w:styleId="Heading1">
    <w:name w:val="heading 1"/>
    <w:basedOn w:val="Normal"/>
    <w:next w:val="Normal"/>
    <w:link w:val="Heading1Char"/>
    <w:qFormat/>
    <w:rsid w:val="001F295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C95CD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B56CB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635C1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785E0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6C2CAC"/>
    <w:rPr>
      <w:rFonts w:ascii="Tahoma" w:hAnsi="Tahoma" w:cs="Tahoma"/>
      <w:sz w:val="16"/>
      <w:szCs w:val="16"/>
    </w:rPr>
  </w:style>
  <w:style w:type="character" w:customStyle="1" w:styleId="BalloonTextChar">
    <w:name w:val="Balloon Text Char"/>
    <w:basedOn w:val="DefaultParagraphFont"/>
    <w:link w:val="BalloonText"/>
    <w:rsid w:val="006C2CAC"/>
    <w:rPr>
      <w:rFonts w:ascii="Tahoma" w:hAnsi="Tahoma" w:cs="Tahoma"/>
      <w:sz w:val="16"/>
      <w:szCs w:val="16"/>
    </w:rPr>
  </w:style>
  <w:style w:type="character" w:customStyle="1" w:styleId="Heading2Char">
    <w:name w:val="Heading 2 Char"/>
    <w:basedOn w:val="DefaultParagraphFont"/>
    <w:link w:val="Heading2"/>
    <w:rsid w:val="00C95CD2"/>
    <w:rPr>
      <w:rFonts w:asciiTheme="majorHAnsi" w:eastAsiaTheme="majorEastAsia" w:hAnsiTheme="majorHAnsi" w:cstheme="majorBidi"/>
      <w:b/>
      <w:bCs/>
      <w:color w:val="4F81BD" w:themeColor="accent1"/>
      <w:sz w:val="26"/>
      <w:szCs w:val="26"/>
    </w:rPr>
  </w:style>
  <w:style w:type="paragraph" w:styleId="EndnoteText">
    <w:name w:val="endnote text"/>
    <w:basedOn w:val="Normal"/>
    <w:link w:val="EndnoteTextChar"/>
    <w:rsid w:val="007B3E18"/>
    <w:pPr>
      <w:spacing w:after="200"/>
    </w:pPr>
    <w:rPr>
      <w:rFonts w:ascii="Cambria" w:eastAsia="Cambria" w:hAnsi="Cambria"/>
      <w:sz w:val="20"/>
      <w:szCs w:val="20"/>
      <w:lang w:eastAsia="en-US"/>
    </w:rPr>
  </w:style>
  <w:style w:type="character" w:customStyle="1" w:styleId="EndnoteTextChar">
    <w:name w:val="Endnote Text Char"/>
    <w:basedOn w:val="DefaultParagraphFont"/>
    <w:link w:val="EndnoteText"/>
    <w:rsid w:val="007B3E18"/>
    <w:rPr>
      <w:rFonts w:ascii="Cambria" w:eastAsia="Cambria" w:hAnsi="Cambria"/>
      <w:lang w:eastAsia="en-US"/>
    </w:rPr>
  </w:style>
  <w:style w:type="character" w:styleId="EndnoteReference">
    <w:name w:val="endnote reference"/>
    <w:basedOn w:val="DefaultParagraphFont"/>
    <w:uiPriority w:val="99"/>
    <w:rsid w:val="007B3E18"/>
    <w:rPr>
      <w:vertAlign w:val="superscript"/>
    </w:rPr>
  </w:style>
  <w:style w:type="character" w:styleId="Hyperlink">
    <w:name w:val="Hyperlink"/>
    <w:basedOn w:val="DefaultParagraphFont"/>
    <w:uiPriority w:val="99"/>
    <w:rsid w:val="007B3E18"/>
    <w:rPr>
      <w:rFonts w:cs="Times New Roman"/>
      <w:color w:val="0000FF"/>
      <w:u w:val="single"/>
    </w:rPr>
  </w:style>
  <w:style w:type="paragraph" w:customStyle="1" w:styleId="Default">
    <w:name w:val="Default"/>
    <w:rsid w:val="00FE2ABA"/>
    <w:pPr>
      <w:autoSpaceDE w:val="0"/>
      <w:autoSpaceDN w:val="0"/>
      <w:adjustRightInd w:val="0"/>
    </w:pPr>
    <w:rPr>
      <w:rFonts w:ascii="Arial" w:hAnsi="Arial" w:cs="Arial"/>
      <w:color w:val="000000"/>
      <w:sz w:val="24"/>
      <w:szCs w:val="24"/>
    </w:rPr>
  </w:style>
  <w:style w:type="table" w:styleId="TableGrid">
    <w:name w:val="Table Grid"/>
    <w:basedOn w:val="TableNormal"/>
    <w:rsid w:val="00FE2A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34A16"/>
    <w:pPr>
      <w:ind w:left="720"/>
      <w:contextualSpacing/>
    </w:pPr>
  </w:style>
  <w:style w:type="paragraph" w:styleId="Header">
    <w:name w:val="header"/>
    <w:basedOn w:val="Normal"/>
    <w:link w:val="HeaderChar"/>
    <w:uiPriority w:val="99"/>
    <w:rsid w:val="00434A16"/>
    <w:pPr>
      <w:tabs>
        <w:tab w:val="center" w:pos="4513"/>
        <w:tab w:val="right" w:pos="9026"/>
      </w:tabs>
    </w:pPr>
  </w:style>
  <w:style w:type="character" w:customStyle="1" w:styleId="HeaderChar">
    <w:name w:val="Header Char"/>
    <w:basedOn w:val="DefaultParagraphFont"/>
    <w:link w:val="Header"/>
    <w:uiPriority w:val="99"/>
    <w:rsid w:val="00434A16"/>
    <w:rPr>
      <w:sz w:val="24"/>
      <w:szCs w:val="24"/>
    </w:rPr>
  </w:style>
  <w:style w:type="paragraph" w:styleId="Footer">
    <w:name w:val="footer"/>
    <w:basedOn w:val="Normal"/>
    <w:link w:val="FooterChar"/>
    <w:uiPriority w:val="99"/>
    <w:rsid w:val="00434A16"/>
    <w:pPr>
      <w:tabs>
        <w:tab w:val="center" w:pos="4513"/>
        <w:tab w:val="right" w:pos="9026"/>
      </w:tabs>
    </w:pPr>
  </w:style>
  <w:style w:type="character" w:customStyle="1" w:styleId="FooterChar">
    <w:name w:val="Footer Char"/>
    <w:basedOn w:val="DefaultParagraphFont"/>
    <w:link w:val="Footer"/>
    <w:uiPriority w:val="99"/>
    <w:rsid w:val="00434A16"/>
    <w:rPr>
      <w:sz w:val="24"/>
      <w:szCs w:val="24"/>
    </w:rPr>
  </w:style>
  <w:style w:type="character" w:customStyle="1" w:styleId="Heading1Char">
    <w:name w:val="Heading 1 Char"/>
    <w:basedOn w:val="DefaultParagraphFont"/>
    <w:link w:val="Heading1"/>
    <w:rsid w:val="001F2953"/>
    <w:rPr>
      <w:rFonts w:asciiTheme="majorHAnsi" w:eastAsiaTheme="majorEastAsia" w:hAnsiTheme="majorHAnsi" w:cstheme="majorBidi"/>
      <w:b/>
      <w:bCs/>
      <w:color w:val="365F91" w:themeColor="accent1" w:themeShade="BF"/>
      <w:sz w:val="28"/>
      <w:szCs w:val="28"/>
    </w:rPr>
  </w:style>
  <w:style w:type="paragraph" w:styleId="TOC2">
    <w:name w:val="toc 2"/>
    <w:basedOn w:val="Normal"/>
    <w:next w:val="Normal"/>
    <w:autoRedefine/>
    <w:uiPriority w:val="39"/>
    <w:rsid w:val="001F2953"/>
    <w:pPr>
      <w:spacing w:after="100"/>
      <w:ind w:left="240"/>
    </w:pPr>
  </w:style>
  <w:style w:type="paragraph" w:styleId="TOC1">
    <w:name w:val="toc 1"/>
    <w:basedOn w:val="Normal"/>
    <w:next w:val="Normal"/>
    <w:autoRedefine/>
    <w:uiPriority w:val="39"/>
    <w:rsid w:val="001F2953"/>
    <w:pPr>
      <w:spacing w:after="100"/>
    </w:pPr>
  </w:style>
  <w:style w:type="character" w:customStyle="1" w:styleId="Heading3Char">
    <w:name w:val="Heading 3 Char"/>
    <w:basedOn w:val="DefaultParagraphFont"/>
    <w:link w:val="Heading3"/>
    <w:rsid w:val="00B56CB3"/>
    <w:rPr>
      <w:rFonts w:asciiTheme="majorHAnsi" w:eastAsiaTheme="majorEastAsia" w:hAnsiTheme="majorHAnsi" w:cstheme="majorBidi"/>
      <w:b/>
      <w:bCs/>
      <w:color w:val="4F81BD" w:themeColor="accent1"/>
      <w:sz w:val="24"/>
      <w:szCs w:val="24"/>
    </w:rPr>
  </w:style>
  <w:style w:type="paragraph" w:styleId="CommentText">
    <w:name w:val="annotation text"/>
    <w:basedOn w:val="Normal"/>
    <w:link w:val="CommentTextChar"/>
    <w:rsid w:val="00B56CB3"/>
    <w:rPr>
      <w:sz w:val="20"/>
      <w:szCs w:val="20"/>
    </w:rPr>
  </w:style>
  <w:style w:type="character" w:customStyle="1" w:styleId="CommentTextChar">
    <w:name w:val="Comment Text Char"/>
    <w:basedOn w:val="DefaultParagraphFont"/>
    <w:link w:val="CommentText"/>
    <w:rsid w:val="00B56CB3"/>
  </w:style>
  <w:style w:type="paragraph" w:styleId="BodyText3">
    <w:name w:val="Body Text 3"/>
    <w:basedOn w:val="Normal"/>
    <w:link w:val="BodyText3Char"/>
    <w:rsid w:val="00AD1D41"/>
    <w:pPr>
      <w:jc w:val="center"/>
    </w:pPr>
    <w:rPr>
      <w:rFonts w:ascii="Arial" w:eastAsia="Times" w:hAnsi="Arial"/>
      <w:b/>
      <w:color w:val="008080"/>
      <w:sz w:val="22"/>
      <w:szCs w:val="20"/>
    </w:rPr>
  </w:style>
  <w:style w:type="character" w:customStyle="1" w:styleId="BodyText3Char">
    <w:name w:val="Body Text 3 Char"/>
    <w:basedOn w:val="DefaultParagraphFont"/>
    <w:link w:val="BodyText3"/>
    <w:rsid w:val="00AD1D41"/>
    <w:rPr>
      <w:rFonts w:ascii="Arial" w:eastAsia="Times" w:hAnsi="Arial"/>
      <w:b/>
      <w:color w:val="008080"/>
      <w:sz w:val="22"/>
    </w:rPr>
  </w:style>
  <w:style w:type="character" w:styleId="PageNumber">
    <w:name w:val="page number"/>
    <w:basedOn w:val="DefaultParagraphFont"/>
    <w:rsid w:val="00AD1D41"/>
  </w:style>
  <w:style w:type="character" w:customStyle="1" w:styleId="Heading4Char">
    <w:name w:val="Heading 4 Char"/>
    <w:basedOn w:val="DefaultParagraphFont"/>
    <w:link w:val="Heading4"/>
    <w:rsid w:val="00635C1E"/>
    <w:rPr>
      <w:rFonts w:asciiTheme="majorHAnsi" w:eastAsiaTheme="majorEastAsia" w:hAnsiTheme="majorHAnsi" w:cstheme="majorBidi"/>
      <w:b/>
      <w:bCs/>
      <w:i/>
      <w:iCs/>
      <w:color w:val="4F81BD" w:themeColor="accent1"/>
      <w:sz w:val="24"/>
      <w:szCs w:val="24"/>
    </w:rPr>
  </w:style>
  <w:style w:type="paragraph" w:styleId="TOC3">
    <w:name w:val="toc 3"/>
    <w:basedOn w:val="Normal"/>
    <w:next w:val="Normal"/>
    <w:autoRedefine/>
    <w:uiPriority w:val="39"/>
    <w:rsid w:val="00A42D2C"/>
    <w:pPr>
      <w:tabs>
        <w:tab w:val="right" w:leader="dot" w:pos="8296"/>
      </w:tabs>
      <w:spacing w:after="100"/>
      <w:ind w:left="480"/>
    </w:pPr>
    <w:rPr>
      <w:noProof/>
    </w:rPr>
  </w:style>
  <w:style w:type="paragraph" w:styleId="PlainText">
    <w:name w:val="Plain Text"/>
    <w:basedOn w:val="Normal"/>
    <w:link w:val="PlainTextChar"/>
    <w:uiPriority w:val="99"/>
    <w:unhideWhenUsed/>
    <w:rsid w:val="00B960E7"/>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rsid w:val="00B960E7"/>
    <w:rPr>
      <w:rFonts w:ascii="Consolas" w:eastAsiaTheme="minorHAnsi" w:hAnsi="Consolas" w:cstheme="minorBidi"/>
      <w:sz w:val="21"/>
      <w:szCs w:val="21"/>
      <w:lang w:eastAsia="en-US"/>
    </w:rPr>
  </w:style>
  <w:style w:type="character" w:customStyle="1" w:styleId="medium-normal1">
    <w:name w:val="medium-normal1"/>
    <w:basedOn w:val="DefaultParagraphFont"/>
    <w:rsid w:val="00E36134"/>
    <w:rPr>
      <w:rFonts w:ascii="Arial" w:hAnsi="Arial" w:cs="Arial" w:hint="default"/>
      <w:b w:val="0"/>
      <w:bCs w:val="0"/>
      <w:i w:val="0"/>
      <w:iCs w:val="0"/>
      <w:sz w:val="20"/>
      <w:szCs w:val="20"/>
    </w:rPr>
  </w:style>
  <w:style w:type="paragraph" w:styleId="NormalWeb">
    <w:name w:val="Normal (Web)"/>
    <w:basedOn w:val="Normal"/>
    <w:uiPriority w:val="99"/>
    <w:unhideWhenUsed/>
    <w:rsid w:val="00E36134"/>
    <w:pPr>
      <w:spacing w:before="100" w:beforeAutospacing="1" w:after="100" w:afterAutospacing="1"/>
    </w:pPr>
  </w:style>
  <w:style w:type="paragraph" w:styleId="FootnoteText">
    <w:name w:val="footnote text"/>
    <w:basedOn w:val="Normal"/>
    <w:link w:val="FootnoteTextChar"/>
    <w:rsid w:val="00D66758"/>
    <w:rPr>
      <w:sz w:val="20"/>
      <w:szCs w:val="20"/>
    </w:rPr>
  </w:style>
  <w:style w:type="character" w:customStyle="1" w:styleId="FootnoteTextChar">
    <w:name w:val="Footnote Text Char"/>
    <w:basedOn w:val="DefaultParagraphFont"/>
    <w:link w:val="FootnoteText"/>
    <w:rsid w:val="00D66758"/>
  </w:style>
  <w:style w:type="character" w:styleId="FootnoteReference">
    <w:name w:val="footnote reference"/>
    <w:basedOn w:val="DefaultParagraphFont"/>
    <w:rsid w:val="00D66758"/>
    <w:rPr>
      <w:vertAlign w:val="superscript"/>
    </w:rPr>
  </w:style>
  <w:style w:type="paragraph" w:customStyle="1" w:styleId="Reference">
    <w:name w:val="Reference"/>
    <w:basedOn w:val="Normal"/>
    <w:autoRedefine/>
    <w:rsid w:val="00922BC4"/>
    <w:pPr>
      <w:tabs>
        <w:tab w:val="left" w:pos="284"/>
      </w:tabs>
      <w:autoSpaceDE w:val="0"/>
      <w:autoSpaceDN w:val="0"/>
      <w:adjustRightInd w:val="0"/>
      <w:spacing w:after="60"/>
      <w:ind w:left="284" w:right="-341" w:hanging="284"/>
    </w:pPr>
    <w:rPr>
      <w:sz w:val="20"/>
      <w:szCs w:val="20"/>
    </w:rPr>
  </w:style>
  <w:style w:type="paragraph" w:styleId="Caption">
    <w:name w:val="caption"/>
    <w:basedOn w:val="Normal"/>
    <w:next w:val="Normal"/>
    <w:unhideWhenUsed/>
    <w:qFormat/>
    <w:rsid w:val="005E2DCC"/>
    <w:pPr>
      <w:spacing w:after="200"/>
    </w:pPr>
    <w:rPr>
      <w:b/>
      <w:bCs/>
      <w:color w:val="4F81BD" w:themeColor="accent1"/>
      <w:sz w:val="18"/>
      <w:szCs w:val="18"/>
    </w:rPr>
  </w:style>
  <w:style w:type="character" w:customStyle="1" w:styleId="Heading5Char">
    <w:name w:val="Heading 5 Char"/>
    <w:basedOn w:val="DefaultParagraphFont"/>
    <w:link w:val="Heading5"/>
    <w:rsid w:val="00785E02"/>
    <w:rPr>
      <w:rFonts w:asciiTheme="majorHAnsi" w:eastAsiaTheme="majorEastAsia" w:hAnsiTheme="majorHAnsi" w:cstheme="majorBidi"/>
      <w:color w:val="243F60" w:themeColor="accent1" w:themeShade="7F"/>
      <w:sz w:val="24"/>
      <w:szCs w:val="24"/>
    </w:rPr>
  </w:style>
  <w:style w:type="paragraph" w:styleId="NoSpacing">
    <w:name w:val="No Spacing"/>
    <w:uiPriority w:val="1"/>
    <w:qFormat/>
    <w:rsid w:val="003E3041"/>
    <w:rPr>
      <w:sz w:val="24"/>
      <w:szCs w:val="24"/>
    </w:rPr>
  </w:style>
  <w:style w:type="character" w:styleId="CommentReference">
    <w:name w:val="annotation reference"/>
    <w:basedOn w:val="DefaultParagraphFont"/>
    <w:rsid w:val="00094C48"/>
    <w:rPr>
      <w:sz w:val="16"/>
      <w:szCs w:val="16"/>
    </w:rPr>
  </w:style>
  <w:style w:type="paragraph" w:styleId="CommentSubject">
    <w:name w:val="annotation subject"/>
    <w:basedOn w:val="CommentText"/>
    <w:next w:val="CommentText"/>
    <w:link w:val="CommentSubjectChar"/>
    <w:rsid w:val="00094C48"/>
    <w:rPr>
      <w:b/>
      <w:bCs/>
    </w:rPr>
  </w:style>
  <w:style w:type="character" w:customStyle="1" w:styleId="CommentSubjectChar">
    <w:name w:val="Comment Subject Char"/>
    <w:basedOn w:val="CommentTextChar"/>
    <w:link w:val="CommentSubject"/>
    <w:rsid w:val="00094C48"/>
    <w:rPr>
      <w:b/>
      <w:bCs/>
    </w:rPr>
  </w:style>
  <w:style w:type="character" w:styleId="Strong">
    <w:name w:val="Strong"/>
    <w:basedOn w:val="DefaultParagraphFont"/>
    <w:uiPriority w:val="22"/>
    <w:qFormat/>
    <w:rsid w:val="00A24503"/>
    <w:rPr>
      <w:b/>
      <w:bCs/>
    </w:rPr>
  </w:style>
  <w:style w:type="paragraph" w:customStyle="1" w:styleId="xmsonormal">
    <w:name w:val="x_msonormal"/>
    <w:basedOn w:val="Normal"/>
    <w:rsid w:val="00F804A8"/>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021878">
      <w:bodyDiv w:val="1"/>
      <w:marLeft w:val="0"/>
      <w:marRight w:val="0"/>
      <w:marTop w:val="0"/>
      <w:marBottom w:val="0"/>
      <w:divBdr>
        <w:top w:val="none" w:sz="0" w:space="0" w:color="auto"/>
        <w:left w:val="none" w:sz="0" w:space="0" w:color="auto"/>
        <w:bottom w:val="none" w:sz="0" w:space="0" w:color="auto"/>
        <w:right w:val="none" w:sz="0" w:space="0" w:color="auto"/>
      </w:divBdr>
      <w:divsChild>
        <w:div w:id="1239824301">
          <w:marLeft w:val="0"/>
          <w:marRight w:val="0"/>
          <w:marTop w:val="0"/>
          <w:marBottom w:val="0"/>
          <w:divBdr>
            <w:top w:val="none" w:sz="0" w:space="0" w:color="auto"/>
            <w:left w:val="none" w:sz="0" w:space="0" w:color="auto"/>
            <w:bottom w:val="none" w:sz="0" w:space="0" w:color="auto"/>
            <w:right w:val="none" w:sz="0" w:space="0" w:color="auto"/>
          </w:divBdr>
          <w:divsChild>
            <w:div w:id="197421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498745">
      <w:bodyDiv w:val="1"/>
      <w:marLeft w:val="0"/>
      <w:marRight w:val="0"/>
      <w:marTop w:val="0"/>
      <w:marBottom w:val="0"/>
      <w:divBdr>
        <w:top w:val="none" w:sz="0" w:space="0" w:color="auto"/>
        <w:left w:val="none" w:sz="0" w:space="0" w:color="auto"/>
        <w:bottom w:val="none" w:sz="0" w:space="0" w:color="auto"/>
        <w:right w:val="none" w:sz="0" w:space="0" w:color="auto"/>
      </w:divBdr>
    </w:div>
    <w:div w:id="366488582">
      <w:bodyDiv w:val="1"/>
      <w:marLeft w:val="0"/>
      <w:marRight w:val="0"/>
      <w:marTop w:val="0"/>
      <w:marBottom w:val="0"/>
      <w:divBdr>
        <w:top w:val="none" w:sz="0" w:space="0" w:color="auto"/>
        <w:left w:val="none" w:sz="0" w:space="0" w:color="auto"/>
        <w:bottom w:val="none" w:sz="0" w:space="0" w:color="auto"/>
        <w:right w:val="none" w:sz="0" w:space="0" w:color="auto"/>
      </w:divBdr>
      <w:divsChild>
        <w:div w:id="805314679">
          <w:marLeft w:val="0"/>
          <w:marRight w:val="0"/>
          <w:marTop w:val="0"/>
          <w:marBottom w:val="0"/>
          <w:divBdr>
            <w:top w:val="none" w:sz="0" w:space="0" w:color="auto"/>
            <w:left w:val="none" w:sz="0" w:space="0" w:color="auto"/>
            <w:bottom w:val="none" w:sz="0" w:space="0" w:color="auto"/>
            <w:right w:val="none" w:sz="0" w:space="0" w:color="auto"/>
          </w:divBdr>
          <w:divsChild>
            <w:div w:id="196742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37934">
      <w:bodyDiv w:val="1"/>
      <w:marLeft w:val="0"/>
      <w:marRight w:val="0"/>
      <w:marTop w:val="0"/>
      <w:marBottom w:val="0"/>
      <w:divBdr>
        <w:top w:val="none" w:sz="0" w:space="0" w:color="auto"/>
        <w:left w:val="none" w:sz="0" w:space="0" w:color="auto"/>
        <w:bottom w:val="none" w:sz="0" w:space="0" w:color="auto"/>
        <w:right w:val="none" w:sz="0" w:space="0" w:color="auto"/>
      </w:divBdr>
    </w:div>
    <w:div w:id="532112621">
      <w:bodyDiv w:val="1"/>
      <w:marLeft w:val="60"/>
      <w:marRight w:val="60"/>
      <w:marTop w:val="60"/>
      <w:marBottom w:val="15"/>
      <w:divBdr>
        <w:top w:val="none" w:sz="0" w:space="0" w:color="auto"/>
        <w:left w:val="none" w:sz="0" w:space="0" w:color="auto"/>
        <w:bottom w:val="none" w:sz="0" w:space="0" w:color="auto"/>
        <w:right w:val="none" w:sz="0" w:space="0" w:color="auto"/>
      </w:divBdr>
      <w:divsChild>
        <w:div w:id="1071660664">
          <w:marLeft w:val="0"/>
          <w:marRight w:val="0"/>
          <w:marTop w:val="0"/>
          <w:marBottom w:val="0"/>
          <w:divBdr>
            <w:top w:val="none" w:sz="0" w:space="0" w:color="auto"/>
            <w:left w:val="none" w:sz="0" w:space="0" w:color="auto"/>
            <w:bottom w:val="none" w:sz="0" w:space="0" w:color="auto"/>
            <w:right w:val="none" w:sz="0" w:space="0" w:color="auto"/>
          </w:divBdr>
        </w:div>
      </w:divsChild>
    </w:div>
    <w:div w:id="587734322">
      <w:bodyDiv w:val="1"/>
      <w:marLeft w:val="0"/>
      <w:marRight w:val="0"/>
      <w:marTop w:val="0"/>
      <w:marBottom w:val="0"/>
      <w:divBdr>
        <w:top w:val="none" w:sz="0" w:space="0" w:color="auto"/>
        <w:left w:val="none" w:sz="0" w:space="0" w:color="auto"/>
        <w:bottom w:val="none" w:sz="0" w:space="0" w:color="auto"/>
        <w:right w:val="none" w:sz="0" w:space="0" w:color="auto"/>
      </w:divBdr>
    </w:div>
    <w:div w:id="808669787">
      <w:bodyDiv w:val="1"/>
      <w:marLeft w:val="0"/>
      <w:marRight w:val="0"/>
      <w:marTop w:val="0"/>
      <w:marBottom w:val="0"/>
      <w:divBdr>
        <w:top w:val="none" w:sz="0" w:space="0" w:color="auto"/>
        <w:left w:val="none" w:sz="0" w:space="0" w:color="auto"/>
        <w:bottom w:val="none" w:sz="0" w:space="0" w:color="auto"/>
        <w:right w:val="none" w:sz="0" w:space="0" w:color="auto"/>
      </w:divBdr>
    </w:div>
    <w:div w:id="883374997">
      <w:bodyDiv w:val="1"/>
      <w:marLeft w:val="0"/>
      <w:marRight w:val="0"/>
      <w:marTop w:val="0"/>
      <w:marBottom w:val="0"/>
      <w:divBdr>
        <w:top w:val="none" w:sz="0" w:space="0" w:color="auto"/>
        <w:left w:val="none" w:sz="0" w:space="0" w:color="auto"/>
        <w:bottom w:val="none" w:sz="0" w:space="0" w:color="auto"/>
        <w:right w:val="none" w:sz="0" w:space="0" w:color="auto"/>
      </w:divBdr>
    </w:div>
    <w:div w:id="902444908">
      <w:bodyDiv w:val="1"/>
      <w:marLeft w:val="0"/>
      <w:marRight w:val="0"/>
      <w:marTop w:val="0"/>
      <w:marBottom w:val="0"/>
      <w:divBdr>
        <w:top w:val="none" w:sz="0" w:space="0" w:color="auto"/>
        <w:left w:val="none" w:sz="0" w:space="0" w:color="auto"/>
        <w:bottom w:val="none" w:sz="0" w:space="0" w:color="auto"/>
        <w:right w:val="none" w:sz="0" w:space="0" w:color="auto"/>
      </w:divBdr>
    </w:div>
    <w:div w:id="916017074">
      <w:bodyDiv w:val="1"/>
      <w:marLeft w:val="0"/>
      <w:marRight w:val="0"/>
      <w:marTop w:val="0"/>
      <w:marBottom w:val="0"/>
      <w:divBdr>
        <w:top w:val="none" w:sz="0" w:space="0" w:color="auto"/>
        <w:left w:val="none" w:sz="0" w:space="0" w:color="auto"/>
        <w:bottom w:val="none" w:sz="0" w:space="0" w:color="auto"/>
        <w:right w:val="none" w:sz="0" w:space="0" w:color="auto"/>
      </w:divBdr>
    </w:div>
    <w:div w:id="1084760595">
      <w:bodyDiv w:val="1"/>
      <w:marLeft w:val="0"/>
      <w:marRight w:val="0"/>
      <w:marTop w:val="0"/>
      <w:marBottom w:val="0"/>
      <w:divBdr>
        <w:top w:val="none" w:sz="0" w:space="0" w:color="auto"/>
        <w:left w:val="none" w:sz="0" w:space="0" w:color="auto"/>
        <w:bottom w:val="none" w:sz="0" w:space="0" w:color="auto"/>
        <w:right w:val="none" w:sz="0" w:space="0" w:color="auto"/>
      </w:divBdr>
      <w:divsChild>
        <w:div w:id="1360622291">
          <w:marLeft w:val="0"/>
          <w:marRight w:val="0"/>
          <w:marTop w:val="0"/>
          <w:marBottom w:val="0"/>
          <w:divBdr>
            <w:top w:val="none" w:sz="0" w:space="0" w:color="auto"/>
            <w:left w:val="none" w:sz="0" w:space="0" w:color="auto"/>
            <w:bottom w:val="none" w:sz="0" w:space="0" w:color="auto"/>
            <w:right w:val="none" w:sz="0" w:space="0" w:color="auto"/>
          </w:divBdr>
        </w:div>
      </w:divsChild>
    </w:div>
    <w:div w:id="1550339847">
      <w:bodyDiv w:val="1"/>
      <w:marLeft w:val="0"/>
      <w:marRight w:val="0"/>
      <w:marTop w:val="0"/>
      <w:marBottom w:val="0"/>
      <w:divBdr>
        <w:top w:val="none" w:sz="0" w:space="0" w:color="auto"/>
        <w:left w:val="none" w:sz="0" w:space="0" w:color="auto"/>
        <w:bottom w:val="none" w:sz="0" w:space="0" w:color="auto"/>
        <w:right w:val="none" w:sz="0" w:space="0" w:color="auto"/>
      </w:divBdr>
      <w:divsChild>
        <w:div w:id="406878682">
          <w:marLeft w:val="0"/>
          <w:marRight w:val="0"/>
          <w:marTop w:val="0"/>
          <w:marBottom w:val="0"/>
          <w:divBdr>
            <w:top w:val="none" w:sz="0" w:space="0" w:color="auto"/>
            <w:left w:val="none" w:sz="0" w:space="0" w:color="auto"/>
            <w:bottom w:val="none" w:sz="0" w:space="0" w:color="auto"/>
            <w:right w:val="none" w:sz="0" w:space="0" w:color="auto"/>
          </w:divBdr>
          <w:divsChild>
            <w:div w:id="1612131585">
              <w:marLeft w:val="0"/>
              <w:marRight w:val="0"/>
              <w:marTop w:val="0"/>
              <w:marBottom w:val="0"/>
              <w:divBdr>
                <w:top w:val="none" w:sz="0" w:space="0" w:color="auto"/>
                <w:left w:val="none" w:sz="0" w:space="0" w:color="auto"/>
                <w:bottom w:val="none" w:sz="0" w:space="0" w:color="auto"/>
                <w:right w:val="none" w:sz="0" w:space="0" w:color="auto"/>
              </w:divBdr>
              <w:divsChild>
                <w:div w:id="2079593172">
                  <w:marLeft w:val="0"/>
                  <w:marRight w:val="0"/>
                  <w:marTop w:val="0"/>
                  <w:marBottom w:val="0"/>
                  <w:divBdr>
                    <w:top w:val="none" w:sz="0" w:space="0" w:color="auto"/>
                    <w:left w:val="none" w:sz="0" w:space="0" w:color="auto"/>
                    <w:bottom w:val="none" w:sz="0" w:space="0" w:color="auto"/>
                    <w:right w:val="none" w:sz="0" w:space="0" w:color="auto"/>
                  </w:divBdr>
                  <w:divsChild>
                    <w:div w:id="42409883">
                      <w:marLeft w:val="2640"/>
                      <w:marRight w:val="0"/>
                      <w:marTop w:val="0"/>
                      <w:marBottom w:val="0"/>
                      <w:divBdr>
                        <w:top w:val="none" w:sz="0" w:space="0" w:color="auto"/>
                        <w:left w:val="none" w:sz="0" w:space="0" w:color="auto"/>
                        <w:bottom w:val="none" w:sz="0" w:space="0" w:color="auto"/>
                        <w:right w:val="none" w:sz="0" w:space="0" w:color="auto"/>
                      </w:divBdr>
                      <w:divsChild>
                        <w:div w:id="1024330536">
                          <w:marLeft w:val="30"/>
                          <w:marRight w:val="0"/>
                          <w:marTop w:val="0"/>
                          <w:marBottom w:val="0"/>
                          <w:divBdr>
                            <w:top w:val="none" w:sz="0" w:space="0" w:color="auto"/>
                            <w:left w:val="none" w:sz="0" w:space="0" w:color="auto"/>
                            <w:bottom w:val="none" w:sz="0" w:space="0" w:color="auto"/>
                            <w:right w:val="none" w:sz="0" w:space="0" w:color="auto"/>
                          </w:divBdr>
                          <w:divsChild>
                            <w:div w:id="121075825">
                              <w:marLeft w:val="0"/>
                              <w:marRight w:val="0"/>
                              <w:marTop w:val="0"/>
                              <w:marBottom w:val="0"/>
                              <w:divBdr>
                                <w:top w:val="none" w:sz="0" w:space="0" w:color="auto"/>
                                <w:left w:val="none" w:sz="0" w:space="0" w:color="auto"/>
                                <w:bottom w:val="none" w:sz="0" w:space="0" w:color="auto"/>
                                <w:right w:val="none" w:sz="0" w:space="0" w:color="auto"/>
                              </w:divBdr>
                              <w:divsChild>
                                <w:div w:id="970862459">
                                  <w:marLeft w:val="0"/>
                                  <w:marRight w:val="0"/>
                                  <w:marTop w:val="0"/>
                                  <w:marBottom w:val="0"/>
                                  <w:divBdr>
                                    <w:top w:val="none" w:sz="0" w:space="0" w:color="auto"/>
                                    <w:left w:val="none" w:sz="0" w:space="0" w:color="auto"/>
                                    <w:bottom w:val="none" w:sz="0" w:space="0" w:color="auto"/>
                                    <w:right w:val="none" w:sz="0" w:space="0" w:color="auto"/>
                                  </w:divBdr>
                                  <w:divsChild>
                                    <w:div w:id="1090085920">
                                      <w:marLeft w:val="0"/>
                                      <w:marRight w:val="0"/>
                                      <w:marTop w:val="0"/>
                                      <w:marBottom w:val="0"/>
                                      <w:divBdr>
                                        <w:top w:val="none" w:sz="0" w:space="0" w:color="auto"/>
                                        <w:left w:val="none" w:sz="0" w:space="0" w:color="auto"/>
                                        <w:bottom w:val="none" w:sz="0" w:space="0" w:color="auto"/>
                                        <w:right w:val="none" w:sz="0" w:space="0" w:color="auto"/>
                                      </w:divBdr>
                                      <w:divsChild>
                                        <w:div w:id="1227499191">
                                          <w:marLeft w:val="0"/>
                                          <w:marRight w:val="0"/>
                                          <w:marTop w:val="0"/>
                                          <w:marBottom w:val="0"/>
                                          <w:divBdr>
                                            <w:top w:val="none" w:sz="0" w:space="0" w:color="auto"/>
                                            <w:left w:val="none" w:sz="0" w:space="0" w:color="auto"/>
                                            <w:bottom w:val="none" w:sz="0" w:space="0" w:color="auto"/>
                                            <w:right w:val="none" w:sz="0" w:space="0" w:color="auto"/>
                                          </w:divBdr>
                                          <w:divsChild>
                                            <w:div w:id="209697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1561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www.dailymail.co.uk/home/search.html?s=y&amp;authornamef=Zoe+Harcombe"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webmd.com/heart-disease/news/20110118/5-a-day-not-enough-fruits-vegetabl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vilservice.gov.uk/Assets/Behaviour_change_reference_report_tcm6-9697.pdf" TargetMode="External"/><Relationship Id="rId24" Type="http://schemas.openxmlformats.org/officeDocument/2006/relationships/image" Target="media/image14.emf"/><Relationship Id="rId32" Type="http://schemas.openxmlformats.org/officeDocument/2006/relationships/hyperlink" Target="http://www.sunsettan.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hyperlink" Target="http://www.webmd.com/tim-locke"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www.cyclorama.net/blog/cycling-news/20s-plenty/" TargetMode="External"/><Relationship Id="rId4" Type="http://schemas.openxmlformats.org/officeDocument/2006/relationships/settings" Target="settings.xml"/><Relationship Id="rId9" Type="http://schemas.openxmlformats.org/officeDocument/2006/relationships/image" Target="cid:image001.jpg@01CBBBC5.D36823C0" TargetMode="External"/><Relationship Id="rId14" Type="http://schemas.openxmlformats.org/officeDocument/2006/relationships/image" Target="media/image5.jpeg"/><Relationship Id="rId22" Type="http://schemas.openxmlformats.org/officeDocument/2006/relationships/hyperlink" Target="http://www.warc.com" TargetMode="External"/><Relationship Id="rId27" Type="http://schemas.openxmlformats.org/officeDocument/2006/relationships/hyperlink" Target="http://www.dailymail.co.uk/femail/food/article-1349960/5-day-fruit-vegetables-myth-claims-nutrition-expert.html?ito=feeds-newsxml" TargetMode="External"/><Relationship Id="rId30" Type="http://schemas.openxmlformats.org/officeDocument/2006/relationships/hyperlink" Target="http://www.cornwallandislesofscilly.nhs.uk/CornwallAndIslesOfScillyPCT/InformationForPatients/StayingHealthy/DirectorOfPublicHealthAnnualReport2010/Employment/BriefInterventions.aspx" TargetMode="External"/><Relationship Id="rId35"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www.marketingweek.co.uk/sectors/media/product-placement-to-be-allowed-from-february/3021834.article" TargetMode="External"/><Relationship Id="rId13" Type="http://schemas.openxmlformats.org/officeDocument/2006/relationships/hyperlink" Target="http://www.who.int/mediacentre/factsheets/fs287/en/" TargetMode="External"/><Relationship Id="rId3" Type="http://schemas.openxmlformats.org/officeDocument/2006/relationships/hyperlink" Target="http://www.parliament.uk/business/committees/committees-archive/environmental-audit-committee/inqairquality/" TargetMode="External"/><Relationship Id="rId7" Type="http://schemas.openxmlformats.org/officeDocument/2006/relationships/hyperlink" Target="http://stakeholders.ofcom.org.uk/consultancy/bcrtv2010/summary" TargetMode="External"/><Relationship Id="rId12" Type="http://schemas.openxmlformats.org/officeDocument/2006/relationships/hyperlink" Target="http://www.dailymail.co.uk/sciencetech/article-1352361/Children-spend-time-computers-TV-exercising-week.html" TargetMode="External"/><Relationship Id="rId17" Type="http://schemas.openxmlformats.org/officeDocument/2006/relationships/hyperlink" Target="http://www.digitalspy.co.uk/showbiz/news/a211082/price-selling-home-because-of-ghosts.html" TargetMode="External"/><Relationship Id="rId2" Type="http://schemas.openxmlformats.org/officeDocument/2006/relationships/hyperlink" Target="http://www.defra.gov.uk/environment/quality/air/airquality/local/documents/laqm-report.pdf" TargetMode="External"/><Relationship Id="rId16" Type="http://schemas.openxmlformats.org/officeDocument/2006/relationships/hyperlink" Target="http://www.marieclaire.co.uk/news/beauty/438142/katie-price-sparks-outrage-by-promoting-regular-sunbed-use.html" TargetMode="External"/><Relationship Id="rId1" Type="http://schemas.openxmlformats.org/officeDocument/2006/relationships/hyperlink" Target="http://www.yale.edu/acmelab/articles/Bargh_1994.pdf" TargetMode="External"/><Relationship Id="rId6" Type="http://schemas.openxmlformats.org/officeDocument/2006/relationships/hyperlink" Target="http://www.wired.com/epicenter/2010/07/gaming-the-system-how-marketers-rig-the-social-media-machine/" TargetMode="External"/><Relationship Id="rId11" Type="http://schemas.openxmlformats.org/officeDocument/2006/relationships/hyperlink" Target="http://www.prnewswire.com/news-releases/new-report-kids-television-programs-contain-high-amounts-of-tobacco-use-115509204.html" TargetMode="External"/><Relationship Id="rId5" Type="http://schemas.openxmlformats.org/officeDocument/2006/relationships/hyperlink" Target="http://agendainc.com/media/ambr08.pdf" TargetMode="External"/><Relationship Id="rId15" Type="http://schemas.openxmlformats.org/officeDocument/2006/relationships/hyperlink" Target="http://www.mirror.co.uk/celebs/celebs-on-sunday/" TargetMode="External"/><Relationship Id="rId10" Type="http://schemas.openxmlformats.org/officeDocument/2006/relationships/hyperlink" Target="http://productplacement.biz/201007072619/branded-entertainment/new-pq-media-report-finds-u-s-branded-entertainment-spending-on-consumer-events-product-placement-dipped-only-1-3-to-24-63-billion-in-2009-on-pace-to-grow-5-3-in-2010-exceeding-most-advertising.html" TargetMode="External"/><Relationship Id="rId4" Type="http://schemas.openxmlformats.org/officeDocument/2006/relationships/hyperlink" Target="http://www.cdc.gov/youthcampaign/" TargetMode="External"/><Relationship Id="rId9" Type="http://schemas.openxmlformats.org/officeDocument/2006/relationships/hyperlink" Target="http://stakeholders.ofcom.org.uk/binaries/consultations/724242/statement/annex1.pdf" TargetMode="External"/><Relationship Id="rId14" Type="http://schemas.openxmlformats.org/officeDocument/2006/relationships/hyperlink" Target="http://www.guardian.co.uk/media/2010/jan/03/mtv-jersey-shore-guidos-itali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FE601-9896-479C-B5AF-D853F8310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83</Pages>
  <Words>23786</Words>
  <Characters>135583</Characters>
  <Application>Microsoft Office Word</Application>
  <DocSecurity>0</DocSecurity>
  <Lines>1129</Lines>
  <Paragraphs>318</Paragraphs>
  <ScaleCrop>false</ScaleCrop>
  <HeadingPairs>
    <vt:vector size="2" baseType="variant">
      <vt:variant>
        <vt:lpstr>Title</vt:lpstr>
      </vt:variant>
      <vt:variant>
        <vt:i4>1</vt:i4>
      </vt:variant>
    </vt:vector>
  </HeadingPairs>
  <TitlesOfParts>
    <vt:vector size="1" baseType="lpstr">
      <vt:lpstr/>
    </vt:vector>
  </TitlesOfParts>
  <Company>University of the West of England</Company>
  <LinksUpToDate>false</LinksUpToDate>
  <CharactersWithSpaces>159051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Lynne Eagle</dc:creator>
  <cp:lastModifiedBy>Alexander Clarke</cp:lastModifiedBy>
  <cp:revision>2</cp:revision>
  <cp:lastPrinted>2011-05-05T07:38:00Z</cp:lastPrinted>
  <dcterms:created xsi:type="dcterms:W3CDTF">2011-05-20T13:29:00Z</dcterms:created>
  <dcterms:modified xsi:type="dcterms:W3CDTF">2011-05-20T13:29:00Z</dcterms:modified>
</cp:coreProperties>
</file>