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852" w:rsidRPr="00BE6852" w:rsidRDefault="00BE6852" w:rsidP="00BE6852">
      <w:pPr>
        <w:jc w:val="center"/>
        <w:rPr>
          <w:rFonts w:ascii="Arial" w:hAnsi="Arial" w:cs="Arial"/>
          <w:b/>
          <w:sz w:val="22"/>
          <w:szCs w:val="22"/>
        </w:rPr>
      </w:pPr>
      <w:r w:rsidRPr="00BE6852">
        <w:rPr>
          <w:rFonts w:ascii="Arial" w:hAnsi="Arial" w:cs="Arial"/>
          <w:b/>
          <w:sz w:val="22"/>
          <w:szCs w:val="22"/>
        </w:rPr>
        <w:t>The Paradox of Intensification</w:t>
      </w:r>
    </w:p>
    <w:p w:rsidR="00BE6852" w:rsidRDefault="00BE6852" w:rsidP="00BE6852">
      <w:pPr>
        <w:jc w:val="center"/>
        <w:rPr>
          <w:rFonts w:ascii="Arial" w:hAnsi="Arial" w:cs="Arial"/>
          <w:b/>
          <w:sz w:val="22"/>
          <w:szCs w:val="22"/>
        </w:rPr>
      </w:pPr>
    </w:p>
    <w:p w:rsidR="00BE6852" w:rsidRPr="00BE6852" w:rsidRDefault="00BE6852" w:rsidP="00BE6852">
      <w:pPr>
        <w:jc w:val="center"/>
        <w:rPr>
          <w:rFonts w:ascii="Arial" w:hAnsi="Arial" w:cs="Arial"/>
          <w:b/>
          <w:sz w:val="22"/>
          <w:szCs w:val="22"/>
        </w:rPr>
      </w:pPr>
    </w:p>
    <w:p w:rsidR="00BE6852" w:rsidRPr="00BE6852" w:rsidRDefault="00BE6852" w:rsidP="00BE6852">
      <w:pPr>
        <w:jc w:val="center"/>
        <w:rPr>
          <w:rFonts w:ascii="Arial" w:hAnsi="Arial" w:cs="Arial"/>
          <w:sz w:val="22"/>
          <w:szCs w:val="22"/>
        </w:rPr>
      </w:pPr>
    </w:p>
    <w:p w:rsidR="00BE6852" w:rsidRPr="00BE6852" w:rsidRDefault="00BE6852" w:rsidP="00BE6852">
      <w:pPr>
        <w:spacing w:line="360" w:lineRule="auto"/>
        <w:jc w:val="center"/>
        <w:rPr>
          <w:rFonts w:ascii="Arial" w:hAnsi="Arial" w:cs="Arial"/>
          <w:sz w:val="22"/>
          <w:szCs w:val="22"/>
        </w:rPr>
      </w:pPr>
      <w:r w:rsidRPr="00BE6852">
        <w:rPr>
          <w:rFonts w:ascii="Arial" w:hAnsi="Arial" w:cs="Arial"/>
          <w:sz w:val="22"/>
          <w:szCs w:val="22"/>
        </w:rPr>
        <w:t>Dr Steve Melia PhD</w:t>
      </w:r>
    </w:p>
    <w:p w:rsidR="00BE6852" w:rsidRPr="00BE6852" w:rsidRDefault="00BE6852" w:rsidP="00BE6852">
      <w:pPr>
        <w:spacing w:line="360" w:lineRule="auto"/>
        <w:jc w:val="center"/>
        <w:rPr>
          <w:rFonts w:ascii="Arial" w:hAnsi="Arial" w:cs="Arial"/>
          <w:sz w:val="22"/>
          <w:szCs w:val="22"/>
        </w:rPr>
      </w:pPr>
      <w:r w:rsidRPr="00BE6852">
        <w:rPr>
          <w:rFonts w:ascii="Arial" w:hAnsi="Arial" w:cs="Arial"/>
          <w:sz w:val="22"/>
          <w:szCs w:val="22"/>
        </w:rPr>
        <w:t>Senior Lecturer</w:t>
      </w:r>
    </w:p>
    <w:p w:rsidR="00BE6852" w:rsidRPr="00BE6852" w:rsidRDefault="00BE6852" w:rsidP="00BE6852">
      <w:pPr>
        <w:spacing w:line="360" w:lineRule="auto"/>
        <w:jc w:val="center"/>
        <w:rPr>
          <w:rFonts w:ascii="Arial" w:hAnsi="Arial" w:cs="Arial"/>
          <w:sz w:val="22"/>
          <w:szCs w:val="22"/>
        </w:rPr>
      </w:pPr>
      <w:r w:rsidRPr="00BE6852">
        <w:rPr>
          <w:rFonts w:ascii="Arial" w:hAnsi="Arial" w:cs="Arial"/>
          <w:sz w:val="22"/>
          <w:szCs w:val="22"/>
        </w:rPr>
        <w:t>Centre for Transport &amp; Society</w:t>
      </w:r>
    </w:p>
    <w:p w:rsidR="00BE6852" w:rsidRPr="00BE6852" w:rsidRDefault="00BE6852" w:rsidP="00BE6852">
      <w:pPr>
        <w:spacing w:line="360" w:lineRule="auto"/>
        <w:jc w:val="center"/>
        <w:rPr>
          <w:rFonts w:ascii="Arial" w:hAnsi="Arial" w:cs="Arial"/>
          <w:sz w:val="22"/>
          <w:szCs w:val="22"/>
        </w:rPr>
      </w:pPr>
      <w:r w:rsidRPr="00BE6852">
        <w:rPr>
          <w:rFonts w:ascii="Arial" w:hAnsi="Arial" w:cs="Arial"/>
          <w:sz w:val="22"/>
          <w:szCs w:val="22"/>
        </w:rPr>
        <w:t>University of the West of England</w:t>
      </w:r>
    </w:p>
    <w:p w:rsidR="00BE6852" w:rsidRPr="00BE6852" w:rsidRDefault="00BE6852" w:rsidP="00BE6852">
      <w:pPr>
        <w:spacing w:line="360" w:lineRule="auto"/>
        <w:jc w:val="center"/>
        <w:rPr>
          <w:rFonts w:ascii="Arial" w:hAnsi="Arial" w:cs="Arial"/>
          <w:sz w:val="22"/>
          <w:szCs w:val="22"/>
        </w:rPr>
      </w:pPr>
      <w:proofErr w:type="spellStart"/>
      <w:r w:rsidRPr="00BE6852">
        <w:rPr>
          <w:rFonts w:ascii="Arial" w:hAnsi="Arial" w:cs="Arial"/>
          <w:sz w:val="22"/>
          <w:szCs w:val="22"/>
        </w:rPr>
        <w:t>Coldharbour</w:t>
      </w:r>
      <w:proofErr w:type="spellEnd"/>
      <w:r w:rsidRPr="00BE6852">
        <w:rPr>
          <w:rFonts w:ascii="Arial" w:hAnsi="Arial" w:cs="Arial"/>
          <w:sz w:val="22"/>
          <w:szCs w:val="22"/>
        </w:rPr>
        <w:t xml:space="preserve"> Lane</w:t>
      </w:r>
    </w:p>
    <w:p w:rsidR="00BE6852" w:rsidRPr="00BE6852" w:rsidRDefault="00BE6852" w:rsidP="00BE6852">
      <w:pPr>
        <w:spacing w:line="360" w:lineRule="auto"/>
        <w:jc w:val="center"/>
        <w:rPr>
          <w:rFonts w:ascii="Arial" w:hAnsi="Arial" w:cs="Arial"/>
          <w:sz w:val="22"/>
          <w:szCs w:val="22"/>
        </w:rPr>
      </w:pPr>
      <w:r w:rsidRPr="00BE6852">
        <w:rPr>
          <w:rFonts w:ascii="Arial" w:hAnsi="Arial" w:cs="Arial"/>
          <w:sz w:val="22"/>
          <w:szCs w:val="22"/>
        </w:rPr>
        <w:t>Bristol BS16 1QY</w:t>
      </w:r>
    </w:p>
    <w:p w:rsidR="00BE6852" w:rsidRPr="00BE6852" w:rsidRDefault="00BE6852" w:rsidP="00BE6852">
      <w:pPr>
        <w:spacing w:line="360" w:lineRule="auto"/>
        <w:jc w:val="center"/>
        <w:rPr>
          <w:rFonts w:ascii="Arial" w:hAnsi="Arial" w:cs="Arial"/>
          <w:sz w:val="22"/>
          <w:szCs w:val="22"/>
        </w:rPr>
      </w:pPr>
      <w:r w:rsidRPr="00BE6852">
        <w:rPr>
          <w:rFonts w:ascii="Arial" w:hAnsi="Arial" w:cs="Arial"/>
          <w:sz w:val="22"/>
          <w:szCs w:val="22"/>
        </w:rPr>
        <w:t>steve.melia@uwe.ac.uk</w:t>
      </w:r>
    </w:p>
    <w:p w:rsidR="00BE6852" w:rsidRPr="00BE6852" w:rsidRDefault="00BE6852" w:rsidP="00BE6852">
      <w:pPr>
        <w:spacing w:line="360" w:lineRule="auto"/>
        <w:jc w:val="center"/>
        <w:rPr>
          <w:rFonts w:ascii="Arial" w:hAnsi="Arial" w:cs="Arial"/>
          <w:sz w:val="22"/>
          <w:szCs w:val="22"/>
        </w:rPr>
      </w:pPr>
    </w:p>
    <w:p w:rsidR="00BE6852" w:rsidRPr="00BE6852" w:rsidRDefault="00BE6852" w:rsidP="00BE6852">
      <w:pPr>
        <w:spacing w:line="360" w:lineRule="auto"/>
        <w:jc w:val="center"/>
        <w:rPr>
          <w:rFonts w:ascii="Arial" w:hAnsi="Arial" w:cs="Arial"/>
          <w:sz w:val="22"/>
          <w:szCs w:val="22"/>
        </w:rPr>
      </w:pPr>
      <w:r w:rsidRPr="00BE6852">
        <w:rPr>
          <w:rFonts w:ascii="Arial" w:hAnsi="Arial" w:cs="Arial"/>
          <w:sz w:val="22"/>
          <w:szCs w:val="22"/>
        </w:rPr>
        <w:t>Prof. Graham Parkhurst PhD</w:t>
      </w:r>
    </w:p>
    <w:p w:rsidR="00BE6852" w:rsidRPr="00BE6852" w:rsidRDefault="00BE6852" w:rsidP="00BE6852">
      <w:pPr>
        <w:spacing w:line="360" w:lineRule="auto"/>
        <w:jc w:val="center"/>
        <w:rPr>
          <w:rFonts w:ascii="Arial" w:hAnsi="Arial" w:cs="Arial"/>
          <w:sz w:val="22"/>
          <w:szCs w:val="22"/>
        </w:rPr>
      </w:pPr>
      <w:r w:rsidRPr="00BE6852">
        <w:rPr>
          <w:rFonts w:ascii="Arial" w:hAnsi="Arial" w:cs="Arial"/>
          <w:sz w:val="22"/>
          <w:szCs w:val="22"/>
        </w:rPr>
        <w:t xml:space="preserve">Professor of Sustainable Mobility, </w:t>
      </w:r>
    </w:p>
    <w:p w:rsidR="00BE6852" w:rsidRPr="00BE6852" w:rsidRDefault="00BE6852" w:rsidP="00BE6852">
      <w:pPr>
        <w:spacing w:line="360" w:lineRule="auto"/>
        <w:jc w:val="center"/>
        <w:rPr>
          <w:rFonts w:ascii="Arial" w:hAnsi="Arial" w:cs="Arial"/>
          <w:sz w:val="22"/>
          <w:szCs w:val="22"/>
        </w:rPr>
      </w:pPr>
      <w:r w:rsidRPr="00BE6852">
        <w:rPr>
          <w:rFonts w:ascii="Arial" w:hAnsi="Arial" w:cs="Arial"/>
          <w:sz w:val="22"/>
          <w:szCs w:val="22"/>
        </w:rPr>
        <w:t xml:space="preserve">Centre for Transport &amp; Society, </w:t>
      </w:r>
    </w:p>
    <w:p w:rsidR="00BE6852" w:rsidRPr="00BE6852" w:rsidRDefault="00BE6852" w:rsidP="00BE6852">
      <w:pPr>
        <w:spacing w:line="360" w:lineRule="auto"/>
        <w:jc w:val="center"/>
        <w:rPr>
          <w:rFonts w:ascii="Arial" w:hAnsi="Arial" w:cs="Arial"/>
          <w:sz w:val="22"/>
          <w:szCs w:val="22"/>
        </w:rPr>
      </w:pPr>
      <w:r w:rsidRPr="00BE6852">
        <w:rPr>
          <w:rFonts w:ascii="Arial" w:hAnsi="Arial" w:cs="Arial"/>
          <w:sz w:val="22"/>
          <w:szCs w:val="22"/>
        </w:rPr>
        <w:t xml:space="preserve">University of the West of England </w:t>
      </w:r>
    </w:p>
    <w:p w:rsidR="00BE6852" w:rsidRPr="00BE6852" w:rsidRDefault="00BE6852" w:rsidP="00BE6852">
      <w:pPr>
        <w:spacing w:line="360" w:lineRule="auto"/>
        <w:jc w:val="center"/>
        <w:rPr>
          <w:rFonts w:ascii="Arial" w:hAnsi="Arial" w:cs="Arial"/>
          <w:sz w:val="22"/>
          <w:szCs w:val="22"/>
        </w:rPr>
      </w:pPr>
    </w:p>
    <w:p w:rsidR="00BE6852" w:rsidRPr="00BE6852" w:rsidRDefault="00BE6852" w:rsidP="00BE6852">
      <w:pPr>
        <w:spacing w:line="360" w:lineRule="auto"/>
        <w:jc w:val="center"/>
        <w:rPr>
          <w:rFonts w:ascii="Arial" w:hAnsi="Arial" w:cs="Arial"/>
          <w:sz w:val="22"/>
          <w:szCs w:val="22"/>
        </w:rPr>
      </w:pPr>
      <w:r w:rsidRPr="00BE6852">
        <w:rPr>
          <w:rFonts w:ascii="Arial" w:hAnsi="Arial" w:cs="Arial"/>
          <w:sz w:val="22"/>
          <w:szCs w:val="22"/>
        </w:rPr>
        <w:t xml:space="preserve">Prof. Hugh Barton MPhil. Dip. TP, MRTPI </w:t>
      </w:r>
    </w:p>
    <w:p w:rsidR="00BE6852" w:rsidRPr="00BE6852" w:rsidRDefault="00BE6852" w:rsidP="00BE6852">
      <w:pPr>
        <w:spacing w:line="360" w:lineRule="auto"/>
        <w:jc w:val="center"/>
        <w:rPr>
          <w:rFonts w:ascii="Arial" w:hAnsi="Arial" w:cs="Arial"/>
          <w:sz w:val="22"/>
          <w:szCs w:val="22"/>
        </w:rPr>
      </w:pPr>
      <w:r w:rsidRPr="00BE6852">
        <w:rPr>
          <w:rFonts w:ascii="Arial" w:hAnsi="Arial" w:cs="Arial"/>
          <w:sz w:val="22"/>
          <w:szCs w:val="22"/>
        </w:rPr>
        <w:t>Professor of Sustainability, Planning, Health and Sustainability</w:t>
      </w:r>
    </w:p>
    <w:p w:rsidR="00BE6852" w:rsidRPr="00BE6852" w:rsidRDefault="00BE6852" w:rsidP="00BE6852">
      <w:pPr>
        <w:spacing w:line="360" w:lineRule="auto"/>
        <w:jc w:val="center"/>
        <w:rPr>
          <w:rFonts w:ascii="Arial" w:hAnsi="Arial" w:cs="Arial"/>
          <w:sz w:val="22"/>
          <w:szCs w:val="22"/>
        </w:rPr>
      </w:pPr>
      <w:r w:rsidRPr="00BE6852">
        <w:rPr>
          <w:rFonts w:ascii="Arial" w:hAnsi="Arial" w:cs="Arial"/>
          <w:sz w:val="22"/>
          <w:szCs w:val="22"/>
        </w:rPr>
        <w:t xml:space="preserve">Dept. of Planning &amp; Architecture, </w:t>
      </w:r>
    </w:p>
    <w:p w:rsidR="00BE6852" w:rsidRPr="00BE6852" w:rsidRDefault="00BE6852" w:rsidP="00BE6852">
      <w:pPr>
        <w:spacing w:line="360" w:lineRule="auto"/>
        <w:jc w:val="center"/>
        <w:rPr>
          <w:rFonts w:ascii="Arial" w:hAnsi="Arial" w:cs="Arial"/>
          <w:sz w:val="22"/>
          <w:szCs w:val="22"/>
        </w:rPr>
      </w:pPr>
      <w:r w:rsidRPr="00BE6852">
        <w:rPr>
          <w:rFonts w:ascii="Arial" w:hAnsi="Arial" w:cs="Arial"/>
          <w:sz w:val="22"/>
          <w:szCs w:val="22"/>
        </w:rPr>
        <w:t>University of the West of England</w:t>
      </w:r>
    </w:p>
    <w:p w:rsidR="00BE6852" w:rsidRPr="00BE6852" w:rsidRDefault="00BE6852" w:rsidP="00BE6852">
      <w:pPr>
        <w:rPr>
          <w:b/>
          <w:sz w:val="22"/>
          <w:szCs w:val="22"/>
        </w:rPr>
      </w:pPr>
    </w:p>
    <w:p w:rsidR="00BE6852" w:rsidRDefault="00BE6852">
      <w:pPr>
        <w:rPr>
          <w:b/>
        </w:rPr>
      </w:pPr>
    </w:p>
    <w:p w:rsidR="00BE6852" w:rsidRDefault="00BE6852">
      <w:pPr>
        <w:rPr>
          <w:b/>
        </w:rPr>
      </w:pPr>
      <w:r>
        <w:rPr>
          <w:b/>
        </w:rPr>
        <w:br w:type="page"/>
      </w:r>
    </w:p>
    <w:p w:rsidR="00180401" w:rsidRPr="002A6503" w:rsidRDefault="002A6503" w:rsidP="002A6503">
      <w:pPr>
        <w:jc w:val="center"/>
        <w:rPr>
          <w:b/>
        </w:rPr>
      </w:pPr>
      <w:r w:rsidRPr="002A6503">
        <w:rPr>
          <w:b/>
        </w:rPr>
        <w:lastRenderedPageBreak/>
        <w:t>The Paradox of Intensification</w:t>
      </w:r>
    </w:p>
    <w:p w:rsidR="002A6503" w:rsidRDefault="002A6503"/>
    <w:p w:rsidR="007175A6" w:rsidRPr="001D4633" w:rsidRDefault="007175A6" w:rsidP="007175A6">
      <w:pPr>
        <w:jc w:val="center"/>
        <w:rPr>
          <w:b/>
        </w:rPr>
      </w:pPr>
      <w:r w:rsidRPr="001D4633">
        <w:rPr>
          <w:b/>
        </w:rPr>
        <w:t>Abstract</w:t>
      </w:r>
    </w:p>
    <w:p w:rsidR="007175A6" w:rsidRDefault="007175A6" w:rsidP="007175A6"/>
    <w:p w:rsidR="007175A6" w:rsidRDefault="00172402" w:rsidP="007175A6">
      <w:r>
        <w:t>U</w:t>
      </w:r>
      <w:r w:rsidR="007175A6">
        <w:t xml:space="preserve">rban intensification </w:t>
      </w:r>
      <w:r>
        <w:t xml:space="preserve">as part of a </w:t>
      </w:r>
      <w:r w:rsidR="00445900">
        <w:t>smart growth</w:t>
      </w:r>
      <w:r>
        <w:t xml:space="preserve"> strategy can facilitate low energy transport modes and reduce overall car use, with benefits to the global environment but evidence suggests</w:t>
      </w:r>
      <w:r w:rsidR="004E3B85">
        <w:t xml:space="preserve"> </w:t>
      </w:r>
      <w:r w:rsidR="007175A6">
        <w:t>the effect will be less than</w:t>
      </w:r>
      <w:r w:rsidR="00D93E54">
        <w:t xml:space="preserve"> proportional.  </w:t>
      </w:r>
      <w:r w:rsidR="004E3B85">
        <w:t xml:space="preserve">Hence, </w:t>
      </w:r>
      <w:r w:rsidR="007175A6">
        <w:t xml:space="preserve">in locations where intensification occurs, </w:t>
      </w:r>
      <w:r w:rsidR="004E3B85">
        <w:t xml:space="preserve">greater </w:t>
      </w:r>
      <w:r w:rsidR="007175A6">
        <w:t xml:space="preserve">concentrations of traffic </w:t>
      </w:r>
      <w:r w:rsidR="004E3B85">
        <w:t xml:space="preserve">tend to occur, and this </w:t>
      </w:r>
      <w:r w:rsidR="007175A6">
        <w:t>worsen</w:t>
      </w:r>
      <w:r w:rsidR="004E3B85">
        <w:t>s</w:t>
      </w:r>
      <w:r w:rsidR="007175A6">
        <w:t xml:space="preserve"> local environmental conditions.  Th</w:t>
      </w:r>
      <w:r w:rsidR="004E3B85">
        <w:t xml:space="preserve">is phenomenon is </w:t>
      </w:r>
      <w:r w:rsidR="00D360E0">
        <w:t>defined</w:t>
      </w:r>
      <w:r w:rsidR="004E3B85">
        <w:t xml:space="preserve"> below as the ‘</w:t>
      </w:r>
      <w:r w:rsidR="007175A6">
        <w:t>paradox of intensification</w:t>
      </w:r>
      <w:r w:rsidR="004E3B85">
        <w:t xml:space="preserve">’. </w:t>
      </w:r>
      <w:r w:rsidR="009268D8">
        <w:t xml:space="preserve"> </w:t>
      </w:r>
      <w:r w:rsidR="00B93787">
        <w:t>The consequent c</w:t>
      </w:r>
      <w:r w:rsidR="007175A6">
        <w:t>hallenge</w:t>
      </w:r>
      <w:r w:rsidR="00B93787">
        <w:t>s</w:t>
      </w:r>
      <w:r w:rsidR="007175A6">
        <w:t xml:space="preserve"> for </w:t>
      </w:r>
      <w:r w:rsidR="004E3B85">
        <w:t xml:space="preserve">planners and </w:t>
      </w:r>
      <w:r w:rsidR="007175A6">
        <w:t>policymakers</w:t>
      </w:r>
      <w:r w:rsidR="004E3B85">
        <w:t xml:space="preserve"> which arise are considered</w:t>
      </w:r>
      <w:r w:rsidR="007175A6">
        <w:t xml:space="preserve">.  The analysis suggests that a compromise involving limited intensification would merely redistribute the balance between the two sets of problems: global and local.  </w:t>
      </w:r>
      <w:r w:rsidR="00B93787">
        <w:t xml:space="preserve">It is concluded that </w:t>
      </w:r>
      <w:r w:rsidR="007175A6">
        <w:t xml:space="preserve">urban intensification </w:t>
      </w:r>
      <w:r w:rsidR="00A439C8">
        <w:t>should be accompanied by more radical measures to constrain traffic generation within intensified areas.</w:t>
      </w:r>
    </w:p>
    <w:p w:rsidR="004E3B85" w:rsidRDefault="004E3B85" w:rsidP="007175A6"/>
    <w:p w:rsidR="004E3B85" w:rsidRDefault="004E3B85" w:rsidP="007175A6">
      <w:r w:rsidRPr="00E40FAD">
        <w:rPr>
          <w:b/>
        </w:rPr>
        <w:t>Keywords:</w:t>
      </w:r>
      <w:r>
        <w:t xml:space="preserve"> </w:t>
      </w:r>
      <w:r w:rsidR="00B93787">
        <w:t xml:space="preserve">urban intensification; </w:t>
      </w:r>
      <w:r w:rsidR="00E40FAD">
        <w:t xml:space="preserve">density; </w:t>
      </w:r>
      <w:r w:rsidR="00B93787">
        <w:t>car use; parking standards; environmental quality</w:t>
      </w:r>
    </w:p>
    <w:p w:rsidR="007848C6" w:rsidRPr="009D4AC2" w:rsidRDefault="007848C6" w:rsidP="009D4AC2">
      <w:pPr>
        <w:pStyle w:val="Heading1"/>
      </w:pPr>
      <w:r w:rsidRPr="009D4AC2">
        <w:t>Introduction</w:t>
      </w:r>
    </w:p>
    <w:p w:rsidR="007848C6" w:rsidRDefault="007848C6"/>
    <w:p w:rsidR="00CF2D61" w:rsidRDefault="002A6503">
      <w:r>
        <w:t xml:space="preserve">One of the longest-running debates in built environment </w:t>
      </w:r>
      <w:r w:rsidR="00B93787">
        <w:t xml:space="preserve">studies </w:t>
      </w:r>
      <w:r>
        <w:t>concerns the relat</w:t>
      </w:r>
      <w:r w:rsidR="00CF2D61">
        <w:t>ionship between urban form and transport outcomes, measured in a variety of ways.  Within that debate much attention has focussed on the influence of population density, and by extension, the effects of urban intensification as a planning policy.  For its advocates</w:t>
      </w:r>
      <w:r w:rsidR="008E0D80">
        <w:t>, intensification promotes modal shift and restrains</w:t>
      </w:r>
      <w:r>
        <w:t xml:space="preserve"> </w:t>
      </w:r>
      <w:r w:rsidR="008E0D80">
        <w:t>travel by car</w:t>
      </w:r>
      <w:r w:rsidR="00B93787">
        <w:t>,</w:t>
      </w:r>
      <w:r w:rsidR="008E0D80">
        <w:t xml:space="preserve"> with benefits to the urban and global environments</w:t>
      </w:r>
      <w:r w:rsidR="00CF2D61">
        <w:t xml:space="preserve"> </w:t>
      </w:r>
      <w:r w:rsidR="0033030D">
        <w:fldChar w:fldCharType="begin"/>
      </w:r>
      <w:r w:rsidR="00CF2D61">
        <w:instrText>ADDIN RW.CITE{{1458 Litman,Todd 2008; 60 Newman,P. 2000}}</w:instrText>
      </w:r>
      <w:r w:rsidR="0033030D">
        <w:fldChar w:fldCharType="separate"/>
      </w:r>
      <w:r w:rsidR="00471E65">
        <w:t>(Litman, 2008, Newman and Kenworthy, 2000)</w:t>
      </w:r>
      <w:r w:rsidR="0033030D">
        <w:fldChar w:fldCharType="end"/>
      </w:r>
      <w:r w:rsidR="008E0D80">
        <w:t xml:space="preserve">.  </w:t>
      </w:r>
      <w:r w:rsidR="00CF2D61">
        <w:t xml:space="preserve">Amongst various critiques of this view – some value-based, some empirical – opponents have argued that intensification causes local concentrations of traffic </w:t>
      </w:r>
      <w:r w:rsidR="0033030D">
        <w:fldChar w:fldCharType="begin"/>
      </w:r>
      <w:r w:rsidR="00CF2D61">
        <w:instrText>ADDIN RW.CITE{{1533 Cox,Wendell 2003;}}</w:instrText>
      </w:r>
      <w:r w:rsidR="0033030D">
        <w:fldChar w:fldCharType="separate"/>
      </w:r>
      <w:r w:rsidR="00471E65">
        <w:t>(Cox, 2003)</w:t>
      </w:r>
      <w:r w:rsidR="0033030D">
        <w:fldChar w:fldCharType="end"/>
      </w:r>
      <w:r w:rsidR="00CF2D61">
        <w:t xml:space="preserve"> which suburbanisation can help to disperse </w:t>
      </w:r>
      <w:r w:rsidR="0033030D">
        <w:fldChar w:fldCharType="begin"/>
      </w:r>
      <w:r w:rsidR="00CF2D61">
        <w:instrText>ADDIN RW.CITE{{1759 Gordon, P. 2000; 1392 Echenique,Marcial 2003}}</w:instrText>
      </w:r>
      <w:r w:rsidR="0033030D">
        <w:fldChar w:fldCharType="separate"/>
      </w:r>
      <w:r w:rsidR="00471E65">
        <w:t>(Gordon and Richardson, 2000, Echenique and Homewood, 2003)</w:t>
      </w:r>
      <w:r w:rsidR="0033030D">
        <w:fldChar w:fldCharType="end"/>
      </w:r>
      <w:r w:rsidR="00CF2D61">
        <w:t>.</w:t>
      </w:r>
      <w:r w:rsidR="005E03A5">
        <w:t xml:space="preserve"> </w:t>
      </w:r>
    </w:p>
    <w:p w:rsidR="009D4AC2" w:rsidRDefault="009D4AC2"/>
    <w:p w:rsidR="004E1EF1" w:rsidRDefault="009D4AC2">
      <w:r>
        <w:t xml:space="preserve">Although they differ in their recommendations, both sides in this debate accept, explicitly or implicitly, that concentrations of traffic and motor vehicles in urban areas cause negative externalities, including congestion, air pollution and </w:t>
      </w:r>
      <w:r w:rsidR="000C50B4">
        <w:t>a range of health and social problems</w:t>
      </w:r>
      <w:r>
        <w:t xml:space="preserve">.  Most would also accept that rising levels of car use cause problems at a national and global level, including </w:t>
      </w:r>
      <w:r w:rsidR="00B93787">
        <w:t>a significant</w:t>
      </w:r>
      <w:r>
        <w:t xml:space="preserve"> contributi</w:t>
      </w:r>
      <w:r w:rsidR="00B93787">
        <w:t>on</w:t>
      </w:r>
      <w:r>
        <w:t xml:space="preserve"> to climate change, and depletion of resources.  How intensification affects local concentrations and aggregate use of private motor vehicles is the subject of this article.  It will review the above debate and </w:t>
      </w:r>
      <w:r w:rsidR="009F66D0">
        <w:t>associated evidence, suggesting an underlying principle</w:t>
      </w:r>
      <w:r w:rsidR="00E07B45">
        <w:t>:</w:t>
      </w:r>
      <w:r w:rsidR="009F66D0">
        <w:t xml:space="preserve"> the paradox of intensification, with significant </w:t>
      </w:r>
      <w:r w:rsidR="008E0D80">
        <w:t>implications for transport and planning policies.</w:t>
      </w:r>
    </w:p>
    <w:p w:rsidR="007848C6" w:rsidRDefault="00B66DBA" w:rsidP="009D4AC2">
      <w:pPr>
        <w:pStyle w:val="Heading1"/>
      </w:pPr>
      <w:bookmarkStart w:id="0" w:name="_Ref255822373"/>
      <w:r>
        <w:t>The Problem – Urban Intensification and Traffic Generation</w:t>
      </w:r>
      <w:bookmarkEnd w:id="0"/>
    </w:p>
    <w:p w:rsidR="007848C6" w:rsidRDefault="007848C6"/>
    <w:p w:rsidR="002C384F" w:rsidRDefault="00B66DBA">
      <w:r>
        <w:t xml:space="preserve">Urban intensification – increasing the density of dwellings within existing built areas – has become a principle of planning policy and practice across many developed countries.  </w:t>
      </w:r>
      <w:r w:rsidR="00C87C83">
        <w:t>It is usually accompanied by a range of other policies, some transport-related</w:t>
      </w:r>
      <w:r w:rsidR="00031217">
        <w:t xml:space="preserve"> (e.g. public transport improvements)</w:t>
      </w:r>
      <w:r w:rsidR="00C87C83">
        <w:t xml:space="preserve">, some related to other aspects of the urban environment.  Terms such as ‘smart growth’ </w:t>
      </w:r>
      <w:r w:rsidR="007E2B04">
        <w:t xml:space="preserve">and ‘the compact city’ (both variably defined) generally </w:t>
      </w:r>
      <w:r w:rsidR="00C87C83">
        <w:t xml:space="preserve">encompass intensification alongside a number of these other measures.  </w:t>
      </w:r>
      <w:r w:rsidR="002C384F">
        <w:t xml:space="preserve">This article focuses on outcomes related to personal travel and use of private motor vehicles, whilst recognising that other outcomes may be at least as important for </w:t>
      </w:r>
      <w:r w:rsidR="002C384F">
        <w:lastRenderedPageBreak/>
        <w:t>policymakers.</w:t>
      </w:r>
      <w:r w:rsidR="00031217">
        <w:t xml:space="preserve">  It will also consider how additional measures alongside intensification can influence those transport outcomes.</w:t>
      </w:r>
    </w:p>
    <w:p w:rsidR="002C384F" w:rsidRDefault="002C384F"/>
    <w:p w:rsidR="00B66DBA" w:rsidRDefault="00673247">
      <w:r>
        <w:t xml:space="preserve">The evolution of policy </w:t>
      </w:r>
      <w:r w:rsidR="00C87C83">
        <w:t>towards intensification</w:t>
      </w:r>
      <w:r>
        <w:t xml:space="preserve"> has been influenced by</w:t>
      </w:r>
      <w:r w:rsidR="00B66DBA">
        <w:t xml:space="preserve"> a </w:t>
      </w:r>
      <w:r>
        <w:t>substantial</w:t>
      </w:r>
      <w:r w:rsidR="00B66DBA">
        <w:t xml:space="preserve"> literature on the relationships between the </w:t>
      </w:r>
      <w:r w:rsidR="00A863C6">
        <w:t>urban form</w:t>
      </w:r>
      <w:r w:rsidR="00B66DBA">
        <w:t xml:space="preserve"> and tra</w:t>
      </w:r>
      <w:r w:rsidR="00A863C6">
        <w:t>nsport outcomes</w:t>
      </w:r>
      <w:r>
        <w:t xml:space="preserve">.  </w:t>
      </w:r>
      <w:r w:rsidR="00B66DBA">
        <w:t xml:space="preserve">Most of </w:t>
      </w:r>
      <w:r w:rsidR="002C384F">
        <w:t xml:space="preserve">this literature </w:t>
      </w:r>
      <w:r w:rsidR="00B66DBA">
        <w:t>draw</w:t>
      </w:r>
      <w:r w:rsidR="002C384F">
        <w:t>s</w:t>
      </w:r>
      <w:r w:rsidR="00B66DBA">
        <w:t xml:space="preserve"> on cross-sectional data, to draw conclusions about the relationships between </w:t>
      </w:r>
      <w:r w:rsidR="00031217">
        <w:t xml:space="preserve">built environment factors including </w:t>
      </w:r>
      <w:r w:rsidR="00631DE5">
        <w:t xml:space="preserve">density, and </w:t>
      </w:r>
      <w:r w:rsidR="00B66DBA">
        <w:t xml:space="preserve">travel behaviour.  Whether those findings can be used to predict the effects of </w:t>
      </w:r>
      <w:r w:rsidR="00C87C83">
        <w:t xml:space="preserve">intensification (i.e. </w:t>
      </w:r>
      <w:r w:rsidR="00B66DBA">
        <w:t>changes in density</w:t>
      </w:r>
      <w:r w:rsidR="00C87C83">
        <w:t>)</w:t>
      </w:r>
      <w:r w:rsidR="00B66DBA">
        <w:t xml:space="preserve"> is a disputed point. </w:t>
      </w:r>
      <w:r w:rsidR="00C87C83">
        <w:t xml:space="preserve">Relatively little </w:t>
      </w:r>
      <w:r w:rsidR="00031217">
        <w:t xml:space="preserve">direct </w:t>
      </w:r>
      <w:r w:rsidR="00C87C83">
        <w:t>evidence is available on the effects of urban intensification in practice:</w:t>
      </w:r>
      <w:r w:rsidR="002C384F">
        <w:t xml:space="preserve"> </w:t>
      </w:r>
      <w:r w:rsidR="00C87C83">
        <w:t>the few exceptions cited in this article leave many unanswered questions.</w:t>
      </w:r>
    </w:p>
    <w:p w:rsidR="00B66DBA" w:rsidRDefault="00B66DBA"/>
    <w:p w:rsidR="00B66DBA" w:rsidRDefault="00B66DBA">
      <w:r>
        <w:t xml:space="preserve">Average household sizes </w:t>
      </w:r>
      <w:r w:rsidR="00673247">
        <w:t>have been</w:t>
      </w:r>
      <w:r>
        <w:t xml:space="preserve"> falling across many developed countries in recent years.  A distinction should be drawn therefore between intensification which increases the population density of an area, and a limited intensification of dwellings which serves only to </w:t>
      </w:r>
      <w:r w:rsidR="00673247">
        <w:t>attenuate</w:t>
      </w:r>
      <w:r>
        <w:t xml:space="preserve"> a decline in population density.  In seeking to identify an underlying principle, this article will define urban intensification as an increase in the density of both dwellings and population.  The principle will have slightly different implications for the other, more limited, form of intensification. </w:t>
      </w:r>
    </w:p>
    <w:p w:rsidR="00B66DBA" w:rsidRDefault="00B66DBA"/>
    <w:p w:rsidR="002006B4" w:rsidRDefault="00D360E0" w:rsidP="00B66DBA">
      <w:r>
        <w:t>Within the literature</w:t>
      </w:r>
      <w:r w:rsidR="00673247">
        <w:t>, t</w:t>
      </w:r>
      <w:r w:rsidR="00B66DBA">
        <w:t xml:space="preserve">here is one example of a city where urban intensification has been practised, and </w:t>
      </w:r>
      <w:r>
        <w:t>where</w:t>
      </w:r>
      <w:r w:rsidR="00424E63">
        <w:t xml:space="preserve"> </w:t>
      </w:r>
      <w:r w:rsidR="00C87C83">
        <w:t xml:space="preserve">some </w:t>
      </w:r>
      <w:r w:rsidR="00424E63">
        <w:t xml:space="preserve">evidence is available on </w:t>
      </w:r>
      <w:r w:rsidR="00B66DBA">
        <w:t>its effects</w:t>
      </w:r>
      <w:r w:rsidR="00424E63">
        <w:t xml:space="preserve"> over time</w:t>
      </w:r>
      <w:r w:rsidR="002006B4">
        <w:t>.   P</w:t>
      </w:r>
      <w:r w:rsidR="00BA0D39">
        <w:t xml:space="preserve">ortland, Oregon has </w:t>
      </w:r>
      <w:r w:rsidR="002006B4">
        <w:t xml:space="preserve">sought to limit sprawl </w:t>
      </w:r>
      <w:r>
        <w:t xml:space="preserve">since the 1970s </w:t>
      </w:r>
      <w:r w:rsidR="002006B4">
        <w:t>by concentrating development within an urban growth boundary</w:t>
      </w:r>
      <w:r w:rsidR="00270119">
        <w:t>.</w:t>
      </w:r>
    </w:p>
    <w:p w:rsidR="002006B4" w:rsidRDefault="002006B4" w:rsidP="00B66DBA"/>
    <w:p w:rsidR="00B66DBA" w:rsidRDefault="00B66DBA" w:rsidP="00B66DBA">
      <w:r>
        <w:t xml:space="preserve">Jun </w:t>
      </w:r>
      <w:r w:rsidR="0033030D">
        <w:fldChar w:fldCharType="begin"/>
      </w:r>
      <w:r w:rsidR="009810AB">
        <w:instrText>ADDIN RW.CITE{{1763 Jun, M.J. 2008/a;}}</w:instrText>
      </w:r>
      <w:r w:rsidR="0033030D">
        <w:fldChar w:fldCharType="separate"/>
      </w:r>
      <w:r w:rsidR="00471E65">
        <w:t>(2008)</w:t>
      </w:r>
      <w:r w:rsidR="0033030D">
        <w:fldChar w:fldCharType="end"/>
      </w:r>
      <w:r w:rsidR="00D83E61">
        <w:t xml:space="preserve">, in </w:t>
      </w:r>
      <w:r>
        <w:t>analys</w:t>
      </w:r>
      <w:r w:rsidR="00D83E61">
        <w:t>ing</w:t>
      </w:r>
      <w:r>
        <w:t xml:space="preserve"> US Census data</w:t>
      </w:r>
      <w:r w:rsidR="001013EE">
        <w:t>,</w:t>
      </w:r>
      <w:r w:rsidR="00D83E61">
        <w:t xml:space="preserve"> conducted l</w:t>
      </w:r>
      <w:r>
        <w:t xml:space="preserve">ogistic regressions for the </w:t>
      </w:r>
      <w:r w:rsidR="002006B4">
        <w:t>1990 and 2000</w:t>
      </w:r>
      <w:r>
        <w:t xml:space="preserve"> datasets</w:t>
      </w:r>
      <w:r w:rsidR="00D83E61">
        <w:t>, but</w:t>
      </w:r>
      <w:r>
        <w:t xml:space="preserve"> found no significant relationship between the density of housing at the residence block level and mode choice.  </w:t>
      </w:r>
      <w:r w:rsidR="004C1642">
        <w:t xml:space="preserve">The modal share of driving by commuters fell by just 2.4%.  </w:t>
      </w:r>
    </w:p>
    <w:p w:rsidR="0014280C" w:rsidRDefault="0014280C" w:rsidP="00B66DBA"/>
    <w:p w:rsidR="0014280C" w:rsidRDefault="0014280C" w:rsidP="00B66DBA">
      <w:r>
        <w:t xml:space="preserve">Jun’s study did not measure vehicle miles travelled (VMT).  </w:t>
      </w:r>
      <w:r w:rsidR="00C8016B">
        <w:t xml:space="preserve">Some </w:t>
      </w:r>
      <w:r>
        <w:t>North American studies</w:t>
      </w:r>
      <w:r w:rsidR="002A0555">
        <w:t xml:space="preserve"> </w:t>
      </w:r>
      <w:r w:rsidR="00C8016B">
        <w:t xml:space="preserve">including one using data for Portland </w:t>
      </w:r>
      <w:r w:rsidR="0033030D">
        <w:fldChar w:fldCharType="begin"/>
      </w:r>
      <w:r w:rsidR="00C8016B">
        <w:instrText>ADDIN RW.CITE{{1814 Sun,Xiaoduan 1998}}</w:instrText>
      </w:r>
      <w:r w:rsidR="0033030D">
        <w:fldChar w:fldCharType="separate"/>
      </w:r>
      <w:r w:rsidR="00471E65">
        <w:t>(Sun et al, 1998)</w:t>
      </w:r>
      <w:r w:rsidR="0033030D">
        <w:fldChar w:fldCharType="end"/>
      </w:r>
      <w:r w:rsidR="00C8016B">
        <w:t xml:space="preserve"> </w:t>
      </w:r>
      <w:r>
        <w:t xml:space="preserve">have shown a </w:t>
      </w:r>
      <w:r w:rsidR="002A0555">
        <w:t>stronger relationship with</w:t>
      </w:r>
      <w:r>
        <w:t xml:space="preserve"> density </w:t>
      </w:r>
      <w:r w:rsidR="002A0555">
        <w:t>for</w:t>
      </w:r>
      <w:r>
        <w:t xml:space="preserve"> VMT than for vehicle trips.  </w:t>
      </w:r>
      <w:r w:rsidR="0033030D">
        <w:fldChar w:fldCharType="begin"/>
      </w:r>
      <w:r w:rsidR="00C7216C">
        <w:instrText xml:space="preserve"> REF _Ref260220592 \h </w:instrText>
      </w:r>
      <w:r w:rsidR="0033030D">
        <w:fldChar w:fldCharType="separate"/>
      </w:r>
      <w:r w:rsidR="00B318EA">
        <w:t xml:space="preserve">Table </w:t>
      </w:r>
      <w:r w:rsidR="00B318EA">
        <w:rPr>
          <w:noProof/>
        </w:rPr>
        <w:t>1</w:t>
      </w:r>
      <w:r w:rsidR="0033030D">
        <w:fldChar w:fldCharType="end"/>
      </w:r>
      <w:r w:rsidR="00C7216C">
        <w:t xml:space="preserve"> </w:t>
      </w:r>
      <w:r w:rsidR="0033030D">
        <w:fldChar w:fldCharType="begin"/>
      </w:r>
      <w:r w:rsidR="00C8016B">
        <w:instrText>ADDIN RW.CITE{{1813 Schrank, D. 2009/pdrawn from ;}}</w:instrText>
      </w:r>
      <w:r w:rsidR="0033030D">
        <w:fldChar w:fldCharType="separate"/>
      </w:r>
      <w:r w:rsidR="00471E65">
        <w:t>(drawn from Schrank and Lomax, 2009)</w:t>
      </w:r>
      <w:r w:rsidR="0033030D">
        <w:fldChar w:fldCharType="end"/>
      </w:r>
      <w:r w:rsidR="00C8016B">
        <w:t xml:space="preserve"> </w:t>
      </w:r>
      <w:r w:rsidR="00C7216C">
        <w:t>shows a clear dive</w:t>
      </w:r>
      <w:r w:rsidR="00AC3421">
        <w:t>rgence between Portland and other</w:t>
      </w:r>
      <w:r w:rsidR="00C7216C">
        <w:t xml:space="preserve"> large urban areas (population between 1 and 3 million), which reduced population </w:t>
      </w:r>
      <w:r w:rsidR="00AC3421">
        <w:t xml:space="preserve">density </w:t>
      </w:r>
      <w:r w:rsidR="00C7216C">
        <w:t xml:space="preserve">over the </w:t>
      </w:r>
      <w:r w:rsidR="00B95376">
        <w:t>decade</w:t>
      </w:r>
      <w:r w:rsidR="00C7216C">
        <w:t xml:space="preserve"> (a trend which has </w:t>
      </w:r>
      <w:r w:rsidR="00AC3421">
        <w:t>begun to reverse</w:t>
      </w:r>
      <w:r w:rsidR="00C7216C">
        <w:t xml:space="preserve"> more recently).  Portland’s upward trend in VMT was less than average, whereas the number of peak travellers (by all modes) increased considerably more than average.  As the modal share fell only slightly, as expected, congestion increased more rapidly than average.</w:t>
      </w:r>
    </w:p>
    <w:p w:rsidR="0014280C" w:rsidRDefault="0014280C" w:rsidP="00B66DBA"/>
    <w:tbl>
      <w:tblPr>
        <w:tblStyle w:val="TableGrid"/>
        <w:tblW w:w="0" w:type="auto"/>
        <w:tblLook w:val="04A0"/>
      </w:tblPr>
      <w:tblGrid>
        <w:gridCol w:w="3936"/>
        <w:gridCol w:w="1134"/>
        <w:gridCol w:w="1275"/>
        <w:gridCol w:w="1134"/>
        <w:gridCol w:w="1241"/>
      </w:tblGrid>
      <w:tr w:rsidR="00F23622" w:rsidRPr="007273B5" w:rsidTr="009505EF">
        <w:tc>
          <w:tcPr>
            <w:tcW w:w="3936" w:type="dxa"/>
            <w:vAlign w:val="bottom"/>
          </w:tcPr>
          <w:p w:rsidR="00F23622" w:rsidRPr="007273B5" w:rsidRDefault="00F23622" w:rsidP="00F01851">
            <w:pPr>
              <w:keepNext/>
            </w:pPr>
          </w:p>
        </w:tc>
        <w:tc>
          <w:tcPr>
            <w:tcW w:w="2409" w:type="dxa"/>
            <w:gridSpan w:val="2"/>
            <w:shd w:val="clear" w:color="auto" w:fill="D9D9D9" w:themeFill="background1" w:themeFillShade="D9"/>
          </w:tcPr>
          <w:p w:rsidR="00F23622" w:rsidRPr="00F23622" w:rsidRDefault="00F23622" w:rsidP="00F01851">
            <w:pPr>
              <w:keepNext/>
              <w:jc w:val="center"/>
              <w:rPr>
                <w:b/>
              </w:rPr>
            </w:pPr>
            <w:r w:rsidRPr="00F23622">
              <w:rPr>
                <w:b/>
                <w:color w:val="000000"/>
              </w:rPr>
              <w:t>Portland</w:t>
            </w:r>
          </w:p>
        </w:tc>
        <w:tc>
          <w:tcPr>
            <w:tcW w:w="2375" w:type="dxa"/>
            <w:gridSpan w:val="2"/>
            <w:shd w:val="clear" w:color="auto" w:fill="D9D9D9" w:themeFill="background1" w:themeFillShade="D9"/>
          </w:tcPr>
          <w:p w:rsidR="00F23622" w:rsidRPr="00F23622" w:rsidRDefault="00F23622" w:rsidP="00F23622">
            <w:pPr>
              <w:keepNext/>
              <w:jc w:val="center"/>
              <w:rPr>
                <w:b/>
              </w:rPr>
            </w:pPr>
            <w:r>
              <w:rPr>
                <w:b/>
                <w:color w:val="000000"/>
              </w:rPr>
              <w:t>Large Urban Areas</w:t>
            </w:r>
          </w:p>
        </w:tc>
      </w:tr>
      <w:tr w:rsidR="00F23622" w:rsidRPr="007273B5" w:rsidTr="009505EF">
        <w:tc>
          <w:tcPr>
            <w:tcW w:w="3936" w:type="dxa"/>
            <w:vAlign w:val="bottom"/>
          </w:tcPr>
          <w:p w:rsidR="00F23622" w:rsidRPr="007273B5" w:rsidRDefault="00F23622" w:rsidP="00F01851">
            <w:pPr>
              <w:keepNext/>
              <w:rPr>
                <w:color w:val="000000"/>
              </w:rPr>
            </w:pPr>
          </w:p>
        </w:tc>
        <w:tc>
          <w:tcPr>
            <w:tcW w:w="1134" w:type="dxa"/>
            <w:shd w:val="clear" w:color="auto" w:fill="D9D9D9" w:themeFill="background1" w:themeFillShade="D9"/>
            <w:vAlign w:val="bottom"/>
          </w:tcPr>
          <w:p w:rsidR="00F23622" w:rsidRPr="00F23622" w:rsidRDefault="00F23622" w:rsidP="00F23622">
            <w:pPr>
              <w:keepNext/>
              <w:jc w:val="center"/>
              <w:rPr>
                <w:b/>
                <w:color w:val="000000"/>
              </w:rPr>
            </w:pPr>
            <w:r w:rsidRPr="00F23622">
              <w:rPr>
                <w:b/>
                <w:color w:val="000000"/>
              </w:rPr>
              <w:t>2000</w:t>
            </w:r>
          </w:p>
        </w:tc>
        <w:tc>
          <w:tcPr>
            <w:tcW w:w="1275" w:type="dxa"/>
            <w:shd w:val="clear" w:color="auto" w:fill="D9D9D9" w:themeFill="background1" w:themeFillShade="D9"/>
            <w:vAlign w:val="bottom"/>
          </w:tcPr>
          <w:p w:rsidR="00F23622" w:rsidRPr="00F23622" w:rsidRDefault="00F23622" w:rsidP="00F23622">
            <w:pPr>
              <w:keepNext/>
              <w:jc w:val="center"/>
              <w:rPr>
                <w:b/>
                <w:color w:val="000000"/>
              </w:rPr>
            </w:pPr>
            <w:r>
              <w:rPr>
                <w:b/>
                <w:color w:val="000000"/>
              </w:rPr>
              <w:t>Change</w:t>
            </w:r>
          </w:p>
        </w:tc>
        <w:tc>
          <w:tcPr>
            <w:tcW w:w="1134" w:type="dxa"/>
            <w:shd w:val="clear" w:color="auto" w:fill="D9D9D9" w:themeFill="background1" w:themeFillShade="D9"/>
            <w:vAlign w:val="bottom"/>
          </w:tcPr>
          <w:p w:rsidR="00F23622" w:rsidRPr="00F23622" w:rsidRDefault="00F23622" w:rsidP="00F23622">
            <w:pPr>
              <w:keepNext/>
              <w:jc w:val="center"/>
              <w:rPr>
                <w:b/>
                <w:color w:val="000000"/>
              </w:rPr>
            </w:pPr>
            <w:r w:rsidRPr="00F23622">
              <w:rPr>
                <w:b/>
                <w:color w:val="000000"/>
              </w:rPr>
              <w:t>2000</w:t>
            </w:r>
          </w:p>
        </w:tc>
        <w:tc>
          <w:tcPr>
            <w:tcW w:w="1241" w:type="dxa"/>
            <w:shd w:val="clear" w:color="auto" w:fill="D9D9D9" w:themeFill="background1" w:themeFillShade="D9"/>
            <w:vAlign w:val="bottom"/>
          </w:tcPr>
          <w:p w:rsidR="00F23622" w:rsidRPr="00F23622" w:rsidRDefault="00F23622" w:rsidP="00F23622">
            <w:pPr>
              <w:keepNext/>
              <w:jc w:val="center"/>
              <w:rPr>
                <w:b/>
                <w:color w:val="000000"/>
              </w:rPr>
            </w:pPr>
            <w:r w:rsidRPr="00F23622">
              <w:rPr>
                <w:b/>
                <w:color w:val="000000"/>
              </w:rPr>
              <w:t>Change</w:t>
            </w:r>
          </w:p>
        </w:tc>
      </w:tr>
      <w:tr w:rsidR="001C4141" w:rsidRPr="007273B5" w:rsidTr="00D92FFA">
        <w:tc>
          <w:tcPr>
            <w:tcW w:w="3936" w:type="dxa"/>
            <w:vAlign w:val="bottom"/>
          </w:tcPr>
          <w:p w:rsidR="001C4141" w:rsidRPr="007273B5" w:rsidRDefault="001C4141" w:rsidP="00F01851">
            <w:pPr>
              <w:keepNext/>
            </w:pPr>
            <w:r w:rsidRPr="007273B5">
              <w:rPr>
                <w:color w:val="000000"/>
              </w:rPr>
              <w:t>Population Density</w:t>
            </w:r>
            <w:r>
              <w:rPr>
                <w:color w:val="000000"/>
              </w:rPr>
              <w:t xml:space="preserve"> (per sq. mile)</w:t>
            </w:r>
          </w:p>
        </w:tc>
        <w:tc>
          <w:tcPr>
            <w:tcW w:w="1134" w:type="dxa"/>
          </w:tcPr>
          <w:p w:rsidR="001C4141" w:rsidRPr="002A2F3C" w:rsidRDefault="001C4141" w:rsidP="009505EF">
            <w:pPr>
              <w:jc w:val="right"/>
            </w:pPr>
            <w:r w:rsidRPr="002A2F3C">
              <w:t xml:space="preserve"> 3,059 </w:t>
            </w:r>
          </w:p>
        </w:tc>
        <w:tc>
          <w:tcPr>
            <w:tcW w:w="1275" w:type="dxa"/>
          </w:tcPr>
          <w:p w:rsidR="001C4141" w:rsidRPr="00923A6A" w:rsidRDefault="001C4141" w:rsidP="001C4141">
            <w:pPr>
              <w:jc w:val="right"/>
            </w:pPr>
            <w:r w:rsidRPr="00923A6A">
              <w:t>8.0%</w:t>
            </w:r>
          </w:p>
        </w:tc>
        <w:tc>
          <w:tcPr>
            <w:tcW w:w="1134" w:type="dxa"/>
          </w:tcPr>
          <w:p w:rsidR="001C4141" w:rsidRPr="00713B25" w:rsidRDefault="001C4141" w:rsidP="009505EF">
            <w:pPr>
              <w:jc w:val="right"/>
            </w:pPr>
            <w:r w:rsidRPr="00713B25">
              <w:t xml:space="preserve"> 2,100 </w:t>
            </w:r>
          </w:p>
        </w:tc>
        <w:tc>
          <w:tcPr>
            <w:tcW w:w="1241" w:type="dxa"/>
          </w:tcPr>
          <w:p w:rsidR="001C4141" w:rsidRPr="00874650" w:rsidRDefault="001C4141" w:rsidP="001C4141">
            <w:pPr>
              <w:jc w:val="right"/>
            </w:pPr>
            <w:r w:rsidRPr="00874650">
              <w:t>-6.2%</w:t>
            </w:r>
          </w:p>
        </w:tc>
      </w:tr>
      <w:tr w:rsidR="001C4141" w:rsidRPr="007273B5" w:rsidTr="00D92FFA">
        <w:tc>
          <w:tcPr>
            <w:tcW w:w="3936" w:type="dxa"/>
            <w:vAlign w:val="bottom"/>
          </w:tcPr>
          <w:p w:rsidR="001C4141" w:rsidRPr="007273B5" w:rsidRDefault="001C4141" w:rsidP="00F01851">
            <w:pPr>
              <w:keepNext/>
            </w:pPr>
            <w:r w:rsidRPr="007273B5">
              <w:rPr>
                <w:color w:val="000000"/>
              </w:rPr>
              <w:t>VMT on freeways &amp; arterials</w:t>
            </w:r>
            <w:r>
              <w:rPr>
                <w:color w:val="000000"/>
              </w:rPr>
              <w:t xml:space="preserve"> (1000s)</w:t>
            </w:r>
          </w:p>
        </w:tc>
        <w:tc>
          <w:tcPr>
            <w:tcW w:w="1134" w:type="dxa"/>
          </w:tcPr>
          <w:p w:rsidR="001C4141" w:rsidRPr="002A2F3C" w:rsidRDefault="001C4141" w:rsidP="009505EF">
            <w:pPr>
              <w:jc w:val="right"/>
            </w:pPr>
            <w:r w:rsidRPr="002A2F3C">
              <w:t xml:space="preserve"> 24,065 </w:t>
            </w:r>
          </w:p>
        </w:tc>
        <w:tc>
          <w:tcPr>
            <w:tcW w:w="1275" w:type="dxa"/>
          </w:tcPr>
          <w:p w:rsidR="001C4141" w:rsidRPr="00923A6A" w:rsidRDefault="001C4141" w:rsidP="001C4141">
            <w:pPr>
              <w:jc w:val="right"/>
            </w:pPr>
            <w:r w:rsidRPr="00923A6A">
              <w:t>30.7%</w:t>
            </w:r>
          </w:p>
        </w:tc>
        <w:tc>
          <w:tcPr>
            <w:tcW w:w="1134" w:type="dxa"/>
          </w:tcPr>
          <w:p w:rsidR="001C4141" w:rsidRPr="00713B25" w:rsidRDefault="001C4141" w:rsidP="009505EF">
            <w:pPr>
              <w:jc w:val="right"/>
            </w:pPr>
            <w:r w:rsidRPr="00713B25">
              <w:t xml:space="preserve"> 26,688 </w:t>
            </w:r>
          </w:p>
        </w:tc>
        <w:tc>
          <w:tcPr>
            <w:tcW w:w="1241" w:type="dxa"/>
          </w:tcPr>
          <w:p w:rsidR="001C4141" w:rsidRPr="00874650" w:rsidRDefault="001C4141" w:rsidP="001C4141">
            <w:pPr>
              <w:jc w:val="right"/>
            </w:pPr>
            <w:r w:rsidRPr="00874650">
              <w:t>38.2%</w:t>
            </w:r>
          </w:p>
        </w:tc>
      </w:tr>
      <w:tr w:rsidR="001C4141" w:rsidRPr="007273B5" w:rsidTr="00D92FFA">
        <w:tc>
          <w:tcPr>
            <w:tcW w:w="3936" w:type="dxa"/>
            <w:vAlign w:val="bottom"/>
          </w:tcPr>
          <w:p w:rsidR="001C4141" w:rsidRPr="007273B5" w:rsidRDefault="001C4141" w:rsidP="009505EF">
            <w:pPr>
              <w:keepNext/>
            </w:pPr>
            <w:r w:rsidRPr="007273B5">
              <w:rPr>
                <w:color w:val="000000"/>
              </w:rPr>
              <w:t>Peak Travellers</w:t>
            </w:r>
            <w:r>
              <w:rPr>
                <w:color w:val="000000"/>
              </w:rPr>
              <w:t xml:space="preserve"> (1000s)</w:t>
            </w:r>
          </w:p>
        </w:tc>
        <w:tc>
          <w:tcPr>
            <w:tcW w:w="1134" w:type="dxa"/>
          </w:tcPr>
          <w:p w:rsidR="001C4141" w:rsidRPr="002A2F3C" w:rsidRDefault="001C4141" w:rsidP="009505EF">
            <w:pPr>
              <w:jc w:val="right"/>
            </w:pPr>
            <w:r w:rsidRPr="002A2F3C">
              <w:t xml:space="preserve"> 749</w:t>
            </w:r>
          </w:p>
        </w:tc>
        <w:tc>
          <w:tcPr>
            <w:tcW w:w="1275" w:type="dxa"/>
          </w:tcPr>
          <w:p w:rsidR="001C4141" w:rsidRPr="00923A6A" w:rsidRDefault="001C4141" w:rsidP="001C4141">
            <w:pPr>
              <w:jc w:val="right"/>
            </w:pPr>
            <w:r w:rsidRPr="00923A6A">
              <w:t>52.5%</w:t>
            </w:r>
          </w:p>
        </w:tc>
        <w:tc>
          <w:tcPr>
            <w:tcW w:w="1134" w:type="dxa"/>
          </w:tcPr>
          <w:p w:rsidR="001C4141" w:rsidRPr="00713B25" w:rsidRDefault="001C4141" w:rsidP="009505EF">
            <w:pPr>
              <w:jc w:val="right"/>
            </w:pPr>
            <w:r w:rsidRPr="00713B25">
              <w:t xml:space="preserve"> 757 </w:t>
            </w:r>
          </w:p>
        </w:tc>
        <w:tc>
          <w:tcPr>
            <w:tcW w:w="1241" w:type="dxa"/>
          </w:tcPr>
          <w:p w:rsidR="001C4141" w:rsidRPr="00874650" w:rsidRDefault="001C4141" w:rsidP="001C4141">
            <w:pPr>
              <w:jc w:val="right"/>
            </w:pPr>
            <w:r w:rsidRPr="00874650">
              <w:t>38.9%</w:t>
            </w:r>
          </w:p>
        </w:tc>
      </w:tr>
      <w:tr w:rsidR="001C4141" w:rsidRPr="007273B5" w:rsidTr="00D92FFA">
        <w:tc>
          <w:tcPr>
            <w:tcW w:w="3936" w:type="dxa"/>
            <w:vAlign w:val="bottom"/>
          </w:tcPr>
          <w:p w:rsidR="001C4141" w:rsidRPr="007273B5" w:rsidRDefault="001C4141" w:rsidP="00F01851">
            <w:pPr>
              <w:keepNext/>
            </w:pPr>
            <w:r w:rsidRPr="007273B5">
              <w:rPr>
                <w:color w:val="000000"/>
              </w:rPr>
              <w:t>Public transport miles</w:t>
            </w:r>
            <w:r>
              <w:rPr>
                <w:color w:val="000000"/>
              </w:rPr>
              <w:t xml:space="preserve"> (millions)</w:t>
            </w:r>
          </w:p>
        </w:tc>
        <w:tc>
          <w:tcPr>
            <w:tcW w:w="1134" w:type="dxa"/>
          </w:tcPr>
          <w:p w:rsidR="001C4141" w:rsidRPr="002A2F3C" w:rsidRDefault="001C4141" w:rsidP="009505EF">
            <w:pPr>
              <w:jc w:val="right"/>
            </w:pPr>
            <w:r w:rsidRPr="002A2F3C">
              <w:t xml:space="preserve"> 394 </w:t>
            </w:r>
          </w:p>
        </w:tc>
        <w:tc>
          <w:tcPr>
            <w:tcW w:w="1275" w:type="dxa"/>
          </w:tcPr>
          <w:p w:rsidR="001C4141" w:rsidRPr="00923A6A" w:rsidRDefault="001C4141" w:rsidP="001C4141">
            <w:pPr>
              <w:jc w:val="right"/>
            </w:pPr>
            <w:r w:rsidRPr="00923A6A">
              <w:t>83.3%</w:t>
            </w:r>
          </w:p>
        </w:tc>
        <w:tc>
          <w:tcPr>
            <w:tcW w:w="1134" w:type="dxa"/>
          </w:tcPr>
          <w:p w:rsidR="001C4141" w:rsidRPr="00713B25" w:rsidRDefault="001C4141" w:rsidP="009505EF">
            <w:pPr>
              <w:jc w:val="right"/>
            </w:pPr>
            <w:r w:rsidRPr="00713B25">
              <w:t xml:space="preserve"> 195 </w:t>
            </w:r>
          </w:p>
        </w:tc>
        <w:tc>
          <w:tcPr>
            <w:tcW w:w="1241" w:type="dxa"/>
          </w:tcPr>
          <w:p w:rsidR="001C4141" w:rsidRPr="00874650" w:rsidRDefault="001C4141" w:rsidP="001C4141">
            <w:pPr>
              <w:jc w:val="right"/>
            </w:pPr>
            <w:r w:rsidRPr="00874650">
              <w:t>31.8%</w:t>
            </w:r>
          </w:p>
        </w:tc>
      </w:tr>
      <w:tr w:rsidR="001C4141" w:rsidRPr="007273B5" w:rsidTr="00D92FFA">
        <w:tc>
          <w:tcPr>
            <w:tcW w:w="3936" w:type="dxa"/>
            <w:vAlign w:val="bottom"/>
          </w:tcPr>
          <w:p w:rsidR="001C4141" w:rsidRPr="007273B5" w:rsidRDefault="001C4141" w:rsidP="00F01851">
            <w:pPr>
              <w:keepNext/>
            </w:pPr>
            <w:r>
              <w:rPr>
                <w:color w:val="000000"/>
              </w:rPr>
              <w:t>Total Delay (1000s of peak hours)</w:t>
            </w:r>
          </w:p>
        </w:tc>
        <w:tc>
          <w:tcPr>
            <w:tcW w:w="1134" w:type="dxa"/>
          </w:tcPr>
          <w:p w:rsidR="001C4141" w:rsidRPr="002A2F3C" w:rsidRDefault="001C4141" w:rsidP="009505EF">
            <w:pPr>
              <w:jc w:val="right"/>
            </w:pPr>
            <w:r w:rsidRPr="002A2F3C">
              <w:t xml:space="preserve"> 28,237 </w:t>
            </w:r>
          </w:p>
        </w:tc>
        <w:tc>
          <w:tcPr>
            <w:tcW w:w="1275" w:type="dxa"/>
          </w:tcPr>
          <w:p w:rsidR="001C4141" w:rsidRPr="00923A6A" w:rsidRDefault="001C4141" w:rsidP="001C4141">
            <w:pPr>
              <w:jc w:val="right"/>
            </w:pPr>
            <w:r w:rsidRPr="00923A6A">
              <w:t>154.0%</w:t>
            </w:r>
          </w:p>
        </w:tc>
        <w:tc>
          <w:tcPr>
            <w:tcW w:w="1134" w:type="dxa"/>
          </w:tcPr>
          <w:p w:rsidR="001C4141" w:rsidRPr="00713B25" w:rsidRDefault="001C4141" w:rsidP="009505EF">
            <w:pPr>
              <w:jc w:val="right"/>
            </w:pPr>
            <w:r w:rsidRPr="00713B25">
              <w:t xml:space="preserve"> 25,706 </w:t>
            </w:r>
          </w:p>
        </w:tc>
        <w:tc>
          <w:tcPr>
            <w:tcW w:w="1241" w:type="dxa"/>
          </w:tcPr>
          <w:p w:rsidR="001C4141" w:rsidRPr="00874650" w:rsidRDefault="001C4141" w:rsidP="001C4141">
            <w:pPr>
              <w:jc w:val="right"/>
            </w:pPr>
            <w:r w:rsidRPr="00874650">
              <w:t>99.0%</w:t>
            </w:r>
          </w:p>
        </w:tc>
      </w:tr>
      <w:tr w:rsidR="001C4141" w:rsidRPr="007273B5" w:rsidTr="00D92FFA">
        <w:tc>
          <w:tcPr>
            <w:tcW w:w="3936" w:type="dxa"/>
            <w:vAlign w:val="bottom"/>
          </w:tcPr>
          <w:p w:rsidR="001C4141" w:rsidRPr="007273B5" w:rsidRDefault="001C4141" w:rsidP="00F01851">
            <w:pPr>
              <w:keepNext/>
            </w:pPr>
            <w:r>
              <w:rPr>
                <w:color w:val="000000"/>
              </w:rPr>
              <w:t xml:space="preserve">Delay per peak </w:t>
            </w:r>
            <w:r w:rsidRPr="007273B5">
              <w:rPr>
                <w:color w:val="000000"/>
              </w:rPr>
              <w:t>traveller</w:t>
            </w:r>
            <w:r>
              <w:rPr>
                <w:color w:val="000000"/>
              </w:rPr>
              <w:t xml:space="preserve"> (hours)</w:t>
            </w:r>
          </w:p>
        </w:tc>
        <w:tc>
          <w:tcPr>
            <w:tcW w:w="1134" w:type="dxa"/>
          </w:tcPr>
          <w:p w:rsidR="001C4141" w:rsidRDefault="001C4141" w:rsidP="009505EF">
            <w:pPr>
              <w:jc w:val="right"/>
            </w:pPr>
            <w:r w:rsidRPr="002A2F3C">
              <w:t xml:space="preserve"> 38 </w:t>
            </w:r>
          </w:p>
        </w:tc>
        <w:tc>
          <w:tcPr>
            <w:tcW w:w="1275" w:type="dxa"/>
          </w:tcPr>
          <w:p w:rsidR="001C4141" w:rsidRDefault="001C4141" w:rsidP="001C4141">
            <w:pPr>
              <w:jc w:val="right"/>
            </w:pPr>
            <w:r w:rsidRPr="00923A6A">
              <w:t>65.2%</w:t>
            </w:r>
          </w:p>
        </w:tc>
        <w:tc>
          <w:tcPr>
            <w:tcW w:w="1134" w:type="dxa"/>
          </w:tcPr>
          <w:p w:rsidR="001C4141" w:rsidRDefault="001C4141" w:rsidP="009505EF">
            <w:pPr>
              <w:jc w:val="right"/>
            </w:pPr>
            <w:r w:rsidRPr="00713B25">
              <w:t xml:space="preserve"> 34 </w:t>
            </w:r>
          </w:p>
        </w:tc>
        <w:tc>
          <w:tcPr>
            <w:tcW w:w="1241" w:type="dxa"/>
          </w:tcPr>
          <w:p w:rsidR="001C4141" w:rsidRDefault="001C4141" w:rsidP="001C4141">
            <w:pPr>
              <w:jc w:val="right"/>
            </w:pPr>
            <w:r w:rsidRPr="00874650">
              <w:t>41.7%</w:t>
            </w:r>
          </w:p>
        </w:tc>
      </w:tr>
    </w:tbl>
    <w:p w:rsidR="00410689" w:rsidRDefault="00627176" w:rsidP="00F01851">
      <w:pPr>
        <w:pStyle w:val="Caption"/>
        <w:keepNext/>
        <w:jc w:val="center"/>
        <w:rPr>
          <w:b w:val="0"/>
        </w:rPr>
      </w:pPr>
      <w:bookmarkStart w:id="1" w:name="_Ref260220592"/>
      <w:r>
        <w:t xml:space="preserve">Table </w:t>
      </w:r>
      <w:fldSimple w:instr=" SEQ Table \* ARABIC ">
        <w:r w:rsidR="00B318EA">
          <w:rPr>
            <w:noProof/>
          </w:rPr>
          <w:t>1</w:t>
        </w:r>
      </w:fldSimple>
      <w:bookmarkEnd w:id="1"/>
      <w:r>
        <w:t xml:space="preserve"> Portland and </w:t>
      </w:r>
      <w:r w:rsidR="009505EF">
        <w:t>Average for</w:t>
      </w:r>
      <w:r>
        <w:t xml:space="preserve"> US Large Urban Areas, Changes 1990 - 2000.  Source: (Schrank, Lomax 2009) </w:t>
      </w:r>
    </w:p>
    <w:p w:rsidR="0014280C" w:rsidRDefault="0014280C" w:rsidP="00B66DBA"/>
    <w:p w:rsidR="00EE7C3B" w:rsidRDefault="00222A04" w:rsidP="00B66DBA">
      <w:r>
        <w:lastRenderedPageBreak/>
        <w:t xml:space="preserve">The traffic and congestion data in </w:t>
      </w:r>
      <w:r w:rsidR="0033030D">
        <w:fldChar w:fldCharType="begin"/>
      </w:r>
      <w:r>
        <w:instrText xml:space="preserve"> REF _Ref260220592 \h </w:instrText>
      </w:r>
      <w:r w:rsidR="0033030D">
        <w:fldChar w:fldCharType="separate"/>
      </w:r>
      <w:r w:rsidR="00B318EA">
        <w:t xml:space="preserve">Table </w:t>
      </w:r>
      <w:r w:rsidR="00B318EA">
        <w:rPr>
          <w:noProof/>
        </w:rPr>
        <w:t>1</w:t>
      </w:r>
      <w:r w:rsidR="0033030D">
        <w:fldChar w:fldCharType="end"/>
      </w:r>
      <w:r>
        <w:t xml:space="preserve"> refers only to freeways and arterial roads.  For Portland as a whole, b</w:t>
      </w:r>
      <w:r w:rsidR="00A70999">
        <w:t xml:space="preserve">etween 1990 and 2002, VMT increased by 36% </w:t>
      </w:r>
      <w:r w:rsidR="0033030D">
        <w:fldChar w:fldCharType="begin"/>
      </w:r>
      <w:r w:rsidR="00A70999">
        <w:instrText>ADDIN RW.CITE{{1780 Oregon Metro 2010}}</w:instrText>
      </w:r>
      <w:r w:rsidR="0033030D">
        <w:fldChar w:fldCharType="separate"/>
      </w:r>
      <w:r w:rsidR="00471E65">
        <w:t>(Oregon Metro, 2010)</w:t>
      </w:r>
      <w:r w:rsidR="0033030D">
        <w:fldChar w:fldCharType="end"/>
      </w:r>
      <w:r w:rsidR="00A70999">
        <w:t xml:space="preserve"> – twice the national increase for </w:t>
      </w:r>
      <w:r>
        <w:t xml:space="preserve">all </w:t>
      </w:r>
      <w:r w:rsidR="00A70999">
        <w:t xml:space="preserve">urban roads over the same period </w:t>
      </w:r>
      <w:r w:rsidR="0033030D">
        <w:fldChar w:fldCharType="begin"/>
      </w:r>
      <w:r w:rsidR="00A70999">
        <w:instrText>ADDIN RW.CITE{{1770 AAA 2005}}</w:instrText>
      </w:r>
      <w:r w:rsidR="0033030D">
        <w:fldChar w:fldCharType="separate"/>
      </w:r>
      <w:r w:rsidR="00471E65">
        <w:t>(AAA, 2005)</w:t>
      </w:r>
      <w:r w:rsidR="0033030D">
        <w:fldChar w:fldCharType="end"/>
      </w:r>
      <w:r w:rsidR="00A70999">
        <w:t xml:space="preserve">.  </w:t>
      </w:r>
    </w:p>
    <w:p w:rsidR="00222A04" w:rsidRDefault="00222A04" w:rsidP="00B66DBA"/>
    <w:p w:rsidR="00B66DBA" w:rsidRDefault="00B66DBA" w:rsidP="00B66DBA">
      <w:r>
        <w:t>The Portland</w:t>
      </w:r>
      <w:r w:rsidR="00EF0D86">
        <w:t xml:space="preserve"> example is interesting because</w:t>
      </w:r>
      <w:r>
        <w:t xml:space="preserve"> the intensification was accompanied by a concentration of activities in the city centre, traffic restraint and expansion of public transport.  Indeed, Portland </w:t>
      </w:r>
      <w:r w:rsidR="00C87C83">
        <w:t>has been described as a “poster child for ‘smart growth’ policies”</w:t>
      </w:r>
      <w:r w:rsidR="008A1F8B">
        <w:t xml:space="preserve"> </w:t>
      </w:r>
      <w:r w:rsidR="0033030D">
        <w:fldChar w:fldCharType="begin"/>
      </w:r>
      <w:r w:rsidR="008A1F8B">
        <w:instrText>ADDIN RW.CITE{{1809 TRB 2009}}</w:instrText>
      </w:r>
      <w:r w:rsidR="0033030D">
        <w:fldChar w:fldCharType="separate"/>
      </w:r>
      <w:r w:rsidR="00471E65">
        <w:t>(TRB, 2009)</w:t>
      </w:r>
      <w:r w:rsidR="0033030D">
        <w:fldChar w:fldCharType="end"/>
      </w:r>
      <w:r w:rsidR="008A1F8B">
        <w:t xml:space="preserve"> </w:t>
      </w:r>
      <w:r>
        <w:t xml:space="preserve">  Although these policies have contributed to  </w:t>
      </w:r>
      <w:r w:rsidR="00EE7C3B">
        <w:t xml:space="preserve">the substantial </w:t>
      </w:r>
      <w:r>
        <w:t xml:space="preserve">increase in public transport </w:t>
      </w:r>
      <w:r w:rsidR="00EE7C3B">
        <w:t xml:space="preserve">shown above, </w:t>
      </w:r>
      <w:r w:rsidR="00C87C83">
        <w:t xml:space="preserve">and a decline in </w:t>
      </w:r>
      <w:r w:rsidR="008A1F8B">
        <w:t xml:space="preserve">per capita </w:t>
      </w:r>
      <w:r w:rsidR="00C87C83">
        <w:t>VMT, against the national trend</w:t>
      </w:r>
      <w:r>
        <w:t xml:space="preserve"> </w:t>
      </w:r>
      <w:r w:rsidR="0033030D">
        <w:fldChar w:fldCharType="begin"/>
      </w:r>
      <w:r w:rsidR="00C87C83">
        <w:instrText>ADDIN RW.CITE{{1809 TRB 2009}}</w:instrText>
      </w:r>
      <w:r w:rsidR="0033030D">
        <w:fldChar w:fldCharType="separate"/>
      </w:r>
      <w:r w:rsidR="00471E65">
        <w:t>(TRB, 2009)</w:t>
      </w:r>
      <w:r w:rsidR="0033030D">
        <w:fldChar w:fldCharType="end"/>
      </w:r>
      <w:r w:rsidR="00C87C83">
        <w:t xml:space="preserve"> </w:t>
      </w:r>
      <w:r w:rsidR="00EE7C3B">
        <w:t>this has been insufficient</w:t>
      </w:r>
      <w:r>
        <w:t xml:space="preserve"> to counteract the increase in traffic</w:t>
      </w:r>
      <w:r w:rsidR="00222A04">
        <w:t xml:space="preserve"> volumes and </w:t>
      </w:r>
      <w:r w:rsidR="000144A2">
        <w:t>congestion</w:t>
      </w:r>
      <w:r>
        <w:t xml:space="preserve">, partly due to </w:t>
      </w:r>
      <w:r w:rsidR="00EF0D86">
        <w:t>increasing</w:t>
      </w:r>
      <w:r>
        <w:t xml:space="preserve"> population</w:t>
      </w:r>
      <w:r w:rsidR="00006E77">
        <w:t xml:space="preserve"> density</w:t>
      </w:r>
      <w:r>
        <w:t>, and partly due to other factors.</w:t>
      </w:r>
      <w:r w:rsidR="00222A04">
        <w:t xml:space="preserve"> </w:t>
      </w:r>
      <w:r w:rsidR="00547820">
        <w:t xml:space="preserve"> </w:t>
      </w:r>
    </w:p>
    <w:p w:rsidR="00B66DBA" w:rsidRDefault="00B66DBA"/>
    <w:p w:rsidR="001A02FD" w:rsidRDefault="001A02FD" w:rsidP="001A02FD">
      <w:r>
        <w:t xml:space="preserve">Portland started from a base of relatively low population densities.  In a country where densities were already much higher, Susilo and </w:t>
      </w:r>
      <w:proofErr w:type="spellStart"/>
      <w:r>
        <w:t>Maat</w:t>
      </w:r>
      <w:proofErr w:type="spellEnd"/>
      <w:r>
        <w:t xml:space="preserve"> </w:t>
      </w:r>
      <w:r w:rsidR="0033030D">
        <w:fldChar w:fldCharType="begin"/>
      </w:r>
      <w:r w:rsidR="001154BA">
        <w:instrText>ADDIN RW.CITE{{1764 Susilo,Yusak 2007/a;}}</w:instrText>
      </w:r>
      <w:r w:rsidR="0033030D">
        <w:fldChar w:fldCharType="separate"/>
      </w:r>
      <w:r w:rsidR="00471E65">
        <w:t>(2007)</w:t>
      </w:r>
      <w:r w:rsidR="0033030D">
        <w:fldChar w:fldCharType="end"/>
      </w:r>
      <w:r>
        <w:t xml:space="preserve"> analysed data from the Dutch National Travel survey for 1995, 2000 and 2005, a period during which land use policy promoted intensification along with some relatively compact </w:t>
      </w:r>
      <w:proofErr w:type="spellStart"/>
      <w:r>
        <w:t>greenfield</w:t>
      </w:r>
      <w:proofErr w:type="spellEnd"/>
      <w:r>
        <w:t xml:space="preserve"> development </w:t>
      </w:r>
      <w:r w:rsidR="0033030D">
        <w:fldChar w:fldCharType="begin"/>
      </w:r>
      <w:r w:rsidR="001154BA">
        <w:instrText>ADDIN RW.CITE{{1405 Schwanen,Tim 2004}}</w:instrText>
      </w:r>
      <w:r w:rsidR="0033030D">
        <w:fldChar w:fldCharType="separate"/>
      </w:r>
      <w:r w:rsidR="00471E65">
        <w:t>(Schwanen et al, 2004)</w:t>
      </w:r>
      <w:r w:rsidR="0033030D">
        <w:fldChar w:fldCharType="end"/>
      </w:r>
      <w:r>
        <w:t>.   Land use factors were included in a multinomial logit model using a four-level measure of urbanisation.  Although this did not permit the calculation of elasticities, they did find the usual negative relationship between density and: commuting distance, and modal share of driving to work.  They also found the influence of level 1, “very highly urbanised”, on modal choice grew stronger over the period.  The reasons for this cannot be deduced from quantitative data alone, but it may reflect the cumulative effect of land use changes</w:t>
      </w:r>
      <w:r w:rsidR="00C87C83">
        <w:t xml:space="preserve"> discussed in the next section</w:t>
      </w:r>
      <w:r>
        <w:t>.  It may also reflect the capacity constraints of available road space.</w:t>
      </w:r>
    </w:p>
    <w:p w:rsidR="001013EE" w:rsidRDefault="001013EE" w:rsidP="001013EE"/>
    <w:p w:rsidR="00F01EEF" w:rsidRDefault="00F01EEF" w:rsidP="001A02FD">
      <w:r>
        <w:t xml:space="preserve">Apart from congestion, there is little direct evidence of the effects of intensification on other externalities such as air quality, health and social capital.  Indirect evidence suggests concentrations of traffic are deleterious to all three.  On social capital for example, Hart </w:t>
      </w:r>
      <w:r w:rsidR="0033030D">
        <w:fldChar w:fldCharType="begin"/>
      </w:r>
      <w:r>
        <w:instrText>ADDIN RW.CITE{{1493 Hart, Joshua 2008/a;}}</w:instrText>
      </w:r>
      <w:r w:rsidR="0033030D">
        <w:fldChar w:fldCharType="separate"/>
      </w:r>
      <w:r w:rsidR="00471E65">
        <w:t>(2008)</w:t>
      </w:r>
      <w:r w:rsidR="0033030D">
        <w:fldChar w:fldCharType="end"/>
      </w:r>
      <w:r>
        <w:t xml:space="preserve"> has provided a recent corroboration of </w:t>
      </w:r>
      <w:proofErr w:type="spellStart"/>
      <w:r>
        <w:t>Appleyard’s</w:t>
      </w:r>
      <w:proofErr w:type="spellEnd"/>
      <w:r>
        <w:t xml:space="preserve"> </w:t>
      </w:r>
      <w:r w:rsidR="0033030D">
        <w:fldChar w:fldCharType="begin"/>
      </w:r>
      <w:r w:rsidR="008937BE">
        <w:instrText>ADDIN RW.CITE{{1496 Appleyard, D. 1980/a;}}</w:instrText>
      </w:r>
      <w:r w:rsidR="0033030D">
        <w:fldChar w:fldCharType="separate"/>
      </w:r>
      <w:r w:rsidR="00471E65">
        <w:t>(1980)</w:t>
      </w:r>
      <w:r w:rsidR="0033030D">
        <w:fldChar w:fldCharType="end"/>
      </w:r>
      <w:r w:rsidR="008937BE">
        <w:t xml:space="preserve"> </w:t>
      </w:r>
      <w:r>
        <w:t>findings about the correlation between traffic volumes and social contact between neighbours.  It cannot necessarily be deduced from this that intensification causes a worsening of these externalities, however, as other factors such as increased walking and cycling</w:t>
      </w:r>
      <w:r w:rsidR="00B37492">
        <w:t xml:space="preserve"> to local facilities</w:t>
      </w:r>
      <w:r>
        <w:t xml:space="preserve"> might exert a countervailing influence.  To assess the net effects would require a longitudinal study, examining multiple factors.</w:t>
      </w:r>
    </w:p>
    <w:p w:rsidR="00F01EEF" w:rsidRDefault="00F01EEF" w:rsidP="001A02FD"/>
    <w:p w:rsidR="001A02FD" w:rsidRDefault="00F01EEF" w:rsidP="001A02FD">
      <w:r>
        <w:t>One such</w:t>
      </w:r>
      <w:r w:rsidR="001A02FD">
        <w:t xml:space="preserve"> study was conducted in the UK from the late 1980s until the late 1990s, including a national survey of all planning authorities and 12 case studies of areas subject to intensification </w:t>
      </w:r>
      <w:r w:rsidR="0033030D">
        <w:fldChar w:fldCharType="begin"/>
      </w:r>
      <w:r w:rsidR="001A02FD">
        <w:instrText>ADDIN RW.CITE{{1534 Entec 1996;}}</w:instrText>
      </w:r>
      <w:r w:rsidR="0033030D">
        <w:fldChar w:fldCharType="separate"/>
      </w:r>
      <w:r w:rsidR="00471E65">
        <w:t>(Entec and Oxford Brookes, 1996)</w:t>
      </w:r>
      <w:r w:rsidR="0033030D">
        <w:fldChar w:fldCharType="end"/>
      </w:r>
      <w:r w:rsidR="001A02FD">
        <w:t xml:space="preserve">.  The </w:t>
      </w:r>
      <w:r>
        <w:t>findings suggested that worsening of congestion, noise and air pollution were all consequences of intensification as practised in the UK at that time, although much of the additional traffic was generated outside the are</w:t>
      </w:r>
      <w:r w:rsidR="00B37492">
        <w:t xml:space="preserve">as under study. </w:t>
      </w:r>
      <w:r>
        <w:t xml:space="preserve">  The study was mainly qualitative and did not provide any comparison with other areas not subject to intensification.</w:t>
      </w:r>
    </w:p>
    <w:p w:rsidR="001A02FD" w:rsidRDefault="001A02FD" w:rsidP="001A02FD"/>
    <w:p w:rsidR="00380DBB" w:rsidRDefault="00057552">
      <w:r>
        <w:t>Although th</w:t>
      </w:r>
      <w:r w:rsidR="00F01EEF">
        <w:t>e</w:t>
      </w:r>
      <w:r>
        <w:t xml:space="preserve"> evidence </w:t>
      </w:r>
      <w:r w:rsidR="00F01EEF">
        <w:t xml:space="preserve">reviewed in this section </w:t>
      </w:r>
      <w:r>
        <w:t xml:space="preserve">is not sufficient to generalise to </w:t>
      </w:r>
      <w:r w:rsidR="00006E77">
        <w:t xml:space="preserve">all </w:t>
      </w:r>
      <w:r>
        <w:t xml:space="preserve">other contexts, it suggests that urban intensification tends to increase concentrations of traffic in those areas where it is practised. </w:t>
      </w:r>
      <w:r w:rsidR="00006E77">
        <w:t xml:space="preserve">  </w:t>
      </w:r>
      <w:r w:rsidR="00380DBB">
        <w:t xml:space="preserve">Indeed it could be argued that increasing traffic </w:t>
      </w:r>
      <w:r w:rsidR="00B37492">
        <w:t>generation is a</w:t>
      </w:r>
      <w:r w:rsidR="00380DBB">
        <w:t xml:space="preserve"> normal corollar</w:t>
      </w:r>
      <w:r w:rsidR="00B37492">
        <w:t>y</w:t>
      </w:r>
      <w:r w:rsidR="00380DBB">
        <w:t xml:space="preserve"> of building at higher densities.  </w:t>
      </w:r>
      <w:r w:rsidR="0076141B">
        <w:t>Amongst transport planners</w:t>
      </w:r>
      <w:r w:rsidR="00B37492">
        <w:t xml:space="preserve"> who use </w:t>
      </w:r>
      <w:r w:rsidR="00380DBB">
        <w:t xml:space="preserve">models such as the one described in Section </w:t>
      </w:r>
      <w:r w:rsidR="0033030D">
        <w:fldChar w:fldCharType="begin"/>
      </w:r>
      <w:r w:rsidR="00380DBB">
        <w:instrText xml:space="preserve"> REF _Ref256495059 \r \h </w:instrText>
      </w:r>
      <w:r w:rsidR="0033030D">
        <w:fldChar w:fldCharType="separate"/>
      </w:r>
      <w:r w:rsidR="00B318EA">
        <w:t>5</w:t>
      </w:r>
      <w:r w:rsidR="0033030D">
        <w:fldChar w:fldCharType="end"/>
      </w:r>
      <w:r w:rsidR="006369E0">
        <w:t xml:space="preserve"> to estimate the trips generated by new developments</w:t>
      </w:r>
      <w:r w:rsidR="00B37492">
        <w:t>, this proposition would be considered uncontroversial</w:t>
      </w:r>
      <w:r w:rsidR="006369E0">
        <w:t>.</w:t>
      </w:r>
    </w:p>
    <w:p w:rsidR="00380DBB" w:rsidRDefault="00380DBB"/>
    <w:p w:rsidR="00B66DBA" w:rsidRDefault="004C1642">
      <w:r>
        <w:lastRenderedPageBreak/>
        <w:t xml:space="preserve">In the light of this, it may seem strange that some writers have advocated urban intensification as a means of reducing the negative externalities of car use.  The </w:t>
      </w:r>
      <w:r w:rsidR="001A02FD">
        <w:t>next section</w:t>
      </w:r>
      <w:r>
        <w:t xml:space="preserve"> will examine those claims in the context of the wider debate about the relationships between transport and the built environment.</w:t>
      </w:r>
      <w:r w:rsidR="001A02FD">
        <w:t xml:space="preserve">  </w:t>
      </w:r>
      <w:r w:rsidR="00AE5C93">
        <w:t xml:space="preserve">Section </w:t>
      </w:r>
      <w:r w:rsidR="0033030D">
        <w:fldChar w:fldCharType="begin"/>
      </w:r>
      <w:r w:rsidR="00AE5C93">
        <w:instrText xml:space="preserve"> REF _Ref256494633 \r \h </w:instrText>
      </w:r>
      <w:r w:rsidR="0033030D">
        <w:fldChar w:fldCharType="separate"/>
      </w:r>
      <w:r w:rsidR="00B318EA">
        <w:t>4</w:t>
      </w:r>
      <w:r w:rsidR="0033030D">
        <w:fldChar w:fldCharType="end"/>
      </w:r>
      <w:r w:rsidR="00AE5C93">
        <w:t xml:space="preserve"> will propose a new concept, the paradox of intensification, to explain some of the principal relationships between intensification and </w:t>
      </w:r>
      <w:r w:rsidR="002D2F92">
        <w:t>transport outcomes</w:t>
      </w:r>
      <w:r w:rsidR="00AE5C93">
        <w:t xml:space="preserve">.  Section </w:t>
      </w:r>
      <w:r w:rsidR="0033030D">
        <w:fldChar w:fldCharType="begin"/>
      </w:r>
      <w:r w:rsidR="00AE5C93">
        <w:instrText xml:space="preserve"> REF _Ref256495059 \r \h </w:instrText>
      </w:r>
      <w:r w:rsidR="0033030D">
        <w:fldChar w:fldCharType="separate"/>
      </w:r>
      <w:r w:rsidR="00B318EA">
        <w:t>5</w:t>
      </w:r>
      <w:r w:rsidR="0033030D">
        <w:fldChar w:fldCharType="end"/>
      </w:r>
      <w:r w:rsidR="00AE5C93">
        <w:t xml:space="preserve"> will </w:t>
      </w:r>
      <w:r w:rsidR="00943893">
        <w:t xml:space="preserve">examine the different implications of </w:t>
      </w:r>
      <w:r w:rsidR="00AE5C93">
        <w:t xml:space="preserve">intensification </w:t>
      </w:r>
      <w:r w:rsidR="00943893">
        <w:t>at the level of the individual development compared to city-wide intensification.  T</w:t>
      </w:r>
      <w:r w:rsidR="00AE5C93">
        <w:t xml:space="preserve">he final sections will consider the implications of the </w:t>
      </w:r>
      <w:r w:rsidR="00943893">
        <w:t>paradox</w:t>
      </w:r>
      <w:r w:rsidR="00AE5C93">
        <w:t xml:space="preserve"> for transport policy.</w:t>
      </w:r>
    </w:p>
    <w:p w:rsidR="00B66DBA" w:rsidRPr="00B66DBA" w:rsidRDefault="004C1642" w:rsidP="001A02FD">
      <w:pPr>
        <w:pStyle w:val="Heading1"/>
      </w:pPr>
      <w:bookmarkStart w:id="2" w:name="_Ref255490437"/>
      <w:r>
        <w:t>D</w:t>
      </w:r>
      <w:r w:rsidR="00B66DBA" w:rsidRPr="00B66DBA">
        <w:t>ensity and Intensification within the Wider Debate</w:t>
      </w:r>
      <w:bookmarkEnd w:id="2"/>
    </w:p>
    <w:p w:rsidR="00B66DBA" w:rsidRDefault="00B66DBA" w:rsidP="001A02FD">
      <w:pPr>
        <w:keepNext/>
      </w:pPr>
    </w:p>
    <w:p w:rsidR="00457B05" w:rsidRDefault="002A6503" w:rsidP="001A02FD">
      <w:pPr>
        <w:keepNext/>
      </w:pPr>
      <w:r>
        <w:t>At the aggregate level, an inverse relationship can be observed across the developed world between the density of ur</w:t>
      </w:r>
      <w:r w:rsidR="00457B05">
        <w:t>ban areas and</w:t>
      </w:r>
      <w:r w:rsidR="000D6865">
        <w:t xml:space="preserve"> the use of motor vehicles, measured in different ways</w:t>
      </w:r>
      <w:r>
        <w:t xml:space="preserve">.  </w:t>
      </w:r>
      <w:r w:rsidR="00457B05">
        <w:t xml:space="preserve">This applies both within countries and between them.  </w:t>
      </w:r>
      <w:r w:rsidR="000D6865">
        <w:t xml:space="preserve">Across the UK, the </w:t>
      </w:r>
      <w:r w:rsidR="000D6865" w:rsidRPr="00B02333">
        <w:t xml:space="preserve">average ‘exurbanite’ drives 25% more miles </w:t>
      </w:r>
      <w:r w:rsidR="00E07B45">
        <w:t>per</w:t>
      </w:r>
      <w:r w:rsidR="000D6865" w:rsidRPr="00B02333">
        <w:t xml:space="preserve"> year than the average suburbanite and 44% more than the average urbanite </w:t>
      </w:r>
      <w:r w:rsidR="0033030D">
        <w:fldChar w:fldCharType="begin"/>
      </w:r>
      <w:r w:rsidR="000D6865">
        <w:instrText>ADDIN RW.CITE{{1391 Independent Transport Commission 2004; }}</w:instrText>
      </w:r>
      <w:r w:rsidR="0033030D">
        <w:fldChar w:fldCharType="separate"/>
      </w:r>
      <w:r w:rsidR="00471E65">
        <w:t>(Independent Transport Commission, 2004)</w:t>
      </w:r>
      <w:r w:rsidR="0033030D">
        <w:fldChar w:fldCharType="end"/>
      </w:r>
      <w:r w:rsidR="000D6865">
        <w:t xml:space="preserve">.  The same relationship, measured in slightly different ways, has been observed across the USA </w:t>
      </w:r>
      <w:r w:rsidR="0033030D">
        <w:fldChar w:fldCharType="begin"/>
      </w:r>
      <w:r w:rsidR="000D6865">
        <w:instrText>ADDIN RW.CITE{{55 Giuliano,Genevieve 2003;}}</w:instrText>
      </w:r>
      <w:r w:rsidR="0033030D">
        <w:fldChar w:fldCharType="separate"/>
      </w:r>
      <w:r w:rsidR="00471E65">
        <w:t>(Giuliano and Narayan, 2003)</w:t>
      </w:r>
      <w:r w:rsidR="0033030D">
        <w:fldChar w:fldCharType="end"/>
      </w:r>
      <w:r w:rsidR="000D6865">
        <w:t xml:space="preserve"> and the Netherlands </w:t>
      </w:r>
      <w:r w:rsidR="0033030D">
        <w:fldChar w:fldCharType="begin"/>
      </w:r>
      <w:r w:rsidR="000D6865">
        <w:instrText>ADDIN RW.CITE{{1405 Schwanen,Tim 2004;}}</w:instrText>
      </w:r>
      <w:r w:rsidR="0033030D">
        <w:fldChar w:fldCharType="separate"/>
      </w:r>
      <w:r w:rsidR="00471E65">
        <w:t>(Schwanen et al, 2004)</w:t>
      </w:r>
      <w:r w:rsidR="0033030D">
        <w:fldChar w:fldCharType="end"/>
      </w:r>
      <w:r w:rsidR="000D6865">
        <w:t xml:space="preserve"> amongst others.  </w:t>
      </w:r>
      <w:r>
        <w:t xml:space="preserve">Although the methodology and conclusions of Newman and </w:t>
      </w:r>
      <w:proofErr w:type="spellStart"/>
      <w:r>
        <w:t>Kenworthy’s</w:t>
      </w:r>
      <w:proofErr w:type="spellEnd"/>
      <w:r>
        <w:t xml:space="preserve"> </w:t>
      </w:r>
      <w:r w:rsidR="0033030D">
        <w:fldChar w:fldCharType="begin"/>
      </w:r>
      <w:r w:rsidR="00AC2C80">
        <w:instrText>ADDIN RW.CITE{{39 Newman,Peter W.G. 1989/a; }}</w:instrText>
      </w:r>
      <w:r w:rsidR="0033030D">
        <w:fldChar w:fldCharType="separate"/>
      </w:r>
      <w:r w:rsidR="00471E65">
        <w:t>(1989)</w:t>
      </w:r>
      <w:r w:rsidR="0033030D">
        <w:fldChar w:fldCharType="end"/>
      </w:r>
      <w:r>
        <w:t xml:space="preserve"> </w:t>
      </w:r>
      <w:r w:rsidR="007848C6">
        <w:t>study hav</w:t>
      </w:r>
      <w:r>
        <w:t xml:space="preserve">e been criticised </w:t>
      </w:r>
      <w:r w:rsidR="0033030D">
        <w:fldChar w:fldCharType="begin"/>
      </w:r>
      <w:r w:rsidR="00AC2C80">
        <w:instrText>ADDIN RW.CITE{{73 Glaeser,Edward L. 2003;74 Gomez-Ibanez,Jose A. 1991;}}</w:instrText>
      </w:r>
      <w:r w:rsidR="0033030D">
        <w:fldChar w:fldCharType="separate"/>
      </w:r>
      <w:r w:rsidR="00471E65">
        <w:t>(Glaeser and Kahn, 2003, Gomez-Ibanez, 1991)</w:t>
      </w:r>
      <w:r w:rsidR="0033030D">
        <w:fldChar w:fldCharType="end"/>
      </w:r>
      <w:r w:rsidR="00457B05">
        <w:t xml:space="preserve">, the overall inverse relationship between area per person and gasoline consumption per person is undisputed.  </w:t>
      </w:r>
      <w:r w:rsidR="008D25FA">
        <w:t xml:space="preserve">The relationship is particularly clear at the extremes: American levels of car use would be physically impossible in a city as dense as Hong Kong, just as Hong Kong levels of public transport accessibility would be economically impossible in the suburbs of American cities.  Within countries or regions where the conditions are more </w:t>
      </w:r>
      <w:r w:rsidR="00FF6079">
        <w:t>homogenous</w:t>
      </w:r>
      <w:r w:rsidR="008D25FA">
        <w:t>, t</w:t>
      </w:r>
      <w:r w:rsidR="00457B05">
        <w:t>he two issues which remain most strongly disputed concern</w:t>
      </w:r>
      <w:r w:rsidR="00E07B45">
        <w:t xml:space="preserve">, first, </w:t>
      </w:r>
      <w:r w:rsidR="00457B05">
        <w:t>the causality in this relationship and</w:t>
      </w:r>
      <w:r w:rsidR="00E07B45">
        <w:t>,</w:t>
      </w:r>
      <w:r w:rsidR="00457B05">
        <w:t xml:space="preserve"> </w:t>
      </w:r>
      <w:r w:rsidR="004E4977">
        <w:t xml:space="preserve">from a policy perspective, </w:t>
      </w:r>
      <w:r w:rsidR="00457B05">
        <w:t>whether urban intensification does or does not reduce car use and the externalities associated with it</w:t>
      </w:r>
      <w:r w:rsidR="00D95938">
        <w:t>.</w:t>
      </w:r>
      <w:r w:rsidR="004E4977">
        <w:t xml:space="preserve"> </w:t>
      </w:r>
    </w:p>
    <w:p w:rsidR="00457B05" w:rsidRDefault="00457B05"/>
    <w:p w:rsidR="00457B05" w:rsidRDefault="00457B05">
      <w:r>
        <w:t xml:space="preserve">These questions are part of a wider debate concerning the relationship between the built environment and travel outcomes.  Apart from population density, </w:t>
      </w:r>
      <w:r w:rsidR="000D6865">
        <w:t>the</w:t>
      </w:r>
      <w:r>
        <w:t xml:space="preserve"> vast literature in this area has suggested many other built environment variables associated with </w:t>
      </w:r>
      <w:r w:rsidR="00EC2985">
        <w:t xml:space="preserve">a range of </w:t>
      </w:r>
      <w:r>
        <w:t>travel outcomes.</w:t>
      </w:r>
      <w:r w:rsidR="000D6865">
        <w:t xml:space="preserve">  Litm</w:t>
      </w:r>
      <w:r w:rsidR="00EC2985">
        <w:t>an</w:t>
      </w:r>
      <w:r w:rsidR="000D6865">
        <w:t xml:space="preserve"> </w:t>
      </w:r>
      <w:r w:rsidR="0033030D">
        <w:fldChar w:fldCharType="begin"/>
      </w:r>
      <w:r w:rsidR="00EC2985">
        <w:instrText>ADDIN RW.CITE{{1458 Litman,Todd 2008/a;}}</w:instrText>
      </w:r>
      <w:r w:rsidR="0033030D">
        <w:fldChar w:fldCharType="separate"/>
      </w:r>
      <w:r w:rsidR="00471E65">
        <w:t>(2008)</w:t>
      </w:r>
      <w:r w:rsidR="0033030D">
        <w:fldChar w:fldCharType="end"/>
      </w:r>
      <w:r w:rsidR="00EC2985">
        <w:t xml:space="preserve"> </w:t>
      </w:r>
      <w:r w:rsidR="000D6865">
        <w:t>surveyed the literature, mainly relating to North Amer</w:t>
      </w:r>
      <w:r w:rsidR="00136188">
        <w:t xml:space="preserve">ica.  </w:t>
      </w:r>
      <w:r w:rsidR="00D95938">
        <w:t>Some of t</w:t>
      </w:r>
      <w:r w:rsidR="000D6865">
        <w:t xml:space="preserve">he </w:t>
      </w:r>
      <w:r w:rsidR="00136188">
        <w:t xml:space="preserve">principal </w:t>
      </w:r>
      <w:r w:rsidR="000D6865">
        <w:t xml:space="preserve">relationships </w:t>
      </w:r>
      <w:r w:rsidR="00136188">
        <w:t xml:space="preserve">he found </w:t>
      </w:r>
      <w:r w:rsidR="00D95938">
        <w:t xml:space="preserve">are </w:t>
      </w:r>
      <w:r w:rsidR="00EC2985">
        <w:t xml:space="preserve">summarised in </w:t>
      </w:r>
      <w:r w:rsidR="0033030D">
        <w:fldChar w:fldCharType="begin"/>
      </w:r>
      <w:r w:rsidR="00EC2985">
        <w:instrText xml:space="preserve"> REF _Ref251681451 \h </w:instrText>
      </w:r>
      <w:r w:rsidR="0033030D">
        <w:fldChar w:fldCharType="separate"/>
      </w:r>
      <w:r w:rsidR="00B318EA">
        <w:t xml:space="preserve">Table </w:t>
      </w:r>
      <w:r w:rsidR="00B318EA">
        <w:rPr>
          <w:noProof/>
        </w:rPr>
        <w:t>2</w:t>
      </w:r>
      <w:r w:rsidR="0033030D">
        <w:fldChar w:fldCharType="end"/>
      </w:r>
      <w:r w:rsidR="00D95938">
        <w:t>:</w:t>
      </w:r>
    </w:p>
    <w:p w:rsidR="000D6865" w:rsidRDefault="000D6865"/>
    <w:tbl>
      <w:tblPr>
        <w:tblStyle w:val="TableGrid"/>
        <w:tblW w:w="0" w:type="auto"/>
        <w:tblLook w:val="04A0"/>
      </w:tblPr>
      <w:tblGrid>
        <w:gridCol w:w="3652"/>
        <w:gridCol w:w="5068"/>
      </w:tblGrid>
      <w:tr w:rsidR="000D6865" w:rsidRPr="000D6865" w:rsidTr="000D6865">
        <w:tc>
          <w:tcPr>
            <w:tcW w:w="3652" w:type="dxa"/>
          </w:tcPr>
          <w:p w:rsidR="000D6865" w:rsidRPr="000D6865" w:rsidRDefault="000D6865" w:rsidP="00D67CC5">
            <w:pPr>
              <w:keepNext/>
              <w:rPr>
                <w:b/>
              </w:rPr>
            </w:pPr>
            <w:r w:rsidRPr="000D6865">
              <w:rPr>
                <w:b/>
              </w:rPr>
              <w:lastRenderedPageBreak/>
              <w:t>Factor</w:t>
            </w:r>
          </w:p>
        </w:tc>
        <w:tc>
          <w:tcPr>
            <w:tcW w:w="5068" w:type="dxa"/>
          </w:tcPr>
          <w:p w:rsidR="000D6865" w:rsidRPr="000D6865" w:rsidRDefault="000D6865" w:rsidP="00D67CC5">
            <w:pPr>
              <w:keepNext/>
              <w:rPr>
                <w:b/>
              </w:rPr>
            </w:pPr>
            <w:r w:rsidRPr="000D6865">
              <w:rPr>
                <w:b/>
              </w:rPr>
              <w:t>Associated With</w:t>
            </w:r>
          </w:p>
        </w:tc>
      </w:tr>
      <w:tr w:rsidR="000D6865" w:rsidTr="000D6865">
        <w:tc>
          <w:tcPr>
            <w:tcW w:w="3652" w:type="dxa"/>
          </w:tcPr>
          <w:p w:rsidR="000D6865" w:rsidRDefault="000D6865" w:rsidP="00D67CC5">
            <w:pPr>
              <w:keepNext/>
            </w:pPr>
            <w:r>
              <w:t>Population Density</w:t>
            </w:r>
          </w:p>
        </w:tc>
        <w:tc>
          <w:tcPr>
            <w:tcW w:w="5068" w:type="dxa"/>
          </w:tcPr>
          <w:p w:rsidR="000D6865" w:rsidRDefault="000D6865" w:rsidP="00D67CC5">
            <w:pPr>
              <w:keepNext/>
            </w:pPr>
            <w:r>
              <w:t xml:space="preserve">Lower </w:t>
            </w:r>
            <w:r w:rsidR="00E84DC2">
              <w:t>Vehicle Miles Travelled (</w:t>
            </w:r>
            <w:r>
              <w:t>VMT</w:t>
            </w:r>
            <w:r w:rsidR="00E84DC2">
              <w:t>)</w:t>
            </w:r>
            <w:r>
              <w:t xml:space="preserve"> but not necessarily </w:t>
            </w:r>
            <w:r w:rsidR="00A43660">
              <w:t xml:space="preserve">fewer </w:t>
            </w:r>
            <w:r>
              <w:t>trips</w:t>
            </w:r>
          </w:p>
        </w:tc>
      </w:tr>
      <w:tr w:rsidR="000D6865" w:rsidTr="000D6865">
        <w:tc>
          <w:tcPr>
            <w:tcW w:w="3652" w:type="dxa"/>
          </w:tcPr>
          <w:p w:rsidR="000D6865" w:rsidRDefault="000D6865" w:rsidP="00D67CC5">
            <w:pPr>
              <w:keepNext/>
            </w:pPr>
            <w:r>
              <w:t>Proximity to an urban centre</w:t>
            </w:r>
          </w:p>
        </w:tc>
        <w:tc>
          <w:tcPr>
            <w:tcW w:w="5068" w:type="dxa"/>
          </w:tcPr>
          <w:p w:rsidR="000D6865" w:rsidRDefault="000D6865" w:rsidP="00D67CC5">
            <w:pPr>
              <w:keepNext/>
            </w:pPr>
            <w:r>
              <w:t xml:space="preserve">Lower </w:t>
            </w:r>
            <w:r w:rsidR="00E84DC2">
              <w:t>VMT</w:t>
            </w:r>
          </w:p>
        </w:tc>
      </w:tr>
      <w:tr w:rsidR="000D6865" w:rsidTr="000D6865">
        <w:tc>
          <w:tcPr>
            <w:tcW w:w="3652" w:type="dxa"/>
          </w:tcPr>
          <w:p w:rsidR="000D6865" w:rsidRDefault="000D6865" w:rsidP="00D67CC5">
            <w:pPr>
              <w:keepNext/>
            </w:pPr>
            <w:r>
              <w:t>Land use mix</w:t>
            </w:r>
          </w:p>
        </w:tc>
        <w:tc>
          <w:tcPr>
            <w:tcW w:w="5068" w:type="dxa"/>
          </w:tcPr>
          <w:p w:rsidR="000D6865" w:rsidRDefault="000D6865" w:rsidP="00D67CC5">
            <w:pPr>
              <w:keepNext/>
            </w:pPr>
            <w:r>
              <w:t xml:space="preserve">Shorter travel distances, </w:t>
            </w:r>
            <w:r w:rsidR="00D95938">
              <w:t>and increased use of alternative modes</w:t>
            </w:r>
          </w:p>
        </w:tc>
      </w:tr>
      <w:tr w:rsidR="000D6865" w:rsidTr="000D6865">
        <w:tc>
          <w:tcPr>
            <w:tcW w:w="3652" w:type="dxa"/>
          </w:tcPr>
          <w:p w:rsidR="000D6865" w:rsidRDefault="000D6865" w:rsidP="00D67CC5">
            <w:pPr>
              <w:keepNext/>
            </w:pPr>
            <w:r>
              <w:t>Concentration of activity in Centres</w:t>
            </w:r>
          </w:p>
        </w:tc>
        <w:tc>
          <w:tcPr>
            <w:tcW w:w="5068" w:type="dxa"/>
          </w:tcPr>
          <w:p w:rsidR="000D6865" w:rsidRDefault="000D6865" w:rsidP="00D67CC5">
            <w:pPr>
              <w:keepNext/>
            </w:pPr>
            <w:r>
              <w:t>Lower modal share of commuting by car, more frequent use of public transport and car sharing</w:t>
            </w:r>
          </w:p>
        </w:tc>
      </w:tr>
      <w:tr w:rsidR="000D6865" w:rsidTr="000D6865">
        <w:tc>
          <w:tcPr>
            <w:tcW w:w="3652" w:type="dxa"/>
          </w:tcPr>
          <w:p w:rsidR="000D6865" w:rsidRDefault="000D6865" w:rsidP="00D67CC5">
            <w:pPr>
              <w:keepNext/>
            </w:pPr>
            <w:r>
              <w:t>Connectivity of routes</w:t>
            </w:r>
          </w:p>
        </w:tc>
        <w:tc>
          <w:tcPr>
            <w:tcW w:w="5068" w:type="dxa"/>
          </w:tcPr>
          <w:p w:rsidR="000D6865" w:rsidRDefault="000D6865" w:rsidP="00D67CC5">
            <w:pPr>
              <w:keepNext/>
            </w:pPr>
            <w:r>
              <w:t>Lower VMT, particularly if layout discriminates in favour of non-motorised modes</w:t>
            </w:r>
          </w:p>
        </w:tc>
      </w:tr>
      <w:tr w:rsidR="000D6865" w:rsidTr="000D6865">
        <w:tc>
          <w:tcPr>
            <w:tcW w:w="3652" w:type="dxa"/>
          </w:tcPr>
          <w:p w:rsidR="000D6865" w:rsidRDefault="000D6865" w:rsidP="00D67CC5">
            <w:pPr>
              <w:keepNext/>
            </w:pPr>
            <w:r>
              <w:t>Transit Accessibility (proximity to a rail station)</w:t>
            </w:r>
          </w:p>
        </w:tc>
        <w:tc>
          <w:tcPr>
            <w:tcW w:w="5068" w:type="dxa"/>
          </w:tcPr>
          <w:p w:rsidR="000D6865" w:rsidRDefault="000D6865" w:rsidP="00D67CC5">
            <w:pPr>
              <w:keepNext/>
            </w:pPr>
            <w:r>
              <w:t>Higher modal share for rail and fewer vehicle trips</w:t>
            </w:r>
          </w:p>
        </w:tc>
      </w:tr>
      <w:tr w:rsidR="000D6865" w:rsidTr="000D6865">
        <w:tc>
          <w:tcPr>
            <w:tcW w:w="3652" w:type="dxa"/>
          </w:tcPr>
          <w:p w:rsidR="000D6865" w:rsidRDefault="000D6865" w:rsidP="00D67CC5">
            <w:pPr>
              <w:keepNext/>
            </w:pPr>
            <w:r>
              <w:t>Parking Constraints (residential or destination/employment)</w:t>
            </w:r>
          </w:p>
        </w:tc>
        <w:tc>
          <w:tcPr>
            <w:tcW w:w="5068" w:type="dxa"/>
          </w:tcPr>
          <w:p w:rsidR="000D6865" w:rsidRDefault="000D6865" w:rsidP="00D67CC5">
            <w:pPr>
              <w:keepNext/>
            </w:pPr>
            <w:r>
              <w:t>Lower share of commuting by car</w:t>
            </w:r>
          </w:p>
        </w:tc>
      </w:tr>
    </w:tbl>
    <w:p w:rsidR="000D6865" w:rsidRPr="00EC2985" w:rsidRDefault="00EC2985" w:rsidP="00D67CC5">
      <w:pPr>
        <w:pStyle w:val="Caption"/>
        <w:keepNext/>
        <w:jc w:val="center"/>
      </w:pPr>
      <w:bookmarkStart w:id="3" w:name="_Ref251681451"/>
      <w:r>
        <w:t xml:space="preserve">Table </w:t>
      </w:r>
      <w:r w:rsidR="0033030D">
        <w:fldChar w:fldCharType="begin"/>
      </w:r>
      <w:r w:rsidR="004D2071">
        <w:instrText xml:space="preserve"> SEQ Table \* ARABIC </w:instrText>
      </w:r>
      <w:r w:rsidR="0033030D">
        <w:fldChar w:fldCharType="separate"/>
      </w:r>
      <w:r w:rsidR="00B318EA">
        <w:rPr>
          <w:noProof/>
        </w:rPr>
        <w:t>2</w:t>
      </w:r>
      <w:r w:rsidR="0033030D">
        <w:fldChar w:fldCharType="end"/>
      </w:r>
      <w:bookmarkEnd w:id="3"/>
      <w:r>
        <w:t>: Summarised from Litman (2008)</w:t>
      </w:r>
    </w:p>
    <w:p w:rsidR="002208B2" w:rsidRDefault="002208B2"/>
    <w:p w:rsidR="002208B2" w:rsidRDefault="002208B2">
      <w:r>
        <w:t>The list is not exhaustive:</w:t>
      </w:r>
      <w:r w:rsidR="00D95938">
        <w:t xml:space="preserve"> the factors are selected to illustrate the principles in this article. </w:t>
      </w:r>
      <w:r>
        <w:t xml:space="preserve"> </w:t>
      </w:r>
      <w:r w:rsidR="00D95938">
        <w:t xml:space="preserve"> Studies of other developed countries have identified similar relationships and several other relevant built environment factors.  Hickman and Banister </w:t>
      </w:r>
      <w:r w:rsidR="0033030D">
        <w:fldChar w:fldCharType="begin"/>
      </w:r>
      <w:r w:rsidR="00D95938">
        <w:instrText>ADDIN RW.CITE{{1457 Hickman,Robin 2008/a;}}</w:instrText>
      </w:r>
      <w:r w:rsidR="0033030D">
        <w:fldChar w:fldCharType="separate"/>
      </w:r>
      <w:r w:rsidR="00471E65">
        <w:t>(2008)</w:t>
      </w:r>
      <w:r w:rsidR="0033030D">
        <w:fldChar w:fldCharType="end"/>
      </w:r>
      <w:r w:rsidR="00D95938">
        <w:t xml:space="preserve"> for example, studied cross-sectional data for Surrey in England.  They found similar associations with density, connectivity, accessibility to public transport and proximity to central London.  They did not assess parking constraints, and used jobs/housing balance within the settlement as a measure of land use mix</w:t>
      </w:r>
      <w:r w:rsidR="00FF6079">
        <w:t xml:space="preserve"> (negatively associated with energy weighted VMT)</w:t>
      </w:r>
      <w:r w:rsidR="00D95938">
        <w:t>.  Stead</w:t>
      </w:r>
      <w:r>
        <w:t xml:space="preserve"> </w:t>
      </w:r>
      <w:r w:rsidR="0033030D">
        <w:fldChar w:fldCharType="begin"/>
      </w:r>
      <w:r w:rsidR="00FF6079">
        <w:instrText>ADDIN RW.CITE{{1754 Stead,D. 2001/a;}}</w:instrText>
      </w:r>
      <w:r w:rsidR="0033030D">
        <w:fldChar w:fldCharType="separate"/>
      </w:r>
      <w:r w:rsidR="00471E65">
        <w:t>(2001)</w:t>
      </w:r>
      <w:r w:rsidR="0033030D">
        <w:fldChar w:fldCharType="end"/>
      </w:r>
      <w:r w:rsidR="00D95938">
        <w:t xml:space="preserve"> also found a negative association between settlement size and travel distance for the UK.  Several studies of the Netherlands have found significant associations between composite measures of urbanisation and different measures of travel behaviour, similar to the above </w:t>
      </w:r>
      <w:r w:rsidR="0033030D">
        <w:fldChar w:fldCharType="begin"/>
      </w:r>
      <w:r w:rsidR="00D95938">
        <w:instrText>ADDIN RW.CITE{{1405 Schwanen,Tim 2004/pe.g. ;1764 Susilo,Yusak 2007;}}</w:instrText>
      </w:r>
      <w:r w:rsidR="0033030D">
        <w:fldChar w:fldCharType="separate"/>
      </w:r>
      <w:r w:rsidR="00471E65">
        <w:t>(Susilo and Maat, 2007, e.g. Schwanen et al, 2004)</w:t>
      </w:r>
      <w:r w:rsidR="0033030D">
        <w:fldChar w:fldCharType="end"/>
      </w:r>
      <w:r w:rsidR="00D95938">
        <w:t xml:space="preserve">.  </w:t>
      </w:r>
    </w:p>
    <w:p w:rsidR="00D95938" w:rsidRDefault="00D95938"/>
    <w:p w:rsidR="00457B05" w:rsidRDefault="008777B0">
      <w:r>
        <w:t>There is often a high degree of correlation between the above factors, at the regional and neighbourhood level, and policies of urban intensification often aim to increase several or all of them.  The effects, Litman argues, tend to be cumulative: residents of high density urban areas in the U.S., which generally exhibit all the other factors, make about 25% fewer car trips and twice as many pedestrian and transit trips than the national average.</w:t>
      </w:r>
    </w:p>
    <w:p w:rsidR="008777B0" w:rsidRDefault="008777B0"/>
    <w:p w:rsidR="00EC2985" w:rsidRDefault="0052376F" w:rsidP="00EC2985">
      <w:r>
        <w:t>Most of the studies</w:t>
      </w:r>
      <w:r w:rsidR="00EC2985">
        <w:t xml:space="preserve"> reviewed by Litman</w:t>
      </w:r>
      <w:r>
        <w:t xml:space="preserve"> controlled for socio-</w:t>
      </w:r>
      <w:r w:rsidR="008F23B9">
        <w:t xml:space="preserve">economic </w:t>
      </w:r>
      <w:r>
        <w:t xml:space="preserve">factors in reaching the conclusions shown in </w:t>
      </w:r>
      <w:r w:rsidR="0033030D">
        <w:fldChar w:fldCharType="begin"/>
      </w:r>
      <w:r>
        <w:instrText xml:space="preserve"> REF _Ref251681451 \h </w:instrText>
      </w:r>
      <w:r w:rsidR="0033030D">
        <w:fldChar w:fldCharType="separate"/>
      </w:r>
      <w:r w:rsidR="00B318EA">
        <w:t xml:space="preserve">Table </w:t>
      </w:r>
      <w:r w:rsidR="00B318EA">
        <w:rPr>
          <w:noProof/>
        </w:rPr>
        <w:t>2</w:t>
      </w:r>
      <w:r w:rsidR="0033030D">
        <w:fldChar w:fldCharType="end"/>
      </w:r>
      <w:r>
        <w:t>.  A few also incorporated measures of attitudes or preferences.  The vast majority of the literature in this area relies</w:t>
      </w:r>
      <w:r w:rsidR="00EC2985">
        <w:t xml:space="preserve"> on cross-sectional studies, </w:t>
      </w:r>
      <w:r w:rsidR="00E93CE3">
        <w:t xml:space="preserve">however, </w:t>
      </w:r>
      <w:r w:rsidR="00EC2985">
        <w:t>from which causality can not necessarily be inferred.  If the built environment factors do not cause the differences in the second column, then it cannot be assumed that promoting those factors will produce such changes.</w:t>
      </w:r>
    </w:p>
    <w:p w:rsidR="00EC2985" w:rsidRDefault="00EC2985" w:rsidP="00EC2985"/>
    <w:p w:rsidR="00EC2985" w:rsidRDefault="00EC2985" w:rsidP="00EC2985">
      <w:r>
        <w:t>One potentially confounding mechanism is the question of ‘self-selection’</w:t>
      </w:r>
      <w:r w:rsidR="00F25D58">
        <w:t>:</w:t>
      </w:r>
      <w:r>
        <w:t xml:space="preserve"> the tendency of people to choose neighbourhoods which facilitate their preferred mode of travel.  Several studies have sought to address this question by controlling for attitudes, typically finding these to be more important than built environment factors </w:t>
      </w:r>
      <w:r w:rsidR="0033030D" w:rsidRPr="00EC2985">
        <w:fldChar w:fldCharType="begin"/>
      </w:r>
      <w:r w:rsidRPr="00EC2985">
        <w:instrText>ADDIN RW.CITE{{1514 Schwanen,Tim 2005}}</w:instrText>
      </w:r>
      <w:r w:rsidR="0033030D" w:rsidRPr="00EC2985">
        <w:fldChar w:fldCharType="separate"/>
      </w:r>
      <w:r w:rsidR="00471E65">
        <w:t>(Schwanen and Mokhtarian, 2005)</w:t>
      </w:r>
      <w:r w:rsidR="0033030D" w:rsidRPr="00EC2985">
        <w:fldChar w:fldCharType="end"/>
      </w:r>
      <w:r w:rsidRPr="00EC2985">
        <w:t xml:space="preserve">.  </w:t>
      </w:r>
      <w:r>
        <w:t xml:space="preserve">These studies </w:t>
      </w:r>
      <w:r w:rsidR="00F25D58">
        <w:t>also</w:t>
      </w:r>
      <w:r>
        <w:t xml:space="preserve"> used cross-sectional </w:t>
      </w:r>
      <w:r w:rsidR="00136188">
        <w:t>methods</w:t>
      </w:r>
      <w:r w:rsidR="00F25D58">
        <w:t xml:space="preserve"> and as a result</w:t>
      </w:r>
      <w:r>
        <w:t xml:space="preserve"> may have underestimated the importance of the built environment factors, since </w:t>
      </w:r>
      <w:r w:rsidR="00136188">
        <w:t>the attitudes measured at a single point in time may have been influenced by the local built environment.</w:t>
      </w:r>
      <w:r w:rsidR="00E93CE3">
        <w:t xml:space="preserve">  So, for example, a cross-sectional study which finds </w:t>
      </w:r>
      <w:r w:rsidR="00F25D58">
        <w:t xml:space="preserve">that </w:t>
      </w:r>
      <w:r w:rsidR="00E93CE3">
        <w:t xml:space="preserve">city centre </w:t>
      </w:r>
      <w:r w:rsidR="00E93CE3">
        <w:lastRenderedPageBreak/>
        <w:t>dwellers prefer to walk and cycle, and controls for these factors, may wrongly conclude that living in a city centre exerts no influence on rates of walking and cycling.</w:t>
      </w:r>
    </w:p>
    <w:p w:rsidR="00EC2985" w:rsidRDefault="00EC2985" w:rsidP="00EC2985"/>
    <w:p w:rsidR="00EC2985" w:rsidRDefault="00EC2985" w:rsidP="00EC2985">
      <w:r>
        <w:t>As suggested by Handy et al</w:t>
      </w:r>
      <w:r w:rsidR="00F25D58">
        <w:t>.</w:t>
      </w:r>
      <w:r>
        <w:t xml:space="preserve"> </w:t>
      </w:r>
      <w:r w:rsidR="0033030D" w:rsidRPr="00EC2985">
        <w:fldChar w:fldCharType="begin"/>
      </w:r>
      <w:r w:rsidRPr="00EC2985">
        <w:instrText>ADDIN RW.CITE{{58 Handy,Susan 2005/a; }}</w:instrText>
      </w:r>
      <w:r w:rsidR="0033030D" w:rsidRPr="00EC2985">
        <w:fldChar w:fldCharType="separate"/>
      </w:r>
      <w:r w:rsidR="00471E65">
        <w:t>(2005)</w:t>
      </w:r>
      <w:r w:rsidR="0033030D" w:rsidRPr="00EC2985">
        <w:fldChar w:fldCharType="end"/>
      </w:r>
      <w:r w:rsidR="00F25D58">
        <w:t>,</w:t>
      </w:r>
      <w:r w:rsidR="00136188">
        <w:t xml:space="preserve"> </w:t>
      </w:r>
      <w:r>
        <w:t>t</w:t>
      </w:r>
      <w:r w:rsidRPr="00EC2985">
        <w:t xml:space="preserve">o </w:t>
      </w:r>
      <w:r>
        <w:t xml:space="preserve">address this </w:t>
      </w:r>
      <w:r w:rsidR="00136188">
        <w:t>problem</w:t>
      </w:r>
      <w:r>
        <w:t xml:space="preserve"> would require either a longitudinal study (which are rare for cost and resource reasons) or a combination of quantitative and qualitative methods which sought to explore the evolution of attitudes.  </w:t>
      </w:r>
    </w:p>
    <w:p w:rsidR="00EC2985" w:rsidRDefault="00EC2985" w:rsidP="00EC2985"/>
    <w:p w:rsidR="00EC2985" w:rsidRDefault="00EC2985" w:rsidP="00EC2985">
      <w:r>
        <w:t xml:space="preserve">Two recent studies have done this, both reaching similar conclusions.  Based on quantitative data for Copenhagen, and </w:t>
      </w:r>
      <w:r w:rsidRPr="00EC2985">
        <w:t>qualitative interviews in Copenhagen and Hangzhou</w:t>
      </w:r>
      <w:r>
        <w:t>,</w:t>
      </w:r>
      <w:r w:rsidRPr="00EC2985">
        <w:t xml:space="preserve"> </w:t>
      </w:r>
      <w:proofErr w:type="spellStart"/>
      <w:r>
        <w:t>Næss</w:t>
      </w:r>
      <w:proofErr w:type="spellEnd"/>
      <w:r>
        <w:t xml:space="preserve"> </w:t>
      </w:r>
      <w:r w:rsidR="0033030D">
        <w:fldChar w:fldCharType="begin"/>
      </w:r>
      <w:r>
        <w:instrText>ADDIN RW.CITE{{1756 Næss, Petter 2009/a;}}</w:instrText>
      </w:r>
      <w:r w:rsidR="0033030D">
        <w:fldChar w:fldCharType="separate"/>
      </w:r>
      <w:r w:rsidR="00471E65">
        <w:t>(2009)</w:t>
      </w:r>
      <w:r w:rsidR="0033030D">
        <w:fldChar w:fldCharType="end"/>
      </w:r>
      <w:r>
        <w:t xml:space="preserve"> found that significant </w:t>
      </w:r>
      <w:r w:rsidRPr="00EC2985">
        <w:t xml:space="preserve">relationships between residential location and travel exist regardless of travel-related residential preferences. </w:t>
      </w:r>
      <w:r>
        <w:t xml:space="preserve"> He also concluded that previous studies had underestimated the influence of the built environment, for the reasons outlined above.</w:t>
      </w:r>
    </w:p>
    <w:p w:rsidR="00EC2985" w:rsidRDefault="00EC2985" w:rsidP="00EC2985"/>
    <w:p w:rsidR="00EC2985" w:rsidRDefault="00EC2985" w:rsidP="00CB367A">
      <w:r>
        <w:t>On a smaller scale, a recently completed study by the auth</w:t>
      </w:r>
      <w:r w:rsidRPr="00EC2985">
        <w:t xml:space="preserve">ors </w:t>
      </w:r>
      <w:r w:rsidR="0033030D" w:rsidRPr="00EC2985">
        <w:fldChar w:fldCharType="begin"/>
      </w:r>
      <w:r w:rsidRPr="00EC2985">
        <w:instrText>ADDIN RW.CITE{{1760 Melia,Steve 2010}}</w:instrText>
      </w:r>
      <w:r w:rsidR="0033030D" w:rsidRPr="00EC2985">
        <w:fldChar w:fldCharType="separate"/>
      </w:r>
      <w:r w:rsidR="00471E65">
        <w:t>(Melia, 2010)</w:t>
      </w:r>
      <w:r w:rsidR="0033030D" w:rsidRPr="00EC2985">
        <w:fldChar w:fldCharType="end"/>
      </w:r>
      <w:r>
        <w:t xml:space="preserve"> included a</w:t>
      </w:r>
      <w:r w:rsidR="00CB367A">
        <w:t xml:space="preserve"> </w:t>
      </w:r>
      <w:r w:rsidR="007B7BF0">
        <w:t>survey</w:t>
      </w:r>
      <w:r>
        <w:t xml:space="preserve"> of a ‘low car’ development in Dorset</w:t>
      </w:r>
      <w:r w:rsidR="00F25D58">
        <w:t xml:space="preserve"> (</w:t>
      </w:r>
      <w:r>
        <w:t>UK</w:t>
      </w:r>
      <w:r w:rsidR="00F25D58">
        <w:t>)</w:t>
      </w:r>
      <w:r w:rsidR="007B7BF0">
        <w:t>, seeking to explore similar issues</w:t>
      </w:r>
      <w:r>
        <w:t>.  Poole Quarter</w:t>
      </w:r>
      <w:r w:rsidR="00CB367A">
        <w:t xml:space="preserve"> is a </w:t>
      </w:r>
      <w:r w:rsidR="00D95938">
        <w:t xml:space="preserve">recently built </w:t>
      </w:r>
      <w:r w:rsidR="00CB367A">
        <w:t xml:space="preserve">development of apartments and town houses with a residential travel plan and one parking space per dwelling.  </w:t>
      </w:r>
      <w:r>
        <w:t xml:space="preserve">Its density of dwellings – around 100 per hectare – was significantly higher than elsewhere in the town.  </w:t>
      </w:r>
    </w:p>
    <w:p w:rsidR="00EC2985" w:rsidRDefault="00EC2985" w:rsidP="00CB367A"/>
    <w:p w:rsidR="00A934A5" w:rsidRDefault="00CB367A" w:rsidP="00CB367A">
      <w:r>
        <w:t xml:space="preserve">Of the 97 households surveyed during 2007, 26 had reduced their car ownership on moving there and 32 reported lower car use (4 reported higher use).  The </w:t>
      </w:r>
      <w:r w:rsidR="00E84DC2">
        <w:t>reductions were</w:t>
      </w:r>
      <w:r>
        <w:t xml:space="preserve"> partly explained by proximity to the town centre, bus and rail stations but parking limitations also contributed.  Telephone interv</w:t>
      </w:r>
      <w:r w:rsidR="00EC2985">
        <w:t>iews revealed some evidence of self-selection</w:t>
      </w:r>
      <w:r>
        <w:t>: some people who moved there were seeking greater accessibility.  Others moved there for other reasons, but still reported a c</w:t>
      </w:r>
      <w:r w:rsidR="00EC2985">
        <w:t xml:space="preserve">hange in their travel behaviour.  Several reported </w:t>
      </w:r>
      <w:r w:rsidR="00A934A5">
        <w:t xml:space="preserve">that </w:t>
      </w:r>
      <w:r w:rsidR="00EC2985">
        <w:t xml:space="preserve">their attitudes towards travel by alternatives to the car </w:t>
      </w:r>
      <w:r w:rsidR="00A934A5">
        <w:t xml:space="preserve">had become more positive </w:t>
      </w:r>
      <w:r w:rsidR="00EC2985">
        <w:t>following their move</w:t>
      </w:r>
      <w:r w:rsidR="00A934A5">
        <w:t>s</w:t>
      </w:r>
      <w:r w:rsidR="00EC2985">
        <w:t>,</w:t>
      </w:r>
      <w:r>
        <w:t xml:space="preserve"> </w:t>
      </w:r>
      <w:r w:rsidR="0052376F">
        <w:t xml:space="preserve">consistent with the </w:t>
      </w:r>
      <w:r w:rsidR="00E93CE3">
        <w:t>arguments above about attitudes and the built environment</w:t>
      </w:r>
      <w:r w:rsidR="00D67CC5">
        <w:t xml:space="preserve">. </w:t>
      </w:r>
    </w:p>
    <w:p w:rsidR="00D67CC5" w:rsidRDefault="00D67CC5" w:rsidP="00CB367A"/>
    <w:p w:rsidR="00CB367A" w:rsidRDefault="00A934A5" w:rsidP="00CB367A">
      <w:r>
        <w:t>Ove</w:t>
      </w:r>
      <w:r w:rsidR="00D95938">
        <w:t>r</w:t>
      </w:r>
      <w:r>
        <w:t>all, t</w:t>
      </w:r>
      <w:r w:rsidR="0052376F">
        <w:t xml:space="preserve">he findings </w:t>
      </w:r>
      <w:r>
        <w:t xml:space="preserve">reported in this section </w:t>
      </w:r>
      <w:r w:rsidR="0052376F">
        <w:t>support</w:t>
      </w:r>
      <w:r w:rsidR="00CB367A">
        <w:t xml:space="preserve"> the view that </w:t>
      </w:r>
      <w:r w:rsidR="007B7BF0">
        <w:t xml:space="preserve">redeveloping inner urban areas with high density </w:t>
      </w:r>
      <w:r w:rsidR="00CB367A">
        <w:t xml:space="preserve">housing </w:t>
      </w:r>
      <w:r w:rsidR="00EC2985">
        <w:t xml:space="preserve">of this nature </w:t>
      </w:r>
      <w:r w:rsidR="007B7BF0">
        <w:t xml:space="preserve">can help to reduce </w:t>
      </w:r>
      <w:r w:rsidR="00CB367A">
        <w:t>travel by car</w:t>
      </w:r>
      <w:r w:rsidR="007B7BF0">
        <w:t xml:space="preserve"> at the individual and national levels, though this does not imply any </w:t>
      </w:r>
      <w:r>
        <w:t xml:space="preserve">overall </w:t>
      </w:r>
      <w:r w:rsidR="007B7BF0">
        <w:t>reduction in traffic surrounding the development.  As the rest of this paper will argue, an increase in local traffic is more likely.</w:t>
      </w:r>
    </w:p>
    <w:p w:rsidR="007848C6" w:rsidRDefault="00CF226C" w:rsidP="003F29FD">
      <w:pPr>
        <w:pStyle w:val="Heading1"/>
      </w:pPr>
      <w:bookmarkStart w:id="4" w:name="_Ref256494633"/>
      <w:r>
        <w:t>T</w:t>
      </w:r>
      <w:r w:rsidR="007848C6">
        <w:t>he Paradox of Intensification</w:t>
      </w:r>
      <w:bookmarkEnd w:id="4"/>
    </w:p>
    <w:p w:rsidR="007848C6" w:rsidRDefault="007848C6" w:rsidP="003F29FD">
      <w:pPr>
        <w:keepNext/>
      </w:pPr>
    </w:p>
    <w:p w:rsidR="00CF226C" w:rsidRDefault="00717AF6" w:rsidP="003F29FD">
      <w:pPr>
        <w:keepNext/>
      </w:pPr>
      <w:r>
        <w:t>N</w:t>
      </w:r>
      <w:r w:rsidR="00CF226C">
        <w:t xml:space="preserve">otwithstanding self-selection and other confounding factors, all other things being equal, </w:t>
      </w:r>
      <w:r>
        <w:t xml:space="preserve">Section </w:t>
      </w:r>
      <w:r w:rsidR="0033030D">
        <w:fldChar w:fldCharType="begin"/>
      </w:r>
      <w:r w:rsidR="00D67CC5">
        <w:instrText xml:space="preserve"> REF _Ref255490437 \r \h </w:instrText>
      </w:r>
      <w:r w:rsidR="0033030D">
        <w:fldChar w:fldCharType="separate"/>
      </w:r>
      <w:r w:rsidR="00B318EA">
        <w:t>3</w:t>
      </w:r>
      <w:r w:rsidR="0033030D">
        <w:fldChar w:fldCharType="end"/>
      </w:r>
      <w:r w:rsidR="00D67CC5">
        <w:t xml:space="preserve"> </w:t>
      </w:r>
      <w:r w:rsidR="00057552">
        <w:t>suggests</w:t>
      </w:r>
      <w:r>
        <w:t xml:space="preserve"> that </w:t>
      </w:r>
      <w:r w:rsidR="00CF226C">
        <w:t xml:space="preserve">urban intensification does </w:t>
      </w:r>
      <w:r w:rsidR="00271C91">
        <w:t xml:space="preserve">cause </w:t>
      </w:r>
      <w:r w:rsidR="00CF226C">
        <w:t xml:space="preserve">a reduction in per capita VMT </w:t>
      </w:r>
      <w:r w:rsidR="001013EE">
        <w:t xml:space="preserve">and the modal share of private motor vehicles </w:t>
      </w:r>
      <w:r w:rsidR="00CF226C">
        <w:t>in those areas where it is implemented.  Whether this implies a reduction or increase in traffic within and surrounding intensified areas depend</w:t>
      </w:r>
      <w:r w:rsidR="00D95938">
        <w:t>s</w:t>
      </w:r>
      <w:r w:rsidR="00CF226C">
        <w:t xml:space="preserve"> upon the elasticity of vehicle use with respect to population density.    </w:t>
      </w:r>
    </w:p>
    <w:p w:rsidR="00CF226C" w:rsidRDefault="00CF226C" w:rsidP="003F29FD"/>
    <w:p w:rsidR="002208B2" w:rsidRDefault="00CF226C" w:rsidP="003F29FD">
      <w:r>
        <w:t>So is vehicle use elastic or inelastic with respect to population density? Studies of this question have been</w:t>
      </w:r>
      <w:r w:rsidR="003F29FD">
        <w:t xml:space="preserve"> based on cross-sectional data, again, with the limitations that implies.  </w:t>
      </w:r>
      <w:r w:rsidR="002208B2">
        <w:t>Newman and Kenworthy’s interpretation of the international data implied an inelastic relationship at the highest levels of density in Asian cities, but a relatively elastic relationship at the lower levels of density encountered in North America and Australia.</w:t>
      </w:r>
    </w:p>
    <w:p w:rsidR="002208B2" w:rsidRDefault="002208B2" w:rsidP="003F29FD"/>
    <w:p w:rsidR="003F29FD" w:rsidRDefault="002208B2" w:rsidP="003F29FD">
      <w:r>
        <w:lastRenderedPageBreak/>
        <w:t>Cross-country comparisons, reflecting a range of cultural and other differences, may be misleading when considering intensification within a country.  Studies within countries</w:t>
      </w:r>
      <w:r w:rsidR="003F29FD">
        <w:t xml:space="preserve"> have consistently shown that vehicle use measured in different ways is highly inelastic in respect of density.</w:t>
      </w:r>
    </w:p>
    <w:p w:rsidR="003F29FD" w:rsidRDefault="003F29FD" w:rsidP="003F29FD"/>
    <w:p w:rsidR="003F29FD" w:rsidRDefault="003F29FD" w:rsidP="003F29FD">
      <w:r>
        <w:t xml:space="preserve">Zhang </w:t>
      </w:r>
      <w:r w:rsidR="0033030D">
        <w:fldChar w:fldCharType="begin"/>
      </w:r>
      <w:r>
        <w:instrText>ADDIN RW.CITE{{1755 Zhang,Ming 2004/a;}}</w:instrText>
      </w:r>
      <w:r w:rsidR="0033030D">
        <w:fldChar w:fldCharType="separate"/>
      </w:r>
      <w:r w:rsidR="00471E65">
        <w:t>(2004)</w:t>
      </w:r>
      <w:r w:rsidR="0033030D">
        <w:fldChar w:fldCharType="end"/>
      </w:r>
      <w:r>
        <w:t xml:space="preserve"> estimated probability-weighted average elasticities for mode choice in Boston and Hong Kong.  Their findings with respect to driving are shown in</w:t>
      </w:r>
      <w:r w:rsidR="001330D1">
        <w:t xml:space="preserve"> </w:t>
      </w:r>
      <w:r w:rsidR="0033030D">
        <w:fldChar w:fldCharType="begin"/>
      </w:r>
      <w:r w:rsidR="001330D1">
        <w:instrText xml:space="preserve"> REF _Ref251839963 \h </w:instrText>
      </w:r>
      <w:r w:rsidR="0033030D">
        <w:fldChar w:fldCharType="separate"/>
      </w:r>
      <w:r w:rsidR="00B318EA">
        <w:t xml:space="preserve">Table </w:t>
      </w:r>
      <w:r w:rsidR="00B318EA">
        <w:rPr>
          <w:noProof/>
        </w:rPr>
        <w:t>3</w:t>
      </w:r>
      <w:r w:rsidR="0033030D">
        <w:fldChar w:fldCharType="end"/>
      </w:r>
      <w:r w:rsidR="001330D1">
        <w:t>.</w:t>
      </w:r>
    </w:p>
    <w:p w:rsidR="003F29FD" w:rsidRDefault="003F29FD" w:rsidP="001013EE">
      <w:pPr>
        <w:keepNext/>
      </w:pPr>
    </w:p>
    <w:tbl>
      <w:tblPr>
        <w:tblStyle w:val="TableGrid"/>
        <w:tblW w:w="0" w:type="auto"/>
        <w:tblLook w:val="04A0"/>
      </w:tblPr>
      <w:tblGrid>
        <w:gridCol w:w="2906"/>
        <w:gridCol w:w="2907"/>
        <w:gridCol w:w="2907"/>
      </w:tblGrid>
      <w:tr w:rsidR="003F29FD" w:rsidTr="003F29FD">
        <w:tc>
          <w:tcPr>
            <w:tcW w:w="2906" w:type="dxa"/>
          </w:tcPr>
          <w:p w:rsidR="003F29FD" w:rsidRDefault="003F29FD" w:rsidP="001013EE">
            <w:pPr>
              <w:keepNext/>
            </w:pPr>
          </w:p>
        </w:tc>
        <w:tc>
          <w:tcPr>
            <w:tcW w:w="2907" w:type="dxa"/>
          </w:tcPr>
          <w:p w:rsidR="003F29FD" w:rsidRPr="001330D1" w:rsidRDefault="003F29FD" w:rsidP="001013EE">
            <w:pPr>
              <w:keepNext/>
              <w:jc w:val="center"/>
              <w:rPr>
                <w:b/>
              </w:rPr>
            </w:pPr>
            <w:r w:rsidRPr="001330D1">
              <w:rPr>
                <w:b/>
              </w:rPr>
              <w:t>Work</w:t>
            </w:r>
            <w:r w:rsidR="001330D1">
              <w:rPr>
                <w:b/>
              </w:rPr>
              <w:t xml:space="preserve"> Trips</w:t>
            </w:r>
          </w:p>
        </w:tc>
        <w:tc>
          <w:tcPr>
            <w:tcW w:w="2907" w:type="dxa"/>
          </w:tcPr>
          <w:p w:rsidR="003F29FD" w:rsidRPr="001330D1" w:rsidRDefault="003F29FD" w:rsidP="001013EE">
            <w:pPr>
              <w:keepNext/>
              <w:jc w:val="center"/>
              <w:rPr>
                <w:b/>
              </w:rPr>
            </w:pPr>
            <w:r w:rsidRPr="001330D1">
              <w:rPr>
                <w:b/>
              </w:rPr>
              <w:t>Non-Work</w:t>
            </w:r>
            <w:r w:rsidR="001330D1">
              <w:rPr>
                <w:b/>
              </w:rPr>
              <w:t xml:space="preserve"> Trips</w:t>
            </w:r>
          </w:p>
        </w:tc>
      </w:tr>
      <w:tr w:rsidR="003F29FD" w:rsidTr="003F29FD">
        <w:tc>
          <w:tcPr>
            <w:tcW w:w="2906" w:type="dxa"/>
          </w:tcPr>
          <w:p w:rsidR="003F29FD" w:rsidRDefault="003F29FD" w:rsidP="001013EE">
            <w:pPr>
              <w:keepNext/>
            </w:pPr>
          </w:p>
        </w:tc>
        <w:tc>
          <w:tcPr>
            <w:tcW w:w="2907" w:type="dxa"/>
          </w:tcPr>
          <w:p w:rsidR="003F29FD" w:rsidRDefault="003F29FD" w:rsidP="001013EE">
            <w:pPr>
              <w:keepNext/>
              <w:jc w:val="center"/>
            </w:pPr>
          </w:p>
        </w:tc>
        <w:tc>
          <w:tcPr>
            <w:tcW w:w="2907" w:type="dxa"/>
          </w:tcPr>
          <w:p w:rsidR="003F29FD" w:rsidRDefault="003F29FD" w:rsidP="001013EE">
            <w:pPr>
              <w:keepNext/>
              <w:jc w:val="center"/>
            </w:pPr>
          </w:p>
        </w:tc>
      </w:tr>
      <w:tr w:rsidR="003F29FD" w:rsidTr="003F29FD">
        <w:tc>
          <w:tcPr>
            <w:tcW w:w="2906" w:type="dxa"/>
          </w:tcPr>
          <w:p w:rsidR="003F29FD" w:rsidRDefault="003F29FD" w:rsidP="001013EE">
            <w:pPr>
              <w:keepNext/>
            </w:pPr>
            <w:r>
              <w:t>Boston</w:t>
            </w:r>
          </w:p>
        </w:tc>
        <w:tc>
          <w:tcPr>
            <w:tcW w:w="2907" w:type="dxa"/>
          </w:tcPr>
          <w:p w:rsidR="003F29FD" w:rsidRDefault="003F29FD" w:rsidP="001013EE">
            <w:pPr>
              <w:keepNext/>
              <w:jc w:val="center"/>
            </w:pPr>
            <w:r>
              <w:t>-0.044</w:t>
            </w:r>
          </w:p>
        </w:tc>
        <w:tc>
          <w:tcPr>
            <w:tcW w:w="2907" w:type="dxa"/>
          </w:tcPr>
          <w:p w:rsidR="003F29FD" w:rsidRDefault="003F29FD" w:rsidP="001013EE">
            <w:pPr>
              <w:keepNext/>
              <w:jc w:val="center"/>
            </w:pPr>
            <w:r>
              <w:t>-0.04</w:t>
            </w:r>
          </w:p>
        </w:tc>
      </w:tr>
      <w:tr w:rsidR="003F29FD" w:rsidTr="003F29FD">
        <w:tc>
          <w:tcPr>
            <w:tcW w:w="2906" w:type="dxa"/>
          </w:tcPr>
          <w:p w:rsidR="003F29FD" w:rsidRDefault="003F29FD" w:rsidP="001013EE">
            <w:pPr>
              <w:keepNext/>
            </w:pPr>
            <w:r>
              <w:t>Hong Kong</w:t>
            </w:r>
          </w:p>
        </w:tc>
        <w:tc>
          <w:tcPr>
            <w:tcW w:w="2907" w:type="dxa"/>
          </w:tcPr>
          <w:p w:rsidR="003F29FD" w:rsidRDefault="003F29FD" w:rsidP="001013EE">
            <w:pPr>
              <w:keepNext/>
              <w:jc w:val="center"/>
            </w:pPr>
            <w:r>
              <w:t>-0.039</w:t>
            </w:r>
          </w:p>
        </w:tc>
        <w:tc>
          <w:tcPr>
            <w:tcW w:w="2907" w:type="dxa"/>
          </w:tcPr>
          <w:p w:rsidR="003F29FD" w:rsidRDefault="003F29FD" w:rsidP="001013EE">
            <w:pPr>
              <w:keepNext/>
              <w:jc w:val="center"/>
            </w:pPr>
            <w:r>
              <w:t>-0.11</w:t>
            </w:r>
          </w:p>
        </w:tc>
      </w:tr>
    </w:tbl>
    <w:p w:rsidR="003F29FD" w:rsidRDefault="003F29FD" w:rsidP="001013EE">
      <w:pPr>
        <w:pStyle w:val="Caption"/>
        <w:keepNext/>
        <w:jc w:val="center"/>
      </w:pPr>
      <w:bookmarkStart w:id="5" w:name="_Ref251839963"/>
      <w:r>
        <w:t xml:space="preserve">Table </w:t>
      </w:r>
      <w:r w:rsidR="0033030D">
        <w:fldChar w:fldCharType="begin"/>
      </w:r>
      <w:r w:rsidR="004D2071">
        <w:instrText xml:space="preserve"> SEQ Table \* ARABIC </w:instrText>
      </w:r>
      <w:r w:rsidR="0033030D">
        <w:fldChar w:fldCharType="separate"/>
      </w:r>
      <w:r w:rsidR="00B318EA">
        <w:rPr>
          <w:noProof/>
        </w:rPr>
        <w:t>3</w:t>
      </w:r>
      <w:r w:rsidR="0033030D">
        <w:fldChar w:fldCharType="end"/>
      </w:r>
      <w:bookmarkEnd w:id="5"/>
      <w:r w:rsidR="001330D1">
        <w:t xml:space="preserve"> Elasticities of driving against population density, Zhang (2004)</w:t>
      </w:r>
    </w:p>
    <w:p w:rsidR="001330D1" w:rsidRDefault="001330D1" w:rsidP="001330D1"/>
    <w:p w:rsidR="001330D1" w:rsidRDefault="001330D1" w:rsidP="001330D1">
      <w:r>
        <w:t xml:space="preserve">This implies that all other factors held constant, doubling the population of Boston would reduce the probability of driving </w:t>
      </w:r>
      <w:r w:rsidR="00416346">
        <w:t xml:space="preserve">for each trip </w:t>
      </w:r>
      <w:r w:rsidR="00445900">
        <w:t xml:space="preserve">by around 4%. </w:t>
      </w:r>
      <w:r w:rsidR="0076141B">
        <w:t xml:space="preserve">  It should be noted that these are net elasticities, controlling for a range of other social, economic and built environment variables.</w:t>
      </w:r>
    </w:p>
    <w:p w:rsidR="00445900" w:rsidRDefault="00445900" w:rsidP="001330D1"/>
    <w:p w:rsidR="00445900" w:rsidRDefault="00445900" w:rsidP="00445900">
      <w:pPr>
        <w:keepNext/>
      </w:pPr>
      <w:r>
        <w:t xml:space="preserve">The appropriate measure of ‘driving’ for these purposes would vary according to circumstances.  If a single development is considered in isolation </w:t>
      </w:r>
      <w:r w:rsidRPr="00787DEB">
        <w:rPr>
          <w:i/>
        </w:rPr>
        <w:t>vehicular</w:t>
      </w:r>
      <w:r>
        <w:t xml:space="preserve"> </w:t>
      </w:r>
      <w:r w:rsidRPr="00787DEB">
        <w:rPr>
          <w:i/>
        </w:rPr>
        <w:t xml:space="preserve">trip generation </w:t>
      </w:r>
      <w:r w:rsidRPr="00787DEB">
        <w:t>(i.e. the number of vehicle movements)</w:t>
      </w:r>
      <w:r>
        <w:rPr>
          <w:i/>
        </w:rPr>
        <w:t xml:space="preserve"> </w:t>
      </w:r>
      <w:r>
        <w:t xml:space="preserve">would be the most appropriate measure, since the only change in traffic levels would be caused by journeys originating (or terminating) in that development.  If intensification is practised across a city (or any area wider than the individual development) then journey </w:t>
      </w:r>
      <w:r w:rsidRPr="00E84DC2">
        <w:rPr>
          <w:i/>
        </w:rPr>
        <w:t>distances</w:t>
      </w:r>
      <w:r>
        <w:t xml:space="preserve"> would also influence the volume of traffic in and around the intensified areas.  </w:t>
      </w:r>
    </w:p>
    <w:p w:rsidR="001330D1" w:rsidRDefault="001330D1" w:rsidP="001330D1"/>
    <w:p w:rsidR="001330D1" w:rsidRDefault="001330D1" w:rsidP="001330D1">
      <w:r>
        <w:t xml:space="preserve">Elasticity with respect to VMT appears greater than that of trip generation, but it is still highly inelastic.  Using data for California, Brownstone and </w:t>
      </w:r>
      <w:proofErr w:type="spellStart"/>
      <w:r>
        <w:t>Golob</w:t>
      </w:r>
      <w:proofErr w:type="spellEnd"/>
      <w:r>
        <w:t xml:space="preserve"> </w:t>
      </w:r>
      <w:r w:rsidR="0033030D">
        <w:fldChar w:fldCharType="begin"/>
      </w:r>
      <w:r>
        <w:instrText>ADDIN RW.CITE{{1757 Brownstone,David 2009/a;}}</w:instrText>
      </w:r>
      <w:r w:rsidR="0033030D">
        <w:fldChar w:fldCharType="separate"/>
      </w:r>
      <w:r w:rsidR="00471E65">
        <w:t>(2009)</w:t>
      </w:r>
      <w:r w:rsidR="0033030D">
        <w:fldChar w:fldCharType="end"/>
      </w:r>
      <w:r>
        <w:t xml:space="preserve"> estimate that a household in a neighbourhood 40% denser than the average will drive 4.8% fewer miles than an identical household in an average neighbourhood – an elasticity of </w:t>
      </w:r>
      <w:r w:rsidR="00186B66">
        <w:t>–</w:t>
      </w:r>
      <w:r>
        <w:t>0.12.</w:t>
      </w:r>
    </w:p>
    <w:p w:rsidR="001330D1" w:rsidRDefault="001330D1" w:rsidP="001330D1"/>
    <w:p w:rsidR="001330D1" w:rsidRDefault="005F77E3">
      <w:r>
        <w:t>In a study using Census data for England</w:t>
      </w:r>
      <w:r w:rsidR="00583955" w:rsidRPr="00B02333">
        <w:t xml:space="preserve">, Gordon </w:t>
      </w:r>
      <w:r w:rsidR="0033030D">
        <w:fldChar w:fldCharType="begin"/>
      </w:r>
      <w:r w:rsidR="00AC2C80">
        <w:instrText>ADDIN RW.CITE{{75 Gordon, Ian 1997/a; }}</w:instrText>
      </w:r>
      <w:r w:rsidR="0033030D">
        <w:fldChar w:fldCharType="separate"/>
      </w:r>
      <w:r w:rsidR="00471E65">
        <w:t>(1997)</w:t>
      </w:r>
      <w:r w:rsidR="0033030D">
        <w:fldChar w:fldCharType="end"/>
      </w:r>
      <w:r w:rsidR="00583955" w:rsidRPr="00B02333">
        <w:t xml:space="preserve"> found that a doubling of densities was associated with a 7% reduction in energy-wei</w:t>
      </w:r>
      <w:r w:rsidR="00FF19BD">
        <w:t>ghted miles of travel to work.</w:t>
      </w:r>
      <w:r w:rsidR="00C87C83">
        <w:t xml:space="preserve">  </w:t>
      </w:r>
      <w:proofErr w:type="gramStart"/>
      <w:r w:rsidR="00C87C83">
        <w:t xml:space="preserve">Based on a range of studies using U.S. data, Ewing et al </w:t>
      </w:r>
      <w:proofErr w:type="gramEnd"/>
      <w:r w:rsidR="0033030D">
        <w:fldChar w:fldCharType="begin"/>
      </w:r>
      <w:r w:rsidR="00C87C83">
        <w:instrText>ADDIN RW.CITE{{1806 Ewing,R. 2008/a;}}</w:instrText>
      </w:r>
      <w:r w:rsidR="0033030D">
        <w:fldChar w:fldCharType="separate"/>
      </w:r>
      <w:r w:rsidR="00471E65">
        <w:t>(2008)</w:t>
      </w:r>
      <w:r w:rsidR="0033030D">
        <w:fldChar w:fldCharType="end"/>
      </w:r>
      <w:proofErr w:type="gramStart"/>
      <w:r w:rsidR="00C87C83">
        <w:t xml:space="preserve"> estimate that a doubling of local density would reduce both VMT and trips by around 5%.</w:t>
      </w:r>
      <w:proofErr w:type="gramEnd"/>
    </w:p>
    <w:p w:rsidR="00232CFC" w:rsidRDefault="00232CFC"/>
    <w:p w:rsidR="00FF19BD" w:rsidRDefault="00FF19BD">
      <w:r w:rsidRPr="00FF19BD">
        <w:t xml:space="preserve">Different data and methods will produce different estimates, but none of the studies suggest that </w:t>
      </w:r>
      <w:r w:rsidR="005F77E3">
        <w:t xml:space="preserve">doubling </w:t>
      </w:r>
      <w:r w:rsidRPr="00FF19BD">
        <w:t xml:space="preserve">population </w:t>
      </w:r>
      <w:r w:rsidR="001330D1">
        <w:t xml:space="preserve">density would </w:t>
      </w:r>
      <w:r w:rsidR="005F77E3">
        <w:t xml:space="preserve">halve </w:t>
      </w:r>
      <w:r>
        <w:t>trips per person</w:t>
      </w:r>
      <w:r w:rsidR="001330D1">
        <w:t xml:space="preserve"> or VMT</w:t>
      </w:r>
      <w:r>
        <w:t>.  This suggests:</w:t>
      </w:r>
    </w:p>
    <w:p w:rsidR="00FF19BD" w:rsidRDefault="00FF19BD"/>
    <w:p w:rsidR="00FF19BD" w:rsidRPr="00A33074" w:rsidRDefault="00FF19BD" w:rsidP="00FF19BD">
      <w:pPr>
        <w:ind w:left="720"/>
        <w:rPr>
          <w:i/>
        </w:rPr>
      </w:pPr>
      <w:r w:rsidRPr="00A33074">
        <w:t>Ceteris paribus</w:t>
      </w:r>
      <w:r w:rsidRPr="00A33074">
        <w:rPr>
          <w:i/>
        </w:rPr>
        <w:t>, urban intensification which increases population densi</w:t>
      </w:r>
      <w:r w:rsidR="002F6160" w:rsidRPr="00A33074">
        <w:rPr>
          <w:i/>
        </w:rPr>
        <w:t xml:space="preserve">ty will reduce </w:t>
      </w:r>
      <w:r w:rsidR="00D95938">
        <w:rPr>
          <w:i/>
        </w:rPr>
        <w:t>per capita</w:t>
      </w:r>
      <w:r w:rsidR="00D95938" w:rsidRPr="00A33074">
        <w:rPr>
          <w:i/>
        </w:rPr>
        <w:t xml:space="preserve"> </w:t>
      </w:r>
      <w:r w:rsidR="002F6160" w:rsidRPr="00A33074">
        <w:rPr>
          <w:i/>
        </w:rPr>
        <w:t xml:space="preserve">car use, with benefits to the global environment, </w:t>
      </w:r>
      <w:r w:rsidRPr="00A33074">
        <w:rPr>
          <w:i/>
        </w:rPr>
        <w:t>but will also increase concentrations of motor traffic, worsening the local environment in those locations where it occurs.</w:t>
      </w:r>
    </w:p>
    <w:p w:rsidR="00FF19BD" w:rsidRDefault="00FF19BD"/>
    <w:p w:rsidR="00B13EF2" w:rsidRDefault="00CF628F" w:rsidP="009F66D0">
      <w:r>
        <w:t xml:space="preserve">The </w:t>
      </w:r>
      <w:r w:rsidRPr="00B71D44">
        <w:rPr>
          <w:i/>
        </w:rPr>
        <w:t>ceteris paribus</w:t>
      </w:r>
      <w:r>
        <w:t xml:space="preserve"> qualification is necessary to draw the above conclusion from cross-sectional data.  It implies a number of caveats relating to changes in other factors.  These may be</w:t>
      </w:r>
      <w:r w:rsidRPr="005F77E3">
        <w:t xml:space="preserve"> </w:t>
      </w:r>
      <w:r>
        <w:t xml:space="preserve">entailed by intensification, or they may be exogenous, including additional policy measures aimed at restraining car use in intensified areas.  </w:t>
      </w:r>
      <w:r w:rsidR="00B13EF2">
        <w:t>The predicted transport outcomes of the paradox are illustrated in</w:t>
      </w:r>
      <w:r w:rsidR="00DC1627">
        <w:t xml:space="preserve"> </w:t>
      </w:r>
      <w:r w:rsidR="0033030D">
        <w:fldChar w:fldCharType="begin"/>
      </w:r>
      <w:r w:rsidR="00DC1627">
        <w:instrText xml:space="preserve"> REF _Ref255828899 \h </w:instrText>
      </w:r>
      <w:r w:rsidR="0033030D">
        <w:fldChar w:fldCharType="separate"/>
      </w:r>
      <w:r w:rsidR="00B318EA">
        <w:t xml:space="preserve">Table </w:t>
      </w:r>
      <w:r w:rsidR="00B318EA">
        <w:rPr>
          <w:noProof/>
        </w:rPr>
        <w:t>4</w:t>
      </w:r>
      <w:r w:rsidR="0033030D">
        <w:fldChar w:fldCharType="end"/>
      </w:r>
      <w:r w:rsidR="00B13EF2">
        <w:t>:</w:t>
      </w:r>
    </w:p>
    <w:p w:rsidR="00B13EF2" w:rsidRDefault="00B13EF2" w:rsidP="009F66D0"/>
    <w:p w:rsidR="00B13EF2" w:rsidRDefault="00B13EF2" w:rsidP="009F66D0"/>
    <w:tbl>
      <w:tblPr>
        <w:tblStyle w:val="TableGrid"/>
        <w:tblW w:w="0" w:type="auto"/>
        <w:tblLayout w:type="fixed"/>
        <w:tblLook w:val="04A0"/>
      </w:tblPr>
      <w:tblGrid>
        <w:gridCol w:w="2802"/>
        <w:gridCol w:w="2126"/>
        <w:gridCol w:w="1984"/>
        <w:gridCol w:w="1701"/>
      </w:tblGrid>
      <w:tr w:rsidR="00ED2DDE" w:rsidTr="00DC2893">
        <w:tc>
          <w:tcPr>
            <w:tcW w:w="2802" w:type="dxa"/>
            <w:shd w:val="pct20" w:color="auto" w:fill="auto"/>
          </w:tcPr>
          <w:p w:rsidR="00ED2DDE" w:rsidRDefault="00ED2DDE" w:rsidP="00E434EA">
            <w:pPr>
              <w:keepNext/>
            </w:pPr>
          </w:p>
        </w:tc>
        <w:tc>
          <w:tcPr>
            <w:tcW w:w="2126" w:type="dxa"/>
            <w:shd w:val="pct20" w:color="auto" w:fill="auto"/>
            <w:vAlign w:val="bottom"/>
          </w:tcPr>
          <w:p w:rsidR="00ED2DDE" w:rsidRPr="00DC1627" w:rsidRDefault="0089306B" w:rsidP="00DC1627">
            <w:pPr>
              <w:keepNext/>
              <w:jc w:val="center"/>
              <w:rPr>
                <w:b/>
              </w:rPr>
            </w:pPr>
            <w:r>
              <w:rPr>
                <w:b/>
              </w:rPr>
              <w:t>Per capita (by residents of</w:t>
            </w:r>
            <w:r w:rsidR="00ED2DDE" w:rsidRPr="00DC1627">
              <w:rPr>
                <w:b/>
              </w:rPr>
              <w:t xml:space="preserve"> the intensified</w:t>
            </w:r>
            <w:r w:rsidR="00ED2DDE">
              <w:rPr>
                <w:b/>
              </w:rPr>
              <w:t xml:space="preserve"> area</w:t>
            </w:r>
            <w:r w:rsidR="00ED2DDE" w:rsidRPr="00DC1627">
              <w:rPr>
                <w:b/>
              </w:rPr>
              <w:t>)</w:t>
            </w:r>
          </w:p>
        </w:tc>
        <w:tc>
          <w:tcPr>
            <w:tcW w:w="1984" w:type="dxa"/>
            <w:shd w:val="pct20" w:color="auto" w:fill="auto"/>
            <w:vAlign w:val="bottom"/>
          </w:tcPr>
          <w:p w:rsidR="00ED2DDE" w:rsidRPr="00DC1627" w:rsidRDefault="00ED2DDE" w:rsidP="00DC1627">
            <w:pPr>
              <w:keepNext/>
              <w:jc w:val="center"/>
              <w:rPr>
                <w:b/>
              </w:rPr>
            </w:pPr>
            <w:r w:rsidRPr="00DC1627">
              <w:rPr>
                <w:b/>
              </w:rPr>
              <w:t>Within the Intensified Area</w:t>
            </w:r>
          </w:p>
        </w:tc>
        <w:tc>
          <w:tcPr>
            <w:tcW w:w="1701" w:type="dxa"/>
            <w:shd w:val="pct20" w:color="auto" w:fill="auto"/>
            <w:vAlign w:val="bottom"/>
          </w:tcPr>
          <w:p w:rsidR="00ED2DDE" w:rsidRPr="00DC1627" w:rsidRDefault="00ED2DDE" w:rsidP="00DC1627">
            <w:pPr>
              <w:keepNext/>
              <w:jc w:val="center"/>
              <w:rPr>
                <w:b/>
              </w:rPr>
            </w:pPr>
            <w:r w:rsidRPr="00DC1627">
              <w:rPr>
                <w:b/>
              </w:rPr>
              <w:t>Globally</w:t>
            </w:r>
          </w:p>
        </w:tc>
      </w:tr>
      <w:tr w:rsidR="00ED2DDE" w:rsidTr="00ED2DDE">
        <w:tc>
          <w:tcPr>
            <w:tcW w:w="2802" w:type="dxa"/>
          </w:tcPr>
          <w:p w:rsidR="00ED2DDE" w:rsidRDefault="00ED2DDE" w:rsidP="00E434EA">
            <w:pPr>
              <w:keepNext/>
            </w:pPr>
            <w:r>
              <w:t>Vehicle Miles Travelled</w:t>
            </w:r>
          </w:p>
        </w:tc>
        <w:tc>
          <w:tcPr>
            <w:tcW w:w="2126" w:type="dxa"/>
          </w:tcPr>
          <w:p w:rsidR="00ED2DDE" w:rsidRPr="00DC1627" w:rsidRDefault="00ED2DDE" w:rsidP="00E434EA">
            <w:pPr>
              <w:keepNext/>
              <w:jc w:val="center"/>
              <w:rPr>
                <w:b/>
              </w:rPr>
            </w:pPr>
            <w:r w:rsidRPr="00DC1627">
              <w:rPr>
                <w:b/>
              </w:rPr>
              <w:t>↓</w:t>
            </w:r>
          </w:p>
        </w:tc>
        <w:tc>
          <w:tcPr>
            <w:tcW w:w="1984" w:type="dxa"/>
          </w:tcPr>
          <w:p w:rsidR="00ED2DDE" w:rsidRPr="00DC1627" w:rsidRDefault="00ED2DDE" w:rsidP="00E434EA">
            <w:pPr>
              <w:keepNext/>
              <w:jc w:val="center"/>
              <w:rPr>
                <w:b/>
              </w:rPr>
            </w:pPr>
            <w:r w:rsidRPr="00DC1627">
              <w:rPr>
                <w:rFonts w:ascii="Arial Black" w:hAnsi="Arial Black"/>
                <w:b/>
              </w:rPr>
              <w:t>↑</w:t>
            </w:r>
          </w:p>
        </w:tc>
        <w:tc>
          <w:tcPr>
            <w:tcW w:w="1701" w:type="dxa"/>
          </w:tcPr>
          <w:p w:rsidR="00ED2DDE" w:rsidRPr="00DC1627" w:rsidRDefault="00ED2DDE" w:rsidP="00E434EA">
            <w:pPr>
              <w:keepNext/>
              <w:jc w:val="center"/>
              <w:rPr>
                <w:b/>
              </w:rPr>
            </w:pPr>
            <w:r w:rsidRPr="00DC1627">
              <w:rPr>
                <w:b/>
              </w:rPr>
              <w:t>↓</w:t>
            </w:r>
          </w:p>
        </w:tc>
      </w:tr>
      <w:tr w:rsidR="00ED2DDE" w:rsidTr="00ED2DDE">
        <w:tc>
          <w:tcPr>
            <w:tcW w:w="2802" w:type="dxa"/>
          </w:tcPr>
          <w:p w:rsidR="00ED2DDE" w:rsidRDefault="00ED2DDE" w:rsidP="00DC1627">
            <w:pPr>
              <w:keepNext/>
            </w:pPr>
            <w:r>
              <w:t>% of trips by car</w:t>
            </w:r>
          </w:p>
        </w:tc>
        <w:tc>
          <w:tcPr>
            <w:tcW w:w="2126" w:type="dxa"/>
          </w:tcPr>
          <w:p w:rsidR="00ED2DDE" w:rsidRPr="00DC1627" w:rsidRDefault="00ED2DDE" w:rsidP="00E434EA">
            <w:pPr>
              <w:keepNext/>
              <w:jc w:val="center"/>
              <w:rPr>
                <w:b/>
              </w:rPr>
            </w:pPr>
            <w:r w:rsidRPr="00DC1627">
              <w:rPr>
                <w:b/>
              </w:rPr>
              <w:t>↓</w:t>
            </w:r>
          </w:p>
        </w:tc>
        <w:tc>
          <w:tcPr>
            <w:tcW w:w="1984" w:type="dxa"/>
          </w:tcPr>
          <w:p w:rsidR="00ED2DDE" w:rsidRPr="00DC1627" w:rsidRDefault="00ED2DDE" w:rsidP="00E434EA">
            <w:pPr>
              <w:keepNext/>
              <w:jc w:val="center"/>
              <w:rPr>
                <w:b/>
              </w:rPr>
            </w:pPr>
            <w:r w:rsidRPr="00DC1627">
              <w:rPr>
                <w:b/>
              </w:rPr>
              <w:t>↓</w:t>
            </w:r>
          </w:p>
        </w:tc>
        <w:tc>
          <w:tcPr>
            <w:tcW w:w="1701" w:type="dxa"/>
          </w:tcPr>
          <w:p w:rsidR="00ED2DDE" w:rsidRPr="00DC1627" w:rsidRDefault="00ED2DDE" w:rsidP="00E434EA">
            <w:pPr>
              <w:keepNext/>
              <w:jc w:val="center"/>
              <w:rPr>
                <w:b/>
              </w:rPr>
            </w:pPr>
            <w:r w:rsidRPr="00DC1627">
              <w:rPr>
                <w:b/>
              </w:rPr>
              <w:t>↓</w:t>
            </w:r>
          </w:p>
        </w:tc>
      </w:tr>
      <w:tr w:rsidR="00ED2DDE" w:rsidTr="00DC2893">
        <w:tc>
          <w:tcPr>
            <w:tcW w:w="2802" w:type="dxa"/>
          </w:tcPr>
          <w:p w:rsidR="00ED2DDE" w:rsidRDefault="00ED2DDE" w:rsidP="00E434EA">
            <w:pPr>
              <w:keepNext/>
            </w:pPr>
            <w:r>
              <w:t>Traffic volumes</w:t>
            </w:r>
          </w:p>
        </w:tc>
        <w:tc>
          <w:tcPr>
            <w:tcW w:w="2126" w:type="dxa"/>
            <w:shd w:val="pct20" w:color="auto" w:fill="auto"/>
          </w:tcPr>
          <w:p w:rsidR="00ED2DDE" w:rsidRPr="00ED2DDE" w:rsidRDefault="00ED2DDE" w:rsidP="00ED2DDE">
            <w:pPr>
              <w:keepNext/>
              <w:jc w:val="center"/>
              <w:rPr>
                <w:b/>
              </w:rPr>
            </w:pPr>
          </w:p>
        </w:tc>
        <w:tc>
          <w:tcPr>
            <w:tcW w:w="1984" w:type="dxa"/>
          </w:tcPr>
          <w:p w:rsidR="00ED2DDE" w:rsidRPr="00DC1627" w:rsidRDefault="00ED2DDE" w:rsidP="00DC1627">
            <w:pPr>
              <w:keepNext/>
              <w:jc w:val="center"/>
              <w:rPr>
                <w:b/>
              </w:rPr>
            </w:pPr>
            <w:r w:rsidRPr="00DC1627">
              <w:rPr>
                <w:rFonts w:ascii="Arial Black" w:hAnsi="Arial Black"/>
                <w:b/>
              </w:rPr>
              <w:t>↑</w:t>
            </w:r>
          </w:p>
        </w:tc>
        <w:tc>
          <w:tcPr>
            <w:tcW w:w="1701" w:type="dxa"/>
          </w:tcPr>
          <w:p w:rsidR="00ED2DDE" w:rsidRPr="00DC1627" w:rsidRDefault="00ED2DDE" w:rsidP="00E434EA">
            <w:pPr>
              <w:keepNext/>
              <w:jc w:val="center"/>
              <w:rPr>
                <w:b/>
              </w:rPr>
            </w:pPr>
            <w:r w:rsidRPr="00DC1627">
              <w:rPr>
                <w:b/>
              </w:rPr>
              <w:t>↓</w:t>
            </w:r>
          </w:p>
        </w:tc>
      </w:tr>
    </w:tbl>
    <w:p w:rsidR="00B13EF2" w:rsidRDefault="00E434EA" w:rsidP="00E434EA">
      <w:pPr>
        <w:pStyle w:val="Caption"/>
        <w:keepNext/>
        <w:jc w:val="center"/>
      </w:pPr>
      <w:bookmarkStart w:id="6" w:name="_Ref255828899"/>
      <w:r>
        <w:t xml:space="preserve">Table </w:t>
      </w:r>
      <w:r w:rsidR="0033030D">
        <w:fldChar w:fldCharType="begin"/>
      </w:r>
      <w:r w:rsidR="004D2071">
        <w:instrText xml:space="preserve"> SEQ Table \* ARABIC </w:instrText>
      </w:r>
      <w:r w:rsidR="0033030D">
        <w:fldChar w:fldCharType="separate"/>
      </w:r>
      <w:r w:rsidR="00B318EA">
        <w:rPr>
          <w:noProof/>
        </w:rPr>
        <w:t>4</w:t>
      </w:r>
      <w:r w:rsidR="0033030D">
        <w:fldChar w:fldCharType="end"/>
      </w:r>
      <w:bookmarkEnd w:id="6"/>
      <w:r>
        <w:t xml:space="preserve"> Transport Effects of Urban Intensification as Predicted by the Paradox</w:t>
      </w:r>
    </w:p>
    <w:p w:rsidR="00B13EF2" w:rsidRDefault="00B13EF2" w:rsidP="009F66D0"/>
    <w:p w:rsidR="00313429" w:rsidRDefault="00DC2893" w:rsidP="009F66D0">
      <w:r>
        <w:t xml:space="preserve">The intensified area in </w:t>
      </w:r>
      <w:r w:rsidR="0033030D">
        <w:fldChar w:fldCharType="begin"/>
      </w:r>
      <w:r>
        <w:instrText xml:space="preserve"> REF _Ref255828899 \h </w:instrText>
      </w:r>
      <w:r w:rsidR="0033030D">
        <w:fldChar w:fldCharType="separate"/>
      </w:r>
      <w:r w:rsidR="00B318EA">
        <w:t xml:space="preserve">Table </w:t>
      </w:r>
      <w:r w:rsidR="00B318EA">
        <w:rPr>
          <w:noProof/>
        </w:rPr>
        <w:t>4</w:t>
      </w:r>
      <w:r w:rsidR="0033030D">
        <w:fldChar w:fldCharType="end"/>
      </w:r>
      <w:r>
        <w:t xml:space="preserve"> may refer to a city, a neighbourhood, or a smaller development.  The </w:t>
      </w:r>
      <w:r w:rsidR="00186B66">
        <w:t>fourth</w:t>
      </w:r>
      <w:r>
        <w:t xml:space="preserve"> column reflects the small differences in global car use and traffic volumes implied by the behavioural change in the </w:t>
      </w:r>
      <w:r w:rsidR="00186B66">
        <w:t>second</w:t>
      </w:r>
      <w:r>
        <w:t xml:space="preserve"> column, assuming </w:t>
      </w:r>
      <w:r w:rsidR="00313429">
        <w:t>either:</w:t>
      </w:r>
    </w:p>
    <w:p w:rsidR="00313429" w:rsidRDefault="00313429" w:rsidP="009F66D0"/>
    <w:p w:rsidR="00313429" w:rsidRDefault="00DC2893" w:rsidP="00313429">
      <w:pPr>
        <w:pStyle w:val="ListParagraph"/>
        <w:numPr>
          <w:ilvl w:val="0"/>
          <w:numId w:val="13"/>
        </w:numPr>
      </w:pPr>
      <w:r>
        <w:t>the additional residents have moved from lower density areas</w:t>
      </w:r>
      <w:r w:rsidR="00313429">
        <w:t xml:space="preserve">, or </w:t>
      </w:r>
    </w:p>
    <w:p w:rsidR="00313429" w:rsidRDefault="00313429" w:rsidP="00313429">
      <w:pPr>
        <w:pStyle w:val="ListParagraph"/>
        <w:numPr>
          <w:ilvl w:val="0"/>
          <w:numId w:val="13"/>
        </w:numPr>
      </w:pPr>
      <w:r>
        <w:t>a comparison between higher and lower density scenarios for accommodating population growth</w:t>
      </w:r>
      <w:r w:rsidR="00DD547D">
        <w:t xml:space="preserve">  </w:t>
      </w:r>
    </w:p>
    <w:p w:rsidR="00313429" w:rsidRDefault="00313429" w:rsidP="009F66D0"/>
    <w:p w:rsidR="00DC2893" w:rsidRDefault="00DD547D" w:rsidP="009F66D0">
      <w:r>
        <w:t>The relationship between these factors and global environmental factors such as energy use and CO</w:t>
      </w:r>
      <w:r w:rsidR="00287668" w:rsidRPr="00287668">
        <w:rPr>
          <w:vertAlign w:val="subscript"/>
        </w:rPr>
        <w:t>2</w:t>
      </w:r>
      <w:r>
        <w:t xml:space="preserve"> emissions are not straightforward.  Increased emissions and fuel consumption due to worsening congestion in and around the intensified area may offset the gains from behavioural change.</w:t>
      </w:r>
    </w:p>
    <w:p w:rsidR="00E40FAD" w:rsidRDefault="00E40FAD" w:rsidP="009F66D0"/>
    <w:p w:rsidR="00E40FAD" w:rsidRDefault="00E40FAD" w:rsidP="00E40FAD">
      <w:r>
        <w:t xml:space="preserve">The paradox defines density in terms of population.  As discussed in Section </w:t>
      </w:r>
      <w:r w:rsidR="0033030D">
        <w:fldChar w:fldCharType="begin"/>
      </w:r>
      <w:r>
        <w:instrText xml:space="preserve"> REF _Ref255822373 \r \h </w:instrText>
      </w:r>
      <w:r w:rsidR="0033030D">
        <w:fldChar w:fldCharType="separate"/>
      </w:r>
      <w:r w:rsidR="00B318EA">
        <w:t>2</w:t>
      </w:r>
      <w:r w:rsidR="0033030D">
        <w:fldChar w:fldCharType="end"/>
      </w:r>
      <w:r>
        <w:t xml:space="preserve">, average household size has been falling in many developed countries.  So in some circumstances, intensification of dwellings accompanies and only partially offsets a fall in population density.  In these circumstances, the principle behind the paradox still applies, but rather than increasing concentrations of traffic, intensification will attenuate the traffic </w:t>
      </w:r>
      <w:r w:rsidRPr="004C1642">
        <w:rPr>
          <w:i/>
        </w:rPr>
        <w:t>reduction</w:t>
      </w:r>
      <w:r>
        <w:t xml:space="preserve"> which would otherwise occur, all other things being equal.</w:t>
      </w:r>
    </w:p>
    <w:p w:rsidR="00E40FAD" w:rsidRDefault="00E40FAD" w:rsidP="009F66D0"/>
    <w:p w:rsidR="00DD547D" w:rsidRDefault="00DD547D" w:rsidP="009F66D0">
      <w:r>
        <w:t xml:space="preserve">Although the scale of </w:t>
      </w:r>
      <w:r w:rsidR="00E40FAD">
        <w:t>the intensified area</w:t>
      </w:r>
      <w:r>
        <w:t xml:space="preserve"> will not affect the direction of the relationships illustrated in </w:t>
      </w:r>
      <w:r w:rsidR="0033030D">
        <w:fldChar w:fldCharType="begin"/>
      </w:r>
      <w:r>
        <w:instrText xml:space="preserve"> REF _Ref255828899 \h </w:instrText>
      </w:r>
      <w:r w:rsidR="0033030D">
        <w:fldChar w:fldCharType="separate"/>
      </w:r>
      <w:r w:rsidR="00B318EA">
        <w:t xml:space="preserve">Table </w:t>
      </w:r>
      <w:r w:rsidR="00B318EA">
        <w:rPr>
          <w:noProof/>
        </w:rPr>
        <w:t>4</w:t>
      </w:r>
      <w:r w:rsidR="0033030D">
        <w:fldChar w:fldCharType="end"/>
      </w:r>
      <w:r>
        <w:t>, it will affect their nature and magnitude</w:t>
      </w:r>
      <w:r w:rsidR="00313429">
        <w:t xml:space="preserve">, as </w:t>
      </w:r>
      <w:r>
        <w:t>discussed next.</w:t>
      </w:r>
    </w:p>
    <w:p w:rsidR="005F77E3" w:rsidRDefault="004C1642" w:rsidP="00315637">
      <w:pPr>
        <w:pStyle w:val="Heading1"/>
      </w:pPr>
      <w:bookmarkStart w:id="7" w:name="_Ref256495059"/>
      <w:r>
        <w:t xml:space="preserve">Gross </w:t>
      </w:r>
      <w:r w:rsidR="005B0506">
        <w:t>and Net Relationships, Micro and City-wide</w:t>
      </w:r>
      <w:r>
        <w:t xml:space="preserve"> I</w:t>
      </w:r>
      <w:r w:rsidR="005B0506">
        <w:t>ntensification</w:t>
      </w:r>
      <w:bookmarkEnd w:id="7"/>
    </w:p>
    <w:p w:rsidR="005F77E3" w:rsidRDefault="005F77E3" w:rsidP="009F66D0"/>
    <w:p w:rsidR="005F77E3" w:rsidRDefault="00BB4821" w:rsidP="009F66D0">
      <w:r>
        <w:t xml:space="preserve">The paradox does not imply that intensification will produce the predicted results in all circumstances.   Many other local circumstances and changes in exogenous factors over time will complicate each individual situation.   </w:t>
      </w:r>
      <w:r w:rsidR="00EB59FA">
        <w:t xml:space="preserve">Clearly, in practice, </w:t>
      </w:r>
      <w:r w:rsidR="00315637">
        <w:t xml:space="preserve">other factors </w:t>
      </w:r>
      <w:r w:rsidR="0076141B">
        <w:t>do</w:t>
      </w:r>
      <w:r w:rsidR="00315637">
        <w:t xml:space="preserve"> not remain constant</w:t>
      </w:r>
      <w:r w:rsidR="00EB59FA">
        <w:t xml:space="preserve"> following intensification</w:t>
      </w:r>
      <w:r w:rsidR="00315637">
        <w:t>.  Returning to the factors in</w:t>
      </w:r>
      <w:r w:rsidR="00220F7E">
        <w:t xml:space="preserve"> </w:t>
      </w:r>
      <w:r w:rsidR="0033030D">
        <w:fldChar w:fldCharType="begin"/>
      </w:r>
      <w:r w:rsidR="00220F7E">
        <w:instrText xml:space="preserve"> REF _Ref251681451 \h </w:instrText>
      </w:r>
      <w:r w:rsidR="0033030D">
        <w:fldChar w:fldCharType="separate"/>
      </w:r>
      <w:r w:rsidR="00B318EA">
        <w:t xml:space="preserve">Table </w:t>
      </w:r>
      <w:r w:rsidR="00B318EA">
        <w:rPr>
          <w:noProof/>
        </w:rPr>
        <w:t>2</w:t>
      </w:r>
      <w:r w:rsidR="0033030D">
        <w:fldChar w:fldCharType="end"/>
      </w:r>
      <w:r w:rsidR="00315637">
        <w:t xml:space="preserve">, higher population densities </w:t>
      </w:r>
      <w:r w:rsidR="00787DEB">
        <w:t>may</w:t>
      </w:r>
      <w:r w:rsidR="00315637">
        <w:t xml:space="preserve"> entail greater accessibility to public transport and parking constraints.  They are also likely to facilitate greater mixture of land uses in any given area.  Whether intensification will reduce distances to the nearest urban centre depends upon the </w:t>
      </w:r>
      <w:r w:rsidR="00D96091">
        <w:t>context in which the comparison is made</w:t>
      </w:r>
      <w:r w:rsidR="00315637">
        <w:t>.  Intensification of an existing suburb will not alter its distance from the city centre</w:t>
      </w:r>
      <w:r w:rsidR="00D96091">
        <w:t>.  But in a context of household growth,</w:t>
      </w:r>
      <w:r w:rsidR="00315637">
        <w:t xml:space="preserve"> a city-wide policy of intensification will restrain the increases in distances which would </w:t>
      </w:r>
      <w:r w:rsidR="00220F7E">
        <w:t xml:space="preserve">otherwise </w:t>
      </w:r>
      <w:r w:rsidR="00315637">
        <w:t>result from the alterna</w:t>
      </w:r>
      <w:r w:rsidR="00D96091">
        <w:t>tive of lower density expansion</w:t>
      </w:r>
      <w:r w:rsidR="00B37492">
        <w:t xml:space="preserve"> beyond the limits of the built area</w:t>
      </w:r>
      <w:r w:rsidR="00315637">
        <w:t>.</w:t>
      </w:r>
    </w:p>
    <w:p w:rsidR="00D96091" w:rsidRDefault="00D96091" w:rsidP="009F66D0"/>
    <w:p w:rsidR="00D96091" w:rsidRDefault="00D96091" w:rsidP="009F66D0">
      <w:r>
        <w:lastRenderedPageBreak/>
        <w:t>In addition to these built environment factors, density is also associated with socio-economic differences.  Income exerts a strong influence on vehicle use, directly and indirectly through its influence on car ownership.  In the USA, where higher income groups generally prefer suburban living, there is a strong negative correlation between income and population density</w:t>
      </w:r>
      <w:r w:rsidR="00232CFC">
        <w:t xml:space="preserve"> </w:t>
      </w:r>
      <w:r w:rsidR="0033030D">
        <w:fldChar w:fldCharType="begin"/>
      </w:r>
      <w:r w:rsidR="00232CFC">
        <w:instrText>ADDIN RW.CITE{{1757 Brownstone,David 2009; 1761 Horning, J. 2008}}</w:instrText>
      </w:r>
      <w:r w:rsidR="0033030D">
        <w:fldChar w:fldCharType="separate"/>
      </w:r>
      <w:r w:rsidR="00471E65">
        <w:t>(Brownstone and Golob, 2009, Horning et al, 2008)</w:t>
      </w:r>
      <w:r w:rsidR="0033030D">
        <w:fldChar w:fldCharType="end"/>
      </w:r>
      <w:r>
        <w:t>.  In England and Wales, as illustrated below, the pattern is more complicated, producing a weak overall negative correlation.</w:t>
      </w:r>
    </w:p>
    <w:p w:rsidR="00D96091" w:rsidRDefault="00D96091" w:rsidP="009F66D0"/>
    <w:p w:rsidR="00D96091" w:rsidRDefault="00220F7E" w:rsidP="009F66D0">
      <w:r>
        <w:t xml:space="preserve">For these reasons, the gross </w:t>
      </w:r>
      <w:r w:rsidR="005B0506">
        <w:t>relationship</w:t>
      </w:r>
      <w:r>
        <w:t xml:space="preserve"> between density and vehicle use </w:t>
      </w:r>
      <w:r w:rsidR="00D80311">
        <w:t>will typically</w:t>
      </w:r>
      <w:r w:rsidR="003816BC">
        <w:t xml:space="preserve"> be</w:t>
      </w:r>
      <w:r>
        <w:t xml:space="preserve"> stronger than the </w:t>
      </w:r>
      <w:r w:rsidR="00D96091">
        <w:t xml:space="preserve">net </w:t>
      </w:r>
      <w:r w:rsidR="005B0506">
        <w:t>relationship</w:t>
      </w:r>
      <w:r w:rsidR="00D96091">
        <w:t xml:space="preserve"> (i.e. controlling for other factors) described in the previous section</w:t>
      </w:r>
      <w:r w:rsidR="00D80311">
        <w:t xml:space="preserve">.  </w:t>
      </w:r>
      <w:r w:rsidR="00A32326">
        <w:t>Even t</w:t>
      </w:r>
      <w:r>
        <w:t xml:space="preserve">he </w:t>
      </w:r>
      <w:r w:rsidR="00A32326">
        <w:t xml:space="preserve">gross </w:t>
      </w:r>
      <w:r>
        <w:t>relationship</w:t>
      </w:r>
      <w:r w:rsidR="000079D2">
        <w:t>s</w:t>
      </w:r>
      <w:r>
        <w:t xml:space="preserve"> </w:t>
      </w:r>
      <w:r w:rsidR="003816BC">
        <w:t>within c</w:t>
      </w:r>
      <w:r w:rsidR="000079D2">
        <w:t>ountries</w:t>
      </w:r>
      <w:r w:rsidR="004C1642">
        <w:t xml:space="preserve"> and regions</w:t>
      </w:r>
      <w:r w:rsidR="000079D2">
        <w:t xml:space="preserve"> still tend</w:t>
      </w:r>
      <w:r w:rsidR="003816BC">
        <w:t xml:space="preserve"> to be inelastic</w:t>
      </w:r>
      <w:r w:rsidR="00A32326">
        <w:t>, however</w:t>
      </w:r>
      <w:r>
        <w:t>.</w:t>
      </w:r>
    </w:p>
    <w:p w:rsidR="00220F7E" w:rsidRDefault="00220F7E" w:rsidP="009F66D0"/>
    <w:p w:rsidR="00E27862" w:rsidRDefault="00220F7E" w:rsidP="00E27862">
      <w:pPr>
        <w:keepNext/>
      </w:pPr>
      <w:r>
        <w:rPr>
          <w:noProof/>
          <w:lang w:eastAsia="en-GB"/>
        </w:rPr>
        <w:drawing>
          <wp:inline distT="0" distB="0" distL="0" distR="0">
            <wp:extent cx="5404241" cy="3516923"/>
            <wp:effectExtent l="19050" t="0" r="25009" b="7327"/>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0F7E" w:rsidRDefault="00E27862" w:rsidP="00E27862">
      <w:pPr>
        <w:pStyle w:val="Caption"/>
        <w:jc w:val="center"/>
      </w:pPr>
      <w:bookmarkStart w:id="8" w:name="_Ref252212085"/>
      <w:r>
        <w:t xml:space="preserve">Figure </w:t>
      </w:r>
      <w:r w:rsidR="0033030D">
        <w:fldChar w:fldCharType="begin"/>
      </w:r>
      <w:r w:rsidR="004D2071">
        <w:instrText xml:space="preserve"> SEQ Figure \* ARABIC </w:instrText>
      </w:r>
      <w:r w:rsidR="0033030D">
        <w:fldChar w:fldCharType="separate"/>
      </w:r>
      <w:r w:rsidR="00B318EA">
        <w:rPr>
          <w:noProof/>
        </w:rPr>
        <w:t>1</w:t>
      </w:r>
      <w:r w:rsidR="0033030D">
        <w:fldChar w:fldCharType="end"/>
      </w:r>
      <w:bookmarkEnd w:id="8"/>
      <w:r>
        <w:t xml:space="preserve"> </w:t>
      </w:r>
      <w:r w:rsidR="00A0789B">
        <w:t xml:space="preserve">Density and Vehicle Travel for California </w:t>
      </w:r>
      <w:r>
        <w:t>from Brownstone &amp; Golob (2009)</w:t>
      </w:r>
    </w:p>
    <w:p w:rsidR="003816BC" w:rsidRDefault="003816BC" w:rsidP="009F66D0"/>
    <w:p w:rsidR="00315637" w:rsidRDefault="0033030D" w:rsidP="009F66D0">
      <w:r>
        <w:fldChar w:fldCharType="begin"/>
      </w:r>
      <w:r w:rsidR="003816BC">
        <w:instrText xml:space="preserve"> REF _Ref252212085 \h </w:instrText>
      </w:r>
      <w:r>
        <w:fldChar w:fldCharType="separate"/>
      </w:r>
      <w:r w:rsidR="00B318EA">
        <w:t xml:space="preserve">Figure </w:t>
      </w:r>
      <w:r w:rsidR="00B318EA">
        <w:rPr>
          <w:noProof/>
        </w:rPr>
        <w:t>1</w:t>
      </w:r>
      <w:r>
        <w:fldChar w:fldCharType="end"/>
      </w:r>
      <w:r w:rsidR="003816BC">
        <w:t xml:space="preserve"> shows the gross relationship in California from Brownstone and </w:t>
      </w:r>
      <w:proofErr w:type="spellStart"/>
      <w:r w:rsidR="003816BC">
        <w:t>Golob</w:t>
      </w:r>
      <w:proofErr w:type="spellEnd"/>
      <w:r w:rsidR="003816BC">
        <w:t xml:space="preserve"> </w:t>
      </w:r>
      <w:r>
        <w:fldChar w:fldCharType="begin"/>
      </w:r>
      <w:r w:rsidR="003816BC">
        <w:instrText>ADDIN RW.CITE{{1757 Brownstone,David 2009/a;}}</w:instrText>
      </w:r>
      <w:r>
        <w:fldChar w:fldCharType="separate"/>
      </w:r>
      <w:r w:rsidR="00471E65">
        <w:t>(2009)</w:t>
      </w:r>
      <w:r>
        <w:fldChar w:fldCharType="end"/>
      </w:r>
      <w:r w:rsidR="003816BC">
        <w:t xml:space="preserve">.  The variations </w:t>
      </w:r>
      <w:r w:rsidR="00D80311">
        <w:t>are closely related to variations in income and car o</w:t>
      </w:r>
      <w:r w:rsidR="00313F78">
        <w:t>wnership between the categories, hence the deviation from the trend in the 250 – 1000 dwelling category.</w:t>
      </w:r>
    </w:p>
    <w:p w:rsidR="00C87C83" w:rsidRDefault="00C87C83" w:rsidP="009F66D0"/>
    <w:p w:rsidR="00D95938" w:rsidRDefault="0033030D" w:rsidP="009F66D0">
      <w:r>
        <w:fldChar w:fldCharType="begin"/>
      </w:r>
      <w:r w:rsidR="00A0789B">
        <w:instrText xml:space="preserve"> REF _Ref253038709 \h </w:instrText>
      </w:r>
      <w:r>
        <w:fldChar w:fldCharType="separate"/>
      </w:r>
      <w:r w:rsidR="00B318EA">
        <w:t xml:space="preserve">Figure </w:t>
      </w:r>
      <w:r w:rsidR="00B318EA">
        <w:rPr>
          <w:noProof/>
        </w:rPr>
        <w:t>2</w:t>
      </w:r>
      <w:r>
        <w:fldChar w:fldCharType="end"/>
      </w:r>
      <w:r w:rsidR="00A0789B">
        <w:t xml:space="preserve"> uses</w:t>
      </w:r>
      <w:r w:rsidR="00313F78">
        <w:t xml:space="preserve"> 2001 Census data for local electoral wards in England and Wales, using similar bands relating to population density rather than dwelling density (assuming two persons per household –</w:t>
      </w:r>
      <w:r w:rsidR="00416346">
        <w:t xml:space="preserve"> </w:t>
      </w:r>
      <w:r w:rsidR="00313F78">
        <w:t xml:space="preserve">slightly less than the average).  The </w:t>
      </w:r>
      <w:r w:rsidR="005961A6">
        <w:t xml:space="preserve">gross </w:t>
      </w:r>
      <w:r w:rsidR="00313F78">
        <w:t xml:space="preserve">relationship with modal share for commuting is strikingly similar to the one shown in </w:t>
      </w:r>
      <w:r>
        <w:fldChar w:fldCharType="begin"/>
      </w:r>
      <w:r w:rsidR="00313F78">
        <w:instrText xml:space="preserve"> REF _Ref252212085 \h </w:instrText>
      </w:r>
      <w:r>
        <w:fldChar w:fldCharType="separate"/>
      </w:r>
      <w:r w:rsidR="00B318EA">
        <w:t xml:space="preserve">Figure </w:t>
      </w:r>
      <w:r w:rsidR="00B318EA">
        <w:rPr>
          <w:noProof/>
        </w:rPr>
        <w:t>1</w:t>
      </w:r>
      <w:r>
        <w:fldChar w:fldCharType="end"/>
      </w:r>
      <w:r w:rsidR="00313F78">
        <w:t xml:space="preserve">. </w:t>
      </w:r>
    </w:p>
    <w:p w:rsidR="000E7AB0" w:rsidRDefault="00313F78" w:rsidP="009F66D0">
      <w:r>
        <w:t xml:space="preserve"> </w:t>
      </w:r>
    </w:p>
    <w:p w:rsidR="000E7AB0" w:rsidRDefault="0033030D" w:rsidP="000E7AB0">
      <w:pPr>
        <w:keepNext/>
      </w:pPr>
      <w:r w:rsidRPr="0033030D">
        <w:rPr>
          <w:noProof/>
          <w:lang w:val="en-US" w:eastAsia="zh-TW"/>
        </w:rPr>
        <w:lastRenderedPageBreak/>
        <w:pict>
          <v:shapetype id="_x0000_t202" coordsize="21600,21600" o:spt="202" path="m,l,21600r21600,l21600,xe">
            <v:stroke joinstyle="miter"/>
            <v:path gradientshapeok="t" o:connecttype="rect"/>
          </v:shapetype>
          <v:shape id="_x0000_s1027" type="#_x0000_t202" style="position:absolute;margin-left:5.65pt;margin-top:11.95pt;width:27pt;height:21pt;z-index:251660288;mso-height-percent:200;mso-height-percent:200;mso-width-relative:margin;mso-height-relative:margin" stroked="f">
            <v:textbox style="mso-next-textbox:#_x0000_s1027;mso-fit-shape-to-text:t">
              <w:txbxContent>
                <w:p w:rsidR="00F23622" w:rsidRDefault="00F23622">
                  <w:r>
                    <w:t>%</w:t>
                  </w:r>
                </w:p>
              </w:txbxContent>
            </v:textbox>
          </v:shape>
        </w:pict>
      </w:r>
      <w:r w:rsidR="000E7AB0">
        <w:rPr>
          <w:noProof/>
          <w:lang w:eastAsia="en-GB"/>
        </w:rPr>
        <w:drawing>
          <wp:inline distT="0" distB="0" distL="0" distR="0">
            <wp:extent cx="5404241" cy="3516923"/>
            <wp:effectExtent l="19050" t="0" r="25009" b="7327"/>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E7AB0" w:rsidRDefault="000E7AB0" w:rsidP="000E7AB0">
      <w:pPr>
        <w:pStyle w:val="Caption"/>
        <w:jc w:val="center"/>
      </w:pPr>
      <w:bookmarkStart w:id="9" w:name="_Ref253038709"/>
      <w:r>
        <w:t xml:space="preserve">Figure </w:t>
      </w:r>
      <w:r w:rsidR="0033030D">
        <w:fldChar w:fldCharType="begin"/>
      </w:r>
      <w:r w:rsidR="004D2071">
        <w:instrText xml:space="preserve"> SEQ Figure \* ARABIC </w:instrText>
      </w:r>
      <w:r w:rsidR="0033030D">
        <w:fldChar w:fldCharType="separate"/>
      </w:r>
      <w:r w:rsidR="00B318EA">
        <w:rPr>
          <w:noProof/>
        </w:rPr>
        <w:t>2</w:t>
      </w:r>
      <w:r w:rsidR="0033030D">
        <w:fldChar w:fldCharType="end"/>
      </w:r>
      <w:bookmarkEnd w:id="9"/>
      <w:r>
        <w:t xml:space="preserve"> </w:t>
      </w:r>
      <w:r w:rsidR="00A0789B">
        <w:t>Density in Persons/Mile</w:t>
      </w:r>
      <w:r w:rsidR="00A0789B" w:rsidRPr="00A0789B">
        <w:rPr>
          <w:vertAlign w:val="superscript"/>
        </w:rPr>
        <w:t>2</w:t>
      </w:r>
      <w:r w:rsidR="00A0789B">
        <w:t xml:space="preserve"> against modal share – UK 2001 Census</w:t>
      </w:r>
    </w:p>
    <w:p w:rsidR="000E7AB0" w:rsidRDefault="000E7AB0" w:rsidP="009F66D0"/>
    <w:p w:rsidR="00D80311" w:rsidRDefault="00313F78" w:rsidP="009F66D0">
      <w:r>
        <w:t>T</w:t>
      </w:r>
      <w:r w:rsidR="00A32326">
        <w:t xml:space="preserve">hree </w:t>
      </w:r>
      <w:r w:rsidR="00232CFC">
        <w:t>simple linear</w:t>
      </w:r>
      <w:r w:rsidR="00A32326">
        <w:t xml:space="preserve"> regressions were performed on </w:t>
      </w:r>
      <w:r>
        <w:t>this data</w:t>
      </w:r>
      <w:r w:rsidR="00A32326">
        <w:t xml:space="preserve">, to </w:t>
      </w:r>
      <w:r>
        <w:t>estimate</w:t>
      </w:r>
      <w:r w:rsidR="00A32326">
        <w:t xml:space="preserve"> the gross relationships between </w:t>
      </w:r>
      <w:r w:rsidR="00232CFC">
        <w:t xml:space="preserve">population </w:t>
      </w:r>
      <w:r w:rsidR="00A32326">
        <w:t>density and: income, modal shares for driving to work, and average distance travelled to work.</w:t>
      </w:r>
      <w:r w:rsidR="00B63CCB" w:rsidRPr="00B63CCB">
        <w:t xml:space="preserve"> </w:t>
      </w:r>
      <w:r w:rsidR="00B63CCB">
        <w:t xml:space="preserve"> It was also possible to obtain the statistics on density and modal share for the smaller Lower Super Output Areas (LSOAs – usually with a population between 1000 and 2000).</w:t>
      </w:r>
    </w:p>
    <w:p w:rsidR="006F2A1E" w:rsidRDefault="006F2A1E" w:rsidP="009F66D0"/>
    <w:p w:rsidR="00B71D44" w:rsidRDefault="00B71D44" w:rsidP="009F66D0"/>
    <w:tbl>
      <w:tblPr>
        <w:tblStyle w:val="TableGrid"/>
        <w:tblW w:w="0" w:type="auto"/>
        <w:tblLook w:val="04A0"/>
      </w:tblPr>
      <w:tblGrid>
        <w:gridCol w:w="5211"/>
        <w:gridCol w:w="1418"/>
        <w:gridCol w:w="2091"/>
      </w:tblGrid>
      <w:tr w:rsidR="00232CFC" w:rsidTr="00B63CCB">
        <w:tc>
          <w:tcPr>
            <w:tcW w:w="5211" w:type="dxa"/>
          </w:tcPr>
          <w:p w:rsidR="00232CFC" w:rsidRDefault="00232CFC" w:rsidP="002208B2">
            <w:pPr>
              <w:keepNext/>
            </w:pPr>
          </w:p>
        </w:tc>
        <w:tc>
          <w:tcPr>
            <w:tcW w:w="1418" w:type="dxa"/>
          </w:tcPr>
          <w:p w:rsidR="00232CFC" w:rsidRPr="00232CFC" w:rsidRDefault="00232CFC" w:rsidP="002208B2">
            <w:pPr>
              <w:keepNext/>
              <w:jc w:val="right"/>
              <w:rPr>
                <w:b/>
              </w:rPr>
            </w:pPr>
            <w:r w:rsidRPr="00232CFC">
              <w:rPr>
                <w:b/>
              </w:rPr>
              <w:t>Coefficient</w:t>
            </w:r>
          </w:p>
        </w:tc>
        <w:tc>
          <w:tcPr>
            <w:tcW w:w="2091" w:type="dxa"/>
          </w:tcPr>
          <w:p w:rsidR="00232CFC" w:rsidRPr="00232CFC" w:rsidRDefault="00232CFC" w:rsidP="002208B2">
            <w:pPr>
              <w:keepNext/>
              <w:jc w:val="right"/>
              <w:rPr>
                <w:b/>
              </w:rPr>
            </w:pPr>
            <w:r w:rsidRPr="00232CFC">
              <w:rPr>
                <w:b/>
              </w:rPr>
              <w:t>R</w:t>
            </w:r>
            <w:r w:rsidRPr="00232CFC">
              <w:rPr>
                <w:b/>
                <w:vertAlign w:val="superscript"/>
              </w:rPr>
              <w:t>2</w:t>
            </w:r>
          </w:p>
        </w:tc>
      </w:tr>
      <w:tr w:rsidR="00232CFC" w:rsidTr="00B63CCB">
        <w:tc>
          <w:tcPr>
            <w:tcW w:w="5211" w:type="dxa"/>
          </w:tcPr>
          <w:p w:rsidR="00232CFC" w:rsidRDefault="00232CFC" w:rsidP="002208B2">
            <w:pPr>
              <w:keepNext/>
            </w:pPr>
          </w:p>
        </w:tc>
        <w:tc>
          <w:tcPr>
            <w:tcW w:w="1418" w:type="dxa"/>
          </w:tcPr>
          <w:p w:rsidR="00232CFC" w:rsidRDefault="00232CFC" w:rsidP="002208B2">
            <w:pPr>
              <w:keepNext/>
              <w:jc w:val="right"/>
            </w:pPr>
          </w:p>
        </w:tc>
        <w:tc>
          <w:tcPr>
            <w:tcW w:w="2091" w:type="dxa"/>
          </w:tcPr>
          <w:p w:rsidR="00232CFC" w:rsidRDefault="00232CFC" w:rsidP="002208B2">
            <w:pPr>
              <w:keepNext/>
              <w:jc w:val="right"/>
            </w:pPr>
          </w:p>
        </w:tc>
      </w:tr>
      <w:tr w:rsidR="00232CFC" w:rsidTr="00B63CCB">
        <w:tc>
          <w:tcPr>
            <w:tcW w:w="5211" w:type="dxa"/>
          </w:tcPr>
          <w:p w:rsidR="00232CFC" w:rsidRDefault="00232CFC" w:rsidP="002208B2">
            <w:pPr>
              <w:keepNext/>
            </w:pPr>
            <w:r>
              <w:t>Household Income</w:t>
            </w:r>
            <w:r w:rsidR="00B63CCB">
              <w:t xml:space="preserve"> (by ward)</w:t>
            </w:r>
          </w:p>
        </w:tc>
        <w:tc>
          <w:tcPr>
            <w:tcW w:w="1418" w:type="dxa"/>
          </w:tcPr>
          <w:p w:rsidR="00232CFC" w:rsidRDefault="00232CFC" w:rsidP="00186B66">
            <w:pPr>
              <w:keepNext/>
              <w:jc w:val="right"/>
            </w:pPr>
            <w:r>
              <w:t>- 0.028</w:t>
            </w:r>
          </w:p>
        </w:tc>
        <w:tc>
          <w:tcPr>
            <w:tcW w:w="2091" w:type="dxa"/>
          </w:tcPr>
          <w:p w:rsidR="00232CFC" w:rsidRDefault="00232CFC" w:rsidP="002208B2">
            <w:pPr>
              <w:keepNext/>
              <w:jc w:val="right"/>
            </w:pPr>
            <w:r>
              <w:t>0.002</w:t>
            </w:r>
          </w:p>
        </w:tc>
      </w:tr>
      <w:tr w:rsidR="00B63CCB" w:rsidTr="00B63CCB">
        <w:tc>
          <w:tcPr>
            <w:tcW w:w="5211" w:type="dxa"/>
          </w:tcPr>
          <w:p w:rsidR="00B63CCB" w:rsidRDefault="00B63CCB" w:rsidP="00717AF6">
            <w:pPr>
              <w:keepNext/>
            </w:pPr>
            <w:r>
              <w:t>Average distance to work (by ward)</w:t>
            </w:r>
          </w:p>
        </w:tc>
        <w:tc>
          <w:tcPr>
            <w:tcW w:w="1418" w:type="dxa"/>
          </w:tcPr>
          <w:p w:rsidR="00B63CCB" w:rsidRDefault="00B63CCB" w:rsidP="00717AF6">
            <w:pPr>
              <w:keepNext/>
              <w:jc w:val="right"/>
            </w:pPr>
            <w:r>
              <w:t>- 0.310</w:t>
            </w:r>
          </w:p>
        </w:tc>
        <w:tc>
          <w:tcPr>
            <w:tcW w:w="2091" w:type="dxa"/>
          </w:tcPr>
          <w:p w:rsidR="00B63CCB" w:rsidRDefault="00B63CCB" w:rsidP="00717AF6">
            <w:pPr>
              <w:keepNext/>
              <w:jc w:val="right"/>
            </w:pPr>
            <w:r>
              <w:t>0.448</w:t>
            </w:r>
          </w:p>
        </w:tc>
      </w:tr>
      <w:tr w:rsidR="00232CFC" w:rsidTr="00B63CCB">
        <w:tc>
          <w:tcPr>
            <w:tcW w:w="5211" w:type="dxa"/>
          </w:tcPr>
          <w:p w:rsidR="00232CFC" w:rsidRDefault="00232CFC" w:rsidP="002208B2">
            <w:pPr>
              <w:keepNext/>
            </w:pPr>
            <w:r>
              <w:t>Modal share for driving to work</w:t>
            </w:r>
            <w:r w:rsidR="00B63CCB">
              <w:t xml:space="preserve"> (by ward)</w:t>
            </w:r>
          </w:p>
        </w:tc>
        <w:tc>
          <w:tcPr>
            <w:tcW w:w="1418" w:type="dxa"/>
          </w:tcPr>
          <w:p w:rsidR="00232CFC" w:rsidRDefault="00232CFC" w:rsidP="002208B2">
            <w:pPr>
              <w:keepNext/>
              <w:jc w:val="right"/>
            </w:pPr>
            <w:r>
              <w:t>- 0.099</w:t>
            </w:r>
          </w:p>
        </w:tc>
        <w:tc>
          <w:tcPr>
            <w:tcW w:w="2091" w:type="dxa"/>
          </w:tcPr>
          <w:p w:rsidR="00232CFC" w:rsidRDefault="00232CFC" w:rsidP="002208B2">
            <w:pPr>
              <w:keepNext/>
              <w:jc w:val="right"/>
            </w:pPr>
            <w:r>
              <w:t>0.268</w:t>
            </w:r>
          </w:p>
        </w:tc>
      </w:tr>
      <w:tr w:rsidR="00B63CCB" w:rsidTr="00B63CCB">
        <w:tc>
          <w:tcPr>
            <w:tcW w:w="5211" w:type="dxa"/>
          </w:tcPr>
          <w:p w:rsidR="00B63CCB" w:rsidRDefault="00B63CCB" w:rsidP="002208B2">
            <w:pPr>
              <w:keepNext/>
            </w:pPr>
            <w:r>
              <w:t>Modal share for driving to work (by LSOA)</w:t>
            </w:r>
          </w:p>
        </w:tc>
        <w:tc>
          <w:tcPr>
            <w:tcW w:w="1418" w:type="dxa"/>
          </w:tcPr>
          <w:p w:rsidR="00B63CCB" w:rsidRDefault="00B63CCB" w:rsidP="002208B2">
            <w:pPr>
              <w:keepNext/>
              <w:jc w:val="right"/>
            </w:pPr>
            <w:r>
              <w:t>-</w:t>
            </w:r>
            <w:r w:rsidR="00186B66">
              <w:t xml:space="preserve"> </w:t>
            </w:r>
            <w:r>
              <w:t>0.238</w:t>
            </w:r>
          </w:p>
        </w:tc>
        <w:tc>
          <w:tcPr>
            <w:tcW w:w="2091" w:type="dxa"/>
          </w:tcPr>
          <w:p w:rsidR="00B63CCB" w:rsidRDefault="00B63CCB" w:rsidP="002208B2">
            <w:pPr>
              <w:keepNext/>
              <w:jc w:val="right"/>
            </w:pPr>
            <w:r>
              <w:t>0.415</w:t>
            </w:r>
          </w:p>
        </w:tc>
      </w:tr>
    </w:tbl>
    <w:p w:rsidR="003C3605" w:rsidRDefault="00232CFC" w:rsidP="002208B2">
      <w:pPr>
        <w:pStyle w:val="Caption"/>
        <w:keepNext/>
        <w:jc w:val="center"/>
      </w:pPr>
      <w:bookmarkStart w:id="10" w:name="_Ref252294565"/>
      <w:r>
        <w:t xml:space="preserve">Table </w:t>
      </w:r>
      <w:r w:rsidR="0033030D">
        <w:fldChar w:fldCharType="begin"/>
      </w:r>
      <w:r w:rsidR="004D2071">
        <w:instrText xml:space="preserve"> SEQ Table \* ARABIC </w:instrText>
      </w:r>
      <w:r w:rsidR="0033030D">
        <w:fldChar w:fldCharType="separate"/>
      </w:r>
      <w:r w:rsidR="00B318EA">
        <w:rPr>
          <w:noProof/>
        </w:rPr>
        <w:t>5</w:t>
      </w:r>
      <w:r w:rsidR="0033030D">
        <w:fldChar w:fldCharType="end"/>
      </w:r>
      <w:bookmarkEnd w:id="10"/>
      <w:r>
        <w:t xml:space="preserve"> Gross Relationships </w:t>
      </w:r>
      <w:r w:rsidR="00627176">
        <w:t>between</w:t>
      </w:r>
      <w:r>
        <w:t xml:space="preserve"> Population Density (persons/hectare) and </w:t>
      </w:r>
      <w:r w:rsidR="006C198D">
        <w:t>other factors</w:t>
      </w:r>
      <w:r>
        <w:t xml:space="preserve"> (2001 Census data)</w:t>
      </w:r>
    </w:p>
    <w:p w:rsidR="00B63CCB" w:rsidRDefault="00B63CCB" w:rsidP="009F66D0"/>
    <w:p w:rsidR="001E750D" w:rsidRDefault="002208B2" w:rsidP="002208B2">
      <w:r>
        <w:t xml:space="preserve">Compared to the net elasticities from the studies cited in the previous section, </w:t>
      </w:r>
      <w:r w:rsidR="0033030D">
        <w:fldChar w:fldCharType="begin"/>
      </w:r>
      <w:r>
        <w:instrText xml:space="preserve"> REF _Ref252294565 \h </w:instrText>
      </w:r>
      <w:r w:rsidR="0033030D">
        <w:fldChar w:fldCharType="separate"/>
      </w:r>
      <w:r w:rsidR="00B318EA">
        <w:t xml:space="preserve">Table </w:t>
      </w:r>
      <w:r w:rsidR="00B318EA">
        <w:rPr>
          <w:noProof/>
        </w:rPr>
        <w:t>5</w:t>
      </w:r>
      <w:r w:rsidR="0033030D">
        <w:fldChar w:fldCharType="end"/>
      </w:r>
      <w:r>
        <w:t xml:space="preserve"> shows a stronger but still inelastic relationship between density and commuting distances, and a weak </w:t>
      </w:r>
      <w:r w:rsidR="00B63CCB">
        <w:t xml:space="preserve">relationship with modal share.  </w:t>
      </w:r>
      <w:r w:rsidR="0093557D">
        <w:t xml:space="preserve">These relationships are stronger than the </w:t>
      </w:r>
      <w:r w:rsidR="00E40FAD">
        <w:t>relationships with electoral wards</w:t>
      </w:r>
      <w:r w:rsidR="0093557D">
        <w:t xml:space="preserve"> illustrated in </w:t>
      </w:r>
      <w:r w:rsidR="0033030D">
        <w:fldChar w:fldCharType="begin"/>
      </w:r>
      <w:r w:rsidR="0093557D">
        <w:instrText xml:space="preserve"> REF _Ref253038709 \h </w:instrText>
      </w:r>
      <w:r w:rsidR="0033030D">
        <w:fldChar w:fldCharType="separate"/>
      </w:r>
      <w:r w:rsidR="00B318EA">
        <w:t xml:space="preserve">Figure </w:t>
      </w:r>
      <w:r w:rsidR="00B318EA">
        <w:rPr>
          <w:noProof/>
        </w:rPr>
        <w:t>2</w:t>
      </w:r>
      <w:r w:rsidR="0033030D">
        <w:fldChar w:fldCharType="end"/>
      </w:r>
      <w:r w:rsidR="0093557D">
        <w:t xml:space="preserve"> </w:t>
      </w:r>
      <w:r w:rsidR="00E40FAD">
        <w:t xml:space="preserve">presumably because </w:t>
      </w:r>
      <w:r w:rsidR="001E750D">
        <w:t>the smaller LSOAs are more homogenous.</w:t>
      </w:r>
    </w:p>
    <w:p w:rsidR="00E9606D" w:rsidRDefault="00E9606D" w:rsidP="002208B2"/>
    <w:p w:rsidR="00B37492" w:rsidRDefault="00B37492" w:rsidP="00B37492">
      <w:r>
        <w:t>The previous s</w:t>
      </w:r>
      <w:r w:rsidR="00AF54F1">
        <w:t xml:space="preserve">ection cited Ewing et </w:t>
      </w:r>
      <w:proofErr w:type="spellStart"/>
      <w:r w:rsidR="00AF54F1">
        <w:t>al’s</w:t>
      </w:r>
      <w:proofErr w:type="spellEnd"/>
      <w:r w:rsidR="00AF54F1">
        <w:t xml:space="preserve"> (2008</w:t>
      </w:r>
      <w:r>
        <w:t xml:space="preserve">) estimate of elasticities with respect to local density – one of the ‘four Ds’ shown in </w:t>
      </w:r>
      <w:r w:rsidR="0033030D">
        <w:fldChar w:fldCharType="begin"/>
      </w:r>
      <w:r>
        <w:instrText xml:space="preserve"> REF _Ref260153559 \h </w:instrText>
      </w:r>
      <w:r w:rsidR="0033030D">
        <w:fldChar w:fldCharType="separate"/>
      </w:r>
      <w:r w:rsidR="00B318EA">
        <w:t xml:space="preserve">Table </w:t>
      </w:r>
      <w:r w:rsidR="00B318EA">
        <w:rPr>
          <w:noProof/>
        </w:rPr>
        <w:t>6</w:t>
      </w:r>
      <w:r w:rsidR="0033030D">
        <w:fldChar w:fldCharType="end"/>
      </w:r>
      <w:r>
        <w:t xml:space="preserve">: </w:t>
      </w:r>
    </w:p>
    <w:p w:rsidR="00B37492" w:rsidRDefault="00B37492" w:rsidP="00B37492"/>
    <w:tbl>
      <w:tblPr>
        <w:tblStyle w:val="TableGrid"/>
        <w:tblW w:w="0" w:type="auto"/>
        <w:tblLook w:val="04A0"/>
      </w:tblPr>
      <w:tblGrid>
        <w:gridCol w:w="2906"/>
        <w:gridCol w:w="2907"/>
        <w:gridCol w:w="2907"/>
      </w:tblGrid>
      <w:tr w:rsidR="00B37492" w:rsidTr="00172402">
        <w:tc>
          <w:tcPr>
            <w:tcW w:w="2906" w:type="dxa"/>
          </w:tcPr>
          <w:p w:rsidR="00B37492" w:rsidRDefault="00B37492" w:rsidP="00F01851">
            <w:pPr>
              <w:keepNext/>
            </w:pPr>
          </w:p>
        </w:tc>
        <w:tc>
          <w:tcPr>
            <w:tcW w:w="2907" w:type="dxa"/>
          </w:tcPr>
          <w:p w:rsidR="00B37492" w:rsidRDefault="00B37492" w:rsidP="00F01851">
            <w:pPr>
              <w:keepNext/>
            </w:pPr>
            <w:r>
              <w:t>Vehicle Trips</w:t>
            </w:r>
          </w:p>
        </w:tc>
        <w:tc>
          <w:tcPr>
            <w:tcW w:w="2907" w:type="dxa"/>
          </w:tcPr>
          <w:p w:rsidR="00B37492" w:rsidRDefault="00B37492" w:rsidP="00F01851">
            <w:pPr>
              <w:keepNext/>
            </w:pPr>
            <w:r>
              <w:t>Vehicle Miles Travelled</w:t>
            </w:r>
          </w:p>
        </w:tc>
      </w:tr>
      <w:tr w:rsidR="00B37492" w:rsidTr="00172402">
        <w:tc>
          <w:tcPr>
            <w:tcW w:w="2906" w:type="dxa"/>
          </w:tcPr>
          <w:p w:rsidR="00B37492" w:rsidRDefault="00B37492" w:rsidP="00F01851">
            <w:pPr>
              <w:keepNext/>
            </w:pPr>
            <w:r>
              <w:t>Local Density</w:t>
            </w:r>
          </w:p>
        </w:tc>
        <w:tc>
          <w:tcPr>
            <w:tcW w:w="2907" w:type="dxa"/>
          </w:tcPr>
          <w:p w:rsidR="00B37492" w:rsidRDefault="00B37492" w:rsidP="00F01851">
            <w:pPr>
              <w:pStyle w:val="ListParagraph"/>
              <w:keepNext/>
              <w:numPr>
                <w:ilvl w:val="0"/>
                <w:numId w:val="14"/>
              </w:numPr>
            </w:pPr>
            <w:r>
              <w:t>0.05</w:t>
            </w:r>
          </w:p>
        </w:tc>
        <w:tc>
          <w:tcPr>
            <w:tcW w:w="2907" w:type="dxa"/>
          </w:tcPr>
          <w:p w:rsidR="00B37492" w:rsidRDefault="00B37492" w:rsidP="00F01851">
            <w:pPr>
              <w:pStyle w:val="ListParagraph"/>
              <w:keepNext/>
              <w:numPr>
                <w:ilvl w:val="0"/>
                <w:numId w:val="14"/>
              </w:numPr>
            </w:pPr>
            <w:r>
              <w:t>0.05</w:t>
            </w:r>
          </w:p>
        </w:tc>
      </w:tr>
      <w:tr w:rsidR="00B37492" w:rsidTr="00172402">
        <w:tc>
          <w:tcPr>
            <w:tcW w:w="2906" w:type="dxa"/>
          </w:tcPr>
          <w:p w:rsidR="00B37492" w:rsidRDefault="00B37492" w:rsidP="00F01851">
            <w:pPr>
              <w:keepNext/>
            </w:pPr>
            <w:r>
              <w:t>Local Diversity (Mix)</w:t>
            </w:r>
          </w:p>
        </w:tc>
        <w:tc>
          <w:tcPr>
            <w:tcW w:w="2907" w:type="dxa"/>
          </w:tcPr>
          <w:p w:rsidR="00B37492" w:rsidRDefault="00B37492" w:rsidP="00F01851">
            <w:pPr>
              <w:pStyle w:val="ListParagraph"/>
              <w:keepNext/>
              <w:numPr>
                <w:ilvl w:val="0"/>
                <w:numId w:val="14"/>
              </w:numPr>
            </w:pPr>
            <w:r>
              <w:t>0.03</w:t>
            </w:r>
          </w:p>
        </w:tc>
        <w:tc>
          <w:tcPr>
            <w:tcW w:w="2907" w:type="dxa"/>
          </w:tcPr>
          <w:p w:rsidR="00B37492" w:rsidRDefault="00B37492" w:rsidP="00F01851">
            <w:pPr>
              <w:pStyle w:val="ListParagraph"/>
              <w:keepNext/>
              <w:numPr>
                <w:ilvl w:val="0"/>
                <w:numId w:val="14"/>
              </w:numPr>
            </w:pPr>
            <w:r>
              <w:t>0.05</w:t>
            </w:r>
          </w:p>
        </w:tc>
      </w:tr>
      <w:tr w:rsidR="00B37492" w:rsidTr="00172402">
        <w:tc>
          <w:tcPr>
            <w:tcW w:w="2906" w:type="dxa"/>
          </w:tcPr>
          <w:p w:rsidR="00B37492" w:rsidRDefault="00B37492" w:rsidP="00F01851">
            <w:pPr>
              <w:keepNext/>
            </w:pPr>
            <w:r>
              <w:t>Local Design</w:t>
            </w:r>
          </w:p>
        </w:tc>
        <w:tc>
          <w:tcPr>
            <w:tcW w:w="2907" w:type="dxa"/>
          </w:tcPr>
          <w:p w:rsidR="00B37492" w:rsidRDefault="00B37492" w:rsidP="00F01851">
            <w:pPr>
              <w:pStyle w:val="ListParagraph"/>
              <w:keepNext/>
              <w:numPr>
                <w:ilvl w:val="0"/>
                <w:numId w:val="14"/>
              </w:numPr>
            </w:pPr>
            <w:r>
              <w:t>0.05</w:t>
            </w:r>
          </w:p>
        </w:tc>
        <w:tc>
          <w:tcPr>
            <w:tcW w:w="2907" w:type="dxa"/>
          </w:tcPr>
          <w:p w:rsidR="00B37492" w:rsidRDefault="00B37492" w:rsidP="00F01851">
            <w:pPr>
              <w:pStyle w:val="ListParagraph"/>
              <w:keepNext/>
              <w:numPr>
                <w:ilvl w:val="0"/>
                <w:numId w:val="14"/>
              </w:numPr>
            </w:pPr>
            <w:r>
              <w:t>0.03</w:t>
            </w:r>
          </w:p>
        </w:tc>
      </w:tr>
      <w:tr w:rsidR="00B37492" w:rsidTr="00172402">
        <w:tc>
          <w:tcPr>
            <w:tcW w:w="2906" w:type="dxa"/>
          </w:tcPr>
          <w:p w:rsidR="00B37492" w:rsidRDefault="00B37492" w:rsidP="00F01851">
            <w:pPr>
              <w:keepNext/>
            </w:pPr>
            <w:r>
              <w:t xml:space="preserve">Regional Accessibility </w:t>
            </w:r>
          </w:p>
        </w:tc>
        <w:tc>
          <w:tcPr>
            <w:tcW w:w="2907" w:type="dxa"/>
          </w:tcPr>
          <w:p w:rsidR="00B37492" w:rsidRDefault="00B37492" w:rsidP="00F01851">
            <w:pPr>
              <w:pStyle w:val="ListParagraph"/>
              <w:keepNext/>
            </w:pPr>
            <w:r>
              <w:t>-</w:t>
            </w:r>
          </w:p>
        </w:tc>
        <w:tc>
          <w:tcPr>
            <w:tcW w:w="2907" w:type="dxa"/>
          </w:tcPr>
          <w:p w:rsidR="00B37492" w:rsidRDefault="00B37492" w:rsidP="00F01851">
            <w:pPr>
              <w:pStyle w:val="ListParagraph"/>
              <w:keepNext/>
              <w:numPr>
                <w:ilvl w:val="0"/>
                <w:numId w:val="14"/>
              </w:numPr>
            </w:pPr>
            <w:r>
              <w:t>0.20</w:t>
            </w:r>
          </w:p>
        </w:tc>
      </w:tr>
    </w:tbl>
    <w:p w:rsidR="00B37492" w:rsidRDefault="00B37492" w:rsidP="00F01851">
      <w:pPr>
        <w:pStyle w:val="Caption"/>
        <w:keepNext/>
        <w:jc w:val="center"/>
      </w:pPr>
      <w:bookmarkStart w:id="11" w:name="_Ref260153559"/>
      <w:r>
        <w:t xml:space="preserve">Table </w:t>
      </w:r>
      <w:r w:rsidR="0033030D">
        <w:fldChar w:fldCharType="begin"/>
      </w:r>
      <w:r>
        <w:instrText xml:space="preserve"> SEQ Table \* ARABIC </w:instrText>
      </w:r>
      <w:r w:rsidR="0033030D">
        <w:fldChar w:fldCharType="separate"/>
      </w:r>
      <w:r w:rsidR="00B318EA">
        <w:rPr>
          <w:noProof/>
        </w:rPr>
        <w:t>6</w:t>
      </w:r>
      <w:r w:rsidR="0033030D">
        <w:fldChar w:fldCharType="end"/>
      </w:r>
      <w:bookmarkEnd w:id="11"/>
      <w:r>
        <w:t xml:space="preserve"> Typical Elasticities of Travel from US data (Ewing et al 2007)</w:t>
      </w:r>
    </w:p>
    <w:p w:rsidR="00B37492" w:rsidRDefault="00B37492" w:rsidP="00B37492"/>
    <w:p w:rsidR="00B37492" w:rsidRDefault="00B37492" w:rsidP="00B37492">
      <w:r>
        <w:t>The authors maintain that the four elasticities are additive: doubling all four would be expected to reduce VMT by about a third, vehicle trips by 13%.  This would only apply in circumstances where it is possible to vary all four factors.  As the strongest effect, regional accessibility, relates to the position of the intensified area in relation to its conurbation, this factor may be difficult to change at the leve</w:t>
      </w:r>
      <w:r w:rsidR="00445900">
        <w:t>l of the individual development</w:t>
      </w:r>
      <w:r w:rsidR="00E40FAD">
        <w:t xml:space="preserve"> although it h</w:t>
      </w:r>
      <w:r w:rsidR="00445900">
        <w:t>as significance for the choice of development locations.</w:t>
      </w:r>
    </w:p>
    <w:p w:rsidR="00B37492" w:rsidRDefault="00B37492" w:rsidP="00E9606D"/>
    <w:p w:rsidR="00E9606D" w:rsidRDefault="00B37492" w:rsidP="00E9606D">
      <w:r>
        <w:t>T</w:t>
      </w:r>
      <w:r w:rsidR="00E9606D">
        <w:t>he databases used by transport planners to estimate the traffic generation of new developments</w:t>
      </w:r>
      <w:r>
        <w:t xml:space="preserve"> illustrate a similar pattern to the one above</w:t>
      </w:r>
      <w:r w:rsidR="00E9606D">
        <w:t>.  One commonly used database, TRICS</w:t>
      </w:r>
      <w:r w:rsidR="00E9606D" w:rsidRPr="00653F68">
        <w:rPr>
          <w:vertAlign w:val="superscript"/>
        </w:rPr>
        <w:t>®</w:t>
      </w:r>
      <w:r w:rsidR="00E9606D">
        <w:t xml:space="preserve">, contains data from a wide range of surveys conducted over the past 20 years in the UK and Ireland.  Some of the residential developments surveyed include information on the density of dwellings, from which the average vehicular trip rates shown in </w:t>
      </w:r>
      <w:r w:rsidR="0033030D">
        <w:fldChar w:fldCharType="begin"/>
      </w:r>
      <w:r w:rsidR="00E9606D">
        <w:instrText xml:space="preserve"> REF _Ref253488200 \h </w:instrText>
      </w:r>
      <w:r w:rsidR="0033030D">
        <w:fldChar w:fldCharType="separate"/>
      </w:r>
      <w:r w:rsidR="00B318EA">
        <w:t xml:space="preserve">Figure </w:t>
      </w:r>
      <w:r w:rsidR="00B318EA">
        <w:rPr>
          <w:noProof/>
        </w:rPr>
        <w:t>3</w:t>
      </w:r>
      <w:r w:rsidR="0033030D">
        <w:fldChar w:fldCharType="end"/>
      </w:r>
      <w:r w:rsidR="00E9606D">
        <w:t xml:space="preserve"> were calculated.</w:t>
      </w:r>
    </w:p>
    <w:p w:rsidR="00E9606D" w:rsidRDefault="00E9606D" w:rsidP="00E9606D"/>
    <w:p w:rsidR="00E9606D" w:rsidRDefault="00E9606D" w:rsidP="00E9606D">
      <w:pPr>
        <w:keepNext/>
        <w:jc w:val="center"/>
      </w:pPr>
      <w:r w:rsidRPr="005C1DFD">
        <w:rPr>
          <w:noProof/>
          <w:lang w:eastAsia="en-GB"/>
        </w:rPr>
        <w:drawing>
          <wp:inline distT="0" distB="0" distL="0" distR="0">
            <wp:extent cx="4570587" cy="3135086"/>
            <wp:effectExtent l="19050" t="0" r="20463" b="8164"/>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9606D" w:rsidRDefault="00E9606D" w:rsidP="00E9606D">
      <w:pPr>
        <w:keepNext/>
      </w:pPr>
      <w:r>
        <w:t xml:space="preserve"> </w:t>
      </w:r>
    </w:p>
    <w:p w:rsidR="00E9606D" w:rsidRDefault="00E9606D" w:rsidP="00E9606D">
      <w:pPr>
        <w:pStyle w:val="Caption"/>
        <w:keepNext/>
        <w:jc w:val="center"/>
      </w:pPr>
      <w:bookmarkStart w:id="12" w:name="_Ref253488200"/>
      <w:r>
        <w:t xml:space="preserve">Figure </w:t>
      </w:r>
      <w:r w:rsidR="0033030D">
        <w:fldChar w:fldCharType="begin"/>
      </w:r>
      <w:r w:rsidR="004D2071">
        <w:instrText xml:space="preserve"> SEQ Figure \* ARABIC </w:instrText>
      </w:r>
      <w:r w:rsidR="0033030D">
        <w:fldChar w:fldCharType="separate"/>
      </w:r>
      <w:r w:rsidR="00B318EA">
        <w:rPr>
          <w:noProof/>
        </w:rPr>
        <w:t>3</w:t>
      </w:r>
      <w:r w:rsidR="0033030D">
        <w:fldChar w:fldCharType="end"/>
      </w:r>
      <w:bookmarkEnd w:id="12"/>
      <w:r>
        <w:t xml:space="preserve"> Average Daily </w:t>
      </w:r>
      <w:r w:rsidR="0072320C">
        <w:t>Vehicle Movement</w:t>
      </w:r>
      <w:r>
        <w:t xml:space="preserve"> Rates of New Developments from TRICS</w:t>
      </w:r>
      <w:r w:rsidRPr="00653F68">
        <w:rPr>
          <w:vertAlign w:val="superscript"/>
        </w:rPr>
        <w:t>®</w:t>
      </w:r>
    </w:p>
    <w:p w:rsidR="00E9606D" w:rsidRDefault="00E9606D" w:rsidP="00E9606D"/>
    <w:p w:rsidR="00E9606D" w:rsidRDefault="0033030D" w:rsidP="00E9606D">
      <w:r>
        <w:fldChar w:fldCharType="begin"/>
      </w:r>
      <w:r w:rsidR="00E9606D">
        <w:instrText xml:space="preserve"> REF _Ref253488200 \h </w:instrText>
      </w:r>
      <w:r>
        <w:fldChar w:fldCharType="separate"/>
      </w:r>
      <w:r w:rsidR="00B318EA">
        <w:t xml:space="preserve">Figure </w:t>
      </w:r>
      <w:r w:rsidR="00B318EA">
        <w:rPr>
          <w:noProof/>
        </w:rPr>
        <w:t>3</w:t>
      </w:r>
      <w:r>
        <w:fldChar w:fldCharType="end"/>
      </w:r>
      <w:r w:rsidR="00E9606D">
        <w:t xml:space="preserve"> is based on 79 developments of </w:t>
      </w:r>
      <w:r w:rsidR="0072320C">
        <w:t xml:space="preserve">privately owned </w:t>
      </w:r>
      <w:r w:rsidR="00E9606D">
        <w:t xml:space="preserve">houses and 34 </w:t>
      </w:r>
      <w:r w:rsidR="0072320C">
        <w:t xml:space="preserve">developments of privately owned </w:t>
      </w:r>
      <w:r w:rsidR="00E9606D">
        <w:t xml:space="preserve">flats.  The flat developments were all built at densities of over 50 dwellings per hectare; the average density of the flats was 241 dph, compared to just 65 dph for the band ‘Houses &gt; 50’.  When this is taken into account, </w:t>
      </w:r>
      <w:r>
        <w:fldChar w:fldCharType="begin"/>
      </w:r>
      <w:r w:rsidR="00E9606D">
        <w:instrText xml:space="preserve"> REF _Ref253488200 \h </w:instrText>
      </w:r>
      <w:r>
        <w:fldChar w:fldCharType="separate"/>
      </w:r>
      <w:r w:rsidR="00B318EA">
        <w:t xml:space="preserve">Figure </w:t>
      </w:r>
      <w:r w:rsidR="00B318EA">
        <w:rPr>
          <w:noProof/>
        </w:rPr>
        <w:t>3</w:t>
      </w:r>
      <w:r>
        <w:fldChar w:fldCharType="end"/>
      </w:r>
      <w:r w:rsidR="00E9606D">
        <w:t xml:space="preserve"> clearly illustrates the same pattern of inelastic negative correlation between densities (of dwellings in this case) and vehicle use.  </w:t>
      </w:r>
      <w:r w:rsidR="00D27F12">
        <w:t xml:space="preserve">The </w:t>
      </w:r>
      <w:r w:rsidR="0072320C">
        <w:t>flats, for</w:t>
      </w:r>
      <w:r w:rsidR="00D27F12">
        <w:t xml:space="preserve"> example, </w:t>
      </w:r>
      <w:r w:rsidR="0072320C">
        <w:t>are 16</w:t>
      </w:r>
      <w:r w:rsidR="00D27F12">
        <w:t xml:space="preserve"> times denser </w:t>
      </w:r>
      <w:r w:rsidR="0072320C">
        <w:t xml:space="preserve">on average </w:t>
      </w:r>
      <w:r w:rsidR="00D27F12">
        <w:t>than the least dense</w:t>
      </w:r>
      <w:r w:rsidR="0072320C">
        <w:t xml:space="preserve"> band of houses</w:t>
      </w:r>
      <w:r w:rsidR="00D27F12">
        <w:t>, but the latter gene</w:t>
      </w:r>
      <w:r w:rsidR="0072320C">
        <w:t>rate only 3.4 times the vehicle movements per dwelling than the flats.</w:t>
      </w:r>
      <w:r w:rsidR="00D27F12">
        <w:t xml:space="preserve"> </w:t>
      </w:r>
      <w:r w:rsidR="00E9606D">
        <w:t>As above, this is a gross relationship reflecting differences in many other factors besides the density of dwellings</w:t>
      </w:r>
      <w:r w:rsidR="0063761E">
        <w:t>.</w:t>
      </w:r>
    </w:p>
    <w:p w:rsidR="00E9606D" w:rsidRDefault="00E9606D" w:rsidP="00E9606D"/>
    <w:p w:rsidR="002208B2" w:rsidRDefault="001E750D" w:rsidP="002208B2">
      <w:r>
        <w:t>It may be inferred from these inelastic relationships</w:t>
      </w:r>
      <w:r w:rsidR="002208B2">
        <w:t xml:space="preserve"> that, where intensification replicates </w:t>
      </w:r>
      <w:r w:rsidR="002208B2" w:rsidRPr="004C1642">
        <w:rPr>
          <w:i/>
        </w:rPr>
        <w:t>all</w:t>
      </w:r>
      <w:r w:rsidR="002208B2">
        <w:t xml:space="preserve"> the conditions of denser areas – socio-economic and attitudinal as well as built environment – the paradox will still hold, but the additional traffic generated will be less extreme than the </w:t>
      </w:r>
      <w:r w:rsidR="002208B2" w:rsidRPr="00A77B2D">
        <w:rPr>
          <w:i/>
        </w:rPr>
        <w:t>ceteris paribus</w:t>
      </w:r>
      <w:r w:rsidR="002208B2">
        <w:t xml:space="preserve"> condition would imply.  </w:t>
      </w:r>
    </w:p>
    <w:p w:rsidR="002208B2" w:rsidRDefault="002208B2" w:rsidP="002208B2"/>
    <w:p w:rsidR="002208B2" w:rsidRDefault="002208B2" w:rsidP="009F66D0">
      <w:r>
        <w:t xml:space="preserve">Reality is likely to resemble the </w:t>
      </w:r>
      <w:r w:rsidRPr="00A77B2D">
        <w:rPr>
          <w:i/>
        </w:rPr>
        <w:t>ceteris paribus</w:t>
      </w:r>
      <w:r>
        <w:t xml:space="preserve"> condition more closely where a small area is selected for intensification in isolation (assuming that the socio-economic characteristics of the residents do not change).  Where intensification is practised across a city or region, other factors such as concentration of activities, parking constraints and road capacity limitations are all likely to restrain some, but not all, of the increased traffic generated.  In extreme cases, where the road network is already very congested, it is possible that no additional traffic may be generated.  </w:t>
      </w:r>
      <w:r w:rsidR="00F01EEF">
        <w:t>At both levels, but particularly at the city-wide level, a</w:t>
      </w:r>
      <w:r w:rsidR="005961A6">
        <w:t>dditional policy measures may help to constrain or suppress the increase, as discussed below.</w:t>
      </w:r>
    </w:p>
    <w:p w:rsidR="009F66D0" w:rsidRDefault="004564CC" w:rsidP="009D4AC2">
      <w:pPr>
        <w:pStyle w:val="Heading1"/>
      </w:pPr>
      <w:r>
        <w:t xml:space="preserve">Policy </w:t>
      </w:r>
      <w:r w:rsidR="00485236">
        <w:t>Implications of</w:t>
      </w:r>
      <w:r>
        <w:t xml:space="preserve"> the Paradox</w:t>
      </w:r>
    </w:p>
    <w:p w:rsidR="004564CC" w:rsidRDefault="004564CC" w:rsidP="009F66D0"/>
    <w:p w:rsidR="00D36F71" w:rsidRDefault="00D36F71" w:rsidP="009F66D0">
      <w:r>
        <w:t>From a policy perspective, a key question which emerges from this analysis is whether, through additional measures it is possible to intensify without significantly increasing local concentrations of traffic.  At the city-wide level one example suggests that in at least some circumstances, it may be.</w:t>
      </w:r>
    </w:p>
    <w:p w:rsidR="00D36F71" w:rsidRDefault="00D36F71" w:rsidP="009F66D0"/>
    <w:p w:rsidR="00E62181" w:rsidRDefault="00D36F71" w:rsidP="009F66D0">
      <w:r>
        <w:t xml:space="preserve">Freiburg in Germany is one example visited and studied by the authors.  Between 1990 and 2006 the population of the city rose by 13.9% </w:t>
      </w:r>
      <w:r w:rsidR="0033030D">
        <w:fldChar w:fldCharType="begin"/>
      </w:r>
      <w:r>
        <w:instrText>ADDIN RW.CITE{{1772 Stadt Freiburg 2009}}</w:instrText>
      </w:r>
      <w:r w:rsidR="0033030D">
        <w:fldChar w:fldCharType="separate"/>
      </w:r>
      <w:r w:rsidR="00471E65">
        <w:t>(Stadt Freiburg, 2009)</w:t>
      </w:r>
      <w:r w:rsidR="0033030D">
        <w:fldChar w:fldCharType="end"/>
      </w:r>
      <w:r>
        <w:t xml:space="preserve">, partly due to intensification and partly due to two compact urban extensions, one of them (Vauban) substantially carfree.  The fall in per capita vehicle use on residential roads was sufficient to keep traffic levels roughly constant, although total traffic levels still rose slightly </w:t>
      </w:r>
      <w:r w:rsidR="0033030D">
        <w:fldChar w:fldCharType="begin"/>
      </w:r>
      <w:r>
        <w:instrText>ADDIN RW.CITE{{1710 Pucher,John 2009}}</w:instrText>
      </w:r>
      <w:r w:rsidR="0033030D">
        <w:fldChar w:fldCharType="separate"/>
      </w:r>
      <w:r w:rsidR="00471E65">
        <w:t>(Pucher and Buelher, 2009)</w:t>
      </w:r>
      <w:r w:rsidR="0033030D">
        <w:fldChar w:fldCharType="end"/>
      </w:r>
      <w:r>
        <w:t xml:space="preserve">.  The specific influence of intensification and other factors, such as rising incomes has not been studied, but some of the factors which helped to constrain the growth in motor traffic can be identified.  They have included: subsidised all-mode public transport season tickets, expansion of the tram and cycle networks to cover nearly all the city, pedestrianisation of the city centre and concentration of activities there, channelling of through traffic, speed reduction and traffic calming in residential areas.  None of these policies is unique but their consistent and coordinated application distinguishes Freiburg from most other European and North American cities.   Litman’s observation about the cumulative effect of factors is certainly relevant in this context.  </w:t>
      </w:r>
      <w:r w:rsidR="00BB4821">
        <w:t xml:space="preserve">Several aspects of national transport and planning policy have clearly been more helpful in Germany </w:t>
      </w:r>
      <w:r w:rsidR="0033030D">
        <w:fldChar w:fldCharType="begin"/>
      </w:r>
      <w:r w:rsidR="00BB4821">
        <w:instrText>ADDIN RW.CITE{{21 CfIT 2000}}</w:instrText>
      </w:r>
      <w:r w:rsidR="0033030D">
        <w:fldChar w:fldCharType="separate"/>
      </w:r>
      <w:r w:rsidR="00471E65">
        <w:t>(CfIT, 2000)</w:t>
      </w:r>
      <w:r w:rsidR="0033030D">
        <w:fldChar w:fldCharType="end"/>
      </w:r>
      <w:r w:rsidR="00BB4821">
        <w:t>, but why Freiburg has been more successful than Portland in restraining traffic growth is a question which would merit further research.</w:t>
      </w:r>
    </w:p>
    <w:p w:rsidR="00BB4821" w:rsidRDefault="00BB4821" w:rsidP="009F66D0"/>
    <w:p w:rsidR="00BB4821" w:rsidRDefault="00BB4821" w:rsidP="009F66D0">
      <w:r>
        <w:t xml:space="preserve">At the level of the individual development, the analysis in the previous section suggests it would generally be difficult to overcome the effects of the paradox.  Where two options are considered for developing a site, one at low density, the other at significantly higher densities, the latter will, under most circumstances, generate more local traffic, which it would be difficult to overcome with the normal range of mitigating measures available at that level.  This is a theoretical rather than an empirical statement.  Barton et al </w:t>
      </w:r>
      <w:r w:rsidR="0033030D">
        <w:fldChar w:fldCharType="begin"/>
      </w:r>
      <w:r>
        <w:instrText>ADDIN RW.CITE{{1752 Barton,Hugh 2010/a;}}</w:instrText>
      </w:r>
      <w:r w:rsidR="0033030D">
        <w:fldChar w:fldCharType="separate"/>
      </w:r>
      <w:r w:rsidR="00471E65">
        <w:t>(2010)</w:t>
      </w:r>
      <w:r w:rsidR="0033030D">
        <w:fldChar w:fldCharType="end"/>
      </w:r>
      <w:r>
        <w:t xml:space="preserve"> set out a range of design principles and other measures which can help to reduce traffic generation at the neighbourhood level.  What range of measures would be necessary to mitigate what level of traffic induced by intensification is an area where more research is needed.</w:t>
      </w:r>
    </w:p>
    <w:p w:rsidR="00BB4821" w:rsidRDefault="00BB4821" w:rsidP="009F66D0"/>
    <w:p w:rsidR="00BB4821" w:rsidRDefault="00BB4821" w:rsidP="009F66D0">
      <w:r>
        <w:t xml:space="preserve">Policymakers may consider </w:t>
      </w:r>
      <w:r w:rsidR="00F01EEF">
        <w:t>local concentrations of traffic</w:t>
      </w:r>
      <w:r>
        <w:t xml:space="preserve"> an acceptable side-effect where intensification of that site forms part of a strategy aimed at achieving modal shift and other obj</w:t>
      </w:r>
      <w:r w:rsidR="00B37492">
        <w:t xml:space="preserve">ectives at the city-wide level – </w:t>
      </w:r>
      <w:r>
        <w:t>although residents of surrounding areas are unl</w:t>
      </w:r>
      <w:r w:rsidR="00B37492">
        <w:t>ikely to share that view</w:t>
      </w:r>
      <w:r>
        <w:t xml:space="preserve">.  One obvious context is intensification around public transport routes, where population density around stops exerts a strong influence on ridership and the financial viability of the service </w:t>
      </w:r>
      <w:r w:rsidR="0033030D">
        <w:fldChar w:fldCharType="begin"/>
      </w:r>
      <w:r>
        <w:instrText>ADDIN RW.CITE{{1809 TRB 2009}}</w:instrText>
      </w:r>
      <w:r w:rsidR="0033030D">
        <w:fldChar w:fldCharType="separate"/>
      </w:r>
      <w:r w:rsidR="00471E65">
        <w:t>(TRB, 2009)</w:t>
      </w:r>
      <w:r w:rsidR="0033030D">
        <w:fldChar w:fldCharType="end"/>
      </w:r>
      <w:r>
        <w:t>.</w:t>
      </w:r>
      <w:r w:rsidR="00E40FAD">
        <w:t xml:space="preserve">  </w:t>
      </w:r>
    </w:p>
    <w:p w:rsidR="00E40FAD" w:rsidRDefault="00E40FAD" w:rsidP="009F66D0"/>
    <w:p w:rsidR="00152DEC" w:rsidRDefault="00BB4821" w:rsidP="00BB4821">
      <w:r>
        <w:t xml:space="preserve">Alternatively more radical measures may be considered to overcome the traffic effects of intensification.  </w:t>
      </w:r>
      <w:r w:rsidR="00152DEC">
        <w:t>Whereas positive measures, such as improvements in public transport and land use changes, are unlikely</w:t>
      </w:r>
      <w:r w:rsidR="00E40FAD">
        <w:t>, in most circumstances,</w:t>
      </w:r>
      <w:r w:rsidR="00152DEC">
        <w:t xml:space="preserve"> to overcome these effects on their own, direct constraints on car use can be more effective,</w:t>
      </w:r>
      <w:r w:rsidR="00B37492">
        <w:t xml:space="preserve"> where these are </w:t>
      </w:r>
      <w:r w:rsidR="00152DEC">
        <w:t xml:space="preserve">acceptable </w:t>
      </w:r>
      <w:r w:rsidR="00B37492">
        <w:t xml:space="preserve">to residents and policymakers </w:t>
      </w:r>
      <w:r w:rsidR="00152DEC">
        <w:t xml:space="preserve">(to </w:t>
      </w:r>
      <w:r w:rsidR="00B37492">
        <w:t>illustrate the point, consider the</w:t>
      </w:r>
      <w:r w:rsidR="00152DEC">
        <w:t xml:space="preserve"> extreme </w:t>
      </w:r>
      <w:r w:rsidR="00B37492">
        <w:t xml:space="preserve">option of </w:t>
      </w:r>
      <w:r w:rsidR="00152DEC">
        <w:t>a</w:t>
      </w:r>
      <w:r w:rsidR="00B37492">
        <w:t xml:space="preserve"> total ban on motor vehicles)</w:t>
      </w:r>
      <w:r w:rsidR="00152DEC">
        <w:t xml:space="preserve">. </w:t>
      </w:r>
    </w:p>
    <w:p w:rsidR="00152DEC" w:rsidRDefault="00152DEC" w:rsidP="00BB4821"/>
    <w:p w:rsidR="000706F9" w:rsidRDefault="00BB4821" w:rsidP="009F66D0">
      <w:r>
        <w:t xml:space="preserve">Reductions in residential parking provision can be one of the most effective tools, provided effective controls exist to prevent overspill parking and reduce levels of car ownership.  Melia </w:t>
      </w:r>
      <w:r w:rsidR="0033030D">
        <w:fldChar w:fldCharType="begin"/>
      </w:r>
      <w:r>
        <w:instrText>ADDIN RW.CITE{{1760 Melia,Steve 2010/a;}}</w:instrText>
      </w:r>
      <w:r w:rsidR="0033030D">
        <w:fldChar w:fldCharType="separate"/>
      </w:r>
      <w:r w:rsidR="00471E65">
        <w:t>(2010)</w:t>
      </w:r>
      <w:r w:rsidR="0033030D">
        <w:fldChar w:fldCharType="end"/>
      </w:r>
      <w:r>
        <w:t xml:space="preserve"> found that the environmental improvements from the removal of traffic can help to offset the perceived disadvantage of parking restrictions for some home buyers and tenants, particularly in the inner areas of larger cities, or other centres well served by public transport including rail.  As a policy response, carfree development has the advantage that it is most likely to be feasible in areas where the benefits of traffic and parking reduction are most needed.</w:t>
      </w:r>
    </w:p>
    <w:p w:rsidR="000706F9" w:rsidRDefault="000706F9" w:rsidP="009F66D0"/>
    <w:p w:rsidR="00B37492" w:rsidRDefault="000706F9" w:rsidP="009F66D0">
      <w:r>
        <w:t>N</w:t>
      </w:r>
      <w:r w:rsidR="00152DEC">
        <w:t xml:space="preserve">on-residential parking restrictions – often part of ‘smart growth’ policies </w:t>
      </w:r>
      <w:r w:rsidR="00304E79">
        <w:t xml:space="preserve">– </w:t>
      </w:r>
      <w:r w:rsidR="00B37492">
        <w:t>can reduce inward vehicle trips to</w:t>
      </w:r>
      <w:r w:rsidR="00BB01B2">
        <w:t xml:space="preserve"> mixed use areas, although these are unlikely to have much effect on traffic generated by households within the area, unless they are accompanied by residential parking restrictions.</w:t>
      </w:r>
    </w:p>
    <w:p w:rsidR="00BB01B2" w:rsidRDefault="00BB01B2" w:rsidP="009F66D0"/>
    <w:p w:rsidR="00152DEC" w:rsidRDefault="00304E79" w:rsidP="009F66D0">
      <w:r>
        <w:t xml:space="preserve">Physical restrictions on the circulation of motor vehicles have also been effective in certain city centres such as Groningen in the Netherlands, where population has increased in an area from which private motor vehicles have been </w:t>
      </w:r>
      <w:r w:rsidR="002D24EB">
        <w:t>largely</w:t>
      </w:r>
      <w:r>
        <w:t xml:space="preserve"> removed, through a combination of pedestrianisation and closure of roads to through traffic</w:t>
      </w:r>
      <w:r w:rsidR="00B37492">
        <w:t xml:space="preserve"> </w:t>
      </w:r>
      <w:r w:rsidR="0033030D" w:rsidRPr="00EC2985">
        <w:fldChar w:fldCharType="begin"/>
      </w:r>
      <w:r w:rsidR="00B37492" w:rsidRPr="00EC2985">
        <w:instrText>ADDIN RW.CITE{{1760 Melia,Steve 2010}}</w:instrText>
      </w:r>
      <w:r w:rsidR="0033030D" w:rsidRPr="00EC2985">
        <w:fldChar w:fldCharType="separate"/>
      </w:r>
      <w:r w:rsidR="00471E65">
        <w:t>(Melia, 2010)</w:t>
      </w:r>
      <w:r w:rsidR="0033030D" w:rsidRPr="00EC2985">
        <w:fldChar w:fldCharType="end"/>
      </w:r>
      <w:r>
        <w:t>.</w:t>
      </w:r>
    </w:p>
    <w:p w:rsidR="00152DEC" w:rsidRDefault="00152DEC" w:rsidP="009F66D0"/>
    <w:p w:rsidR="00E62181" w:rsidRDefault="00E62181" w:rsidP="009F66D0">
      <w:r>
        <w:t xml:space="preserve">Some commentators from a libertarian perspective have used the example of Portland as an argument against the principle of intensification </w:t>
      </w:r>
      <w:r w:rsidR="0033030D">
        <w:fldChar w:fldCharType="begin"/>
      </w:r>
      <w:r w:rsidR="001013EE">
        <w:instrText>ADDIN RW.CITE{{1771 Cox,Wendell 1999/pe.g. ;}}</w:instrText>
      </w:r>
      <w:r w:rsidR="0033030D">
        <w:fldChar w:fldCharType="separate"/>
      </w:r>
      <w:r w:rsidR="00471E65">
        <w:t>(e.g. Cox, 1999)</w:t>
      </w:r>
      <w:r w:rsidR="0033030D">
        <w:fldChar w:fldCharType="end"/>
      </w:r>
      <w:r>
        <w:t>.  From a different perspective, giving greater weight to sustainability, we would challenge this conclusion.  Focusing solely on the transport factors (others relating to land use may be at least as important) intensi</w:t>
      </w:r>
      <w:r w:rsidR="005C4D7A">
        <w:t xml:space="preserve">fication of cities is justified </w:t>
      </w:r>
      <w:r>
        <w:t xml:space="preserve">partly for the benefits to the global environment even though these are currently small, </w:t>
      </w:r>
      <w:r w:rsidR="005C4D7A">
        <w:t xml:space="preserve">partly for the public health benefits of increases in walking and cycling </w:t>
      </w:r>
      <w:r w:rsidR="0033030D">
        <w:fldChar w:fldCharType="begin"/>
      </w:r>
      <w:r w:rsidR="00B315DB">
        <w:instrText>ADDIN RW.CITE{{1815 Butland, B. 2007}}</w:instrText>
      </w:r>
      <w:r w:rsidR="0033030D">
        <w:fldChar w:fldCharType="separate"/>
      </w:r>
      <w:r w:rsidR="00471E65">
        <w:t>(Butland et al, 2007)</w:t>
      </w:r>
      <w:r w:rsidR="0033030D">
        <w:fldChar w:fldCharType="end"/>
      </w:r>
      <w:r w:rsidR="005C4D7A">
        <w:t xml:space="preserve">, </w:t>
      </w:r>
      <w:r>
        <w:t>but particularly because higher density cities will find it easier to adapt to a future less dependent on private motor vehicles.</w:t>
      </w:r>
      <w:r w:rsidR="005713C7">
        <w:t xml:space="preserve">  In addition, where average household size is falling, to maintain existing population densities, around public transport corridors, for example, will require intensification of dwellings.</w:t>
      </w:r>
    </w:p>
    <w:p w:rsidR="00E62181" w:rsidRDefault="00E62181" w:rsidP="009F66D0"/>
    <w:p w:rsidR="00D919F5" w:rsidRDefault="0028002B" w:rsidP="009F66D0">
      <w:r>
        <w:t>S</w:t>
      </w:r>
      <w:r w:rsidR="007221A5">
        <w:t>ome writers</w:t>
      </w:r>
      <w:r w:rsidR="0026522B">
        <w:t xml:space="preserve">, particularly associated with the Town and Country Planning Association in the UK </w:t>
      </w:r>
      <w:r w:rsidR="0033030D">
        <w:fldChar w:fldCharType="begin"/>
      </w:r>
      <w:r w:rsidR="00AC2C80">
        <w:instrText>ADDIN RW.CITE{{1356 TCPA 2007;53 Breheny,Michael 1997;}}</w:instrText>
      </w:r>
      <w:r w:rsidR="0033030D">
        <w:fldChar w:fldCharType="separate"/>
      </w:r>
      <w:r w:rsidR="00471E65">
        <w:t>(TCPA, 2007, Breheny, 1997)</w:t>
      </w:r>
      <w:r w:rsidR="0033030D">
        <w:fldChar w:fldCharType="end"/>
      </w:r>
      <w:r w:rsidR="00960A61" w:rsidRPr="00960A61">
        <w:t xml:space="preserve"> </w:t>
      </w:r>
      <w:r w:rsidR="007221A5">
        <w:t xml:space="preserve">have argued that planning policy should steer a middle </w:t>
      </w:r>
      <w:r w:rsidR="0026522B">
        <w:t xml:space="preserve">course of limited urban intensification accompanied by </w:t>
      </w:r>
      <w:r w:rsidR="00485236">
        <w:t xml:space="preserve">more rapid decentralisation </w:t>
      </w:r>
      <w:r w:rsidR="00B67728">
        <w:t>using</w:t>
      </w:r>
      <w:r w:rsidR="00485236">
        <w:t xml:space="preserve"> green field sites (in the UK context, where the number of households is rising rap</w:t>
      </w:r>
      <w:r w:rsidR="00B67728">
        <w:t>idly</w:t>
      </w:r>
      <w:r w:rsidR="00485236">
        <w:t>).</w:t>
      </w:r>
      <w:r w:rsidR="001013EE">
        <w:t xml:space="preserve">  </w:t>
      </w:r>
      <w:r w:rsidR="007221A5" w:rsidRPr="007221A5">
        <w:t>The analysis here</w:t>
      </w:r>
      <w:r w:rsidR="00485236">
        <w:t xml:space="preserve"> </w:t>
      </w:r>
      <w:r w:rsidR="007221A5" w:rsidRPr="007221A5">
        <w:t xml:space="preserve">suggests a compromise involving limited intensification would merely redistribute the balance between the two sets of </w:t>
      </w:r>
      <w:r w:rsidR="007221A5" w:rsidRPr="007221A5">
        <w:lastRenderedPageBreak/>
        <w:t>problems: local and regional/global</w:t>
      </w:r>
      <w:r w:rsidR="0026522B">
        <w:t xml:space="preserve">.  </w:t>
      </w:r>
      <w:r w:rsidR="00485236">
        <w:t>A policy of sustainable development, which aimed t</w:t>
      </w:r>
      <w:r w:rsidR="0026522B">
        <w:t xml:space="preserve">o address </w:t>
      </w:r>
      <w:r w:rsidR="00485236">
        <w:t>both,</w:t>
      </w:r>
      <w:r w:rsidR="0026522B">
        <w:t xml:space="preserve"> </w:t>
      </w:r>
      <w:r w:rsidR="00485236">
        <w:t>would embrace urban intensification accompanied by more radical policies</w:t>
      </w:r>
      <w:r w:rsidR="006434B5">
        <w:t xml:space="preserve"> at the national, city and local levels</w:t>
      </w:r>
      <w:r w:rsidR="00485236">
        <w:t xml:space="preserve"> to combat the negative ext</w:t>
      </w:r>
      <w:r w:rsidR="006434B5">
        <w:t>ernalities arising from the concentration of cars and traffic</w:t>
      </w:r>
      <w:r w:rsidR="00485236">
        <w:t>.</w:t>
      </w:r>
    </w:p>
    <w:p w:rsidR="005713C7" w:rsidRPr="007E3FC2" w:rsidRDefault="007E3FC2" w:rsidP="001A02FD">
      <w:pPr>
        <w:pStyle w:val="Heading1"/>
      </w:pPr>
      <w:r>
        <w:t>Conclusions</w:t>
      </w:r>
    </w:p>
    <w:p w:rsidR="005713C7" w:rsidRDefault="005713C7" w:rsidP="001A02FD">
      <w:pPr>
        <w:keepNext/>
      </w:pPr>
    </w:p>
    <w:p w:rsidR="007E3FC2" w:rsidRDefault="007E3FC2" w:rsidP="005C4D7A">
      <w:r>
        <w:t xml:space="preserve">Although the evidence on the specific outcomes of intensification is currently limited, the weight of evidence reviewed here suggests that an inelastic negative relationship between population density and vehicle use is common, across several developed countries.  This implies that planning policies which increase population densities will, under ‘normal circumstances’ reduce overall vehicle use, but increase its concentration in the intensified areas, causing a range of local environmental </w:t>
      </w:r>
      <w:r w:rsidR="00B37492">
        <w:t xml:space="preserve">and social </w:t>
      </w:r>
      <w:r>
        <w:t xml:space="preserve">problems, unless </w:t>
      </w:r>
      <w:r w:rsidR="005F5FFF">
        <w:t>significant</w:t>
      </w:r>
      <w:r>
        <w:t xml:space="preserve"> steps are taken to constrain the generation of additional traffic.  </w:t>
      </w:r>
      <w:r w:rsidR="005C4D7A">
        <w:t xml:space="preserve"> It is important that this paradox of intensification is recognised, to avoid false expectations and focus attention on the other policies which must accompany i</w:t>
      </w:r>
      <w:r w:rsidR="00E40FAD">
        <w:t>n</w:t>
      </w:r>
      <w:r w:rsidR="005C4D7A">
        <w:t>t</w:t>
      </w:r>
      <w:r w:rsidR="00E40FAD">
        <w:t>ensification</w:t>
      </w:r>
      <w:r w:rsidR="005C4D7A">
        <w:t xml:space="preserve"> if environmental and social goals are to be achieved.</w:t>
      </w:r>
    </w:p>
    <w:p w:rsidR="00C34666" w:rsidRDefault="00C34666" w:rsidP="005C4D7A"/>
    <w:p w:rsidR="00C34666" w:rsidRDefault="00C34666" w:rsidP="005C4D7A">
      <w:r>
        <w:t xml:space="preserve">At the level of the city or region it may be possible to prevent a significant rise in traffic volumes through a combination of </w:t>
      </w:r>
      <w:r w:rsidR="00B37492">
        <w:t xml:space="preserve">measures related to: </w:t>
      </w:r>
      <w:r>
        <w:t xml:space="preserve">land use, public transport, walking, </w:t>
      </w:r>
      <w:r w:rsidR="00B37492">
        <w:t>cycling and traffic restraint</w:t>
      </w:r>
      <w:r>
        <w:t xml:space="preserve">.  Freiburg provides one successful example, although a combination of such measures in Portland has not </w:t>
      </w:r>
      <w:r w:rsidR="00B37492">
        <w:t>proved</w:t>
      </w:r>
      <w:r>
        <w:t xml:space="preserve"> sufficient.  At the level of the individual development, the range of available measures is likely to be more limited.  </w:t>
      </w:r>
      <w:r w:rsidR="005C4D7A">
        <w:t>Even where policy at the city level succeeds in restraining traffic growth, the effects of intensification will be uneven.  At the level of the individual development</w:t>
      </w:r>
      <w:r>
        <w:t xml:space="preserve"> </w:t>
      </w:r>
      <w:r w:rsidR="005C4D7A">
        <w:t>higher densities will, under most circumstances, generate more traffic: positive measures to promote modal shift are unlikely to counteract this on their own.</w:t>
      </w:r>
      <w:r>
        <w:t xml:space="preserve">  </w:t>
      </w:r>
      <w:r w:rsidR="005C4D7A">
        <w:t xml:space="preserve">At this level policymakers face two choices: accept the local consequences as the price of wider progress, or take more radical measures to constrain traffic growth in intensified areas. </w:t>
      </w:r>
      <w:r w:rsidR="00A439C8">
        <w:t xml:space="preserve"> </w:t>
      </w:r>
      <w:r w:rsidR="00E40FAD">
        <w:t>These measures may include closing roads to through traffic, reducing residential parking and, where feasible, carfree development.</w:t>
      </w:r>
    </w:p>
    <w:p w:rsidR="00C34666" w:rsidRDefault="00C34666" w:rsidP="005C4D7A"/>
    <w:p w:rsidR="00C34666" w:rsidRDefault="00C34666" w:rsidP="005C4D7A">
      <w:r>
        <w:t xml:space="preserve">The range and level of measures needed to counteract the effects of intensification in different circumstances is an area where current knowledge is surprisingly limited, given the </w:t>
      </w:r>
      <w:r w:rsidR="005C4D7A">
        <w:t xml:space="preserve">prevalence of intensification policies </w:t>
      </w:r>
      <w:r w:rsidR="007C7A81">
        <w:t xml:space="preserve">across the developed world.  More detailed research in this area could help policymakers to make better choices than urban sprawl or conventional intensification where global gains </w:t>
      </w:r>
      <w:r w:rsidR="00B37492">
        <w:t>entail</w:t>
      </w:r>
      <w:r w:rsidR="007C7A81">
        <w:t xml:space="preserve"> local sacrifice.</w:t>
      </w:r>
    </w:p>
    <w:p w:rsidR="007C7A81" w:rsidRDefault="007C7A81" w:rsidP="00C34666">
      <w:pPr>
        <w:keepNext/>
      </w:pPr>
    </w:p>
    <w:p w:rsidR="00661D2D" w:rsidRDefault="00661D2D" w:rsidP="005713C7"/>
    <w:p w:rsidR="009B7F1D" w:rsidRDefault="009B7F1D">
      <w:pPr>
        <w:rPr>
          <w:b/>
        </w:rPr>
      </w:pPr>
      <w:r>
        <w:rPr>
          <w:b/>
        </w:rPr>
        <w:br w:type="page"/>
      </w:r>
    </w:p>
    <w:p w:rsidR="00661D2D" w:rsidRDefault="00661D2D" w:rsidP="00661D2D">
      <w:pPr>
        <w:jc w:val="center"/>
        <w:rPr>
          <w:b/>
        </w:rPr>
      </w:pPr>
      <w:r>
        <w:rPr>
          <w:b/>
        </w:rPr>
        <w:lastRenderedPageBreak/>
        <w:t>Acknowledgements</w:t>
      </w:r>
    </w:p>
    <w:p w:rsidR="00661D2D" w:rsidRDefault="00661D2D" w:rsidP="005713C7"/>
    <w:p w:rsidR="00676FD3" w:rsidRDefault="00661D2D" w:rsidP="005713C7">
      <w:r>
        <w:t>The authors would like to thank Helen Bowkett and Peter Brett Associates for the use of the TRICS database.</w:t>
      </w:r>
      <w:r w:rsidR="005C4D7A">
        <w:t xml:space="preserve">  We are grateful to the anonymous referees whose advice strengthened this paper.</w:t>
      </w:r>
    </w:p>
    <w:p w:rsidR="00F05634" w:rsidRDefault="00F05634" w:rsidP="009F66D0"/>
    <w:p w:rsidR="00FC4A44" w:rsidRDefault="00BE2E42" w:rsidP="00F05634">
      <w:pPr>
        <w:jc w:val="center"/>
        <w:rPr>
          <w:b/>
        </w:rPr>
      </w:pPr>
      <w:r w:rsidRPr="00BE2E42">
        <w:rPr>
          <w:b/>
        </w:rPr>
        <w:t>References</w:t>
      </w:r>
    </w:p>
    <w:p w:rsidR="00F05634" w:rsidRDefault="00F05634" w:rsidP="00CC1B65">
      <w:pPr>
        <w:rPr>
          <w:b/>
        </w:rPr>
      </w:pPr>
    </w:p>
    <w:p w:rsidR="00471E65" w:rsidRDefault="0033030D">
      <w:pPr>
        <w:pStyle w:val="NormalWeb"/>
        <w:jc w:val="center"/>
        <w:divId w:val="1371497103"/>
      </w:pPr>
      <w:r w:rsidRPr="0033030D">
        <w:fldChar w:fldCharType="begin"/>
      </w:r>
      <w:r w:rsidR="00471E65">
        <w:instrText>ADDIN RW.BIB</w:instrText>
      </w:r>
      <w:r w:rsidRPr="0033030D">
        <w:fldChar w:fldCharType="separate"/>
      </w:r>
      <w:r w:rsidR="00471E65">
        <w:t xml:space="preserve">References: </w:t>
      </w:r>
    </w:p>
    <w:p w:rsidR="00471E65" w:rsidRDefault="00471E65">
      <w:pPr>
        <w:pStyle w:val="NormalWeb"/>
        <w:divId w:val="1371497103"/>
      </w:pPr>
      <w:r>
        <w:t xml:space="preserve">AAA, (2005) </w:t>
      </w:r>
      <w:r>
        <w:rPr>
          <w:i/>
          <w:iCs/>
        </w:rPr>
        <w:t xml:space="preserve">Are We There Yet? A Report on Summer Traffic Bottlenecks and Steps Needed to Ensure that our Favourite Vacation Spots Remain Accessible. </w:t>
      </w:r>
      <w:r>
        <w:t xml:space="preserve">[Online:] </w:t>
      </w:r>
      <w:hyperlink r:id="rId11" w:tgtFrame="_blank" w:history="1">
        <w:r>
          <w:rPr>
            <w:rStyle w:val="Hyperlink"/>
          </w:rPr>
          <w:t>www.highways.org/pdfs/travel_study2005.pdf</w:t>
        </w:r>
      </w:hyperlink>
      <w:r>
        <w:t xml:space="preserve">: AAA; American Highway Users Alliance. </w:t>
      </w:r>
    </w:p>
    <w:p w:rsidR="00471E65" w:rsidRDefault="00471E65">
      <w:pPr>
        <w:pStyle w:val="NormalWeb"/>
        <w:divId w:val="1371497103"/>
      </w:pPr>
      <w:r>
        <w:t xml:space="preserve">Appleyard, D. (1980) Livable Streets: Protected Neighborhoods? </w:t>
      </w:r>
      <w:r>
        <w:rPr>
          <w:i/>
          <w:iCs/>
        </w:rPr>
        <w:t>The Annals of the American Academy of Political and Social Science</w:t>
      </w:r>
      <w:r>
        <w:t xml:space="preserve">451 (1), 106-117. </w:t>
      </w:r>
    </w:p>
    <w:p w:rsidR="00471E65" w:rsidRDefault="00471E65">
      <w:pPr>
        <w:pStyle w:val="NormalWeb"/>
        <w:divId w:val="1371497103"/>
      </w:pPr>
      <w:r>
        <w:t xml:space="preserve">Barton, H., Grant, M. and Guise, R. (2010) </w:t>
      </w:r>
      <w:r>
        <w:rPr>
          <w:i/>
          <w:iCs/>
        </w:rPr>
        <w:t xml:space="preserve">Shaping Neighbourhoods : Local Health and Global Sustainability. </w:t>
      </w:r>
      <w:r>
        <w:t xml:space="preserve">London: Spon. </w:t>
      </w:r>
    </w:p>
    <w:p w:rsidR="00471E65" w:rsidRDefault="00471E65">
      <w:pPr>
        <w:pStyle w:val="NormalWeb"/>
        <w:divId w:val="1371497103"/>
      </w:pPr>
      <w:r>
        <w:t xml:space="preserve">Breheny, M. (1997) Urban compaction: feasible and acceptable? </w:t>
      </w:r>
      <w:r>
        <w:rPr>
          <w:i/>
          <w:iCs/>
        </w:rPr>
        <w:t>Cities</w:t>
      </w:r>
      <w:r>
        <w:t xml:space="preserve">14 (4), 209-217. </w:t>
      </w:r>
    </w:p>
    <w:p w:rsidR="00471E65" w:rsidRDefault="00471E65">
      <w:pPr>
        <w:pStyle w:val="NormalWeb"/>
        <w:divId w:val="1371497103"/>
      </w:pPr>
      <w:r>
        <w:t xml:space="preserve">Brownstone, D. and Golob, T.F. (2009) The impact of residential density on vehicle usage and energy consumption. </w:t>
      </w:r>
      <w:r>
        <w:rPr>
          <w:i/>
          <w:iCs/>
        </w:rPr>
        <w:t>Journal of Urban Economics</w:t>
      </w:r>
      <w:r>
        <w:t xml:space="preserve">65 (1), 91-98. </w:t>
      </w:r>
    </w:p>
    <w:p w:rsidR="00471E65" w:rsidRDefault="00471E65">
      <w:pPr>
        <w:pStyle w:val="NormalWeb"/>
        <w:divId w:val="1371497103"/>
      </w:pPr>
      <w:r>
        <w:t xml:space="preserve">Butland, B., Jebb, S., Kopelman, P., McPherson, K., Thomas, S., Mardell, J. and Parry, V., (2007) </w:t>
      </w:r>
      <w:r>
        <w:rPr>
          <w:i/>
          <w:iCs/>
        </w:rPr>
        <w:t xml:space="preserve">Tackling obesities: Future choices—Project report. </w:t>
      </w:r>
      <w:r>
        <w:t xml:space="preserve">London: Government Office for Science. (Foresight). </w:t>
      </w:r>
    </w:p>
    <w:p w:rsidR="00471E65" w:rsidRDefault="00471E65">
      <w:pPr>
        <w:pStyle w:val="NormalWeb"/>
        <w:divId w:val="1371497103"/>
      </w:pPr>
      <w:r>
        <w:t xml:space="preserve">CfIT, (2000) </w:t>
      </w:r>
      <w:r>
        <w:rPr>
          <w:i/>
          <w:iCs/>
        </w:rPr>
        <w:t xml:space="preserve">Why is car ownership higher in Germany than in the UK, but car use lower? </w:t>
      </w:r>
      <w:r>
        <w:t xml:space="preserve">Commission for Integrated Transport. </w:t>
      </w:r>
    </w:p>
    <w:p w:rsidR="00471E65" w:rsidRDefault="00471E65">
      <w:pPr>
        <w:pStyle w:val="NormalWeb"/>
        <w:divId w:val="1371497103"/>
      </w:pPr>
      <w:r>
        <w:t xml:space="preserve">Cox, W., (2003) </w:t>
      </w:r>
      <w:r>
        <w:rPr>
          <w:i/>
          <w:iCs/>
        </w:rPr>
        <w:t xml:space="preserve">How Higher Density Makes Traffic Worse. </w:t>
      </w:r>
      <w:r>
        <w:t xml:space="preserve">[online]. </w:t>
      </w:r>
      <w:hyperlink r:id="rId12" w:tgtFrame="_blank" w:history="1">
        <w:r>
          <w:rPr>
            <w:rStyle w:val="Hyperlink"/>
          </w:rPr>
          <w:t>www.publicpurpose.com</w:t>
        </w:r>
      </w:hyperlink>
      <w:r>
        <w:t xml:space="preserve">: (57). </w:t>
      </w:r>
    </w:p>
    <w:p w:rsidR="00471E65" w:rsidRDefault="00471E65">
      <w:pPr>
        <w:pStyle w:val="NormalWeb"/>
        <w:divId w:val="1371497103"/>
      </w:pPr>
      <w:r>
        <w:t xml:space="preserve">Cox, W. (1999) </w:t>
      </w:r>
      <w:r>
        <w:rPr>
          <w:i/>
          <w:iCs/>
        </w:rPr>
        <w:t xml:space="preserve">Portland Not Sprawl Free </w:t>
      </w:r>
      <w:r>
        <w:t xml:space="preserve">[online] [Accessed February 2010]. </w:t>
      </w:r>
    </w:p>
    <w:p w:rsidR="00471E65" w:rsidRDefault="00471E65">
      <w:pPr>
        <w:pStyle w:val="NormalWeb"/>
        <w:divId w:val="1371497103"/>
      </w:pPr>
      <w:r>
        <w:t xml:space="preserve">Echenique, M. andHomewood, R., (2003) </w:t>
      </w:r>
      <w:r>
        <w:rPr>
          <w:i/>
          <w:iCs/>
        </w:rPr>
        <w:t xml:space="preserve">The future of suburbs and exurbs. </w:t>
      </w:r>
      <w:r>
        <w:t xml:space="preserve">Cambridge: The Independent Transport Commission. </w:t>
      </w:r>
    </w:p>
    <w:p w:rsidR="00471E65" w:rsidRDefault="00471E65">
      <w:pPr>
        <w:pStyle w:val="NormalWeb"/>
        <w:divId w:val="1371497103"/>
      </w:pPr>
      <w:r>
        <w:t xml:space="preserve">Entec and Oxford Brookes (1996) The Intensification of Development Within Existing Urban Areas: Final Report for the Department of the Environment. </w:t>
      </w:r>
    </w:p>
    <w:p w:rsidR="00471E65" w:rsidRDefault="00471E65">
      <w:pPr>
        <w:pStyle w:val="NormalWeb"/>
        <w:divId w:val="1371497103"/>
      </w:pPr>
      <w:r>
        <w:t xml:space="preserve">Ewing, R., Bartholomew, K., Winkelman, S., Walters, J., Chen, D., McCann, B. and Goldberg, D. (2008) </w:t>
      </w:r>
      <w:r>
        <w:rPr>
          <w:i/>
          <w:iCs/>
        </w:rPr>
        <w:t xml:space="preserve">Growing cooler: evidence on urban development and climate change. </w:t>
      </w:r>
      <w:r>
        <w:t xml:space="preserve">ULI. </w:t>
      </w:r>
    </w:p>
    <w:p w:rsidR="00471E65" w:rsidRDefault="00471E65">
      <w:pPr>
        <w:pStyle w:val="NormalWeb"/>
        <w:divId w:val="1371497103"/>
      </w:pPr>
      <w:r>
        <w:t xml:space="preserve">Giuliano, G. and Narayan, D. (2003) Another look at travel patterns and urban form: the US and Great Britain. </w:t>
      </w:r>
      <w:r>
        <w:rPr>
          <w:i/>
          <w:iCs/>
        </w:rPr>
        <w:t>Urban Studies</w:t>
      </w:r>
      <w:r>
        <w:t xml:space="preserve">40 (11), 2295-2312. </w:t>
      </w:r>
    </w:p>
    <w:p w:rsidR="00471E65" w:rsidRDefault="00471E65">
      <w:pPr>
        <w:pStyle w:val="NormalWeb"/>
        <w:divId w:val="1371497103"/>
      </w:pPr>
      <w:r>
        <w:lastRenderedPageBreak/>
        <w:t xml:space="preserve">Glaeser, E.L. andKahn, M.E., (2003) </w:t>
      </w:r>
      <w:r>
        <w:rPr>
          <w:i/>
          <w:iCs/>
        </w:rPr>
        <w:t xml:space="preserve">Sprawl and Urban Growth. </w:t>
      </w:r>
      <w:r>
        <w:t xml:space="preserve">NBER. (Working Paper No. 9733). </w:t>
      </w:r>
    </w:p>
    <w:p w:rsidR="00471E65" w:rsidRDefault="00471E65">
      <w:pPr>
        <w:pStyle w:val="NormalWeb"/>
        <w:divId w:val="1371497103"/>
      </w:pPr>
      <w:r>
        <w:t xml:space="preserve">Gomez-Ibanez, J.A. (1991) A global view of automobile dependence. </w:t>
      </w:r>
      <w:r>
        <w:rPr>
          <w:i/>
          <w:iCs/>
        </w:rPr>
        <w:t>Journal of the American Planning Association</w:t>
      </w:r>
      <w:r>
        <w:t xml:space="preserve">57 (3), 376. </w:t>
      </w:r>
    </w:p>
    <w:p w:rsidR="00471E65" w:rsidRDefault="00471E65">
      <w:pPr>
        <w:pStyle w:val="NormalWeb"/>
        <w:divId w:val="1371497103"/>
      </w:pPr>
      <w:r>
        <w:t xml:space="preserve">Gordon, I. (1997) Densities, urban form and travel behaviour. </w:t>
      </w:r>
      <w:r>
        <w:rPr>
          <w:i/>
          <w:iCs/>
        </w:rPr>
        <w:t>Town and Country Planning</w:t>
      </w:r>
      <w:r>
        <w:t xml:space="preserve">66 (9), 239-241. </w:t>
      </w:r>
    </w:p>
    <w:p w:rsidR="00471E65" w:rsidRDefault="00471E65">
      <w:pPr>
        <w:pStyle w:val="NormalWeb"/>
        <w:divId w:val="1371497103"/>
      </w:pPr>
      <w:r>
        <w:t xml:space="preserve">Gordon, P. and Richardson, H.W. (2000) Critiquing sprawl’s critics. </w:t>
      </w:r>
      <w:r>
        <w:rPr>
          <w:i/>
          <w:iCs/>
        </w:rPr>
        <w:t>Policy Analysis</w:t>
      </w:r>
      <w:r>
        <w:t xml:space="preserve">365 1-18. </w:t>
      </w:r>
    </w:p>
    <w:p w:rsidR="00471E65" w:rsidRDefault="00471E65">
      <w:pPr>
        <w:pStyle w:val="NormalWeb"/>
        <w:divId w:val="1371497103"/>
      </w:pPr>
      <w:r>
        <w:t xml:space="preserve">Handy, S., Cao, X. and Mokhtarian, P.L. (2005) Correlation or causality between the built environment and travel behavior? Evidence from Northern California. </w:t>
      </w:r>
      <w:r>
        <w:rPr>
          <w:i/>
          <w:iCs/>
        </w:rPr>
        <w:t>Transportation Research Part D: Transport and Environment</w:t>
      </w:r>
      <w:r>
        <w:t xml:space="preserve">10 (6), 427-444. </w:t>
      </w:r>
    </w:p>
    <w:p w:rsidR="00471E65" w:rsidRDefault="00471E65">
      <w:pPr>
        <w:pStyle w:val="NormalWeb"/>
        <w:divId w:val="1371497103"/>
      </w:pPr>
      <w:r>
        <w:t>Hart, J. (2008)</w:t>
      </w:r>
      <w:r>
        <w:rPr>
          <w:i/>
          <w:iCs/>
        </w:rPr>
        <w:t xml:space="preserve"> Driven to Excess: Impacts Of Motor Vehicle Traffic On Residential Quality Of Life in Bristol, UK</w:t>
      </w:r>
      <w:r>
        <w:t xml:space="preserve">Dissertation (MSc), University of the West of England. </w:t>
      </w:r>
    </w:p>
    <w:p w:rsidR="00471E65" w:rsidRDefault="00471E65">
      <w:pPr>
        <w:pStyle w:val="NormalWeb"/>
        <w:divId w:val="1371497103"/>
      </w:pPr>
      <w:r>
        <w:t xml:space="preserve">Hickman, R. and Banister, D. (2008) Transport and Reduced Energy Consumption: The Role of Urban Planning </w:t>
      </w:r>
      <w:r>
        <w:rPr>
          <w:i/>
          <w:iCs/>
        </w:rPr>
        <w:t xml:space="preserve">In: </w:t>
      </w:r>
      <w:r>
        <w:t xml:space="preserve">Anon. </w:t>
      </w:r>
      <w:r>
        <w:rPr>
          <w:i/>
          <w:iCs/>
        </w:rPr>
        <w:t xml:space="preserve">40th Universities Transport Study Group Conference, January 2008. </w:t>
      </w:r>
    </w:p>
    <w:p w:rsidR="00471E65" w:rsidRDefault="00471E65">
      <w:pPr>
        <w:pStyle w:val="NormalWeb"/>
        <w:divId w:val="1371497103"/>
      </w:pPr>
      <w:r>
        <w:t xml:space="preserve">Horning, J., El-Geneidy, A., Fellow, P.D. and Krizek, K.J. (2008) Perceptions of Walking Distance to Neighborhood Retail and Other Public Services. </w:t>
      </w:r>
      <w:r>
        <w:rPr>
          <w:i/>
          <w:iCs/>
        </w:rPr>
        <w:t xml:space="preserve">In: </w:t>
      </w:r>
      <w:r>
        <w:t xml:space="preserve">Anon. </w:t>
      </w:r>
      <w:r>
        <w:rPr>
          <w:i/>
          <w:iCs/>
        </w:rPr>
        <w:t xml:space="preserve">Transportation Research Board 87th Annual Meeting, </w:t>
      </w:r>
      <w:r>
        <w:t xml:space="preserve">. </w:t>
      </w:r>
    </w:p>
    <w:p w:rsidR="00471E65" w:rsidRDefault="00471E65">
      <w:pPr>
        <w:pStyle w:val="NormalWeb"/>
        <w:divId w:val="1371497103"/>
      </w:pPr>
      <w:r>
        <w:t xml:space="preserve">Independent Transport Commission, (2004) </w:t>
      </w:r>
      <w:r>
        <w:rPr>
          <w:i/>
          <w:iCs/>
        </w:rPr>
        <w:t xml:space="preserve">Suburban future. </w:t>
      </w:r>
      <w:r>
        <w:t xml:space="preserve">University of Southampton. </w:t>
      </w:r>
    </w:p>
    <w:p w:rsidR="00471E65" w:rsidRDefault="00471E65">
      <w:pPr>
        <w:pStyle w:val="NormalWeb"/>
        <w:divId w:val="1371497103"/>
      </w:pPr>
      <w:r>
        <w:t xml:space="preserve">Jun, M.J. (2008) Are Portland's Smart Growth Policies Related to Reduced Automobile Dependence? </w:t>
      </w:r>
      <w:r>
        <w:rPr>
          <w:i/>
          <w:iCs/>
        </w:rPr>
        <w:t>Journal of Planning Education and Research</w:t>
      </w:r>
      <w:r>
        <w:t xml:space="preserve">28 (1), 100. </w:t>
      </w:r>
    </w:p>
    <w:p w:rsidR="00471E65" w:rsidRDefault="00471E65">
      <w:pPr>
        <w:pStyle w:val="NormalWeb"/>
        <w:divId w:val="1371497103"/>
      </w:pPr>
      <w:r>
        <w:t xml:space="preserve">Litman, T., (2008) </w:t>
      </w:r>
      <w:r>
        <w:rPr>
          <w:i/>
          <w:iCs/>
        </w:rPr>
        <w:t xml:space="preserve">Use Impacts on Transport, How Land Use Factors Affect Travel Behavior </w:t>
      </w:r>
      <w:r>
        <w:t xml:space="preserve">Victoria, BC: Victoria Transport Policy Institute. </w:t>
      </w:r>
    </w:p>
    <w:p w:rsidR="00471E65" w:rsidRDefault="00471E65">
      <w:pPr>
        <w:pStyle w:val="NormalWeb"/>
        <w:divId w:val="1371497103"/>
      </w:pPr>
      <w:r>
        <w:t>Melia, S. (2010)</w:t>
      </w:r>
      <w:r>
        <w:rPr>
          <w:i/>
          <w:iCs/>
        </w:rPr>
        <w:t xml:space="preserve"> Potential for Carfree Development in the UK</w:t>
      </w:r>
      <w:r>
        <w:t xml:space="preserve">PhD, University of the West of England. Available online: </w:t>
      </w:r>
      <w:hyperlink r:id="rId13" w:tgtFrame="_blank" w:history="1">
        <w:r>
          <w:rPr>
            <w:rStyle w:val="Hyperlink"/>
          </w:rPr>
          <w:t>www.stevemelia.co.uk</w:t>
        </w:r>
      </w:hyperlink>
      <w:r>
        <w:t xml:space="preserve">. </w:t>
      </w:r>
    </w:p>
    <w:p w:rsidR="00471E65" w:rsidRDefault="00471E65">
      <w:pPr>
        <w:pStyle w:val="NormalWeb"/>
        <w:divId w:val="1371497103"/>
      </w:pPr>
      <w:r>
        <w:t xml:space="preserve">Næss, P. (2009) Residential Self-Selection and Appropriate Control Variables in Land Use: Travel Studies. </w:t>
      </w:r>
      <w:r>
        <w:rPr>
          <w:i/>
          <w:iCs/>
        </w:rPr>
        <w:t>Transport Reviews</w:t>
      </w:r>
      <w:r>
        <w:t xml:space="preserve">29 (3), 293-324. </w:t>
      </w:r>
    </w:p>
    <w:p w:rsidR="00471E65" w:rsidRDefault="00471E65">
      <w:pPr>
        <w:pStyle w:val="NormalWeb"/>
        <w:divId w:val="1371497103"/>
      </w:pPr>
      <w:r>
        <w:t xml:space="preserve">Newman, P. and Kenworthy, J.R. (1989) </w:t>
      </w:r>
      <w:r>
        <w:rPr>
          <w:i/>
          <w:iCs/>
        </w:rPr>
        <w:t xml:space="preserve">Cities and automobile dependence : a sourcebook. </w:t>
      </w:r>
      <w:r>
        <w:t xml:space="preserve">Aldershot: Gower. </w:t>
      </w:r>
    </w:p>
    <w:p w:rsidR="00471E65" w:rsidRDefault="00471E65">
      <w:pPr>
        <w:pStyle w:val="NormalWeb"/>
        <w:divId w:val="1371497103"/>
      </w:pPr>
      <w:r>
        <w:t xml:space="preserve">Newman, P. and Kenworthy, J.R. (2000) The ten myths of automobile dependence. </w:t>
      </w:r>
      <w:r>
        <w:rPr>
          <w:i/>
          <w:iCs/>
        </w:rPr>
        <w:t>World Transport Policy &amp; Practice</w:t>
      </w:r>
      <w:r>
        <w:t xml:space="preserve">6 (1), 15-25. </w:t>
      </w:r>
    </w:p>
    <w:p w:rsidR="00471E65" w:rsidRDefault="00471E65">
      <w:pPr>
        <w:pStyle w:val="NormalWeb"/>
        <w:divId w:val="1371497103"/>
      </w:pPr>
      <w:r>
        <w:t xml:space="preserve">Oregon Metro (2010) </w:t>
      </w:r>
      <w:r>
        <w:rPr>
          <w:i/>
          <w:iCs/>
        </w:rPr>
        <w:t xml:space="preserve">Socioeconomic and Land Datasets </w:t>
      </w:r>
      <w:r>
        <w:t xml:space="preserve">[online] [Accessed March 2010]. </w:t>
      </w:r>
    </w:p>
    <w:p w:rsidR="00471E65" w:rsidRDefault="00471E65">
      <w:pPr>
        <w:pStyle w:val="NormalWeb"/>
        <w:divId w:val="1371497103"/>
      </w:pPr>
      <w:r>
        <w:lastRenderedPageBreak/>
        <w:t xml:space="preserve">Pucher, J. and Buelher, R. (2009) Sustainable Transport that Works: Lessons from Germany. </w:t>
      </w:r>
      <w:r>
        <w:rPr>
          <w:i/>
          <w:iCs/>
        </w:rPr>
        <w:t>World Transport Policy &amp; Practice</w:t>
      </w:r>
      <w:r>
        <w:t xml:space="preserve">15 (1), 13-45. </w:t>
      </w:r>
    </w:p>
    <w:p w:rsidR="00471E65" w:rsidRDefault="00471E65">
      <w:pPr>
        <w:pStyle w:val="NormalWeb"/>
        <w:divId w:val="1371497103"/>
      </w:pPr>
      <w:r>
        <w:t xml:space="preserve">Schrank, D. andLomax, T., (2009) </w:t>
      </w:r>
      <w:r>
        <w:rPr>
          <w:i/>
          <w:iCs/>
        </w:rPr>
        <w:t xml:space="preserve">2009 URBAN MOBILITY REPORT. </w:t>
      </w:r>
      <w:r>
        <w:t xml:space="preserve">Texas Transportation Institute, The Texas A&amp;M University System. </w:t>
      </w:r>
    </w:p>
    <w:p w:rsidR="00471E65" w:rsidRDefault="00471E65">
      <w:pPr>
        <w:pStyle w:val="NormalWeb"/>
        <w:divId w:val="1371497103"/>
      </w:pPr>
      <w:r>
        <w:t xml:space="preserve">Schwanen, T., Dijst, M. and Dieleman, F.M. (2004) Policies for urban form and their impact on travel: the Netherlands experience. </w:t>
      </w:r>
      <w:r>
        <w:rPr>
          <w:i/>
          <w:iCs/>
        </w:rPr>
        <w:t>Urban Studies</w:t>
      </w:r>
      <w:r>
        <w:t xml:space="preserve">41 (3), 579. </w:t>
      </w:r>
    </w:p>
    <w:p w:rsidR="00471E65" w:rsidRDefault="00471E65">
      <w:pPr>
        <w:pStyle w:val="NormalWeb"/>
        <w:divId w:val="1371497103"/>
      </w:pPr>
      <w:r>
        <w:t xml:space="preserve">Schwanen, T. and Mokhtarian, P.L. (2005) What affects commute mode choice: neighborhood physical structure or preferences toward neighborhoods? </w:t>
      </w:r>
      <w:r>
        <w:rPr>
          <w:i/>
          <w:iCs/>
        </w:rPr>
        <w:t>Journal of Transport Geography</w:t>
      </w:r>
      <w:r>
        <w:t xml:space="preserve">13 (1), 83-99. </w:t>
      </w:r>
    </w:p>
    <w:p w:rsidR="00471E65" w:rsidRDefault="00471E65">
      <w:pPr>
        <w:pStyle w:val="NormalWeb"/>
        <w:divId w:val="1371497103"/>
      </w:pPr>
      <w:r>
        <w:t xml:space="preserve">Stadt Freiburg (2009) </w:t>
      </w:r>
      <w:r>
        <w:rPr>
          <w:i/>
          <w:iCs/>
        </w:rPr>
        <w:t xml:space="preserve">Bevölkerung in den Gemeinden der Region Freiburg </w:t>
      </w:r>
      <w:r>
        <w:t xml:space="preserve">[online] [Accessed February 2010]. </w:t>
      </w:r>
    </w:p>
    <w:p w:rsidR="00471E65" w:rsidRDefault="00471E65">
      <w:pPr>
        <w:pStyle w:val="NormalWeb"/>
        <w:divId w:val="1371497103"/>
      </w:pPr>
      <w:r>
        <w:t xml:space="preserve">Stead, D. (2001) Relationships between land use, socioeconomic factors, and travel patterns in Britain. </w:t>
      </w:r>
      <w:r>
        <w:rPr>
          <w:i/>
          <w:iCs/>
        </w:rPr>
        <w:t>Environment and Planning B: Planning and Design</w:t>
      </w:r>
      <w:r>
        <w:t xml:space="preserve">28 (4), 499-528. </w:t>
      </w:r>
    </w:p>
    <w:p w:rsidR="00471E65" w:rsidRDefault="00471E65">
      <w:pPr>
        <w:pStyle w:val="NormalWeb"/>
        <w:divId w:val="1371497103"/>
      </w:pPr>
      <w:r>
        <w:t xml:space="preserve">Sun, X., Wilmot, C. and Kasturi, T. (1998) Household Travel, Household Characteristics, and Land Use: An Empirical Study from the 1994 Portland Activity-Based Travel Survey. </w:t>
      </w:r>
      <w:r>
        <w:rPr>
          <w:i/>
          <w:iCs/>
        </w:rPr>
        <w:t>Transportation Research Record: Journal of the Transportation Research Board</w:t>
      </w:r>
      <w:r>
        <w:t xml:space="preserve">1617 (-1), 10-17. </w:t>
      </w:r>
    </w:p>
    <w:p w:rsidR="00471E65" w:rsidRDefault="00471E65">
      <w:pPr>
        <w:pStyle w:val="NormalWeb"/>
        <w:divId w:val="1371497103"/>
      </w:pPr>
      <w:r>
        <w:t xml:space="preserve">Susilo, Y. and Maat, K. (2007) The influence of built environment to the trends in commuting journeys in the Netherlands. </w:t>
      </w:r>
      <w:r>
        <w:rPr>
          <w:i/>
          <w:iCs/>
        </w:rPr>
        <w:t>Transportation</w:t>
      </w:r>
      <w:r>
        <w:t xml:space="preserve">34 (5), 589-609. </w:t>
      </w:r>
    </w:p>
    <w:p w:rsidR="00471E65" w:rsidRDefault="00471E65">
      <w:pPr>
        <w:pStyle w:val="NormalWeb"/>
        <w:divId w:val="1371497103"/>
      </w:pPr>
      <w:r>
        <w:t xml:space="preserve">TCPA, (2007) </w:t>
      </w:r>
      <w:r>
        <w:rPr>
          <w:i/>
          <w:iCs/>
        </w:rPr>
        <w:t xml:space="preserve">Best Practice in Urban Extensions and New Settlements. </w:t>
      </w:r>
      <w:r>
        <w:t xml:space="preserve">London: Town and Country Planning Association. </w:t>
      </w:r>
    </w:p>
    <w:p w:rsidR="00471E65" w:rsidRDefault="00471E65">
      <w:pPr>
        <w:pStyle w:val="NormalWeb"/>
        <w:divId w:val="1371497103"/>
      </w:pPr>
      <w:r>
        <w:t xml:space="preserve">TRB, (2009) </w:t>
      </w:r>
      <w:r>
        <w:rPr>
          <w:i/>
          <w:iCs/>
        </w:rPr>
        <w:t xml:space="preserve">Driving and the Built Environment: the Effects of Compact Development on Motorized Travel, Energy Use and CO2 Emissions. </w:t>
      </w:r>
      <w:r>
        <w:t xml:space="preserve">Washington DC: Trnasportation Research Board. (Special Report 298). </w:t>
      </w:r>
    </w:p>
    <w:p w:rsidR="00471E65" w:rsidRDefault="00471E65">
      <w:pPr>
        <w:pStyle w:val="NormalWeb"/>
        <w:divId w:val="1371497103"/>
      </w:pPr>
      <w:r>
        <w:t xml:space="preserve">Zhang, M. (2004) The Role of Land Use in Travel Mode Choice. </w:t>
      </w:r>
      <w:r>
        <w:rPr>
          <w:i/>
          <w:iCs/>
        </w:rPr>
        <w:t>Journal of the American Planning Association</w:t>
      </w:r>
      <w:r>
        <w:t xml:space="preserve">70 (3), 344-360. </w:t>
      </w:r>
    </w:p>
    <w:p w:rsidR="00F05634" w:rsidRPr="00E9606D" w:rsidRDefault="0033030D" w:rsidP="00CC1B65">
      <w:r>
        <w:fldChar w:fldCharType="end"/>
      </w:r>
    </w:p>
    <w:sectPr w:rsidR="00F05634" w:rsidRPr="00E9606D" w:rsidSect="009B7F1D">
      <w:headerReference w:type="default" r:id="rId14"/>
      <w:pgSz w:w="11906" w:h="16838"/>
      <w:pgMar w:top="508" w:right="1699" w:bottom="720" w:left="1699" w:header="270" w:footer="27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F1D" w:rsidRDefault="009B7F1D" w:rsidP="009B7F1D">
      <w:r>
        <w:separator/>
      </w:r>
    </w:p>
  </w:endnote>
  <w:endnote w:type="continuationSeparator" w:id="0">
    <w:p w:rsidR="009B7F1D" w:rsidRDefault="009B7F1D" w:rsidP="009B7F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F1D" w:rsidRDefault="009B7F1D" w:rsidP="009B7F1D">
      <w:r>
        <w:separator/>
      </w:r>
    </w:p>
  </w:footnote>
  <w:footnote w:type="continuationSeparator" w:id="0">
    <w:p w:rsidR="009B7F1D" w:rsidRDefault="009B7F1D" w:rsidP="009B7F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threeDEmboss" w:sz="12" w:space="0" w:color="auto"/>
        <w:left w:val="threeDEmboss" w:sz="12" w:space="0" w:color="auto"/>
        <w:bottom w:val="threeDEmboss" w:sz="12" w:space="0" w:color="auto"/>
        <w:right w:val="threeDEmboss" w:sz="12" w:space="0" w:color="auto"/>
      </w:tblBorders>
      <w:tblLook w:val="04A0"/>
    </w:tblPr>
    <w:tblGrid>
      <w:gridCol w:w="1806"/>
      <w:gridCol w:w="5048"/>
      <w:gridCol w:w="1866"/>
    </w:tblGrid>
    <w:tr w:rsidR="009B7F1D" w:rsidTr="009B7F1D">
      <w:trPr>
        <w:trHeight w:val="656"/>
      </w:trPr>
      <w:tc>
        <w:tcPr>
          <w:tcW w:w="1806" w:type="dxa"/>
        </w:tcPr>
        <w:p w:rsidR="009B7F1D" w:rsidRDefault="009B7F1D" w:rsidP="00034CA1">
          <w:r>
            <w:rPr>
              <w:noProof/>
              <w:lang w:eastAsia="en-GB"/>
            </w:rPr>
            <w:drawing>
              <wp:inline distT="0" distB="0" distL="0" distR="0">
                <wp:extent cx="989330" cy="522605"/>
                <wp:effectExtent l="19050" t="0" r="127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989330" cy="522605"/>
                        </a:xfrm>
                        <a:prstGeom prst="rect">
                          <a:avLst/>
                        </a:prstGeom>
                        <a:noFill/>
                        <a:ln w="9525">
                          <a:noFill/>
                          <a:miter lim="800000"/>
                          <a:headEnd/>
                          <a:tailEnd/>
                        </a:ln>
                      </pic:spPr>
                    </pic:pic>
                  </a:graphicData>
                </a:graphic>
              </wp:inline>
            </w:drawing>
          </w:r>
        </w:p>
      </w:tc>
      <w:tc>
        <w:tcPr>
          <w:tcW w:w="5048" w:type="dxa"/>
        </w:tcPr>
        <w:p w:rsidR="009B7F1D" w:rsidRPr="001B07D3" w:rsidRDefault="009B7F1D" w:rsidP="00034CA1">
          <w:pPr>
            <w:spacing w:after="60"/>
            <w:rPr>
              <w:rFonts w:ascii="Trebuchet MS" w:hAnsi="Trebuchet MS"/>
              <w:sz w:val="16"/>
              <w:szCs w:val="16"/>
            </w:rPr>
          </w:pPr>
          <w:r w:rsidRPr="001B07D3">
            <w:rPr>
              <w:rFonts w:ascii="Trebuchet MS" w:hAnsi="Trebuchet MS"/>
              <w:sz w:val="16"/>
              <w:szCs w:val="16"/>
            </w:rPr>
            <w:t>This is a pre-publication version of the following article:</w:t>
          </w:r>
        </w:p>
        <w:p w:rsidR="009B7F1D" w:rsidRPr="007E21A4" w:rsidRDefault="009B7F1D" w:rsidP="00B318EA">
          <w:pPr>
            <w:rPr>
              <w:sz w:val="16"/>
              <w:szCs w:val="16"/>
            </w:rPr>
          </w:pPr>
          <w:r>
            <w:rPr>
              <w:rFonts w:ascii="Trebuchet MS" w:hAnsi="Trebuchet MS"/>
              <w:color w:val="006101"/>
              <w:sz w:val="16"/>
              <w:szCs w:val="16"/>
            </w:rPr>
            <w:t>Melia</w:t>
          </w:r>
          <w:r w:rsidRPr="001B07D3">
            <w:rPr>
              <w:rFonts w:ascii="Trebuchet MS" w:hAnsi="Trebuchet MS"/>
              <w:color w:val="006101"/>
              <w:sz w:val="16"/>
              <w:szCs w:val="16"/>
            </w:rPr>
            <w:t xml:space="preserve">, </w:t>
          </w:r>
          <w:r>
            <w:rPr>
              <w:rFonts w:ascii="Trebuchet MS" w:hAnsi="Trebuchet MS"/>
              <w:color w:val="006101"/>
              <w:sz w:val="16"/>
              <w:szCs w:val="16"/>
            </w:rPr>
            <w:t>S</w:t>
          </w:r>
          <w:r w:rsidRPr="001B07D3">
            <w:rPr>
              <w:rFonts w:ascii="Trebuchet MS" w:hAnsi="Trebuchet MS"/>
              <w:color w:val="006101"/>
              <w:sz w:val="16"/>
              <w:szCs w:val="16"/>
            </w:rPr>
            <w:t>.</w:t>
          </w:r>
          <w:r>
            <w:rPr>
              <w:rFonts w:ascii="Trebuchet MS" w:hAnsi="Trebuchet MS"/>
              <w:color w:val="006101"/>
              <w:sz w:val="16"/>
              <w:szCs w:val="16"/>
            </w:rPr>
            <w:t>, Parkhurst, G.</w:t>
          </w:r>
          <w:r w:rsidRPr="001B07D3">
            <w:rPr>
              <w:rFonts w:ascii="Trebuchet MS" w:hAnsi="Trebuchet MS"/>
              <w:color w:val="006101"/>
              <w:sz w:val="16"/>
              <w:szCs w:val="16"/>
            </w:rPr>
            <w:t xml:space="preserve"> and </w:t>
          </w:r>
          <w:r>
            <w:rPr>
              <w:rFonts w:ascii="Trebuchet MS" w:hAnsi="Trebuchet MS"/>
              <w:color w:val="006101"/>
              <w:sz w:val="16"/>
              <w:szCs w:val="16"/>
            </w:rPr>
            <w:t>Barton, H.</w:t>
          </w:r>
          <w:r w:rsidRPr="001B07D3">
            <w:rPr>
              <w:rFonts w:ascii="Trebuchet MS" w:hAnsi="Trebuchet MS"/>
              <w:color w:val="006101"/>
              <w:sz w:val="16"/>
              <w:szCs w:val="16"/>
            </w:rPr>
            <w:t xml:space="preserve"> (</w:t>
          </w:r>
          <w:r w:rsidR="00B318EA">
            <w:rPr>
              <w:rFonts w:ascii="Trebuchet MS" w:hAnsi="Trebuchet MS"/>
              <w:color w:val="006101"/>
              <w:sz w:val="16"/>
              <w:szCs w:val="16"/>
            </w:rPr>
            <w:t>2012</w:t>
          </w:r>
          <w:r w:rsidRPr="001B07D3">
            <w:rPr>
              <w:rFonts w:ascii="Trebuchet MS" w:hAnsi="Trebuchet MS"/>
              <w:color w:val="006101"/>
              <w:sz w:val="16"/>
              <w:szCs w:val="16"/>
            </w:rPr>
            <w:t xml:space="preserve">). </w:t>
          </w:r>
          <w:r>
            <w:rPr>
              <w:rFonts w:ascii="Trebuchet MS" w:hAnsi="Trebuchet MS"/>
              <w:color w:val="006101"/>
              <w:sz w:val="16"/>
              <w:szCs w:val="16"/>
            </w:rPr>
            <w:t>The paradox of intensification</w:t>
          </w:r>
          <w:r w:rsidRPr="001B07D3">
            <w:rPr>
              <w:rFonts w:ascii="Trebuchet MS" w:hAnsi="Trebuchet MS"/>
              <w:color w:val="006101"/>
              <w:sz w:val="16"/>
              <w:szCs w:val="16"/>
            </w:rPr>
            <w:t xml:space="preserve">. </w:t>
          </w:r>
          <w:r w:rsidRPr="00B318EA">
            <w:rPr>
              <w:rFonts w:ascii="Trebuchet MS" w:hAnsi="Trebuchet MS"/>
              <w:i/>
              <w:color w:val="006101"/>
              <w:sz w:val="16"/>
              <w:szCs w:val="16"/>
            </w:rPr>
            <w:t>Journal of Transport Policy</w:t>
          </w:r>
          <w:r w:rsidR="00B318EA">
            <w:rPr>
              <w:rFonts w:ascii="Trebuchet MS" w:hAnsi="Trebuchet MS"/>
              <w:color w:val="006101"/>
              <w:sz w:val="16"/>
              <w:szCs w:val="16"/>
            </w:rPr>
            <w:t>, 18(1).</w:t>
          </w:r>
        </w:p>
      </w:tc>
      <w:tc>
        <w:tcPr>
          <w:tcW w:w="1866" w:type="dxa"/>
        </w:tcPr>
        <w:p w:rsidR="009B7F1D" w:rsidRDefault="009B7F1D" w:rsidP="00034CA1">
          <w:pPr>
            <w:jc w:val="right"/>
          </w:pPr>
          <w:r>
            <w:rPr>
              <w:noProof/>
              <w:lang w:eastAsia="en-GB"/>
            </w:rPr>
            <w:drawing>
              <wp:inline distT="0" distB="0" distL="0" distR="0">
                <wp:extent cx="1026160" cy="491490"/>
                <wp:effectExtent l="19050" t="0" r="254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t="-7973"/>
                        <a:stretch>
                          <a:fillRect/>
                        </a:stretch>
                      </pic:blipFill>
                      <pic:spPr bwMode="auto">
                        <a:xfrm>
                          <a:off x="0" y="0"/>
                          <a:ext cx="1026160" cy="491490"/>
                        </a:xfrm>
                        <a:prstGeom prst="rect">
                          <a:avLst/>
                        </a:prstGeom>
                        <a:noFill/>
                        <a:ln w="9525">
                          <a:noFill/>
                          <a:miter lim="800000"/>
                          <a:headEnd/>
                          <a:tailEnd/>
                        </a:ln>
                      </pic:spPr>
                    </pic:pic>
                  </a:graphicData>
                </a:graphic>
              </wp:inline>
            </w:drawing>
          </w:r>
        </w:p>
      </w:tc>
    </w:tr>
  </w:tbl>
  <w:p w:rsidR="009B7F1D" w:rsidRDefault="009B7F1D" w:rsidP="009B7F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1043E"/>
    <w:multiLevelType w:val="hybridMultilevel"/>
    <w:tmpl w:val="D12E69BE"/>
    <w:lvl w:ilvl="0" w:tplc="F4D64DE6">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640350"/>
    <w:multiLevelType w:val="hybridMultilevel"/>
    <w:tmpl w:val="B8BA5E3A"/>
    <w:lvl w:ilvl="0" w:tplc="4342B1A6">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5B4327"/>
    <w:multiLevelType w:val="hybridMultilevel"/>
    <w:tmpl w:val="032E4FEC"/>
    <w:lvl w:ilvl="0" w:tplc="A22E50A4">
      <w:start w:val="1"/>
      <w:numFmt w:val="decimal"/>
      <w:pStyle w:val="NumberedHeading"/>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34B470F"/>
    <w:multiLevelType w:val="hybridMultilevel"/>
    <w:tmpl w:val="457033E8"/>
    <w:lvl w:ilvl="0" w:tplc="FCA8554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1361F78"/>
    <w:multiLevelType w:val="hybridMultilevel"/>
    <w:tmpl w:val="3336038E"/>
    <w:lvl w:ilvl="0" w:tplc="AE265EB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B7772F3"/>
    <w:multiLevelType w:val="hybridMultilevel"/>
    <w:tmpl w:val="2C2612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234643F"/>
    <w:multiLevelType w:val="hybridMultilevel"/>
    <w:tmpl w:val="1298B686"/>
    <w:lvl w:ilvl="0" w:tplc="393C042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3311341"/>
    <w:multiLevelType w:val="hybridMultilevel"/>
    <w:tmpl w:val="CB4EF8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75DD5F88"/>
    <w:multiLevelType w:val="hybridMultilevel"/>
    <w:tmpl w:val="5E3ED9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64E5442"/>
    <w:multiLevelType w:val="hybridMultilevel"/>
    <w:tmpl w:val="9C18B17A"/>
    <w:lvl w:ilvl="0" w:tplc="149C2B2C">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7BFD5D72"/>
    <w:multiLevelType w:val="hybridMultilevel"/>
    <w:tmpl w:val="737CFD9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7"/>
  </w:num>
  <w:num w:numId="3">
    <w:abstractNumId w:val="8"/>
  </w:num>
  <w:num w:numId="4">
    <w:abstractNumId w:val="2"/>
    <w:lvlOverride w:ilvl="0">
      <w:startOverride w:val="1"/>
    </w:lvlOverride>
  </w:num>
  <w:num w:numId="5">
    <w:abstractNumId w:val="0"/>
  </w:num>
  <w:num w:numId="6">
    <w:abstractNumId w:val="0"/>
    <w:lvlOverride w:ilvl="0">
      <w:startOverride w:val="1"/>
    </w:lvlOverride>
  </w:num>
  <w:num w:numId="7">
    <w:abstractNumId w:val="0"/>
    <w:lvlOverride w:ilvl="0">
      <w:startOverride w:val="1"/>
    </w:lvlOverride>
  </w:num>
  <w:num w:numId="8">
    <w:abstractNumId w:val="1"/>
  </w:num>
  <w:num w:numId="9">
    <w:abstractNumId w:val="6"/>
  </w:num>
  <w:num w:numId="10">
    <w:abstractNumId w:val="4"/>
  </w:num>
  <w:num w:numId="11">
    <w:abstractNumId w:val="9"/>
  </w:num>
  <w:num w:numId="12">
    <w:abstractNumId w:val="5"/>
  </w:num>
  <w:num w:numId="13">
    <w:abstractNumId w:val="10"/>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3"/>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rsids>
    <w:rsidRoot w:val="0023522B"/>
    <w:rsid w:val="0000049E"/>
    <w:rsid w:val="00000741"/>
    <w:rsid w:val="000016C2"/>
    <w:rsid w:val="00001724"/>
    <w:rsid w:val="00003BC5"/>
    <w:rsid w:val="00006E77"/>
    <w:rsid w:val="000079D2"/>
    <w:rsid w:val="00011D68"/>
    <w:rsid w:val="000144A2"/>
    <w:rsid w:val="00016E0C"/>
    <w:rsid w:val="000202F7"/>
    <w:rsid w:val="000210D3"/>
    <w:rsid w:val="0002267C"/>
    <w:rsid w:val="00022A32"/>
    <w:rsid w:val="000302BA"/>
    <w:rsid w:val="000310C9"/>
    <w:rsid w:val="00031217"/>
    <w:rsid w:val="00032D97"/>
    <w:rsid w:val="00034126"/>
    <w:rsid w:val="00043079"/>
    <w:rsid w:val="0005005C"/>
    <w:rsid w:val="000503C2"/>
    <w:rsid w:val="000537C7"/>
    <w:rsid w:val="0005491E"/>
    <w:rsid w:val="00057552"/>
    <w:rsid w:val="000607CC"/>
    <w:rsid w:val="00060CA7"/>
    <w:rsid w:val="00060DD5"/>
    <w:rsid w:val="000628FA"/>
    <w:rsid w:val="00063FAD"/>
    <w:rsid w:val="00064DB4"/>
    <w:rsid w:val="0006550B"/>
    <w:rsid w:val="000706F9"/>
    <w:rsid w:val="000714DF"/>
    <w:rsid w:val="00072E47"/>
    <w:rsid w:val="00073E77"/>
    <w:rsid w:val="0007725F"/>
    <w:rsid w:val="00077CB8"/>
    <w:rsid w:val="00083B13"/>
    <w:rsid w:val="00084473"/>
    <w:rsid w:val="00084CBD"/>
    <w:rsid w:val="00085ABE"/>
    <w:rsid w:val="000866EA"/>
    <w:rsid w:val="00091DC9"/>
    <w:rsid w:val="00095060"/>
    <w:rsid w:val="00095CE8"/>
    <w:rsid w:val="000A07B3"/>
    <w:rsid w:val="000A1DB1"/>
    <w:rsid w:val="000A1E28"/>
    <w:rsid w:val="000A21BD"/>
    <w:rsid w:val="000A3519"/>
    <w:rsid w:val="000A5401"/>
    <w:rsid w:val="000A5C3E"/>
    <w:rsid w:val="000A5CD5"/>
    <w:rsid w:val="000B0E32"/>
    <w:rsid w:val="000B4E6F"/>
    <w:rsid w:val="000B5185"/>
    <w:rsid w:val="000C37BA"/>
    <w:rsid w:val="000C3842"/>
    <w:rsid w:val="000C50B4"/>
    <w:rsid w:val="000C5503"/>
    <w:rsid w:val="000D048D"/>
    <w:rsid w:val="000D0872"/>
    <w:rsid w:val="000D6865"/>
    <w:rsid w:val="000E053C"/>
    <w:rsid w:val="000E2979"/>
    <w:rsid w:val="000E3D16"/>
    <w:rsid w:val="000E4797"/>
    <w:rsid w:val="000E7AB0"/>
    <w:rsid w:val="000F38F1"/>
    <w:rsid w:val="000F4A28"/>
    <w:rsid w:val="001006B2"/>
    <w:rsid w:val="001013EE"/>
    <w:rsid w:val="0010166E"/>
    <w:rsid w:val="001065A1"/>
    <w:rsid w:val="00114AF8"/>
    <w:rsid w:val="001154BA"/>
    <w:rsid w:val="00116847"/>
    <w:rsid w:val="00116F5C"/>
    <w:rsid w:val="00123E1C"/>
    <w:rsid w:val="00124612"/>
    <w:rsid w:val="00125643"/>
    <w:rsid w:val="00126422"/>
    <w:rsid w:val="0012642F"/>
    <w:rsid w:val="001275F4"/>
    <w:rsid w:val="001330D1"/>
    <w:rsid w:val="00136188"/>
    <w:rsid w:val="00136529"/>
    <w:rsid w:val="00136C05"/>
    <w:rsid w:val="00136EBF"/>
    <w:rsid w:val="0013784D"/>
    <w:rsid w:val="00140DFF"/>
    <w:rsid w:val="00140F3F"/>
    <w:rsid w:val="0014280C"/>
    <w:rsid w:val="00147872"/>
    <w:rsid w:val="00147C90"/>
    <w:rsid w:val="001529C4"/>
    <w:rsid w:val="00152A1A"/>
    <w:rsid w:val="00152A23"/>
    <w:rsid w:val="00152DEC"/>
    <w:rsid w:val="00153BB2"/>
    <w:rsid w:val="001545F4"/>
    <w:rsid w:val="00154ABC"/>
    <w:rsid w:val="001565E8"/>
    <w:rsid w:val="00156967"/>
    <w:rsid w:val="00161AD4"/>
    <w:rsid w:val="00163BC3"/>
    <w:rsid w:val="00170769"/>
    <w:rsid w:val="0017112E"/>
    <w:rsid w:val="001717CD"/>
    <w:rsid w:val="00172402"/>
    <w:rsid w:val="00172859"/>
    <w:rsid w:val="00175E2C"/>
    <w:rsid w:val="00180401"/>
    <w:rsid w:val="00180405"/>
    <w:rsid w:val="00183F38"/>
    <w:rsid w:val="00185683"/>
    <w:rsid w:val="00186779"/>
    <w:rsid w:val="00186B66"/>
    <w:rsid w:val="0019119C"/>
    <w:rsid w:val="00195CEB"/>
    <w:rsid w:val="00195CF4"/>
    <w:rsid w:val="00196ECF"/>
    <w:rsid w:val="001A02FD"/>
    <w:rsid w:val="001A2B4B"/>
    <w:rsid w:val="001A4E83"/>
    <w:rsid w:val="001B0842"/>
    <w:rsid w:val="001B1D49"/>
    <w:rsid w:val="001B489E"/>
    <w:rsid w:val="001B634F"/>
    <w:rsid w:val="001C0120"/>
    <w:rsid w:val="001C4141"/>
    <w:rsid w:val="001C42B7"/>
    <w:rsid w:val="001D4CF3"/>
    <w:rsid w:val="001E0901"/>
    <w:rsid w:val="001E116A"/>
    <w:rsid w:val="001E432D"/>
    <w:rsid w:val="001E4D75"/>
    <w:rsid w:val="001E63C4"/>
    <w:rsid w:val="001E750D"/>
    <w:rsid w:val="001F1F6B"/>
    <w:rsid w:val="001F45F7"/>
    <w:rsid w:val="001F5635"/>
    <w:rsid w:val="00200326"/>
    <w:rsid w:val="00200352"/>
    <w:rsid w:val="002006B4"/>
    <w:rsid w:val="0020279F"/>
    <w:rsid w:val="00203113"/>
    <w:rsid w:val="00210882"/>
    <w:rsid w:val="00211495"/>
    <w:rsid w:val="002128D5"/>
    <w:rsid w:val="00212D38"/>
    <w:rsid w:val="002134B2"/>
    <w:rsid w:val="00213558"/>
    <w:rsid w:val="00214C77"/>
    <w:rsid w:val="00215553"/>
    <w:rsid w:val="0021736B"/>
    <w:rsid w:val="002208B2"/>
    <w:rsid w:val="00220F7E"/>
    <w:rsid w:val="00222850"/>
    <w:rsid w:val="00222A04"/>
    <w:rsid w:val="002235A0"/>
    <w:rsid w:val="0022670A"/>
    <w:rsid w:val="00232CFC"/>
    <w:rsid w:val="0023522B"/>
    <w:rsid w:val="002363BD"/>
    <w:rsid w:val="00236477"/>
    <w:rsid w:val="00236491"/>
    <w:rsid w:val="0024188C"/>
    <w:rsid w:val="00242F52"/>
    <w:rsid w:val="002454C1"/>
    <w:rsid w:val="00247DD1"/>
    <w:rsid w:val="0025019E"/>
    <w:rsid w:val="00250F05"/>
    <w:rsid w:val="002558CE"/>
    <w:rsid w:val="00257F32"/>
    <w:rsid w:val="00260AF0"/>
    <w:rsid w:val="002636EE"/>
    <w:rsid w:val="0026522B"/>
    <w:rsid w:val="00270119"/>
    <w:rsid w:val="00271C91"/>
    <w:rsid w:val="00273604"/>
    <w:rsid w:val="002768A9"/>
    <w:rsid w:val="0028002B"/>
    <w:rsid w:val="00282464"/>
    <w:rsid w:val="00287668"/>
    <w:rsid w:val="00287A56"/>
    <w:rsid w:val="002941F8"/>
    <w:rsid w:val="002952BD"/>
    <w:rsid w:val="0029633F"/>
    <w:rsid w:val="00296B44"/>
    <w:rsid w:val="002A0555"/>
    <w:rsid w:val="002A302C"/>
    <w:rsid w:val="002A57B6"/>
    <w:rsid w:val="002A6503"/>
    <w:rsid w:val="002A704C"/>
    <w:rsid w:val="002B0BF7"/>
    <w:rsid w:val="002B113E"/>
    <w:rsid w:val="002B27C8"/>
    <w:rsid w:val="002B46C7"/>
    <w:rsid w:val="002B747C"/>
    <w:rsid w:val="002B7BCC"/>
    <w:rsid w:val="002C384F"/>
    <w:rsid w:val="002C6DE9"/>
    <w:rsid w:val="002D24EB"/>
    <w:rsid w:val="002D2F92"/>
    <w:rsid w:val="002D335B"/>
    <w:rsid w:val="002D7CAF"/>
    <w:rsid w:val="002E1B52"/>
    <w:rsid w:val="002E43F1"/>
    <w:rsid w:val="002E4539"/>
    <w:rsid w:val="002E60BF"/>
    <w:rsid w:val="002E6BA3"/>
    <w:rsid w:val="002F3B88"/>
    <w:rsid w:val="002F3BC4"/>
    <w:rsid w:val="002F4C44"/>
    <w:rsid w:val="002F4F5D"/>
    <w:rsid w:val="002F6160"/>
    <w:rsid w:val="002F7D56"/>
    <w:rsid w:val="0030045F"/>
    <w:rsid w:val="003007CC"/>
    <w:rsid w:val="00302EA3"/>
    <w:rsid w:val="00304E79"/>
    <w:rsid w:val="00311E08"/>
    <w:rsid w:val="00313429"/>
    <w:rsid w:val="00313F78"/>
    <w:rsid w:val="00315637"/>
    <w:rsid w:val="0031584E"/>
    <w:rsid w:val="00321FCA"/>
    <w:rsid w:val="00322365"/>
    <w:rsid w:val="00326F87"/>
    <w:rsid w:val="003272F1"/>
    <w:rsid w:val="0033030D"/>
    <w:rsid w:val="0033155E"/>
    <w:rsid w:val="00332951"/>
    <w:rsid w:val="0033744A"/>
    <w:rsid w:val="00340740"/>
    <w:rsid w:val="00343036"/>
    <w:rsid w:val="00343CDB"/>
    <w:rsid w:val="00345AB2"/>
    <w:rsid w:val="00350B18"/>
    <w:rsid w:val="00351372"/>
    <w:rsid w:val="00352731"/>
    <w:rsid w:val="00355837"/>
    <w:rsid w:val="00361ED6"/>
    <w:rsid w:val="00362B89"/>
    <w:rsid w:val="00364D87"/>
    <w:rsid w:val="003667FA"/>
    <w:rsid w:val="0037007D"/>
    <w:rsid w:val="0037186F"/>
    <w:rsid w:val="0037720F"/>
    <w:rsid w:val="00380DBB"/>
    <w:rsid w:val="00381026"/>
    <w:rsid w:val="003816BC"/>
    <w:rsid w:val="003845D1"/>
    <w:rsid w:val="003858EA"/>
    <w:rsid w:val="00395958"/>
    <w:rsid w:val="003974A1"/>
    <w:rsid w:val="003A0A0D"/>
    <w:rsid w:val="003A27E5"/>
    <w:rsid w:val="003A3AA9"/>
    <w:rsid w:val="003A3FEC"/>
    <w:rsid w:val="003A4C83"/>
    <w:rsid w:val="003A6950"/>
    <w:rsid w:val="003B478C"/>
    <w:rsid w:val="003C04F3"/>
    <w:rsid w:val="003C2DD8"/>
    <w:rsid w:val="003C3605"/>
    <w:rsid w:val="003C4795"/>
    <w:rsid w:val="003C5526"/>
    <w:rsid w:val="003C59CD"/>
    <w:rsid w:val="003C5A34"/>
    <w:rsid w:val="003D105A"/>
    <w:rsid w:val="003D1125"/>
    <w:rsid w:val="003D33BA"/>
    <w:rsid w:val="003D680D"/>
    <w:rsid w:val="003E6E9F"/>
    <w:rsid w:val="003E71C2"/>
    <w:rsid w:val="003F036C"/>
    <w:rsid w:val="003F29FD"/>
    <w:rsid w:val="003F782D"/>
    <w:rsid w:val="003F787D"/>
    <w:rsid w:val="004061BF"/>
    <w:rsid w:val="00407C32"/>
    <w:rsid w:val="00407C6E"/>
    <w:rsid w:val="00407E0F"/>
    <w:rsid w:val="00410689"/>
    <w:rsid w:val="00412893"/>
    <w:rsid w:val="0041318E"/>
    <w:rsid w:val="004159D9"/>
    <w:rsid w:val="00416346"/>
    <w:rsid w:val="00420C2C"/>
    <w:rsid w:val="00423C5F"/>
    <w:rsid w:val="0042465F"/>
    <w:rsid w:val="00424E63"/>
    <w:rsid w:val="00427403"/>
    <w:rsid w:val="00430D2B"/>
    <w:rsid w:val="004332FE"/>
    <w:rsid w:val="00435CB2"/>
    <w:rsid w:val="00436B3A"/>
    <w:rsid w:val="004375DE"/>
    <w:rsid w:val="004420B7"/>
    <w:rsid w:val="00444710"/>
    <w:rsid w:val="00445900"/>
    <w:rsid w:val="004564CC"/>
    <w:rsid w:val="00457B05"/>
    <w:rsid w:val="00465BFA"/>
    <w:rsid w:val="00467D8F"/>
    <w:rsid w:val="00471DF9"/>
    <w:rsid w:val="00471E65"/>
    <w:rsid w:val="0047389C"/>
    <w:rsid w:val="004769A9"/>
    <w:rsid w:val="00476A3C"/>
    <w:rsid w:val="00485236"/>
    <w:rsid w:val="0048558A"/>
    <w:rsid w:val="004862D3"/>
    <w:rsid w:val="00487A5B"/>
    <w:rsid w:val="00490818"/>
    <w:rsid w:val="00490A70"/>
    <w:rsid w:val="00491440"/>
    <w:rsid w:val="00493AD8"/>
    <w:rsid w:val="004A3BE2"/>
    <w:rsid w:val="004A3EBA"/>
    <w:rsid w:val="004A3FF6"/>
    <w:rsid w:val="004A4983"/>
    <w:rsid w:val="004A77E9"/>
    <w:rsid w:val="004A7B74"/>
    <w:rsid w:val="004B19B1"/>
    <w:rsid w:val="004B2BC3"/>
    <w:rsid w:val="004C1642"/>
    <w:rsid w:val="004C2C15"/>
    <w:rsid w:val="004C3190"/>
    <w:rsid w:val="004C7104"/>
    <w:rsid w:val="004D0C12"/>
    <w:rsid w:val="004D2071"/>
    <w:rsid w:val="004D216E"/>
    <w:rsid w:val="004D2F43"/>
    <w:rsid w:val="004D3CD5"/>
    <w:rsid w:val="004D6202"/>
    <w:rsid w:val="004E1EF1"/>
    <w:rsid w:val="004E3B85"/>
    <w:rsid w:val="004E3EE3"/>
    <w:rsid w:val="004E4977"/>
    <w:rsid w:val="004E6795"/>
    <w:rsid w:val="004F1B34"/>
    <w:rsid w:val="004F1B51"/>
    <w:rsid w:val="004F1D0C"/>
    <w:rsid w:val="004F396B"/>
    <w:rsid w:val="004F545A"/>
    <w:rsid w:val="004F5A63"/>
    <w:rsid w:val="004F7657"/>
    <w:rsid w:val="00504611"/>
    <w:rsid w:val="00504983"/>
    <w:rsid w:val="0051015F"/>
    <w:rsid w:val="00511F77"/>
    <w:rsid w:val="0051339C"/>
    <w:rsid w:val="00522F01"/>
    <w:rsid w:val="0052376F"/>
    <w:rsid w:val="00524AFD"/>
    <w:rsid w:val="00525254"/>
    <w:rsid w:val="005256D5"/>
    <w:rsid w:val="005273C1"/>
    <w:rsid w:val="005307FF"/>
    <w:rsid w:val="00530D72"/>
    <w:rsid w:val="005340FF"/>
    <w:rsid w:val="0053446B"/>
    <w:rsid w:val="00535783"/>
    <w:rsid w:val="00536310"/>
    <w:rsid w:val="005365E3"/>
    <w:rsid w:val="005402FE"/>
    <w:rsid w:val="00542E6A"/>
    <w:rsid w:val="00543DB6"/>
    <w:rsid w:val="00544EDF"/>
    <w:rsid w:val="005476AF"/>
    <w:rsid w:val="00547820"/>
    <w:rsid w:val="00547D0C"/>
    <w:rsid w:val="00550F85"/>
    <w:rsid w:val="005514BD"/>
    <w:rsid w:val="00552164"/>
    <w:rsid w:val="005537BC"/>
    <w:rsid w:val="0055393E"/>
    <w:rsid w:val="00555892"/>
    <w:rsid w:val="00555A5B"/>
    <w:rsid w:val="005579F5"/>
    <w:rsid w:val="005600CB"/>
    <w:rsid w:val="00561188"/>
    <w:rsid w:val="005636C5"/>
    <w:rsid w:val="005713C7"/>
    <w:rsid w:val="00572EF0"/>
    <w:rsid w:val="00576D3F"/>
    <w:rsid w:val="00583955"/>
    <w:rsid w:val="00583D1E"/>
    <w:rsid w:val="00583D55"/>
    <w:rsid w:val="00584752"/>
    <w:rsid w:val="00585428"/>
    <w:rsid w:val="00585E41"/>
    <w:rsid w:val="00591C93"/>
    <w:rsid w:val="00591F5A"/>
    <w:rsid w:val="005961A6"/>
    <w:rsid w:val="005A00E5"/>
    <w:rsid w:val="005A2ED8"/>
    <w:rsid w:val="005A5906"/>
    <w:rsid w:val="005B0028"/>
    <w:rsid w:val="005B0506"/>
    <w:rsid w:val="005B17A2"/>
    <w:rsid w:val="005B230E"/>
    <w:rsid w:val="005B5DE6"/>
    <w:rsid w:val="005B6684"/>
    <w:rsid w:val="005C1DFD"/>
    <w:rsid w:val="005C2B2E"/>
    <w:rsid w:val="005C3ADB"/>
    <w:rsid w:val="005C4D7A"/>
    <w:rsid w:val="005C7D80"/>
    <w:rsid w:val="005D0F5C"/>
    <w:rsid w:val="005D390C"/>
    <w:rsid w:val="005E03A5"/>
    <w:rsid w:val="005E46CD"/>
    <w:rsid w:val="005E4F71"/>
    <w:rsid w:val="005E6AAB"/>
    <w:rsid w:val="005E7DEF"/>
    <w:rsid w:val="005F128A"/>
    <w:rsid w:val="005F5FFF"/>
    <w:rsid w:val="005F693C"/>
    <w:rsid w:val="005F6D56"/>
    <w:rsid w:val="005F77E3"/>
    <w:rsid w:val="006031CA"/>
    <w:rsid w:val="00603E28"/>
    <w:rsid w:val="006049B4"/>
    <w:rsid w:val="00604D75"/>
    <w:rsid w:val="0060630E"/>
    <w:rsid w:val="00611314"/>
    <w:rsid w:val="006118DE"/>
    <w:rsid w:val="006161AD"/>
    <w:rsid w:val="0061756B"/>
    <w:rsid w:val="00620B24"/>
    <w:rsid w:val="0062102C"/>
    <w:rsid w:val="00622C5C"/>
    <w:rsid w:val="006245D1"/>
    <w:rsid w:val="00624EFE"/>
    <w:rsid w:val="006252E4"/>
    <w:rsid w:val="00627176"/>
    <w:rsid w:val="006302C0"/>
    <w:rsid w:val="00630E46"/>
    <w:rsid w:val="00631DE5"/>
    <w:rsid w:val="00634016"/>
    <w:rsid w:val="00636022"/>
    <w:rsid w:val="006369E0"/>
    <w:rsid w:val="0063761E"/>
    <w:rsid w:val="006434B5"/>
    <w:rsid w:val="00650B4E"/>
    <w:rsid w:val="00651397"/>
    <w:rsid w:val="00653F68"/>
    <w:rsid w:val="00660EDD"/>
    <w:rsid w:val="00661D2D"/>
    <w:rsid w:val="0066557D"/>
    <w:rsid w:val="00667E6A"/>
    <w:rsid w:val="00671E23"/>
    <w:rsid w:val="00673247"/>
    <w:rsid w:val="00673BEC"/>
    <w:rsid w:val="006746B3"/>
    <w:rsid w:val="006749DB"/>
    <w:rsid w:val="00676FD3"/>
    <w:rsid w:val="00680540"/>
    <w:rsid w:val="006812C4"/>
    <w:rsid w:val="00683F30"/>
    <w:rsid w:val="00684191"/>
    <w:rsid w:val="006842C1"/>
    <w:rsid w:val="00684949"/>
    <w:rsid w:val="00694706"/>
    <w:rsid w:val="00695C58"/>
    <w:rsid w:val="00695DB9"/>
    <w:rsid w:val="006A0E59"/>
    <w:rsid w:val="006A50ED"/>
    <w:rsid w:val="006B00E3"/>
    <w:rsid w:val="006B1730"/>
    <w:rsid w:val="006B1F83"/>
    <w:rsid w:val="006B3113"/>
    <w:rsid w:val="006B47F5"/>
    <w:rsid w:val="006B54E8"/>
    <w:rsid w:val="006B55F8"/>
    <w:rsid w:val="006B74DF"/>
    <w:rsid w:val="006C1237"/>
    <w:rsid w:val="006C198D"/>
    <w:rsid w:val="006C2B89"/>
    <w:rsid w:val="006C4D94"/>
    <w:rsid w:val="006C6C0A"/>
    <w:rsid w:val="006C7D1C"/>
    <w:rsid w:val="006D177E"/>
    <w:rsid w:val="006D1E59"/>
    <w:rsid w:val="006D1F11"/>
    <w:rsid w:val="006D3B47"/>
    <w:rsid w:val="006D3D0C"/>
    <w:rsid w:val="006D446F"/>
    <w:rsid w:val="006D7498"/>
    <w:rsid w:val="006D7D45"/>
    <w:rsid w:val="006E1ED7"/>
    <w:rsid w:val="006E6AC1"/>
    <w:rsid w:val="006F2A1E"/>
    <w:rsid w:val="007007D2"/>
    <w:rsid w:val="00700C51"/>
    <w:rsid w:val="00705600"/>
    <w:rsid w:val="00706C8E"/>
    <w:rsid w:val="007116BE"/>
    <w:rsid w:val="00712B79"/>
    <w:rsid w:val="00716465"/>
    <w:rsid w:val="00717234"/>
    <w:rsid w:val="007175A6"/>
    <w:rsid w:val="007178A8"/>
    <w:rsid w:val="00717AF6"/>
    <w:rsid w:val="0072067D"/>
    <w:rsid w:val="007221A5"/>
    <w:rsid w:val="0072320C"/>
    <w:rsid w:val="00726141"/>
    <w:rsid w:val="007273B5"/>
    <w:rsid w:val="00727A3E"/>
    <w:rsid w:val="00735A4A"/>
    <w:rsid w:val="00736201"/>
    <w:rsid w:val="0073637A"/>
    <w:rsid w:val="00736B9A"/>
    <w:rsid w:val="00740A92"/>
    <w:rsid w:val="00742DD2"/>
    <w:rsid w:val="007464FA"/>
    <w:rsid w:val="007507A1"/>
    <w:rsid w:val="00750EE2"/>
    <w:rsid w:val="007525C0"/>
    <w:rsid w:val="00752774"/>
    <w:rsid w:val="0075583D"/>
    <w:rsid w:val="007575DB"/>
    <w:rsid w:val="00757EDC"/>
    <w:rsid w:val="0076141B"/>
    <w:rsid w:val="00761EF8"/>
    <w:rsid w:val="007638FE"/>
    <w:rsid w:val="00764AA9"/>
    <w:rsid w:val="00771399"/>
    <w:rsid w:val="00771CF0"/>
    <w:rsid w:val="007733A3"/>
    <w:rsid w:val="00774EE5"/>
    <w:rsid w:val="00776255"/>
    <w:rsid w:val="007764F1"/>
    <w:rsid w:val="007804CE"/>
    <w:rsid w:val="00782B9C"/>
    <w:rsid w:val="00783196"/>
    <w:rsid w:val="007848C6"/>
    <w:rsid w:val="007869F5"/>
    <w:rsid w:val="00787DEB"/>
    <w:rsid w:val="0079073D"/>
    <w:rsid w:val="0079182C"/>
    <w:rsid w:val="00791FAA"/>
    <w:rsid w:val="007948C4"/>
    <w:rsid w:val="007951FE"/>
    <w:rsid w:val="007A008D"/>
    <w:rsid w:val="007A0443"/>
    <w:rsid w:val="007A5BE4"/>
    <w:rsid w:val="007A6A8A"/>
    <w:rsid w:val="007A6D32"/>
    <w:rsid w:val="007B19E7"/>
    <w:rsid w:val="007B2E5C"/>
    <w:rsid w:val="007B6F00"/>
    <w:rsid w:val="007B7BF0"/>
    <w:rsid w:val="007B7CAC"/>
    <w:rsid w:val="007C0594"/>
    <w:rsid w:val="007C42F5"/>
    <w:rsid w:val="007C5B61"/>
    <w:rsid w:val="007C7A81"/>
    <w:rsid w:val="007D2AC7"/>
    <w:rsid w:val="007D6078"/>
    <w:rsid w:val="007D74E3"/>
    <w:rsid w:val="007D7B59"/>
    <w:rsid w:val="007E2B04"/>
    <w:rsid w:val="007E34F0"/>
    <w:rsid w:val="007E3FC2"/>
    <w:rsid w:val="007E409E"/>
    <w:rsid w:val="007E41A1"/>
    <w:rsid w:val="007E56C5"/>
    <w:rsid w:val="007E5DE8"/>
    <w:rsid w:val="007F4527"/>
    <w:rsid w:val="00801956"/>
    <w:rsid w:val="00806285"/>
    <w:rsid w:val="0080650E"/>
    <w:rsid w:val="008103B7"/>
    <w:rsid w:val="00811A2B"/>
    <w:rsid w:val="00812532"/>
    <w:rsid w:val="0081503B"/>
    <w:rsid w:val="0081570F"/>
    <w:rsid w:val="00817A34"/>
    <w:rsid w:val="00821827"/>
    <w:rsid w:val="00821944"/>
    <w:rsid w:val="00822D4B"/>
    <w:rsid w:val="008237FA"/>
    <w:rsid w:val="00825815"/>
    <w:rsid w:val="00825910"/>
    <w:rsid w:val="00825C1D"/>
    <w:rsid w:val="008272DF"/>
    <w:rsid w:val="00827BE3"/>
    <w:rsid w:val="008301F1"/>
    <w:rsid w:val="008303EC"/>
    <w:rsid w:val="00835A93"/>
    <w:rsid w:val="00835BC7"/>
    <w:rsid w:val="008367F7"/>
    <w:rsid w:val="00840223"/>
    <w:rsid w:val="00841476"/>
    <w:rsid w:val="008428A2"/>
    <w:rsid w:val="00845C40"/>
    <w:rsid w:val="00856B64"/>
    <w:rsid w:val="008627CE"/>
    <w:rsid w:val="008639B0"/>
    <w:rsid w:val="00863FE0"/>
    <w:rsid w:val="00864B70"/>
    <w:rsid w:val="008652A0"/>
    <w:rsid w:val="00865A85"/>
    <w:rsid w:val="00866688"/>
    <w:rsid w:val="00866F1E"/>
    <w:rsid w:val="008704F5"/>
    <w:rsid w:val="00870B85"/>
    <w:rsid w:val="00870E83"/>
    <w:rsid w:val="0087122C"/>
    <w:rsid w:val="008713A9"/>
    <w:rsid w:val="00872B76"/>
    <w:rsid w:val="008777B0"/>
    <w:rsid w:val="00880869"/>
    <w:rsid w:val="00881A9F"/>
    <w:rsid w:val="00881C76"/>
    <w:rsid w:val="0088315A"/>
    <w:rsid w:val="00883E28"/>
    <w:rsid w:val="00885FA8"/>
    <w:rsid w:val="00886D2A"/>
    <w:rsid w:val="0089015E"/>
    <w:rsid w:val="008915DD"/>
    <w:rsid w:val="00892DCF"/>
    <w:rsid w:val="0089306B"/>
    <w:rsid w:val="008937BE"/>
    <w:rsid w:val="00895991"/>
    <w:rsid w:val="00895DB5"/>
    <w:rsid w:val="00896830"/>
    <w:rsid w:val="008A1F8B"/>
    <w:rsid w:val="008A218F"/>
    <w:rsid w:val="008A3DC3"/>
    <w:rsid w:val="008A4B8D"/>
    <w:rsid w:val="008B2603"/>
    <w:rsid w:val="008B382E"/>
    <w:rsid w:val="008B7D0B"/>
    <w:rsid w:val="008C0DD4"/>
    <w:rsid w:val="008D25FA"/>
    <w:rsid w:val="008D35FB"/>
    <w:rsid w:val="008D3DCE"/>
    <w:rsid w:val="008D3F36"/>
    <w:rsid w:val="008D4A1F"/>
    <w:rsid w:val="008D5CDB"/>
    <w:rsid w:val="008D695F"/>
    <w:rsid w:val="008D7D28"/>
    <w:rsid w:val="008D7FBF"/>
    <w:rsid w:val="008E0D80"/>
    <w:rsid w:val="008E2314"/>
    <w:rsid w:val="008E27F6"/>
    <w:rsid w:val="008E2E94"/>
    <w:rsid w:val="008F07BC"/>
    <w:rsid w:val="008F098D"/>
    <w:rsid w:val="008F23B9"/>
    <w:rsid w:val="008F585B"/>
    <w:rsid w:val="008F64AA"/>
    <w:rsid w:val="008F6DB2"/>
    <w:rsid w:val="00900690"/>
    <w:rsid w:val="00900DDB"/>
    <w:rsid w:val="00902B16"/>
    <w:rsid w:val="00903FCF"/>
    <w:rsid w:val="009066CB"/>
    <w:rsid w:val="00910D46"/>
    <w:rsid w:val="0091293E"/>
    <w:rsid w:val="00915178"/>
    <w:rsid w:val="00916A3A"/>
    <w:rsid w:val="00916EC8"/>
    <w:rsid w:val="00923529"/>
    <w:rsid w:val="009268D8"/>
    <w:rsid w:val="00927495"/>
    <w:rsid w:val="0093203B"/>
    <w:rsid w:val="0093208B"/>
    <w:rsid w:val="00932E3F"/>
    <w:rsid w:val="00934965"/>
    <w:rsid w:val="009354C3"/>
    <w:rsid w:val="0093557D"/>
    <w:rsid w:val="00936865"/>
    <w:rsid w:val="00937250"/>
    <w:rsid w:val="00943893"/>
    <w:rsid w:val="00944CAA"/>
    <w:rsid w:val="00944E2C"/>
    <w:rsid w:val="00945250"/>
    <w:rsid w:val="0094600B"/>
    <w:rsid w:val="009505EF"/>
    <w:rsid w:val="00950D36"/>
    <w:rsid w:val="0095215A"/>
    <w:rsid w:val="00954BF4"/>
    <w:rsid w:val="00960A61"/>
    <w:rsid w:val="0096178E"/>
    <w:rsid w:val="00962310"/>
    <w:rsid w:val="009655B8"/>
    <w:rsid w:val="009703A8"/>
    <w:rsid w:val="00974D91"/>
    <w:rsid w:val="0097773B"/>
    <w:rsid w:val="009777A0"/>
    <w:rsid w:val="009810AB"/>
    <w:rsid w:val="009821C4"/>
    <w:rsid w:val="00985087"/>
    <w:rsid w:val="00985C11"/>
    <w:rsid w:val="00990089"/>
    <w:rsid w:val="00990666"/>
    <w:rsid w:val="0099091C"/>
    <w:rsid w:val="00993522"/>
    <w:rsid w:val="00994C01"/>
    <w:rsid w:val="00995416"/>
    <w:rsid w:val="009956F8"/>
    <w:rsid w:val="009A1883"/>
    <w:rsid w:val="009B0743"/>
    <w:rsid w:val="009B27C5"/>
    <w:rsid w:val="009B7F1D"/>
    <w:rsid w:val="009C198F"/>
    <w:rsid w:val="009C7E65"/>
    <w:rsid w:val="009D0E58"/>
    <w:rsid w:val="009D4AC2"/>
    <w:rsid w:val="009E70EE"/>
    <w:rsid w:val="009E749A"/>
    <w:rsid w:val="009F1731"/>
    <w:rsid w:val="009F2BA3"/>
    <w:rsid w:val="009F3053"/>
    <w:rsid w:val="009F3245"/>
    <w:rsid w:val="009F5CF3"/>
    <w:rsid w:val="009F66D0"/>
    <w:rsid w:val="00A01CA7"/>
    <w:rsid w:val="00A02AE8"/>
    <w:rsid w:val="00A02EB6"/>
    <w:rsid w:val="00A06017"/>
    <w:rsid w:val="00A073FD"/>
    <w:rsid w:val="00A0789B"/>
    <w:rsid w:val="00A146D7"/>
    <w:rsid w:val="00A14790"/>
    <w:rsid w:val="00A15A50"/>
    <w:rsid w:val="00A1621E"/>
    <w:rsid w:val="00A21132"/>
    <w:rsid w:val="00A22BCE"/>
    <w:rsid w:val="00A2324C"/>
    <w:rsid w:val="00A247C7"/>
    <w:rsid w:val="00A30E46"/>
    <w:rsid w:val="00A32326"/>
    <w:rsid w:val="00A33074"/>
    <w:rsid w:val="00A34D8D"/>
    <w:rsid w:val="00A4104B"/>
    <w:rsid w:val="00A43660"/>
    <w:rsid w:val="00A4380D"/>
    <w:rsid w:val="00A439C8"/>
    <w:rsid w:val="00A43F9B"/>
    <w:rsid w:val="00A4538F"/>
    <w:rsid w:val="00A45AC7"/>
    <w:rsid w:val="00A45BCE"/>
    <w:rsid w:val="00A45CBA"/>
    <w:rsid w:val="00A4725C"/>
    <w:rsid w:val="00A50F42"/>
    <w:rsid w:val="00A560BC"/>
    <w:rsid w:val="00A5670B"/>
    <w:rsid w:val="00A602AF"/>
    <w:rsid w:val="00A61CC3"/>
    <w:rsid w:val="00A6217E"/>
    <w:rsid w:val="00A63848"/>
    <w:rsid w:val="00A641A1"/>
    <w:rsid w:val="00A643F1"/>
    <w:rsid w:val="00A647AC"/>
    <w:rsid w:val="00A6759E"/>
    <w:rsid w:val="00A67D1F"/>
    <w:rsid w:val="00A70999"/>
    <w:rsid w:val="00A712C5"/>
    <w:rsid w:val="00A7372B"/>
    <w:rsid w:val="00A7465D"/>
    <w:rsid w:val="00A76492"/>
    <w:rsid w:val="00A77B2D"/>
    <w:rsid w:val="00A823CE"/>
    <w:rsid w:val="00A82E3A"/>
    <w:rsid w:val="00A841B6"/>
    <w:rsid w:val="00A863C6"/>
    <w:rsid w:val="00A86575"/>
    <w:rsid w:val="00A934A5"/>
    <w:rsid w:val="00AA77E4"/>
    <w:rsid w:val="00AB2250"/>
    <w:rsid w:val="00AB388E"/>
    <w:rsid w:val="00AB7735"/>
    <w:rsid w:val="00AB7C0B"/>
    <w:rsid w:val="00AC1E02"/>
    <w:rsid w:val="00AC22CE"/>
    <w:rsid w:val="00AC2756"/>
    <w:rsid w:val="00AC2C80"/>
    <w:rsid w:val="00AC3421"/>
    <w:rsid w:val="00AC3783"/>
    <w:rsid w:val="00AC6F2F"/>
    <w:rsid w:val="00AD4FDD"/>
    <w:rsid w:val="00AE04C5"/>
    <w:rsid w:val="00AE0859"/>
    <w:rsid w:val="00AE11A5"/>
    <w:rsid w:val="00AE1709"/>
    <w:rsid w:val="00AE20C5"/>
    <w:rsid w:val="00AE282C"/>
    <w:rsid w:val="00AE2DF2"/>
    <w:rsid w:val="00AE3DED"/>
    <w:rsid w:val="00AE4436"/>
    <w:rsid w:val="00AE5229"/>
    <w:rsid w:val="00AE5C93"/>
    <w:rsid w:val="00AE62BB"/>
    <w:rsid w:val="00AE7B0C"/>
    <w:rsid w:val="00AF0E4D"/>
    <w:rsid w:val="00AF2C80"/>
    <w:rsid w:val="00AF54F1"/>
    <w:rsid w:val="00AF7D14"/>
    <w:rsid w:val="00B01FF9"/>
    <w:rsid w:val="00B03FB0"/>
    <w:rsid w:val="00B04DC3"/>
    <w:rsid w:val="00B058ED"/>
    <w:rsid w:val="00B10364"/>
    <w:rsid w:val="00B117E6"/>
    <w:rsid w:val="00B13768"/>
    <w:rsid w:val="00B13EF2"/>
    <w:rsid w:val="00B158C8"/>
    <w:rsid w:val="00B16306"/>
    <w:rsid w:val="00B16C81"/>
    <w:rsid w:val="00B25640"/>
    <w:rsid w:val="00B25B87"/>
    <w:rsid w:val="00B3069C"/>
    <w:rsid w:val="00B308D9"/>
    <w:rsid w:val="00B31352"/>
    <w:rsid w:val="00B315DB"/>
    <w:rsid w:val="00B318EA"/>
    <w:rsid w:val="00B3347F"/>
    <w:rsid w:val="00B33757"/>
    <w:rsid w:val="00B3467D"/>
    <w:rsid w:val="00B354BA"/>
    <w:rsid w:val="00B36CEF"/>
    <w:rsid w:val="00B37492"/>
    <w:rsid w:val="00B44E21"/>
    <w:rsid w:val="00B45F94"/>
    <w:rsid w:val="00B55A91"/>
    <w:rsid w:val="00B561E6"/>
    <w:rsid w:val="00B570C2"/>
    <w:rsid w:val="00B61831"/>
    <w:rsid w:val="00B63CCB"/>
    <w:rsid w:val="00B651A8"/>
    <w:rsid w:val="00B66768"/>
    <w:rsid w:val="00B66A73"/>
    <w:rsid w:val="00B66DBA"/>
    <w:rsid w:val="00B67728"/>
    <w:rsid w:val="00B67E24"/>
    <w:rsid w:val="00B70684"/>
    <w:rsid w:val="00B70C43"/>
    <w:rsid w:val="00B71D44"/>
    <w:rsid w:val="00B80FCF"/>
    <w:rsid w:val="00B81143"/>
    <w:rsid w:val="00B8228E"/>
    <w:rsid w:val="00B82D5B"/>
    <w:rsid w:val="00B830BE"/>
    <w:rsid w:val="00B84704"/>
    <w:rsid w:val="00B84A81"/>
    <w:rsid w:val="00B87B06"/>
    <w:rsid w:val="00B90562"/>
    <w:rsid w:val="00B92FFA"/>
    <w:rsid w:val="00B931B5"/>
    <w:rsid w:val="00B93787"/>
    <w:rsid w:val="00B9461C"/>
    <w:rsid w:val="00B94BAE"/>
    <w:rsid w:val="00B95376"/>
    <w:rsid w:val="00B95BA4"/>
    <w:rsid w:val="00B97409"/>
    <w:rsid w:val="00B97EEB"/>
    <w:rsid w:val="00BA09A1"/>
    <w:rsid w:val="00BA0D39"/>
    <w:rsid w:val="00BA35B1"/>
    <w:rsid w:val="00BA44A8"/>
    <w:rsid w:val="00BA5CFC"/>
    <w:rsid w:val="00BA7063"/>
    <w:rsid w:val="00BA79E2"/>
    <w:rsid w:val="00BB01B2"/>
    <w:rsid w:val="00BB0A82"/>
    <w:rsid w:val="00BB347A"/>
    <w:rsid w:val="00BB4614"/>
    <w:rsid w:val="00BB4821"/>
    <w:rsid w:val="00BB5582"/>
    <w:rsid w:val="00BC2C84"/>
    <w:rsid w:val="00BC31B5"/>
    <w:rsid w:val="00BC6B10"/>
    <w:rsid w:val="00BD14B8"/>
    <w:rsid w:val="00BD17F4"/>
    <w:rsid w:val="00BD431B"/>
    <w:rsid w:val="00BD477C"/>
    <w:rsid w:val="00BD5F63"/>
    <w:rsid w:val="00BE22E1"/>
    <w:rsid w:val="00BE2B31"/>
    <w:rsid w:val="00BE2E42"/>
    <w:rsid w:val="00BE5CB6"/>
    <w:rsid w:val="00BE6852"/>
    <w:rsid w:val="00BE79D4"/>
    <w:rsid w:val="00BF2E0B"/>
    <w:rsid w:val="00BF409D"/>
    <w:rsid w:val="00BF44D9"/>
    <w:rsid w:val="00BF6FBA"/>
    <w:rsid w:val="00C006C4"/>
    <w:rsid w:val="00C02D60"/>
    <w:rsid w:val="00C040F7"/>
    <w:rsid w:val="00C11395"/>
    <w:rsid w:val="00C11406"/>
    <w:rsid w:val="00C2063E"/>
    <w:rsid w:val="00C22B0D"/>
    <w:rsid w:val="00C26559"/>
    <w:rsid w:val="00C2782F"/>
    <w:rsid w:val="00C27AE9"/>
    <w:rsid w:val="00C33D81"/>
    <w:rsid w:val="00C34666"/>
    <w:rsid w:val="00C3580E"/>
    <w:rsid w:val="00C43F1F"/>
    <w:rsid w:val="00C51E73"/>
    <w:rsid w:val="00C551EA"/>
    <w:rsid w:val="00C5707F"/>
    <w:rsid w:val="00C57DFE"/>
    <w:rsid w:val="00C635C7"/>
    <w:rsid w:val="00C63CFD"/>
    <w:rsid w:val="00C667A4"/>
    <w:rsid w:val="00C7057F"/>
    <w:rsid w:val="00C71030"/>
    <w:rsid w:val="00C71902"/>
    <w:rsid w:val="00C7216C"/>
    <w:rsid w:val="00C74C54"/>
    <w:rsid w:val="00C75FD6"/>
    <w:rsid w:val="00C76816"/>
    <w:rsid w:val="00C8016B"/>
    <w:rsid w:val="00C866C5"/>
    <w:rsid w:val="00C87C38"/>
    <w:rsid w:val="00C87C83"/>
    <w:rsid w:val="00C9173D"/>
    <w:rsid w:val="00C92B3A"/>
    <w:rsid w:val="00C92DA1"/>
    <w:rsid w:val="00C92E2A"/>
    <w:rsid w:val="00CA0316"/>
    <w:rsid w:val="00CA0BE2"/>
    <w:rsid w:val="00CA31D9"/>
    <w:rsid w:val="00CA775D"/>
    <w:rsid w:val="00CB367A"/>
    <w:rsid w:val="00CB372B"/>
    <w:rsid w:val="00CB384A"/>
    <w:rsid w:val="00CB39F2"/>
    <w:rsid w:val="00CC13B6"/>
    <w:rsid w:val="00CC13D5"/>
    <w:rsid w:val="00CC1B65"/>
    <w:rsid w:val="00CC1CB4"/>
    <w:rsid w:val="00CC20E9"/>
    <w:rsid w:val="00CC2195"/>
    <w:rsid w:val="00CD3F4B"/>
    <w:rsid w:val="00CD792E"/>
    <w:rsid w:val="00CE010D"/>
    <w:rsid w:val="00CE1B94"/>
    <w:rsid w:val="00CE308D"/>
    <w:rsid w:val="00CE50A3"/>
    <w:rsid w:val="00CE5ACF"/>
    <w:rsid w:val="00CF226C"/>
    <w:rsid w:val="00CF24E3"/>
    <w:rsid w:val="00CF2D61"/>
    <w:rsid w:val="00CF628F"/>
    <w:rsid w:val="00CF6BDF"/>
    <w:rsid w:val="00D0361F"/>
    <w:rsid w:val="00D057C7"/>
    <w:rsid w:val="00D10C4F"/>
    <w:rsid w:val="00D11801"/>
    <w:rsid w:val="00D1285E"/>
    <w:rsid w:val="00D12EDC"/>
    <w:rsid w:val="00D207C7"/>
    <w:rsid w:val="00D23C02"/>
    <w:rsid w:val="00D25518"/>
    <w:rsid w:val="00D2681A"/>
    <w:rsid w:val="00D26DF3"/>
    <w:rsid w:val="00D27F12"/>
    <w:rsid w:val="00D32ED9"/>
    <w:rsid w:val="00D348B4"/>
    <w:rsid w:val="00D3572B"/>
    <w:rsid w:val="00D35929"/>
    <w:rsid w:val="00D360E0"/>
    <w:rsid w:val="00D36294"/>
    <w:rsid w:val="00D36D59"/>
    <w:rsid w:val="00D36F71"/>
    <w:rsid w:val="00D371CD"/>
    <w:rsid w:val="00D41F6C"/>
    <w:rsid w:val="00D43449"/>
    <w:rsid w:val="00D43C43"/>
    <w:rsid w:val="00D4499B"/>
    <w:rsid w:val="00D471C2"/>
    <w:rsid w:val="00D5160E"/>
    <w:rsid w:val="00D520D6"/>
    <w:rsid w:val="00D5394C"/>
    <w:rsid w:val="00D55406"/>
    <w:rsid w:val="00D5544A"/>
    <w:rsid w:val="00D55F7B"/>
    <w:rsid w:val="00D6224A"/>
    <w:rsid w:val="00D631B2"/>
    <w:rsid w:val="00D631DC"/>
    <w:rsid w:val="00D641DC"/>
    <w:rsid w:val="00D652BD"/>
    <w:rsid w:val="00D67CC5"/>
    <w:rsid w:val="00D702CF"/>
    <w:rsid w:val="00D72A57"/>
    <w:rsid w:val="00D73A14"/>
    <w:rsid w:val="00D74915"/>
    <w:rsid w:val="00D75332"/>
    <w:rsid w:val="00D75B1A"/>
    <w:rsid w:val="00D801CF"/>
    <w:rsid w:val="00D80311"/>
    <w:rsid w:val="00D81FAA"/>
    <w:rsid w:val="00D83966"/>
    <w:rsid w:val="00D83E58"/>
    <w:rsid w:val="00D83E61"/>
    <w:rsid w:val="00D864B5"/>
    <w:rsid w:val="00D919F5"/>
    <w:rsid w:val="00D92294"/>
    <w:rsid w:val="00D93990"/>
    <w:rsid w:val="00D93BC0"/>
    <w:rsid w:val="00D93E54"/>
    <w:rsid w:val="00D93F48"/>
    <w:rsid w:val="00D94952"/>
    <w:rsid w:val="00D95938"/>
    <w:rsid w:val="00D96091"/>
    <w:rsid w:val="00D976E3"/>
    <w:rsid w:val="00DA2B21"/>
    <w:rsid w:val="00DB03EB"/>
    <w:rsid w:val="00DB0CF4"/>
    <w:rsid w:val="00DB1499"/>
    <w:rsid w:val="00DB1F58"/>
    <w:rsid w:val="00DB22EE"/>
    <w:rsid w:val="00DB4798"/>
    <w:rsid w:val="00DB7755"/>
    <w:rsid w:val="00DC1627"/>
    <w:rsid w:val="00DC2893"/>
    <w:rsid w:val="00DC2B11"/>
    <w:rsid w:val="00DC425A"/>
    <w:rsid w:val="00DC723A"/>
    <w:rsid w:val="00DD0637"/>
    <w:rsid w:val="00DD2B2E"/>
    <w:rsid w:val="00DD4E3A"/>
    <w:rsid w:val="00DD547D"/>
    <w:rsid w:val="00DE3423"/>
    <w:rsid w:val="00DE6315"/>
    <w:rsid w:val="00DE6680"/>
    <w:rsid w:val="00DE6BBC"/>
    <w:rsid w:val="00DE7FC1"/>
    <w:rsid w:val="00DF278E"/>
    <w:rsid w:val="00DF4A01"/>
    <w:rsid w:val="00DF56B9"/>
    <w:rsid w:val="00DF608D"/>
    <w:rsid w:val="00E0309A"/>
    <w:rsid w:val="00E058E8"/>
    <w:rsid w:val="00E07B45"/>
    <w:rsid w:val="00E21362"/>
    <w:rsid w:val="00E22DB6"/>
    <w:rsid w:val="00E23596"/>
    <w:rsid w:val="00E236C8"/>
    <w:rsid w:val="00E23A17"/>
    <w:rsid w:val="00E2491E"/>
    <w:rsid w:val="00E24BC0"/>
    <w:rsid w:val="00E27862"/>
    <w:rsid w:val="00E303C8"/>
    <w:rsid w:val="00E30A8E"/>
    <w:rsid w:val="00E31627"/>
    <w:rsid w:val="00E32860"/>
    <w:rsid w:val="00E33173"/>
    <w:rsid w:val="00E34338"/>
    <w:rsid w:val="00E40FAD"/>
    <w:rsid w:val="00E434EA"/>
    <w:rsid w:val="00E441D0"/>
    <w:rsid w:val="00E47B06"/>
    <w:rsid w:val="00E505B3"/>
    <w:rsid w:val="00E50E60"/>
    <w:rsid w:val="00E51341"/>
    <w:rsid w:val="00E52B4B"/>
    <w:rsid w:val="00E54309"/>
    <w:rsid w:val="00E56003"/>
    <w:rsid w:val="00E6139A"/>
    <w:rsid w:val="00E62181"/>
    <w:rsid w:val="00E644AF"/>
    <w:rsid w:val="00E651A8"/>
    <w:rsid w:val="00E67220"/>
    <w:rsid w:val="00E7192A"/>
    <w:rsid w:val="00E72225"/>
    <w:rsid w:val="00E76EB2"/>
    <w:rsid w:val="00E77035"/>
    <w:rsid w:val="00E80884"/>
    <w:rsid w:val="00E8284D"/>
    <w:rsid w:val="00E83E64"/>
    <w:rsid w:val="00E84DC2"/>
    <w:rsid w:val="00E90DFD"/>
    <w:rsid w:val="00E90E3C"/>
    <w:rsid w:val="00E9152F"/>
    <w:rsid w:val="00E93CE3"/>
    <w:rsid w:val="00E9526B"/>
    <w:rsid w:val="00E9606D"/>
    <w:rsid w:val="00E96CB5"/>
    <w:rsid w:val="00EA2ED9"/>
    <w:rsid w:val="00EA4A04"/>
    <w:rsid w:val="00EA6839"/>
    <w:rsid w:val="00EA6E2C"/>
    <w:rsid w:val="00EB28BA"/>
    <w:rsid w:val="00EB2F09"/>
    <w:rsid w:val="00EB48AB"/>
    <w:rsid w:val="00EB59FA"/>
    <w:rsid w:val="00EB767D"/>
    <w:rsid w:val="00EC2985"/>
    <w:rsid w:val="00EC6908"/>
    <w:rsid w:val="00ED1254"/>
    <w:rsid w:val="00ED2DDE"/>
    <w:rsid w:val="00ED4F0F"/>
    <w:rsid w:val="00EE0E3A"/>
    <w:rsid w:val="00EE1966"/>
    <w:rsid w:val="00EE2FD4"/>
    <w:rsid w:val="00EE4A58"/>
    <w:rsid w:val="00EE56EE"/>
    <w:rsid w:val="00EE5BF0"/>
    <w:rsid w:val="00EE7C3B"/>
    <w:rsid w:val="00EE7D6B"/>
    <w:rsid w:val="00EF07EE"/>
    <w:rsid w:val="00EF0D86"/>
    <w:rsid w:val="00EF2E3C"/>
    <w:rsid w:val="00EF3EC1"/>
    <w:rsid w:val="00EF41C0"/>
    <w:rsid w:val="00EF60A1"/>
    <w:rsid w:val="00EF6C0F"/>
    <w:rsid w:val="00F01321"/>
    <w:rsid w:val="00F01851"/>
    <w:rsid w:val="00F01A9C"/>
    <w:rsid w:val="00F01EEF"/>
    <w:rsid w:val="00F025B0"/>
    <w:rsid w:val="00F05634"/>
    <w:rsid w:val="00F1794D"/>
    <w:rsid w:val="00F2103A"/>
    <w:rsid w:val="00F23622"/>
    <w:rsid w:val="00F23C22"/>
    <w:rsid w:val="00F23D27"/>
    <w:rsid w:val="00F25D58"/>
    <w:rsid w:val="00F26C51"/>
    <w:rsid w:val="00F308F3"/>
    <w:rsid w:val="00F31A12"/>
    <w:rsid w:val="00F3334C"/>
    <w:rsid w:val="00F339F9"/>
    <w:rsid w:val="00F37796"/>
    <w:rsid w:val="00F45687"/>
    <w:rsid w:val="00F458EF"/>
    <w:rsid w:val="00F51AC6"/>
    <w:rsid w:val="00F52FAB"/>
    <w:rsid w:val="00F53939"/>
    <w:rsid w:val="00F5478A"/>
    <w:rsid w:val="00F62AE9"/>
    <w:rsid w:val="00F65B5D"/>
    <w:rsid w:val="00F71B04"/>
    <w:rsid w:val="00F72129"/>
    <w:rsid w:val="00F72BB8"/>
    <w:rsid w:val="00F72C25"/>
    <w:rsid w:val="00F73749"/>
    <w:rsid w:val="00F73E9A"/>
    <w:rsid w:val="00F764F2"/>
    <w:rsid w:val="00F80C61"/>
    <w:rsid w:val="00F834D3"/>
    <w:rsid w:val="00F84CAB"/>
    <w:rsid w:val="00F87005"/>
    <w:rsid w:val="00F9169C"/>
    <w:rsid w:val="00F9239F"/>
    <w:rsid w:val="00F92DC3"/>
    <w:rsid w:val="00F94C05"/>
    <w:rsid w:val="00F9512B"/>
    <w:rsid w:val="00F9575C"/>
    <w:rsid w:val="00FA157C"/>
    <w:rsid w:val="00FA4911"/>
    <w:rsid w:val="00FA4B23"/>
    <w:rsid w:val="00FB0141"/>
    <w:rsid w:val="00FB22BF"/>
    <w:rsid w:val="00FB2A6D"/>
    <w:rsid w:val="00FB35B4"/>
    <w:rsid w:val="00FB57CD"/>
    <w:rsid w:val="00FB65CC"/>
    <w:rsid w:val="00FC4A44"/>
    <w:rsid w:val="00FC59C4"/>
    <w:rsid w:val="00FC6354"/>
    <w:rsid w:val="00FC70BC"/>
    <w:rsid w:val="00FD1A2C"/>
    <w:rsid w:val="00FD200B"/>
    <w:rsid w:val="00FD2E58"/>
    <w:rsid w:val="00FD514A"/>
    <w:rsid w:val="00FE17D4"/>
    <w:rsid w:val="00FE361C"/>
    <w:rsid w:val="00FE673C"/>
    <w:rsid w:val="00FF1785"/>
    <w:rsid w:val="00FF19BD"/>
    <w:rsid w:val="00FF4E74"/>
    <w:rsid w:val="00FF6079"/>
    <w:rsid w:val="00FF6428"/>
    <w:rsid w:val="00FF74E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FAA"/>
    <w:rPr>
      <w:sz w:val="24"/>
      <w:szCs w:val="24"/>
      <w:lang w:eastAsia="en-US"/>
    </w:rPr>
  </w:style>
  <w:style w:type="paragraph" w:styleId="Heading1">
    <w:name w:val="heading 1"/>
    <w:basedOn w:val="Normal"/>
    <w:next w:val="Normal"/>
    <w:link w:val="Heading1Char"/>
    <w:uiPriority w:val="9"/>
    <w:qFormat/>
    <w:rsid w:val="009D4AC2"/>
    <w:pPr>
      <w:keepNext/>
      <w:keepLines/>
      <w:numPr>
        <w:numId w:val="5"/>
      </w:numPr>
      <w:spacing w:before="480"/>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Heading">
    <w:name w:val="Numbered Heading"/>
    <w:basedOn w:val="Normal"/>
    <w:rsid w:val="00A647AC"/>
    <w:pPr>
      <w:numPr>
        <w:numId w:val="1"/>
      </w:numPr>
    </w:pPr>
    <w:rPr>
      <w:b/>
    </w:rPr>
  </w:style>
  <w:style w:type="paragraph" w:styleId="BalloonText">
    <w:name w:val="Balloon Text"/>
    <w:basedOn w:val="Normal"/>
    <w:semiHidden/>
    <w:rsid w:val="006B54E8"/>
    <w:rPr>
      <w:rFonts w:ascii="Tahoma" w:hAnsi="Tahoma" w:cs="Tahoma"/>
      <w:sz w:val="16"/>
      <w:szCs w:val="16"/>
    </w:rPr>
  </w:style>
  <w:style w:type="table" w:styleId="TableGrid">
    <w:name w:val="Table Grid"/>
    <w:basedOn w:val="TableNormal"/>
    <w:uiPriority w:val="59"/>
    <w:rsid w:val="000D686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EC2985"/>
    <w:pPr>
      <w:spacing w:after="200"/>
    </w:pPr>
    <w:rPr>
      <w:b/>
      <w:bCs/>
      <w:sz w:val="22"/>
      <w:szCs w:val="18"/>
    </w:rPr>
  </w:style>
  <w:style w:type="paragraph" w:styleId="ListParagraph">
    <w:name w:val="List Paragraph"/>
    <w:basedOn w:val="Normal"/>
    <w:uiPriority w:val="34"/>
    <w:qFormat/>
    <w:rsid w:val="00EC2985"/>
    <w:pPr>
      <w:ind w:left="720"/>
      <w:contextualSpacing/>
    </w:pPr>
  </w:style>
  <w:style w:type="character" w:customStyle="1" w:styleId="Heading1Char">
    <w:name w:val="Heading 1 Char"/>
    <w:basedOn w:val="DefaultParagraphFont"/>
    <w:link w:val="Heading1"/>
    <w:uiPriority w:val="9"/>
    <w:rsid w:val="009D4AC2"/>
    <w:rPr>
      <w:rFonts w:eastAsiaTheme="majorEastAsia" w:cstheme="majorBidi"/>
      <w:b/>
      <w:bCs/>
      <w:sz w:val="24"/>
      <w:szCs w:val="28"/>
      <w:lang w:eastAsia="en-US"/>
    </w:rPr>
  </w:style>
  <w:style w:type="paragraph" w:styleId="NormalWeb">
    <w:name w:val="Normal (Web)"/>
    <w:basedOn w:val="Normal"/>
    <w:uiPriority w:val="99"/>
    <w:semiHidden/>
    <w:unhideWhenUsed/>
    <w:rsid w:val="00FC4A44"/>
    <w:pPr>
      <w:spacing w:before="100" w:beforeAutospacing="1" w:after="100" w:afterAutospacing="1"/>
    </w:pPr>
    <w:rPr>
      <w:rFonts w:eastAsiaTheme="minorEastAsia"/>
      <w:lang w:eastAsia="en-GB"/>
    </w:rPr>
  </w:style>
  <w:style w:type="character" w:styleId="Hyperlink">
    <w:name w:val="Hyperlink"/>
    <w:basedOn w:val="DefaultParagraphFont"/>
    <w:uiPriority w:val="99"/>
    <w:semiHidden/>
    <w:unhideWhenUsed/>
    <w:rsid w:val="00FC4A44"/>
    <w:rPr>
      <w:color w:val="0000FF"/>
      <w:u w:val="single"/>
    </w:rPr>
  </w:style>
  <w:style w:type="character" w:styleId="CommentReference">
    <w:name w:val="annotation reference"/>
    <w:basedOn w:val="DefaultParagraphFont"/>
    <w:uiPriority w:val="99"/>
    <w:semiHidden/>
    <w:unhideWhenUsed/>
    <w:rsid w:val="004E3B85"/>
    <w:rPr>
      <w:sz w:val="16"/>
      <w:szCs w:val="16"/>
    </w:rPr>
  </w:style>
  <w:style w:type="paragraph" w:styleId="CommentText">
    <w:name w:val="annotation text"/>
    <w:basedOn w:val="Normal"/>
    <w:link w:val="CommentTextChar"/>
    <w:uiPriority w:val="99"/>
    <w:semiHidden/>
    <w:unhideWhenUsed/>
    <w:rsid w:val="004E3B85"/>
    <w:rPr>
      <w:sz w:val="20"/>
      <w:szCs w:val="20"/>
    </w:rPr>
  </w:style>
  <w:style w:type="character" w:customStyle="1" w:styleId="CommentTextChar">
    <w:name w:val="Comment Text Char"/>
    <w:basedOn w:val="DefaultParagraphFont"/>
    <w:link w:val="CommentText"/>
    <w:uiPriority w:val="99"/>
    <w:semiHidden/>
    <w:rsid w:val="004E3B85"/>
    <w:rPr>
      <w:lang w:eastAsia="en-US"/>
    </w:rPr>
  </w:style>
  <w:style w:type="paragraph" w:styleId="CommentSubject">
    <w:name w:val="annotation subject"/>
    <w:basedOn w:val="CommentText"/>
    <w:next w:val="CommentText"/>
    <w:link w:val="CommentSubjectChar"/>
    <w:uiPriority w:val="99"/>
    <w:semiHidden/>
    <w:unhideWhenUsed/>
    <w:rsid w:val="004E3B85"/>
    <w:rPr>
      <w:b/>
      <w:bCs/>
    </w:rPr>
  </w:style>
  <w:style w:type="character" w:customStyle="1" w:styleId="CommentSubjectChar">
    <w:name w:val="Comment Subject Char"/>
    <w:basedOn w:val="CommentTextChar"/>
    <w:link w:val="CommentSubject"/>
    <w:uiPriority w:val="99"/>
    <w:semiHidden/>
    <w:rsid w:val="004E3B85"/>
    <w:rPr>
      <w:b/>
      <w:bCs/>
    </w:rPr>
  </w:style>
  <w:style w:type="paragraph" w:styleId="Header">
    <w:name w:val="header"/>
    <w:basedOn w:val="Normal"/>
    <w:link w:val="HeaderChar"/>
    <w:uiPriority w:val="99"/>
    <w:unhideWhenUsed/>
    <w:rsid w:val="009B7F1D"/>
    <w:pPr>
      <w:tabs>
        <w:tab w:val="center" w:pos="4513"/>
        <w:tab w:val="right" w:pos="9026"/>
      </w:tabs>
    </w:pPr>
  </w:style>
  <w:style w:type="character" w:customStyle="1" w:styleId="HeaderChar">
    <w:name w:val="Header Char"/>
    <w:basedOn w:val="DefaultParagraphFont"/>
    <w:link w:val="Header"/>
    <w:uiPriority w:val="99"/>
    <w:rsid w:val="009B7F1D"/>
    <w:rPr>
      <w:sz w:val="24"/>
      <w:szCs w:val="24"/>
      <w:lang w:eastAsia="en-US"/>
    </w:rPr>
  </w:style>
  <w:style w:type="paragraph" w:styleId="Footer">
    <w:name w:val="footer"/>
    <w:basedOn w:val="Normal"/>
    <w:link w:val="FooterChar"/>
    <w:uiPriority w:val="99"/>
    <w:semiHidden/>
    <w:unhideWhenUsed/>
    <w:rsid w:val="009B7F1D"/>
    <w:pPr>
      <w:tabs>
        <w:tab w:val="center" w:pos="4513"/>
        <w:tab w:val="right" w:pos="9026"/>
      </w:tabs>
    </w:pPr>
  </w:style>
  <w:style w:type="character" w:customStyle="1" w:styleId="FooterChar">
    <w:name w:val="Footer Char"/>
    <w:basedOn w:val="DefaultParagraphFont"/>
    <w:link w:val="Footer"/>
    <w:uiPriority w:val="99"/>
    <w:semiHidden/>
    <w:rsid w:val="009B7F1D"/>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93593651">
      <w:bodyDiv w:val="1"/>
      <w:marLeft w:val="0"/>
      <w:marRight w:val="0"/>
      <w:marTop w:val="0"/>
      <w:marBottom w:val="0"/>
      <w:divBdr>
        <w:top w:val="none" w:sz="0" w:space="0" w:color="auto"/>
        <w:left w:val="none" w:sz="0" w:space="0" w:color="auto"/>
        <w:bottom w:val="none" w:sz="0" w:space="0" w:color="auto"/>
        <w:right w:val="none" w:sz="0" w:space="0" w:color="auto"/>
      </w:divBdr>
    </w:div>
    <w:div w:id="364136964">
      <w:bodyDiv w:val="1"/>
      <w:marLeft w:val="0"/>
      <w:marRight w:val="0"/>
      <w:marTop w:val="0"/>
      <w:marBottom w:val="0"/>
      <w:divBdr>
        <w:top w:val="none" w:sz="0" w:space="0" w:color="auto"/>
        <w:left w:val="none" w:sz="0" w:space="0" w:color="auto"/>
        <w:bottom w:val="none" w:sz="0" w:space="0" w:color="auto"/>
        <w:right w:val="none" w:sz="0" w:space="0" w:color="auto"/>
      </w:divBdr>
    </w:div>
    <w:div w:id="602685182">
      <w:bodyDiv w:val="1"/>
      <w:marLeft w:val="0"/>
      <w:marRight w:val="0"/>
      <w:marTop w:val="0"/>
      <w:marBottom w:val="0"/>
      <w:divBdr>
        <w:top w:val="none" w:sz="0" w:space="0" w:color="auto"/>
        <w:left w:val="none" w:sz="0" w:space="0" w:color="auto"/>
        <w:bottom w:val="none" w:sz="0" w:space="0" w:color="auto"/>
        <w:right w:val="none" w:sz="0" w:space="0" w:color="auto"/>
      </w:divBdr>
    </w:div>
    <w:div w:id="664550353">
      <w:bodyDiv w:val="1"/>
      <w:marLeft w:val="0"/>
      <w:marRight w:val="0"/>
      <w:marTop w:val="0"/>
      <w:marBottom w:val="0"/>
      <w:divBdr>
        <w:top w:val="none" w:sz="0" w:space="0" w:color="auto"/>
        <w:left w:val="none" w:sz="0" w:space="0" w:color="auto"/>
        <w:bottom w:val="none" w:sz="0" w:space="0" w:color="auto"/>
        <w:right w:val="none" w:sz="0" w:space="0" w:color="auto"/>
      </w:divBdr>
    </w:div>
    <w:div w:id="1176730921">
      <w:bodyDiv w:val="1"/>
      <w:marLeft w:val="0"/>
      <w:marRight w:val="0"/>
      <w:marTop w:val="0"/>
      <w:marBottom w:val="0"/>
      <w:divBdr>
        <w:top w:val="none" w:sz="0" w:space="0" w:color="auto"/>
        <w:left w:val="none" w:sz="0" w:space="0" w:color="auto"/>
        <w:bottom w:val="none" w:sz="0" w:space="0" w:color="auto"/>
        <w:right w:val="none" w:sz="0" w:space="0" w:color="auto"/>
      </w:divBdr>
    </w:div>
    <w:div w:id="1199195277">
      <w:bodyDiv w:val="1"/>
      <w:marLeft w:val="0"/>
      <w:marRight w:val="0"/>
      <w:marTop w:val="0"/>
      <w:marBottom w:val="0"/>
      <w:divBdr>
        <w:top w:val="none" w:sz="0" w:space="0" w:color="auto"/>
        <w:left w:val="none" w:sz="0" w:space="0" w:color="auto"/>
        <w:bottom w:val="none" w:sz="0" w:space="0" w:color="auto"/>
        <w:right w:val="none" w:sz="0" w:space="0" w:color="auto"/>
      </w:divBdr>
    </w:div>
    <w:div w:id="1253201962">
      <w:bodyDiv w:val="1"/>
      <w:marLeft w:val="0"/>
      <w:marRight w:val="0"/>
      <w:marTop w:val="0"/>
      <w:marBottom w:val="0"/>
      <w:divBdr>
        <w:top w:val="none" w:sz="0" w:space="0" w:color="auto"/>
        <w:left w:val="none" w:sz="0" w:space="0" w:color="auto"/>
        <w:bottom w:val="none" w:sz="0" w:space="0" w:color="auto"/>
        <w:right w:val="none" w:sz="0" w:space="0" w:color="auto"/>
      </w:divBdr>
    </w:div>
    <w:div w:id="1371497103">
      <w:bodyDiv w:val="1"/>
      <w:marLeft w:val="0"/>
      <w:marRight w:val="0"/>
      <w:marTop w:val="0"/>
      <w:marBottom w:val="0"/>
      <w:divBdr>
        <w:top w:val="none" w:sz="0" w:space="0" w:color="auto"/>
        <w:left w:val="none" w:sz="0" w:space="0" w:color="auto"/>
        <w:bottom w:val="none" w:sz="0" w:space="0" w:color="auto"/>
        <w:right w:val="none" w:sz="0" w:space="0" w:color="auto"/>
      </w:divBdr>
    </w:div>
    <w:div w:id="1435587450">
      <w:bodyDiv w:val="1"/>
      <w:marLeft w:val="0"/>
      <w:marRight w:val="0"/>
      <w:marTop w:val="0"/>
      <w:marBottom w:val="0"/>
      <w:divBdr>
        <w:top w:val="none" w:sz="0" w:space="0" w:color="auto"/>
        <w:left w:val="none" w:sz="0" w:space="0" w:color="auto"/>
        <w:bottom w:val="none" w:sz="0" w:space="0" w:color="auto"/>
        <w:right w:val="none" w:sz="0" w:space="0" w:color="auto"/>
      </w:divBdr>
    </w:div>
    <w:div w:id="1625502143">
      <w:bodyDiv w:val="1"/>
      <w:marLeft w:val="0"/>
      <w:marRight w:val="0"/>
      <w:marTop w:val="0"/>
      <w:marBottom w:val="0"/>
      <w:divBdr>
        <w:top w:val="none" w:sz="0" w:space="0" w:color="auto"/>
        <w:left w:val="none" w:sz="0" w:space="0" w:color="auto"/>
        <w:bottom w:val="none" w:sz="0" w:space="0" w:color="auto"/>
        <w:right w:val="none" w:sz="0" w:space="0" w:color="auto"/>
      </w:divBdr>
    </w:div>
    <w:div w:id="1689795398">
      <w:bodyDiv w:val="1"/>
      <w:marLeft w:val="0"/>
      <w:marRight w:val="0"/>
      <w:marTop w:val="0"/>
      <w:marBottom w:val="0"/>
      <w:divBdr>
        <w:top w:val="none" w:sz="0" w:space="0" w:color="auto"/>
        <w:left w:val="none" w:sz="0" w:space="0" w:color="auto"/>
        <w:bottom w:val="none" w:sz="0" w:space="0" w:color="auto"/>
        <w:right w:val="none" w:sz="0" w:space="0" w:color="auto"/>
      </w:divBdr>
    </w:div>
    <w:div w:id="1821922670">
      <w:bodyDiv w:val="1"/>
      <w:marLeft w:val="0"/>
      <w:marRight w:val="0"/>
      <w:marTop w:val="0"/>
      <w:marBottom w:val="0"/>
      <w:divBdr>
        <w:top w:val="none" w:sz="0" w:space="0" w:color="auto"/>
        <w:left w:val="none" w:sz="0" w:space="0" w:color="auto"/>
        <w:bottom w:val="none" w:sz="0" w:space="0" w:color="auto"/>
        <w:right w:val="none" w:sz="0" w:space="0" w:color="auto"/>
      </w:divBdr>
    </w:div>
    <w:div w:id="1865556019">
      <w:bodyDiv w:val="1"/>
      <w:marLeft w:val="0"/>
      <w:marRight w:val="0"/>
      <w:marTop w:val="0"/>
      <w:marBottom w:val="0"/>
      <w:divBdr>
        <w:top w:val="none" w:sz="0" w:space="0" w:color="auto"/>
        <w:left w:val="none" w:sz="0" w:space="0" w:color="auto"/>
        <w:bottom w:val="none" w:sz="0" w:space="0" w:color="auto"/>
        <w:right w:val="none" w:sz="0" w:space="0" w:color="auto"/>
      </w:divBdr>
    </w:div>
    <w:div w:id="1922256294">
      <w:bodyDiv w:val="1"/>
      <w:marLeft w:val="0"/>
      <w:marRight w:val="0"/>
      <w:marTop w:val="0"/>
      <w:marBottom w:val="0"/>
      <w:divBdr>
        <w:top w:val="none" w:sz="0" w:space="0" w:color="auto"/>
        <w:left w:val="none" w:sz="0" w:space="0" w:color="auto"/>
        <w:bottom w:val="none" w:sz="0" w:space="0" w:color="auto"/>
        <w:right w:val="none" w:sz="0" w:space="0" w:color="auto"/>
      </w:divBdr>
    </w:div>
    <w:div w:id="19241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stevemelia.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ublicpurpos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ways.org/pdfs/travel_study2005.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oleObject" Target="file:///D:\D_Drive\My%20Documents\Research\Paradox\TRICS%20Projection%20-%20Hous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a:pPr>
            <a:r>
              <a:rPr lang="en-US" sz="1600"/>
              <a:t>Average</a:t>
            </a:r>
            <a:r>
              <a:rPr lang="en-US" sz="1600" baseline="0"/>
              <a:t> VMT and Dwellings/Mile</a:t>
            </a:r>
            <a:r>
              <a:rPr lang="en-US" sz="1600" baseline="30000"/>
              <a:t>2</a:t>
            </a:r>
            <a:r>
              <a:rPr lang="en-US" sz="1600" baseline="0"/>
              <a:t>, California</a:t>
            </a:r>
            <a:endParaRPr lang="en-US" sz="1600"/>
          </a:p>
        </c:rich>
      </c:tx>
      <c:layout/>
    </c:title>
    <c:plotArea>
      <c:layout/>
      <c:barChart>
        <c:barDir val="col"/>
        <c:grouping val="clustered"/>
        <c:ser>
          <c:idx val="0"/>
          <c:order val="0"/>
          <c:tx>
            <c:strRef>
              <c:f>Sheet1!$B$1</c:f>
              <c:strCache>
                <c:ptCount val="1"/>
                <c:pt idx="0">
                  <c:v>Column1</c:v>
                </c:pt>
              </c:strCache>
            </c:strRef>
          </c:tx>
          <c:cat>
            <c:strRef>
              <c:f>Sheet1!$A$2:$A$7</c:f>
              <c:strCache>
                <c:ptCount val="6"/>
                <c:pt idx="0">
                  <c:v>&lt;50</c:v>
                </c:pt>
                <c:pt idx="1">
                  <c:v>50 - 250</c:v>
                </c:pt>
                <c:pt idx="2">
                  <c:v>250 - 1000</c:v>
                </c:pt>
                <c:pt idx="3">
                  <c:v>1000 - 3000</c:v>
                </c:pt>
                <c:pt idx="4">
                  <c:v>3000 - 5000</c:v>
                </c:pt>
                <c:pt idx="5">
                  <c:v>&gt; 5000</c:v>
                </c:pt>
              </c:strCache>
            </c:strRef>
          </c:cat>
          <c:val>
            <c:numRef>
              <c:f>Sheet1!$B$2:$B$7</c:f>
              <c:numCache>
                <c:formatCode>General</c:formatCode>
                <c:ptCount val="6"/>
                <c:pt idx="0">
                  <c:v>27900</c:v>
                </c:pt>
                <c:pt idx="1">
                  <c:v>33200</c:v>
                </c:pt>
                <c:pt idx="2">
                  <c:v>26600</c:v>
                </c:pt>
                <c:pt idx="3">
                  <c:v>29800</c:v>
                </c:pt>
                <c:pt idx="4">
                  <c:v>23900</c:v>
                </c:pt>
                <c:pt idx="5">
                  <c:v>16900</c:v>
                </c:pt>
              </c:numCache>
            </c:numRef>
          </c:val>
        </c:ser>
        <c:axId val="73194112"/>
        <c:axId val="78619008"/>
      </c:barChart>
      <c:catAx>
        <c:axId val="73194112"/>
        <c:scaling>
          <c:orientation val="minMax"/>
        </c:scaling>
        <c:axPos val="b"/>
        <c:tickLblPos val="nextTo"/>
        <c:crossAx val="78619008"/>
        <c:crosses val="autoZero"/>
        <c:auto val="1"/>
        <c:lblAlgn val="ctr"/>
        <c:lblOffset val="100"/>
      </c:catAx>
      <c:valAx>
        <c:axId val="78619008"/>
        <c:scaling>
          <c:orientation val="minMax"/>
        </c:scaling>
        <c:axPos val="l"/>
        <c:majorGridlines/>
        <c:numFmt formatCode="General" sourceLinked="1"/>
        <c:tickLblPos val="nextTo"/>
        <c:crossAx val="73194112"/>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a:pPr>
            <a:r>
              <a:rPr lang="en-US" sz="1400"/>
              <a:t>Population Density &amp; Driving to Work - England</a:t>
            </a:r>
            <a:r>
              <a:rPr lang="en-US" sz="1400" baseline="0"/>
              <a:t> &amp; Wales</a:t>
            </a:r>
            <a:endParaRPr lang="en-US" sz="1400"/>
          </a:p>
        </c:rich>
      </c:tx>
      <c:layout/>
    </c:title>
    <c:plotArea>
      <c:layout/>
      <c:barChart>
        <c:barDir val="col"/>
        <c:grouping val="clustered"/>
        <c:ser>
          <c:idx val="0"/>
          <c:order val="0"/>
          <c:tx>
            <c:strRef>
              <c:f>Sheet1!$B$1</c:f>
              <c:strCache>
                <c:ptCount val="1"/>
                <c:pt idx="0">
                  <c:v>Column1</c:v>
                </c:pt>
              </c:strCache>
            </c:strRef>
          </c:tx>
          <c:cat>
            <c:strRef>
              <c:f>Sheet1!$A$2:$A$7</c:f>
              <c:strCache>
                <c:ptCount val="6"/>
                <c:pt idx="0">
                  <c:v>&lt;100</c:v>
                </c:pt>
                <c:pt idx="1">
                  <c:v>100 - 500</c:v>
                </c:pt>
                <c:pt idx="2">
                  <c:v>500 - 2000</c:v>
                </c:pt>
                <c:pt idx="3">
                  <c:v>2000 - 6000</c:v>
                </c:pt>
                <c:pt idx="4">
                  <c:v>6000 - 10000</c:v>
                </c:pt>
                <c:pt idx="5">
                  <c:v>&gt; 10000</c:v>
                </c:pt>
              </c:strCache>
            </c:strRef>
          </c:cat>
          <c:val>
            <c:numRef>
              <c:f>Sheet1!$B$2:$B$7</c:f>
              <c:numCache>
                <c:formatCode>General</c:formatCode>
                <c:ptCount val="6"/>
                <c:pt idx="0">
                  <c:v>59.480181818181812</c:v>
                </c:pt>
                <c:pt idx="1">
                  <c:v>64.411859807801036</c:v>
                </c:pt>
                <c:pt idx="2">
                  <c:v>62.735145228216012</c:v>
                </c:pt>
                <c:pt idx="3">
                  <c:v>58.983246445496768</c:v>
                </c:pt>
                <c:pt idx="4">
                  <c:v>55.459658703071604</c:v>
                </c:pt>
                <c:pt idx="5">
                  <c:v>45.459483747609944</c:v>
                </c:pt>
              </c:numCache>
            </c:numRef>
          </c:val>
        </c:ser>
        <c:axId val="79389824"/>
        <c:axId val="79399168"/>
      </c:barChart>
      <c:catAx>
        <c:axId val="79389824"/>
        <c:scaling>
          <c:orientation val="minMax"/>
        </c:scaling>
        <c:axPos val="b"/>
        <c:tickLblPos val="nextTo"/>
        <c:crossAx val="79399168"/>
        <c:crosses val="autoZero"/>
        <c:auto val="1"/>
        <c:lblAlgn val="ctr"/>
        <c:lblOffset val="100"/>
      </c:catAx>
      <c:valAx>
        <c:axId val="79399168"/>
        <c:scaling>
          <c:orientation val="minMax"/>
        </c:scaling>
        <c:axPos val="l"/>
        <c:majorGridlines/>
        <c:numFmt formatCode="General" sourceLinked="1"/>
        <c:tickLblPos val="nextTo"/>
        <c:crossAx val="79389824"/>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a:pPr>
            <a:r>
              <a:rPr lang="en-GB"/>
              <a:t>Average</a:t>
            </a:r>
            <a:r>
              <a:rPr lang="en-GB" baseline="0"/>
              <a:t> Daily Vehicle Movement Rates of New Private Developments</a:t>
            </a:r>
            <a:endParaRPr lang="en-GB"/>
          </a:p>
        </c:rich>
      </c:tx>
      <c:layout/>
    </c:title>
    <c:plotArea>
      <c:layout/>
      <c:barChart>
        <c:barDir val="col"/>
        <c:grouping val="clustered"/>
        <c:ser>
          <c:idx val="0"/>
          <c:order val="0"/>
          <c:tx>
            <c:strRef>
              <c:f>Sheet1!$B$3</c:f>
              <c:strCache>
                <c:ptCount val="1"/>
                <c:pt idx="0">
                  <c:v>trip rate</c:v>
                </c:pt>
              </c:strCache>
            </c:strRef>
          </c:tx>
          <c:cat>
            <c:strRef>
              <c:f>Sheet1!$A$4:$A$9</c:f>
              <c:strCache>
                <c:ptCount val="6"/>
                <c:pt idx="0">
                  <c:v>&lt; 20</c:v>
                </c:pt>
                <c:pt idx="1">
                  <c:v>20 - 30</c:v>
                </c:pt>
                <c:pt idx="2">
                  <c:v>30 - 40</c:v>
                </c:pt>
                <c:pt idx="3">
                  <c:v>40 - 50</c:v>
                </c:pt>
                <c:pt idx="4">
                  <c:v>Houses &gt;50</c:v>
                </c:pt>
                <c:pt idx="5">
                  <c:v>Flats &gt; 50</c:v>
                </c:pt>
              </c:strCache>
            </c:strRef>
          </c:cat>
          <c:val>
            <c:numRef>
              <c:f>Sheet1!$B$4:$B$9</c:f>
              <c:numCache>
                <c:formatCode>General</c:formatCode>
                <c:ptCount val="6"/>
                <c:pt idx="0">
                  <c:v>6.6839999999999975</c:v>
                </c:pt>
                <c:pt idx="1">
                  <c:v>5.6689999999999845</c:v>
                </c:pt>
                <c:pt idx="2">
                  <c:v>5.1760000000000002</c:v>
                </c:pt>
                <c:pt idx="3">
                  <c:v>4.1909999999999945</c:v>
                </c:pt>
                <c:pt idx="4">
                  <c:v>4.6959999999999855</c:v>
                </c:pt>
                <c:pt idx="5">
                  <c:v>1.9600000000000062</c:v>
                </c:pt>
              </c:numCache>
            </c:numRef>
          </c:val>
        </c:ser>
        <c:axId val="79501952"/>
        <c:axId val="79508224"/>
      </c:barChart>
      <c:catAx>
        <c:axId val="79501952"/>
        <c:scaling>
          <c:orientation val="minMax"/>
        </c:scaling>
        <c:axPos val="b"/>
        <c:title>
          <c:tx>
            <c:rich>
              <a:bodyPr/>
              <a:lstStyle/>
              <a:p>
                <a:pPr>
                  <a:defRPr/>
                </a:pPr>
                <a:r>
                  <a:rPr lang="en-GB"/>
                  <a:t>      Dwellings per hectare</a:t>
                </a:r>
              </a:p>
            </c:rich>
          </c:tx>
          <c:layout/>
        </c:title>
        <c:tickLblPos val="nextTo"/>
        <c:txPr>
          <a:bodyPr/>
          <a:lstStyle/>
          <a:p>
            <a:pPr>
              <a:defRPr sz="1100" b="1"/>
            </a:pPr>
            <a:endParaRPr lang="en-US"/>
          </a:p>
        </c:txPr>
        <c:crossAx val="79508224"/>
        <c:crosses val="autoZero"/>
        <c:auto val="1"/>
        <c:lblAlgn val="ctr"/>
        <c:lblOffset val="100"/>
      </c:catAx>
      <c:valAx>
        <c:axId val="79508224"/>
        <c:scaling>
          <c:orientation val="minMax"/>
        </c:scaling>
        <c:axPos val="l"/>
        <c:majorGridlines/>
        <c:numFmt formatCode="General" sourceLinked="1"/>
        <c:tickLblPos val="nextTo"/>
        <c:txPr>
          <a:bodyPr/>
          <a:lstStyle/>
          <a:p>
            <a:pPr>
              <a:defRPr sz="1100" b="1"/>
            </a:pPr>
            <a:endParaRPr lang="en-US"/>
          </a:p>
        </c:txPr>
        <c:crossAx val="79501952"/>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4C562-DB83-4464-A967-FDB3466D2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6954</Words>
  <Characters>42938</Characters>
  <Application>Microsoft Office Word</Application>
  <DocSecurity>0</DocSecurity>
  <Lines>357</Lines>
  <Paragraphs>99</Paragraphs>
  <ScaleCrop>false</ScaleCrop>
  <HeadingPairs>
    <vt:vector size="2" baseType="variant">
      <vt:variant>
        <vt:lpstr>Title</vt:lpstr>
      </vt:variant>
      <vt:variant>
        <vt:i4>1</vt:i4>
      </vt:variant>
    </vt:vector>
  </HeadingPairs>
  <TitlesOfParts>
    <vt:vector size="1" baseType="lpstr">
      <vt:lpstr>-</vt:lpstr>
    </vt:vector>
  </TitlesOfParts>
  <Company>University of West of England</Company>
  <LinksUpToDate>false</LinksUpToDate>
  <CharactersWithSpaces>49793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Steve Melia</dc:creator>
  <cp:keywords/>
  <dc:description/>
  <cp:lastModifiedBy>Julie Triggle</cp:lastModifiedBy>
  <cp:revision>3</cp:revision>
  <cp:lastPrinted>2010-08-26T09:08:00Z</cp:lastPrinted>
  <dcterms:created xsi:type="dcterms:W3CDTF">2010-08-23T12:28:00Z</dcterms:created>
  <dcterms:modified xsi:type="dcterms:W3CDTF">2010-08-26T09:09:00Z</dcterms:modified>
</cp:coreProperties>
</file>