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6E97F" w14:textId="39783DA5" w:rsidR="00495CE2" w:rsidRPr="00AB5AFF" w:rsidRDefault="00495CE2" w:rsidP="00174DA6">
      <w:pPr>
        <w:jc w:val="both"/>
        <w:rPr>
          <w:rFonts w:ascii="Times New Roman" w:hAnsi="Times New Roman" w:cs="Times New Roman"/>
          <w:sz w:val="24"/>
          <w:szCs w:val="24"/>
        </w:rPr>
      </w:pPr>
    </w:p>
    <w:p w14:paraId="54E1B596" w14:textId="720022BE" w:rsidR="00495CE2" w:rsidRPr="00AB5AFF" w:rsidRDefault="00495CE2" w:rsidP="00174DA6">
      <w:pPr>
        <w:jc w:val="both"/>
        <w:rPr>
          <w:rFonts w:ascii="Times New Roman" w:hAnsi="Times New Roman" w:cs="Times New Roman"/>
          <w:sz w:val="24"/>
          <w:szCs w:val="24"/>
        </w:rPr>
      </w:pPr>
    </w:p>
    <w:p w14:paraId="0A41B868" w14:textId="164C181E" w:rsidR="00495CE2" w:rsidRPr="00AB5AFF" w:rsidRDefault="00495CE2" w:rsidP="00174DA6">
      <w:pPr>
        <w:jc w:val="both"/>
        <w:rPr>
          <w:rFonts w:ascii="Times New Roman" w:hAnsi="Times New Roman" w:cs="Times New Roman"/>
          <w:sz w:val="24"/>
          <w:szCs w:val="24"/>
        </w:rPr>
      </w:pPr>
    </w:p>
    <w:p w14:paraId="0046026E" w14:textId="18D7ED09" w:rsidR="00495CE2" w:rsidRPr="00AB5AFF" w:rsidRDefault="00495CE2" w:rsidP="00174DA6">
      <w:pPr>
        <w:jc w:val="both"/>
        <w:rPr>
          <w:rFonts w:ascii="Times New Roman" w:hAnsi="Times New Roman" w:cs="Times New Roman"/>
          <w:sz w:val="24"/>
          <w:szCs w:val="24"/>
        </w:rPr>
      </w:pPr>
    </w:p>
    <w:p w14:paraId="2EAD3928" w14:textId="46766EEE" w:rsidR="00495CE2" w:rsidRPr="00AB5AFF" w:rsidRDefault="00495CE2" w:rsidP="00174DA6">
      <w:pPr>
        <w:jc w:val="both"/>
        <w:rPr>
          <w:rFonts w:ascii="Times New Roman" w:hAnsi="Times New Roman" w:cs="Times New Roman"/>
          <w:sz w:val="24"/>
          <w:szCs w:val="24"/>
        </w:rPr>
      </w:pPr>
    </w:p>
    <w:p w14:paraId="488A83BE" w14:textId="04ECDD5A" w:rsidR="00495CE2" w:rsidRPr="00AB5AFF" w:rsidRDefault="00495CE2" w:rsidP="00174DA6">
      <w:pPr>
        <w:jc w:val="both"/>
        <w:rPr>
          <w:rFonts w:ascii="Times New Roman" w:hAnsi="Times New Roman" w:cs="Times New Roman"/>
          <w:sz w:val="24"/>
          <w:szCs w:val="24"/>
        </w:rPr>
      </w:pPr>
    </w:p>
    <w:p w14:paraId="0DF48A8F" w14:textId="797440A6" w:rsidR="00495CE2" w:rsidRPr="00AB5AFF" w:rsidRDefault="00495CE2" w:rsidP="00174DA6">
      <w:pPr>
        <w:jc w:val="both"/>
        <w:rPr>
          <w:rFonts w:ascii="Times New Roman" w:hAnsi="Times New Roman" w:cs="Times New Roman"/>
          <w:sz w:val="24"/>
          <w:szCs w:val="24"/>
        </w:rPr>
      </w:pPr>
    </w:p>
    <w:p w14:paraId="7BE1230D" w14:textId="070AA894" w:rsidR="00495CE2" w:rsidRPr="00AB5AFF" w:rsidRDefault="00495CE2" w:rsidP="00174DA6">
      <w:pPr>
        <w:jc w:val="both"/>
        <w:rPr>
          <w:rFonts w:ascii="Times New Roman" w:hAnsi="Times New Roman" w:cs="Times New Roman"/>
          <w:sz w:val="24"/>
          <w:szCs w:val="24"/>
        </w:rPr>
      </w:pPr>
    </w:p>
    <w:p w14:paraId="3EF1FD2C" w14:textId="648A5ECB" w:rsidR="00495CE2" w:rsidRPr="00AB5AFF" w:rsidRDefault="00495CE2" w:rsidP="00174DA6">
      <w:pPr>
        <w:jc w:val="both"/>
        <w:rPr>
          <w:rFonts w:ascii="Times New Roman" w:hAnsi="Times New Roman" w:cs="Times New Roman"/>
          <w:sz w:val="24"/>
          <w:szCs w:val="24"/>
        </w:rPr>
      </w:pPr>
    </w:p>
    <w:p w14:paraId="2B637B79" w14:textId="77777777" w:rsidR="00495CE2" w:rsidRPr="00AB5AFF" w:rsidRDefault="00495CE2" w:rsidP="00174DA6">
      <w:pPr>
        <w:jc w:val="both"/>
        <w:rPr>
          <w:rFonts w:ascii="Times New Roman" w:hAnsi="Times New Roman" w:cs="Times New Roman"/>
          <w:sz w:val="24"/>
          <w:szCs w:val="24"/>
        </w:rPr>
      </w:pPr>
    </w:p>
    <w:p w14:paraId="3791F9E4" w14:textId="0A70596D" w:rsidR="00495CE2" w:rsidRPr="00486B87" w:rsidRDefault="00A35F19" w:rsidP="006C251E">
      <w:pPr>
        <w:jc w:val="both"/>
        <w:outlineLvl w:val="0"/>
        <w:rPr>
          <w:rFonts w:ascii="Times New Roman" w:hAnsi="Times New Roman" w:cs="Times New Roman"/>
          <w:b/>
          <w:sz w:val="40"/>
          <w:szCs w:val="40"/>
        </w:rPr>
      </w:pPr>
      <w:r w:rsidRPr="00486B87">
        <w:rPr>
          <w:rFonts w:ascii="Times New Roman" w:hAnsi="Times New Roman" w:cs="Times New Roman"/>
          <w:b/>
          <w:sz w:val="40"/>
          <w:szCs w:val="40"/>
        </w:rPr>
        <w:t>Bermuda’s Domestic Partnership Act 201</w:t>
      </w:r>
      <w:r w:rsidR="00101D0C" w:rsidRPr="00486B87">
        <w:rPr>
          <w:rFonts w:ascii="Times New Roman" w:hAnsi="Times New Roman" w:cs="Times New Roman"/>
          <w:b/>
          <w:sz w:val="40"/>
          <w:szCs w:val="40"/>
        </w:rPr>
        <w:t>8</w:t>
      </w:r>
      <w:r w:rsidR="0097731E" w:rsidRPr="00486B87">
        <w:rPr>
          <w:rFonts w:ascii="Times New Roman" w:hAnsi="Times New Roman" w:cs="Times New Roman"/>
          <w:b/>
          <w:sz w:val="40"/>
          <w:szCs w:val="40"/>
        </w:rPr>
        <w:t>:</w:t>
      </w:r>
    </w:p>
    <w:p w14:paraId="4C91723A" w14:textId="11819A82" w:rsidR="00A35F19" w:rsidRPr="00486B87" w:rsidRDefault="00A35F19" w:rsidP="006C251E">
      <w:pPr>
        <w:jc w:val="both"/>
        <w:outlineLvl w:val="0"/>
        <w:rPr>
          <w:rFonts w:ascii="Times New Roman" w:hAnsi="Times New Roman" w:cs="Times New Roman"/>
          <w:b/>
          <w:sz w:val="36"/>
          <w:szCs w:val="36"/>
        </w:rPr>
      </w:pPr>
      <w:proofErr w:type="gramStart"/>
      <w:r w:rsidRPr="00486B87">
        <w:rPr>
          <w:rFonts w:ascii="Times New Roman" w:hAnsi="Times New Roman" w:cs="Times New Roman"/>
          <w:b/>
          <w:sz w:val="36"/>
          <w:szCs w:val="36"/>
        </w:rPr>
        <w:t xml:space="preserve">From “living tree” to </w:t>
      </w:r>
      <w:proofErr w:type="spellStart"/>
      <w:r w:rsidRPr="00486B87">
        <w:rPr>
          <w:rFonts w:ascii="Times New Roman" w:hAnsi="Times New Roman" w:cs="Times New Roman"/>
          <w:b/>
          <w:sz w:val="36"/>
          <w:szCs w:val="36"/>
        </w:rPr>
        <w:t>broken</w:t>
      </w:r>
      <w:proofErr w:type="spellEnd"/>
      <w:r w:rsidRPr="00486B87">
        <w:rPr>
          <w:rFonts w:ascii="Times New Roman" w:hAnsi="Times New Roman" w:cs="Times New Roman"/>
          <w:b/>
          <w:sz w:val="36"/>
          <w:szCs w:val="36"/>
        </w:rPr>
        <w:t xml:space="preserve"> branches?</w:t>
      </w:r>
      <w:proofErr w:type="gramEnd"/>
    </w:p>
    <w:p w14:paraId="2FE4B58F" w14:textId="110EE773" w:rsidR="00495CE2" w:rsidRPr="00486B87" w:rsidRDefault="003F7604" w:rsidP="006C251E">
      <w:pPr>
        <w:jc w:val="both"/>
        <w:outlineLvl w:val="0"/>
        <w:rPr>
          <w:rFonts w:ascii="Times New Roman" w:hAnsi="Times New Roman" w:cs="Times New Roman"/>
          <w:sz w:val="24"/>
          <w:szCs w:val="24"/>
        </w:rPr>
      </w:pPr>
      <w:r w:rsidRPr="00486B87">
        <w:rPr>
          <w:rFonts w:ascii="Times New Roman" w:hAnsi="Times New Roman" w:cs="Times New Roman"/>
          <w:sz w:val="24"/>
          <w:szCs w:val="24"/>
        </w:rPr>
        <w:t>Marc Johnson</w:t>
      </w:r>
      <w:r w:rsidRPr="00486B87">
        <w:rPr>
          <w:rStyle w:val="FootnoteReference"/>
          <w:rFonts w:ascii="Times New Roman" w:hAnsi="Times New Roman" w:cs="Times New Roman"/>
          <w:sz w:val="24"/>
          <w:szCs w:val="24"/>
        </w:rPr>
        <w:footnoteReference w:id="1"/>
      </w:r>
    </w:p>
    <w:p w14:paraId="57701089" w14:textId="01373A14" w:rsidR="00174DA6" w:rsidRPr="00486B87" w:rsidRDefault="00174DA6" w:rsidP="00174DA6">
      <w:pPr>
        <w:jc w:val="both"/>
        <w:rPr>
          <w:rFonts w:ascii="Times New Roman" w:hAnsi="Times New Roman" w:cs="Times New Roman"/>
          <w:sz w:val="24"/>
          <w:szCs w:val="24"/>
          <w:u w:val="single"/>
        </w:rPr>
      </w:pPr>
    </w:p>
    <w:p w14:paraId="359BD60B" w14:textId="77777777" w:rsidR="00D519A0" w:rsidRDefault="00D519A0" w:rsidP="006C251E">
      <w:pPr>
        <w:spacing w:line="480" w:lineRule="auto"/>
        <w:jc w:val="both"/>
        <w:outlineLvl w:val="0"/>
        <w:rPr>
          <w:rFonts w:ascii="Times New Roman" w:hAnsi="Times New Roman" w:cs="Times New Roman"/>
          <w:sz w:val="24"/>
          <w:szCs w:val="24"/>
          <w:u w:val="single"/>
        </w:rPr>
      </w:pPr>
    </w:p>
    <w:p w14:paraId="159AA24C" w14:textId="32139DDC" w:rsidR="00AA6CEF" w:rsidRPr="00486B87" w:rsidRDefault="00AA6CEF" w:rsidP="006C251E">
      <w:pPr>
        <w:spacing w:line="480" w:lineRule="auto"/>
        <w:jc w:val="both"/>
        <w:outlineLvl w:val="0"/>
        <w:rPr>
          <w:rFonts w:ascii="Times New Roman" w:hAnsi="Times New Roman" w:cs="Times New Roman"/>
          <w:sz w:val="24"/>
          <w:szCs w:val="24"/>
          <w:u w:val="single"/>
        </w:rPr>
      </w:pPr>
      <w:r w:rsidRPr="00486B87">
        <w:rPr>
          <w:rFonts w:ascii="Times New Roman" w:hAnsi="Times New Roman" w:cs="Times New Roman"/>
          <w:sz w:val="24"/>
          <w:szCs w:val="24"/>
          <w:u w:val="single"/>
        </w:rPr>
        <w:t>Abstract</w:t>
      </w:r>
    </w:p>
    <w:p w14:paraId="03C4F01A" w14:textId="4FC803F6" w:rsidR="00AA6CEF" w:rsidRPr="00486B87" w:rsidRDefault="00455441" w:rsidP="00174DA6">
      <w:pPr>
        <w:spacing w:line="480" w:lineRule="auto"/>
        <w:jc w:val="both"/>
        <w:rPr>
          <w:rFonts w:ascii="Times New Roman" w:hAnsi="Times New Roman" w:cs="Times New Roman"/>
          <w:i/>
          <w:sz w:val="24"/>
          <w:szCs w:val="24"/>
        </w:rPr>
      </w:pPr>
      <w:r w:rsidRPr="00486B87">
        <w:rPr>
          <w:rFonts w:ascii="Times New Roman" w:hAnsi="Times New Roman" w:cs="Times New Roman"/>
          <w:i/>
          <w:sz w:val="24"/>
          <w:szCs w:val="24"/>
        </w:rPr>
        <w:t>It is often thought that a</w:t>
      </w:r>
      <w:r w:rsidR="00B37845" w:rsidRPr="00486B87">
        <w:rPr>
          <w:rFonts w:ascii="Times New Roman" w:hAnsi="Times New Roman" w:cs="Times New Roman"/>
          <w:i/>
          <w:sz w:val="24"/>
          <w:szCs w:val="24"/>
        </w:rPr>
        <w:t>ffording rights is a progressive</w:t>
      </w:r>
      <w:r w:rsidRPr="00486B87">
        <w:rPr>
          <w:rFonts w:ascii="Times New Roman" w:hAnsi="Times New Roman" w:cs="Times New Roman"/>
          <w:i/>
          <w:sz w:val="24"/>
          <w:szCs w:val="24"/>
        </w:rPr>
        <w:t xml:space="preserve"> movement; rights are given to natural legal persons; the rights are norm</w:t>
      </w:r>
      <w:bookmarkStart w:id="0" w:name="_GoBack"/>
      <w:bookmarkEnd w:id="0"/>
      <w:r w:rsidRPr="00486B87">
        <w:rPr>
          <w:rFonts w:ascii="Times New Roman" w:hAnsi="Times New Roman" w:cs="Times New Roman"/>
          <w:i/>
          <w:sz w:val="24"/>
          <w:szCs w:val="24"/>
        </w:rPr>
        <w:t>alised in societal expectations and they form part of a body of enforceable rights against the state. On the 7</w:t>
      </w:r>
      <w:r w:rsidR="00A91B7E" w:rsidRPr="00A553D0">
        <w:rPr>
          <w:rFonts w:ascii="Times New Roman" w:hAnsi="Times New Roman" w:cs="Times New Roman"/>
          <w:i/>
          <w:sz w:val="24"/>
          <w:szCs w:val="24"/>
          <w:vertAlign w:val="superscript"/>
        </w:rPr>
        <w:t>th</w:t>
      </w:r>
      <w:r w:rsidRPr="00486B87">
        <w:rPr>
          <w:rFonts w:ascii="Times New Roman" w:hAnsi="Times New Roman" w:cs="Times New Roman"/>
          <w:i/>
          <w:sz w:val="24"/>
          <w:szCs w:val="24"/>
        </w:rPr>
        <w:t xml:space="preserve"> February 2018, Bermuda became the first state in modern history to withdraw the right of same-sex couples to marry, bucking the trend of progressively affording rights.</w:t>
      </w:r>
      <w:r w:rsidR="00CF62B9" w:rsidRPr="00486B87">
        <w:rPr>
          <w:rFonts w:ascii="Times New Roman" w:hAnsi="Times New Roman" w:cs="Times New Roman"/>
          <w:i/>
          <w:sz w:val="24"/>
          <w:szCs w:val="24"/>
        </w:rPr>
        <w:t xml:space="preserve"> In a recent judgment, the Bermudian Supreme Court has ruled that taking away the right of same-sex couples to marry is unconstitutional.</w:t>
      </w:r>
      <w:r w:rsidRPr="00486B87">
        <w:rPr>
          <w:rFonts w:ascii="Times New Roman" w:hAnsi="Times New Roman" w:cs="Times New Roman"/>
          <w:i/>
          <w:sz w:val="24"/>
          <w:szCs w:val="24"/>
        </w:rPr>
        <w:t xml:space="preserve"> This article will briefly consider the development of the right of same-sex couples to marry in Bermuda, the connection between Bermudian human rights law and the European Convention on Human </w:t>
      </w:r>
      <w:r w:rsidR="00CF62B9" w:rsidRPr="00486B87">
        <w:rPr>
          <w:rFonts w:ascii="Times New Roman" w:hAnsi="Times New Roman" w:cs="Times New Roman"/>
          <w:i/>
          <w:sz w:val="24"/>
          <w:szCs w:val="24"/>
        </w:rPr>
        <w:t>Rights and</w:t>
      </w:r>
      <w:r w:rsidRPr="00486B87">
        <w:rPr>
          <w:rFonts w:ascii="Times New Roman" w:hAnsi="Times New Roman" w:cs="Times New Roman"/>
          <w:i/>
          <w:sz w:val="24"/>
          <w:szCs w:val="24"/>
        </w:rPr>
        <w:t xml:space="preserve"> ask whether rights afforded under a constitutional arrangement can be taken away. </w:t>
      </w:r>
    </w:p>
    <w:p w14:paraId="7A15DAA1" w14:textId="77777777" w:rsidR="00455441" w:rsidRPr="00486B87" w:rsidRDefault="00455441" w:rsidP="00174DA6">
      <w:pPr>
        <w:spacing w:line="480" w:lineRule="auto"/>
        <w:jc w:val="both"/>
        <w:rPr>
          <w:rFonts w:ascii="Times New Roman" w:hAnsi="Times New Roman" w:cs="Times New Roman"/>
          <w:sz w:val="24"/>
          <w:szCs w:val="24"/>
          <w:u w:val="single"/>
        </w:rPr>
      </w:pPr>
    </w:p>
    <w:p w14:paraId="0A0F8AA4" w14:textId="657DC3DB" w:rsidR="00495CE2" w:rsidRPr="00486B87" w:rsidRDefault="00495CE2" w:rsidP="006C251E">
      <w:pPr>
        <w:spacing w:line="480" w:lineRule="auto"/>
        <w:jc w:val="both"/>
        <w:outlineLvl w:val="0"/>
        <w:rPr>
          <w:rFonts w:ascii="Times New Roman" w:hAnsi="Times New Roman" w:cs="Times New Roman"/>
          <w:sz w:val="24"/>
          <w:szCs w:val="24"/>
          <w:u w:val="single"/>
        </w:rPr>
      </w:pPr>
      <w:r w:rsidRPr="00486B87">
        <w:rPr>
          <w:rFonts w:ascii="Times New Roman" w:hAnsi="Times New Roman" w:cs="Times New Roman"/>
          <w:sz w:val="24"/>
          <w:szCs w:val="24"/>
          <w:u w:val="single"/>
        </w:rPr>
        <w:t>Keywords</w:t>
      </w:r>
      <w:r w:rsidR="00174DA6" w:rsidRPr="00486B87">
        <w:rPr>
          <w:rFonts w:ascii="Times New Roman" w:hAnsi="Times New Roman" w:cs="Times New Roman"/>
          <w:sz w:val="24"/>
          <w:szCs w:val="24"/>
          <w:u w:val="single"/>
        </w:rPr>
        <w:t xml:space="preserve"> (if required)</w:t>
      </w:r>
    </w:p>
    <w:p w14:paraId="57BAD862" w14:textId="4B58F28A" w:rsidR="00495CE2" w:rsidRPr="00486B87" w:rsidRDefault="00D843EC" w:rsidP="006C251E">
      <w:pPr>
        <w:spacing w:line="480" w:lineRule="auto"/>
        <w:jc w:val="both"/>
        <w:outlineLvl w:val="0"/>
        <w:rPr>
          <w:rFonts w:ascii="Times New Roman" w:hAnsi="Times New Roman" w:cs="Times New Roman"/>
          <w:sz w:val="24"/>
          <w:szCs w:val="24"/>
        </w:rPr>
      </w:pPr>
      <w:r w:rsidRPr="00486B87">
        <w:rPr>
          <w:rFonts w:ascii="Times New Roman" w:hAnsi="Times New Roman" w:cs="Times New Roman"/>
          <w:sz w:val="24"/>
          <w:szCs w:val="24"/>
        </w:rPr>
        <w:t xml:space="preserve">Same-sex Marriage, Constitutional Law, Bermuda, </w:t>
      </w:r>
      <w:r w:rsidR="00174DA6" w:rsidRPr="00486B87">
        <w:rPr>
          <w:rFonts w:ascii="Times New Roman" w:hAnsi="Times New Roman" w:cs="Times New Roman"/>
          <w:sz w:val="24"/>
          <w:szCs w:val="24"/>
        </w:rPr>
        <w:t>Living Tree</w:t>
      </w:r>
    </w:p>
    <w:p w14:paraId="1C1C91E2" w14:textId="77777777" w:rsidR="00455441" w:rsidRPr="00486B87" w:rsidRDefault="00455441" w:rsidP="00174DA6">
      <w:pPr>
        <w:spacing w:line="480" w:lineRule="auto"/>
        <w:jc w:val="both"/>
        <w:rPr>
          <w:rFonts w:ascii="Times New Roman" w:hAnsi="Times New Roman" w:cs="Times New Roman"/>
          <w:sz w:val="24"/>
          <w:szCs w:val="24"/>
          <w:u w:val="single"/>
        </w:rPr>
      </w:pPr>
    </w:p>
    <w:p w14:paraId="39A2D588" w14:textId="3371497A" w:rsidR="00FA3983" w:rsidRPr="00486B87" w:rsidRDefault="00FA3983" w:rsidP="006C251E">
      <w:pPr>
        <w:spacing w:line="480" w:lineRule="auto"/>
        <w:jc w:val="both"/>
        <w:outlineLvl w:val="0"/>
        <w:rPr>
          <w:rFonts w:ascii="Times New Roman" w:hAnsi="Times New Roman" w:cs="Times New Roman"/>
          <w:sz w:val="24"/>
          <w:szCs w:val="24"/>
          <w:u w:val="single"/>
        </w:rPr>
      </w:pPr>
      <w:r w:rsidRPr="00486B87">
        <w:rPr>
          <w:rFonts w:ascii="Times New Roman" w:hAnsi="Times New Roman" w:cs="Times New Roman"/>
          <w:sz w:val="24"/>
          <w:szCs w:val="24"/>
          <w:u w:val="single"/>
        </w:rPr>
        <w:t>Introduction</w:t>
      </w:r>
    </w:p>
    <w:p w14:paraId="1E052B11" w14:textId="04932527" w:rsidR="00A76412" w:rsidRDefault="005A3AC1" w:rsidP="00174DA6">
      <w:pPr>
        <w:spacing w:line="480" w:lineRule="auto"/>
        <w:jc w:val="both"/>
        <w:rPr>
          <w:rFonts w:ascii="Times New Roman" w:eastAsia="Times New Roman" w:hAnsi="Times New Roman" w:cs="Times New Roman"/>
          <w:sz w:val="24"/>
          <w:szCs w:val="24"/>
        </w:rPr>
      </w:pPr>
      <w:r w:rsidRPr="00486B87">
        <w:rPr>
          <w:rFonts w:ascii="Times New Roman" w:hAnsi="Times New Roman" w:cs="Times New Roman"/>
          <w:sz w:val="24"/>
          <w:szCs w:val="24"/>
        </w:rPr>
        <w:t>On the 7</w:t>
      </w:r>
      <w:r w:rsidRPr="00486B87">
        <w:rPr>
          <w:rFonts w:ascii="Times New Roman" w:hAnsi="Times New Roman" w:cs="Times New Roman"/>
          <w:sz w:val="24"/>
          <w:szCs w:val="24"/>
          <w:vertAlign w:val="superscript"/>
        </w:rPr>
        <w:t>th</w:t>
      </w:r>
      <w:r w:rsidRPr="00486B87">
        <w:rPr>
          <w:rFonts w:ascii="Times New Roman" w:hAnsi="Times New Roman" w:cs="Times New Roman"/>
          <w:sz w:val="24"/>
          <w:szCs w:val="24"/>
        </w:rPr>
        <w:t xml:space="preserve"> February 2018, Bermuda’s Governor approved </w:t>
      </w:r>
      <w:r w:rsidR="00224434" w:rsidRPr="00486B87">
        <w:rPr>
          <w:rFonts w:ascii="Times New Roman" w:hAnsi="Times New Roman" w:cs="Times New Roman"/>
          <w:sz w:val="24"/>
          <w:szCs w:val="24"/>
        </w:rPr>
        <w:t>The Domestic Partnership Act</w:t>
      </w:r>
      <w:r w:rsidRPr="00486B87">
        <w:rPr>
          <w:rFonts w:ascii="Times New Roman" w:hAnsi="Times New Roman" w:cs="Times New Roman"/>
          <w:sz w:val="24"/>
          <w:szCs w:val="24"/>
        </w:rPr>
        <w:t xml:space="preserve"> </w:t>
      </w:r>
      <w:r w:rsidR="00C41227" w:rsidRPr="00486B87">
        <w:rPr>
          <w:rFonts w:ascii="Times New Roman" w:hAnsi="Times New Roman" w:cs="Times New Roman"/>
          <w:sz w:val="24"/>
          <w:szCs w:val="24"/>
        </w:rPr>
        <w:t>201</w:t>
      </w:r>
      <w:r w:rsidR="00101D0C" w:rsidRPr="00486B87">
        <w:rPr>
          <w:rFonts w:ascii="Times New Roman" w:hAnsi="Times New Roman" w:cs="Times New Roman"/>
          <w:sz w:val="24"/>
          <w:szCs w:val="24"/>
        </w:rPr>
        <w:t xml:space="preserve">8 </w:t>
      </w:r>
      <w:r w:rsidRPr="00486B87">
        <w:rPr>
          <w:rFonts w:ascii="Times New Roman" w:hAnsi="Times New Roman" w:cs="Times New Roman"/>
          <w:sz w:val="24"/>
          <w:szCs w:val="24"/>
        </w:rPr>
        <w:t>which withdraws the right for same-sex couples to marry in Bermuda</w:t>
      </w:r>
      <w:r w:rsidR="00CF62B9" w:rsidRPr="00486B87">
        <w:rPr>
          <w:rFonts w:ascii="Times New Roman" w:hAnsi="Times New Roman" w:cs="Times New Roman"/>
          <w:sz w:val="24"/>
          <w:szCs w:val="24"/>
        </w:rPr>
        <w:t xml:space="preserve"> with effect from 1</w:t>
      </w:r>
      <w:r w:rsidR="00CF62B9" w:rsidRPr="00486B87">
        <w:rPr>
          <w:rFonts w:ascii="Times New Roman" w:hAnsi="Times New Roman" w:cs="Times New Roman"/>
          <w:sz w:val="24"/>
          <w:szCs w:val="24"/>
          <w:vertAlign w:val="superscript"/>
        </w:rPr>
        <w:t>st</w:t>
      </w:r>
      <w:r w:rsidR="00CF62B9" w:rsidRPr="00486B87">
        <w:rPr>
          <w:rFonts w:ascii="Times New Roman" w:hAnsi="Times New Roman" w:cs="Times New Roman"/>
          <w:sz w:val="24"/>
          <w:szCs w:val="24"/>
        </w:rPr>
        <w:t xml:space="preserve"> June 2018</w:t>
      </w:r>
      <w:r w:rsidRPr="00486B87">
        <w:rPr>
          <w:rFonts w:ascii="Times New Roman" w:hAnsi="Times New Roman" w:cs="Times New Roman"/>
          <w:sz w:val="24"/>
          <w:szCs w:val="24"/>
        </w:rPr>
        <w:t xml:space="preserve">. </w:t>
      </w:r>
      <w:r w:rsidR="00AD34A7" w:rsidRPr="00486B87">
        <w:rPr>
          <w:rFonts w:ascii="Times New Roman" w:hAnsi="Times New Roman" w:cs="Times New Roman"/>
          <w:sz w:val="24"/>
          <w:szCs w:val="24"/>
        </w:rPr>
        <w:t xml:space="preserve">The </w:t>
      </w:r>
      <w:r w:rsidR="00224434" w:rsidRPr="00486B87">
        <w:rPr>
          <w:rFonts w:ascii="Times New Roman" w:hAnsi="Times New Roman" w:cs="Times New Roman"/>
          <w:sz w:val="24"/>
          <w:szCs w:val="24"/>
        </w:rPr>
        <w:t>‘Domestic Partnership’ purports to offer the same legal standing as marriage</w:t>
      </w:r>
      <w:r w:rsidR="006F5C8E" w:rsidRPr="00486B87">
        <w:rPr>
          <w:rStyle w:val="FootnoteReference"/>
          <w:rFonts w:ascii="Times New Roman" w:hAnsi="Times New Roman" w:cs="Times New Roman"/>
          <w:sz w:val="24"/>
          <w:szCs w:val="24"/>
        </w:rPr>
        <w:footnoteReference w:id="2"/>
      </w:r>
      <w:r w:rsidR="00224434" w:rsidRPr="00486B87">
        <w:rPr>
          <w:rFonts w:ascii="Times New Roman" w:hAnsi="Times New Roman" w:cs="Times New Roman"/>
          <w:sz w:val="24"/>
          <w:szCs w:val="24"/>
        </w:rPr>
        <w:t xml:space="preserve"> though there is a degree of scepticism around whether this will be the case. There is a substantial body of writing</w:t>
      </w:r>
      <w:r w:rsidR="009E5584" w:rsidRPr="00486B87">
        <w:rPr>
          <w:rStyle w:val="FootnoteReference"/>
          <w:rFonts w:ascii="Times New Roman" w:hAnsi="Times New Roman" w:cs="Times New Roman"/>
          <w:sz w:val="24"/>
          <w:szCs w:val="24"/>
        </w:rPr>
        <w:footnoteReference w:id="3"/>
      </w:r>
      <w:r w:rsidR="00224434" w:rsidRPr="00486B87">
        <w:rPr>
          <w:rFonts w:ascii="Times New Roman" w:hAnsi="Times New Roman" w:cs="Times New Roman"/>
          <w:sz w:val="24"/>
          <w:szCs w:val="24"/>
        </w:rPr>
        <w:t xml:space="preserve"> in the UK on whether </w:t>
      </w:r>
      <w:r w:rsidR="00AD34A7" w:rsidRPr="00486B87">
        <w:rPr>
          <w:rFonts w:ascii="Times New Roman" w:hAnsi="Times New Roman" w:cs="Times New Roman"/>
          <w:sz w:val="24"/>
          <w:szCs w:val="24"/>
        </w:rPr>
        <w:t xml:space="preserve">the </w:t>
      </w:r>
      <w:r w:rsidR="00224434" w:rsidRPr="00486B87">
        <w:rPr>
          <w:rFonts w:ascii="Times New Roman" w:hAnsi="Times New Roman" w:cs="Times New Roman"/>
          <w:sz w:val="24"/>
          <w:szCs w:val="24"/>
        </w:rPr>
        <w:t>Civil Partnerships established under the Ci</w:t>
      </w:r>
      <w:r w:rsidR="00BE242B" w:rsidRPr="00486B87">
        <w:rPr>
          <w:rFonts w:ascii="Times New Roman" w:hAnsi="Times New Roman" w:cs="Times New Roman"/>
          <w:sz w:val="24"/>
          <w:szCs w:val="24"/>
        </w:rPr>
        <w:t>vil Partnership Act 2004 was in fact equal to marriage</w:t>
      </w:r>
      <w:r w:rsidR="00AD34A7" w:rsidRPr="00486B87">
        <w:rPr>
          <w:rFonts w:ascii="Times New Roman" w:hAnsi="Times New Roman" w:cs="Times New Roman"/>
          <w:sz w:val="24"/>
          <w:szCs w:val="24"/>
        </w:rPr>
        <w:t>,</w:t>
      </w:r>
      <w:r w:rsidR="00BE242B" w:rsidRPr="00486B87">
        <w:rPr>
          <w:rFonts w:ascii="Times New Roman" w:hAnsi="Times New Roman" w:cs="Times New Roman"/>
          <w:sz w:val="24"/>
          <w:szCs w:val="24"/>
        </w:rPr>
        <w:t xml:space="preserve"> or whether creating a second form of legal partnership also created a subordinate form of legal partnership</w:t>
      </w:r>
      <w:r w:rsidR="00654D7F" w:rsidRPr="00486B87">
        <w:rPr>
          <w:rStyle w:val="FootnoteReference"/>
          <w:rFonts w:ascii="Times New Roman" w:hAnsi="Times New Roman" w:cs="Times New Roman"/>
          <w:sz w:val="24"/>
          <w:szCs w:val="24"/>
        </w:rPr>
        <w:footnoteReference w:id="4"/>
      </w:r>
      <w:r w:rsidR="00BE242B" w:rsidRPr="00486B87">
        <w:rPr>
          <w:rFonts w:ascii="Times New Roman" w:hAnsi="Times New Roman" w:cs="Times New Roman"/>
          <w:sz w:val="24"/>
          <w:szCs w:val="24"/>
        </w:rPr>
        <w:t>.</w:t>
      </w:r>
      <w:r w:rsidR="0067111D" w:rsidRPr="00486B87">
        <w:rPr>
          <w:rFonts w:ascii="Times New Roman" w:hAnsi="Times New Roman" w:cs="Times New Roman"/>
          <w:sz w:val="24"/>
          <w:szCs w:val="24"/>
        </w:rPr>
        <w:t xml:space="preserve"> </w:t>
      </w:r>
      <w:r w:rsidR="006F3F43" w:rsidRPr="00486B87">
        <w:rPr>
          <w:rFonts w:ascii="Times New Roman" w:hAnsi="Times New Roman" w:cs="Times New Roman"/>
          <w:sz w:val="24"/>
          <w:szCs w:val="24"/>
        </w:rPr>
        <w:t>Furthermore, the very recent decision of the UK Supreme Court</w:t>
      </w:r>
      <w:r w:rsidR="006F3F43" w:rsidRPr="00486B87">
        <w:rPr>
          <w:rStyle w:val="FootnoteReference"/>
          <w:rFonts w:ascii="Times New Roman" w:hAnsi="Times New Roman" w:cs="Times New Roman"/>
          <w:sz w:val="24"/>
          <w:szCs w:val="24"/>
        </w:rPr>
        <w:footnoteReference w:id="5"/>
      </w:r>
      <w:r w:rsidR="006F3F43" w:rsidRPr="00486B87">
        <w:rPr>
          <w:rFonts w:ascii="Times New Roman" w:hAnsi="Times New Roman" w:cs="Times New Roman"/>
          <w:sz w:val="24"/>
          <w:szCs w:val="24"/>
        </w:rPr>
        <w:t xml:space="preserve"> declaring</w:t>
      </w:r>
      <w:r w:rsidR="00A413E5" w:rsidRPr="00486B87">
        <w:rPr>
          <w:rStyle w:val="FootnoteReference"/>
          <w:rFonts w:ascii="Times New Roman" w:hAnsi="Times New Roman" w:cs="Times New Roman"/>
          <w:sz w:val="24"/>
          <w:szCs w:val="24"/>
        </w:rPr>
        <w:footnoteReference w:id="6"/>
      </w:r>
      <w:r w:rsidR="006F3F43" w:rsidRPr="00486B87">
        <w:rPr>
          <w:rFonts w:ascii="Times New Roman" w:hAnsi="Times New Roman" w:cs="Times New Roman"/>
          <w:sz w:val="24"/>
          <w:szCs w:val="24"/>
        </w:rPr>
        <w:t xml:space="preserve"> that the provisions of the Civil Partnership Act 2004 which restrict civil partnerships to same-sex </w:t>
      </w:r>
      <w:r w:rsidR="006F3F43" w:rsidRPr="00486B87">
        <w:rPr>
          <w:rFonts w:ascii="Times New Roman" w:hAnsi="Times New Roman" w:cs="Times New Roman"/>
          <w:sz w:val="24"/>
          <w:szCs w:val="24"/>
        </w:rPr>
        <w:lastRenderedPageBreak/>
        <w:t xml:space="preserve">couples only, are incompatible with </w:t>
      </w:r>
      <w:r w:rsidR="0099259A">
        <w:rPr>
          <w:rFonts w:ascii="Times New Roman" w:hAnsi="Times New Roman" w:cs="Times New Roman"/>
          <w:sz w:val="24"/>
          <w:szCs w:val="24"/>
        </w:rPr>
        <w:t>art.</w:t>
      </w:r>
      <w:r w:rsidR="006F3F43" w:rsidRPr="00486B87">
        <w:rPr>
          <w:rFonts w:ascii="Times New Roman" w:hAnsi="Times New Roman" w:cs="Times New Roman"/>
          <w:sz w:val="24"/>
          <w:szCs w:val="24"/>
        </w:rPr>
        <w:t>14 and 8</w:t>
      </w:r>
      <w:r w:rsidR="006F3F43" w:rsidRPr="00486B87">
        <w:rPr>
          <w:rStyle w:val="FootnoteReference"/>
          <w:rFonts w:ascii="Times New Roman" w:hAnsi="Times New Roman" w:cs="Times New Roman"/>
          <w:sz w:val="24"/>
          <w:szCs w:val="24"/>
        </w:rPr>
        <w:footnoteReference w:id="7"/>
      </w:r>
      <w:r w:rsidR="006F3F43" w:rsidRPr="00486B87">
        <w:rPr>
          <w:rFonts w:ascii="Times New Roman" w:hAnsi="Times New Roman" w:cs="Times New Roman"/>
          <w:sz w:val="24"/>
          <w:szCs w:val="24"/>
        </w:rPr>
        <w:t xml:space="preserve"> of the </w:t>
      </w:r>
      <w:proofErr w:type="gramStart"/>
      <w:r w:rsidR="00D530C2">
        <w:rPr>
          <w:rFonts w:ascii="Times New Roman" w:hAnsi="Times New Roman" w:cs="Times New Roman"/>
          <w:sz w:val="24"/>
          <w:szCs w:val="24"/>
        </w:rPr>
        <w:t>C</w:t>
      </w:r>
      <w:r w:rsidR="006F3F43" w:rsidRPr="00486B87">
        <w:rPr>
          <w:rFonts w:ascii="Times New Roman" w:hAnsi="Times New Roman" w:cs="Times New Roman"/>
          <w:sz w:val="24"/>
          <w:szCs w:val="24"/>
        </w:rPr>
        <w:t>onvention</w:t>
      </w:r>
      <w:r w:rsidR="00D530C2">
        <w:rPr>
          <w:rFonts w:ascii="Times New Roman" w:hAnsi="Times New Roman" w:cs="Times New Roman"/>
          <w:sz w:val="24"/>
          <w:szCs w:val="24"/>
        </w:rPr>
        <w:t>,</w:t>
      </w:r>
      <w:proofErr w:type="gramEnd"/>
      <w:r w:rsidR="006F3F43" w:rsidRPr="00486B87">
        <w:rPr>
          <w:rFonts w:ascii="Times New Roman" w:hAnsi="Times New Roman" w:cs="Times New Roman"/>
          <w:sz w:val="24"/>
          <w:szCs w:val="24"/>
        </w:rPr>
        <w:t xml:space="preserve"> is a telling sign </w:t>
      </w:r>
      <w:r w:rsidR="003E6758" w:rsidRPr="00486B87">
        <w:rPr>
          <w:rFonts w:ascii="Times New Roman" w:hAnsi="Times New Roman" w:cs="Times New Roman"/>
          <w:sz w:val="24"/>
          <w:szCs w:val="24"/>
        </w:rPr>
        <w:t>of the direction of progress in the UK law on partnership</w:t>
      </w:r>
      <w:r w:rsidR="003E6758" w:rsidRPr="00486B87">
        <w:rPr>
          <w:rStyle w:val="FootnoteReference"/>
          <w:rFonts w:ascii="Times New Roman" w:hAnsi="Times New Roman" w:cs="Times New Roman"/>
          <w:sz w:val="24"/>
          <w:szCs w:val="24"/>
        </w:rPr>
        <w:footnoteReference w:id="8"/>
      </w:r>
      <w:r w:rsidR="006F3F43" w:rsidRPr="00486B87">
        <w:rPr>
          <w:rFonts w:ascii="Times New Roman" w:hAnsi="Times New Roman" w:cs="Times New Roman"/>
          <w:sz w:val="24"/>
          <w:szCs w:val="24"/>
        </w:rPr>
        <w:t xml:space="preserve">. Both these ideas will be explored later in this article. </w:t>
      </w:r>
      <w:r w:rsidRPr="00486B87">
        <w:rPr>
          <w:rFonts w:ascii="Times New Roman" w:hAnsi="Times New Roman" w:cs="Times New Roman"/>
          <w:sz w:val="24"/>
          <w:szCs w:val="24"/>
        </w:rPr>
        <w:t>This may not however, be the end of the story</w:t>
      </w:r>
      <w:r w:rsidR="00FA3983" w:rsidRPr="00486B87">
        <w:rPr>
          <w:rStyle w:val="FootnoteReference"/>
          <w:rFonts w:ascii="Times New Roman" w:hAnsi="Times New Roman" w:cs="Times New Roman"/>
          <w:sz w:val="24"/>
          <w:szCs w:val="24"/>
        </w:rPr>
        <w:footnoteReference w:id="9"/>
      </w:r>
      <w:r w:rsidR="00EA2A19">
        <w:rPr>
          <w:rFonts w:ascii="Times New Roman" w:hAnsi="Times New Roman" w:cs="Times New Roman"/>
          <w:sz w:val="24"/>
          <w:szCs w:val="24"/>
        </w:rPr>
        <w:t>.</w:t>
      </w:r>
      <w:r w:rsidRPr="00486B87">
        <w:rPr>
          <w:rFonts w:ascii="Times New Roman" w:hAnsi="Times New Roman" w:cs="Times New Roman"/>
          <w:sz w:val="24"/>
          <w:szCs w:val="24"/>
        </w:rPr>
        <w:t xml:space="preserve"> </w:t>
      </w:r>
      <w:r w:rsidR="00EA2A19">
        <w:rPr>
          <w:rFonts w:ascii="Times New Roman" w:hAnsi="Times New Roman" w:cs="Times New Roman"/>
          <w:sz w:val="24"/>
          <w:szCs w:val="24"/>
        </w:rPr>
        <w:t>O</w:t>
      </w:r>
      <w:r w:rsidRPr="00486B87">
        <w:rPr>
          <w:rFonts w:ascii="Times New Roman" w:hAnsi="Times New Roman" w:cs="Times New Roman"/>
          <w:sz w:val="24"/>
          <w:szCs w:val="24"/>
        </w:rPr>
        <w:t>n the 20</w:t>
      </w:r>
      <w:r w:rsidRPr="00486B87">
        <w:rPr>
          <w:rFonts w:ascii="Times New Roman" w:hAnsi="Times New Roman" w:cs="Times New Roman"/>
          <w:sz w:val="24"/>
          <w:szCs w:val="24"/>
          <w:vertAlign w:val="superscript"/>
        </w:rPr>
        <w:t>th</w:t>
      </w:r>
      <w:r w:rsidRPr="00486B87">
        <w:rPr>
          <w:rFonts w:ascii="Times New Roman" w:hAnsi="Times New Roman" w:cs="Times New Roman"/>
          <w:sz w:val="24"/>
          <w:szCs w:val="24"/>
        </w:rPr>
        <w:t xml:space="preserve"> February 2018, a Bermudian </w:t>
      </w:r>
      <w:r w:rsidR="00D530C2">
        <w:rPr>
          <w:rFonts w:ascii="Times New Roman" w:hAnsi="Times New Roman" w:cs="Times New Roman"/>
          <w:sz w:val="24"/>
          <w:szCs w:val="24"/>
        </w:rPr>
        <w:t>l</w:t>
      </w:r>
      <w:r w:rsidRPr="00486B87">
        <w:rPr>
          <w:rFonts w:ascii="Times New Roman" w:hAnsi="Times New Roman" w:cs="Times New Roman"/>
          <w:sz w:val="24"/>
          <w:szCs w:val="24"/>
        </w:rPr>
        <w:t>awyer filed a motion asking for the Supreme Court of Bermuda</w:t>
      </w:r>
      <w:r w:rsidR="00D31AE6">
        <w:rPr>
          <w:rFonts w:ascii="Times New Roman" w:hAnsi="Times New Roman" w:cs="Times New Roman"/>
          <w:sz w:val="24"/>
          <w:szCs w:val="24"/>
        </w:rPr>
        <w:t xml:space="preserve"> </w:t>
      </w:r>
      <w:r w:rsidRPr="00486B87">
        <w:rPr>
          <w:rFonts w:ascii="Times New Roman" w:hAnsi="Times New Roman" w:cs="Times New Roman"/>
          <w:sz w:val="24"/>
          <w:szCs w:val="24"/>
        </w:rPr>
        <w:t xml:space="preserve">to consider </w:t>
      </w:r>
      <w:r w:rsidR="003C4659" w:rsidRPr="00486B87">
        <w:rPr>
          <w:rFonts w:ascii="Times New Roman" w:hAnsi="Times New Roman" w:cs="Times New Roman"/>
          <w:sz w:val="24"/>
          <w:szCs w:val="24"/>
        </w:rPr>
        <w:t>whether</w:t>
      </w:r>
      <w:r w:rsidR="00224434" w:rsidRPr="00486B87">
        <w:rPr>
          <w:rFonts w:ascii="Times New Roman" w:hAnsi="Times New Roman" w:cs="Times New Roman"/>
          <w:sz w:val="24"/>
          <w:szCs w:val="24"/>
        </w:rPr>
        <w:t xml:space="preserve"> the </w:t>
      </w:r>
      <w:r w:rsidR="003C4659" w:rsidRPr="00486B87">
        <w:rPr>
          <w:rFonts w:ascii="Times New Roman" w:hAnsi="Times New Roman" w:cs="Times New Roman"/>
          <w:sz w:val="24"/>
          <w:szCs w:val="24"/>
        </w:rPr>
        <w:t>Domestic Partnership Act 201</w:t>
      </w:r>
      <w:r w:rsidR="00DD4551" w:rsidRPr="00486B87">
        <w:rPr>
          <w:rFonts w:ascii="Times New Roman" w:hAnsi="Times New Roman" w:cs="Times New Roman"/>
          <w:sz w:val="24"/>
          <w:szCs w:val="24"/>
        </w:rPr>
        <w:t>7</w:t>
      </w:r>
      <w:r w:rsidR="003C4659" w:rsidRPr="00486B87">
        <w:rPr>
          <w:rFonts w:ascii="Times New Roman" w:hAnsi="Times New Roman" w:cs="Times New Roman"/>
          <w:sz w:val="24"/>
          <w:szCs w:val="24"/>
        </w:rPr>
        <w:t xml:space="preserve"> (</w:t>
      </w:r>
      <w:r w:rsidR="003F7604" w:rsidRPr="00486B87">
        <w:rPr>
          <w:rFonts w:ascii="Times New Roman" w:hAnsi="Times New Roman" w:cs="Times New Roman"/>
          <w:sz w:val="24"/>
          <w:szCs w:val="24"/>
        </w:rPr>
        <w:t>“</w:t>
      </w:r>
      <w:r w:rsidR="003C4659" w:rsidRPr="00486B87">
        <w:rPr>
          <w:rFonts w:ascii="Times New Roman" w:hAnsi="Times New Roman" w:cs="Times New Roman"/>
          <w:sz w:val="24"/>
          <w:szCs w:val="24"/>
        </w:rPr>
        <w:t>DPA</w:t>
      </w:r>
      <w:r w:rsidR="003F7604" w:rsidRPr="00486B87">
        <w:rPr>
          <w:rFonts w:ascii="Times New Roman" w:hAnsi="Times New Roman" w:cs="Times New Roman"/>
          <w:sz w:val="24"/>
          <w:szCs w:val="24"/>
        </w:rPr>
        <w:t>”</w:t>
      </w:r>
      <w:r w:rsidR="003C4659" w:rsidRPr="00486B87">
        <w:rPr>
          <w:rFonts w:ascii="Times New Roman" w:hAnsi="Times New Roman" w:cs="Times New Roman"/>
          <w:sz w:val="24"/>
          <w:szCs w:val="24"/>
        </w:rPr>
        <w:t xml:space="preserve">) is consistent with the Bermudian Human Rights Act 1981 </w:t>
      </w:r>
      <w:r w:rsidR="00CF62B9" w:rsidRPr="00486B87">
        <w:rPr>
          <w:rFonts w:ascii="Times New Roman" w:hAnsi="Times New Roman" w:cs="Times New Roman"/>
          <w:sz w:val="24"/>
          <w:szCs w:val="24"/>
        </w:rPr>
        <w:t>(“HRA”) and the Bermudian Constitution</w:t>
      </w:r>
      <w:r w:rsidR="003C4659" w:rsidRPr="00486B87">
        <w:rPr>
          <w:rFonts w:ascii="Times New Roman" w:hAnsi="Times New Roman" w:cs="Times New Roman"/>
          <w:sz w:val="24"/>
          <w:szCs w:val="24"/>
        </w:rPr>
        <w:t xml:space="preserve">. </w:t>
      </w:r>
      <w:r w:rsidR="00CF62B9" w:rsidRPr="00486B87">
        <w:rPr>
          <w:rFonts w:ascii="Times New Roman" w:hAnsi="Times New Roman" w:cs="Times New Roman"/>
          <w:sz w:val="24"/>
          <w:szCs w:val="24"/>
        </w:rPr>
        <w:t>In a judgment handed down on the 7</w:t>
      </w:r>
      <w:r w:rsidR="00CF62B9" w:rsidRPr="00486B87">
        <w:rPr>
          <w:rFonts w:ascii="Times New Roman" w:hAnsi="Times New Roman" w:cs="Times New Roman"/>
          <w:sz w:val="24"/>
          <w:szCs w:val="24"/>
          <w:vertAlign w:val="superscript"/>
        </w:rPr>
        <w:t>th</w:t>
      </w:r>
      <w:r w:rsidR="00CF62B9" w:rsidRPr="00486B87">
        <w:rPr>
          <w:rFonts w:ascii="Times New Roman" w:hAnsi="Times New Roman" w:cs="Times New Roman"/>
          <w:sz w:val="24"/>
          <w:szCs w:val="24"/>
        </w:rPr>
        <w:t xml:space="preserve"> June 2018</w:t>
      </w:r>
      <w:r w:rsidR="0062163E" w:rsidRPr="00486B87">
        <w:rPr>
          <w:rStyle w:val="FootnoteReference"/>
          <w:rFonts w:ascii="Times New Roman" w:hAnsi="Times New Roman" w:cs="Times New Roman"/>
          <w:sz w:val="24"/>
          <w:szCs w:val="24"/>
        </w:rPr>
        <w:footnoteReference w:id="10"/>
      </w:r>
      <w:r w:rsidR="00CF62B9" w:rsidRPr="00486B87">
        <w:rPr>
          <w:rFonts w:ascii="Times New Roman" w:hAnsi="Times New Roman" w:cs="Times New Roman"/>
          <w:sz w:val="24"/>
          <w:szCs w:val="24"/>
        </w:rPr>
        <w:t xml:space="preserve">, the Supreme Court agreed that legislating against same-sex marriage was not permitted by the constitution and so the specific provision of the DPA was declared inoperative. </w:t>
      </w:r>
      <w:r w:rsidR="00835862">
        <w:rPr>
          <w:rFonts w:ascii="Times New Roman" w:eastAsia="Times New Roman" w:hAnsi="Times New Roman" w:cs="Times New Roman"/>
          <w:sz w:val="24"/>
          <w:szCs w:val="24"/>
        </w:rPr>
        <w:t>More recently, on the 6</w:t>
      </w:r>
      <w:r w:rsidR="00835862" w:rsidRPr="00A553D0">
        <w:rPr>
          <w:rFonts w:ascii="Times New Roman" w:eastAsia="Times New Roman" w:hAnsi="Times New Roman" w:cs="Times New Roman"/>
          <w:sz w:val="24"/>
          <w:szCs w:val="24"/>
          <w:vertAlign w:val="superscript"/>
        </w:rPr>
        <w:t>th</w:t>
      </w:r>
      <w:r w:rsidR="00835862">
        <w:rPr>
          <w:rFonts w:ascii="Times New Roman" w:eastAsia="Times New Roman" w:hAnsi="Times New Roman" w:cs="Times New Roman"/>
          <w:sz w:val="24"/>
          <w:szCs w:val="24"/>
        </w:rPr>
        <w:t xml:space="preserve"> July 2018 the Bermudian government stated that it is to appeal the decision of the Supreme Court </w:t>
      </w:r>
      <w:r w:rsidR="00C77458">
        <w:rPr>
          <w:rFonts w:ascii="Times New Roman" w:eastAsia="Times New Roman" w:hAnsi="Times New Roman" w:cs="Times New Roman"/>
          <w:sz w:val="24"/>
          <w:szCs w:val="24"/>
        </w:rPr>
        <w:t xml:space="preserve">of Bermuda </w:t>
      </w:r>
      <w:r w:rsidR="00835862">
        <w:rPr>
          <w:rFonts w:ascii="Times New Roman" w:eastAsia="Times New Roman" w:hAnsi="Times New Roman" w:cs="Times New Roman"/>
          <w:sz w:val="24"/>
          <w:szCs w:val="24"/>
        </w:rPr>
        <w:t xml:space="preserve">in </w:t>
      </w:r>
      <w:r w:rsidR="00C77458">
        <w:rPr>
          <w:rFonts w:ascii="Times New Roman" w:eastAsia="Times New Roman" w:hAnsi="Times New Roman" w:cs="Times New Roman"/>
          <w:i/>
          <w:sz w:val="24"/>
          <w:szCs w:val="24"/>
        </w:rPr>
        <w:t>Ferguson</w:t>
      </w:r>
      <w:r w:rsidR="00835862">
        <w:rPr>
          <w:rStyle w:val="FootnoteReference"/>
          <w:rFonts w:ascii="Times New Roman" w:eastAsia="Times New Roman" w:hAnsi="Times New Roman" w:cs="Times New Roman"/>
          <w:sz w:val="24"/>
          <w:szCs w:val="24"/>
        </w:rPr>
        <w:footnoteReference w:id="11"/>
      </w:r>
      <w:r w:rsidR="00835862">
        <w:rPr>
          <w:rFonts w:ascii="Times New Roman" w:eastAsia="Times New Roman" w:hAnsi="Times New Roman" w:cs="Times New Roman"/>
          <w:sz w:val="24"/>
          <w:szCs w:val="24"/>
        </w:rPr>
        <w:t>.</w:t>
      </w:r>
      <w:r w:rsidR="00EA2A19">
        <w:rPr>
          <w:rFonts w:ascii="Times New Roman" w:eastAsia="Times New Roman" w:hAnsi="Times New Roman" w:cs="Times New Roman"/>
          <w:sz w:val="24"/>
          <w:szCs w:val="24"/>
        </w:rPr>
        <w:t xml:space="preserve"> This </w:t>
      </w:r>
      <w:r w:rsidR="00835862">
        <w:rPr>
          <w:rFonts w:ascii="Times New Roman" w:eastAsia="Times New Roman" w:hAnsi="Times New Roman" w:cs="Times New Roman"/>
          <w:sz w:val="24"/>
          <w:szCs w:val="24"/>
        </w:rPr>
        <w:t>matter is fast-paced and the role of the Judicial Committee of the Privy Council should be considered tentatively</w:t>
      </w:r>
      <w:r w:rsidR="00EA2A19">
        <w:rPr>
          <w:rFonts w:ascii="Times New Roman" w:eastAsia="Times New Roman" w:hAnsi="Times New Roman" w:cs="Times New Roman"/>
          <w:sz w:val="24"/>
          <w:szCs w:val="24"/>
        </w:rPr>
        <w:t xml:space="preserve"> in light of any appeal beyond the Court of Appeal.</w:t>
      </w:r>
    </w:p>
    <w:p w14:paraId="2E1918D6" w14:textId="77777777" w:rsidR="00A76412" w:rsidRDefault="00A76412" w:rsidP="00174DA6">
      <w:pPr>
        <w:spacing w:line="480" w:lineRule="auto"/>
        <w:jc w:val="both"/>
        <w:rPr>
          <w:rFonts w:ascii="Times New Roman" w:eastAsia="Times New Roman" w:hAnsi="Times New Roman" w:cs="Times New Roman"/>
          <w:sz w:val="24"/>
          <w:szCs w:val="24"/>
        </w:rPr>
      </w:pPr>
    </w:p>
    <w:p w14:paraId="5DBAF309" w14:textId="16FF22DB" w:rsidR="003C4659" w:rsidRPr="00486B87" w:rsidRDefault="001977A3" w:rsidP="00174DA6">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This article will </w:t>
      </w:r>
      <w:r w:rsidR="00A76412">
        <w:rPr>
          <w:rFonts w:ascii="Times New Roman" w:eastAsia="Times New Roman" w:hAnsi="Times New Roman" w:cs="Times New Roman"/>
          <w:sz w:val="24"/>
          <w:szCs w:val="24"/>
        </w:rPr>
        <w:t xml:space="preserve">aim to </w:t>
      </w:r>
      <w:r>
        <w:rPr>
          <w:rFonts w:ascii="Times New Roman" w:eastAsia="Times New Roman" w:hAnsi="Times New Roman" w:cs="Times New Roman"/>
          <w:sz w:val="24"/>
          <w:szCs w:val="24"/>
        </w:rPr>
        <w:t xml:space="preserve">consider </w:t>
      </w:r>
      <w:r w:rsidR="00A76412">
        <w:rPr>
          <w:rFonts w:ascii="Times New Roman" w:eastAsia="Times New Roman" w:hAnsi="Times New Roman" w:cs="Times New Roman"/>
          <w:sz w:val="24"/>
          <w:szCs w:val="24"/>
        </w:rPr>
        <w:t>novel</w:t>
      </w:r>
      <w:r>
        <w:rPr>
          <w:rFonts w:ascii="Times New Roman" w:eastAsia="Times New Roman" w:hAnsi="Times New Roman" w:cs="Times New Roman"/>
          <w:sz w:val="24"/>
          <w:szCs w:val="24"/>
        </w:rPr>
        <w:t xml:space="preserve"> constitutional and human rights </w:t>
      </w:r>
      <w:r w:rsidR="00A76412">
        <w:rPr>
          <w:rFonts w:ascii="Times New Roman" w:eastAsia="Times New Roman" w:hAnsi="Times New Roman" w:cs="Times New Roman"/>
          <w:sz w:val="24"/>
          <w:szCs w:val="24"/>
        </w:rPr>
        <w:t>perspectives</w:t>
      </w:r>
      <w:r>
        <w:rPr>
          <w:rFonts w:ascii="Times New Roman" w:eastAsia="Times New Roman" w:hAnsi="Times New Roman" w:cs="Times New Roman"/>
          <w:sz w:val="24"/>
          <w:szCs w:val="24"/>
        </w:rPr>
        <w:t xml:space="preserve"> on same-sex marriage in Bermuda. It will consider </w:t>
      </w:r>
      <w:r w:rsidR="00A76412">
        <w:rPr>
          <w:rFonts w:ascii="Times New Roman" w:eastAsia="Times New Roman" w:hAnsi="Times New Roman" w:cs="Times New Roman"/>
          <w:sz w:val="24"/>
          <w:szCs w:val="24"/>
        </w:rPr>
        <w:t>whether the Bermudian Constitution is capable of growing using the living tree doctrine</w:t>
      </w:r>
      <w:r w:rsidR="00F74963">
        <w:rPr>
          <w:rFonts w:ascii="Times New Roman" w:eastAsia="Times New Roman" w:hAnsi="Times New Roman" w:cs="Times New Roman"/>
          <w:sz w:val="24"/>
          <w:szCs w:val="24"/>
        </w:rPr>
        <w:t>,</w:t>
      </w:r>
      <w:r w:rsidR="00BC34BE">
        <w:rPr>
          <w:rFonts w:ascii="Times New Roman" w:eastAsia="Times New Roman" w:hAnsi="Times New Roman" w:cs="Times New Roman"/>
          <w:sz w:val="24"/>
          <w:szCs w:val="24"/>
        </w:rPr>
        <w:t xml:space="preserve"> established </w:t>
      </w:r>
      <w:r w:rsidR="00A76412">
        <w:rPr>
          <w:rFonts w:ascii="Times New Roman" w:eastAsia="Times New Roman" w:hAnsi="Times New Roman" w:cs="Times New Roman"/>
          <w:sz w:val="24"/>
          <w:szCs w:val="24"/>
        </w:rPr>
        <w:t>for the Canadian constitution</w:t>
      </w:r>
      <w:r w:rsidR="0031126C">
        <w:rPr>
          <w:rFonts w:ascii="Times New Roman" w:eastAsia="Times New Roman" w:hAnsi="Times New Roman" w:cs="Times New Roman"/>
          <w:sz w:val="24"/>
          <w:szCs w:val="24"/>
        </w:rPr>
        <w:t>. It will seek to draw a link between human rights in Bermuda, the UK and the European Convention on Human Rights</w:t>
      </w:r>
      <w:r w:rsidR="00A76412">
        <w:rPr>
          <w:rFonts w:ascii="Times New Roman" w:eastAsia="Times New Roman" w:hAnsi="Times New Roman" w:cs="Times New Roman"/>
          <w:sz w:val="24"/>
          <w:szCs w:val="24"/>
        </w:rPr>
        <w:t xml:space="preserve">. </w:t>
      </w:r>
      <w:r w:rsidR="00F74963">
        <w:rPr>
          <w:rFonts w:ascii="Times New Roman" w:eastAsia="Times New Roman" w:hAnsi="Times New Roman" w:cs="Times New Roman"/>
          <w:sz w:val="24"/>
          <w:szCs w:val="24"/>
        </w:rPr>
        <w:t xml:space="preserve">A number of theoretical </w:t>
      </w:r>
      <w:r w:rsidR="00036A3C">
        <w:rPr>
          <w:rFonts w:ascii="Times New Roman" w:eastAsia="Times New Roman" w:hAnsi="Times New Roman" w:cs="Times New Roman"/>
          <w:sz w:val="24"/>
          <w:szCs w:val="24"/>
        </w:rPr>
        <w:t>principles</w:t>
      </w:r>
      <w:r w:rsidR="00F74963">
        <w:rPr>
          <w:rFonts w:ascii="Times New Roman" w:eastAsia="Times New Roman" w:hAnsi="Times New Roman" w:cs="Times New Roman"/>
          <w:sz w:val="24"/>
          <w:szCs w:val="24"/>
        </w:rPr>
        <w:t xml:space="preserve"> from the UK and E</w:t>
      </w:r>
      <w:r w:rsidR="00036A3C">
        <w:rPr>
          <w:rFonts w:ascii="Times New Roman" w:eastAsia="Times New Roman" w:hAnsi="Times New Roman" w:cs="Times New Roman"/>
          <w:sz w:val="24"/>
          <w:szCs w:val="24"/>
        </w:rPr>
        <w:t xml:space="preserve">urope will be drawn in to expand on the </w:t>
      </w:r>
      <w:r w:rsidR="00AE27F9">
        <w:rPr>
          <w:rFonts w:ascii="Times New Roman" w:eastAsia="Times New Roman" w:hAnsi="Times New Roman" w:cs="Times New Roman"/>
          <w:sz w:val="24"/>
          <w:szCs w:val="24"/>
        </w:rPr>
        <w:t xml:space="preserve">constitutional matters </w:t>
      </w:r>
      <w:r w:rsidR="00036A3C">
        <w:rPr>
          <w:rFonts w:ascii="Times New Roman" w:eastAsia="Times New Roman" w:hAnsi="Times New Roman" w:cs="Times New Roman"/>
          <w:sz w:val="24"/>
          <w:szCs w:val="24"/>
        </w:rPr>
        <w:t>around same-sex marriage in Bermuda</w:t>
      </w:r>
      <w:r w:rsidR="00AE27F9">
        <w:rPr>
          <w:rFonts w:ascii="Times New Roman" w:eastAsia="Times New Roman" w:hAnsi="Times New Roman" w:cs="Times New Roman"/>
          <w:sz w:val="24"/>
          <w:szCs w:val="24"/>
        </w:rPr>
        <w:t>. Principles</w:t>
      </w:r>
      <w:r w:rsidR="00036A3C">
        <w:rPr>
          <w:rFonts w:ascii="Times New Roman" w:eastAsia="Times New Roman" w:hAnsi="Times New Roman" w:cs="Times New Roman"/>
          <w:sz w:val="24"/>
          <w:szCs w:val="24"/>
        </w:rPr>
        <w:t xml:space="preserve"> such as equality</w:t>
      </w:r>
      <w:r w:rsidR="00AE27F9">
        <w:rPr>
          <w:rFonts w:ascii="Times New Roman" w:eastAsia="Times New Roman" w:hAnsi="Times New Roman" w:cs="Times New Roman"/>
          <w:sz w:val="24"/>
          <w:szCs w:val="24"/>
        </w:rPr>
        <w:t xml:space="preserve"> and the rule of law</w:t>
      </w:r>
      <w:r w:rsidR="00036A3C">
        <w:rPr>
          <w:rFonts w:ascii="Times New Roman" w:eastAsia="Times New Roman" w:hAnsi="Times New Roman" w:cs="Times New Roman"/>
          <w:sz w:val="24"/>
          <w:szCs w:val="24"/>
        </w:rPr>
        <w:t>, majority rule</w:t>
      </w:r>
      <w:r w:rsidR="00FA6781">
        <w:rPr>
          <w:rFonts w:ascii="Times New Roman" w:eastAsia="Times New Roman" w:hAnsi="Times New Roman" w:cs="Times New Roman"/>
          <w:sz w:val="24"/>
          <w:szCs w:val="24"/>
        </w:rPr>
        <w:t xml:space="preserve"> and </w:t>
      </w:r>
      <w:r w:rsidR="00AE27F9">
        <w:rPr>
          <w:rFonts w:ascii="Times New Roman" w:eastAsia="Times New Roman" w:hAnsi="Times New Roman" w:cs="Times New Roman"/>
          <w:sz w:val="24"/>
          <w:szCs w:val="24"/>
        </w:rPr>
        <w:t xml:space="preserve">identity thinking </w:t>
      </w:r>
      <w:r w:rsidR="00FA6781">
        <w:rPr>
          <w:rFonts w:ascii="Times New Roman" w:eastAsia="Times New Roman" w:hAnsi="Times New Roman" w:cs="Times New Roman"/>
          <w:sz w:val="24"/>
          <w:szCs w:val="24"/>
        </w:rPr>
        <w:t xml:space="preserve">will all be included to </w:t>
      </w:r>
      <w:r w:rsidR="00FA6781">
        <w:rPr>
          <w:rFonts w:ascii="Times New Roman" w:eastAsia="Times New Roman" w:hAnsi="Times New Roman" w:cs="Times New Roman"/>
          <w:sz w:val="24"/>
          <w:szCs w:val="24"/>
        </w:rPr>
        <w:lastRenderedPageBreak/>
        <w:t>foster discussion in this area. Throughout this article, the concept of the living tree and its associated doctrine will be revisited</w:t>
      </w:r>
      <w:r w:rsidR="00BC34BE">
        <w:rPr>
          <w:rFonts w:ascii="Times New Roman" w:eastAsia="Times New Roman" w:hAnsi="Times New Roman" w:cs="Times New Roman"/>
          <w:sz w:val="24"/>
          <w:szCs w:val="24"/>
        </w:rPr>
        <w:t>;</w:t>
      </w:r>
      <w:r w:rsidR="00FA6781">
        <w:rPr>
          <w:rFonts w:ascii="Times New Roman" w:eastAsia="Times New Roman" w:hAnsi="Times New Roman" w:cs="Times New Roman"/>
          <w:sz w:val="24"/>
          <w:szCs w:val="24"/>
        </w:rPr>
        <w:t xml:space="preserve"> it is therefore prudent to firstly consider the living tree doctrine.  </w:t>
      </w:r>
    </w:p>
    <w:p w14:paraId="680A8259" w14:textId="49EBC5EE" w:rsidR="003C4659" w:rsidRPr="00486B87" w:rsidRDefault="003C4659" w:rsidP="00174DA6">
      <w:pPr>
        <w:spacing w:line="480" w:lineRule="auto"/>
        <w:jc w:val="both"/>
        <w:rPr>
          <w:rFonts w:ascii="Times New Roman" w:eastAsia="Times New Roman" w:hAnsi="Times New Roman" w:cs="Times New Roman"/>
          <w:i/>
          <w:sz w:val="24"/>
          <w:szCs w:val="24"/>
          <w:u w:val="single"/>
        </w:rPr>
      </w:pPr>
    </w:p>
    <w:p w14:paraId="0C21F9DD" w14:textId="4DEFA942" w:rsidR="0067111D" w:rsidRPr="00486B87" w:rsidRDefault="0067111D" w:rsidP="006C251E">
      <w:pPr>
        <w:spacing w:line="480" w:lineRule="auto"/>
        <w:jc w:val="both"/>
        <w:outlineLvl w:val="0"/>
        <w:rPr>
          <w:rFonts w:ascii="Times New Roman" w:eastAsia="Times New Roman" w:hAnsi="Times New Roman" w:cs="Times New Roman"/>
          <w:sz w:val="24"/>
          <w:szCs w:val="24"/>
          <w:u w:val="single"/>
        </w:rPr>
      </w:pPr>
      <w:r w:rsidRPr="00486B87">
        <w:rPr>
          <w:rFonts w:ascii="Times New Roman" w:eastAsia="Times New Roman" w:hAnsi="Times New Roman" w:cs="Times New Roman"/>
          <w:sz w:val="24"/>
          <w:szCs w:val="24"/>
          <w:u w:val="single"/>
        </w:rPr>
        <w:t>Gifting a Constitutional Tree</w:t>
      </w:r>
    </w:p>
    <w:p w14:paraId="57CDA6E9" w14:textId="3BD15E4D" w:rsidR="00966F41" w:rsidRPr="00486B87" w:rsidRDefault="00B95144" w:rsidP="00174DA6">
      <w:pPr>
        <w:spacing w:line="480" w:lineRule="auto"/>
        <w:jc w:val="both"/>
        <w:rPr>
          <w:rFonts w:ascii="Times New Roman" w:eastAsia="Times New Roman" w:hAnsi="Times New Roman" w:cs="Times New Roman"/>
          <w:sz w:val="24"/>
          <w:szCs w:val="24"/>
        </w:rPr>
      </w:pPr>
      <w:r w:rsidRPr="00486B87">
        <w:rPr>
          <w:rFonts w:ascii="Times New Roman" w:eastAsia="Times New Roman" w:hAnsi="Times New Roman" w:cs="Times New Roman"/>
          <w:sz w:val="24"/>
          <w:szCs w:val="24"/>
        </w:rPr>
        <w:t xml:space="preserve">It has long been established that legislative and common law inconsistencies arise across the </w:t>
      </w:r>
      <w:r w:rsidR="008B5938" w:rsidRPr="00486B87">
        <w:rPr>
          <w:rFonts w:ascii="Times New Roman" w:eastAsia="Times New Roman" w:hAnsi="Times New Roman" w:cs="Times New Roman"/>
          <w:sz w:val="24"/>
          <w:szCs w:val="24"/>
        </w:rPr>
        <w:t>Commonwealth</w:t>
      </w:r>
      <w:r w:rsidR="000A29A2" w:rsidRPr="00486B87">
        <w:rPr>
          <w:rFonts w:ascii="Times New Roman" w:eastAsia="Times New Roman" w:hAnsi="Times New Roman" w:cs="Times New Roman"/>
          <w:sz w:val="24"/>
          <w:szCs w:val="24"/>
        </w:rPr>
        <w:t>,</w:t>
      </w:r>
      <w:r w:rsidRPr="00486B87">
        <w:rPr>
          <w:rFonts w:ascii="Times New Roman" w:eastAsia="Times New Roman" w:hAnsi="Times New Roman" w:cs="Times New Roman"/>
          <w:sz w:val="24"/>
          <w:szCs w:val="24"/>
        </w:rPr>
        <w:t xml:space="preserve"> and that the result of these inconsistencies can lead to questions before the Judicial Committee </w:t>
      </w:r>
      <w:r w:rsidR="00BC34BE">
        <w:rPr>
          <w:rFonts w:ascii="Times New Roman" w:eastAsia="Times New Roman" w:hAnsi="Times New Roman" w:cs="Times New Roman"/>
          <w:sz w:val="24"/>
          <w:szCs w:val="24"/>
        </w:rPr>
        <w:t xml:space="preserve">of the </w:t>
      </w:r>
      <w:r w:rsidRPr="00486B87">
        <w:rPr>
          <w:rFonts w:ascii="Times New Roman" w:eastAsia="Times New Roman" w:hAnsi="Times New Roman" w:cs="Times New Roman"/>
          <w:sz w:val="24"/>
          <w:szCs w:val="24"/>
        </w:rPr>
        <w:t>Privy Council (JCPC)</w:t>
      </w:r>
      <w:r w:rsidR="00E10122" w:rsidRPr="00486B87">
        <w:rPr>
          <w:rStyle w:val="FootnoteReference"/>
          <w:rFonts w:ascii="Times New Roman" w:eastAsia="Times New Roman" w:hAnsi="Times New Roman" w:cs="Times New Roman"/>
          <w:sz w:val="24"/>
          <w:szCs w:val="24"/>
        </w:rPr>
        <w:footnoteReference w:id="12"/>
      </w:r>
      <w:r w:rsidRPr="00486B87">
        <w:rPr>
          <w:rFonts w:ascii="Times New Roman" w:eastAsia="Times New Roman" w:hAnsi="Times New Roman" w:cs="Times New Roman"/>
          <w:sz w:val="24"/>
          <w:szCs w:val="24"/>
        </w:rPr>
        <w:t xml:space="preserve">. This has happened across the jurisdictions of </w:t>
      </w:r>
      <w:r w:rsidR="008B5938" w:rsidRPr="00486B87">
        <w:rPr>
          <w:rFonts w:ascii="Times New Roman" w:eastAsia="Times New Roman" w:hAnsi="Times New Roman" w:cs="Times New Roman"/>
          <w:sz w:val="24"/>
          <w:szCs w:val="24"/>
        </w:rPr>
        <w:t>Commonwealth</w:t>
      </w:r>
      <w:r w:rsidRPr="00486B87">
        <w:rPr>
          <w:rFonts w:ascii="Times New Roman" w:eastAsia="Times New Roman" w:hAnsi="Times New Roman" w:cs="Times New Roman"/>
          <w:sz w:val="24"/>
          <w:szCs w:val="24"/>
        </w:rPr>
        <w:t xml:space="preserve"> and often leads to innovative doctrines being established. A salient example of this is </w:t>
      </w:r>
      <w:r w:rsidR="003C4659" w:rsidRPr="00486B87">
        <w:rPr>
          <w:rFonts w:ascii="Times New Roman" w:eastAsia="Times New Roman" w:hAnsi="Times New Roman" w:cs="Times New Roman"/>
          <w:sz w:val="24"/>
          <w:szCs w:val="24"/>
        </w:rPr>
        <w:t>a seminal case concerning the Canadian</w:t>
      </w:r>
      <w:r w:rsidR="00D837A6" w:rsidRPr="00486B87">
        <w:rPr>
          <w:rFonts w:ascii="Times New Roman" w:eastAsia="Times New Roman" w:hAnsi="Times New Roman" w:cs="Times New Roman"/>
          <w:sz w:val="24"/>
          <w:szCs w:val="24"/>
        </w:rPr>
        <w:t xml:space="preserve"> </w:t>
      </w:r>
      <w:r w:rsidR="001E1A0A" w:rsidRPr="00486B87">
        <w:rPr>
          <w:rFonts w:ascii="Times New Roman" w:eastAsia="Times New Roman" w:hAnsi="Times New Roman" w:cs="Times New Roman"/>
          <w:sz w:val="24"/>
          <w:szCs w:val="24"/>
        </w:rPr>
        <w:t>C</w:t>
      </w:r>
      <w:r w:rsidR="00D837A6" w:rsidRPr="00486B87">
        <w:rPr>
          <w:rFonts w:ascii="Times New Roman" w:eastAsia="Times New Roman" w:hAnsi="Times New Roman" w:cs="Times New Roman"/>
          <w:sz w:val="24"/>
          <w:szCs w:val="24"/>
        </w:rPr>
        <w:t>onstitution</w:t>
      </w:r>
      <w:r w:rsidR="003C4659" w:rsidRPr="00486B87">
        <w:rPr>
          <w:rFonts w:ascii="Times New Roman" w:eastAsia="Times New Roman" w:hAnsi="Times New Roman" w:cs="Times New Roman"/>
          <w:sz w:val="24"/>
          <w:szCs w:val="24"/>
        </w:rPr>
        <w:t xml:space="preserve">, decided before the </w:t>
      </w:r>
      <w:r w:rsidRPr="00486B87">
        <w:rPr>
          <w:rFonts w:ascii="Times New Roman" w:eastAsia="Times New Roman" w:hAnsi="Times New Roman" w:cs="Times New Roman"/>
          <w:sz w:val="24"/>
          <w:szCs w:val="24"/>
        </w:rPr>
        <w:t>JCPC</w:t>
      </w:r>
      <w:r w:rsidR="003C4659" w:rsidRPr="00486B87">
        <w:rPr>
          <w:rFonts w:ascii="Times New Roman" w:eastAsia="Times New Roman" w:hAnsi="Times New Roman" w:cs="Times New Roman"/>
          <w:sz w:val="24"/>
          <w:szCs w:val="24"/>
        </w:rPr>
        <w:t xml:space="preserve"> in the early twentieth century. The case of </w:t>
      </w:r>
      <w:r w:rsidR="003C4659" w:rsidRPr="00486B87">
        <w:rPr>
          <w:rFonts w:ascii="Times New Roman" w:eastAsia="Times New Roman" w:hAnsi="Times New Roman" w:cs="Times New Roman"/>
          <w:i/>
          <w:sz w:val="24"/>
          <w:szCs w:val="24"/>
        </w:rPr>
        <w:t>Edwards</w:t>
      </w:r>
      <w:r w:rsidR="004053D7" w:rsidRPr="00486B87">
        <w:rPr>
          <w:rStyle w:val="FootnoteReference"/>
          <w:rFonts w:ascii="Times New Roman" w:eastAsia="Times New Roman" w:hAnsi="Times New Roman" w:cs="Times New Roman"/>
          <w:i/>
          <w:sz w:val="24"/>
          <w:szCs w:val="24"/>
        </w:rPr>
        <w:footnoteReference w:id="13"/>
      </w:r>
      <w:r w:rsidR="003C4659" w:rsidRPr="00486B87">
        <w:rPr>
          <w:rFonts w:ascii="Times New Roman" w:eastAsia="Times New Roman" w:hAnsi="Times New Roman" w:cs="Times New Roman"/>
          <w:sz w:val="24"/>
          <w:szCs w:val="24"/>
        </w:rPr>
        <w:t xml:space="preserve"> is a point of interest as it established a constitutional theory known as the </w:t>
      </w:r>
      <w:r w:rsidR="00A35F19" w:rsidRPr="00486B87">
        <w:rPr>
          <w:rFonts w:ascii="Times New Roman" w:eastAsia="Times New Roman" w:hAnsi="Times New Roman" w:cs="Times New Roman"/>
          <w:sz w:val="24"/>
          <w:szCs w:val="24"/>
        </w:rPr>
        <w:t>“</w:t>
      </w:r>
      <w:r w:rsidR="003C4659" w:rsidRPr="00486B87">
        <w:rPr>
          <w:rFonts w:ascii="Times New Roman" w:eastAsia="Times New Roman" w:hAnsi="Times New Roman" w:cs="Times New Roman"/>
          <w:sz w:val="24"/>
          <w:szCs w:val="24"/>
        </w:rPr>
        <w:t>living tree</w:t>
      </w:r>
      <w:r w:rsidR="00A35F19" w:rsidRPr="00486B87">
        <w:rPr>
          <w:rFonts w:ascii="Times New Roman" w:eastAsia="Times New Roman" w:hAnsi="Times New Roman" w:cs="Times New Roman"/>
          <w:sz w:val="24"/>
          <w:szCs w:val="24"/>
        </w:rPr>
        <w:t>”</w:t>
      </w:r>
      <w:r w:rsidR="003C4659" w:rsidRPr="00486B87">
        <w:rPr>
          <w:rFonts w:ascii="Times New Roman" w:eastAsia="Times New Roman" w:hAnsi="Times New Roman" w:cs="Times New Roman"/>
          <w:sz w:val="24"/>
          <w:szCs w:val="24"/>
        </w:rPr>
        <w:t xml:space="preserve"> doctrine. Simply put, this doctrine </w:t>
      </w:r>
      <w:r w:rsidR="00966F41" w:rsidRPr="00486B87">
        <w:rPr>
          <w:rFonts w:ascii="Times New Roman" w:eastAsia="Times New Roman" w:hAnsi="Times New Roman" w:cs="Times New Roman"/>
          <w:sz w:val="24"/>
          <w:szCs w:val="24"/>
        </w:rPr>
        <w:t>asserts that</w:t>
      </w:r>
      <w:r w:rsidR="003C4659" w:rsidRPr="00486B87">
        <w:rPr>
          <w:rFonts w:ascii="Times New Roman" w:eastAsia="Times New Roman" w:hAnsi="Times New Roman" w:cs="Times New Roman"/>
          <w:sz w:val="24"/>
          <w:szCs w:val="24"/>
        </w:rPr>
        <w:t xml:space="preserve"> the </w:t>
      </w:r>
      <w:r w:rsidR="00D837A6" w:rsidRPr="00486B87">
        <w:rPr>
          <w:rFonts w:ascii="Times New Roman" w:eastAsia="Times New Roman" w:hAnsi="Times New Roman" w:cs="Times New Roman"/>
          <w:sz w:val="24"/>
          <w:szCs w:val="24"/>
        </w:rPr>
        <w:t xml:space="preserve">Canadian </w:t>
      </w:r>
      <w:r w:rsidR="001E1A0A" w:rsidRPr="00486B87">
        <w:rPr>
          <w:rFonts w:ascii="Times New Roman" w:eastAsia="Times New Roman" w:hAnsi="Times New Roman" w:cs="Times New Roman"/>
          <w:sz w:val="24"/>
          <w:szCs w:val="24"/>
        </w:rPr>
        <w:t>C</w:t>
      </w:r>
      <w:r w:rsidR="003C4659" w:rsidRPr="00486B87">
        <w:rPr>
          <w:rFonts w:ascii="Times New Roman" w:eastAsia="Times New Roman" w:hAnsi="Times New Roman" w:cs="Times New Roman"/>
          <w:sz w:val="24"/>
          <w:szCs w:val="24"/>
        </w:rPr>
        <w:t xml:space="preserve">onstitution is a living or organic entity that </w:t>
      </w:r>
      <w:r w:rsidR="00EF3FCC" w:rsidRPr="00486B87">
        <w:rPr>
          <w:rFonts w:ascii="Times New Roman" w:eastAsia="Times New Roman" w:hAnsi="Times New Roman" w:cs="Times New Roman"/>
          <w:sz w:val="24"/>
          <w:szCs w:val="24"/>
        </w:rPr>
        <w:t>must</w:t>
      </w:r>
      <w:r w:rsidR="003C4659" w:rsidRPr="00486B87">
        <w:rPr>
          <w:rFonts w:ascii="Times New Roman" w:eastAsia="Times New Roman" w:hAnsi="Times New Roman" w:cs="Times New Roman"/>
          <w:sz w:val="24"/>
          <w:szCs w:val="24"/>
        </w:rPr>
        <w:t xml:space="preserve"> develop and evolve as the society it represents evolves. This case came about when a challenge was brought to the ban on women becoming senators in Canada. In handing down their judgment, the Canadian Supreme Court felt that women should continue not to be eligible for two reasons: first,</w:t>
      </w:r>
      <w:r w:rsidR="000A29A2" w:rsidRPr="00486B87">
        <w:rPr>
          <w:rFonts w:ascii="Times New Roman" w:eastAsia="Times New Roman" w:hAnsi="Times New Roman" w:cs="Times New Roman"/>
          <w:sz w:val="24"/>
          <w:szCs w:val="24"/>
        </w:rPr>
        <w:t xml:space="preserve"> </w:t>
      </w:r>
      <w:proofErr w:type="gramStart"/>
      <w:r w:rsidR="000A29A2" w:rsidRPr="00486B87">
        <w:rPr>
          <w:rFonts w:ascii="Times New Roman" w:eastAsia="Times New Roman" w:hAnsi="Times New Roman" w:cs="Times New Roman"/>
          <w:sz w:val="24"/>
          <w:szCs w:val="24"/>
        </w:rPr>
        <w:t>that women</w:t>
      </w:r>
      <w:proofErr w:type="gramEnd"/>
      <w:r w:rsidR="000A29A2" w:rsidRPr="00486B87">
        <w:rPr>
          <w:rFonts w:ascii="Times New Roman" w:eastAsia="Times New Roman" w:hAnsi="Times New Roman" w:cs="Times New Roman"/>
          <w:sz w:val="24"/>
          <w:szCs w:val="24"/>
        </w:rPr>
        <w:t xml:space="preserve"> under the Canadian common l</w:t>
      </w:r>
      <w:r w:rsidR="003C4659" w:rsidRPr="00486B87">
        <w:rPr>
          <w:rFonts w:ascii="Times New Roman" w:eastAsia="Times New Roman" w:hAnsi="Times New Roman" w:cs="Times New Roman"/>
          <w:sz w:val="24"/>
          <w:szCs w:val="24"/>
        </w:rPr>
        <w:t>aw were not permitted to hold office</w:t>
      </w:r>
      <w:r w:rsidR="007242F4">
        <w:rPr>
          <w:rFonts w:ascii="Times New Roman" w:eastAsia="Times New Roman" w:hAnsi="Times New Roman" w:cs="Times New Roman"/>
          <w:sz w:val="24"/>
          <w:szCs w:val="24"/>
        </w:rPr>
        <w:t xml:space="preserve">. Second, women were not ‘persons’ </w:t>
      </w:r>
      <w:r w:rsidR="003C4659" w:rsidRPr="00486B87">
        <w:rPr>
          <w:rFonts w:ascii="Times New Roman" w:eastAsia="Times New Roman" w:hAnsi="Times New Roman" w:cs="Times New Roman"/>
          <w:sz w:val="24"/>
          <w:szCs w:val="24"/>
        </w:rPr>
        <w:t>using a narrow reading o</w:t>
      </w:r>
      <w:r w:rsidR="00966F41" w:rsidRPr="00486B87">
        <w:rPr>
          <w:rFonts w:ascii="Times New Roman" w:eastAsia="Times New Roman" w:hAnsi="Times New Roman" w:cs="Times New Roman"/>
          <w:sz w:val="24"/>
          <w:szCs w:val="24"/>
        </w:rPr>
        <w:t>f</w:t>
      </w:r>
      <w:r w:rsidR="003C4659" w:rsidRPr="00486B87">
        <w:rPr>
          <w:rFonts w:ascii="Times New Roman" w:eastAsia="Times New Roman" w:hAnsi="Times New Roman" w:cs="Times New Roman"/>
          <w:sz w:val="24"/>
          <w:szCs w:val="24"/>
        </w:rPr>
        <w:t xml:space="preserve"> the word ‘persons’ found in the relevant Act</w:t>
      </w:r>
      <w:r w:rsidR="000A29A2" w:rsidRPr="00486B87">
        <w:rPr>
          <w:rStyle w:val="FootnoteReference"/>
          <w:rFonts w:ascii="Times New Roman" w:eastAsia="Times New Roman" w:hAnsi="Times New Roman" w:cs="Times New Roman"/>
          <w:sz w:val="24"/>
          <w:szCs w:val="24"/>
        </w:rPr>
        <w:footnoteReference w:id="14"/>
      </w:r>
      <w:r w:rsidR="000A29A2" w:rsidRPr="00486B87">
        <w:rPr>
          <w:rFonts w:ascii="Times New Roman" w:eastAsia="Times New Roman" w:hAnsi="Times New Roman" w:cs="Times New Roman"/>
          <w:sz w:val="24"/>
          <w:szCs w:val="24"/>
        </w:rPr>
        <w:t xml:space="preserve">, </w:t>
      </w:r>
      <w:r w:rsidR="003C4659" w:rsidRPr="00486B87">
        <w:rPr>
          <w:rFonts w:ascii="Times New Roman" w:eastAsia="Times New Roman" w:hAnsi="Times New Roman" w:cs="Times New Roman"/>
          <w:sz w:val="24"/>
          <w:szCs w:val="24"/>
        </w:rPr>
        <w:t xml:space="preserve">and the male emphasis in </w:t>
      </w:r>
      <w:r w:rsidR="00AE3985" w:rsidRPr="00486B87">
        <w:rPr>
          <w:rFonts w:ascii="Times New Roman" w:eastAsia="Times New Roman" w:hAnsi="Times New Roman" w:cs="Times New Roman"/>
          <w:sz w:val="24"/>
          <w:szCs w:val="24"/>
        </w:rPr>
        <w:t>s</w:t>
      </w:r>
      <w:r w:rsidR="00AE3985">
        <w:rPr>
          <w:rFonts w:ascii="Times New Roman" w:eastAsia="Times New Roman" w:hAnsi="Times New Roman" w:cs="Times New Roman"/>
          <w:sz w:val="24"/>
          <w:szCs w:val="24"/>
        </w:rPr>
        <w:t>.</w:t>
      </w:r>
      <w:r w:rsidR="003C4659" w:rsidRPr="00486B87">
        <w:rPr>
          <w:rFonts w:ascii="Times New Roman" w:eastAsia="Times New Roman" w:hAnsi="Times New Roman" w:cs="Times New Roman"/>
          <w:sz w:val="24"/>
          <w:szCs w:val="24"/>
        </w:rPr>
        <w:t>2</w:t>
      </w:r>
      <w:r w:rsidR="007242F4">
        <w:rPr>
          <w:rFonts w:ascii="Times New Roman" w:eastAsia="Times New Roman" w:hAnsi="Times New Roman" w:cs="Times New Roman"/>
          <w:sz w:val="24"/>
          <w:szCs w:val="24"/>
        </w:rPr>
        <w:t>4</w:t>
      </w:r>
      <w:r w:rsidR="00745E4E">
        <w:rPr>
          <w:rStyle w:val="FootnoteReference"/>
          <w:rFonts w:ascii="Times New Roman" w:eastAsia="Times New Roman" w:hAnsi="Times New Roman" w:cs="Times New Roman"/>
          <w:sz w:val="24"/>
          <w:szCs w:val="24"/>
        </w:rPr>
        <w:footnoteReference w:id="15"/>
      </w:r>
      <w:r w:rsidR="003C4659" w:rsidRPr="00486B87">
        <w:rPr>
          <w:rFonts w:ascii="Times New Roman" w:eastAsia="Times New Roman" w:hAnsi="Times New Roman" w:cs="Times New Roman"/>
          <w:sz w:val="24"/>
          <w:szCs w:val="24"/>
        </w:rPr>
        <w:t xml:space="preserve">. Using both the Common Law principle and the intrinsic aid above, the Canadian Supreme Court </w:t>
      </w:r>
      <w:r w:rsidR="007F4B43" w:rsidRPr="00486B87">
        <w:rPr>
          <w:rFonts w:ascii="Times New Roman" w:eastAsia="Times New Roman" w:hAnsi="Times New Roman" w:cs="Times New Roman"/>
          <w:sz w:val="24"/>
          <w:szCs w:val="24"/>
        </w:rPr>
        <w:t>maintained the prohibition</w:t>
      </w:r>
      <w:r w:rsidR="003C4659" w:rsidRPr="00486B87">
        <w:rPr>
          <w:rFonts w:ascii="Times New Roman" w:eastAsia="Times New Roman" w:hAnsi="Times New Roman" w:cs="Times New Roman"/>
          <w:sz w:val="24"/>
          <w:szCs w:val="24"/>
        </w:rPr>
        <w:t xml:space="preserve"> on women becoming </w:t>
      </w:r>
      <w:r w:rsidR="007F4B43" w:rsidRPr="00486B87">
        <w:rPr>
          <w:rFonts w:ascii="Times New Roman" w:eastAsia="Times New Roman" w:hAnsi="Times New Roman" w:cs="Times New Roman"/>
          <w:sz w:val="24"/>
          <w:szCs w:val="24"/>
        </w:rPr>
        <w:t xml:space="preserve">Canadian </w:t>
      </w:r>
      <w:r w:rsidR="003C4659" w:rsidRPr="00486B87">
        <w:rPr>
          <w:rFonts w:ascii="Times New Roman" w:eastAsia="Times New Roman" w:hAnsi="Times New Roman" w:cs="Times New Roman"/>
          <w:sz w:val="24"/>
          <w:szCs w:val="24"/>
        </w:rPr>
        <w:t xml:space="preserve">senators. However, on appeal to the </w:t>
      </w:r>
      <w:r w:rsidR="002B3282" w:rsidRPr="00486B87">
        <w:rPr>
          <w:rFonts w:ascii="Times New Roman" w:eastAsia="Times New Roman" w:hAnsi="Times New Roman" w:cs="Times New Roman"/>
          <w:sz w:val="24"/>
          <w:szCs w:val="24"/>
        </w:rPr>
        <w:t>JCPC</w:t>
      </w:r>
      <w:r w:rsidR="003C4659" w:rsidRPr="00486B87">
        <w:rPr>
          <w:rFonts w:ascii="Times New Roman" w:eastAsia="Times New Roman" w:hAnsi="Times New Roman" w:cs="Times New Roman"/>
          <w:sz w:val="24"/>
          <w:szCs w:val="24"/>
        </w:rPr>
        <w:t xml:space="preserve">, the </w:t>
      </w:r>
      <w:r w:rsidR="007F4B43" w:rsidRPr="00486B87">
        <w:rPr>
          <w:rFonts w:ascii="Times New Roman" w:eastAsia="Times New Roman" w:hAnsi="Times New Roman" w:cs="Times New Roman"/>
          <w:sz w:val="24"/>
          <w:szCs w:val="24"/>
        </w:rPr>
        <w:t xml:space="preserve">prevailing </w:t>
      </w:r>
      <w:r w:rsidR="003C4659" w:rsidRPr="00486B87">
        <w:rPr>
          <w:rFonts w:ascii="Times New Roman" w:eastAsia="Times New Roman" w:hAnsi="Times New Roman" w:cs="Times New Roman"/>
          <w:sz w:val="24"/>
          <w:szCs w:val="24"/>
        </w:rPr>
        <w:t xml:space="preserve">authority that </w:t>
      </w:r>
      <w:r w:rsidR="003C4659" w:rsidRPr="00486B87">
        <w:rPr>
          <w:rFonts w:ascii="Times New Roman" w:eastAsia="Times New Roman" w:hAnsi="Times New Roman" w:cs="Times New Roman"/>
          <w:sz w:val="24"/>
          <w:szCs w:val="24"/>
        </w:rPr>
        <w:lastRenderedPageBreak/>
        <w:t xml:space="preserve">had persuaded the Canadian Supreme Court came under </w:t>
      </w:r>
      <w:r w:rsidR="007F4B43" w:rsidRPr="00486B87">
        <w:rPr>
          <w:rFonts w:ascii="Times New Roman" w:eastAsia="Times New Roman" w:hAnsi="Times New Roman" w:cs="Times New Roman"/>
          <w:sz w:val="24"/>
          <w:szCs w:val="24"/>
        </w:rPr>
        <w:t xml:space="preserve">the direct </w:t>
      </w:r>
      <w:r w:rsidR="003C4659" w:rsidRPr="00486B87">
        <w:rPr>
          <w:rFonts w:ascii="Times New Roman" w:eastAsia="Times New Roman" w:hAnsi="Times New Roman" w:cs="Times New Roman"/>
          <w:sz w:val="24"/>
          <w:szCs w:val="24"/>
        </w:rPr>
        <w:t>scrutiny</w:t>
      </w:r>
      <w:r w:rsidR="007F4B43" w:rsidRPr="00486B87">
        <w:rPr>
          <w:rFonts w:ascii="Times New Roman" w:eastAsia="Times New Roman" w:hAnsi="Times New Roman" w:cs="Times New Roman"/>
          <w:sz w:val="24"/>
          <w:szCs w:val="24"/>
        </w:rPr>
        <w:t xml:space="preserve"> of the JCPC</w:t>
      </w:r>
      <w:r w:rsidR="003C4659" w:rsidRPr="00486B87">
        <w:rPr>
          <w:rFonts w:ascii="Times New Roman" w:eastAsia="Times New Roman" w:hAnsi="Times New Roman" w:cs="Times New Roman"/>
          <w:sz w:val="24"/>
          <w:szCs w:val="24"/>
        </w:rPr>
        <w:t xml:space="preserve">; in handing down their judgment, the </w:t>
      </w:r>
      <w:r w:rsidR="00075B7C">
        <w:rPr>
          <w:rFonts w:ascii="Times New Roman" w:eastAsia="Times New Roman" w:hAnsi="Times New Roman" w:cs="Times New Roman"/>
          <w:sz w:val="24"/>
          <w:szCs w:val="24"/>
        </w:rPr>
        <w:t>C</w:t>
      </w:r>
      <w:r w:rsidR="003C4659" w:rsidRPr="00486B87">
        <w:rPr>
          <w:rFonts w:ascii="Times New Roman" w:eastAsia="Times New Roman" w:hAnsi="Times New Roman" w:cs="Times New Roman"/>
          <w:sz w:val="24"/>
          <w:szCs w:val="24"/>
        </w:rPr>
        <w:t>ourt said</w:t>
      </w:r>
      <w:r w:rsidR="00966F41" w:rsidRPr="00486B87">
        <w:rPr>
          <w:rFonts w:ascii="Times New Roman" w:eastAsia="Times New Roman" w:hAnsi="Times New Roman" w:cs="Times New Roman"/>
          <w:sz w:val="24"/>
          <w:szCs w:val="24"/>
        </w:rPr>
        <w:t>:</w:t>
      </w:r>
    </w:p>
    <w:p w14:paraId="2F607EB0" w14:textId="5F9733F4" w:rsidR="00966F41" w:rsidRPr="00486B87" w:rsidRDefault="003C4659" w:rsidP="00174DA6">
      <w:pPr>
        <w:spacing w:line="480" w:lineRule="auto"/>
        <w:ind w:left="720"/>
        <w:jc w:val="both"/>
        <w:rPr>
          <w:rFonts w:ascii="Times New Roman" w:eastAsia="Times New Roman" w:hAnsi="Times New Roman" w:cs="Times New Roman"/>
          <w:sz w:val="24"/>
          <w:szCs w:val="24"/>
        </w:rPr>
      </w:pPr>
      <w:r w:rsidRPr="00486B87">
        <w:rPr>
          <w:rFonts w:ascii="Times New Roman" w:eastAsia="Times New Roman" w:hAnsi="Times New Roman" w:cs="Times New Roman"/>
          <w:sz w:val="24"/>
          <w:szCs w:val="24"/>
        </w:rPr>
        <w:t>“</w:t>
      </w:r>
      <w:proofErr w:type="gramStart"/>
      <w:r w:rsidRPr="00486B87">
        <w:rPr>
          <w:rFonts w:ascii="Times New Roman" w:eastAsia="Times New Roman" w:hAnsi="Times New Roman" w:cs="Times New Roman"/>
          <w:sz w:val="24"/>
          <w:szCs w:val="24"/>
        </w:rPr>
        <w:t>their</w:t>
      </w:r>
      <w:proofErr w:type="gramEnd"/>
      <w:r w:rsidRPr="00486B87">
        <w:rPr>
          <w:rFonts w:ascii="Times New Roman" w:eastAsia="Times New Roman" w:hAnsi="Times New Roman" w:cs="Times New Roman"/>
          <w:sz w:val="24"/>
          <w:szCs w:val="24"/>
        </w:rPr>
        <w:t xml:space="preserve"> Lordships do not think it right to apply rigidly to Canada of to-day the decisions and the </w:t>
      </w:r>
      <w:proofErr w:type="spellStart"/>
      <w:r w:rsidRPr="00486B87">
        <w:rPr>
          <w:rFonts w:ascii="Times New Roman" w:eastAsia="Times New Roman" w:hAnsi="Times New Roman" w:cs="Times New Roman"/>
          <w:sz w:val="24"/>
          <w:szCs w:val="24"/>
        </w:rPr>
        <w:t>reasonings</w:t>
      </w:r>
      <w:proofErr w:type="spellEnd"/>
      <w:r w:rsidRPr="00486B87">
        <w:rPr>
          <w:rFonts w:ascii="Times New Roman" w:eastAsia="Times New Roman" w:hAnsi="Times New Roman" w:cs="Times New Roman"/>
          <w:sz w:val="24"/>
          <w:szCs w:val="24"/>
        </w:rPr>
        <w:t xml:space="preserve"> therefor which commended themselves, probably rightly, to those who had to apply the law in different circumstances, in different centuries to countries in different stages of development”</w:t>
      </w:r>
      <w:r w:rsidR="007242F4">
        <w:rPr>
          <w:rStyle w:val="FootnoteReference"/>
          <w:rFonts w:ascii="Times New Roman" w:eastAsia="Times New Roman" w:hAnsi="Times New Roman" w:cs="Times New Roman"/>
          <w:sz w:val="24"/>
          <w:szCs w:val="24"/>
        </w:rPr>
        <w:footnoteReference w:id="16"/>
      </w:r>
      <w:r w:rsidRPr="00486B87">
        <w:rPr>
          <w:rFonts w:ascii="Times New Roman" w:eastAsia="Times New Roman" w:hAnsi="Times New Roman" w:cs="Times New Roman"/>
          <w:sz w:val="24"/>
          <w:szCs w:val="24"/>
        </w:rPr>
        <w:t xml:space="preserve">. </w:t>
      </w:r>
    </w:p>
    <w:p w14:paraId="42BC8CF5" w14:textId="507B1399" w:rsidR="004806C7" w:rsidRPr="00486B87" w:rsidRDefault="003C4659" w:rsidP="00174DA6">
      <w:pPr>
        <w:spacing w:line="480" w:lineRule="auto"/>
        <w:jc w:val="both"/>
        <w:rPr>
          <w:rFonts w:ascii="Times New Roman" w:eastAsia="Times New Roman" w:hAnsi="Times New Roman" w:cs="Times New Roman"/>
          <w:sz w:val="24"/>
          <w:szCs w:val="24"/>
        </w:rPr>
      </w:pPr>
      <w:r w:rsidRPr="00486B87">
        <w:rPr>
          <w:rFonts w:ascii="Times New Roman" w:eastAsia="Times New Roman" w:hAnsi="Times New Roman" w:cs="Times New Roman"/>
          <w:sz w:val="24"/>
          <w:szCs w:val="24"/>
        </w:rPr>
        <w:t xml:space="preserve">This is a departure from the reserved approach taken by the domestic courts in Canada and </w:t>
      </w:r>
      <w:r w:rsidR="00F30B8B" w:rsidRPr="00486B87">
        <w:rPr>
          <w:rFonts w:ascii="Times New Roman" w:eastAsia="Times New Roman" w:hAnsi="Times New Roman" w:cs="Times New Roman"/>
          <w:sz w:val="24"/>
          <w:szCs w:val="24"/>
        </w:rPr>
        <w:t>the adoption of, arguably, a judicial activist</w:t>
      </w:r>
      <w:r w:rsidR="00966F41" w:rsidRPr="00486B87">
        <w:rPr>
          <w:rStyle w:val="FootnoteReference"/>
          <w:rFonts w:ascii="Times New Roman" w:eastAsia="Times New Roman" w:hAnsi="Times New Roman" w:cs="Times New Roman"/>
          <w:sz w:val="24"/>
          <w:szCs w:val="24"/>
        </w:rPr>
        <w:footnoteReference w:id="17"/>
      </w:r>
      <w:r w:rsidR="00F30B8B" w:rsidRPr="00486B87">
        <w:rPr>
          <w:rFonts w:ascii="Times New Roman" w:eastAsia="Times New Roman" w:hAnsi="Times New Roman" w:cs="Times New Roman"/>
          <w:sz w:val="24"/>
          <w:szCs w:val="24"/>
        </w:rPr>
        <w:t xml:space="preserve"> approach to ensu</w:t>
      </w:r>
      <w:r w:rsidR="002F1493" w:rsidRPr="00486B87">
        <w:rPr>
          <w:rFonts w:ascii="Times New Roman" w:eastAsia="Times New Roman" w:hAnsi="Times New Roman" w:cs="Times New Roman"/>
          <w:sz w:val="24"/>
          <w:szCs w:val="24"/>
        </w:rPr>
        <w:t>r</w:t>
      </w:r>
      <w:r w:rsidR="00F30B8B" w:rsidRPr="00486B87">
        <w:rPr>
          <w:rFonts w:ascii="Times New Roman" w:eastAsia="Times New Roman" w:hAnsi="Times New Roman" w:cs="Times New Roman"/>
          <w:sz w:val="24"/>
          <w:szCs w:val="24"/>
        </w:rPr>
        <w:t>ing that the laws of Canada reflect common and popular morality</w:t>
      </w:r>
      <w:r w:rsidRPr="00486B87">
        <w:rPr>
          <w:rFonts w:ascii="Times New Roman" w:eastAsia="Times New Roman" w:hAnsi="Times New Roman" w:cs="Times New Roman"/>
          <w:sz w:val="24"/>
          <w:szCs w:val="24"/>
        </w:rPr>
        <w:t xml:space="preserve">. </w:t>
      </w:r>
      <w:r w:rsidR="00D63FAF" w:rsidRPr="00486B87">
        <w:rPr>
          <w:rFonts w:ascii="Times New Roman" w:eastAsia="Times New Roman" w:hAnsi="Times New Roman" w:cs="Times New Roman"/>
          <w:sz w:val="24"/>
          <w:szCs w:val="24"/>
        </w:rPr>
        <w:t xml:space="preserve">It is </w:t>
      </w:r>
      <w:r w:rsidR="00685BE2" w:rsidRPr="00486B87">
        <w:rPr>
          <w:rFonts w:ascii="Times New Roman" w:eastAsia="Times New Roman" w:hAnsi="Times New Roman" w:cs="Times New Roman"/>
          <w:sz w:val="24"/>
          <w:szCs w:val="24"/>
        </w:rPr>
        <w:t>also possible to argue that the JCPC introduced – or at least considered – equality before the law</w:t>
      </w:r>
      <w:r w:rsidR="00685BE2" w:rsidRPr="00486B87">
        <w:rPr>
          <w:rStyle w:val="FootnoteReference"/>
          <w:rFonts w:ascii="Times New Roman" w:eastAsia="Times New Roman" w:hAnsi="Times New Roman" w:cs="Times New Roman"/>
          <w:sz w:val="24"/>
          <w:szCs w:val="24"/>
        </w:rPr>
        <w:footnoteReference w:id="18"/>
      </w:r>
      <w:r w:rsidR="00685BE2" w:rsidRPr="00486B87">
        <w:rPr>
          <w:rFonts w:ascii="Times New Roman" w:eastAsia="Times New Roman" w:hAnsi="Times New Roman" w:cs="Times New Roman"/>
          <w:sz w:val="24"/>
          <w:szCs w:val="24"/>
        </w:rPr>
        <w:t xml:space="preserve"> when giving their opinion. </w:t>
      </w:r>
      <w:r w:rsidR="005958E7" w:rsidRPr="00486B87">
        <w:rPr>
          <w:rFonts w:ascii="Times New Roman" w:eastAsia="Times New Roman" w:hAnsi="Times New Roman" w:cs="Times New Roman"/>
          <w:sz w:val="24"/>
          <w:szCs w:val="24"/>
        </w:rPr>
        <w:t xml:space="preserve">Equality before the law will be addressed later in the article. </w:t>
      </w:r>
    </w:p>
    <w:p w14:paraId="09BC100E" w14:textId="77777777" w:rsidR="00FE591E" w:rsidRPr="00486B87" w:rsidRDefault="00FE591E" w:rsidP="00174DA6">
      <w:pPr>
        <w:spacing w:line="480" w:lineRule="auto"/>
        <w:jc w:val="both"/>
        <w:rPr>
          <w:rFonts w:ascii="Times New Roman" w:eastAsia="Times New Roman" w:hAnsi="Times New Roman" w:cs="Times New Roman"/>
          <w:sz w:val="24"/>
          <w:szCs w:val="24"/>
        </w:rPr>
      </w:pPr>
    </w:p>
    <w:p w14:paraId="4C1B2144" w14:textId="3C80BA5F" w:rsidR="0022382C" w:rsidRPr="00486B87" w:rsidRDefault="003C4659" w:rsidP="00174DA6">
      <w:pPr>
        <w:spacing w:line="480" w:lineRule="auto"/>
        <w:jc w:val="both"/>
        <w:rPr>
          <w:rFonts w:ascii="Times New Roman" w:eastAsia="Times New Roman" w:hAnsi="Times New Roman" w:cs="Times New Roman"/>
          <w:sz w:val="24"/>
          <w:szCs w:val="24"/>
        </w:rPr>
      </w:pPr>
      <w:r w:rsidRPr="00486B87">
        <w:rPr>
          <w:rFonts w:ascii="Times New Roman" w:eastAsia="Times New Roman" w:hAnsi="Times New Roman" w:cs="Times New Roman"/>
          <w:sz w:val="24"/>
          <w:szCs w:val="24"/>
        </w:rPr>
        <w:t>The judgment refers to “[planting] in Canada a living tree capable of growth and expansion within its natural limits”</w:t>
      </w:r>
      <w:r w:rsidR="00966F41" w:rsidRPr="00486B87">
        <w:rPr>
          <w:rStyle w:val="FootnoteReference"/>
          <w:rFonts w:ascii="Times New Roman" w:eastAsia="Times New Roman" w:hAnsi="Times New Roman" w:cs="Times New Roman"/>
          <w:sz w:val="24"/>
          <w:szCs w:val="24"/>
        </w:rPr>
        <w:footnoteReference w:id="19"/>
      </w:r>
      <w:r w:rsidRPr="00486B87">
        <w:rPr>
          <w:rFonts w:ascii="Times New Roman" w:eastAsia="Times New Roman" w:hAnsi="Times New Roman" w:cs="Times New Roman"/>
          <w:sz w:val="24"/>
          <w:szCs w:val="24"/>
        </w:rPr>
        <w:t>. This idea of a gift by the UK legislature, of a growing and evolving constitution in Canada</w:t>
      </w:r>
      <w:r w:rsidR="00B11C86">
        <w:rPr>
          <w:rFonts w:ascii="Times New Roman" w:eastAsia="Times New Roman" w:hAnsi="Times New Roman" w:cs="Times New Roman"/>
          <w:sz w:val="24"/>
          <w:szCs w:val="24"/>
        </w:rPr>
        <w:t>,</w:t>
      </w:r>
      <w:r w:rsidRPr="00486B87">
        <w:rPr>
          <w:rFonts w:ascii="Times New Roman" w:eastAsia="Times New Roman" w:hAnsi="Times New Roman" w:cs="Times New Roman"/>
          <w:sz w:val="24"/>
          <w:szCs w:val="24"/>
        </w:rPr>
        <w:t xml:space="preserve"> is a particularly relevant point when considering the current issue in Bermuda abovementioned. If the gift of a constitution by the UK to a </w:t>
      </w:r>
      <w:r w:rsidR="008B5938" w:rsidRPr="00486B87">
        <w:rPr>
          <w:rFonts w:ascii="Times New Roman" w:eastAsia="Times New Roman" w:hAnsi="Times New Roman" w:cs="Times New Roman"/>
          <w:sz w:val="24"/>
          <w:szCs w:val="24"/>
        </w:rPr>
        <w:t>Commonwealth</w:t>
      </w:r>
      <w:r w:rsidRPr="00486B87">
        <w:rPr>
          <w:rFonts w:ascii="Times New Roman" w:eastAsia="Times New Roman" w:hAnsi="Times New Roman" w:cs="Times New Roman"/>
          <w:sz w:val="24"/>
          <w:szCs w:val="24"/>
        </w:rPr>
        <w:t xml:space="preserve"> country is an evolving gift which is everything but stagnant, then it follows to reason that the Bermuda Constitution Act 1967 and the Bermuda Constitution Order 1968 has also gifted a living organic constitution to reflect the society that it serves. If the </w:t>
      </w:r>
      <w:r w:rsidR="001E1A0A" w:rsidRPr="00486B87">
        <w:rPr>
          <w:rFonts w:ascii="Times New Roman" w:eastAsia="Times New Roman" w:hAnsi="Times New Roman" w:cs="Times New Roman"/>
          <w:sz w:val="24"/>
          <w:szCs w:val="24"/>
        </w:rPr>
        <w:t>C</w:t>
      </w:r>
      <w:r w:rsidRPr="00486B87">
        <w:rPr>
          <w:rFonts w:ascii="Times New Roman" w:eastAsia="Times New Roman" w:hAnsi="Times New Roman" w:cs="Times New Roman"/>
          <w:sz w:val="24"/>
          <w:szCs w:val="24"/>
        </w:rPr>
        <w:t xml:space="preserve">onstitution is living, </w:t>
      </w:r>
      <w:r w:rsidRPr="00486B87">
        <w:rPr>
          <w:rFonts w:ascii="Times New Roman" w:eastAsia="Times New Roman" w:hAnsi="Times New Roman" w:cs="Times New Roman"/>
          <w:sz w:val="24"/>
          <w:szCs w:val="24"/>
        </w:rPr>
        <w:lastRenderedPageBreak/>
        <w:t>then the rights contained within it can be expanded upon in the same way that the C</w:t>
      </w:r>
      <w:r w:rsidR="00AC3D6C" w:rsidRPr="00486B87">
        <w:rPr>
          <w:rFonts w:ascii="Times New Roman" w:eastAsia="Times New Roman" w:hAnsi="Times New Roman" w:cs="Times New Roman"/>
          <w:sz w:val="24"/>
          <w:szCs w:val="24"/>
        </w:rPr>
        <w:t>anadian constitutional rights w</w:t>
      </w:r>
      <w:r w:rsidRPr="00486B87">
        <w:rPr>
          <w:rFonts w:ascii="Times New Roman" w:eastAsia="Times New Roman" w:hAnsi="Times New Roman" w:cs="Times New Roman"/>
          <w:sz w:val="24"/>
          <w:szCs w:val="24"/>
        </w:rPr>
        <w:t xml:space="preserve">ere expanded to include women senators. Two </w:t>
      </w:r>
      <w:r w:rsidR="00475968" w:rsidRPr="00486B87">
        <w:rPr>
          <w:rFonts w:ascii="Times New Roman" w:eastAsia="Times New Roman" w:hAnsi="Times New Roman" w:cs="Times New Roman"/>
          <w:sz w:val="24"/>
          <w:szCs w:val="24"/>
        </w:rPr>
        <w:t>questions</w:t>
      </w:r>
      <w:r w:rsidRPr="00486B87">
        <w:rPr>
          <w:rFonts w:ascii="Times New Roman" w:eastAsia="Times New Roman" w:hAnsi="Times New Roman" w:cs="Times New Roman"/>
          <w:sz w:val="24"/>
          <w:szCs w:val="24"/>
        </w:rPr>
        <w:t xml:space="preserve"> arise here</w:t>
      </w:r>
      <w:r w:rsidR="000265E6">
        <w:rPr>
          <w:rFonts w:ascii="Times New Roman" w:eastAsia="Times New Roman" w:hAnsi="Times New Roman" w:cs="Times New Roman"/>
          <w:sz w:val="24"/>
          <w:szCs w:val="24"/>
        </w:rPr>
        <w:t>:</w:t>
      </w:r>
      <w:r w:rsidRPr="00486B87">
        <w:rPr>
          <w:rFonts w:ascii="Times New Roman" w:eastAsia="Times New Roman" w:hAnsi="Times New Roman" w:cs="Times New Roman"/>
          <w:sz w:val="24"/>
          <w:szCs w:val="24"/>
        </w:rPr>
        <w:t xml:space="preserve"> firstly, is the Bermudian HRA </w:t>
      </w:r>
      <w:r w:rsidR="00475968" w:rsidRPr="00486B87">
        <w:rPr>
          <w:rFonts w:ascii="Times New Roman" w:eastAsia="Times New Roman" w:hAnsi="Times New Roman" w:cs="Times New Roman"/>
          <w:sz w:val="24"/>
          <w:szCs w:val="24"/>
        </w:rPr>
        <w:t>sufficient in its authority to expand upon constitutional rights. Secondly, can</w:t>
      </w:r>
      <w:r w:rsidRPr="00486B87">
        <w:rPr>
          <w:rFonts w:ascii="Times New Roman" w:eastAsia="Times New Roman" w:hAnsi="Times New Roman" w:cs="Times New Roman"/>
          <w:sz w:val="24"/>
          <w:szCs w:val="24"/>
        </w:rPr>
        <w:t xml:space="preserve"> the </w:t>
      </w:r>
      <w:r w:rsidR="001E1A0A" w:rsidRPr="00486B87">
        <w:rPr>
          <w:rFonts w:ascii="Times New Roman" w:eastAsia="Times New Roman" w:hAnsi="Times New Roman" w:cs="Times New Roman"/>
          <w:sz w:val="24"/>
          <w:szCs w:val="24"/>
        </w:rPr>
        <w:t>C</w:t>
      </w:r>
      <w:r w:rsidRPr="00486B87">
        <w:rPr>
          <w:rFonts w:ascii="Times New Roman" w:eastAsia="Times New Roman" w:hAnsi="Times New Roman" w:cs="Times New Roman"/>
          <w:sz w:val="24"/>
          <w:szCs w:val="24"/>
        </w:rPr>
        <w:t>onst</w:t>
      </w:r>
      <w:r w:rsidR="00FE591E" w:rsidRPr="00486B87">
        <w:rPr>
          <w:rFonts w:ascii="Times New Roman" w:eastAsia="Times New Roman" w:hAnsi="Times New Roman" w:cs="Times New Roman"/>
          <w:sz w:val="24"/>
          <w:szCs w:val="24"/>
        </w:rPr>
        <w:t>itution in its living nature</w:t>
      </w:r>
      <w:r w:rsidRPr="00486B87">
        <w:rPr>
          <w:rFonts w:ascii="Times New Roman" w:eastAsia="Times New Roman" w:hAnsi="Times New Roman" w:cs="Times New Roman"/>
          <w:sz w:val="24"/>
          <w:szCs w:val="24"/>
        </w:rPr>
        <w:t xml:space="preserve"> contract as well as expand</w:t>
      </w:r>
      <w:r w:rsidR="00FE591E" w:rsidRPr="00486B87">
        <w:rPr>
          <w:rFonts w:ascii="Times New Roman" w:eastAsia="Times New Roman" w:hAnsi="Times New Roman" w:cs="Times New Roman"/>
          <w:sz w:val="24"/>
          <w:szCs w:val="24"/>
        </w:rPr>
        <w:t>;</w:t>
      </w:r>
      <w:r w:rsidRPr="00486B87">
        <w:rPr>
          <w:rFonts w:ascii="Times New Roman" w:eastAsia="Times New Roman" w:hAnsi="Times New Roman" w:cs="Times New Roman"/>
          <w:sz w:val="24"/>
          <w:szCs w:val="24"/>
        </w:rPr>
        <w:t xml:space="preserve"> can it allow for the removal of rights which have lawfully been given</w:t>
      </w:r>
      <w:r w:rsidRPr="00486B87">
        <w:rPr>
          <w:rFonts w:ascii="Times New Roman" w:eastAsia="Times New Roman" w:hAnsi="Times New Roman" w:cs="Times New Roman"/>
          <w:color w:val="000000" w:themeColor="text1"/>
          <w:sz w:val="24"/>
          <w:szCs w:val="24"/>
        </w:rPr>
        <w:t>? </w:t>
      </w:r>
      <w:r w:rsidR="00FE591E" w:rsidRPr="00486B87">
        <w:rPr>
          <w:rFonts w:ascii="Times New Roman" w:eastAsia="Times New Roman" w:hAnsi="Times New Roman" w:cs="Times New Roman"/>
          <w:color w:val="000000" w:themeColor="text1"/>
          <w:sz w:val="24"/>
          <w:szCs w:val="24"/>
        </w:rPr>
        <w:t xml:space="preserve">In considering whether the </w:t>
      </w:r>
      <w:r w:rsidR="001E1A0A" w:rsidRPr="00486B87">
        <w:rPr>
          <w:rFonts w:ascii="Times New Roman" w:eastAsia="Times New Roman" w:hAnsi="Times New Roman" w:cs="Times New Roman"/>
          <w:color w:val="000000" w:themeColor="text1"/>
          <w:sz w:val="24"/>
          <w:szCs w:val="24"/>
        </w:rPr>
        <w:t>C</w:t>
      </w:r>
      <w:r w:rsidR="00FE591E" w:rsidRPr="00486B87">
        <w:rPr>
          <w:rFonts w:ascii="Times New Roman" w:eastAsia="Times New Roman" w:hAnsi="Times New Roman" w:cs="Times New Roman"/>
          <w:color w:val="000000" w:themeColor="text1"/>
          <w:sz w:val="24"/>
          <w:szCs w:val="24"/>
        </w:rPr>
        <w:t>onstitution can contract,</w:t>
      </w:r>
      <w:r w:rsidRPr="00486B87">
        <w:rPr>
          <w:rFonts w:ascii="Times New Roman" w:eastAsia="Times New Roman" w:hAnsi="Times New Roman" w:cs="Times New Roman"/>
          <w:color w:val="000000" w:themeColor="text1"/>
          <w:sz w:val="24"/>
          <w:szCs w:val="24"/>
        </w:rPr>
        <w:t xml:space="preserve"> will UK common law on removing rights that have been given influence a</w:t>
      </w:r>
      <w:r w:rsidR="00FE591E" w:rsidRPr="00486B87">
        <w:rPr>
          <w:rFonts w:ascii="Times New Roman" w:eastAsia="Times New Roman" w:hAnsi="Times New Roman" w:cs="Times New Roman"/>
          <w:color w:val="000000" w:themeColor="text1"/>
          <w:sz w:val="24"/>
          <w:szCs w:val="24"/>
        </w:rPr>
        <w:t>ny</w:t>
      </w:r>
      <w:r w:rsidRPr="00486B87">
        <w:rPr>
          <w:rFonts w:ascii="Times New Roman" w:eastAsia="Times New Roman" w:hAnsi="Times New Roman" w:cs="Times New Roman"/>
          <w:color w:val="000000" w:themeColor="text1"/>
          <w:sz w:val="24"/>
          <w:szCs w:val="24"/>
        </w:rPr>
        <w:t xml:space="preserve"> potential appeal to the </w:t>
      </w:r>
      <w:r w:rsidR="002B3282" w:rsidRPr="00486B87">
        <w:rPr>
          <w:rFonts w:ascii="Times New Roman" w:eastAsia="Times New Roman" w:hAnsi="Times New Roman" w:cs="Times New Roman"/>
          <w:color w:val="000000" w:themeColor="text1"/>
          <w:sz w:val="24"/>
          <w:szCs w:val="24"/>
        </w:rPr>
        <w:t>JCPC</w:t>
      </w:r>
      <w:r w:rsidRPr="00486B87">
        <w:rPr>
          <w:rFonts w:ascii="Times New Roman" w:eastAsia="Times New Roman" w:hAnsi="Times New Roman" w:cs="Times New Roman"/>
          <w:color w:val="000000" w:themeColor="text1"/>
          <w:sz w:val="24"/>
          <w:szCs w:val="24"/>
        </w:rPr>
        <w:t xml:space="preserve"> in the withdrawal </w:t>
      </w:r>
      <w:r w:rsidR="004C3EAC" w:rsidRPr="00486B87">
        <w:rPr>
          <w:rFonts w:ascii="Times New Roman" w:eastAsia="Times New Roman" w:hAnsi="Times New Roman" w:cs="Times New Roman"/>
          <w:color w:val="000000" w:themeColor="text1"/>
          <w:sz w:val="24"/>
          <w:szCs w:val="24"/>
        </w:rPr>
        <w:t>of same-sex marriage in Bermuda?</w:t>
      </w:r>
      <w:r w:rsidRPr="00486B87">
        <w:rPr>
          <w:rFonts w:ascii="Times New Roman" w:eastAsia="Times New Roman" w:hAnsi="Times New Roman" w:cs="Times New Roman"/>
          <w:color w:val="000000" w:themeColor="text1"/>
          <w:sz w:val="24"/>
          <w:szCs w:val="24"/>
        </w:rPr>
        <w:t xml:space="preserve"> The </w:t>
      </w:r>
      <w:r w:rsidRPr="00486B87">
        <w:rPr>
          <w:rFonts w:ascii="Times New Roman" w:eastAsia="Times New Roman" w:hAnsi="Times New Roman" w:cs="Times New Roman"/>
          <w:sz w:val="24"/>
          <w:szCs w:val="24"/>
        </w:rPr>
        <w:t xml:space="preserve">case of </w:t>
      </w:r>
      <w:r w:rsidRPr="00486B87">
        <w:rPr>
          <w:rFonts w:ascii="Times New Roman" w:eastAsia="Times New Roman" w:hAnsi="Times New Roman" w:cs="Times New Roman"/>
          <w:i/>
          <w:sz w:val="24"/>
          <w:szCs w:val="24"/>
        </w:rPr>
        <w:t>Blackburn</w:t>
      </w:r>
      <w:r w:rsidR="00A17B0E" w:rsidRPr="00486B87">
        <w:rPr>
          <w:rStyle w:val="FootnoteReference"/>
          <w:rFonts w:ascii="Times New Roman" w:eastAsia="Times New Roman" w:hAnsi="Times New Roman" w:cs="Times New Roman"/>
          <w:i/>
          <w:sz w:val="24"/>
          <w:szCs w:val="24"/>
        </w:rPr>
        <w:footnoteReference w:id="20"/>
      </w:r>
      <w:r w:rsidR="00FE3C5B" w:rsidRPr="00486B87">
        <w:rPr>
          <w:rFonts w:ascii="Times New Roman" w:eastAsia="Times New Roman" w:hAnsi="Times New Roman" w:cs="Times New Roman"/>
          <w:i/>
          <w:sz w:val="24"/>
          <w:szCs w:val="24"/>
        </w:rPr>
        <w:t xml:space="preserve"> </w:t>
      </w:r>
      <w:r w:rsidRPr="00486B87">
        <w:rPr>
          <w:rFonts w:ascii="Times New Roman" w:eastAsia="Times New Roman" w:hAnsi="Times New Roman" w:cs="Times New Roman"/>
          <w:sz w:val="24"/>
          <w:szCs w:val="24"/>
        </w:rPr>
        <w:t xml:space="preserve">is often cited when the discussion moves towards removal of rights. In </w:t>
      </w:r>
      <w:r w:rsidRPr="00486B87">
        <w:rPr>
          <w:rFonts w:ascii="Times New Roman" w:eastAsia="Times New Roman" w:hAnsi="Times New Roman" w:cs="Times New Roman"/>
          <w:i/>
          <w:sz w:val="24"/>
          <w:szCs w:val="24"/>
        </w:rPr>
        <w:t>Blackburn</w:t>
      </w:r>
      <w:r w:rsidRPr="00486B87">
        <w:rPr>
          <w:rFonts w:ascii="Times New Roman" w:eastAsia="Times New Roman" w:hAnsi="Times New Roman" w:cs="Times New Roman"/>
          <w:sz w:val="24"/>
          <w:szCs w:val="24"/>
        </w:rPr>
        <w:t xml:space="preserve"> Lord Denning exclaimed that “</w:t>
      </w:r>
      <w:r w:rsidR="00AA636C" w:rsidRPr="00486B87">
        <w:rPr>
          <w:rFonts w:ascii="Times New Roman" w:eastAsia="Times New Roman" w:hAnsi="Times New Roman" w:cs="Times New Roman"/>
          <w:sz w:val="24"/>
          <w:szCs w:val="24"/>
        </w:rPr>
        <w:t>[f]</w:t>
      </w:r>
      <w:proofErr w:type="spellStart"/>
      <w:r w:rsidRPr="00486B87">
        <w:rPr>
          <w:rFonts w:ascii="Times New Roman" w:eastAsia="Times New Roman" w:hAnsi="Times New Roman" w:cs="Times New Roman"/>
          <w:sz w:val="24"/>
          <w:szCs w:val="24"/>
        </w:rPr>
        <w:t>reedom</w:t>
      </w:r>
      <w:proofErr w:type="spellEnd"/>
      <w:r w:rsidRPr="00486B87">
        <w:rPr>
          <w:rFonts w:ascii="Times New Roman" w:eastAsia="Times New Roman" w:hAnsi="Times New Roman" w:cs="Times New Roman"/>
          <w:sz w:val="24"/>
          <w:szCs w:val="24"/>
        </w:rPr>
        <w:t xml:space="preserve"> once given cannot be taken away. Legal theory must give way to practical politics.” </w:t>
      </w:r>
      <w:r w:rsidR="0022382C" w:rsidRPr="00486B87">
        <w:rPr>
          <w:rFonts w:ascii="Times New Roman" w:eastAsia="Times New Roman" w:hAnsi="Times New Roman" w:cs="Times New Roman"/>
          <w:sz w:val="24"/>
          <w:szCs w:val="24"/>
        </w:rPr>
        <w:t xml:space="preserve">Though this article does not assert Lord Denning’s words as some form of authority, it does invite discussion on the merit of such a proposition. </w:t>
      </w:r>
      <w:r w:rsidRPr="00486B87">
        <w:rPr>
          <w:rFonts w:ascii="Times New Roman" w:eastAsia="Times New Roman" w:hAnsi="Times New Roman" w:cs="Times New Roman"/>
          <w:sz w:val="24"/>
          <w:szCs w:val="24"/>
        </w:rPr>
        <w:t>In relation to Bermuda, there are some fundamental questions to answer including whether allowing same-sex couples to marry would amount to giving a right to those in a same-sex rel</w:t>
      </w:r>
      <w:r w:rsidR="00C363D1" w:rsidRPr="00486B87">
        <w:rPr>
          <w:rFonts w:ascii="Times New Roman" w:eastAsia="Times New Roman" w:hAnsi="Times New Roman" w:cs="Times New Roman"/>
          <w:sz w:val="24"/>
          <w:szCs w:val="24"/>
        </w:rPr>
        <w:t xml:space="preserve">ationship. </w:t>
      </w:r>
      <w:r w:rsidR="0022382C" w:rsidRPr="00486B87">
        <w:rPr>
          <w:rFonts w:ascii="Times New Roman" w:eastAsia="Times New Roman" w:hAnsi="Times New Roman" w:cs="Times New Roman"/>
          <w:sz w:val="24"/>
          <w:szCs w:val="24"/>
        </w:rPr>
        <w:t>In any event,</w:t>
      </w:r>
      <w:r w:rsidR="00C363D1" w:rsidRPr="00486B87">
        <w:rPr>
          <w:rFonts w:ascii="Times New Roman" w:eastAsia="Times New Roman" w:hAnsi="Times New Roman" w:cs="Times New Roman"/>
          <w:sz w:val="24"/>
          <w:szCs w:val="24"/>
        </w:rPr>
        <w:t xml:space="preserve"> should the matter come before </w:t>
      </w:r>
      <w:r w:rsidRPr="00486B87">
        <w:rPr>
          <w:rFonts w:ascii="Times New Roman" w:eastAsia="Times New Roman" w:hAnsi="Times New Roman" w:cs="Times New Roman"/>
          <w:sz w:val="24"/>
          <w:szCs w:val="24"/>
        </w:rPr>
        <w:t xml:space="preserve">the </w:t>
      </w:r>
      <w:r w:rsidR="002B3282" w:rsidRPr="00486B87">
        <w:rPr>
          <w:rFonts w:ascii="Times New Roman" w:eastAsia="Times New Roman" w:hAnsi="Times New Roman" w:cs="Times New Roman"/>
          <w:sz w:val="24"/>
          <w:szCs w:val="24"/>
        </w:rPr>
        <w:t>JCPC</w:t>
      </w:r>
      <w:r w:rsidR="00C363D1" w:rsidRPr="00486B87">
        <w:rPr>
          <w:rFonts w:ascii="Times New Roman" w:eastAsia="Times New Roman" w:hAnsi="Times New Roman" w:cs="Times New Roman"/>
          <w:sz w:val="24"/>
          <w:szCs w:val="24"/>
        </w:rPr>
        <w:t>, would the Privy Council</w:t>
      </w:r>
      <w:r w:rsidRPr="00486B87">
        <w:rPr>
          <w:rFonts w:ascii="Times New Roman" w:eastAsia="Times New Roman" w:hAnsi="Times New Roman" w:cs="Times New Roman"/>
          <w:sz w:val="24"/>
          <w:szCs w:val="24"/>
        </w:rPr>
        <w:t xml:space="preserve"> see</w:t>
      </w:r>
      <w:r w:rsidR="00FE3C5B" w:rsidRPr="00486B87">
        <w:rPr>
          <w:rFonts w:ascii="Times New Roman" w:eastAsia="Times New Roman" w:hAnsi="Times New Roman" w:cs="Times New Roman"/>
          <w:sz w:val="24"/>
          <w:szCs w:val="24"/>
        </w:rPr>
        <w:t xml:space="preserve"> it as their role to apply </w:t>
      </w:r>
      <w:r w:rsidR="0022382C" w:rsidRPr="00486B87">
        <w:rPr>
          <w:rFonts w:ascii="Times New Roman" w:eastAsia="Times New Roman" w:hAnsi="Times New Roman" w:cs="Times New Roman"/>
          <w:sz w:val="24"/>
          <w:szCs w:val="24"/>
        </w:rPr>
        <w:t>the logic found in the aforementioned statement in</w:t>
      </w:r>
      <w:r w:rsidRPr="00486B87">
        <w:rPr>
          <w:rFonts w:ascii="Times New Roman" w:eastAsia="Times New Roman" w:hAnsi="Times New Roman" w:cs="Times New Roman"/>
          <w:sz w:val="24"/>
          <w:szCs w:val="24"/>
        </w:rPr>
        <w:t xml:space="preserve"> </w:t>
      </w:r>
      <w:r w:rsidRPr="00486B87">
        <w:rPr>
          <w:rFonts w:ascii="Times New Roman" w:eastAsia="Times New Roman" w:hAnsi="Times New Roman" w:cs="Times New Roman"/>
          <w:i/>
          <w:sz w:val="24"/>
          <w:szCs w:val="24"/>
        </w:rPr>
        <w:t>Blackburn</w:t>
      </w:r>
      <w:r w:rsidR="00FE3C5B" w:rsidRPr="00486B87">
        <w:rPr>
          <w:rFonts w:ascii="Times New Roman" w:eastAsia="Times New Roman" w:hAnsi="Times New Roman" w:cs="Times New Roman"/>
          <w:i/>
          <w:sz w:val="24"/>
          <w:szCs w:val="24"/>
        </w:rPr>
        <w:t xml:space="preserve"> </w:t>
      </w:r>
      <w:r w:rsidR="00FE3C5B" w:rsidRPr="00486B87">
        <w:rPr>
          <w:rFonts w:ascii="Times New Roman" w:eastAsia="Times New Roman" w:hAnsi="Times New Roman" w:cs="Times New Roman"/>
          <w:sz w:val="24"/>
          <w:szCs w:val="24"/>
        </w:rPr>
        <w:t>literally?</w:t>
      </w:r>
      <w:r w:rsidR="0022382C" w:rsidRPr="00486B87">
        <w:rPr>
          <w:rFonts w:ascii="Times New Roman" w:eastAsia="Times New Roman" w:hAnsi="Times New Roman" w:cs="Times New Roman"/>
          <w:sz w:val="24"/>
          <w:szCs w:val="24"/>
        </w:rPr>
        <w:t xml:space="preserve"> Whatever approach that is taken should the JCPC become involved in this matter, there is a warning of caution to sound</w:t>
      </w:r>
      <w:r w:rsidR="004D1CE9">
        <w:rPr>
          <w:rFonts w:ascii="Times New Roman" w:eastAsia="Times New Roman" w:hAnsi="Times New Roman" w:cs="Times New Roman"/>
          <w:sz w:val="24"/>
          <w:szCs w:val="24"/>
        </w:rPr>
        <w:t>,</w:t>
      </w:r>
      <w:r w:rsidR="0022382C" w:rsidRPr="00486B87">
        <w:rPr>
          <w:rFonts w:ascii="Times New Roman" w:eastAsia="Times New Roman" w:hAnsi="Times New Roman" w:cs="Times New Roman"/>
          <w:sz w:val="24"/>
          <w:szCs w:val="24"/>
        </w:rPr>
        <w:t xml:space="preserve"> given that the</w:t>
      </w:r>
      <w:r w:rsidR="006131C0" w:rsidRPr="00486B87">
        <w:rPr>
          <w:rFonts w:ascii="Times New Roman" w:eastAsia="Times New Roman" w:hAnsi="Times New Roman" w:cs="Times New Roman"/>
          <w:sz w:val="24"/>
          <w:szCs w:val="24"/>
        </w:rPr>
        <w:t xml:space="preserve"> Progressive Labour Party</w:t>
      </w:r>
      <w:r w:rsidR="004D1CE9">
        <w:rPr>
          <w:rFonts w:ascii="Times New Roman" w:eastAsia="Times New Roman" w:hAnsi="Times New Roman" w:cs="Times New Roman"/>
          <w:sz w:val="24"/>
          <w:szCs w:val="24"/>
        </w:rPr>
        <w:t>,</w:t>
      </w:r>
      <w:r w:rsidR="006131C0" w:rsidRPr="00486B87">
        <w:rPr>
          <w:rFonts w:ascii="Times New Roman" w:eastAsia="Times New Roman" w:hAnsi="Times New Roman" w:cs="Times New Roman"/>
          <w:sz w:val="24"/>
          <w:szCs w:val="24"/>
        </w:rPr>
        <w:t xml:space="preserve"> which is currently in</w:t>
      </w:r>
      <w:r w:rsidR="0022382C" w:rsidRPr="00486B87">
        <w:rPr>
          <w:rFonts w:ascii="Times New Roman" w:eastAsia="Times New Roman" w:hAnsi="Times New Roman" w:cs="Times New Roman"/>
          <w:sz w:val="24"/>
          <w:szCs w:val="24"/>
        </w:rPr>
        <w:t xml:space="preserve"> </w:t>
      </w:r>
      <w:r w:rsidR="00835862">
        <w:rPr>
          <w:rFonts w:ascii="Times New Roman" w:eastAsia="Times New Roman" w:hAnsi="Times New Roman" w:cs="Times New Roman"/>
          <w:sz w:val="24"/>
          <w:szCs w:val="24"/>
        </w:rPr>
        <w:t>g</w:t>
      </w:r>
      <w:r w:rsidR="0022382C" w:rsidRPr="00486B87">
        <w:rPr>
          <w:rFonts w:ascii="Times New Roman" w:eastAsia="Times New Roman" w:hAnsi="Times New Roman" w:cs="Times New Roman"/>
          <w:sz w:val="24"/>
          <w:szCs w:val="24"/>
        </w:rPr>
        <w:t xml:space="preserve">overnment </w:t>
      </w:r>
      <w:r w:rsidR="006131C0" w:rsidRPr="00486B87">
        <w:rPr>
          <w:rFonts w:ascii="Times New Roman" w:eastAsia="Times New Roman" w:hAnsi="Times New Roman" w:cs="Times New Roman"/>
          <w:sz w:val="24"/>
          <w:szCs w:val="24"/>
        </w:rPr>
        <w:t>in</w:t>
      </w:r>
      <w:r w:rsidR="0022382C" w:rsidRPr="00486B87">
        <w:rPr>
          <w:rFonts w:ascii="Times New Roman" w:eastAsia="Times New Roman" w:hAnsi="Times New Roman" w:cs="Times New Roman"/>
          <w:sz w:val="24"/>
          <w:szCs w:val="24"/>
        </w:rPr>
        <w:t xml:space="preserve"> Bermuda</w:t>
      </w:r>
      <w:r w:rsidR="006131C0" w:rsidRPr="00486B87">
        <w:rPr>
          <w:rFonts w:ascii="Times New Roman" w:eastAsia="Times New Roman" w:hAnsi="Times New Roman" w:cs="Times New Roman"/>
          <w:sz w:val="24"/>
          <w:szCs w:val="24"/>
        </w:rPr>
        <w:t>,</w:t>
      </w:r>
      <w:r w:rsidR="0022382C" w:rsidRPr="00486B87">
        <w:rPr>
          <w:rFonts w:ascii="Times New Roman" w:eastAsia="Times New Roman" w:hAnsi="Times New Roman" w:cs="Times New Roman"/>
          <w:sz w:val="24"/>
          <w:szCs w:val="24"/>
        </w:rPr>
        <w:t xml:space="preserve"> has </w:t>
      </w:r>
      <w:r w:rsidR="006131C0" w:rsidRPr="00486B87">
        <w:rPr>
          <w:rFonts w:ascii="Times New Roman" w:eastAsia="Times New Roman" w:hAnsi="Times New Roman" w:cs="Times New Roman"/>
          <w:sz w:val="24"/>
          <w:szCs w:val="24"/>
        </w:rPr>
        <w:t>always</w:t>
      </w:r>
      <w:r w:rsidR="0022382C" w:rsidRPr="00486B87">
        <w:rPr>
          <w:rFonts w:ascii="Times New Roman" w:eastAsia="Times New Roman" w:hAnsi="Times New Roman" w:cs="Times New Roman"/>
          <w:sz w:val="24"/>
          <w:szCs w:val="24"/>
        </w:rPr>
        <w:t xml:space="preserve"> been </w:t>
      </w:r>
      <w:r w:rsidR="006131C0" w:rsidRPr="00486B87">
        <w:rPr>
          <w:rFonts w:ascii="Times New Roman" w:eastAsia="Times New Roman" w:hAnsi="Times New Roman" w:cs="Times New Roman"/>
          <w:sz w:val="24"/>
          <w:szCs w:val="24"/>
        </w:rPr>
        <w:t>vocal about its desire for independence</w:t>
      </w:r>
      <w:r w:rsidR="006131C0" w:rsidRPr="00486B87">
        <w:rPr>
          <w:rStyle w:val="FootnoteReference"/>
          <w:rFonts w:ascii="Times New Roman" w:eastAsia="Times New Roman" w:hAnsi="Times New Roman" w:cs="Times New Roman"/>
          <w:sz w:val="24"/>
          <w:szCs w:val="24"/>
        </w:rPr>
        <w:footnoteReference w:id="21"/>
      </w:r>
      <w:r w:rsidR="006131C0" w:rsidRPr="00486B87">
        <w:rPr>
          <w:rFonts w:ascii="Times New Roman" w:eastAsia="Times New Roman" w:hAnsi="Times New Roman" w:cs="Times New Roman"/>
          <w:sz w:val="24"/>
          <w:szCs w:val="24"/>
        </w:rPr>
        <w:t xml:space="preserve">. </w:t>
      </w:r>
      <w:r w:rsidR="000251EC">
        <w:rPr>
          <w:rFonts w:ascii="Times New Roman" w:eastAsia="Times New Roman" w:hAnsi="Times New Roman" w:cs="Times New Roman"/>
          <w:sz w:val="24"/>
          <w:szCs w:val="24"/>
        </w:rPr>
        <w:t xml:space="preserve">Any tension between the JCPC and the </w:t>
      </w:r>
      <w:proofErr w:type="gramStart"/>
      <w:r w:rsidR="000251EC">
        <w:rPr>
          <w:rFonts w:ascii="Times New Roman" w:eastAsia="Times New Roman" w:hAnsi="Times New Roman" w:cs="Times New Roman"/>
          <w:sz w:val="24"/>
          <w:szCs w:val="24"/>
        </w:rPr>
        <w:t>domestics</w:t>
      </w:r>
      <w:proofErr w:type="gramEnd"/>
      <w:r w:rsidR="000251EC">
        <w:rPr>
          <w:rFonts w:ascii="Times New Roman" w:eastAsia="Times New Roman" w:hAnsi="Times New Roman" w:cs="Times New Roman"/>
          <w:sz w:val="24"/>
          <w:szCs w:val="24"/>
        </w:rPr>
        <w:t xml:space="preserve"> courts in Bermuda may give weight to the Progressive Labour Party’s agenda.</w:t>
      </w:r>
    </w:p>
    <w:p w14:paraId="12A2AE05" w14:textId="6939BB89" w:rsidR="003C4659" w:rsidRPr="00486B87" w:rsidRDefault="003C4659" w:rsidP="00174DA6">
      <w:pPr>
        <w:spacing w:line="480" w:lineRule="auto"/>
        <w:jc w:val="both"/>
        <w:rPr>
          <w:rFonts w:ascii="Times New Roman" w:eastAsia="Times New Roman" w:hAnsi="Times New Roman" w:cs="Times New Roman"/>
          <w:sz w:val="24"/>
          <w:szCs w:val="24"/>
        </w:rPr>
      </w:pPr>
    </w:p>
    <w:p w14:paraId="66DC74B9" w14:textId="540AAEFA" w:rsidR="0067111D" w:rsidRPr="00486B87" w:rsidRDefault="0067111D" w:rsidP="006C251E">
      <w:pPr>
        <w:spacing w:line="480" w:lineRule="auto"/>
        <w:jc w:val="both"/>
        <w:outlineLvl w:val="0"/>
        <w:rPr>
          <w:rFonts w:ascii="Times New Roman" w:eastAsia="Times New Roman" w:hAnsi="Times New Roman" w:cs="Times New Roman"/>
          <w:sz w:val="24"/>
          <w:szCs w:val="24"/>
          <w:u w:val="single"/>
        </w:rPr>
      </w:pPr>
      <w:r w:rsidRPr="00486B87">
        <w:rPr>
          <w:rFonts w:ascii="Times New Roman" w:eastAsia="Times New Roman" w:hAnsi="Times New Roman" w:cs="Times New Roman"/>
          <w:sz w:val="24"/>
          <w:szCs w:val="24"/>
          <w:u w:val="single"/>
        </w:rPr>
        <w:t>Development of Same-sex Marriage in Bermuda</w:t>
      </w:r>
    </w:p>
    <w:p w14:paraId="07A99C40" w14:textId="317AAC53" w:rsidR="008B1EE8" w:rsidRDefault="003C4659" w:rsidP="00711497">
      <w:pPr>
        <w:spacing w:line="480" w:lineRule="auto"/>
        <w:jc w:val="both"/>
        <w:rPr>
          <w:rFonts w:ascii="Times New Roman" w:eastAsia="Times New Roman" w:hAnsi="Times New Roman" w:cs="Times New Roman"/>
          <w:sz w:val="24"/>
          <w:szCs w:val="24"/>
        </w:rPr>
      </w:pPr>
      <w:r w:rsidRPr="00486B87">
        <w:rPr>
          <w:rFonts w:ascii="Times New Roman" w:eastAsia="Times New Roman" w:hAnsi="Times New Roman" w:cs="Times New Roman"/>
          <w:sz w:val="24"/>
          <w:szCs w:val="24"/>
        </w:rPr>
        <w:lastRenderedPageBreak/>
        <w:t xml:space="preserve">On the question of allowing same-sex couples to marry, this is not as straightforward as first may seem. The right of same-sex couples to marry came about following a ruling of the Supreme Court of Bermuda in </w:t>
      </w:r>
      <w:r w:rsidRPr="00486B87">
        <w:rPr>
          <w:rFonts w:ascii="Times New Roman" w:eastAsia="Times New Roman" w:hAnsi="Times New Roman" w:cs="Times New Roman"/>
          <w:i/>
          <w:sz w:val="24"/>
          <w:szCs w:val="24"/>
        </w:rPr>
        <w:t>W Godwin et al</w:t>
      </w:r>
      <w:r w:rsidR="007B2AC1" w:rsidRPr="00486B87">
        <w:rPr>
          <w:rStyle w:val="FootnoteReference"/>
          <w:rFonts w:ascii="Times New Roman" w:eastAsia="Times New Roman" w:hAnsi="Times New Roman" w:cs="Times New Roman"/>
          <w:i/>
          <w:sz w:val="24"/>
          <w:szCs w:val="24"/>
        </w:rPr>
        <w:footnoteReference w:id="22"/>
      </w:r>
      <w:r w:rsidR="002F4BB4" w:rsidRPr="00486B87">
        <w:rPr>
          <w:rFonts w:ascii="Times New Roman" w:eastAsia="Times New Roman" w:hAnsi="Times New Roman" w:cs="Times New Roman"/>
          <w:i/>
          <w:sz w:val="24"/>
          <w:szCs w:val="24"/>
        </w:rPr>
        <w:t>,</w:t>
      </w:r>
      <w:r w:rsidR="007B2AC1" w:rsidRPr="00486B87">
        <w:rPr>
          <w:rFonts w:ascii="Times New Roman" w:eastAsia="Times New Roman" w:hAnsi="Times New Roman" w:cs="Times New Roman"/>
          <w:i/>
          <w:sz w:val="24"/>
          <w:szCs w:val="24"/>
        </w:rPr>
        <w:t xml:space="preserve"> </w:t>
      </w:r>
      <w:r w:rsidR="00460AAA" w:rsidRPr="00486B87">
        <w:rPr>
          <w:rFonts w:ascii="Times New Roman" w:eastAsia="Times New Roman" w:hAnsi="Times New Roman" w:cs="Times New Roman"/>
          <w:sz w:val="24"/>
          <w:szCs w:val="24"/>
        </w:rPr>
        <w:t>which found that the</w:t>
      </w:r>
      <w:r w:rsidRPr="00486B87">
        <w:rPr>
          <w:rFonts w:ascii="Times New Roman" w:eastAsia="Times New Roman" w:hAnsi="Times New Roman" w:cs="Times New Roman"/>
          <w:sz w:val="24"/>
          <w:szCs w:val="24"/>
        </w:rPr>
        <w:t xml:space="preserve"> Marriage Act 1944 was discriminatory</w:t>
      </w:r>
      <w:r w:rsidR="001F4220" w:rsidRPr="00486B87">
        <w:rPr>
          <w:rFonts w:ascii="Times New Roman" w:eastAsia="Times New Roman" w:hAnsi="Times New Roman" w:cs="Times New Roman"/>
          <w:sz w:val="24"/>
          <w:szCs w:val="24"/>
        </w:rPr>
        <w:t xml:space="preserve"> </w:t>
      </w:r>
      <w:r w:rsidRPr="00486B87">
        <w:rPr>
          <w:rFonts w:ascii="Times New Roman" w:eastAsia="Times New Roman" w:hAnsi="Times New Roman" w:cs="Times New Roman"/>
          <w:sz w:val="24"/>
          <w:szCs w:val="24"/>
        </w:rPr>
        <w:t>in not allowing same-sex couples to marry. The Supreme Court of Bermuda issued a mandatory order requiring the registrar to publish banns of marriage for those same-sex couples that apply</w:t>
      </w:r>
      <w:r w:rsidR="001F4220" w:rsidRPr="00486B87">
        <w:rPr>
          <w:rFonts w:ascii="Times New Roman" w:eastAsia="Times New Roman" w:hAnsi="Times New Roman" w:cs="Times New Roman"/>
          <w:sz w:val="24"/>
          <w:szCs w:val="24"/>
        </w:rPr>
        <w:t>,</w:t>
      </w:r>
      <w:r w:rsidRPr="00486B87">
        <w:rPr>
          <w:rFonts w:ascii="Times New Roman" w:eastAsia="Times New Roman" w:hAnsi="Times New Roman" w:cs="Times New Roman"/>
          <w:sz w:val="24"/>
          <w:szCs w:val="24"/>
        </w:rPr>
        <w:t xml:space="preserve"> and as such the right to marry became extant</w:t>
      </w:r>
      <w:r w:rsidR="009E3378" w:rsidRPr="00486B87">
        <w:rPr>
          <w:rFonts w:ascii="Times New Roman" w:eastAsia="Times New Roman" w:hAnsi="Times New Roman" w:cs="Times New Roman"/>
          <w:sz w:val="24"/>
          <w:szCs w:val="24"/>
        </w:rPr>
        <w:t xml:space="preserve"> both domestically and </w:t>
      </w:r>
      <w:proofErr w:type="spellStart"/>
      <w:r w:rsidR="009E3378" w:rsidRPr="00486B87">
        <w:rPr>
          <w:rFonts w:ascii="Times New Roman" w:eastAsia="Times New Roman" w:hAnsi="Times New Roman" w:cs="Times New Roman"/>
          <w:sz w:val="24"/>
          <w:szCs w:val="24"/>
        </w:rPr>
        <w:t>onboard</w:t>
      </w:r>
      <w:proofErr w:type="spellEnd"/>
      <w:r w:rsidR="009E3378" w:rsidRPr="00486B87">
        <w:rPr>
          <w:rFonts w:ascii="Times New Roman" w:eastAsia="Times New Roman" w:hAnsi="Times New Roman" w:cs="Times New Roman"/>
          <w:sz w:val="24"/>
          <w:szCs w:val="24"/>
        </w:rPr>
        <w:t xml:space="preserve"> </w:t>
      </w:r>
      <w:r w:rsidR="00884367" w:rsidRPr="00486B87">
        <w:rPr>
          <w:rFonts w:ascii="Times New Roman" w:eastAsia="Times New Roman" w:hAnsi="Times New Roman" w:cs="Times New Roman"/>
          <w:sz w:val="24"/>
          <w:szCs w:val="24"/>
        </w:rPr>
        <w:t>approve</w:t>
      </w:r>
      <w:r w:rsidR="00F219F5">
        <w:rPr>
          <w:rFonts w:ascii="Times New Roman" w:eastAsia="Times New Roman" w:hAnsi="Times New Roman" w:cs="Times New Roman"/>
          <w:sz w:val="24"/>
          <w:szCs w:val="24"/>
        </w:rPr>
        <w:t>d</w:t>
      </w:r>
      <w:r w:rsidR="00884367" w:rsidRPr="00486B87">
        <w:rPr>
          <w:rFonts w:ascii="Times New Roman" w:eastAsia="Times New Roman" w:hAnsi="Times New Roman" w:cs="Times New Roman"/>
          <w:sz w:val="24"/>
          <w:szCs w:val="24"/>
        </w:rPr>
        <w:t xml:space="preserve"> ships registered in Bermuda</w:t>
      </w:r>
      <w:r w:rsidRPr="00486B87">
        <w:rPr>
          <w:rFonts w:ascii="Times New Roman" w:eastAsia="Times New Roman" w:hAnsi="Times New Roman" w:cs="Times New Roman"/>
          <w:sz w:val="24"/>
          <w:szCs w:val="24"/>
        </w:rPr>
        <w:t xml:space="preserve">. </w:t>
      </w:r>
      <w:r w:rsidR="00884367" w:rsidRPr="00486B87">
        <w:rPr>
          <w:rFonts w:ascii="Times New Roman" w:eastAsia="Times New Roman" w:hAnsi="Times New Roman" w:cs="Times New Roman"/>
          <w:sz w:val="24"/>
          <w:szCs w:val="24"/>
        </w:rPr>
        <w:t>This latter point is noteworthy</w:t>
      </w:r>
      <w:r w:rsidR="00087147">
        <w:rPr>
          <w:rFonts w:ascii="Times New Roman" w:eastAsia="Times New Roman" w:hAnsi="Times New Roman" w:cs="Times New Roman"/>
          <w:sz w:val="24"/>
          <w:szCs w:val="24"/>
        </w:rPr>
        <w:t>,</w:t>
      </w:r>
      <w:r w:rsidR="00884367" w:rsidRPr="00486B87">
        <w:rPr>
          <w:rFonts w:ascii="Times New Roman" w:eastAsia="Times New Roman" w:hAnsi="Times New Roman" w:cs="Times New Roman"/>
          <w:sz w:val="24"/>
          <w:szCs w:val="24"/>
        </w:rPr>
        <w:t xml:space="preserve"> given that many large cruise lines have ships that are registered in Bermuda and so can offer same-sex marriage </w:t>
      </w:r>
      <w:proofErr w:type="spellStart"/>
      <w:r w:rsidR="00884367" w:rsidRPr="00486B87">
        <w:rPr>
          <w:rFonts w:ascii="Times New Roman" w:eastAsia="Times New Roman" w:hAnsi="Times New Roman" w:cs="Times New Roman"/>
          <w:sz w:val="24"/>
          <w:szCs w:val="24"/>
        </w:rPr>
        <w:t>onboard</w:t>
      </w:r>
      <w:proofErr w:type="spellEnd"/>
      <w:r w:rsidR="00884367" w:rsidRPr="00486B87">
        <w:rPr>
          <w:rFonts w:ascii="Times New Roman" w:eastAsia="Times New Roman" w:hAnsi="Times New Roman" w:cs="Times New Roman"/>
          <w:sz w:val="24"/>
          <w:szCs w:val="24"/>
        </w:rPr>
        <w:t xml:space="preserve"> their vessels</w:t>
      </w:r>
      <w:r w:rsidR="00884367" w:rsidRPr="00486B87">
        <w:rPr>
          <w:rStyle w:val="FootnoteReference"/>
          <w:rFonts w:ascii="Times New Roman" w:eastAsia="Times New Roman" w:hAnsi="Times New Roman" w:cs="Times New Roman"/>
          <w:sz w:val="24"/>
          <w:szCs w:val="24"/>
        </w:rPr>
        <w:footnoteReference w:id="23"/>
      </w:r>
      <w:r w:rsidR="00884367" w:rsidRPr="00486B87">
        <w:rPr>
          <w:rFonts w:ascii="Times New Roman" w:eastAsia="Times New Roman" w:hAnsi="Times New Roman" w:cs="Times New Roman"/>
          <w:sz w:val="24"/>
          <w:szCs w:val="24"/>
        </w:rPr>
        <w:t xml:space="preserve">. </w:t>
      </w:r>
      <w:r w:rsidRPr="00486B87">
        <w:rPr>
          <w:rFonts w:ascii="Times New Roman" w:eastAsia="Times New Roman" w:hAnsi="Times New Roman" w:cs="Times New Roman"/>
          <w:sz w:val="24"/>
          <w:szCs w:val="24"/>
        </w:rPr>
        <w:t xml:space="preserve">Since the judgment of the Supreme Court of Bermuda in May 2017, the Governor of Bermuda </w:t>
      </w:r>
      <w:r w:rsidR="001F4220" w:rsidRPr="00486B87">
        <w:rPr>
          <w:rFonts w:ascii="Times New Roman" w:eastAsia="Times New Roman" w:hAnsi="Times New Roman" w:cs="Times New Roman"/>
          <w:sz w:val="24"/>
          <w:szCs w:val="24"/>
        </w:rPr>
        <w:t>has given</w:t>
      </w:r>
      <w:r w:rsidRPr="00486B87">
        <w:rPr>
          <w:rFonts w:ascii="Times New Roman" w:eastAsia="Times New Roman" w:hAnsi="Times New Roman" w:cs="Times New Roman"/>
          <w:sz w:val="24"/>
          <w:szCs w:val="24"/>
        </w:rPr>
        <w:t xml:space="preserve"> Royal Assent to the </w:t>
      </w:r>
      <w:r w:rsidR="00DD4551" w:rsidRPr="00486B87">
        <w:rPr>
          <w:rFonts w:ascii="Times New Roman" w:eastAsia="Times New Roman" w:hAnsi="Times New Roman" w:cs="Times New Roman"/>
          <w:sz w:val="24"/>
          <w:szCs w:val="24"/>
        </w:rPr>
        <w:t>DPA</w:t>
      </w:r>
      <w:r w:rsidRPr="00486B87">
        <w:rPr>
          <w:rFonts w:ascii="Times New Roman" w:eastAsia="Times New Roman" w:hAnsi="Times New Roman" w:cs="Times New Roman"/>
          <w:sz w:val="24"/>
          <w:szCs w:val="24"/>
        </w:rPr>
        <w:t xml:space="preserve"> which withdraws</w:t>
      </w:r>
      <w:r w:rsidR="003157DC" w:rsidRPr="00486B87">
        <w:rPr>
          <w:rFonts w:ascii="Times New Roman" w:eastAsia="Times New Roman" w:hAnsi="Times New Roman" w:cs="Times New Roman"/>
          <w:sz w:val="24"/>
          <w:szCs w:val="24"/>
        </w:rPr>
        <w:t xml:space="preserve"> the ability of</w:t>
      </w:r>
      <w:r w:rsidRPr="00486B87">
        <w:rPr>
          <w:rFonts w:ascii="Times New Roman" w:eastAsia="Times New Roman" w:hAnsi="Times New Roman" w:cs="Times New Roman"/>
          <w:sz w:val="24"/>
          <w:szCs w:val="24"/>
        </w:rPr>
        <w:t xml:space="preserve"> same-sex couples to marry</w:t>
      </w:r>
      <w:r w:rsidR="001F4220" w:rsidRPr="00486B87">
        <w:rPr>
          <w:rStyle w:val="FootnoteReference"/>
          <w:rFonts w:ascii="Times New Roman" w:eastAsia="Times New Roman" w:hAnsi="Times New Roman" w:cs="Times New Roman"/>
          <w:sz w:val="24"/>
          <w:szCs w:val="24"/>
        </w:rPr>
        <w:footnoteReference w:id="24"/>
      </w:r>
      <w:r w:rsidR="00BE1F5C" w:rsidRPr="00486B87">
        <w:rPr>
          <w:rFonts w:ascii="Times New Roman" w:eastAsia="Times New Roman" w:hAnsi="Times New Roman" w:cs="Times New Roman"/>
          <w:sz w:val="24"/>
          <w:szCs w:val="24"/>
        </w:rPr>
        <w:t xml:space="preserve"> and the </w:t>
      </w:r>
      <w:r w:rsidR="00893A6E" w:rsidRPr="00486B87">
        <w:rPr>
          <w:rFonts w:ascii="Times New Roman" w:eastAsia="Times New Roman" w:hAnsi="Times New Roman" w:cs="Times New Roman"/>
          <w:sz w:val="24"/>
          <w:szCs w:val="24"/>
        </w:rPr>
        <w:t>DPA took effect from the 1</w:t>
      </w:r>
      <w:r w:rsidR="00893A6E" w:rsidRPr="00486B87">
        <w:rPr>
          <w:rFonts w:ascii="Times New Roman" w:eastAsia="Times New Roman" w:hAnsi="Times New Roman" w:cs="Times New Roman"/>
          <w:sz w:val="24"/>
          <w:szCs w:val="24"/>
          <w:vertAlign w:val="superscript"/>
        </w:rPr>
        <w:t>st</w:t>
      </w:r>
      <w:r w:rsidR="00893A6E" w:rsidRPr="00486B87">
        <w:rPr>
          <w:rFonts w:ascii="Times New Roman" w:eastAsia="Times New Roman" w:hAnsi="Times New Roman" w:cs="Times New Roman"/>
          <w:sz w:val="24"/>
          <w:szCs w:val="24"/>
        </w:rPr>
        <w:t xml:space="preserve"> June 2018</w:t>
      </w:r>
      <w:r w:rsidRPr="00486B87">
        <w:rPr>
          <w:rFonts w:ascii="Times New Roman" w:eastAsia="Times New Roman" w:hAnsi="Times New Roman" w:cs="Times New Roman"/>
          <w:sz w:val="24"/>
          <w:szCs w:val="24"/>
        </w:rPr>
        <w:t>.</w:t>
      </w:r>
      <w:r w:rsidR="00893A6E" w:rsidRPr="00486B87">
        <w:rPr>
          <w:rFonts w:ascii="Times New Roman" w:eastAsia="Times New Roman" w:hAnsi="Times New Roman" w:cs="Times New Roman"/>
          <w:sz w:val="24"/>
          <w:szCs w:val="24"/>
        </w:rPr>
        <w:t xml:space="preserve"> Additionally, a number of le</w:t>
      </w:r>
      <w:r w:rsidR="00BF0C9F" w:rsidRPr="00486B87">
        <w:rPr>
          <w:rFonts w:ascii="Times New Roman" w:eastAsia="Times New Roman" w:hAnsi="Times New Roman" w:cs="Times New Roman"/>
          <w:sz w:val="24"/>
          <w:szCs w:val="24"/>
        </w:rPr>
        <w:t>gal challenges</w:t>
      </w:r>
      <w:r w:rsidR="00893A6E" w:rsidRPr="00486B87">
        <w:rPr>
          <w:rFonts w:ascii="Times New Roman" w:eastAsia="Times New Roman" w:hAnsi="Times New Roman" w:cs="Times New Roman"/>
          <w:sz w:val="24"/>
          <w:szCs w:val="24"/>
        </w:rPr>
        <w:t xml:space="preserve"> were brought in the case of </w:t>
      </w:r>
      <w:r w:rsidR="00893A6E" w:rsidRPr="00486B87">
        <w:rPr>
          <w:rFonts w:ascii="Times New Roman" w:eastAsia="Times New Roman" w:hAnsi="Times New Roman" w:cs="Times New Roman"/>
          <w:i/>
          <w:sz w:val="24"/>
          <w:szCs w:val="24"/>
        </w:rPr>
        <w:t>Ferguson</w:t>
      </w:r>
      <w:r w:rsidR="00893A6E" w:rsidRPr="00486B87">
        <w:rPr>
          <w:rStyle w:val="FootnoteReference"/>
          <w:rFonts w:ascii="Times New Roman" w:eastAsia="Times New Roman" w:hAnsi="Times New Roman" w:cs="Times New Roman"/>
          <w:sz w:val="24"/>
          <w:szCs w:val="24"/>
        </w:rPr>
        <w:footnoteReference w:id="25"/>
      </w:r>
      <w:r w:rsidR="00893A6E" w:rsidRPr="00486B87">
        <w:rPr>
          <w:rFonts w:ascii="Times New Roman" w:eastAsia="Times New Roman" w:hAnsi="Times New Roman" w:cs="Times New Roman"/>
          <w:i/>
          <w:sz w:val="24"/>
          <w:szCs w:val="24"/>
        </w:rPr>
        <w:t xml:space="preserve">; </w:t>
      </w:r>
      <w:r w:rsidR="00893A6E" w:rsidRPr="00486B87">
        <w:rPr>
          <w:rFonts w:ascii="Times New Roman" w:eastAsia="Times New Roman" w:hAnsi="Times New Roman" w:cs="Times New Roman"/>
          <w:sz w:val="24"/>
          <w:szCs w:val="24"/>
        </w:rPr>
        <w:t>this will be considered shortly</w:t>
      </w:r>
      <w:r w:rsidR="00893A6E" w:rsidRPr="00486B87">
        <w:rPr>
          <w:rFonts w:ascii="Times New Roman" w:eastAsia="Times New Roman" w:hAnsi="Times New Roman" w:cs="Times New Roman"/>
          <w:i/>
          <w:sz w:val="24"/>
          <w:szCs w:val="24"/>
        </w:rPr>
        <w:t xml:space="preserve">. </w:t>
      </w:r>
      <w:r w:rsidRPr="00486B87">
        <w:rPr>
          <w:rFonts w:ascii="Times New Roman" w:eastAsia="Times New Roman" w:hAnsi="Times New Roman" w:cs="Times New Roman"/>
          <w:sz w:val="24"/>
          <w:szCs w:val="24"/>
        </w:rPr>
        <w:t>Although the right was arg</w:t>
      </w:r>
      <w:r w:rsidR="002F4BB4" w:rsidRPr="00486B87">
        <w:rPr>
          <w:rFonts w:ascii="Times New Roman" w:eastAsia="Times New Roman" w:hAnsi="Times New Roman" w:cs="Times New Roman"/>
          <w:sz w:val="24"/>
          <w:szCs w:val="24"/>
        </w:rPr>
        <w:t>uably created by the Bermudian common l</w:t>
      </w:r>
      <w:r w:rsidRPr="00486B87">
        <w:rPr>
          <w:rFonts w:ascii="Times New Roman" w:eastAsia="Times New Roman" w:hAnsi="Times New Roman" w:cs="Times New Roman"/>
          <w:sz w:val="24"/>
          <w:szCs w:val="24"/>
        </w:rPr>
        <w:t xml:space="preserve">aw, it is relevant here to apply some distinctly European (and more-so British) </w:t>
      </w:r>
      <w:r w:rsidR="00A93767" w:rsidRPr="00486B87">
        <w:rPr>
          <w:rFonts w:ascii="Times New Roman" w:eastAsia="Times New Roman" w:hAnsi="Times New Roman" w:cs="Times New Roman"/>
          <w:sz w:val="24"/>
          <w:szCs w:val="24"/>
        </w:rPr>
        <w:t xml:space="preserve">legal reasoning </w:t>
      </w:r>
      <w:r w:rsidRPr="00486B87">
        <w:rPr>
          <w:rFonts w:ascii="Times New Roman" w:eastAsia="Times New Roman" w:hAnsi="Times New Roman" w:cs="Times New Roman"/>
          <w:sz w:val="24"/>
          <w:szCs w:val="24"/>
        </w:rPr>
        <w:t>to this issue</w:t>
      </w:r>
      <w:r w:rsidR="00893A6E" w:rsidRPr="00486B87">
        <w:rPr>
          <w:rFonts w:ascii="Times New Roman" w:eastAsia="Times New Roman" w:hAnsi="Times New Roman" w:cs="Times New Roman"/>
          <w:sz w:val="24"/>
          <w:szCs w:val="24"/>
        </w:rPr>
        <w:t>, given that Bermuda is a British Overseas Territory and has very closer reciprocal links with both the UK and Europe</w:t>
      </w:r>
      <w:r w:rsidRPr="00486B87">
        <w:rPr>
          <w:rFonts w:ascii="Times New Roman" w:eastAsia="Times New Roman" w:hAnsi="Times New Roman" w:cs="Times New Roman"/>
          <w:sz w:val="24"/>
          <w:szCs w:val="24"/>
        </w:rPr>
        <w:t xml:space="preserve">. </w:t>
      </w:r>
    </w:p>
    <w:p w14:paraId="6451CEE1" w14:textId="77777777" w:rsidR="00036A3C" w:rsidRDefault="00036A3C" w:rsidP="00711497">
      <w:pPr>
        <w:spacing w:line="480" w:lineRule="auto"/>
        <w:jc w:val="both"/>
        <w:rPr>
          <w:rFonts w:ascii="Times New Roman" w:eastAsia="Times New Roman" w:hAnsi="Times New Roman" w:cs="Times New Roman"/>
          <w:sz w:val="24"/>
          <w:szCs w:val="24"/>
        </w:rPr>
      </w:pPr>
    </w:p>
    <w:p w14:paraId="6E680A40" w14:textId="715105D3" w:rsidR="00D32636" w:rsidRPr="00486B87" w:rsidRDefault="003F316B" w:rsidP="00711497">
      <w:pPr>
        <w:spacing w:line="480" w:lineRule="auto"/>
        <w:jc w:val="both"/>
        <w:rPr>
          <w:rFonts w:ascii="Times New Roman" w:eastAsia="Times New Roman" w:hAnsi="Times New Roman" w:cs="Times New Roman"/>
          <w:sz w:val="24"/>
          <w:szCs w:val="24"/>
        </w:rPr>
      </w:pPr>
      <w:r w:rsidRPr="00486B87">
        <w:rPr>
          <w:rFonts w:ascii="Times New Roman" w:eastAsia="Times New Roman" w:hAnsi="Times New Roman" w:cs="Times New Roman"/>
          <w:sz w:val="24"/>
          <w:szCs w:val="24"/>
        </w:rPr>
        <w:t xml:space="preserve">Looking at this matter from a rather </w:t>
      </w:r>
      <w:proofErr w:type="spellStart"/>
      <w:r w:rsidRPr="00486B87">
        <w:rPr>
          <w:rFonts w:ascii="Times New Roman" w:eastAsia="Times New Roman" w:hAnsi="Times New Roman" w:cs="Times New Roman"/>
          <w:sz w:val="24"/>
          <w:szCs w:val="24"/>
        </w:rPr>
        <w:t>Dworkinian</w:t>
      </w:r>
      <w:proofErr w:type="spellEnd"/>
      <w:r w:rsidRPr="00486B87">
        <w:rPr>
          <w:rFonts w:ascii="Times New Roman" w:eastAsia="Times New Roman" w:hAnsi="Times New Roman" w:cs="Times New Roman"/>
          <w:sz w:val="24"/>
          <w:szCs w:val="24"/>
        </w:rPr>
        <w:t xml:space="preserve"> perspective, it </w:t>
      </w:r>
      <w:r w:rsidR="00673CCB" w:rsidRPr="00486B87">
        <w:rPr>
          <w:rFonts w:ascii="Times New Roman" w:eastAsia="Times New Roman" w:hAnsi="Times New Roman" w:cs="Times New Roman"/>
          <w:sz w:val="24"/>
          <w:szCs w:val="24"/>
        </w:rPr>
        <w:t>is</w:t>
      </w:r>
      <w:r w:rsidRPr="00486B87">
        <w:rPr>
          <w:rFonts w:ascii="Times New Roman" w:eastAsia="Times New Roman" w:hAnsi="Times New Roman" w:cs="Times New Roman"/>
          <w:sz w:val="24"/>
          <w:szCs w:val="24"/>
        </w:rPr>
        <w:t xml:space="preserve"> </w:t>
      </w:r>
      <w:r w:rsidR="00673CCB" w:rsidRPr="00486B87">
        <w:rPr>
          <w:rFonts w:ascii="Times New Roman" w:eastAsia="Times New Roman" w:hAnsi="Times New Roman" w:cs="Times New Roman"/>
          <w:sz w:val="24"/>
          <w:szCs w:val="24"/>
        </w:rPr>
        <w:t xml:space="preserve">reasonable to </w:t>
      </w:r>
      <w:r w:rsidR="00435409" w:rsidRPr="00486B87">
        <w:rPr>
          <w:rFonts w:ascii="Times New Roman" w:eastAsia="Times New Roman" w:hAnsi="Times New Roman" w:cs="Times New Roman"/>
          <w:sz w:val="24"/>
          <w:szCs w:val="24"/>
        </w:rPr>
        <w:t>argue that</w:t>
      </w:r>
      <w:r w:rsidRPr="00486B87">
        <w:rPr>
          <w:rFonts w:ascii="Times New Roman" w:eastAsia="Times New Roman" w:hAnsi="Times New Roman" w:cs="Times New Roman"/>
          <w:sz w:val="24"/>
          <w:szCs w:val="24"/>
        </w:rPr>
        <w:t xml:space="preserve"> </w:t>
      </w:r>
      <w:r w:rsidRPr="00486B87">
        <w:rPr>
          <w:rFonts w:ascii="Times New Roman" w:eastAsia="Times New Roman" w:hAnsi="Times New Roman" w:cs="Times New Roman"/>
          <w:i/>
          <w:sz w:val="24"/>
          <w:szCs w:val="24"/>
        </w:rPr>
        <w:t xml:space="preserve">Godwin </w:t>
      </w:r>
      <w:r w:rsidR="00893A6E" w:rsidRPr="00486B87">
        <w:rPr>
          <w:rFonts w:ascii="Times New Roman" w:hAnsi="Times New Roman" w:cs="Times New Roman"/>
          <w:sz w:val="24"/>
          <w:szCs w:val="24"/>
        </w:rPr>
        <w:t xml:space="preserve">could be an </w:t>
      </w:r>
      <w:r w:rsidRPr="00486B87">
        <w:rPr>
          <w:rFonts w:ascii="Times New Roman" w:hAnsi="Times New Roman" w:cs="Times New Roman"/>
          <w:sz w:val="24"/>
          <w:szCs w:val="24"/>
        </w:rPr>
        <w:t xml:space="preserve">example of a </w:t>
      </w:r>
      <w:proofErr w:type="spellStart"/>
      <w:r w:rsidR="003157DC" w:rsidRPr="00486B87">
        <w:rPr>
          <w:rFonts w:ascii="Times New Roman" w:hAnsi="Times New Roman" w:cs="Times New Roman"/>
          <w:sz w:val="24"/>
          <w:szCs w:val="24"/>
        </w:rPr>
        <w:t>Dworkinian</w:t>
      </w:r>
      <w:proofErr w:type="spellEnd"/>
      <w:r w:rsidR="003157DC" w:rsidRPr="00486B87">
        <w:rPr>
          <w:rFonts w:ascii="Times New Roman" w:hAnsi="Times New Roman" w:cs="Times New Roman"/>
          <w:sz w:val="24"/>
          <w:szCs w:val="24"/>
        </w:rPr>
        <w:t xml:space="preserve"> </w:t>
      </w:r>
      <w:r w:rsidRPr="00486B87">
        <w:rPr>
          <w:rFonts w:ascii="Times New Roman" w:hAnsi="Times New Roman" w:cs="Times New Roman"/>
          <w:sz w:val="24"/>
          <w:szCs w:val="24"/>
        </w:rPr>
        <w:t>“hard case”</w:t>
      </w:r>
      <w:r w:rsidRPr="00486B87">
        <w:rPr>
          <w:rStyle w:val="FootnoteReference"/>
          <w:rFonts w:ascii="Times New Roman" w:hAnsi="Times New Roman" w:cs="Times New Roman"/>
          <w:sz w:val="24"/>
          <w:szCs w:val="24"/>
        </w:rPr>
        <w:footnoteReference w:id="26"/>
      </w:r>
      <w:r w:rsidR="00893A6E" w:rsidRPr="00486B87">
        <w:rPr>
          <w:rFonts w:ascii="Times New Roman" w:hAnsi="Times New Roman" w:cs="Times New Roman"/>
          <w:sz w:val="24"/>
          <w:szCs w:val="24"/>
        </w:rPr>
        <w:t>. T</w:t>
      </w:r>
      <w:r w:rsidRPr="00486B87">
        <w:rPr>
          <w:rFonts w:ascii="Times New Roman" w:hAnsi="Times New Roman" w:cs="Times New Roman"/>
          <w:sz w:val="24"/>
          <w:szCs w:val="24"/>
        </w:rPr>
        <w:t>he Supreme Court in Bermuda drew o</w:t>
      </w:r>
      <w:r w:rsidR="00673CCB" w:rsidRPr="00486B87">
        <w:rPr>
          <w:rFonts w:ascii="Times New Roman" w:hAnsi="Times New Roman" w:cs="Times New Roman"/>
          <w:sz w:val="24"/>
          <w:szCs w:val="24"/>
        </w:rPr>
        <w:t>n equitable</w:t>
      </w:r>
      <w:r w:rsidRPr="00486B87">
        <w:rPr>
          <w:rFonts w:ascii="Times New Roman" w:hAnsi="Times New Roman" w:cs="Times New Roman"/>
          <w:sz w:val="24"/>
          <w:szCs w:val="24"/>
        </w:rPr>
        <w:t xml:space="preserve"> principles</w:t>
      </w:r>
      <w:r w:rsidR="00893A6E" w:rsidRPr="00486B87">
        <w:rPr>
          <w:rFonts w:ascii="Times New Roman" w:hAnsi="Times New Roman" w:cs="Times New Roman"/>
          <w:sz w:val="24"/>
          <w:szCs w:val="24"/>
        </w:rPr>
        <w:t xml:space="preserve"> (considering equality in the prescription of rights)</w:t>
      </w:r>
      <w:r w:rsidRPr="00486B87">
        <w:rPr>
          <w:rFonts w:ascii="Times New Roman" w:hAnsi="Times New Roman" w:cs="Times New Roman"/>
          <w:sz w:val="24"/>
          <w:szCs w:val="24"/>
        </w:rPr>
        <w:t xml:space="preserve"> and in</w:t>
      </w:r>
      <w:r w:rsidR="004414DE" w:rsidRPr="00486B87">
        <w:rPr>
          <w:rFonts w:ascii="Times New Roman" w:hAnsi="Times New Roman" w:cs="Times New Roman"/>
          <w:sz w:val="24"/>
          <w:szCs w:val="24"/>
        </w:rPr>
        <w:t xml:space="preserve"> </w:t>
      </w:r>
      <w:r w:rsidR="007C19D2" w:rsidRPr="00486B87">
        <w:rPr>
          <w:rFonts w:ascii="Times New Roman" w:hAnsi="Times New Roman" w:cs="Times New Roman"/>
          <w:sz w:val="24"/>
          <w:szCs w:val="24"/>
        </w:rPr>
        <w:t>turn</w:t>
      </w:r>
      <w:r w:rsidR="008E5D42" w:rsidRPr="00486B87">
        <w:rPr>
          <w:rFonts w:ascii="Times New Roman" w:hAnsi="Times New Roman" w:cs="Times New Roman"/>
          <w:sz w:val="24"/>
          <w:szCs w:val="24"/>
        </w:rPr>
        <w:t>,</w:t>
      </w:r>
      <w:r w:rsidR="002F4BB4" w:rsidRPr="00486B87">
        <w:rPr>
          <w:rFonts w:ascii="Times New Roman" w:hAnsi="Times New Roman" w:cs="Times New Roman"/>
          <w:sz w:val="24"/>
          <w:szCs w:val="24"/>
        </w:rPr>
        <w:t xml:space="preserve"> </w:t>
      </w:r>
      <w:r w:rsidR="002F4BB4" w:rsidRPr="00486B87">
        <w:rPr>
          <w:rFonts w:ascii="Times New Roman" w:hAnsi="Times New Roman" w:cs="Times New Roman"/>
          <w:sz w:val="24"/>
          <w:szCs w:val="24"/>
        </w:rPr>
        <w:lastRenderedPageBreak/>
        <w:t>espoused</w:t>
      </w:r>
      <w:r w:rsidRPr="00486B87">
        <w:rPr>
          <w:rFonts w:ascii="Times New Roman" w:hAnsi="Times New Roman" w:cs="Times New Roman"/>
          <w:sz w:val="24"/>
          <w:szCs w:val="24"/>
        </w:rPr>
        <w:t xml:space="preserve"> a new rule</w:t>
      </w:r>
      <w:r w:rsidR="003157DC" w:rsidRPr="00486B87">
        <w:rPr>
          <w:rStyle w:val="FootnoteReference"/>
          <w:rFonts w:ascii="Times New Roman" w:hAnsi="Times New Roman" w:cs="Times New Roman"/>
          <w:sz w:val="24"/>
          <w:szCs w:val="24"/>
        </w:rPr>
        <w:footnoteReference w:id="27"/>
      </w:r>
      <w:r w:rsidRPr="00486B87">
        <w:rPr>
          <w:rFonts w:ascii="Times New Roman" w:hAnsi="Times New Roman" w:cs="Times New Roman"/>
          <w:sz w:val="24"/>
          <w:szCs w:val="24"/>
        </w:rPr>
        <w:t xml:space="preserve">. </w:t>
      </w:r>
      <w:r w:rsidR="008E5D42" w:rsidRPr="00486B87">
        <w:rPr>
          <w:rFonts w:ascii="Times New Roman" w:hAnsi="Times New Roman" w:cs="Times New Roman"/>
          <w:sz w:val="24"/>
          <w:szCs w:val="24"/>
        </w:rPr>
        <w:t xml:space="preserve">The rule previously did not exist, and so, in creating a rule the </w:t>
      </w:r>
      <w:r w:rsidR="00411671">
        <w:rPr>
          <w:rFonts w:ascii="Times New Roman" w:hAnsi="Times New Roman" w:cs="Times New Roman"/>
          <w:sz w:val="24"/>
          <w:szCs w:val="24"/>
        </w:rPr>
        <w:t>C</w:t>
      </w:r>
      <w:r w:rsidR="008E5D42" w:rsidRPr="00486B87">
        <w:rPr>
          <w:rFonts w:ascii="Times New Roman" w:hAnsi="Times New Roman" w:cs="Times New Roman"/>
          <w:sz w:val="24"/>
          <w:szCs w:val="24"/>
        </w:rPr>
        <w:t xml:space="preserve">ourt is imputing its inherent morality </w:t>
      </w:r>
      <w:r w:rsidR="00673CCB" w:rsidRPr="00486B87">
        <w:rPr>
          <w:rFonts w:ascii="Times New Roman" w:hAnsi="Times New Roman" w:cs="Times New Roman"/>
          <w:sz w:val="24"/>
          <w:szCs w:val="24"/>
        </w:rPr>
        <w:t>o</w:t>
      </w:r>
      <w:r w:rsidR="008E5D42" w:rsidRPr="00486B87">
        <w:rPr>
          <w:rFonts w:ascii="Times New Roman" w:hAnsi="Times New Roman" w:cs="Times New Roman"/>
          <w:sz w:val="24"/>
          <w:szCs w:val="24"/>
        </w:rPr>
        <w:t xml:space="preserve">nto the statute book. </w:t>
      </w:r>
      <w:r w:rsidR="00893A6E" w:rsidRPr="00486B87">
        <w:rPr>
          <w:rFonts w:ascii="Times New Roman" w:hAnsi="Times New Roman" w:cs="Times New Roman"/>
          <w:sz w:val="24"/>
          <w:szCs w:val="24"/>
        </w:rPr>
        <w:t xml:space="preserve">Though this article does not have the scope to enter into jurisprudential arguments on judicial </w:t>
      </w:r>
      <w:r w:rsidR="000A1122" w:rsidRPr="00486B87">
        <w:rPr>
          <w:rFonts w:ascii="Times New Roman" w:hAnsi="Times New Roman" w:cs="Times New Roman"/>
          <w:sz w:val="24"/>
          <w:szCs w:val="24"/>
        </w:rPr>
        <w:t>activism and ethics in hard cases</w:t>
      </w:r>
      <w:r w:rsidR="00893A6E" w:rsidRPr="00486B87">
        <w:rPr>
          <w:rFonts w:ascii="Times New Roman" w:hAnsi="Times New Roman" w:cs="Times New Roman"/>
          <w:sz w:val="24"/>
          <w:szCs w:val="24"/>
        </w:rPr>
        <w:t xml:space="preserve">, it is nonetheless a relevant (if not subtle) </w:t>
      </w:r>
      <w:r w:rsidR="000A1122" w:rsidRPr="00486B87">
        <w:rPr>
          <w:rFonts w:ascii="Times New Roman" w:hAnsi="Times New Roman" w:cs="Times New Roman"/>
          <w:sz w:val="24"/>
          <w:szCs w:val="24"/>
        </w:rPr>
        <w:t>point to note.</w:t>
      </w:r>
      <w:r w:rsidR="00893A6E" w:rsidRPr="00486B87">
        <w:rPr>
          <w:rFonts w:ascii="Times New Roman" w:hAnsi="Times New Roman" w:cs="Times New Roman"/>
          <w:sz w:val="24"/>
          <w:szCs w:val="24"/>
        </w:rPr>
        <w:t xml:space="preserve"> </w:t>
      </w:r>
      <w:r w:rsidR="008E5D42" w:rsidRPr="00486B87">
        <w:rPr>
          <w:rFonts w:ascii="Times New Roman" w:hAnsi="Times New Roman" w:cs="Times New Roman"/>
          <w:sz w:val="24"/>
          <w:szCs w:val="24"/>
        </w:rPr>
        <w:t xml:space="preserve">In taking away these rights, there is arguably an assault on the concept of justice and equality before the law. </w:t>
      </w:r>
      <w:r w:rsidR="003C4659" w:rsidRPr="00486B87">
        <w:rPr>
          <w:rFonts w:ascii="Times New Roman" w:eastAsia="Times New Roman" w:hAnsi="Times New Roman" w:cs="Times New Roman"/>
          <w:sz w:val="24"/>
          <w:szCs w:val="24"/>
        </w:rPr>
        <w:t>The Supreme Court of Bermuda decided the case in the way that it did</w:t>
      </w:r>
      <w:r w:rsidR="00411671">
        <w:rPr>
          <w:rFonts w:ascii="Times New Roman" w:eastAsia="Times New Roman" w:hAnsi="Times New Roman" w:cs="Times New Roman"/>
          <w:sz w:val="24"/>
          <w:szCs w:val="24"/>
        </w:rPr>
        <w:t>,</w:t>
      </w:r>
      <w:r w:rsidR="003C4659" w:rsidRPr="00486B87">
        <w:rPr>
          <w:rFonts w:ascii="Times New Roman" w:eastAsia="Times New Roman" w:hAnsi="Times New Roman" w:cs="Times New Roman"/>
          <w:sz w:val="24"/>
          <w:szCs w:val="24"/>
        </w:rPr>
        <w:t xml:space="preserve"> </w:t>
      </w:r>
      <w:r w:rsidR="00023E2D" w:rsidRPr="00486B87">
        <w:rPr>
          <w:rFonts w:ascii="Times New Roman" w:eastAsia="Times New Roman" w:hAnsi="Times New Roman" w:cs="Times New Roman"/>
          <w:sz w:val="24"/>
          <w:szCs w:val="24"/>
        </w:rPr>
        <w:t>as</w:t>
      </w:r>
      <w:r w:rsidR="003C4659" w:rsidRPr="00486B87">
        <w:rPr>
          <w:rFonts w:ascii="Times New Roman" w:eastAsia="Times New Roman" w:hAnsi="Times New Roman" w:cs="Times New Roman"/>
          <w:sz w:val="24"/>
          <w:szCs w:val="24"/>
        </w:rPr>
        <w:t xml:space="preserve"> the Marriage Act 1944 </w:t>
      </w:r>
      <w:r w:rsidR="00023E2D" w:rsidRPr="00486B87">
        <w:rPr>
          <w:rFonts w:ascii="Times New Roman" w:eastAsia="Times New Roman" w:hAnsi="Times New Roman" w:cs="Times New Roman"/>
          <w:sz w:val="24"/>
          <w:szCs w:val="24"/>
        </w:rPr>
        <w:t xml:space="preserve">was perceived to be incompatible </w:t>
      </w:r>
      <w:r w:rsidR="003C4659" w:rsidRPr="00486B87">
        <w:rPr>
          <w:rFonts w:ascii="Times New Roman" w:eastAsia="Times New Roman" w:hAnsi="Times New Roman" w:cs="Times New Roman"/>
          <w:sz w:val="24"/>
          <w:szCs w:val="24"/>
        </w:rPr>
        <w:t xml:space="preserve">with the provisions of Bermuda’s </w:t>
      </w:r>
      <w:r w:rsidR="00A93767" w:rsidRPr="00486B87">
        <w:rPr>
          <w:rFonts w:ascii="Times New Roman" w:eastAsia="Times New Roman" w:hAnsi="Times New Roman" w:cs="Times New Roman"/>
          <w:sz w:val="24"/>
          <w:szCs w:val="24"/>
        </w:rPr>
        <w:t>HRA</w:t>
      </w:r>
      <w:r w:rsidR="00023E2D" w:rsidRPr="00486B87">
        <w:rPr>
          <w:rFonts w:ascii="Times New Roman" w:eastAsia="Times New Roman" w:hAnsi="Times New Roman" w:cs="Times New Roman"/>
          <w:sz w:val="24"/>
          <w:szCs w:val="24"/>
        </w:rPr>
        <w:t xml:space="preserve">. The HRA </w:t>
      </w:r>
      <w:r w:rsidR="003C4659" w:rsidRPr="00486B87">
        <w:rPr>
          <w:rFonts w:ascii="Times New Roman" w:eastAsia="Times New Roman" w:hAnsi="Times New Roman" w:cs="Times New Roman"/>
          <w:sz w:val="24"/>
          <w:szCs w:val="24"/>
        </w:rPr>
        <w:t xml:space="preserve">states that a person </w:t>
      </w:r>
      <w:r w:rsidR="00673CCB" w:rsidRPr="00486B87">
        <w:rPr>
          <w:rFonts w:ascii="Times New Roman" w:eastAsia="Times New Roman" w:hAnsi="Times New Roman" w:cs="Times New Roman"/>
          <w:sz w:val="24"/>
          <w:szCs w:val="24"/>
        </w:rPr>
        <w:t xml:space="preserve">is </w:t>
      </w:r>
      <w:r w:rsidR="003C4659" w:rsidRPr="00486B87">
        <w:rPr>
          <w:rFonts w:ascii="Times New Roman" w:eastAsia="Times New Roman" w:hAnsi="Times New Roman" w:cs="Times New Roman"/>
          <w:sz w:val="24"/>
          <w:szCs w:val="24"/>
        </w:rPr>
        <w:t xml:space="preserve">discriminated against if they are treated less favourably </w:t>
      </w:r>
      <w:r w:rsidR="00673CCB" w:rsidRPr="00486B87">
        <w:rPr>
          <w:rFonts w:ascii="Times New Roman" w:eastAsia="Times New Roman" w:hAnsi="Times New Roman" w:cs="Times New Roman"/>
          <w:sz w:val="24"/>
          <w:szCs w:val="24"/>
        </w:rPr>
        <w:t xml:space="preserve">than another </w:t>
      </w:r>
      <w:r w:rsidR="003C4659" w:rsidRPr="00486B87">
        <w:rPr>
          <w:rFonts w:ascii="Times New Roman" w:eastAsia="Times New Roman" w:hAnsi="Times New Roman" w:cs="Times New Roman"/>
          <w:sz w:val="24"/>
          <w:szCs w:val="24"/>
        </w:rPr>
        <w:t xml:space="preserve">because of, </w:t>
      </w:r>
      <w:r w:rsidR="003C4659" w:rsidRPr="00486B87">
        <w:rPr>
          <w:rFonts w:ascii="Times New Roman" w:eastAsia="Times New Roman" w:hAnsi="Times New Roman" w:cs="Times New Roman"/>
          <w:i/>
          <w:sz w:val="24"/>
          <w:szCs w:val="24"/>
        </w:rPr>
        <w:t>inter alia</w:t>
      </w:r>
      <w:r w:rsidR="003C4659" w:rsidRPr="00486B87">
        <w:rPr>
          <w:rFonts w:ascii="Times New Roman" w:eastAsia="Times New Roman" w:hAnsi="Times New Roman" w:cs="Times New Roman"/>
          <w:sz w:val="24"/>
          <w:szCs w:val="24"/>
        </w:rPr>
        <w:t>, that person</w:t>
      </w:r>
      <w:r w:rsidR="007C19D2" w:rsidRPr="00486B87">
        <w:rPr>
          <w:rFonts w:ascii="Times New Roman" w:eastAsia="Times New Roman" w:hAnsi="Times New Roman" w:cs="Times New Roman"/>
          <w:sz w:val="24"/>
          <w:szCs w:val="24"/>
        </w:rPr>
        <w:t>’</w:t>
      </w:r>
      <w:r w:rsidR="003C4659" w:rsidRPr="00486B87">
        <w:rPr>
          <w:rFonts w:ascii="Times New Roman" w:eastAsia="Times New Roman" w:hAnsi="Times New Roman" w:cs="Times New Roman"/>
          <w:sz w:val="24"/>
          <w:szCs w:val="24"/>
        </w:rPr>
        <w:t>s sexual orientation</w:t>
      </w:r>
      <w:r w:rsidR="00673CCB" w:rsidRPr="00486B87">
        <w:rPr>
          <w:rStyle w:val="FootnoteReference"/>
          <w:rFonts w:ascii="Times New Roman" w:eastAsia="Times New Roman" w:hAnsi="Times New Roman" w:cs="Times New Roman"/>
          <w:sz w:val="24"/>
          <w:szCs w:val="24"/>
        </w:rPr>
        <w:footnoteReference w:id="28"/>
      </w:r>
      <w:r w:rsidR="003C4659" w:rsidRPr="00486B87">
        <w:rPr>
          <w:rFonts w:ascii="Times New Roman" w:eastAsia="Times New Roman" w:hAnsi="Times New Roman" w:cs="Times New Roman"/>
          <w:sz w:val="24"/>
          <w:szCs w:val="24"/>
        </w:rPr>
        <w:t>.</w:t>
      </w:r>
      <w:r w:rsidR="00023E2D" w:rsidRPr="00486B87">
        <w:rPr>
          <w:rFonts w:ascii="Times New Roman" w:eastAsia="Times New Roman" w:hAnsi="Times New Roman" w:cs="Times New Roman"/>
          <w:sz w:val="24"/>
          <w:szCs w:val="24"/>
        </w:rPr>
        <w:t xml:space="preserve"> Though reasonable lawyers and lay people alike will disagree on the fundamental matter of same-sex marriage, the </w:t>
      </w:r>
      <w:r w:rsidR="00F8119F" w:rsidRPr="00486B87">
        <w:rPr>
          <w:rFonts w:ascii="Times New Roman" w:eastAsia="Times New Roman" w:hAnsi="Times New Roman" w:cs="Times New Roman"/>
          <w:sz w:val="24"/>
          <w:szCs w:val="24"/>
        </w:rPr>
        <w:t>judgment</w:t>
      </w:r>
      <w:r w:rsidR="00023E2D" w:rsidRPr="00486B87">
        <w:rPr>
          <w:rFonts w:ascii="Times New Roman" w:eastAsia="Times New Roman" w:hAnsi="Times New Roman" w:cs="Times New Roman"/>
          <w:sz w:val="24"/>
          <w:szCs w:val="24"/>
        </w:rPr>
        <w:t xml:space="preserve"> of the Supreme Court in </w:t>
      </w:r>
      <w:r w:rsidR="00023E2D" w:rsidRPr="00486B87">
        <w:rPr>
          <w:rFonts w:ascii="Times New Roman" w:eastAsia="Times New Roman" w:hAnsi="Times New Roman" w:cs="Times New Roman"/>
          <w:i/>
          <w:sz w:val="24"/>
          <w:szCs w:val="24"/>
        </w:rPr>
        <w:t xml:space="preserve">W Godwin et al </w:t>
      </w:r>
      <w:r w:rsidR="00023E2D" w:rsidRPr="00486B87">
        <w:rPr>
          <w:rFonts w:ascii="Times New Roman" w:eastAsia="Times New Roman" w:hAnsi="Times New Roman" w:cs="Times New Roman"/>
          <w:sz w:val="24"/>
          <w:szCs w:val="24"/>
        </w:rPr>
        <w:t>is logical and coherent.</w:t>
      </w:r>
      <w:r w:rsidR="003C4659" w:rsidRPr="00486B87">
        <w:rPr>
          <w:rFonts w:ascii="Times New Roman" w:eastAsia="Times New Roman" w:hAnsi="Times New Roman" w:cs="Times New Roman"/>
          <w:sz w:val="24"/>
          <w:szCs w:val="24"/>
        </w:rPr>
        <w:t xml:space="preserve"> </w:t>
      </w:r>
      <w:r w:rsidR="00B1368B" w:rsidRPr="00486B87">
        <w:rPr>
          <w:rFonts w:ascii="Times New Roman" w:eastAsia="Times New Roman" w:hAnsi="Times New Roman" w:cs="Times New Roman"/>
          <w:sz w:val="24"/>
          <w:szCs w:val="24"/>
        </w:rPr>
        <w:t>It is also worth drawing attention</w:t>
      </w:r>
      <w:r w:rsidR="00023E2D" w:rsidRPr="00486B87">
        <w:rPr>
          <w:rFonts w:ascii="Times New Roman" w:eastAsia="Times New Roman" w:hAnsi="Times New Roman" w:cs="Times New Roman"/>
          <w:sz w:val="24"/>
          <w:szCs w:val="24"/>
        </w:rPr>
        <w:t xml:space="preserve"> to a connected point;</w:t>
      </w:r>
      <w:r w:rsidR="00B1368B" w:rsidRPr="00486B87">
        <w:rPr>
          <w:rFonts w:ascii="Times New Roman" w:eastAsia="Times New Roman" w:hAnsi="Times New Roman" w:cs="Times New Roman"/>
          <w:sz w:val="24"/>
          <w:szCs w:val="24"/>
        </w:rPr>
        <w:t xml:space="preserve"> </w:t>
      </w:r>
      <w:r w:rsidR="00C6736B" w:rsidRPr="00486B87">
        <w:rPr>
          <w:rFonts w:ascii="Times New Roman" w:eastAsia="Times New Roman" w:hAnsi="Times New Roman" w:cs="Times New Roman"/>
          <w:sz w:val="24"/>
          <w:szCs w:val="24"/>
        </w:rPr>
        <w:t>B</w:t>
      </w:r>
      <w:r w:rsidR="00B1368B" w:rsidRPr="00486B87">
        <w:rPr>
          <w:rFonts w:ascii="Times New Roman" w:eastAsia="Times New Roman" w:hAnsi="Times New Roman" w:cs="Times New Roman"/>
          <w:sz w:val="24"/>
          <w:szCs w:val="24"/>
        </w:rPr>
        <w:t>ermuda recognise</w:t>
      </w:r>
      <w:r w:rsidR="00AF6673" w:rsidRPr="00486B87">
        <w:rPr>
          <w:rFonts w:ascii="Times New Roman" w:eastAsia="Times New Roman" w:hAnsi="Times New Roman" w:cs="Times New Roman"/>
          <w:sz w:val="24"/>
          <w:szCs w:val="24"/>
        </w:rPr>
        <w:t>s</w:t>
      </w:r>
      <w:r w:rsidR="00B1368B" w:rsidRPr="00486B87">
        <w:rPr>
          <w:rFonts w:ascii="Times New Roman" w:eastAsia="Times New Roman" w:hAnsi="Times New Roman" w:cs="Times New Roman"/>
          <w:sz w:val="24"/>
          <w:szCs w:val="24"/>
        </w:rPr>
        <w:t xml:space="preserve"> the European Convention on Human Rights</w:t>
      </w:r>
      <w:r w:rsidR="00AF6673" w:rsidRPr="00486B87">
        <w:rPr>
          <w:rStyle w:val="FootnoteReference"/>
          <w:rFonts w:ascii="Times New Roman" w:eastAsia="Times New Roman" w:hAnsi="Times New Roman" w:cs="Times New Roman"/>
          <w:sz w:val="24"/>
          <w:szCs w:val="24"/>
        </w:rPr>
        <w:footnoteReference w:id="29"/>
      </w:r>
      <w:r w:rsidR="00B1368B" w:rsidRPr="00486B87">
        <w:rPr>
          <w:rFonts w:ascii="Times New Roman" w:eastAsia="Times New Roman" w:hAnsi="Times New Roman" w:cs="Times New Roman"/>
          <w:sz w:val="24"/>
          <w:szCs w:val="24"/>
        </w:rPr>
        <w:t xml:space="preserve"> and the HRA specifies that these rights apply in Bermuda. </w:t>
      </w:r>
      <w:r w:rsidR="00A82192" w:rsidRPr="00486B87">
        <w:rPr>
          <w:rFonts w:ascii="Times New Roman" w:eastAsia="Times New Roman" w:hAnsi="Times New Roman" w:cs="Times New Roman"/>
          <w:sz w:val="24"/>
          <w:szCs w:val="24"/>
        </w:rPr>
        <w:t>This was previously recognised</w:t>
      </w:r>
      <w:r w:rsidR="00406D19">
        <w:rPr>
          <w:rFonts w:ascii="Times New Roman" w:eastAsia="Times New Roman" w:hAnsi="Times New Roman" w:cs="Times New Roman"/>
          <w:sz w:val="24"/>
          <w:szCs w:val="24"/>
        </w:rPr>
        <w:t>,</w:t>
      </w:r>
      <w:r w:rsidR="00A82192" w:rsidRPr="00486B87">
        <w:rPr>
          <w:rFonts w:ascii="Times New Roman" w:eastAsia="Times New Roman" w:hAnsi="Times New Roman" w:cs="Times New Roman"/>
          <w:sz w:val="24"/>
          <w:szCs w:val="24"/>
        </w:rPr>
        <w:t xml:space="preserve"> </w:t>
      </w:r>
      <w:r w:rsidR="0008668C" w:rsidRPr="00486B87">
        <w:rPr>
          <w:rFonts w:ascii="Times New Roman" w:eastAsia="Times New Roman" w:hAnsi="Times New Roman" w:cs="Times New Roman"/>
          <w:sz w:val="24"/>
          <w:szCs w:val="24"/>
        </w:rPr>
        <w:t xml:space="preserve">as </w:t>
      </w:r>
      <w:r w:rsidR="00A82192" w:rsidRPr="00486B87">
        <w:rPr>
          <w:rFonts w:ascii="Times New Roman" w:eastAsia="Times New Roman" w:hAnsi="Times New Roman" w:cs="Times New Roman"/>
          <w:sz w:val="24"/>
          <w:szCs w:val="24"/>
        </w:rPr>
        <w:t xml:space="preserve">the UK had extended the European Convention on Human Rights to “virtually the whole dependent empire” in </w:t>
      </w:r>
      <w:r w:rsidR="00C6736B" w:rsidRPr="00486B87">
        <w:rPr>
          <w:rFonts w:ascii="Times New Roman" w:eastAsia="Times New Roman" w:hAnsi="Times New Roman" w:cs="Times New Roman"/>
          <w:sz w:val="24"/>
          <w:szCs w:val="24"/>
        </w:rPr>
        <w:t>1953</w:t>
      </w:r>
      <w:r w:rsidR="00C6736B" w:rsidRPr="00486B87">
        <w:rPr>
          <w:rStyle w:val="FootnoteReference"/>
          <w:rFonts w:ascii="Times New Roman" w:eastAsia="Times New Roman" w:hAnsi="Times New Roman" w:cs="Times New Roman"/>
          <w:sz w:val="24"/>
          <w:szCs w:val="24"/>
        </w:rPr>
        <w:footnoteReference w:id="30"/>
      </w:r>
      <w:r w:rsidR="00152265" w:rsidRPr="00486B87">
        <w:rPr>
          <w:rFonts w:ascii="Times New Roman" w:eastAsia="Times New Roman" w:hAnsi="Times New Roman" w:cs="Times New Roman"/>
          <w:sz w:val="24"/>
          <w:szCs w:val="24"/>
        </w:rPr>
        <w:t>,</w:t>
      </w:r>
      <w:r w:rsidR="00C6736B" w:rsidRPr="00486B87">
        <w:rPr>
          <w:rFonts w:ascii="Times New Roman" w:eastAsia="Times New Roman" w:hAnsi="Times New Roman" w:cs="Times New Roman"/>
          <w:sz w:val="24"/>
          <w:szCs w:val="24"/>
        </w:rPr>
        <w:t xml:space="preserve"> following the UK’s ratification of the Convention 1950</w:t>
      </w:r>
      <w:r w:rsidR="00C6736B" w:rsidRPr="00486B87">
        <w:rPr>
          <w:rStyle w:val="FootnoteReference"/>
          <w:rFonts w:ascii="Times New Roman" w:eastAsia="Times New Roman" w:hAnsi="Times New Roman" w:cs="Times New Roman"/>
          <w:sz w:val="24"/>
          <w:szCs w:val="24"/>
        </w:rPr>
        <w:footnoteReference w:id="31"/>
      </w:r>
      <w:r w:rsidR="00C6736B" w:rsidRPr="00486B87">
        <w:rPr>
          <w:rFonts w:ascii="Times New Roman" w:eastAsia="Times New Roman" w:hAnsi="Times New Roman" w:cs="Times New Roman"/>
          <w:sz w:val="24"/>
          <w:szCs w:val="24"/>
        </w:rPr>
        <w:t xml:space="preserve">. Therefore, the provisions contained within the Convention are not novel </w:t>
      </w:r>
      <w:r w:rsidR="00122A55" w:rsidRPr="00486B87">
        <w:rPr>
          <w:rFonts w:ascii="Times New Roman" w:eastAsia="Times New Roman" w:hAnsi="Times New Roman" w:cs="Times New Roman"/>
          <w:sz w:val="24"/>
          <w:szCs w:val="24"/>
        </w:rPr>
        <w:t>in Bermudian courts or to the Bermudian legislature.</w:t>
      </w:r>
      <w:r w:rsidR="00921D87" w:rsidRPr="00486B87">
        <w:rPr>
          <w:rFonts w:ascii="Times New Roman" w:eastAsia="Times New Roman" w:hAnsi="Times New Roman" w:cs="Times New Roman"/>
          <w:sz w:val="24"/>
          <w:szCs w:val="24"/>
        </w:rPr>
        <w:t xml:space="preserve"> Notwithstanding this, Bermuda, as with most Br</w:t>
      </w:r>
      <w:r w:rsidR="00226528" w:rsidRPr="00486B87">
        <w:rPr>
          <w:rFonts w:ascii="Times New Roman" w:eastAsia="Times New Roman" w:hAnsi="Times New Roman" w:cs="Times New Roman"/>
          <w:sz w:val="24"/>
          <w:szCs w:val="24"/>
        </w:rPr>
        <w:t xml:space="preserve">itish Oversea Territories, has a </w:t>
      </w:r>
      <w:r w:rsidR="007B17B3" w:rsidRPr="00486B87">
        <w:rPr>
          <w:rFonts w:ascii="Times New Roman" w:eastAsia="Times New Roman" w:hAnsi="Times New Roman" w:cs="Times New Roman"/>
          <w:sz w:val="24"/>
          <w:szCs w:val="24"/>
        </w:rPr>
        <w:t>very complex relationship</w:t>
      </w:r>
      <w:r w:rsidR="00921D87" w:rsidRPr="00486B87">
        <w:rPr>
          <w:rFonts w:ascii="Times New Roman" w:eastAsia="Times New Roman" w:hAnsi="Times New Roman" w:cs="Times New Roman"/>
          <w:sz w:val="24"/>
          <w:szCs w:val="24"/>
        </w:rPr>
        <w:t xml:space="preserve"> with the European Convention on Human Rights and with Strasbourg’s jurisprudence</w:t>
      </w:r>
      <w:r w:rsidR="00921D87" w:rsidRPr="00486B87">
        <w:rPr>
          <w:rStyle w:val="FootnoteReference"/>
          <w:rFonts w:ascii="Times New Roman" w:eastAsia="Times New Roman" w:hAnsi="Times New Roman" w:cs="Times New Roman"/>
          <w:sz w:val="24"/>
          <w:szCs w:val="24"/>
        </w:rPr>
        <w:footnoteReference w:id="32"/>
      </w:r>
      <w:r w:rsidR="00921D87" w:rsidRPr="00486B87">
        <w:rPr>
          <w:rFonts w:ascii="Times New Roman" w:eastAsia="Times New Roman" w:hAnsi="Times New Roman" w:cs="Times New Roman"/>
          <w:sz w:val="24"/>
          <w:szCs w:val="24"/>
        </w:rPr>
        <w:t>. Despite this</w:t>
      </w:r>
      <w:r w:rsidR="00B928A3">
        <w:rPr>
          <w:rFonts w:ascii="Times New Roman" w:eastAsia="Times New Roman" w:hAnsi="Times New Roman" w:cs="Times New Roman"/>
          <w:sz w:val="24"/>
          <w:szCs w:val="24"/>
        </w:rPr>
        <w:t>,</w:t>
      </w:r>
      <w:r w:rsidR="00921D87" w:rsidRPr="00486B87">
        <w:rPr>
          <w:rFonts w:ascii="Times New Roman" w:eastAsia="Times New Roman" w:hAnsi="Times New Roman" w:cs="Times New Roman"/>
          <w:sz w:val="24"/>
          <w:szCs w:val="24"/>
        </w:rPr>
        <w:t xml:space="preserve"> there is some inconsistency within </w:t>
      </w:r>
      <w:r w:rsidR="00921D87" w:rsidRPr="00486B87">
        <w:rPr>
          <w:rFonts w:ascii="Times New Roman" w:eastAsia="Times New Roman" w:hAnsi="Times New Roman" w:cs="Times New Roman"/>
          <w:sz w:val="24"/>
          <w:szCs w:val="24"/>
        </w:rPr>
        <w:lastRenderedPageBreak/>
        <w:t xml:space="preserve">Bermudian law regarding the protections from discrimination that are afforded. </w:t>
      </w:r>
      <w:r w:rsidR="00D32636" w:rsidRPr="00486B87">
        <w:rPr>
          <w:rFonts w:ascii="Times New Roman" w:eastAsia="Times New Roman" w:hAnsi="Times New Roman" w:cs="Times New Roman"/>
          <w:sz w:val="24"/>
          <w:szCs w:val="24"/>
        </w:rPr>
        <w:t>According to ‘The Schedule to the Constitution of Bermuda: Forms of Oaths and Affirmations’, “no law shall make any provision which is discriminatory either of itself or in its effect”</w:t>
      </w:r>
      <w:r w:rsidR="00921D87" w:rsidRPr="00486B87">
        <w:rPr>
          <w:rStyle w:val="FootnoteReference"/>
          <w:rFonts w:ascii="Times New Roman" w:eastAsia="Times New Roman" w:hAnsi="Times New Roman" w:cs="Times New Roman"/>
          <w:sz w:val="24"/>
          <w:szCs w:val="24"/>
        </w:rPr>
        <w:t xml:space="preserve"> </w:t>
      </w:r>
      <w:r w:rsidR="00921D87" w:rsidRPr="00486B87">
        <w:rPr>
          <w:rStyle w:val="FootnoteReference"/>
          <w:rFonts w:ascii="Times New Roman" w:eastAsia="Times New Roman" w:hAnsi="Times New Roman" w:cs="Times New Roman"/>
          <w:sz w:val="24"/>
          <w:szCs w:val="24"/>
        </w:rPr>
        <w:footnoteReference w:id="33"/>
      </w:r>
      <w:r w:rsidR="00D32636" w:rsidRPr="00486B87">
        <w:rPr>
          <w:rFonts w:ascii="Times New Roman" w:eastAsia="Times New Roman" w:hAnsi="Times New Roman" w:cs="Times New Roman"/>
          <w:sz w:val="24"/>
          <w:szCs w:val="24"/>
        </w:rPr>
        <w:t xml:space="preserve">. Although this seems to </w:t>
      </w:r>
      <w:r w:rsidR="00921D87" w:rsidRPr="00486B87">
        <w:rPr>
          <w:rFonts w:ascii="Times New Roman" w:eastAsia="Times New Roman" w:hAnsi="Times New Roman" w:cs="Times New Roman"/>
          <w:sz w:val="24"/>
          <w:szCs w:val="24"/>
        </w:rPr>
        <w:t>be clear in its assertion</w:t>
      </w:r>
      <w:r w:rsidR="00D32636" w:rsidRPr="00486B87">
        <w:rPr>
          <w:rFonts w:ascii="Times New Roman" w:eastAsia="Times New Roman" w:hAnsi="Times New Roman" w:cs="Times New Roman"/>
          <w:sz w:val="24"/>
          <w:szCs w:val="24"/>
        </w:rPr>
        <w:t xml:space="preserve">, </w:t>
      </w:r>
      <w:proofErr w:type="gramStart"/>
      <w:r w:rsidR="00B928A3">
        <w:rPr>
          <w:rFonts w:ascii="Times New Roman" w:eastAsia="Times New Roman" w:hAnsi="Times New Roman" w:cs="Times New Roman"/>
          <w:sz w:val="24"/>
          <w:szCs w:val="24"/>
        </w:rPr>
        <w:t>s.</w:t>
      </w:r>
      <w:r w:rsidR="00D32636" w:rsidRPr="00486B87">
        <w:rPr>
          <w:rFonts w:ascii="Times New Roman" w:eastAsia="Times New Roman" w:hAnsi="Times New Roman" w:cs="Times New Roman"/>
          <w:sz w:val="24"/>
          <w:szCs w:val="24"/>
        </w:rPr>
        <w:t>12(</w:t>
      </w:r>
      <w:proofErr w:type="gramEnd"/>
      <w:r w:rsidR="00D32636" w:rsidRPr="00486B87">
        <w:rPr>
          <w:rFonts w:ascii="Times New Roman" w:eastAsia="Times New Roman" w:hAnsi="Times New Roman" w:cs="Times New Roman"/>
          <w:sz w:val="24"/>
          <w:szCs w:val="24"/>
        </w:rPr>
        <w:t xml:space="preserve">4)(c) </w:t>
      </w:r>
      <w:r w:rsidR="00921D87" w:rsidRPr="00486B87">
        <w:rPr>
          <w:rFonts w:ascii="Times New Roman" w:eastAsia="Times New Roman" w:hAnsi="Times New Roman" w:cs="Times New Roman"/>
          <w:sz w:val="24"/>
          <w:szCs w:val="24"/>
        </w:rPr>
        <w:t xml:space="preserve">of the same schedule </w:t>
      </w:r>
      <w:r w:rsidR="00D32636" w:rsidRPr="00486B87">
        <w:rPr>
          <w:rFonts w:ascii="Times New Roman" w:eastAsia="Times New Roman" w:hAnsi="Times New Roman" w:cs="Times New Roman"/>
          <w:sz w:val="24"/>
          <w:szCs w:val="24"/>
        </w:rPr>
        <w:t xml:space="preserve">states that the protection from discrimination does not apply </w:t>
      </w:r>
      <w:r w:rsidR="00EF3FCC" w:rsidRPr="00486B87">
        <w:rPr>
          <w:rFonts w:ascii="Times New Roman" w:eastAsia="Times New Roman" w:hAnsi="Times New Roman" w:cs="Times New Roman"/>
          <w:sz w:val="24"/>
          <w:szCs w:val="24"/>
        </w:rPr>
        <w:t>to</w:t>
      </w:r>
      <w:r w:rsidR="00D32636" w:rsidRPr="00486B87">
        <w:rPr>
          <w:rFonts w:ascii="Times New Roman" w:eastAsia="Times New Roman" w:hAnsi="Times New Roman" w:cs="Times New Roman"/>
          <w:sz w:val="24"/>
          <w:szCs w:val="24"/>
        </w:rPr>
        <w:t xml:space="preserve"> marriage</w:t>
      </w:r>
      <w:r w:rsidR="00921D87" w:rsidRPr="00486B87">
        <w:rPr>
          <w:rFonts w:ascii="Times New Roman" w:eastAsia="Times New Roman" w:hAnsi="Times New Roman" w:cs="Times New Roman"/>
          <w:sz w:val="24"/>
          <w:szCs w:val="24"/>
        </w:rPr>
        <w:t xml:space="preserve">, </w:t>
      </w:r>
      <w:r w:rsidR="00EA7FFB" w:rsidRPr="00486B87">
        <w:rPr>
          <w:rFonts w:ascii="Times New Roman" w:eastAsia="Times New Roman" w:hAnsi="Times New Roman" w:cs="Times New Roman"/>
          <w:sz w:val="24"/>
          <w:szCs w:val="24"/>
        </w:rPr>
        <w:t>and other</w:t>
      </w:r>
      <w:r w:rsidR="006F5C8E" w:rsidRPr="00486B87">
        <w:rPr>
          <w:rFonts w:ascii="Times New Roman" w:eastAsia="Times New Roman" w:hAnsi="Times New Roman" w:cs="Times New Roman"/>
          <w:sz w:val="24"/>
          <w:szCs w:val="24"/>
        </w:rPr>
        <w:t xml:space="preserve"> </w:t>
      </w:r>
      <w:r w:rsidR="00921D87" w:rsidRPr="00486B87">
        <w:rPr>
          <w:rFonts w:ascii="Times New Roman" w:eastAsia="Times New Roman" w:hAnsi="Times New Roman" w:cs="Times New Roman"/>
          <w:sz w:val="24"/>
          <w:szCs w:val="24"/>
        </w:rPr>
        <w:t xml:space="preserve">personal law </w:t>
      </w:r>
      <w:r w:rsidR="006F5C8E" w:rsidRPr="00486B87">
        <w:rPr>
          <w:rFonts w:ascii="Times New Roman" w:eastAsia="Times New Roman" w:hAnsi="Times New Roman" w:cs="Times New Roman"/>
          <w:sz w:val="24"/>
          <w:szCs w:val="24"/>
        </w:rPr>
        <w:t>applicable to the relevant persons</w:t>
      </w:r>
      <w:r w:rsidR="00EA7FFB" w:rsidRPr="00486B87">
        <w:rPr>
          <w:rStyle w:val="FootnoteReference"/>
          <w:rFonts w:ascii="Times New Roman" w:eastAsia="Times New Roman" w:hAnsi="Times New Roman" w:cs="Times New Roman"/>
          <w:sz w:val="24"/>
          <w:szCs w:val="24"/>
        </w:rPr>
        <w:footnoteReference w:id="34"/>
      </w:r>
      <w:r w:rsidR="00D32636" w:rsidRPr="00486B87">
        <w:rPr>
          <w:rFonts w:ascii="Times New Roman" w:eastAsia="Times New Roman" w:hAnsi="Times New Roman" w:cs="Times New Roman"/>
          <w:sz w:val="24"/>
          <w:szCs w:val="24"/>
        </w:rPr>
        <w:t xml:space="preserve">. </w:t>
      </w:r>
      <w:r w:rsidR="00E422E2" w:rsidRPr="00486B87">
        <w:rPr>
          <w:rFonts w:ascii="Times New Roman" w:eastAsia="Times New Roman" w:hAnsi="Times New Roman" w:cs="Times New Roman"/>
          <w:sz w:val="24"/>
          <w:szCs w:val="24"/>
        </w:rPr>
        <w:t xml:space="preserve">It is positive that the Supreme Court of Bermuda has recently departed from its reliance on </w:t>
      </w:r>
      <w:r w:rsidR="00B928A3">
        <w:rPr>
          <w:rFonts w:ascii="Times New Roman" w:eastAsia="Times New Roman" w:hAnsi="Times New Roman" w:cs="Times New Roman"/>
          <w:sz w:val="24"/>
          <w:szCs w:val="24"/>
        </w:rPr>
        <w:t>s.</w:t>
      </w:r>
      <w:r w:rsidR="00E422E2" w:rsidRPr="00486B87">
        <w:rPr>
          <w:rFonts w:ascii="Times New Roman" w:eastAsia="Times New Roman" w:hAnsi="Times New Roman" w:cs="Times New Roman"/>
          <w:sz w:val="24"/>
          <w:szCs w:val="24"/>
        </w:rPr>
        <w:t xml:space="preserve">12(4)(c); in </w:t>
      </w:r>
      <w:r w:rsidR="00E422E2" w:rsidRPr="00486B87">
        <w:rPr>
          <w:rFonts w:ascii="Times New Roman" w:eastAsia="Times New Roman" w:hAnsi="Times New Roman" w:cs="Times New Roman"/>
          <w:i/>
          <w:sz w:val="24"/>
          <w:szCs w:val="24"/>
        </w:rPr>
        <w:t xml:space="preserve">Ferguson </w:t>
      </w:r>
      <w:r w:rsidR="00E422E2" w:rsidRPr="00486B87">
        <w:rPr>
          <w:rFonts w:ascii="Times New Roman" w:eastAsia="Times New Roman" w:hAnsi="Times New Roman" w:cs="Times New Roman"/>
          <w:sz w:val="24"/>
          <w:szCs w:val="24"/>
        </w:rPr>
        <w:t xml:space="preserve">the </w:t>
      </w:r>
      <w:r w:rsidR="00942C15">
        <w:rPr>
          <w:rFonts w:ascii="Times New Roman" w:eastAsia="Times New Roman" w:hAnsi="Times New Roman" w:cs="Times New Roman"/>
          <w:sz w:val="24"/>
          <w:szCs w:val="24"/>
        </w:rPr>
        <w:t>C</w:t>
      </w:r>
      <w:r w:rsidR="00E422E2" w:rsidRPr="00486B87">
        <w:rPr>
          <w:rFonts w:ascii="Times New Roman" w:eastAsia="Times New Roman" w:hAnsi="Times New Roman" w:cs="Times New Roman"/>
          <w:sz w:val="24"/>
          <w:szCs w:val="24"/>
        </w:rPr>
        <w:t xml:space="preserve">ourt disagreed with the </w:t>
      </w:r>
      <w:r w:rsidR="00711497" w:rsidRPr="00486B87">
        <w:rPr>
          <w:rFonts w:ascii="Times New Roman" w:eastAsia="Times New Roman" w:hAnsi="Times New Roman" w:cs="Times New Roman"/>
          <w:sz w:val="24"/>
          <w:szCs w:val="24"/>
        </w:rPr>
        <w:t xml:space="preserve">argument that discriminatory practices in relation to marriage are protected by </w:t>
      </w:r>
      <w:r w:rsidR="00942C15">
        <w:rPr>
          <w:rFonts w:ascii="Times New Roman" w:eastAsia="Times New Roman" w:hAnsi="Times New Roman" w:cs="Times New Roman"/>
          <w:sz w:val="24"/>
          <w:szCs w:val="24"/>
        </w:rPr>
        <w:t>s.</w:t>
      </w:r>
      <w:r w:rsidR="00711497" w:rsidRPr="00486B87">
        <w:rPr>
          <w:rFonts w:ascii="Times New Roman" w:eastAsia="Times New Roman" w:hAnsi="Times New Roman" w:cs="Times New Roman"/>
          <w:sz w:val="24"/>
          <w:szCs w:val="24"/>
        </w:rPr>
        <w:t xml:space="preserve">12(4)(c), the </w:t>
      </w:r>
      <w:r w:rsidR="00942C15">
        <w:rPr>
          <w:rFonts w:ascii="Times New Roman" w:eastAsia="Times New Roman" w:hAnsi="Times New Roman" w:cs="Times New Roman"/>
          <w:sz w:val="24"/>
          <w:szCs w:val="24"/>
        </w:rPr>
        <w:t>C</w:t>
      </w:r>
      <w:r w:rsidR="00711497" w:rsidRPr="00486B87">
        <w:rPr>
          <w:rFonts w:ascii="Times New Roman" w:eastAsia="Times New Roman" w:hAnsi="Times New Roman" w:cs="Times New Roman"/>
          <w:sz w:val="24"/>
          <w:szCs w:val="24"/>
        </w:rPr>
        <w:t>ourt fe</w:t>
      </w:r>
      <w:r w:rsidR="008C77D0">
        <w:rPr>
          <w:rFonts w:ascii="Times New Roman" w:eastAsia="Times New Roman" w:hAnsi="Times New Roman" w:cs="Times New Roman"/>
          <w:sz w:val="24"/>
          <w:szCs w:val="24"/>
        </w:rPr>
        <w:t>eling</w:t>
      </w:r>
      <w:r w:rsidR="00711497" w:rsidRPr="00486B87">
        <w:rPr>
          <w:rFonts w:ascii="Times New Roman" w:eastAsia="Times New Roman" w:hAnsi="Times New Roman" w:cs="Times New Roman"/>
          <w:sz w:val="24"/>
          <w:szCs w:val="24"/>
        </w:rPr>
        <w:t xml:space="preserve"> that the remit of this section was to support the expansion of beliefs and “</w:t>
      </w:r>
      <w:r w:rsidR="00260814" w:rsidRPr="00486B87">
        <w:rPr>
          <w:rFonts w:ascii="Times New Roman" w:eastAsia="Times New Roman" w:hAnsi="Times New Roman" w:cs="Times New Roman"/>
          <w:sz w:val="24"/>
          <w:szCs w:val="24"/>
        </w:rPr>
        <w:t>[r]</w:t>
      </w:r>
      <w:proofErr w:type="spellStart"/>
      <w:r w:rsidR="00711497" w:rsidRPr="00486B87">
        <w:rPr>
          <w:rFonts w:ascii="Times New Roman" w:eastAsia="Times New Roman" w:hAnsi="Times New Roman" w:cs="Times New Roman"/>
          <w:sz w:val="24"/>
          <w:szCs w:val="24"/>
        </w:rPr>
        <w:t>ather</w:t>
      </w:r>
      <w:proofErr w:type="spellEnd"/>
      <w:r w:rsidR="00711497" w:rsidRPr="00486B87">
        <w:rPr>
          <w:rFonts w:ascii="Times New Roman" w:eastAsia="Times New Roman" w:hAnsi="Times New Roman" w:cs="Times New Roman"/>
          <w:sz w:val="24"/>
          <w:szCs w:val="24"/>
        </w:rPr>
        <w:t xml:space="preserve"> than permitting the State to prefer some beliefs over others, section 12(4)(c) is designed to facilitate diversity in beliefs”</w:t>
      </w:r>
      <w:r w:rsidR="00711497" w:rsidRPr="00486B87">
        <w:rPr>
          <w:rStyle w:val="FootnoteReference"/>
          <w:rFonts w:ascii="Times New Roman" w:eastAsia="Times New Roman" w:hAnsi="Times New Roman" w:cs="Times New Roman"/>
          <w:sz w:val="24"/>
          <w:szCs w:val="24"/>
        </w:rPr>
        <w:footnoteReference w:id="35"/>
      </w:r>
      <w:r w:rsidR="00711497" w:rsidRPr="00486B87">
        <w:rPr>
          <w:rFonts w:ascii="Times New Roman" w:eastAsia="Times New Roman" w:hAnsi="Times New Roman" w:cs="Times New Roman"/>
          <w:sz w:val="24"/>
          <w:szCs w:val="24"/>
        </w:rPr>
        <w:t xml:space="preserve">. The </w:t>
      </w:r>
      <w:r w:rsidR="008C77D0">
        <w:rPr>
          <w:rFonts w:ascii="Times New Roman" w:eastAsia="Times New Roman" w:hAnsi="Times New Roman" w:cs="Times New Roman"/>
          <w:sz w:val="24"/>
          <w:szCs w:val="24"/>
        </w:rPr>
        <w:t>C</w:t>
      </w:r>
      <w:r w:rsidR="00711497" w:rsidRPr="00486B87">
        <w:rPr>
          <w:rFonts w:ascii="Times New Roman" w:eastAsia="Times New Roman" w:hAnsi="Times New Roman" w:cs="Times New Roman"/>
          <w:sz w:val="24"/>
          <w:szCs w:val="24"/>
        </w:rPr>
        <w:t xml:space="preserve">ourt goes on to say that </w:t>
      </w:r>
      <w:r w:rsidR="00260814" w:rsidRPr="00486B87">
        <w:rPr>
          <w:rFonts w:ascii="Times New Roman" w:eastAsia="Times New Roman" w:hAnsi="Times New Roman" w:cs="Times New Roman"/>
          <w:sz w:val="24"/>
          <w:szCs w:val="24"/>
        </w:rPr>
        <w:t>“[t]</w:t>
      </w:r>
      <w:r w:rsidR="00711497" w:rsidRPr="00486B87">
        <w:rPr>
          <w:rFonts w:ascii="Times New Roman" w:eastAsia="Times New Roman" w:hAnsi="Times New Roman" w:cs="Times New Roman"/>
          <w:sz w:val="24"/>
          <w:szCs w:val="24"/>
        </w:rPr>
        <w:t xml:space="preserve">he Jewish Marriage Act 1946, the Baha’i Marriage Act 1970, and the Muslim Marriage Act 1984, are examples of legislation which is facilitated by </w:t>
      </w:r>
      <w:r w:rsidR="008C77D0">
        <w:rPr>
          <w:rFonts w:ascii="Times New Roman" w:eastAsia="Times New Roman" w:hAnsi="Times New Roman" w:cs="Times New Roman"/>
          <w:sz w:val="24"/>
          <w:szCs w:val="24"/>
        </w:rPr>
        <w:t>s.</w:t>
      </w:r>
      <w:r w:rsidR="00711497" w:rsidRPr="00486B87">
        <w:rPr>
          <w:rFonts w:ascii="Times New Roman" w:eastAsia="Times New Roman" w:hAnsi="Times New Roman" w:cs="Times New Roman"/>
          <w:sz w:val="24"/>
          <w:szCs w:val="24"/>
        </w:rPr>
        <w:t>12(4)(c) of the Constitution”</w:t>
      </w:r>
      <w:r w:rsidR="00260814" w:rsidRPr="00486B87">
        <w:rPr>
          <w:rStyle w:val="FootnoteReference"/>
          <w:rFonts w:ascii="Times New Roman" w:eastAsia="Times New Roman" w:hAnsi="Times New Roman" w:cs="Times New Roman"/>
          <w:sz w:val="24"/>
          <w:szCs w:val="24"/>
        </w:rPr>
        <w:footnoteReference w:id="36"/>
      </w:r>
      <w:r w:rsidR="00711497" w:rsidRPr="00486B87">
        <w:rPr>
          <w:rFonts w:ascii="Times New Roman" w:eastAsia="Times New Roman" w:hAnsi="Times New Roman" w:cs="Times New Roman"/>
          <w:sz w:val="24"/>
          <w:szCs w:val="24"/>
        </w:rPr>
        <w:t>. T</w:t>
      </w:r>
      <w:r w:rsidR="00D32636" w:rsidRPr="00486B87">
        <w:rPr>
          <w:rFonts w:ascii="Times New Roman" w:eastAsia="Times New Roman" w:hAnsi="Times New Roman" w:cs="Times New Roman"/>
          <w:sz w:val="24"/>
          <w:szCs w:val="24"/>
        </w:rPr>
        <w:t xml:space="preserve">he status of the HRA is an important factor in determining </w:t>
      </w:r>
      <w:r w:rsidR="00711497" w:rsidRPr="00486B87">
        <w:rPr>
          <w:rFonts w:ascii="Times New Roman" w:eastAsia="Times New Roman" w:hAnsi="Times New Roman" w:cs="Times New Roman"/>
          <w:sz w:val="24"/>
          <w:szCs w:val="24"/>
        </w:rPr>
        <w:t>how far an</w:t>
      </w:r>
      <w:r w:rsidR="00D32636" w:rsidRPr="00486B87">
        <w:rPr>
          <w:rFonts w:ascii="Times New Roman" w:eastAsia="Times New Roman" w:hAnsi="Times New Roman" w:cs="Times New Roman"/>
          <w:sz w:val="24"/>
          <w:szCs w:val="24"/>
        </w:rPr>
        <w:t xml:space="preserve"> Act succeeding the </w:t>
      </w:r>
      <w:r w:rsidR="00593D76" w:rsidRPr="00486B87">
        <w:rPr>
          <w:rFonts w:ascii="Times New Roman" w:eastAsia="Times New Roman" w:hAnsi="Times New Roman" w:cs="Times New Roman"/>
          <w:sz w:val="24"/>
          <w:szCs w:val="24"/>
        </w:rPr>
        <w:t>C</w:t>
      </w:r>
      <w:r w:rsidR="00D32636" w:rsidRPr="00486B87">
        <w:rPr>
          <w:rFonts w:ascii="Times New Roman" w:eastAsia="Times New Roman" w:hAnsi="Times New Roman" w:cs="Times New Roman"/>
          <w:sz w:val="24"/>
          <w:szCs w:val="24"/>
        </w:rPr>
        <w:t xml:space="preserve">onstitution </w:t>
      </w:r>
      <w:r w:rsidR="00711497" w:rsidRPr="00486B87">
        <w:rPr>
          <w:rFonts w:ascii="Times New Roman" w:eastAsia="Times New Roman" w:hAnsi="Times New Roman" w:cs="Times New Roman"/>
          <w:sz w:val="24"/>
          <w:szCs w:val="24"/>
        </w:rPr>
        <w:t xml:space="preserve">can </w:t>
      </w:r>
      <w:r w:rsidR="00D32636" w:rsidRPr="00486B87">
        <w:rPr>
          <w:rFonts w:ascii="Times New Roman" w:eastAsia="Times New Roman" w:hAnsi="Times New Roman" w:cs="Times New Roman"/>
          <w:sz w:val="24"/>
          <w:szCs w:val="24"/>
        </w:rPr>
        <w:t>expand on constitutional protections</w:t>
      </w:r>
      <w:r w:rsidR="00711497" w:rsidRPr="00486B87">
        <w:rPr>
          <w:rFonts w:ascii="Times New Roman" w:eastAsia="Times New Roman" w:hAnsi="Times New Roman" w:cs="Times New Roman"/>
          <w:sz w:val="24"/>
          <w:szCs w:val="24"/>
        </w:rPr>
        <w:t xml:space="preserve"> and constitutional theory</w:t>
      </w:r>
      <w:r w:rsidR="00D32636" w:rsidRPr="00486B87">
        <w:rPr>
          <w:rFonts w:ascii="Times New Roman" w:eastAsia="Times New Roman" w:hAnsi="Times New Roman" w:cs="Times New Roman"/>
          <w:sz w:val="24"/>
          <w:szCs w:val="24"/>
        </w:rPr>
        <w:t>. </w:t>
      </w:r>
    </w:p>
    <w:p w14:paraId="5C39E481" w14:textId="77777777" w:rsidR="00EA7FFB" w:rsidRPr="00486B87" w:rsidRDefault="00EA7FFB" w:rsidP="00174DA6">
      <w:pPr>
        <w:spacing w:line="480" w:lineRule="auto"/>
        <w:jc w:val="both"/>
        <w:rPr>
          <w:rFonts w:ascii="Times New Roman" w:eastAsia="Times New Roman" w:hAnsi="Times New Roman" w:cs="Times New Roman"/>
          <w:sz w:val="24"/>
          <w:szCs w:val="24"/>
        </w:rPr>
      </w:pPr>
    </w:p>
    <w:p w14:paraId="7AF57A74" w14:textId="244C984D" w:rsidR="00C36A7F" w:rsidRPr="00486B87" w:rsidRDefault="00DD30DA" w:rsidP="0097731E">
      <w:pPr>
        <w:spacing w:line="480" w:lineRule="auto"/>
        <w:jc w:val="both"/>
        <w:rPr>
          <w:rFonts w:ascii="Times New Roman" w:eastAsia="Times New Roman" w:hAnsi="Times New Roman" w:cs="Times New Roman"/>
          <w:sz w:val="24"/>
          <w:szCs w:val="24"/>
        </w:rPr>
      </w:pPr>
      <w:r w:rsidRPr="00486B87">
        <w:rPr>
          <w:rFonts w:ascii="Times New Roman" w:eastAsia="Times New Roman" w:hAnsi="Times New Roman" w:cs="Times New Roman"/>
          <w:sz w:val="24"/>
          <w:szCs w:val="24"/>
        </w:rPr>
        <w:t xml:space="preserve">The HRA does not specifically state that it is </w:t>
      </w:r>
      <w:r w:rsidR="00A82192" w:rsidRPr="00486B87">
        <w:rPr>
          <w:rFonts w:ascii="Times New Roman" w:eastAsia="Times New Roman" w:hAnsi="Times New Roman" w:cs="Times New Roman"/>
          <w:sz w:val="24"/>
          <w:szCs w:val="24"/>
        </w:rPr>
        <w:t xml:space="preserve">a </w:t>
      </w:r>
      <w:r w:rsidRPr="00486B87">
        <w:rPr>
          <w:rFonts w:ascii="Times New Roman" w:eastAsia="Times New Roman" w:hAnsi="Times New Roman" w:cs="Times New Roman"/>
          <w:sz w:val="24"/>
          <w:szCs w:val="24"/>
        </w:rPr>
        <w:t>constitutional</w:t>
      </w:r>
      <w:r w:rsidR="00A82192" w:rsidRPr="00486B87">
        <w:rPr>
          <w:rFonts w:ascii="Times New Roman" w:eastAsia="Times New Roman" w:hAnsi="Times New Roman" w:cs="Times New Roman"/>
          <w:sz w:val="24"/>
          <w:szCs w:val="24"/>
        </w:rPr>
        <w:t xml:space="preserve"> instrument in and of itself</w:t>
      </w:r>
      <w:r w:rsidR="00B1368B" w:rsidRPr="00486B87">
        <w:rPr>
          <w:rFonts w:ascii="Times New Roman" w:eastAsia="Times New Roman" w:hAnsi="Times New Roman" w:cs="Times New Roman"/>
          <w:sz w:val="24"/>
          <w:szCs w:val="24"/>
        </w:rPr>
        <w:t>,</w:t>
      </w:r>
      <w:r w:rsidRPr="00486B87">
        <w:rPr>
          <w:rFonts w:ascii="Times New Roman" w:eastAsia="Times New Roman" w:hAnsi="Times New Roman" w:cs="Times New Roman"/>
          <w:sz w:val="24"/>
          <w:szCs w:val="24"/>
        </w:rPr>
        <w:t xml:space="preserve"> though </w:t>
      </w:r>
      <w:r w:rsidR="00045A6F" w:rsidRPr="00486B87">
        <w:rPr>
          <w:rFonts w:ascii="Times New Roman" w:eastAsia="Times New Roman" w:hAnsi="Times New Roman" w:cs="Times New Roman"/>
          <w:sz w:val="24"/>
          <w:szCs w:val="24"/>
        </w:rPr>
        <w:t>s</w:t>
      </w:r>
      <w:r w:rsidR="00045A6F">
        <w:rPr>
          <w:rFonts w:ascii="Times New Roman" w:eastAsia="Times New Roman" w:hAnsi="Times New Roman" w:cs="Times New Roman"/>
          <w:sz w:val="24"/>
          <w:szCs w:val="24"/>
        </w:rPr>
        <w:t>.</w:t>
      </w:r>
      <w:r w:rsidRPr="00486B87">
        <w:rPr>
          <w:rFonts w:ascii="Times New Roman" w:eastAsia="Times New Roman" w:hAnsi="Times New Roman" w:cs="Times New Roman"/>
          <w:sz w:val="24"/>
          <w:szCs w:val="24"/>
        </w:rPr>
        <w:t xml:space="preserve">28 does state that the provisions of the HRA are in addition to the </w:t>
      </w:r>
      <w:r w:rsidR="001E1A0A" w:rsidRPr="00486B87">
        <w:rPr>
          <w:rFonts w:ascii="Times New Roman" w:eastAsia="Times New Roman" w:hAnsi="Times New Roman" w:cs="Times New Roman"/>
          <w:sz w:val="24"/>
          <w:szCs w:val="24"/>
        </w:rPr>
        <w:t>C</w:t>
      </w:r>
      <w:r w:rsidRPr="00486B87">
        <w:rPr>
          <w:rFonts w:ascii="Times New Roman" w:eastAsia="Times New Roman" w:hAnsi="Times New Roman" w:cs="Times New Roman"/>
          <w:sz w:val="24"/>
          <w:szCs w:val="24"/>
        </w:rPr>
        <w:t>onstitution. It is commonly accepted that human rights are generally thought of as being constitutional in nature</w:t>
      </w:r>
      <w:r w:rsidR="00206288">
        <w:rPr>
          <w:rFonts w:ascii="Times New Roman" w:eastAsia="Times New Roman" w:hAnsi="Times New Roman" w:cs="Times New Roman"/>
          <w:sz w:val="24"/>
          <w:szCs w:val="24"/>
        </w:rPr>
        <w:t>,</w:t>
      </w:r>
      <w:r w:rsidR="00B1368B" w:rsidRPr="00486B87">
        <w:rPr>
          <w:rFonts w:ascii="Times New Roman" w:eastAsia="Times New Roman" w:hAnsi="Times New Roman" w:cs="Times New Roman"/>
          <w:sz w:val="24"/>
          <w:szCs w:val="24"/>
        </w:rPr>
        <w:t xml:space="preserve"> as they enshrine natural rights which are accepted internationally. However, it is prudent to consider the status of the HRA in an attempt to establish how constitutional it is in </w:t>
      </w:r>
      <w:r w:rsidR="00B1368B" w:rsidRPr="00486B87">
        <w:rPr>
          <w:rFonts w:ascii="Times New Roman" w:eastAsia="Times New Roman" w:hAnsi="Times New Roman" w:cs="Times New Roman"/>
          <w:sz w:val="24"/>
          <w:szCs w:val="24"/>
        </w:rPr>
        <w:lastRenderedPageBreak/>
        <w:t xml:space="preserve">terms of Bermudian law. </w:t>
      </w:r>
      <w:r w:rsidR="003C4659" w:rsidRPr="00486B87">
        <w:rPr>
          <w:rFonts w:ascii="Times New Roman" w:eastAsia="Times New Roman" w:hAnsi="Times New Roman" w:cs="Times New Roman"/>
          <w:sz w:val="24"/>
          <w:szCs w:val="24"/>
        </w:rPr>
        <w:t>The Bermudian HRA does have a status which is over and above that of ordinary laws</w:t>
      </w:r>
      <w:r w:rsidR="00206288">
        <w:rPr>
          <w:rFonts w:ascii="Times New Roman" w:eastAsia="Times New Roman" w:hAnsi="Times New Roman" w:cs="Times New Roman"/>
          <w:sz w:val="24"/>
          <w:szCs w:val="24"/>
        </w:rPr>
        <w:t>,</w:t>
      </w:r>
      <w:r w:rsidR="003C4659" w:rsidRPr="00486B87">
        <w:rPr>
          <w:rFonts w:ascii="Times New Roman" w:eastAsia="Times New Roman" w:hAnsi="Times New Roman" w:cs="Times New Roman"/>
          <w:sz w:val="24"/>
          <w:szCs w:val="24"/>
        </w:rPr>
        <w:t xml:space="preserve"> as it allows the Supreme Court of Bermuda to declare an Act “inoperative” if it conflicts with the provisions of the HRA. </w:t>
      </w:r>
      <w:proofErr w:type="gramStart"/>
      <w:r w:rsidR="003C4659" w:rsidRPr="00486B87">
        <w:rPr>
          <w:rFonts w:ascii="Times New Roman" w:eastAsia="Times New Roman" w:hAnsi="Times New Roman" w:cs="Times New Roman"/>
          <w:sz w:val="24"/>
          <w:szCs w:val="24"/>
        </w:rPr>
        <w:t xml:space="preserve">A good recent example of this occurred in </w:t>
      </w:r>
      <w:r w:rsidR="003C4659" w:rsidRPr="00486B87">
        <w:rPr>
          <w:rFonts w:ascii="Times New Roman" w:eastAsia="Times New Roman" w:hAnsi="Times New Roman" w:cs="Times New Roman"/>
          <w:i/>
          <w:sz w:val="24"/>
          <w:szCs w:val="24"/>
        </w:rPr>
        <w:t>A and B</w:t>
      </w:r>
      <w:r w:rsidR="005A3465" w:rsidRPr="00486B87">
        <w:rPr>
          <w:rStyle w:val="FootnoteReference"/>
          <w:rFonts w:ascii="Times New Roman" w:eastAsia="Times New Roman" w:hAnsi="Times New Roman" w:cs="Times New Roman"/>
          <w:i/>
          <w:sz w:val="24"/>
          <w:szCs w:val="24"/>
        </w:rPr>
        <w:footnoteReference w:id="37"/>
      </w:r>
      <w:r w:rsidR="003C4659" w:rsidRPr="00486B87">
        <w:rPr>
          <w:rFonts w:ascii="Times New Roman" w:eastAsia="Times New Roman" w:hAnsi="Times New Roman" w:cs="Times New Roman"/>
          <w:sz w:val="24"/>
          <w:szCs w:val="24"/>
        </w:rPr>
        <w:t>.</w:t>
      </w:r>
      <w:proofErr w:type="gramEnd"/>
      <w:r w:rsidR="003C4659" w:rsidRPr="00486B87">
        <w:rPr>
          <w:rFonts w:ascii="Times New Roman" w:eastAsia="Times New Roman" w:hAnsi="Times New Roman" w:cs="Times New Roman"/>
          <w:sz w:val="24"/>
          <w:szCs w:val="24"/>
        </w:rPr>
        <w:t xml:space="preserve"> </w:t>
      </w:r>
      <w:r w:rsidR="00A63CF5" w:rsidRPr="00486B87">
        <w:rPr>
          <w:rFonts w:ascii="Times New Roman" w:eastAsia="Times New Roman" w:hAnsi="Times New Roman" w:cs="Times New Roman"/>
          <w:sz w:val="24"/>
          <w:szCs w:val="24"/>
        </w:rPr>
        <w:t>In 2010, t</w:t>
      </w:r>
      <w:r w:rsidR="003C4659" w:rsidRPr="00486B87">
        <w:rPr>
          <w:rFonts w:ascii="Times New Roman" w:eastAsia="Times New Roman" w:hAnsi="Times New Roman" w:cs="Times New Roman"/>
          <w:sz w:val="24"/>
          <w:szCs w:val="24"/>
        </w:rPr>
        <w:t xml:space="preserve">he </w:t>
      </w:r>
      <w:r w:rsidR="002B3282" w:rsidRPr="00486B87">
        <w:rPr>
          <w:rFonts w:ascii="Times New Roman" w:eastAsia="Times New Roman" w:hAnsi="Times New Roman" w:cs="Times New Roman"/>
          <w:sz w:val="24"/>
          <w:szCs w:val="24"/>
        </w:rPr>
        <w:t>JCPC</w:t>
      </w:r>
      <w:r w:rsidR="003C4659" w:rsidRPr="00486B87">
        <w:rPr>
          <w:rFonts w:ascii="Times New Roman" w:eastAsia="Times New Roman" w:hAnsi="Times New Roman" w:cs="Times New Roman"/>
          <w:sz w:val="24"/>
          <w:szCs w:val="24"/>
        </w:rPr>
        <w:t xml:space="preserve"> has </w:t>
      </w:r>
      <w:r w:rsidR="005A3465" w:rsidRPr="00486B87">
        <w:rPr>
          <w:rFonts w:ascii="Times New Roman" w:eastAsia="Times New Roman" w:hAnsi="Times New Roman" w:cs="Times New Roman"/>
          <w:sz w:val="24"/>
          <w:szCs w:val="24"/>
        </w:rPr>
        <w:t xml:space="preserve">previously </w:t>
      </w:r>
      <w:r w:rsidR="003C4659" w:rsidRPr="00486B87">
        <w:rPr>
          <w:rFonts w:ascii="Times New Roman" w:eastAsia="Times New Roman" w:hAnsi="Times New Roman" w:cs="Times New Roman"/>
          <w:sz w:val="24"/>
          <w:szCs w:val="24"/>
        </w:rPr>
        <w:t>gone as far as to call the Bermudian HRA a quasi-constitutional document</w:t>
      </w:r>
      <w:r w:rsidR="005A3465" w:rsidRPr="00486B87">
        <w:rPr>
          <w:rStyle w:val="FootnoteReference"/>
          <w:rFonts w:ascii="Times New Roman" w:eastAsia="Times New Roman" w:hAnsi="Times New Roman" w:cs="Times New Roman"/>
          <w:i/>
          <w:sz w:val="24"/>
          <w:szCs w:val="24"/>
        </w:rPr>
        <w:footnoteReference w:id="38"/>
      </w:r>
      <w:r w:rsidR="005A3465" w:rsidRPr="00486B87">
        <w:rPr>
          <w:rFonts w:ascii="Times New Roman" w:eastAsia="Times New Roman" w:hAnsi="Times New Roman" w:cs="Times New Roman"/>
          <w:sz w:val="24"/>
          <w:szCs w:val="24"/>
        </w:rPr>
        <w:t xml:space="preserve">, and in </w:t>
      </w:r>
      <w:r w:rsidR="00A63CF5" w:rsidRPr="00486B87">
        <w:rPr>
          <w:rFonts w:ascii="Times New Roman" w:eastAsia="Times New Roman" w:hAnsi="Times New Roman" w:cs="Times New Roman"/>
          <w:i/>
          <w:sz w:val="24"/>
          <w:szCs w:val="24"/>
        </w:rPr>
        <w:t xml:space="preserve">Bermuda Bred Company </w:t>
      </w:r>
      <w:r w:rsidR="003C4659" w:rsidRPr="00486B87">
        <w:rPr>
          <w:rFonts w:ascii="Times New Roman" w:eastAsia="Times New Roman" w:hAnsi="Times New Roman" w:cs="Times New Roman"/>
          <w:sz w:val="24"/>
          <w:szCs w:val="24"/>
        </w:rPr>
        <w:t xml:space="preserve">the Supreme Court of Bermuda compared the authority it receives from the HRA to declare an Act inoperable with the power to strike down laws that </w:t>
      </w:r>
      <w:r w:rsidR="006A5C16" w:rsidRPr="00486B87">
        <w:rPr>
          <w:rFonts w:ascii="Times New Roman" w:eastAsia="Times New Roman" w:hAnsi="Times New Roman" w:cs="Times New Roman"/>
          <w:sz w:val="24"/>
          <w:szCs w:val="24"/>
        </w:rPr>
        <w:t>conflict with</w:t>
      </w:r>
      <w:r w:rsidR="003C4659" w:rsidRPr="00486B87">
        <w:rPr>
          <w:rFonts w:ascii="Times New Roman" w:eastAsia="Times New Roman" w:hAnsi="Times New Roman" w:cs="Times New Roman"/>
          <w:sz w:val="24"/>
          <w:szCs w:val="24"/>
        </w:rPr>
        <w:t xml:space="preserve"> the Bermudian Constitution</w:t>
      </w:r>
      <w:r w:rsidR="00A63CF5" w:rsidRPr="00486B87">
        <w:rPr>
          <w:rStyle w:val="FootnoteReference"/>
          <w:rFonts w:ascii="Times New Roman" w:eastAsia="Times New Roman" w:hAnsi="Times New Roman" w:cs="Times New Roman"/>
          <w:sz w:val="24"/>
          <w:szCs w:val="24"/>
        </w:rPr>
        <w:footnoteReference w:id="39"/>
      </w:r>
      <w:r w:rsidR="003C4659" w:rsidRPr="00486B87">
        <w:rPr>
          <w:rFonts w:ascii="Times New Roman" w:eastAsia="Times New Roman" w:hAnsi="Times New Roman" w:cs="Times New Roman"/>
          <w:sz w:val="24"/>
          <w:szCs w:val="24"/>
        </w:rPr>
        <w:t xml:space="preserve">. In </w:t>
      </w:r>
      <w:r w:rsidR="00A63CF5" w:rsidRPr="00486B87">
        <w:rPr>
          <w:rFonts w:ascii="Times New Roman" w:eastAsia="Times New Roman" w:hAnsi="Times New Roman" w:cs="Times New Roman"/>
          <w:i/>
          <w:sz w:val="24"/>
          <w:szCs w:val="24"/>
        </w:rPr>
        <w:t>Bermuda Bred Company</w:t>
      </w:r>
      <w:r w:rsidR="003C4659" w:rsidRPr="00486B87">
        <w:rPr>
          <w:rFonts w:ascii="Times New Roman" w:eastAsia="Times New Roman" w:hAnsi="Times New Roman" w:cs="Times New Roman"/>
          <w:sz w:val="24"/>
          <w:szCs w:val="24"/>
        </w:rPr>
        <w:t xml:space="preserve"> the </w:t>
      </w:r>
      <w:r w:rsidR="00394D18">
        <w:rPr>
          <w:rFonts w:ascii="Times New Roman" w:eastAsia="Times New Roman" w:hAnsi="Times New Roman" w:cs="Times New Roman"/>
          <w:sz w:val="24"/>
          <w:szCs w:val="24"/>
        </w:rPr>
        <w:t>C</w:t>
      </w:r>
      <w:r w:rsidR="003C4659" w:rsidRPr="00486B87">
        <w:rPr>
          <w:rFonts w:ascii="Times New Roman" w:eastAsia="Times New Roman" w:hAnsi="Times New Roman" w:cs="Times New Roman"/>
          <w:sz w:val="24"/>
          <w:szCs w:val="24"/>
        </w:rPr>
        <w:t>ourt states that although</w:t>
      </w:r>
      <w:r w:rsidR="00C36A7F" w:rsidRPr="00486B87">
        <w:rPr>
          <w:rFonts w:ascii="Times New Roman" w:eastAsia="Times New Roman" w:hAnsi="Times New Roman" w:cs="Times New Roman"/>
          <w:sz w:val="24"/>
          <w:szCs w:val="24"/>
        </w:rPr>
        <w:t>:</w:t>
      </w:r>
      <w:r w:rsidR="003C4659" w:rsidRPr="00486B87">
        <w:rPr>
          <w:rFonts w:ascii="Times New Roman" w:eastAsia="Times New Roman" w:hAnsi="Times New Roman" w:cs="Times New Roman"/>
          <w:sz w:val="24"/>
          <w:szCs w:val="24"/>
        </w:rPr>
        <w:t xml:space="preserve"> </w:t>
      </w:r>
    </w:p>
    <w:p w14:paraId="42143603" w14:textId="77777777" w:rsidR="00C36A7F" w:rsidRPr="00486B87" w:rsidRDefault="003C4659" w:rsidP="00C36A7F">
      <w:pPr>
        <w:spacing w:line="480" w:lineRule="auto"/>
        <w:ind w:left="720"/>
        <w:jc w:val="both"/>
        <w:rPr>
          <w:rFonts w:ascii="Times New Roman" w:eastAsia="Times New Roman" w:hAnsi="Times New Roman" w:cs="Times New Roman"/>
          <w:sz w:val="24"/>
          <w:szCs w:val="24"/>
        </w:rPr>
      </w:pPr>
      <w:r w:rsidRPr="00486B87">
        <w:rPr>
          <w:rFonts w:ascii="Times New Roman" w:eastAsia="Times New Roman" w:hAnsi="Times New Roman" w:cs="Times New Roman"/>
          <w:sz w:val="24"/>
          <w:szCs w:val="24"/>
        </w:rPr>
        <w:t>“</w:t>
      </w:r>
      <w:proofErr w:type="gramStart"/>
      <w:r w:rsidRPr="00486B87">
        <w:rPr>
          <w:rFonts w:ascii="Times New Roman" w:eastAsia="Times New Roman" w:hAnsi="Times New Roman" w:cs="Times New Roman"/>
          <w:sz w:val="24"/>
          <w:szCs w:val="24"/>
        </w:rPr>
        <w:t>the</w:t>
      </w:r>
      <w:proofErr w:type="gramEnd"/>
      <w:r w:rsidRPr="00486B87">
        <w:rPr>
          <w:rFonts w:ascii="Times New Roman" w:eastAsia="Times New Roman" w:hAnsi="Times New Roman" w:cs="Times New Roman"/>
          <w:sz w:val="24"/>
          <w:szCs w:val="24"/>
        </w:rPr>
        <w:t xml:space="preserve"> rights protected by the HRA do not enjoy quite as elevated a status as the fundamental rights and freedoms provisions of the Constitution, Parliament has clearly conferred on this statute quasi-constitutional status”. </w:t>
      </w:r>
    </w:p>
    <w:p w14:paraId="1926BB7A" w14:textId="0429C25A" w:rsidR="00D924B8" w:rsidRPr="00486B87" w:rsidRDefault="003C4659" w:rsidP="00C36A7F">
      <w:pPr>
        <w:spacing w:line="480" w:lineRule="auto"/>
        <w:jc w:val="both"/>
        <w:rPr>
          <w:rFonts w:ascii="Times New Roman" w:eastAsia="Times New Roman" w:hAnsi="Times New Roman" w:cs="Times New Roman"/>
          <w:sz w:val="24"/>
          <w:szCs w:val="24"/>
        </w:rPr>
      </w:pPr>
      <w:r w:rsidRPr="00486B87">
        <w:rPr>
          <w:rFonts w:ascii="Times New Roman" w:eastAsia="Times New Roman" w:hAnsi="Times New Roman" w:cs="Times New Roman"/>
          <w:sz w:val="24"/>
          <w:szCs w:val="24"/>
        </w:rPr>
        <w:t>However,</w:t>
      </w:r>
      <w:r w:rsidR="006A5C16" w:rsidRPr="00486B87">
        <w:rPr>
          <w:rFonts w:ascii="Times New Roman" w:eastAsia="Times New Roman" w:hAnsi="Times New Roman" w:cs="Times New Roman"/>
          <w:sz w:val="24"/>
          <w:szCs w:val="24"/>
        </w:rPr>
        <w:t xml:space="preserve"> in</w:t>
      </w:r>
      <w:r w:rsidRPr="00486B87">
        <w:rPr>
          <w:rFonts w:ascii="Times New Roman" w:eastAsia="Times New Roman" w:hAnsi="Times New Roman" w:cs="Times New Roman"/>
          <w:sz w:val="24"/>
          <w:szCs w:val="24"/>
        </w:rPr>
        <w:t xml:space="preserve"> both </w:t>
      </w:r>
      <w:r w:rsidRPr="00486B87">
        <w:rPr>
          <w:rFonts w:ascii="Times New Roman" w:eastAsia="Times New Roman" w:hAnsi="Times New Roman" w:cs="Times New Roman"/>
          <w:i/>
          <w:sz w:val="24"/>
          <w:szCs w:val="24"/>
        </w:rPr>
        <w:t xml:space="preserve">Bermuda Bred Company </w:t>
      </w:r>
      <w:r w:rsidRPr="00486B87">
        <w:rPr>
          <w:rFonts w:ascii="Times New Roman" w:eastAsia="Times New Roman" w:hAnsi="Times New Roman" w:cs="Times New Roman"/>
          <w:sz w:val="24"/>
          <w:szCs w:val="24"/>
        </w:rPr>
        <w:t xml:space="preserve">and in </w:t>
      </w:r>
      <w:r w:rsidRPr="00486B87">
        <w:rPr>
          <w:rFonts w:ascii="Times New Roman" w:eastAsia="Times New Roman" w:hAnsi="Times New Roman" w:cs="Times New Roman"/>
          <w:i/>
          <w:sz w:val="24"/>
          <w:szCs w:val="24"/>
        </w:rPr>
        <w:t>A and B</w:t>
      </w:r>
      <w:r w:rsidRPr="00486B87">
        <w:rPr>
          <w:rFonts w:ascii="Times New Roman" w:eastAsia="Times New Roman" w:hAnsi="Times New Roman" w:cs="Times New Roman"/>
          <w:sz w:val="24"/>
          <w:szCs w:val="24"/>
        </w:rPr>
        <w:t xml:space="preserve"> the courts took a “generous and purposive approach” to applying the HRA</w:t>
      </w:r>
      <w:r w:rsidR="00182EB5">
        <w:rPr>
          <w:rFonts w:ascii="Times New Roman" w:eastAsia="Times New Roman" w:hAnsi="Times New Roman" w:cs="Times New Roman"/>
          <w:sz w:val="24"/>
          <w:szCs w:val="24"/>
        </w:rPr>
        <w:t>,</w:t>
      </w:r>
      <w:r w:rsidRPr="00486B87">
        <w:rPr>
          <w:rFonts w:ascii="Times New Roman" w:eastAsia="Times New Roman" w:hAnsi="Times New Roman" w:cs="Times New Roman"/>
          <w:sz w:val="24"/>
          <w:szCs w:val="24"/>
        </w:rPr>
        <w:t xml:space="preserve"> and f</w:t>
      </w:r>
      <w:r w:rsidR="006A5C16" w:rsidRPr="00486B87">
        <w:rPr>
          <w:rFonts w:ascii="Times New Roman" w:eastAsia="Times New Roman" w:hAnsi="Times New Roman" w:cs="Times New Roman"/>
          <w:sz w:val="24"/>
          <w:szCs w:val="24"/>
        </w:rPr>
        <w:t>ollowed the higher standard of r</w:t>
      </w:r>
      <w:r w:rsidRPr="00486B87">
        <w:rPr>
          <w:rFonts w:ascii="Times New Roman" w:eastAsia="Times New Roman" w:hAnsi="Times New Roman" w:cs="Times New Roman"/>
          <w:sz w:val="24"/>
          <w:szCs w:val="24"/>
        </w:rPr>
        <w:t>ights that were allocated under the HRA as opposed to the constitutional rights which precluded express protections for same-sex couples. </w:t>
      </w:r>
      <w:r w:rsidR="00A63CF5" w:rsidRPr="00486B87">
        <w:rPr>
          <w:rFonts w:ascii="Times New Roman" w:eastAsia="Times New Roman" w:hAnsi="Times New Roman" w:cs="Times New Roman"/>
          <w:sz w:val="24"/>
          <w:szCs w:val="24"/>
        </w:rPr>
        <w:t xml:space="preserve">Using this as a guide, it would seem to indicate that the HRA has given the courts the ability to liberally </w:t>
      </w:r>
      <w:r w:rsidR="00751B0D" w:rsidRPr="00486B87">
        <w:rPr>
          <w:rFonts w:ascii="Times New Roman" w:eastAsia="Times New Roman" w:hAnsi="Times New Roman" w:cs="Times New Roman"/>
          <w:sz w:val="24"/>
          <w:szCs w:val="24"/>
        </w:rPr>
        <w:t>interpret</w:t>
      </w:r>
      <w:r w:rsidR="00894DAA" w:rsidRPr="00486B87">
        <w:rPr>
          <w:rFonts w:ascii="Times New Roman" w:eastAsia="Times New Roman" w:hAnsi="Times New Roman" w:cs="Times New Roman"/>
          <w:sz w:val="24"/>
          <w:szCs w:val="24"/>
        </w:rPr>
        <w:t xml:space="preserve"> the </w:t>
      </w:r>
      <w:r w:rsidR="00110E12">
        <w:rPr>
          <w:rFonts w:ascii="Times New Roman" w:eastAsia="Times New Roman" w:hAnsi="Times New Roman" w:cs="Times New Roman"/>
          <w:sz w:val="24"/>
          <w:szCs w:val="24"/>
        </w:rPr>
        <w:t>C</w:t>
      </w:r>
      <w:r w:rsidR="00894DAA" w:rsidRPr="00486B87">
        <w:rPr>
          <w:rFonts w:ascii="Times New Roman" w:eastAsia="Times New Roman" w:hAnsi="Times New Roman" w:cs="Times New Roman"/>
          <w:sz w:val="24"/>
          <w:szCs w:val="24"/>
        </w:rPr>
        <w:t xml:space="preserve">onstitution in light of the protections that are available under the HRA and thus expanding upon the rights already afforded under the </w:t>
      </w:r>
      <w:r w:rsidR="001E1A0A" w:rsidRPr="00486B87">
        <w:rPr>
          <w:rFonts w:ascii="Times New Roman" w:eastAsia="Times New Roman" w:hAnsi="Times New Roman" w:cs="Times New Roman"/>
          <w:sz w:val="24"/>
          <w:szCs w:val="24"/>
        </w:rPr>
        <w:t>C</w:t>
      </w:r>
      <w:r w:rsidR="00894DAA" w:rsidRPr="00486B87">
        <w:rPr>
          <w:rFonts w:ascii="Times New Roman" w:eastAsia="Times New Roman" w:hAnsi="Times New Roman" w:cs="Times New Roman"/>
          <w:sz w:val="24"/>
          <w:szCs w:val="24"/>
        </w:rPr>
        <w:t>onstitution. If this is in fact the case, it is another example of a constitution evolving to keep abreast of not just national, but international</w:t>
      </w:r>
      <w:r w:rsidR="00110E12">
        <w:rPr>
          <w:rFonts w:ascii="Times New Roman" w:eastAsia="Times New Roman" w:hAnsi="Times New Roman" w:cs="Times New Roman"/>
          <w:sz w:val="24"/>
          <w:szCs w:val="24"/>
        </w:rPr>
        <w:t>,</w:t>
      </w:r>
      <w:r w:rsidR="00894DAA" w:rsidRPr="00486B87">
        <w:rPr>
          <w:rFonts w:ascii="Times New Roman" w:eastAsia="Times New Roman" w:hAnsi="Times New Roman" w:cs="Times New Roman"/>
          <w:sz w:val="24"/>
          <w:szCs w:val="24"/>
        </w:rPr>
        <w:t xml:space="preserve"> changes in attitudes to rights. It is another demonstration of a living tree growing to reflect society. </w:t>
      </w:r>
      <w:r w:rsidR="009F127F" w:rsidRPr="00486B87">
        <w:rPr>
          <w:rFonts w:ascii="Times New Roman" w:eastAsia="Times New Roman" w:hAnsi="Times New Roman" w:cs="Times New Roman"/>
          <w:sz w:val="24"/>
          <w:szCs w:val="24"/>
        </w:rPr>
        <w:t xml:space="preserve">In support of the assertion that the </w:t>
      </w:r>
      <w:r w:rsidR="00122A55" w:rsidRPr="00486B87">
        <w:rPr>
          <w:rFonts w:ascii="Times New Roman" w:eastAsia="Times New Roman" w:hAnsi="Times New Roman" w:cs="Times New Roman"/>
          <w:sz w:val="24"/>
          <w:szCs w:val="24"/>
        </w:rPr>
        <w:t>convention grows positively to protect rights opposed to contract</w:t>
      </w:r>
      <w:r w:rsidR="00110E12">
        <w:rPr>
          <w:rFonts w:ascii="Times New Roman" w:eastAsia="Times New Roman" w:hAnsi="Times New Roman" w:cs="Times New Roman"/>
          <w:sz w:val="24"/>
          <w:szCs w:val="24"/>
        </w:rPr>
        <w:t>ing</w:t>
      </w:r>
      <w:r w:rsidR="00122A55" w:rsidRPr="00486B87">
        <w:rPr>
          <w:rFonts w:ascii="Times New Roman" w:eastAsia="Times New Roman" w:hAnsi="Times New Roman" w:cs="Times New Roman"/>
          <w:sz w:val="24"/>
          <w:szCs w:val="24"/>
        </w:rPr>
        <w:t xml:space="preserve"> to curtail rights</w:t>
      </w:r>
      <w:r w:rsidR="009F127F" w:rsidRPr="00486B87">
        <w:rPr>
          <w:rFonts w:ascii="Times New Roman" w:eastAsia="Times New Roman" w:hAnsi="Times New Roman" w:cs="Times New Roman"/>
          <w:sz w:val="24"/>
          <w:szCs w:val="24"/>
        </w:rPr>
        <w:t>, the</w:t>
      </w:r>
      <w:r w:rsidR="00122A55" w:rsidRPr="00486B87">
        <w:rPr>
          <w:rFonts w:ascii="Times New Roman" w:eastAsia="Times New Roman" w:hAnsi="Times New Roman" w:cs="Times New Roman"/>
          <w:sz w:val="24"/>
          <w:szCs w:val="24"/>
        </w:rPr>
        <w:t xml:space="preserve"> recent</w:t>
      </w:r>
      <w:r w:rsidR="009F127F" w:rsidRPr="00486B87">
        <w:rPr>
          <w:rFonts w:ascii="Times New Roman" w:eastAsia="Times New Roman" w:hAnsi="Times New Roman" w:cs="Times New Roman"/>
          <w:sz w:val="24"/>
          <w:szCs w:val="24"/>
        </w:rPr>
        <w:t xml:space="preserve"> case of </w:t>
      </w:r>
      <w:proofErr w:type="spellStart"/>
      <w:r w:rsidR="00122A55" w:rsidRPr="00486B87">
        <w:rPr>
          <w:rFonts w:ascii="Times New Roman" w:eastAsia="Times New Roman" w:hAnsi="Times New Roman" w:cs="Times New Roman"/>
          <w:i/>
          <w:sz w:val="24"/>
          <w:szCs w:val="24"/>
        </w:rPr>
        <w:t>Lendore</w:t>
      </w:r>
      <w:proofErr w:type="spellEnd"/>
      <w:r w:rsidR="00122A55" w:rsidRPr="00486B87">
        <w:rPr>
          <w:rStyle w:val="FootnoteReference"/>
          <w:rFonts w:ascii="Times New Roman" w:eastAsia="Times New Roman" w:hAnsi="Times New Roman" w:cs="Times New Roman"/>
          <w:i/>
          <w:sz w:val="24"/>
          <w:szCs w:val="24"/>
        </w:rPr>
        <w:footnoteReference w:id="40"/>
      </w:r>
      <w:r w:rsidR="00122A55" w:rsidRPr="00486B87">
        <w:rPr>
          <w:rFonts w:ascii="Times New Roman" w:eastAsia="Times New Roman" w:hAnsi="Times New Roman" w:cs="Times New Roman"/>
          <w:sz w:val="24"/>
          <w:szCs w:val="24"/>
        </w:rPr>
        <w:t xml:space="preserve"> cited the earlier European Court of </w:t>
      </w:r>
      <w:r w:rsidR="00122A55" w:rsidRPr="00486B87">
        <w:rPr>
          <w:rFonts w:ascii="Times New Roman" w:eastAsia="Times New Roman" w:hAnsi="Times New Roman" w:cs="Times New Roman"/>
          <w:sz w:val="24"/>
          <w:szCs w:val="24"/>
        </w:rPr>
        <w:lastRenderedPageBreak/>
        <w:t xml:space="preserve">Human Rights case of </w:t>
      </w:r>
      <w:proofErr w:type="spellStart"/>
      <w:r w:rsidR="00122A55" w:rsidRPr="00486B87">
        <w:rPr>
          <w:rFonts w:ascii="Times New Roman" w:eastAsia="Times New Roman" w:hAnsi="Times New Roman" w:cs="Times New Roman"/>
          <w:i/>
          <w:sz w:val="24"/>
          <w:szCs w:val="24"/>
        </w:rPr>
        <w:t>Tyrer</w:t>
      </w:r>
      <w:proofErr w:type="spellEnd"/>
      <w:r w:rsidR="00122A55" w:rsidRPr="00486B87">
        <w:rPr>
          <w:rStyle w:val="FootnoteReference"/>
          <w:rFonts w:ascii="Times New Roman" w:eastAsia="Times New Roman" w:hAnsi="Times New Roman" w:cs="Times New Roman"/>
          <w:i/>
          <w:sz w:val="24"/>
          <w:szCs w:val="24"/>
        </w:rPr>
        <w:footnoteReference w:id="41"/>
      </w:r>
      <w:r w:rsidR="00122A55" w:rsidRPr="00486B87">
        <w:rPr>
          <w:rFonts w:ascii="Times New Roman" w:eastAsia="Times New Roman" w:hAnsi="Times New Roman" w:cs="Times New Roman"/>
          <w:i/>
          <w:sz w:val="24"/>
          <w:szCs w:val="24"/>
        </w:rPr>
        <w:t>,</w:t>
      </w:r>
      <w:r w:rsidR="00122A55" w:rsidRPr="00486B87">
        <w:rPr>
          <w:rFonts w:ascii="Times New Roman" w:eastAsia="Times New Roman" w:hAnsi="Times New Roman" w:cs="Times New Roman"/>
          <w:sz w:val="24"/>
          <w:szCs w:val="24"/>
        </w:rPr>
        <w:t xml:space="preserve"> where the European Court of Human Rights described the European</w:t>
      </w:r>
      <w:r w:rsidR="00D924B8" w:rsidRPr="00486B87">
        <w:rPr>
          <w:rFonts w:ascii="Times New Roman" w:eastAsia="Times New Roman" w:hAnsi="Times New Roman" w:cs="Times New Roman"/>
          <w:sz w:val="24"/>
          <w:szCs w:val="24"/>
        </w:rPr>
        <w:t xml:space="preserve"> Convention on Human Rights as:</w:t>
      </w:r>
      <w:r w:rsidR="00122A55" w:rsidRPr="00486B87">
        <w:rPr>
          <w:rFonts w:ascii="Times New Roman" w:eastAsia="Times New Roman" w:hAnsi="Times New Roman" w:cs="Times New Roman"/>
          <w:sz w:val="24"/>
          <w:szCs w:val="24"/>
        </w:rPr>
        <w:t xml:space="preserve"> </w:t>
      </w:r>
    </w:p>
    <w:p w14:paraId="4C64CE65" w14:textId="6F2FD5B7" w:rsidR="003C4659" w:rsidRPr="00486B87" w:rsidRDefault="00122A55" w:rsidP="00D924B8">
      <w:pPr>
        <w:spacing w:line="480" w:lineRule="auto"/>
        <w:ind w:left="720"/>
        <w:jc w:val="both"/>
        <w:rPr>
          <w:rFonts w:ascii="Times New Roman" w:eastAsia="Times New Roman" w:hAnsi="Times New Roman" w:cs="Times New Roman"/>
          <w:sz w:val="24"/>
          <w:szCs w:val="24"/>
        </w:rPr>
      </w:pPr>
      <w:r w:rsidRPr="00486B87">
        <w:rPr>
          <w:rFonts w:ascii="Times New Roman" w:hAnsi="Times New Roman" w:cs="Times New Roman"/>
          <w:color w:val="000000"/>
          <w:sz w:val="24"/>
          <w:szCs w:val="24"/>
          <w:shd w:val="clear" w:color="auto" w:fill="FFFFFF"/>
        </w:rPr>
        <w:t>“</w:t>
      </w:r>
      <w:proofErr w:type="gramStart"/>
      <w:r w:rsidRPr="00486B87">
        <w:rPr>
          <w:rFonts w:ascii="Times New Roman" w:hAnsi="Times New Roman" w:cs="Times New Roman"/>
          <w:color w:val="000000"/>
          <w:sz w:val="24"/>
          <w:szCs w:val="24"/>
          <w:shd w:val="clear" w:color="auto" w:fill="FFFFFF"/>
        </w:rPr>
        <w:t>a</w:t>
      </w:r>
      <w:proofErr w:type="gramEnd"/>
      <w:r w:rsidRPr="00486B87">
        <w:rPr>
          <w:rFonts w:ascii="Times New Roman" w:hAnsi="Times New Roman" w:cs="Times New Roman"/>
          <w:color w:val="000000"/>
          <w:sz w:val="24"/>
          <w:szCs w:val="24"/>
          <w:shd w:val="clear" w:color="auto" w:fill="FFFFFF"/>
        </w:rPr>
        <w:t xml:space="preserve"> living instrument which … must be interpreted in the light of present day conditions … the court cannot but be influenced by the developments and commonly accepted standards in the penal policy of the member states of the Council of Europe.”</w:t>
      </w:r>
      <w:r w:rsidRPr="00486B87">
        <w:rPr>
          <w:rStyle w:val="FootnoteReference"/>
          <w:rFonts w:ascii="Times New Roman" w:hAnsi="Times New Roman" w:cs="Times New Roman"/>
          <w:color w:val="000000"/>
          <w:sz w:val="24"/>
          <w:szCs w:val="24"/>
          <w:shd w:val="clear" w:color="auto" w:fill="FFFFFF"/>
        </w:rPr>
        <w:footnoteReference w:id="42"/>
      </w:r>
    </w:p>
    <w:p w14:paraId="29760427" w14:textId="77777777" w:rsidR="001D0F2A" w:rsidRPr="00486B87" w:rsidRDefault="001D0F2A" w:rsidP="001D0F2A">
      <w:pPr>
        <w:spacing w:line="480" w:lineRule="auto"/>
        <w:jc w:val="both"/>
        <w:rPr>
          <w:rFonts w:ascii="Times New Roman" w:eastAsia="Times New Roman" w:hAnsi="Times New Roman" w:cs="Times New Roman"/>
          <w:i/>
          <w:sz w:val="24"/>
          <w:szCs w:val="24"/>
          <w:u w:val="single"/>
        </w:rPr>
      </w:pPr>
    </w:p>
    <w:p w14:paraId="1CE72702" w14:textId="7F278068" w:rsidR="001D0F2A" w:rsidRPr="00486B87" w:rsidRDefault="001D0F2A" w:rsidP="001D0F2A">
      <w:pPr>
        <w:spacing w:line="480" w:lineRule="auto"/>
        <w:jc w:val="both"/>
        <w:rPr>
          <w:rFonts w:ascii="Times New Roman" w:eastAsia="Times New Roman" w:hAnsi="Times New Roman" w:cs="Times New Roman"/>
          <w:i/>
          <w:sz w:val="24"/>
          <w:szCs w:val="24"/>
          <w:u w:val="single"/>
        </w:rPr>
      </w:pPr>
      <w:r w:rsidRPr="00486B87">
        <w:rPr>
          <w:rFonts w:ascii="Times New Roman" w:eastAsia="Times New Roman" w:hAnsi="Times New Roman" w:cs="Times New Roman"/>
          <w:i/>
          <w:sz w:val="24"/>
          <w:szCs w:val="24"/>
          <w:u w:val="single"/>
        </w:rPr>
        <w:t>Ferguson</w:t>
      </w:r>
    </w:p>
    <w:p w14:paraId="746860B7" w14:textId="2FC833FE" w:rsidR="003025EF" w:rsidRDefault="001D0F2A" w:rsidP="001D0F2A">
      <w:pPr>
        <w:spacing w:line="480" w:lineRule="auto"/>
        <w:jc w:val="both"/>
        <w:rPr>
          <w:rFonts w:ascii="Times New Roman" w:eastAsia="Times New Roman" w:hAnsi="Times New Roman" w:cs="Times New Roman"/>
          <w:sz w:val="24"/>
          <w:szCs w:val="24"/>
        </w:rPr>
      </w:pPr>
      <w:r w:rsidRPr="00486B87">
        <w:rPr>
          <w:rFonts w:ascii="Times New Roman" w:eastAsia="Times New Roman" w:hAnsi="Times New Roman" w:cs="Times New Roman"/>
          <w:sz w:val="24"/>
          <w:szCs w:val="24"/>
        </w:rPr>
        <w:t xml:space="preserve">The judgment of the </w:t>
      </w:r>
      <w:r w:rsidR="00F72C72">
        <w:rPr>
          <w:rFonts w:ascii="Times New Roman" w:eastAsia="Times New Roman" w:hAnsi="Times New Roman" w:cs="Times New Roman"/>
          <w:sz w:val="24"/>
          <w:szCs w:val="24"/>
        </w:rPr>
        <w:t>S</w:t>
      </w:r>
      <w:r w:rsidRPr="00486B87">
        <w:rPr>
          <w:rFonts w:ascii="Times New Roman" w:eastAsia="Times New Roman" w:hAnsi="Times New Roman" w:cs="Times New Roman"/>
          <w:sz w:val="24"/>
          <w:szCs w:val="24"/>
        </w:rPr>
        <w:t xml:space="preserve">upreme </w:t>
      </w:r>
      <w:r w:rsidR="00F72C72">
        <w:rPr>
          <w:rFonts w:ascii="Times New Roman" w:eastAsia="Times New Roman" w:hAnsi="Times New Roman" w:cs="Times New Roman"/>
          <w:sz w:val="24"/>
          <w:szCs w:val="24"/>
        </w:rPr>
        <w:t>C</w:t>
      </w:r>
      <w:r w:rsidRPr="00486B87">
        <w:rPr>
          <w:rFonts w:ascii="Times New Roman" w:eastAsia="Times New Roman" w:hAnsi="Times New Roman" w:cs="Times New Roman"/>
          <w:sz w:val="24"/>
          <w:szCs w:val="24"/>
        </w:rPr>
        <w:t xml:space="preserve">ourt contains a great deal of narrative of the case management and progression, and in terms of understanding the atmosphere that surrounds the proceedings this is very helpful. There were a large number of points raised in the judgment and this article could not feasibly consider them all with equal respect. As such, a small number of points have been selected to foster the public law and human rights discussions around this topic. </w:t>
      </w:r>
    </w:p>
    <w:p w14:paraId="469A0DF4" w14:textId="2E7F576A" w:rsidR="00301395" w:rsidRPr="00486B87" w:rsidRDefault="001D0F2A" w:rsidP="001D0F2A">
      <w:pPr>
        <w:spacing w:line="480" w:lineRule="auto"/>
        <w:jc w:val="both"/>
        <w:rPr>
          <w:rFonts w:ascii="Times New Roman" w:eastAsia="Times New Roman" w:hAnsi="Times New Roman" w:cs="Times New Roman"/>
          <w:sz w:val="24"/>
          <w:szCs w:val="24"/>
        </w:rPr>
      </w:pPr>
      <w:r w:rsidRPr="00486B87">
        <w:rPr>
          <w:rFonts w:ascii="Times New Roman" w:eastAsia="Times New Roman" w:hAnsi="Times New Roman" w:cs="Times New Roman"/>
          <w:sz w:val="24"/>
          <w:szCs w:val="24"/>
        </w:rPr>
        <w:t xml:space="preserve">The first of such matters is the </w:t>
      </w:r>
      <w:r w:rsidR="003025EF">
        <w:rPr>
          <w:rFonts w:ascii="Times New Roman" w:eastAsia="Times New Roman" w:hAnsi="Times New Roman" w:cs="Times New Roman"/>
          <w:sz w:val="24"/>
          <w:szCs w:val="24"/>
        </w:rPr>
        <w:t>C</w:t>
      </w:r>
      <w:r w:rsidRPr="00486B87">
        <w:rPr>
          <w:rFonts w:ascii="Times New Roman" w:eastAsia="Times New Roman" w:hAnsi="Times New Roman" w:cs="Times New Roman"/>
          <w:sz w:val="24"/>
          <w:szCs w:val="24"/>
        </w:rPr>
        <w:t>ourt</w:t>
      </w:r>
      <w:r w:rsidR="003025EF">
        <w:rPr>
          <w:rFonts w:ascii="Times New Roman" w:eastAsia="Times New Roman" w:hAnsi="Times New Roman" w:cs="Times New Roman"/>
          <w:sz w:val="24"/>
          <w:szCs w:val="24"/>
        </w:rPr>
        <w:t>’</w:t>
      </w:r>
      <w:r w:rsidRPr="00486B87">
        <w:rPr>
          <w:rFonts w:ascii="Times New Roman" w:eastAsia="Times New Roman" w:hAnsi="Times New Roman" w:cs="Times New Roman"/>
          <w:sz w:val="24"/>
          <w:szCs w:val="24"/>
        </w:rPr>
        <w:t xml:space="preserve">s summary dismissal of the argument that the judgment in </w:t>
      </w:r>
      <w:r w:rsidRPr="00486B87">
        <w:rPr>
          <w:rFonts w:ascii="Times New Roman" w:eastAsia="Times New Roman" w:hAnsi="Times New Roman" w:cs="Times New Roman"/>
          <w:i/>
          <w:sz w:val="24"/>
          <w:szCs w:val="24"/>
        </w:rPr>
        <w:t>W Godwin</w:t>
      </w:r>
      <w:r w:rsidRPr="00486B87">
        <w:rPr>
          <w:rFonts w:ascii="Times New Roman" w:eastAsia="Times New Roman" w:hAnsi="Times New Roman" w:cs="Times New Roman"/>
          <w:sz w:val="24"/>
          <w:szCs w:val="24"/>
        </w:rPr>
        <w:t xml:space="preserve"> amounted to “legislating from the bench”</w:t>
      </w:r>
      <w:r w:rsidRPr="00486B87">
        <w:rPr>
          <w:rStyle w:val="FootnoteReference"/>
          <w:rFonts w:ascii="Times New Roman" w:eastAsia="Times New Roman" w:hAnsi="Times New Roman" w:cs="Times New Roman"/>
          <w:sz w:val="24"/>
          <w:szCs w:val="24"/>
        </w:rPr>
        <w:footnoteReference w:id="43"/>
      </w:r>
      <w:r w:rsidRPr="00486B87">
        <w:rPr>
          <w:rFonts w:ascii="Times New Roman" w:eastAsia="Times New Roman" w:hAnsi="Times New Roman" w:cs="Times New Roman"/>
          <w:sz w:val="24"/>
          <w:szCs w:val="24"/>
        </w:rPr>
        <w:t>. This is an interesting point, though not particularly well-though out. The Supreme Court appropriately identified that Parliamentary Sovereignty in Bermuda is a qualified concept; one that states that the legislature is entitled to legislate “for the peace, order and good government of Bermuda”</w:t>
      </w:r>
      <w:r w:rsidRPr="00486B87">
        <w:rPr>
          <w:rStyle w:val="FootnoteReference"/>
          <w:rFonts w:ascii="Times New Roman" w:eastAsia="Times New Roman" w:hAnsi="Times New Roman" w:cs="Times New Roman"/>
          <w:sz w:val="24"/>
          <w:szCs w:val="24"/>
        </w:rPr>
        <w:footnoteReference w:id="44"/>
      </w:r>
      <w:r w:rsidRPr="00486B87">
        <w:rPr>
          <w:rFonts w:ascii="Times New Roman" w:eastAsia="Times New Roman" w:hAnsi="Times New Roman" w:cs="Times New Roman"/>
          <w:sz w:val="24"/>
          <w:szCs w:val="24"/>
        </w:rPr>
        <w:t xml:space="preserve"> according to the </w:t>
      </w:r>
      <w:r w:rsidR="001E1A0A" w:rsidRPr="00486B87">
        <w:rPr>
          <w:rFonts w:ascii="Times New Roman" w:eastAsia="Times New Roman" w:hAnsi="Times New Roman" w:cs="Times New Roman"/>
          <w:sz w:val="24"/>
          <w:szCs w:val="24"/>
        </w:rPr>
        <w:t>C</w:t>
      </w:r>
      <w:r w:rsidRPr="00486B87">
        <w:rPr>
          <w:rFonts w:ascii="Times New Roman" w:eastAsia="Times New Roman" w:hAnsi="Times New Roman" w:cs="Times New Roman"/>
          <w:sz w:val="24"/>
          <w:szCs w:val="24"/>
        </w:rPr>
        <w:t xml:space="preserve">onstitution. This limitation must, </w:t>
      </w:r>
      <w:r w:rsidR="00EF3FCC" w:rsidRPr="00486B87">
        <w:rPr>
          <w:rFonts w:ascii="Times New Roman" w:eastAsia="Times New Roman" w:hAnsi="Times New Roman" w:cs="Times New Roman"/>
          <w:sz w:val="24"/>
          <w:szCs w:val="24"/>
        </w:rPr>
        <w:t>by</w:t>
      </w:r>
      <w:r w:rsidRPr="00486B87">
        <w:rPr>
          <w:rFonts w:ascii="Times New Roman" w:eastAsia="Times New Roman" w:hAnsi="Times New Roman" w:cs="Times New Roman"/>
          <w:sz w:val="24"/>
          <w:szCs w:val="24"/>
        </w:rPr>
        <w:t xml:space="preserve"> its inclusion in the </w:t>
      </w:r>
      <w:r w:rsidR="001E1A0A" w:rsidRPr="00486B87">
        <w:rPr>
          <w:rFonts w:ascii="Times New Roman" w:eastAsia="Times New Roman" w:hAnsi="Times New Roman" w:cs="Times New Roman"/>
          <w:sz w:val="24"/>
          <w:szCs w:val="24"/>
        </w:rPr>
        <w:t>C</w:t>
      </w:r>
      <w:r w:rsidRPr="00486B87">
        <w:rPr>
          <w:rFonts w:ascii="Times New Roman" w:eastAsia="Times New Roman" w:hAnsi="Times New Roman" w:cs="Times New Roman"/>
          <w:sz w:val="24"/>
          <w:szCs w:val="24"/>
        </w:rPr>
        <w:t xml:space="preserve">onstitution, have an adjudicative venue to resolve disputes. The Bermudian </w:t>
      </w:r>
      <w:r w:rsidR="00763D32" w:rsidRPr="00486B87">
        <w:rPr>
          <w:rFonts w:ascii="Times New Roman" w:eastAsia="Times New Roman" w:hAnsi="Times New Roman" w:cs="Times New Roman"/>
          <w:sz w:val="24"/>
          <w:szCs w:val="24"/>
        </w:rPr>
        <w:t>Supreme Court</w:t>
      </w:r>
      <w:r w:rsidRPr="00486B87">
        <w:rPr>
          <w:rFonts w:ascii="Times New Roman" w:eastAsia="Times New Roman" w:hAnsi="Times New Roman" w:cs="Times New Roman"/>
          <w:sz w:val="24"/>
          <w:szCs w:val="24"/>
        </w:rPr>
        <w:t xml:space="preserve"> </w:t>
      </w:r>
      <w:r w:rsidR="008200EF" w:rsidRPr="00486B87">
        <w:rPr>
          <w:rFonts w:ascii="Times New Roman" w:eastAsia="Times New Roman" w:hAnsi="Times New Roman" w:cs="Times New Roman"/>
          <w:sz w:val="24"/>
          <w:szCs w:val="24"/>
        </w:rPr>
        <w:t>is</w:t>
      </w:r>
      <w:r w:rsidRPr="00486B87">
        <w:rPr>
          <w:rFonts w:ascii="Times New Roman" w:eastAsia="Times New Roman" w:hAnsi="Times New Roman" w:cs="Times New Roman"/>
          <w:sz w:val="24"/>
          <w:szCs w:val="24"/>
        </w:rPr>
        <w:t xml:space="preserve"> therefore a </w:t>
      </w:r>
      <w:r w:rsidR="00763D32" w:rsidRPr="00486B87">
        <w:rPr>
          <w:rFonts w:ascii="Times New Roman" w:eastAsia="Times New Roman" w:hAnsi="Times New Roman" w:cs="Times New Roman"/>
          <w:sz w:val="24"/>
          <w:szCs w:val="24"/>
        </w:rPr>
        <w:t>constitutional court</w:t>
      </w:r>
      <w:r w:rsidR="00321FB3">
        <w:rPr>
          <w:rFonts w:ascii="Times New Roman" w:eastAsia="Times New Roman" w:hAnsi="Times New Roman" w:cs="Times New Roman"/>
          <w:sz w:val="24"/>
          <w:szCs w:val="24"/>
        </w:rPr>
        <w:t>,</w:t>
      </w:r>
      <w:r w:rsidR="00763D32" w:rsidRPr="00486B87">
        <w:rPr>
          <w:rFonts w:ascii="Times New Roman" w:eastAsia="Times New Roman" w:hAnsi="Times New Roman" w:cs="Times New Roman"/>
          <w:sz w:val="24"/>
          <w:szCs w:val="24"/>
        </w:rPr>
        <w:t xml:space="preserve"> given that they possess the power to resolve and decide matters of a </w:t>
      </w:r>
      <w:r w:rsidR="00763D32" w:rsidRPr="00486B87">
        <w:rPr>
          <w:rFonts w:ascii="Times New Roman" w:eastAsia="Times New Roman" w:hAnsi="Times New Roman" w:cs="Times New Roman"/>
          <w:sz w:val="24"/>
          <w:szCs w:val="24"/>
        </w:rPr>
        <w:lastRenderedPageBreak/>
        <w:t xml:space="preserve">constitutional nature. There will undoubtedly be some envy from the </w:t>
      </w:r>
      <w:r w:rsidR="00D0719F" w:rsidRPr="00486B87">
        <w:rPr>
          <w:rFonts w:ascii="Times New Roman" w:eastAsia="Times New Roman" w:hAnsi="Times New Roman" w:cs="Times New Roman"/>
          <w:sz w:val="24"/>
          <w:szCs w:val="24"/>
        </w:rPr>
        <w:t xml:space="preserve">UK </w:t>
      </w:r>
      <w:r w:rsidR="00763D32" w:rsidRPr="00486B87">
        <w:rPr>
          <w:rFonts w:ascii="Times New Roman" w:eastAsia="Times New Roman" w:hAnsi="Times New Roman" w:cs="Times New Roman"/>
          <w:sz w:val="24"/>
          <w:szCs w:val="24"/>
        </w:rPr>
        <w:t>Supreme Court</w:t>
      </w:r>
      <w:r w:rsidR="002137EC">
        <w:rPr>
          <w:rFonts w:ascii="Times New Roman" w:eastAsia="Times New Roman" w:hAnsi="Times New Roman" w:cs="Times New Roman"/>
          <w:sz w:val="24"/>
          <w:szCs w:val="24"/>
        </w:rPr>
        <w:t>,</w:t>
      </w:r>
      <w:r w:rsidR="00763D32" w:rsidRPr="00486B87">
        <w:rPr>
          <w:rFonts w:ascii="Times New Roman" w:eastAsia="Times New Roman" w:hAnsi="Times New Roman" w:cs="Times New Roman"/>
          <w:sz w:val="24"/>
          <w:szCs w:val="24"/>
        </w:rPr>
        <w:t xml:space="preserve"> </w:t>
      </w:r>
      <w:r w:rsidR="00EB7A3B" w:rsidRPr="00486B87">
        <w:rPr>
          <w:rFonts w:ascii="Times New Roman" w:eastAsia="Times New Roman" w:hAnsi="Times New Roman" w:cs="Times New Roman"/>
          <w:sz w:val="24"/>
          <w:szCs w:val="24"/>
        </w:rPr>
        <w:t>whose</w:t>
      </w:r>
      <w:r w:rsidR="00763D32" w:rsidRPr="00486B87">
        <w:rPr>
          <w:rFonts w:ascii="Times New Roman" w:eastAsia="Times New Roman" w:hAnsi="Times New Roman" w:cs="Times New Roman"/>
          <w:sz w:val="24"/>
          <w:szCs w:val="24"/>
        </w:rPr>
        <w:t xml:space="preserve"> status as a constitutional court is a matter of much debate</w:t>
      </w:r>
      <w:r w:rsidR="00763D32" w:rsidRPr="00486B87">
        <w:rPr>
          <w:rStyle w:val="FootnoteReference"/>
          <w:rFonts w:ascii="Times New Roman" w:eastAsia="Times New Roman" w:hAnsi="Times New Roman" w:cs="Times New Roman"/>
          <w:sz w:val="24"/>
          <w:szCs w:val="24"/>
        </w:rPr>
        <w:footnoteReference w:id="45"/>
      </w:r>
      <w:r w:rsidR="00763D32" w:rsidRPr="00486B87">
        <w:rPr>
          <w:rFonts w:ascii="Times New Roman" w:eastAsia="Times New Roman" w:hAnsi="Times New Roman" w:cs="Times New Roman"/>
          <w:sz w:val="24"/>
          <w:szCs w:val="24"/>
        </w:rPr>
        <w:t xml:space="preserve">. </w:t>
      </w:r>
      <w:r w:rsidR="008200EF" w:rsidRPr="00486B87">
        <w:rPr>
          <w:rFonts w:ascii="Times New Roman" w:eastAsia="Times New Roman" w:hAnsi="Times New Roman" w:cs="Times New Roman"/>
          <w:sz w:val="24"/>
          <w:szCs w:val="24"/>
        </w:rPr>
        <w:t xml:space="preserve">The Court in </w:t>
      </w:r>
      <w:r w:rsidR="008200EF" w:rsidRPr="00486B87">
        <w:rPr>
          <w:rFonts w:ascii="Times New Roman" w:eastAsia="Times New Roman" w:hAnsi="Times New Roman" w:cs="Times New Roman"/>
          <w:i/>
          <w:sz w:val="24"/>
          <w:szCs w:val="24"/>
        </w:rPr>
        <w:t>Ferguson</w:t>
      </w:r>
      <w:r w:rsidR="008200EF" w:rsidRPr="00486B87">
        <w:rPr>
          <w:rFonts w:ascii="Times New Roman" w:eastAsia="Times New Roman" w:hAnsi="Times New Roman" w:cs="Times New Roman"/>
          <w:sz w:val="24"/>
          <w:szCs w:val="24"/>
        </w:rPr>
        <w:t xml:space="preserve"> also cited a recent discussion on this matter of </w:t>
      </w:r>
      <w:r w:rsidR="008200EF" w:rsidRPr="00486B87">
        <w:rPr>
          <w:rFonts w:ascii="Times New Roman" w:eastAsia="Times New Roman" w:hAnsi="Times New Roman" w:cs="Times New Roman"/>
          <w:i/>
          <w:sz w:val="24"/>
          <w:szCs w:val="24"/>
        </w:rPr>
        <w:t>Robinson</w:t>
      </w:r>
      <w:r w:rsidR="002137EC">
        <w:rPr>
          <w:rFonts w:ascii="Times New Roman" w:eastAsia="Times New Roman" w:hAnsi="Times New Roman" w:cs="Times New Roman"/>
          <w:i/>
          <w:sz w:val="24"/>
          <w:szCs w:val="24"/>
        </w:rPr>
        <w:t>,</w:t>
      </w:r>
      <w:r w:rsidR="008200EF" w:rsidRPr="00486B87">
        <w:rPr>
          <w:rStyle w:val="FootnoteReference"/>
          <w:rFonts w:ascii="Times New Roman" w:eastAsia="Times New Roman" w:hAnsi="Times New Roman" w:cs="Times New Roman"/>
          <w:i/>
          <w:sz w:val="24"/>
          <w:szCs w:val="24"/>
        </w:rPr>
        <w:footnoteReference w:id="46"/>
      </w:r>
      <w:r w:rsidR="008200EF" w:rsidRPr="00486B87">
        <w:rPr>
          <w:rFonts w:ascii="Times New Roman" w:eastAsia="Times New Roman" w:hAnsi="Times New Roman" w:cs="Times New Roman"/>
          <w:i/>
          <w:sz w:val="24"/>
          <w:szCs w:val="24"/>
        </w:rPr>
        <w:t xml:space="preserve"> </w:t>
      </w:r>
      <w:r w:rsidR="008200EF" w:rsidRPr="00486B87">
        <w:rPr>
          <w:rFonts w:ascii="Times New Roman" w:eastAsia="Times New Roman" w:hAnsi="Times New Roman" w:cs="Times New Roman"/>
          <w:sz w:val="24"/>
          <w:szCs w:val="24"/>
        </w:rPr>
        <w:t xml:space="preserve">where </w:t>
      </w:r>
      <w:proofErr w:type="spellStart"/>
      <w:r w:rsidR="008200EF" w:rsidRPr="00486B87">
        <w:rPr>
          <w:rFonts w:ascii="Times New Roman" w:eastAsia="Times New Roman" w:hAnsi="Times New Roman" w:cs="Times New Roman"/>
          <w:sz w:val="24"/>
          <w:szCs w:val="24"/>
        </w:rPr>
        <w:t>Nazerath</w:t>
      </w:r>
      <w:proofErr w:type="spellEnd"/>
      <w:r w:rsidR="008200EF" w:rsidRPr="00486B87">
        <w:rPr>
          <w:rFonts w:ascii="Times New Roman" w:eastAsia="Times New Roman" w:hAnsi="Times New Roman" w:cs="Times New Roman"/>
          <w:sz w:val="24"/>
          <w:szCs w:val="24"/>
        </w:rPr>
        <w:t xml:space="preserve"> JA stated that the Colonial Laws Validity Act 1865</w:t>
      </w:r>
      <w:r w:rsidR="00F350EE" w:rsidRPr="00486B87">
        <w:rPr>
          <w:rFonts w:ascii="Times New Roman" w:eastAsia="Times New Roman" w:hAnsi="Times New Roman" w:cs="Times New Roman"/>
          <w:sz w:val="24"/>
          <w:szCs w:val="24"/>
        </w:rPr>
        <w:t xml:space="preserve"> makes</w:t>
      </w:r>
      <w:r w:rsidR="008200EF" w:rsidRPr="00486B87">
        <w:rPr>
          <w:rFonts w:ascii="Times New Roman" w:eastAsia="Times New Roman" w:hAnsi="Times New Roman" w:cs="Times New Roman"/>
          <w:sz w:val="24"/>
          <w:szCs w:val="24"/>
        </w:rPr>
        <w:t xml:space="preserve"> any law which in incompatible with t</w:t>
      </w:r>
      <w:r w:rsidR="00F350EE" w:rsidRPr="00486B87">
        <w:rPr>
          <w:rFonts w:ascii="Times New Roman" w:eastAsia="Times New Roman" w:hAnsi="Times New Roman" w:cs="Times New Roman"/>
          <w:sz w:val="24"/>
          <w:szCs w:val="24"/>
        </w:rPr>
        <w:t xml:space="preserve">he Bermudian </w:t>
      </w:r>
      <w:r w:rsidR="001E1A0A" w:rsidRPr="00486B87">
        <w:rPr>
          <w:rFonts w:ascii="Times New Roman" w:eastAsia="Times New Roman" w:hAnsi="Times New Roman" w:cs="Times New Roman"/>
          <w:sz w:val="24"/>
          <w:szCs w:val="24"/>
        </w:rPr>
        <w:t>C</w:t>
      </w:r>
      <w:r w:rsidR="00F350EE" w:rsidRPr="00486B87">
        <w:rPr>
          <w:rFonts w:ascii="Times New Roman" w:eastAsia="Times New Roman" w:hAnsi="Times New Roman" w:cs="Times New Roman"/>
          <w:sz w:val="24"/>
          <w:szCs w:val="24"/>
        </w:rPr>
        <w:t xml:space="preserve">onstitution void. </w:t>
      </w:r>
      <w:proofErr w:type="spellStart"/>
      <w:r w:rsidR="008200EF" w:rsidRPr="00486B87">
        <w:rPr>
          <w:rFonts w:ascii="Times New Roman" w:eastAsia="Times New Roman" w:hAnsi="Times New Roman" w:cs="Times New Roman"/>
          <w:sz w:val="24"/>
          <w:szCs w:val="24"/>
        </w:rPr>
        <w:t>Kawaley</w:t>
      </w:r>
      <w:proofErr w:type="spellEnd"/>
      <w:r w:rsidR="008200EF" w:rsidRPr="00486B87">
        <w:rPr>
          <w:rFonts w:ascii="Times New Roman" w:eastAsia="Times New Roman" w:hAnsi="Times New Roman" w:cs="Times New Roman"/>
          <w:sz w:val="24"/>
          <w:szCs w:val="24"/>
        </w:rPr>
        <w:t xml:space="preserve"> CJ </w:t>
      </w:r>
      <w:r w:rsidR="00F350EE" w:rsidRPr="00486B87">
        <w:rPr>
          <w:rFonts w:ascii="Times New Roman" w:eastAsia="Times New Roman" w:hAnsi="Times New Roman" w:cs="Times New Roman"/>
          <w:sz w:val="24"/>
          <w:szCs w:val="24"/>
        </w:rPr>
        <w:t xml:space="preserve">summarised to that effect that </w:t>
      </w:r>
    </w:p>
    <w:p w14:paraId="4F925E1C" w14:textId="77777777" w:rsidR="00301395" w:rsidRPr="00486B87" w:rsidRDefault="00F350EE" w:rsidP="00301395">
      <w:pPr>
        <w:spacing w:line="480" w:lineRule="auto"/>
        <w:ind w:left="720"/>
        <w:jc w:val="both"/>
        <w:rPr>
          <w:rFonts w:ascii="Times New Roman" w:eastAsia="Times New Roman" w:hAnsi="Times New Roman" w:cs="Times New Roman"/>
          <w:sz w:val="24"/>
          <w:szCs w:val="24"/>
        </w:rPr>
      </w:pPr>
      <w:r w:rsidRPr="00486B87">
        <w:rPr>
          <w:rFonts w:ascii="Times New Roman" w:eastAsia="Times New Roman" w:hAnsi="Times New Roman" w:cs="Times New Roman"/>
          <w:sz w:val="24"/>
          <w:szCs w:val="24"/>
        </w:rPr>
        <w:t>“</w:t>
      </w:r>
      <w:proofErr w:type="gramStart"/>
      <w:r w:rsidRPr="00486B87">
        <w:rPr>
          <w:rFonts w:ascii="Times New Roman" w:eastAsia="Times New Roman" w:hAnsi="Times New Roman" w:cs="Times New Roman"/>
          <w:sz w:val="24"/>
          <w:szCs w:val="24"/>
        </w:rPr>
        <w:t>the</w:t>
      </w:r>
      <w:proofErr w:type="gramEnd"/>
      <w:r w:rsidRPr="00486B87">
        <w:rPr>
          <w:rFonts w:ascii="Times New Roman" w:eastAsia="Times New Roman" w:hAnsi="Times New Roman" w:cs="Times New Roman"/>
          <w:sz w:val="24"/>
          <w:szCs w:val="24"/>
        </w:rPr>
        <w:t xml:space="preserve"> Legislative branch of Government has not for 50 years had more than qualified Parliamentary sovereignty in Bermuda. The Judiciary has been tasked by Chapter I of the Bermuda Constitution with ensuring that both executive action and legislative provisions do not contravene the fundamental rights of freedoms of the citizens and residents of Bermuda.”</w:t>
      </w:r>
      <w:r w:rsidRPr="00486B87">
        <w:rPr>
          <w:rStyle w:val="FootnoteReference"/>
          <w:rFonts w:ascii="Times New Roman" w:eastAsia="Times New Roman" w:hAnsi="Times New Roman" w:cs="Times New Roman"/>
          <w:sz w:val="24"/>
          <w:szCs w:val="24"/>
        </w:rPr>
        <w:footnoteReference w:id="47"/>
      </w:r>
      <w:r w:rsidRPr="00486B87">
        <w:rPr>
          <w:rFonts w:ascii="Times New Roman" w:eastAsia="Times New Roman" w:hAnsi="Times New Roman" w:cs="Times New Roman"/>
          <w:sz w:val="24"/>
          <w:szCs w:val="24"/>
        </w:rPr>
        <w:t xml:space="preserve"> </w:t>
      </w:r>
    </w:p>
    <w:p w14:paraId="79DDF10F" w14:textId="422B2976" w:rsidR="00F350EE" w:rsidRPr="00486B87" w:rsidRDefault="00F350EE" w:rsidP="00301395">
      <w:pPr>
        <w:spacing w:line="480" w:lineRule="auto"/>
        <w:jc w:val="both"/>
        <w:rPr>
          <w:rFonts w:ascii="Times New Roman" w:eastAsia="Times New Roman" w:hAnsi="Times New Roman" w:cs="Times New Roman"/>
          <w:sz w:val="24"/>
          <w:szCs w:val="24"/>
        </w:rPr>
      </w:pPr>
      <w:r w:rsidRPr="00486B87">
        <w:rPr>
          <w:rFonts w:ascii="Times New Roman" w:eastAsia="Times New Roman" w:hAnsi="Times New Roman" w:cs="Times New Roman"/>
          <w:sz w:val="24"/>
          <w:szCs w:val="24"/>
        </w:rPr>
        <w:t xml:space="preserve">This poses some interesting conceptual questions, one being that the separation of powers in British Overseas Territories are subject to </w:t>
      </w:r>
      <w:r w:rsidRPr="00A553D0">
        <w:rPr>
          <w:rFonts w:ascii="Times New Roman" w:eastAsia="Times New Roman" w:hAnsi="Times New Roman" w:cs="Times New Roman"/>
          <w:i/>
          <w:sz w:val="24"/>
          <w:szCs w:val="24"/>
        </w:rPr>
        <w:t>caveats</w:t>
      </w:r>
      <w:r w:rsidRPr="00486B87">
        <w:rPr>
          <w:rFonts w:ascii="Times New Roman" w:eastAsia="Times New Roman" w:hAnsi="Times New Roman" w:cs="Times New Roman"/>
          <w:sz w:val="24"/>
          <w:szCs w:val="24"/>
        </w:rPr>
        <w:t xml:space="preserve"> </w:t>
      </w:r>
      <w:r w:rsidRPr="00486B87">
        <w:rPr>
          <w:rFonts w:ascii="Times New Roman" w:eastAsia="Times New Roman" w:hAnsi="Times New Roman" w:cs="Times New Roman"/>
          <w:i/>
          <w:sz w:val="24"/>
          <w:szCs w:val="24"/>
        </w:rPr>
        <w:t>viz.</w:t>
      </w:r>
      <w:r w:rsidRPr="00486B87">
        <w:rPr>
          <w:rFonts w:ascii="Times New Roman" w:eastAsia="Times New Roman" w:hAnsi="Times New Roman" w:cs="Times New Roman"/>
          <w:sz w:val="24"/>
          <w:szCs w:val="24"/>
        </w:rPr>
        <w:t xml:space="preserve"> that the judiciary retains the right to curtail the </w:t>
      </w:r>
      <w:r w:rsidR="003A1602">
        <w:rPr>
          <w:rFonts w:ascii="Times New Roman" w:eastAsia="Times New Roman" w:hAnsi="Times New Roman" w:cs="Times New Roman"/>
          <w:sz w:val="24"/>
          <w:szCs w:val="24"/>
        </w:rPr>
        <w:t>p</w:t>
      </w:r>
      <w:r w:rsidRPr="00486B87">
        <w:rPr>
          <w:rFonts w:ascii="Times New Roman" w:eastAsia="Times New Roman" w:hAnsi="Times New Roman" w:cs="Times New Roman"/>
          <w:sz w:val="24"/>
          <w:szCs w:val="24"/>
        </w:rPr>
        <w:t>arliament</w:t>
      </w:r>
      <w:r w:rsidR="003A1602">
        <w:rPr>
          <w:rFonts w:ascii="Times New Roman" w:eastAsia="Times New Roman" w:hAnsi="Times New Roman" w:cs="Times New Roman"/>
          <w:sz w:val="24"/>
          <w:szCs w:val="24"/>
        </w:rPr>
        <w:t>’</w:t>
      </w:r>
      <w:r w:rsidRPr="00486B87">
        <w:rPr>
          <w:rFonts w:ascii="Times New Roman" w:eastAsia="Times New Roman" w:hAnsi="Times New Roman" w:cs="Times New Roman"/>
          <w:sz w:val="24"/>
          <w:szCs w:val="24"/>
        </w:rPr>
        <w:t xml:space="preserve">s </w:t>
      </w:r>
      <w:r w:rsidR="003A1602">
        <w:rPr>
          <w:rFonts w:ascii="Times New Roman" w:eastAsia="Times New Roman" w:hAnsi="Times New Roman" w:cs="Times New Roman"/>
          <w:sz w:val="24"/>
          <w:szCs w:val="24"/>
        </w:rPr>
        <w:t>s</w:t>
      </w:r>
      <w:r w:rsidRPr="00486B87">
        <w:rPr>
          <w:rFonts w:ascii="Times New Roman" w:eastAsia="Times New Roman" w:hAnsi="Times New Roman" w:cs="Times New Roman"/>
          <w:sz w:val="24"/>
          <w:szCs w:val="24"/>
        </w:rPr>
        <w:t xml:space="preserve">overeignty if the judiciary feels that the </w:t>
      </w:r>
      <w:r w:rsidR="003A1602">
        <w:rPr>
          <w:rFonts w:ascii="Times New Roman" w:eastAsia="Times New Roman" w:hAnsi="Times New Roman" w:cs="Times New Roman"/>
          <w:sz w:val="24"/>
          <w:szCs w:val="24"/>
        </w:rPr>
        <w:t>p</w:t>
      </w:r>
      <w:r w:rsidRPr="00486B87">
        <w:rPr>
          <w:rFonts w:ascii="Times New Roman" w:eastAsia="Times New Roman" w:hAnsi="Times New Roman" w:cs="Times New Roman"/>
          <w:sz w:val="24"/>
          <w:szCs w:val="24"/>
        </w:rPr>
        <w:t xml:space="preserve">arliament is legislating contrary to the </w:t>
      </w:r>
      <w:r w:rsidR="003B078A">
        <w:rPr>
          <w:rFonts w:ascii="Times New Roman" w:eastAsia="Times New Roman" w:hAnsi="Times New Roman" w:cs="Times New Roman"/>
          <w:sz w:val="24"/>
          <w:szCs w:val="24"/>
        </w:rPr>
        <w:t>c</w:t>
      </w:r>
      <w:r w:rsidRPr="00486B87">
        <w:rPr>
          <w:rFonts w:ascii="Times New Roman" w:eastAsia="Times New Roman" w:hAnsi="Times New Roman" w:cs="Times New Roman"/>
          <w:sz w:val="24"/>
          <w:szCs w:val="24"/>
        </w:rPr>
        <w:t xml:space="preserve">onstitution. In Bermuda then, is it more appropriate to talk of </w:t>
      </w:r>
      <w:r w:rsidR="003B078A">
        <w:rPr>
          <w:rFonts w:ascii="Times New Roman" w:eastAsia="Times New Roman" w:hAnsi="Times New Roman" w:cs="Times New Roman"/>
          <w:sz w:val="24"/>
          <w:szCs w:val="24"/>
        </w:rPr>
        <w:t>c</w:t>
      </w:r>
      <w:r w:rsidRPr="00486B87">
        <w:rPr>
          <w:rFonts w:ascii="Times New Roman" w:eastAsia="Times New Roman" w:hAnsi="Times New Roman" w:cs="Times New Roman"/>
          <w:sz w:val="24"/>
          <w:szCs w:val="24"/>
        </w:rPr>
        <w:t>onstitutional supremacy supported by judicial superiority</w:t>
      </w:r>
      <w:r w:rsidR="0003658F">
        <w:rPr>
          <w:rFonts w:ascii="Times New Roman" w:eastAsia="Times New Roman" w:hAnsi="Times New Roman" w:cs="Times New Roman"/>
          <w:sz w:val="24"/>
          <w:szCs w:val="24"/>
        </w:rPr>
        <w:t>,</w:t>
      </w:r>
      <w:r w:rsidRPr="00486B87">
        <w:rPr>
          <w:rFonts w:ascii="Times New Roman" w:eastAsia="Times New Roman" w:hAnsi="Times New Roman" w:cs="Times New Roman"/>
          <w:sz w:val="24"/>
          <w:szCs w:val="24"/>
        </w:rPr>
        <w:t xml:space="preserve"> and the subjugation to some extend of the legislature?</w:t>
      </w:r>
    </w:p>
    <w:p w14:paraId="5C7EF82A" w14:textId="0E035A8C" w:rsidR="00F350EE" w:rsidRPr="00486B87" w:rsidRDefault="00F350EE" w:rsidP="001D0F2A">
      <w:pPr>
        <w:spacing w:line="480" w:lineRule="auto"/>
        <w:jc w:val="both"/>
        <w:rPr>
          <w:rFonts w:ascii="Times New Roman" w:eastAsia="Times New Roman" w:hAnsi="Times New Roman" w:cs="Times New Roman"/>
          <w:sz w:val="24"/>
          <w:szCs w:val="24"/>
        </w:rPr>
      </w:pPr>
    </w:p>
    <w:p w14:paraId="31B566EE" w14:textId="27F9A8DC" w:rsidR="00F350EE" w:rsidRPr="00486B87" w:rsidRDefault="00F350EE" w:rsidP="001D0F2A">
      <w:pPr>
        <w:spacing w:line="480" w:lineRule="auto"/>
        <w:jc w:val="both"/>
        <w:rPr>
          <w:rFonts w:ascii="Times New Roman" w:eastAsia="Times New Roman" w:hAnsi="Times New Roman" w:cs="Times New Roman"/>
          <w:sz w:val="24"/>
          <w:szCs w:val="24"/>
        </w:rPr>
      </w:pPr>
      <w:r w:rsidRPr="00486B87">
        <w:rPr>
          <w:rFonts w:ascii="Times New Roman" w:eastAsia="Times New Roman" w:hAnsi="Times New Roman" w:cs="Times New Roman"/>
          <w:sz w:val="24"/>
          <w:szCs w:val="24"/>
        </w:rPr>
        <w:t>Although this last statement is intentionally evocative, there are some connected point</w:t>
      </w:r>
      <w:r w:rsidR="00B57999">
        <w:rPr>
          <w:rFonts w:ascii="Times New Roman" w:eastAsia="Times New Roman" w:hAnsi="Times New Roman" w:cs="Times New Roman"/>
          <w:sz w:val="24"/>
          <w:szCs w:val="24"/>
        </w:rPr>
        <w:t>s</w:t>
      </w:r>
      <w:r w:rsidRPr="00486B87">
        <w:rPr>
          <w:rFonts w:ascii="Times New Roman" w:eastAsia="Times New Roman" w:hAnsi="Times New Roman" w:cs="Times New Roman"/>
          <w:sz w:val="24"/>
          <w:szCs w:val="24"/>
        </w:rPr>
        <w:t xml:space="preserve"> to make </w:t>
      </w:r>
      <w:r w:rsidR="004F4438" w:rsidRPr="00486B87">
        <w:rPr>
          <w:rFonts w:ascii="Times New Roman" w:eastAsia="Times New Roman" w:hAnsi="Times New Roman" w:cs="Times New Roman"/>
          <w:sz w:val="24"/>
          <w:szCs w:val="24"/>
        </w:rPr>
        <w:t xml:space="preserve">on it from the </w:t>
      </w:r>
      <w:r w:rsidR="004F4438" w:rsidRPr="00486B87">
        <w:rPr>
          <w:rFonts w:ascii="Times New Roman" w:eastAsia="Times New Roman" w:hAnsi="Times New Roman" w:cs="Times New Roman"/>
          <w:i/>
          <w:sz w:val="24"/>
          <w:szCs w:val="24"/>
        </w:rPr>
        <w:t xml:space="preserve">Ferguson </w:t>
      </w:r>
      <w:r w:rsidR="004F4438" w:rsidRPr="00486B87">
        <w:rPr>
          <w:rFonts w:ascii="Times New Roman" w:eastAsia="Times New Roman" w:hAnsi="Times New Roman" w:cs="Times New Roman"/>
          <w:sz w:val="24"/>
          <w:szCs w:val="24"/>
        </w:rPr>
        <w:t xml:space="preserve">judgment which will be transposed in the opposite direction on current affairs in the UK. </w:t>
      </w:r>
      <w:r w:rsidR="00301395" w:rsidRPr="00486B87">
        <w:rPr>
          <w:rFonts w:ascii="Times New Roman" w:eastAsia="Times New Roman" w:hAnsi="Times New Roman" w:cs="Times New Roman"/>
          <w:sz w:val="24"/>
          <w:szCs w:val="24"/>
        </w:rPr>
        <w:t>A statement from the affidavit of an intervene</w:t>
      </w:r>
      <w:r w:rsidR="00F5341E" w:rsidRPr="00486B87">
        <w:rPr>
          <w:rFonts w:ascii="Times New Roman" w:eastAsia="Times New Roman" w:hAnsi="Times New Roman" w:cs="Times New Roman"/>
          <w:sz w:val="24"/>
          <w:szCs w:val="24"/>
        </w:rPr>
        <w:t xml:space="preserve">r in the </w:t>
      </w:r>
      <w:proofErr w:type="gramStart"/>
      <w:r w:rsidR="00F5341E" w:rsidRPr="00486B87">
        <w:rPr>
          <w:rFonts w:ascii="Times New Roman" w:eastAsia="Times New Roman" w:hAnsi="Times New Roman" w:cs="Times New Roman"/>
          <w:sz w:val="24"/>
          <w:szCs w:val="24"/>
        </w:rPr>
        <w:t>case</w:t>
      </w:r>
      <w:r w:rsidR="002612B9">
        <w:rPr>
          <w:rFonts w:ascii="Times New Roman" w:eastAsia="Times New Roman" w:hAnsi="Times New Roman" w:cs="Times New Roman"/>
          <w:sz w:val="24"/>
          <w:szCs w:val="24"/>
        </w:rPr>
        <w:t>,</w:t>
      </w:r>
      <w:proofErr w:type="gramEnd"/>
      <w:r w:rsidR="00F5341E" w:rsidRPr="00486B87">
        <w:rPr>
          <w:rFonts w:ascii="Times New Roman" w:eastAsia="Times New Roman" w:hAnsi="Times New Roman" w:cs="Times New Roman"/>
          <w:sz w:val="24"/>
          <w:szCs w:val="24"/>
        </w:rPr>
        <w:t xml:space="preserve"> cited a quote which raises some further relevant points. The statement reads:</w:t>
      </w:r>
    </w:p>
    <w:p w14:paraId="4D250638" w14:textId="0D8D5FDB" w:rsidR="00F5341E" w:rsidRPr="00486B87" w:rsidRDefault="00F5341E" w:rsidP="00F5341E">
      <w:pPr>
        <w:spacing w:line="480" w:lineRule="auto"/>
        <w:ind w:left="720"/>
        <w:jc w:val="both"/>
        <w:rPr>
          <w:rFonts w:ascii="Times New Roman" w:eastAsia="Times New Roman" w:hAnsi="Times New Roman" w:cs="Times New Roman"/>
          <w:sz w:val="24"/>
          <w:szCs w:val="24"/>
        </w:rPr>
      </w:pPr>
      <w:r w:rsidRPr="00486B87">
        <w:rPr>
          <w:rFonts w:ascii="Times New Roman" w:eastAsia="Times New Roman" w:hAnsi="Times New Roman" w:cs="Times New Roman"/>
          <w:sz w:val="24"/>
          <w:szCs w:val="24"/>
        </w:rPr>
        <w:lastRenderedPageBreak/>
        <w:t>“In any event, even if a majority of Bermudians were in favour of depriving a minority group of its human rights […] it would be wholly inappropriate for Govern</w:t>
      </w:r>
      <w:r w:rsidR="00D017CA" w:rsidRPr="00486B87">
        <w:rPr>
          <w:rFonts w:ascii="Times New Roman" w:eastAsia="Times New Roman" w:hAnsi="Times New Roman" w:cs="Times New Roman"/>
          <w:sz w:val="24"/>
          <w:szCs w:val="24"/>
        </w:rPr>
        <w:t>ment to legislate on that basis […]</w:t>
      </w:r>
      <w:r w:rsidRPr="00486B87">
        <w:rPr>
          <w:rFonts w:ascii="Times New Roman" w:eastAsia="Times New Roman" w:hAnsi="Times New Roman" w:cs="Times New Roman"/>
          <w:sz w:val="24"/>
          <w:szCs w:val="24"/>
        </w:rPr>
        <w:t xml:space="preserve">. In civilised societies, the majority does not get to pick and choose which of a minority’s human rights should and should not be protected. In fact, in a great many instances the oppressive views of the majority </w:t>
      </w:r>
      <w:proofErr w:type="gramStart"/>
      <w:r w:rsidRPr="00486B87">
        <w:rPr>
          <w:rFonts w:ascii="Times New Roman" w:eastAsia="Times New Roman" w:hAnsi="Times New Roman" w:cs="Times New Roman"/>
          <w:sz w:val="24"/>
          <w:szCs w:val="24"/>
        </w:rPr>
        <w:t>are</w:t>
      </w:r>
      <w:proofErr w:type="gramEnd"/>
      <w:r w:rsidRPr="00486B87">
        <w:rPr>
          <w:rFonts w:ascii="Times New Roman" w:eastAsia="Times New Roman" w:hAnsi="Times New Roman" w:cs="Times New Roman"/>
          <w:sz w:val="24"/>
          <w:szCs w:val="24"/>
        </w:rPr>
        <w:t xml:space="preserve"> exactly what minorities most need their human rights to be protected against.”</w:t>
      </w:r>
    </w:p>
    <w:p w14:paraId="524ED12E" w14:textId="4E677FDA" w:rsidR="003C4659" w:rsidRPr="00486B87" w:rsidRDefault="006350A2" w:rsidP="00174DA6">
      <w:pPr>
        <w:spacing w:line="480" w:lineRule="auto"/>
        <w:jc w:val="both"/>
        <w:rPr>
          <w:rFonts w:ascii="Times New Roman" w:eastAsia="Times New Roman" w:hAnsi="Times New Roman" w:cs="Times New Roman"/>
          <w:sz w:val="24"/>
          <w:szCs w:val="24"/>
        </w:rPr>
      </w:pPr>
      <w:r w:rsidRPr="00486B87">
        <w:rPr>
          <w:rFonts w:ascii="Times New Roman" w:eastAsia="Times New Roman" w:hAnsi="Times New Roman" w:cs="Times New Roman"/>
          <w:sz w:val="24"/>
          <w:szCs w:val="24"/>
        </w:rPr>
        <w:t xml:space="preserve">This statement directly conflicts with the prevailing concept of </w:t>
      </w:r>
      <w:r w:rsidR="00703A54">
        <w:rPr>
          <w:rFonts w:ascii="Times New Roman" w:eastAsia="Times New Roman" w:hAnsi="Times New Roman" w:cs="Times New Roman"/>
          <w:sz w:val="24"/>
          <w:szCs w:val="24"/>
        </w:rPr>
        <w:t>m</w:t>
      </w:r>
      <w:r w:rsidRPr="00486B87">
        <w:rPr>
          <w:rFonts w:ascii="Times New Roman" w:eastAsia="Times New Roman" w:hAnsi="Times New Roman" w:cs="Times New Roman"/>
          <w:sz w:val="24"/>
          <w:szCs w:val="24"/>
        </w:rPr>
        <w:t xml:space="preserve">ajority </w:t>
      </w:r>
      <w:r w:rsidR="00703A54">
        <w:rPr>
          <w:rFonts w:ascii="Times New Roman" w:eastAsia="Times New Roman" w:hAnsi="Times New Roman" w:cs="Times New Roman"/>
          <w:sz w:val="24"/>
          <w:szCs w:val="24"/>
        </w:rPr>
        <w:t>r</w:t>
      </w:r>
      <w:r w:rsidRPr="00486B87">
        <w:rPr>
          <w:rFonts w:ascii="Times New Roman" w:eastAsia="Times New Roman" w:hAnsi="Times New Roman" w:cs="Times New Roman"/>
          <w:sz w:val="24"/>
          <w:szCs w:val="24"/>
        </w:rPr>
        <w:t>ule</w:t>
      </w:r>
      <w:r w:rsidR="00CC4CDF">
        <w:rPr>
          <w:rFonts w:ascii="Times New Roman" w:eastAsia="Times New Roman" w:hAnsi="Times New Roman" w:cs="Times New Roman"/>
          <w:sz w:val="24"/>
          <w:szCs w:val="24"/>
        </w:rPr>
        <w:t>.</w:t>
      </w:r>
      <w:r w:rsidRPr="00486B87">
        <w:rPr>
          <w:rFonts w:ascii="Times New Roman" w:eastAsia="Times New Roman" w:hAnsi="Times New Roman" w:cs="Times New Roman"/>
          <w:sz w:val="24"/>
          <w:szCs w:val="24"/>
        </w:rPr>
        <w:t xml:space="preserve"> </w:t>
      </w:r>
      <w:r w:rsidR="00CC4CDF">
        <w:rPr>
          <w:rFonts w:ascii="Times New Roman" w:eastAsia="Times New Roman" w:hAnsi="Times New Roman" w:cs="Times New Roman"/>
          <w:sz w:val="24"/>
          <w:szCs w:val="24"/>
        </w:rPr>
        <w:t>H</w:t>
      </w:r>
      <w:r w:rsidRPr="00486B87">
        <w:rPr>
          <w:rFonts w:ascii="Times New Roman" w:eastAsia="Times New Roman" w:hAnsi="Times New Roman" w:cs="Times New Roman"/>
          <w:sz w:val="24"/>
          <w:szCs w:val="24"/>
        </w:rPr>
        <w:t>owever, this is not novel</w:t>
      </w:r>
      <w:r w:rsidR="00CC4CDF">
        <w:rPr>
          <w:rFonts w:ascii="Times New Roman" w:eastAsia="Times New Roman" w:hAnsi="Times New Roman" w:cs="Times New Roman"/>
          <w:sz w:val="24"/>
          <w:szCs w:val="24"/>
        </w:rPr>
        <w:t>;</w:t>
      </w:r>
      <w:r w:rsidRPr="00486B87">
        <w:rPr>
          <w:rFonts w:ascii="Times New Roman" w:eastAsia="Times New Roman" w:hAnsi="Times New Roman" w:cs="Times New Roman"/>
          <w:sz w:val="24"/>
          <w:szCs w:val="24"/>
        </w:rPr>
        <w:t xml:space="preserve"> criticisms of law</w:t>
      </w:r>
      <w:r w:rsidR="002612B9">
        <w:rPr>
          <w:rFonts w:ascii="Times New Roman" w:eastAsia="Times New Roman" w:hAnsi="Times New Roman" w:cs="Times New Roman"/>
          <w:sz w:val="24"/>
          <w:szCs w:val="24"/>
        </w:rPr>
        <w:t>-</w:t>
      </w:r>
      <w:r w:rsidRPr="00486B87">
        <w:rPr>
          <w:rFonts w:ascii="Times New Roman" w:eastAsia="Times New Roman" w:hAnsi="Times New Roman" w:cs="Times New Roman"/>
          <w:sz w:val="24"/>
          <w:szCs w:val="24"/>
        </w:rPr>
        <w:t xml:space="preserve">making based on </w:t>
      </w:r>
      <w:r w:rsidR="001E2EA8" w:rsidRPr="00486B87">
        <w:rPr>
          <w:rFonts w:ascii="Times New Roman" w:eastAsia="Times New Roman" w:hAnsi="Times New Roman" w:cs="Times New Roman"/>
          <w:sz w:val="24"/>
          <w:szCs w:val="24"/>
        </w:rPr>
        <w:t>popular policy</w:t>
      </w:r>
      <w:r w:rsidRPr="00486B87">
        <w:rPr>
          <w:rFonts w:ascii="Times New Roman" w:eastAsia="Times New Roman" w:hAnsi="Times New Roman" w:cs="Times New Roman"/>
          <w:sz w:val="24"/>
          <w:szCs w:val="24"/>
        </w:rPr>
        <w:t xml:space="preserve"> </w:t>
      </w:r>
      <w:r w:rsidR="00DB5B9D" w:rsidRPr="00486B87">
        <w:rPr>
          <w:rFonts w:ascii="Times New Roman" w:eastAsia="Times New Roman" w:hAnsi="Times New Roman" w:cs="Times New Roman"/>
          <w:sz w:val="24"/>
          <w:szCs w:val="24"/>
        </w:rPr>
        <w:t>are long standing</w:t>
      </w:r>
      <w:r w:rsidR="00DB5B9D" w:rsidRPr="00486B87">
        <w:rPr>
          <w:rStyle w:val="FootnoteReference"/>
          <w:rFonts w:ascii="Times New Roman" w:eastAsia="Times New Roman" w:hAnsi="Times New Roman" w:cs="Times New Roman"/>
          <w:sz w:val="24"/>
          <w:szCs w:val="24"/>
        </w:rPr>
        <w:footnoteReference w:id="48"/>
      </w:r>
      <w:r w:rsidR="00DB5B9D" w:rsidRPr="00486B87">
        <w:rPr>
          <w:rFonts w:ascii="Times New Roman" w:eastAsia="Times New Roman" w:hAnsi="Times New Roman" w:cs="Times New Roman"/>
          <w:sz w:val="24"/>
          <w:szCs w:val="24"/>
        </w:rPr>
        <w:t xml:space="preserve">. </w:t>
      </w:r>
      <w:r w:rsidR="001E2EA8" w:rsidRPr="00486B87">
        <w:rPr>
          <w:rFonts w:ascii="Times New Roman" w:eastAsia="Times New Roman" w:hAnsi="Times New Roman" w:cs="Times New Roman"/>
          <w:sz w:val="24"/>
          <w:szCs w:val="24"/>
        </w:rPr>
        <w:t xml:space="preserve">It is not unreasonable to conclude that human rights matters should be beyond the influence of majority rule in order that they are not impacted upon by </w:t>
      </w:r>
      <w:proofErr w:type="spellStart"/>
      <w:r w:rsidR="001E2EA8" w:rsidRPr="00486B87">
        <w:rPr>
          <w:rFonts w:ascii="Times New Roman" w:eastAsia="Times New Roman" w:hAnsi="Times New Roman" w:cs="Times New Roman"/>
          <w:sz w:val="24"/>
          <w:szCs w:val="24"/>
        </w:rPr>
        <w:t>popularist</w:t>
      </w:r>
      <w:proofErr w:type="spellEnd"/>
      <w:r w:rsidR="001E2EA8" w:rsidRPr="00486B87">
        <w:rPr>
          <w:rFonts w:ascii="Times New Roman" w:eastAsia="Times New Roman" w:hAnsi="Times New Roman" w:cs="Times New Roman"/>
          <w:sz w:val="24"/>
          <w:szCs w:val="24"/>
        </w:rPr>
        <w:t xml:space="preserve"> and often transient changes in public policy. For example, in </w:t>
      </w:r>
      <w:r w:rsidR="001E2EA8" w:rsidRPr="00486B87">
        <w:rPr>
          <w:rFonts w:ascii="Times New Roman" w:eastAsia="Times New Roman" w:hAnsi="Times New Roman" w:cs="Times New Roman"/>
          <w:i/>
          <w:sz w:val="24"/>
          <w:szCs w:val="24"/>
        </w:rPr>
        <w:t>SAS</w:t>
      </w:r>
      <w:r w:rsidR="001E2EA8" w:rsidRPr="00486B87">
        <w:rPr>
          <w:rStyle w:val="FootnoteReference"/>
          <w:rFonts w:ascii="Times New Roman" w:eastAsia="Times New Roman" w:hAnsi="Times New Roman" w:cs="Times New Roman"/>
          <w:i/>
          <w:sz w:val="24"/>
          <w:szCs w:val="24"/>
        </w:rPr>
        <w:footnoteReference w:id="49"/>
      </w:r>
      <w:r w:rsidR="001E2EA8" w:rsidRPr="00486B87">
        <w:rPr>
          <w:rFonts w:ascii="Times New Roman" w:eastAsia="Times New Roman" w:hAnsi="Times New Roman" w:cs="Times New Roman"/>
          <w:i/>
          <w:sz w:val="24"/>
          <w:szCs w:val="24"/>
        </w:rPr>
        <w:t xml:space="preserve"> </w:t>
      </w:r>
      <w:r w:rsidR="001E2EA8" w:rsidRPr="00486B87">
        <w:rPr>
          <w:rFonts w:ascii="Times New Roman" w:eastAsia="Times New Roman" w:hAnsi="Times New Roman" w:cs="Times New Roman"/>
          <w:sz w:val="24"/>
          <w:szCs w:val="24"/>
        </w:rPr>
        <w:t xml:space="preserve">the European Court of Human Rights considered France’s ban on full-face covering </w:t>
      </w:r>
      <w:r w:rsidR="00FC6966" w:rsidRPr="00486B87">
        <w:rPr>
          <w:rFonts w:ascii="Times New Roman" w:eastAsia="Times New Roman" w:hAnsi="Times New Roman" w:cs="Times New Roman"/>
          <w:sz w:val="24"/>
          <w:szCs w:val="24"/>
        </w:rPr>
        <w:t>in public in an attempt to incite cohesion and a sense of community. In terms of whether this is feasible, attention needs to be turned to the concept of “identity thinking” and its relevance in human rights matters</w:t>
      </w:r>
      <w:r w:rsidR="00FC6966" w:rsidRPr="00486B87">
        <w:rPr>
          <w:rStyle w:val="FootnoteReference"/>
          <w:rFonts w:ascii="Times New Roman" w:eastAsia="Times New Roman" w:hAnsi="Times New Roman" w:cs="Times New Roman"/>
          <w:sz w:val="24"/>
          <w:szCs w:val="24"/>
        </w:rPr>
        <w:footnoteReference w:id="50"/>
      </w:r>
      <w:r w:rsidR="00FC6966" w:rsidRPr="00486B87">
        <w:rPr>
          <w:rFonts w:ascii="Times New Roman" w:eastAsia="Times New Roman" w:hAnsi="Times New Roman" w:cs="Times New Roman"/>
          <w:sz w:val="24"/>
          <w:szCs w:val="24"/>
        </w:rPr>
        <w:t>.</w:t>
      </w:r>
      <w:r w:rsidR="00BD16A1" w:rsidRPr="00486B87">
        <w:rPr>
          <w:rFonts w:ascii="Times New Roman" w:eastAsia="Times New Roman" w:hAnsi="Times New Roman" w:cs="Times New Roman"/>
          <w:sz w:val="24"/>
          <w:szCs w:val="24"/>
        </w:rPr>
        <w:t xml:space="preserve"> In brief</w:t>
      </w:r>
      <w:r w:rsidR="00703A54">
        <w:rPr>
          <w:rFonts w:ascii="Times New Roman" w:eastAsia="Times New Roman" w:hAnsi="Times New Roman" w:cs="Times New Roman"/>
          <w:sz w:val="24"/>
          <w:szCs w:val="24"/>
        </w:rPr>
        <w:t>,</w:t>
      </w:r>
      <w:r w:rsidR="00BD16A1" w:rsidRPr="00486B87">
        <w:rPr>
          <w:rFonts w:ascii="Times New Roman" w:eastAsia="Times New Roman" w:hAnsi="Times New Roman" w:cs="Times New Roman"/>
          <w:sz w:val="24"/>
          <w:szCs w:val="24"/>
        </w:rPr>
        <w:t xml:space="preserve"> identity thinking asserts that every person is “commensurable and identical”</w:t>
      </w:r>
      <w:r w:rsidR="00B0093D" w:rsidRPr="00486B87">
        <w:rPr>
          <w:rFonts w:ascii="Times New Roman" w:eastAsia="Times New Roman" w:hAnsi="Times New Roman" w:cs="Times New Roman"/>
          <w:sz w:val="24"/>
          <w:szCs w:val="24"/>
        </w:rPr>
        <w:t xml:space="preserve"> through an exchanging of unequal ideas known as</w:t>
      </w:r>
      <w:r w:rsidR="00BD16A1" w:rsidRPr="00486B87">
        <w:rPr>
          <w:rFonts w:ascii="Times New Roman" w:eastAsia="Times New Roman" w:hAnsi="Times New Roman" w:cs="Times New Roman"/>
          <w:sz w:val="24"/>
          <w:szCs w:val="24"/>
        </w:rPr>
        <w:t xml:space="preserve"> </w:t>
      </w:r>
      <w:r w:rsidR="00B0093D" w:rsidRPr="00486B87">
        <w:rPr>
          <w:rFonts w:ascii="Times New Roman" w:eastAsia="Times New Roman" w:hAnsi="Times New Roman" w:cs="Times New Roman"/>
          <w:sz w:val="24"/>
          <w:szCs w:val="24"/>
        </w:rPr>
        <w:t>“</w:t>
      </w:r>
      <w:r w:rsidR="00BD16A1" w:rsidRPr="00486B87">
        <w:rPr>
          <w:rFonts w:ascii="Times New Roman" w:eastAsia="Times New Roman" w:hAnsi="Times New Roman" w:cs="Times New Roman"/>
          <w:sz w:val="24"/>
          <w:szCs w:val="24"/>
        </w:rPr>
        <w:t>barter</w:t>
      </w:r>
      <w:r w:rsidR="00B0093D" w:rsidRPr="00486B87">
        <w:rPr>
          <w:rFonts w:ascii="Times New Roman" w:eastAsia="Times New Roman" w:hAnsi="Times New Roman" w:cs="Times New Roman"/>
          <w:sz w:val="24"/>
          <w:szCs w:val="24"/>
        </w:rPr>
        <w:t>”</w:t>
      </w:r>
      <w:r w:rsidR="00BD16A1" w:rsidRPr="00486B87">
        <w:rPr>
          <w:rStyle w:val="FootnoteReference"/>
          <w:rFonts w:ascii="Times New Roman" w:eastAsia="Times New Roman" w:hAnsi="Times New Roman" w:cs="Times New Roman"/>
          <w:sz w:val="24"/>
          <w:szCs w:val="24"/>
        </w:rPr>
        <w:footnoteReference w:id="51"/>
      </w:r>
      <w:r w:rsidR="00BD16A1" w:rsidRPr="00486B87">
        <w:rPr>
          <w:rFonts w:ascii="Times New Roman" w:eastAsia="Times New Roman" w:hAnsi="Times New Roman" w:cs="Times New Roman"/>
          <w:sz w:val="24"/>
          <w:szCs w:val="24"/>
        </w:rPr>
        <w:t>. As Adorno put it “identity becomes the authority for the doctrine of adjustment”</w:t>
      </w:r>
      <w:r w:rsidR="00BD16A1" w:rsidRPr="00486B87">
        <w:rPr>
          <w:rStyle w:val="FootnoteReference"/>
          <w:rFonts w:ascii="Times New Roman" w:eastAsia="Times New Roman" w:hAnsi="Times New Roman" w:cs="Times New Roman"/>
          <w:sz w:val="24"/>
          <w:szCs w:val="24"/>
        </w:rPr>
        <w:footnoteReference w:id="52"/>
      </w:r>
      <w:r w:rsidR="00BD16A1" w:rsidRPr="00486B87">
        <w:rPr>
          <w:rFonts w:ascii="Times New Roman" w:eastAsia="Times New Roman" w:hAnsi="Times New Roman" w:cs="Times New Roman"/>
          <w:sz w:val="24"/>
          <w:szCs w:val="24"/>
        </w:rPr>
        <w:t xml:space="preserve"> and this concept fundamentally un</w:t>
      </w:r>
      <w:r w:rsidR="007A5BB2" w:rsidRPr="00486B87">
        <w:rPr>
          <w:rFonts w:ascii="Times New Roman" w:eastAsia="Times New Roman" w:hAnsi="Times New Roman" w:cs="Times New Roman"/>
          <w:sz w:val="24"/>
          <w:szCs w:val="24"/>
        </w:rPr>
        <w:t xml:space="preserve">derpins human rights theory. According to Nicholson, equality before the law </w:t>
      </w:r>
      <w:r w:rsidR="00B0093D" w:rsidRPr="00486B87">
        <w:rPr>
          <w:rFonts w:ascii="Times New Roman" w:eastAsia="Times New Roman" w:hAnsi="Times New Roman" w:cs="Times New Roman"/>
          <w:sz w:val="24"/>
          <w:szCs w:val="24"/>
        </w:rPr>
        <w:t>and universal rights are</w:t>
      </w:r>
      <w:r w:rsidR="007A5BB2" w:rsidRPr="00486B87">
        <w:rPr>
          <w:rFonts w:ascii="Times New Roman" w:eastAsia="Times New Roman" w:hAnsi="Times New Roman" w:cs="Times New Roman"/>
          <w:sz w:val="24"/>
          <w:szCs w:val="24"/>
        </w:rPr>
        <w:t xml:space="preserve"> predicated on the standard for equality</w:t>
      </w:r>
      <w:r w:rsidR="00517F9F">
        <w:rPr>
          <w:rFonts w:ascii="Times New Roman" w:eastAsia="Times New Roman" w:hAnsi="Times New Roman" w:cs="Times New Roman"/>
          <w:sz w:val="24"/>
          <w:szCs w:val="24"/>
        </w:rPr>
        <w:t>,</w:t>
      </w:r>
      <w:r w:rsidR="007A5BB2" w:rsidRPr="00486B87">
        <w:rPr>
          <w:rFonts w:ascii="Times New Roman" w:eastAsia="Times New Roman" w:hAnsi="Times New Roman" w:cs="Times New Roman"/>
          <w:sz w:val="24"/>
          <w:szCs w:val="24"/>
        </w:rPr>
        <w:t xml:space="preserve"> being the concept of the community. The community decides who is a member of it and so who is entitled to human rights</w:t>
      </w:r>
      <w:r w:rsidR="002B55CD" w:rsidRPr="00486B87">
        <w:rPr>
          <w:rFonts w:ascii="Times New Roman" w:eastAsia="Times New Roman" w:hAnsi="Times New Roman" w:cs="Times New Roman"/>
          <w:sz w:val="24"/>
          <w:szCs w:val="24"/>
        </w:rPr>
        <w:t xml:space="preserve"> and</w:t>
      </w:r>
      <w:r w:rsidR="007A5BB2" w:rsidRPr="00486B87">
        <w:rPr>
          <w:rFonts w:ascii="Times New Roman" w:eastAsia="Times New Roman" w:hAnsi="Times New Roman" w:cs="Times New Roman"/>
          <w:sz w:val="24"/>
          <w:szCs w:val="24"/>
        </w:rPr>
        <w:t xml:space="preserve"> protections</w:t>
      </w:r>
      <w:r w:rsidR="00745B90" w:rsidRPr="00486B87">
        <w:rPr>
          <w:rStyle w:val="FootnoteReference"/>
          <w:rFonts w:ascii="Times New Roman" w:eastAsia="Times New Roman" w:hAnsi="Times New Roman" w:cs="Times New Roman"/>
          <w:sz w:val="24"/>
          <w:szCs w:val="24"/>
        </w:rPr>
        <w:footnoteReference w:id="53"/>
      </w:r>
      <w:r w:rsidR="007A5BB2" w:rsidRPr="00486B87">
        <w:rPr>
          <w:rFonts w:ascii="Times New Roman" w:eastAsia="Times New Roman" w:hAnsi="Times New Roman" w:cs="Times New Roman"/>
          <w:sz w:val="24"/>
          <w:szCs w:val="24"/>
        </w:rPr>
        <w:t xml:space="preserve">. </w:t>
      </w:r>
      <w:r w:rsidR="003E2FD5" w:rsidRPr="00486B87">
        <w:rPr>
          <w:rFonts w:ascii="Times New Roman" w:eastAsia="Times New Roman" w:hAnsi="Times New Roman" w:cs="Times New Roman"/>
          <w:sz w:val="24"/>
          <w:szCs w:val="24"/>
        </w:rPr>
        <w:t>This, arguably, over</w:t>
      </w:r>
      <w:r w:rsidR="002A5F10">
        <w:rPr>
          <w:rFonts w:ascii="Times New Roman" w:eastAsia="Times New Roman" w:hAnsi="Times New Roman" w:cs="Times New Roman"/>
          <w:sz w:val="24"/>
          <w:szCs w:val="24"/>
        </w:rPr>
        <w:t>-</w:t>
      </w:r>
      <w:r w:rsidR="003E2FD5" w:rsidRPr="00486B87">
        <w:rPr>
          <w:rFonts w:ascii="Times New Roman" w:eastAsia="Times New Roman" w:hAnsi="Times New Roman" w:cs="Times New Roman"/>
          <w:sz w:val="24"/>
          <w:szCs w:val="24"/>
        </w:rPr>
        <w:t xml:space="preserve">simplistic </w:t>
      </w:r>
      <w:r w:rsidR="00745B90" w:rsidRPr="00486B87">
        <w:rPr>
          <w:rFonts w:ascii="Times New Roman" w:eastAsia="Times New Roman" w:hAnsi="Times New Roman" w:cs="Times New Roman"/>
          <w:sz w:val="24"/>
          <w:szCs w:val="24"/>
        </w:rPr>
        <w:t xml:space="preserve">explanation does </w:t>
      </w:r>
      <w:r w:rsidR="003E2FD5" w:rsidRPr="00486B87">
        <w:rPr>
          <w:rFonts w:ascii="Times New Roman" w:eastAsia="Times New Roman" w:hAnsi="Times New Roman" w:cs="Times New Roman"/>
          <w:sz w:val="24"/>
          <w:szCs w:val="24"/>
        </w:rPr>
        <w:t xml:space="preserve">however </w:t>
      </w:r>
      <w:r w:rsidR="00745B90" w:rsidRPr="00486B87">
        <w:rPr>
          <w:rFonts w:ascii="Times New Roman" w:eastAsia="Times New Roman" w:hAnsi="Times New Roman" w:cs="Times New Roman"/>
          <w:sz w:val="24"/>
          <w:szCs w:val="24"/>
        </w:rPr>
        <w:t>fit with the idea of majority rule</w:t>
      </w:r>
      <w:r w:rsidR="003E2FD5" w:rsidRPr="00486B87">
        <w:rPr>
          <w:rFonts w:ascii="Times New Roman" w:eastAsia="Times New Roman" w:hAnsi="Times New Roman" w:cs="Times New Roman"/>
          <w:sz w:val="24"/>
          <w:szCs w:val="24"/>
        </w:rPr>
        <w:t>,</w:t>
      </w:r>
      <w:r w:rsidR="00745B90" w:rsidRPr="00486B87">
        <w:rPr>
          <w:rFonts w:ascii="Times New Roman" w:eastAsia="Times New Roman" w:hAnsi="Times New Roman" w:cs="Times New Roman"/>
          <w:sz w:val="24"/>
          <w:szCs w:val="24"/>
        </w:rPr>
        <w:t xml:space="preserve"> but poses a legal </w:t>
      </w:r>
      <w:r w:rsidR="00745B90" w:rsidRPr="00486B87">
        <w:rPr>
          <w:rFonts w:ascii="Times New Roman" w:eastAsia="Times New Roman" w:hAnsi="Times New Roman" w:cs="Times New Roman"/>
          <w:sz w:val="24"/>
          <w:szCs w:val="24"/>
        </w:rPr>
        <w:lastRenderedPageBreak/>
        <w:t>problem connected to majority rule. Society inevitably adapts and changes at different rates in different countries. The geo-political influence cannot be downplayed, and this can be seen in anecdotal statements in the media asserting that the majority of people in Bermuda are against same-sex marriage. The question then becomes, does majority rule legitimise discrimination?</w:t>
      </w:r>
      <w:r w:rsidR="003E2FD5" w:rsidRPr="00486B87">
        <w:rPr>
          <w:rFonts w:ascii="Times New Roman" w:eastAsia="Times New Roman" w:hAnsi="Times New Roman" w:cs="Times New Roman"/>
          <w:sz w:val="24"/>
          <w:szCs w:val="24"/>
        </w:rPr>
        <w:t xml:space="preserve"> When a community decides not to include an individual</w:t>
      </w:r>
      <w:r w:rsidR="002A5F10">
        <w:rPr>
          <w:rFonts w:ascii="Times New Roman" w:eastAsia="Times New Roman" w:hAnsi="Times New Roman" w:cs="Times New Roman"/>
          <w:sz w:val="24"/>
          <w:szCs w:val="24"/>
        </w:rPr>
        <w:t>,</w:t>
      </w:r>
      <w:r w:rsidR="003E2FD5" w:rsidRPr="00486B87">
        <w:rPr>
          <w:rFonts w:ascii="Times New Roman" w:eastAsia="Times New Roman" w:hAnsi="Times New Roman" w:cs="Times New Roman"/>
          <w:sz w:val="24"/>
          <w:szCs w:val="24"/>
        </w:rPr>
        <w:t xml:space="preserve"> as that individual does not accord with the </w:t>
      </w:r>
      <w:r w:rsidR="004D1772" w:rsidRPr="00486B87">
        <w:rPr>
          <w:rFonts w:ascii="Times New Roman" w:eastAsia="Times New Roman" w:hAnsi="Times New Roman" w:cs="Times New Roman"/>
          <w:sz w:val="24"/>
          <w:szCs w:val="24"/>
        </w:rPr>
        <w:t xml:space="preserve">community’s inherent </w:t>
      </w:r>
      <w:proofErr w:type="gramStart"/>
      <w:r w:rsidR="004D1772" w:rsidRPr="00486B87">
        <w:rPr>
          <w:rFonts w:ascii="Times New Roman" w:eastAsia="Times New Roman" w:hAnsi="Times New Roman" w:cs="Times New Roman"/>
          <w:sz w:val="24"/>
          <w:szCs w:val="24"/>
        </w:rPr>
        <w:t>identity, where does that</w:t>
      </w:r>
      <w:proofErr w:type="gramEnd"/>
      <w:r w:rsidR="004D1772" w:rsidRPr="00486B87">
        <w:rPr>
          <w:rFonts w:ascii="Times New Roman" w:eastAsia="Times New Roman" w:hAnsi="Times New Roman" w:cs="Times New Roman"/>
          <w:sz w:val="24"/>
          <w:szCs w:val="24"/>
        </w:rPr>
        <w:t xml:space="preserve"> leave the individual</w:t>
      </w:r>
      <w:r w:rsidR="00FF4A72">
        <w:rPr>
          <w:rFonts w:ascii="Times New Roman" w:eastAsia="Times New Roman" w:hAnsi="Times New Roman" w:cs="Times New Roman"/>
          <w:sz w:val="24"/>
          <w:szCs w:val="24"/>
        </w:rPr>
        <w:t>?</w:t>
      </w:r>
      <w:r w:rsidR="004D1772" w:rsidRPr="00486B87">
        <w:rPr>
          <w:rFonts w:ascii="Times New Roman" w:eastAsia="Times New Roman" w:hAnsi="Times New Roman" w:cs="Times New Roman"/>
          <w:sz w:val="24"/>
          <w:szCs w:val="24"/>
        </w:rPr>
        <w:t xml:space="preserve"> </w:t>
      </w:r>
      <w:r w:rsidR="00B0093D" w:rsidRPr="00486B87">
        <w:rPr>
          <w:rFonts w:ascii="Times New Roman" w:eastAsia="Times New Roman" w:hAnsi="Times New Roman" w:cs="Times New Roman"/>
          <w:sz w:val="24"/>
          <w:szCs w:val="24"/>
        </w:rPr>
        <w:t>To draw these points together, if the majority of Bermudian people oppose same-sex marriage and that formed the basis for political policy-making, then those same-sex couples are ostensibly ostracised from the marriage community. It is the role of the courts in Bermuda</w:t>
      </w:r>
      <w:r w:rsidR="00E23785">
        <w:rPr>
          <w:rFonts w:ascii="Times New Roman" w:eastAsia="Times New Roman" w:hAnsi="Times New Roman" w:cs="Times New Roman"/>
          <w:sz w:val="24"/>
          <w:szCs w:val="24"/>
        </w:rPr>
        <w:t>,</w:t>
      </w:r>
      <w:r w:rsidR="00B0093D" w:rsidRPr="00486B87">
        <w:rPr>
          <w:rFonts w:ascii="Times New Roman" w:eastAsia="Times New Roman" w:hAnsi="Times New Roman" w:cs="Times New Roman"/>
          <w:sz w:val="24"/>
          <w:szCs w:val="24"/>
        </w:rPr>
        <w:t xml:space="preserve"> in pursuance of their constitutional nature, to uphold the egalitarian nature of the </w:t>
      </w:r>
      <w:r w:rsidR="001E1A0A" w:rsidRPr="00486B87">
        <w:rPr>
          <w:rFonts w:ascii="Times New Roman" w:eastAsia="Times New Roman" w:hAnsi="Times New Roman" w:cs="Times New Roman"/>
          <w:sz w:val="24"/>
          <w:szCs w:val="24"/>
        </w:rPr>
        <w:t>C</w:t>
      </w:r>
      <w:r w:rsidR="00B0093D" w:rsidRPr="00486B87">
        <w:rPr>
          <w:rFonts w:ascii="Times New Roman" w:eastAsia="Times New Roman" w:hAnsi="Times New Roman" w:cs="Times New Roman"/>
          <w:sz w:val="24"/>
          <w:szCs w:val="24"/>
        </w:rPr>
        <w:t xml:space="preserve">onstitution and rule against the will of the majority </w:t>
      </w:r>
      <w:r w:rsidR="00EF3FCC" w:rsidRPr="00486B87">
        <w:rPr>
          <w:rFonts w:ascii="Times New Roman" w:eastAsia="Times New Roman" w:hAnsi="Times New Roman" w:cs="Times New Roman"/>
          <w:sz w:val="24"/>
          <w:szCs w:val="24"/>
        </w:rPr>
        <w:t>to</w:t>
      </w:r>
      <w:r w:rsidR="00B0093D" w:rsidRPr="00486B87">
        <w:rPr>
          <w:rFonts w:ascii="Times New Roman" w:eastAsia="Times New Roman" w:hAnsi="Times New Roman" w:cs="Times New Roman"/>
          <w:sz w:val="24"/>
          <w:szCs w:val="24"/>
        </w:rPr>
        <w:t xml:space="preserve"> impose equality. Each reader will of course come to their own conclusion on whe</w:t>
      </w:r>
      <w:r w:rsidR="00AA3B58" w:rsidRPr="00486B87">
        <w:rPr>
          <w:rFonts w:ascii="Times New Roman" w:eastAsia="Times New Roman" w:hAnsi="Times New Roman" w:cs="Times New Roman"/>
          <w:sz w:val="24"/>
          <w:szCs w:val="24"/>
        </w:rPr>
        <w:t xml:space="preserve">ther this is acceptable or not. However, given the very brief mention made of </w:t>
      </w:r>
      <w:r w:rsidR="00B0093D" w:rsidRPr="00486B87">
        <w:rPr>
          <w:rFonts w:ascii="Times New Roman" w:eastAsia="Times New Roman" w:hAnsi="Times New Roman" w:cs="Times New Roman"/>
          <w:sz w:val="24"/>
          <w:szCs w:val="24"/>
        </w:rPr>
        <w:t>identity thinking and human ri</w:t>
      </w:r>
      <w:r w:rsidR="00AA3B58" w:rsidRPr="00486B87">
        <w:rPr>
          <w:rFonts w:ascii="Times New Roman" w:eastAsia="Times New Roman" w:hAnsi="Times New Roman" w:cs="Times New Roman"/>
          <w:sz w:val="24"/>
          <w:szCs w:val="24"/>
        </w:rPr>
        <w:t>ghts</w:t>
      </w:r>
      <w:r w:rsidR="00B0093D" w:rsidRPr="00486B87">
        <w:rPr>
          <w:rFonts w:ascii="Times New Roman" w:eastAsia="Times New Roman" w:hAnsi="Times New Roman" w:cs="Times New Roman"/>
          <w:sz w:val="24"/>
          <w:szCs w:val="24"/>
        </w:rPr>
        <w:t>, and without affording further consideration to the impact and influence of European legal theory in the Caribbean</w:t>
      </w:r>
      <w:r w:rsidR="00AE27F9">
        <w:rPr>
          <w:rStyle w:val="FootnoteReference"/>
          <w:rFonts w:ascii="Times New Roman" w:eastAsia="Times New Roman" w:hAnsi="Times New Roman" w:cs="Times New Roman"/>
          <w:sz w:val="24"/>
          <w:szCs w:val="24"/>
        </w:rPr>
        <w:footnoteReference w:id="54"/>
      </w:r>
      <w:r w:rsidR="00B0093D" w:rsidRPr="00486B87">
        <w:rPr>
          <w:rFonts w:ascii="Times New Roman" w:eastAsia="Times New Roman" w:hAnsi="Times New Roman" w:cs="Times New Roman"/>
          <w:sz w:val="24"/>
          <w:szCs w:val="24"/>
        </w:rPr>
        <w:t xml:space="preserve">, it is </w:t>
      </w:r>
      <w:r w:rsidR="00AA3B58" w:rsidRPr="00486B87">
        <w:rPr>
          <w:rFonts w:ascii="Times New Roman" w:eastAsia="Times New Roman" w:hAnsi="Times New Roman" w:cs="Times New Roman"/>
          <w:sz w:val="24"/>
          <w:szCs w:val="24"/>
        </w:rPr>
        <w:t xml:space="preserve">still possible to conclude that the court in </w:t>
      </w:r>
      <w:r w:rsidR="00AA3B58" w:rsidRPr="00486B87">
        <w:rPr>
          <w:rFonts w:ascii="Times New Roman" w:eastAsia="Times New Roman" w:hAnsi="Times New Roman" w:cs="Times New Roman"/>
          <w:i/>
          <w:sz w:val="24"/>
          <w:szCs w:val="24"/>
        </w:rPr>
        <w:t xml:space="preserve">Ferguson </w:t>
      </w:r>
      <w:r w:rsidR="00AA3B58" w:rsidRPr="00486B87">
        <w:rPr>
          <w:rFonts w:ascii="Times New Roman" w:eastAsia="Times New Roman" w:hAnsi="Times New Roman" w:cs="Times New Roman"/>
          <w:sz w:val="24"/>
          <w:szCs w:val="24"/>
        </w:rPr>
        <w:t xml:space="preserve">was right to be influenced by the assertion that the ‘majority’ are against same-sex marriage. By putting too much weight on this, the </w:t>
      </w:r>
      <w:r w:rsidR="00BF4F84">
        <w:rPr>
          <w:rFonts w:ascii="Times New Roman" w:eastAsia="Times New Roman" w:hAnsi="Times New Roman" w:cs="Times New Roman"/>
          <w:sz w:val="24"/>
          <w:szCs w:val="24"/>
        </w:rPr>
        <w:t>C</w:t>
      </w:r>
      <w:r w:rsidR="00AA3B58" w:rsidRPr="00486B87">
        <w:rPr>
          <w:rFonts w:ascii="Times New Roman" w:eastAsia="Times New Roman" w:hAnsi="Times New Roman" w:cs="Times New Roman"/>
          <w:sz w:val="24"/>
          <w:szCs w:val="24"/>
        </w:rPr>
        <w:t xml:space="preserve">ourt would have reinforced the concept of majority rule to the detriment of equality before the law. There are some comments in the </w:t>
      </w:r>
      <w:r w:rsidR="00AA3B58" w:rsidRPr="00486B87">
        <w:rPr>
          <w:rFonts w:ascii="Times New Roman" w:eastAsia="Times New Roman" w:hAnsi="Times New Roman" w:cs="Times New Roman"/>
          <w:i/>
          <w:sz w:val="24"/>
          <w:szCs w:val="24"/>
        </w:rPr>
        <w:t>Ferguson</w:t>
      </w:r>
      <w:r w:rsidR="00AA3B58" w:rsidRPr="00486B87">
        <w:rPr>
          <w:rFonts w:ascii="Times New Roman" w:eastAsia="Times New Roman" w:hAnsi="Times New Roman" w:cs="Times New Roman"/>
          <w:sz w:val="24"/>
          <w:szCs w:val="24"/>
        </w:rPr>
        <w:t xml:space="preserve"> judgment that seem to indicate that the legislature had given weight to representative pressure groups when attempting to ban same-sex marriage. It is rather obvious to suggest that government is invariably interested in the opinion of the general public given that the government has its democratic mandate because of the public. </w:t>
      </w:r>
      <w:r w:rsidR="002B55CD" w:rsidRPr="00486B87">
        <w:rPr>
          <w:rFonts w:ascii="Times New Roman" w:eastAsia="Times New Roman" w:hAnsi="Times New Roman" w:cs="Times New Roman"/>
          <w:sz w:val="24"/>
          <w:szCs w:val="24"/>
        </w:rPr>
        <w:t>I</w:t>
      </w:r>
      <w:r w:rsidR="006D051E" w:rsidRPr="00486B87">
        <w:rPr>
          <w:rFonts w:ascii="Times New Roman" w:eastAsia="Times New Roman" w:hAnsi="Times New Roman" w:cs="Times New Roman"/>
          <w:sz w:val="24"/>
          <w:szCs w:val="24"/>
        </w:rPr>
        <w:t xml:space="preserve">n the earlier mentioned </w:t>
      </w:r>
      <w:r w:rsidR="006D051E" w:rsidRPr="00486B87">
        <w:rPr>
          <w:rFonts w:ascii="Times New Roman" w:eastAsia="Times New Roman" w:hAnsi="Times New Roman" w:cs="Times New Roman"/>
          <w:i/>
          <w:sz w:val="24"/>
          <w:szCs w:val="24"/>
        </w:rPr>
        <w:t xml:space="preserve">SAS, </w:t>
      </w:r>
      <w:r w:rsidR="006D051E" w:rsidRPr="00486B87">
        <w:rPr>
          <w:rFonts w:ascii="Times New Roman" w:eastAsia="Times New Roman" w:hAnsi="Times New Roman" w:cs="Times New Roman"/>
          <w:sz w:val="24"/>
          <w:szCs w:val="24"/>
        </w:rPr>
        <w:t>the French state banned all full-face coverings and this</w:t>
      </w:r>
      <w:r w:rsidR="00081B54">
        <w:rPr>
          <w:rFonts w:ascii="Times New Roman" w:eastAsia="Times New Roman" w:hAnsi="Times New Roman" w:cs="Times New Roman"/>
          <w:sz w:val="24"/>
          <w:szCs w:val="24"/>
        </w:rPr>
        <w:t>,</w:t>
      </w:r>
      <w:r w:rsidR="006D051E" w:rsidRPr="00486B87">
        <w:rPr>
          <w:rFonts w:ascii="Times New Roman" w:eastAsia="Times New Roman" w:hAnsi="Times New Roman" w:cs="Times New Roman"/>
          <w:sz w:val="24"/>
          <w:szCs w:val="24"/>
        </w:rPr>
        <w:t xml:space="preserve"> in turn</w:t>
      </w:r>
      <w:r w:rsidR="00081B54">
        <w:rPr>
          <w:rFonts w:ascii="Times New Roman" w:eastAsia="Times New Roman" w:hAnsi="Times New Roman" w:cs="Times New Roman"/>
          <w:sz w:val="24"/>
          <w:szCs w:val="24"/>
        </w:rPr>
        <w:t>,</w:t>
      </w:r>
      <w:r w:rsidR="006D051E" w:rsidRPr="00486B87">
        <w:rPr>
          <w:rFonts w:ascii="Times New Roman" w:eastAsia="Times New Roman" w:hAnsi="Times New Roman" w:cs="Times New Roman"/>
          <w:sz w:val="24"/>
          <w:szCs w:val="24"/>
        </w:rPr>
        <w:t xml:space="preserve"> is the </w:t>
      </w:r>
      <w:r w:rsidR="00081B54">
        <w:rPr>
          <w:rFonts w:ascii="Times New Roman" w:eastAsia="Times New Roman" w:hAnsi="Times New Roman" w:cs="Times New Roman"/>
          <w:sz w:val="24"/>
          <w:szCs w:val="24"/>
        </w:rPr>
        <w:t>s</w:t>
      </w:r>
      <w:r w:rsidR="006D051E" w:rsidRPr="00486B87">
        <w:rPr>
          <w:rFonts w:ascii="Times New Roman" w:eastAsia="Times New Roman" w:hAnsi="Times New Roman" w:cs="Times New Roman"/>
          <w:sz w:val="24"/>
          <w:szCs w:val="24"/>
        </w:rPr>
        <w:t xml:space="preserve">tate as a community ostracising those who chose to wear the </w:t>
      </w:r>
      <w:proofErr w:type="spellStart"/>
      <w:r w:rsidR="006D051E" w:rsidRPr="00486B87">
        <w:rPr>
          <w:rFonts w:ascii="Times New Roman" w:eastAsia="Times New Roman" w:hAnsi="Times New Roman" w:cs="Times New Roman"/>
          <w:sz w:val="24"/>
          <w:szCs w:val="24"/>
        </w:rPr>
        <w:t>niqab</w:t>
      </w:r>
      <w:proofErr w:type="spellEnd"/>
      <w:r w:rsidR="006D051E" w:rsidRPr="00486B87">
        <w:rPr>
          <w:rFonts w:ascii="Times New Roman" w:eastAsia="Times New Roman" w:hAnsi="Times New Roman" w:cs="Times New Roman"/>
          <w:sz w:val="24"/>
          <w:szCs w:val="24"/>
        </w:rPr>
        <w:t xml:space="preserve">, for example. The community </w:t>
      </w:r>
      <w:r w:rsidR="00C15E18">
        <w:rPr>
          <w:rFonts w:ascii="Times New Roman" w:eastAsia="Times New Roman" w:hAnsi="Times New Roman" w:cs="Times New Roman"/>
          <w:sz w:val="24"/>
          <w:szCs w:val="24"/>
        </w:rPr>
        <w:t xml:space="preserve">is </w:t>
      </w:r>
      <w:r w:rsidR="006D051E" w:rsidRPr="00486B87">
        <w:rPr>
          <w:rFonts w:ascii="Times New Roman" w:eastAsia="Times New Roman" w:hAnsi="Times New Roman" w:cs="Times New Roman"/>
          <w:sz w:val="24"/>
          <w:szCs w:val="24"/>
        </w:rPr>
        <w:t xml:space="preserve">stating that there is an identity which is </w:t>
      </w:r>
      <w:r w:rsidR="006D051E" w:rsidRPr="00486B87">
        <w:rPr>
          <w:rFonts w:ascii="Times New Roman" w:eastAsia="Times New Roman" w:hAnsi="Times New Roman" w:cs="Times New Roman"/>
          <w:sz w:val="24"/>
          <w:szCs w:val="24"/>
        </w:rPr>
        <w:lastRenderedPageBreak/>
        <w:t xml:space="preserve">incompatible with the community </w:t>
      </w:r>
      <w:r w:rsidR="002B55CD" w:rsidRPr="00486B87">
        <w:rPr>
          <w:rFonts w:ascii="Times New Roman" w:eastAsia="Times New Roman" w:hAnsi="Times New Roman" w:cs="Times New Roman"/>
          <w:sz w:val="24"/>
          <w:szCs w:val="24"/>
        </w:rPr>
        <w:t>and so must either change or suffer exclusion. Yet, in Bermuda this is not the case; the judiciary exercised its authority over the government, and in turn the legislature</w:t>
      </w:r>
      <w:r w:rsidR="00C15E18">
        <w:rPr>
          <w:rFonts w:ascii="Times New Roman" w:eastAsia="Times New Roman" w:hAnsi="Times New Roman" w:cs="Times New Roman"/>
          <w:sz w:val="24"/>
          <w:szCs w:val="24"/>
        </w:rPr>
        <w:t>,</w:t>
      </w:r>
      <w:r w:rsidR="002B55CD" w:rsidRPr="00486B87">
        <w:rPr>
          <w:rFonts w:ascii="Times New Roman" w:eastAsia="Times New Roman" w:hAnsi="Times New Roman" w:cs="Times New Roman"/>
          <w:sz w:val="24"/>
          <w:szCs w:val="24"/>
        </w:rPr>
        <w:t xml:space="preserve"> to set aside the will of the majority in favour of inclusion. The community is</w:t>
      </w:r>
      <w:r w:rsidR="00C15E18">
        <w:rPr>
          <w:rFonts w:ascii="Times New Roman" w:eastAsia="Times New Roman" w:hAnsi="Times New Roman" w:cs="Times New Roman"/>
          <w:sz w:val="24"/>
          <w:szCs w:val="24"/>
        </w:rPr>
        <w:t>,</w:t>
      </w:r>
      <w:r w:rsidR="002B55CD" w:rsidRPr="00486B87">
        <w:rPr>
          <w:rFonts w:ascii="Times New Roman" w:eastAsia="Times New Roman" w:hAnsi="Times New Roman" w:cs="Times New Roman"/>
          <w:sz w:val="24"/>
          <w:szCs w:val="24"/>
        </w:rPr>
        <w:t xml:space="preserve"> by virtue of the judgment, forced to include same-sex couples</w:t>
      </w:r>
      <w:r w:rsidR="00060A17">
        <w:rPr>
          <w:rFonts w:ascii="Times New Roman" w:eastAsia="Times New Roman" w:hAnsi="Times New Roman" w:cs="Times New Roman"/>
          <w:sz w:val="24"/>
          <w:szCs w:val="24"/>
        </w:rPr>
        <w:t>;</w:t>
      </w:r>
      <w:r w:rsidR="002B55CD" w:rsidRPr="00486B87">
        <w:rPr>
          <w:rFonts w:ascii="Times New Roman" w:eastAsia="Times New Roman" w:hAnsi="Times New Roman" w:cs="Times New Roman"/>
          <w:sz w:val="24"/>
          <w:szCs w:val="24"/>
        </w:rPr>
        <w:t xml:space="preserve"> this could </w:t>
      </w:r>
      <w:r w:rsidR="008C3731" w:rsidRPr="00486B87">
        <w:rPr>
          <w:rFonts w:ascii="Times New Roman" w:eastAsia="Times New Roman" w:hAnsi="Times New Roman" w:cs="Times New Roman"/>
          <w:sz w:val="24"/>
          <w:szCs w:val="24"/>
        </w:rPr>
        <w:t>hopefully</w:t>
      </w:r>
      <w:r w:rsidR="002B55CD" w:rsidRPr="00486B87">
        <w:rPr>
          <w:rFonts w:ascii="Times New Roman" w:eastAsia="Times New Roman" w:hAnsi="Times New Roman" w:cs="Times New Roman"/>
          <w:sz w:val="24"/>
          <w:szCs w:val="24"/>
        </w:rPr>
        <w:t xml:space="preserve"> lead to </w:t>
      </w:r>
      <w:r w:rsidR="008C3731" w:rsidRPr="00486B87">
        <w:rPr>
          <w:rFonts w:ascii="Times New Roman" w:eastAsia="Times New Roman" w:hAnsi="Times New Roman" w:cs="Times New Roman"/>
          <w:sz w:val="24"/>
          <w:szCs w:val="24"/>
        </w:rPr>
        <w:t xml:space="preserve">the </w:t>
      </w:r>
      <w:r w:rsidR="002B55CD" w:rsidRPr="00486B87">
        <w:rPr>
          <w:rFonts w:ascii="Times New Roman" w:eastAsia="Times New Roman" w:hAnsi="Times New Roman" w:cs="Times New Roman"/>
          <w:sz w:val="24"/>
          <w:szCs w:val="24"/>
        </w:rPr>
        <w:t>normalisation of same-sex</w:t>
      </w:r>
      <w:r w:rsidR="00E153C1" w:rsidRPr="00486B87">
        <w:rPr>
          <w:rFonts w:ascii="Times New Roman" w:eastAsia="Times New Roman" w:hAnsi="Times New Roman" w:cs="Times New Roman"/>
          <w:sz w:val="24"/>
          <w:szCs w:val="24"/>
        </w:rPr>
        <w:t xml:space="preserve"> marriage within the community</w:t>
      </w:r>
      <w:r w:rsidR="00060A17">
        <w:rPr>
          <w:rFonts w:ascii="Times New Roman" w:eastAsia="Times New Roman" w:hAnsi="Times New Roman" w:cs="Times New Roman"/>
          <w:sz w:val="24"/>
          <w:szCs w:val="24"/>
        </w:rPr>
        <w:t>.</w:t>
      </w:r>
      <w:r w:rsidR="00E153C1" w:rsidRPr="00486B87">
        <w:rPr>
          <w:rFonts w:ascii="Times New Roman" w:eastAsia="Times New Roman" w:hAnsi="Times New Roman" w:cs="Times New Roman"/>
          <w:sz w:val="24"/>
          <w:szCs w:val="24"/>
        </w:rPr>
        <w:t xml:space="preserve"> </w:t>
      </w:r>
      <w:r w:rsidR="00060A17">
        <w:rPr>
          <w:rFonts w:ascii="Times New Roman" w:eastAsia="Times New Roman" w:hAnsi="Times New Roman" w:cs="Times New Roman"/>
          <w:sz w:val="24"/>
          <w:szCs w:val="24"/>
        </w:rPr>
        <w:t>I</w:t>
      </w:r>
      <w:r w:rsidR="00E153C1" w:rsidRPr="00486B87">
        <w:rPr>
          <w:rFonts w:ascii="Times New Roman" w:eastAsia="Times New Roman" w:hAnsi="Times New Roman" w:cs="Times New Roman"/>
          <w:sz w:val="24"/>
          <w:szCs w:val="24"/>
        </w:rPr>
        <w:t xml:space="preserve">t could alternatively lead to hostility or resentment either towards same-sex couples or the Bermudian Supreme Court itself. </w:t>
      </w:r>
      <w:r w:rsidR="0050449B" w:rsidRPr="00486B87">
        <w:rPr>
          <w:rFonts w:ascii="Times New Roman" w:eastAsia="Times New Roman" w:hAnsi="Times New Roman" w:cs="Times New Roman"/>
          <w:sz w:val="24"/>
          <w:szCs w:val="24"/>
        </w:rPr>
        <w:t xml:space="preserve">Baroness Hale’s statement in </w:t>
      </w:r>
      <w:proofErr w:type="spellStart"/>
      <w:r w:rsidR="0050449B" w:rsidRPr="00486B87">
        <w:rPr>
          <w:rFonts w:ascii="Times New Roman" w:eastAsia="Times New Roman" w:hAnsi="Times New Roman" w:cs="Times New Roman"/>
          <w:i/>
          <w:sz w:val="24"/>
          <w:szCs w:val="24"/>
        </w:rPr>
        <w:t>Ghaindan</w:t>
      </w:r>
      <w:proofErr w:type="spellEnd"/>
      <w:r w:rsidR="0050449B" w:rsidRPr="00486B87">
        <w:rPr>
          <w:rStyle w:val="FootnoteReference"/>
          <w:rFonts w:ascii="Times New Roman" w:eastAsia="Times New Roman" w:hAnsi="Times New Roman" w:cs="Times New Roman"/>
          <w:i/>
          <w:sz w:val="24"/>
          <w:szCs w:val="24"/>
        </w:rPr>
        <w:footnoteReference w:id="55"/>
      </w:r>
      <w:r w:rsidR="0050449B" w:rsidRPr="00486B87">
        <w:rPr>
          <w:rFonts w:ascii="Times New Roman" w:eastAsia="Times New Roman" w:hAnsi="Times New Roman" w:cs="Times New Roman"/>
          <w:i/>
          <w:sz w:val="24"/>
          <w:szCs w:val="24"/>
        </w:rPr>
        <w:t xml:space="preserve"> </w:t>
      </w:r>
      <w:r w:rsidR="0050449B" w:rsidRPr="00486B87">
        <w:rPr>
          <w:rFonts w:ascii="Times New Roman" w:eastAsia="Times New Roman" w:hAnsi="Times New Roman" w:cs="Times New Roman"/>
          <w:sz w:val="24"/>
          <w:szCs w:val="24"/>
        </w:rPr>
        <w:t xml:space="preserve">is also cited in the </w:t>
      </w:r>
      <w:r w:rsidR="0050449B" w:rsidRPr="00486B87">
        <w:rPr>
          <w:rFonts w:ascii="Times New Roman" w:eastAsia="Times New Roman" w:hAnsi="Times New Roman" w:cs="Times New Roman"/>
          <w:i/>
          <w:sz w:val="24"/>
          <w:szCs w:val="24"/>
        </w:rPr>
        <w:t xml:space="preserve">Ferguson, </w:t>
      </w:r>
      <w:r w:rsidR="0050449B" w:rsidRPr="00486B87">
        <w:rPr>
          <w:rFonts w:ascii="Times New Roman" w:eastAsia="Times New Roman" w:hAnsi="Times New Roman" w:cs="Times New Roman"/>
          <w:sz w:val="24"/>
          <w:szCs w:val="24"/>
        </w:rPr>
        <w:t xml:space="preserve">when the court is referring to the case of </w:t>
      </w:r>
      <w:r w:rsidR="0050449B" w:rsidRPr="00486B87">
        <w:rPr>
          <w:rFonts w:ascii="Times New Roman" w:eastAsia="Times New Roman" w:hAnsi="Times New Roman" w:cs="Times New Roman"/>
          <w:i/>
          <w:sz w:val="24"/>
          <w:szCs w:val="24"/>
        </w:rPr>
        <w:t>Re P</w:t>
      </w:r>
      <w:r w:rsidR="0050449B" w:rsidRPr="00486B87">
        <w:rPr>
          <w:rStyle w:val="FootnoteReference"/>
          <w:rFonts w:ascii="Times New Roman" w:eastAsia="Times New Roman" w:hAnsi="Times New Roman" w:cs="Times New Roman"/>
          <w:i/>
          <w:sz w:val="24"/>
          <w:szCs w:val="24"/>
        </w:rPr>
        <w:footnoteReference w:id="56"/>
      </w:r>
      <w:r w:rsidR="0050449B" w:rsidRPr="00486B87">
        <w:rPr>
          <w:rFonts w:ascii="Times New Roman" w:eastAsia="Times New Roman" w:hAnsi="Times New Roman" w:cs="Times New Roman"/>
          <w:i/>
          <w:sz w:val="24"/>
          <w:szCs w:val="24"/>
        </w:rPr>
        <w:t>,</w:t>
      </w:r>
      <w:r w:rsidR="0050449B" w:rsidRPr="00486B87">
        <w:rPr>
          <w:rFonts w:ascii="Times New Roman" w:eastAsia="Times New Roman" w:hAnsi="Times New Roman" w:cs="Times New Roman"/>
          <w:sz w:val="24"/>
          <w:szCs w:val="24"/>
        </w:rPr>
        <w:t xml:space="preserve"> where Baroness Hale </w:t>
      </w:r>
      <w:r w:rsidR="00970A57" w:rsidRPr="00486B87">
        <w:rPr>
          <w:rFonts w:ascii="Times New Roman" w:eastAsia="Times New Roman" w:hAnsi="Times New Roman" w:cs="Times New Roman"/>
          <w:sz w:val="24"/>
          <w:szCs w:val="24"/>
        </w:rPr>
        <w:t>said,</w:t>
      </w:r>
      <w:r w:rsidR="0050449B" w:rsidRPr="00486B87">
        <w:rPr>
          <w:rFonts w:ascii="Times New Roman" w:eastAsia="Times New Roman" w:hAnsi="Times New Roman" w:cs="Times New Roman"/>
          <w:sz w:val="24"/>
          <w:szCs w:val="24"/>
        </w:rPr>
        <w:t xml:space="preserve"> </w:t>
      </w:r>
      <w:r w:rsidR="003764DB" w:rsidRPr="00486B87">
        <w:rPr>
          <w:rFonts w:ascii="Times New Roman" w:eastAsia="Times New Roman" w:hAnsi="Times New Roman" w:cs="Times New Roman"/>
          <w:sz w:val="24"/>
          <w:szCs w:val="24"/>
        </w:rPr>
        <w:t>“</w:t>
      </w:r>
      <w:proofErr w:type="gramStart"/>
      <w:r w:rsidR="0050449B" w:rsidRPr="00486B87">
        <w:rPr>
          <w:rFonts w:ascii="Times New Roman" w:eastAsia="Times New Roman" w:hAnsi="Times New Roman" w:cs="Times New Roman"/>
          <w:sz w:val="24"/>
          <w:szCs w:val="24"/>
        </w:rPr>
        <w:t>democracy</w:t>
      </w:r>
      <w:proofErr w:type="gramEnd"/>
      <w:r w:rsidR="0050449B" w:rsidRPr="00486B87">
        <w:rPr>
          <w:rFonts w:ascii="Times New Roman" w:eastAsia="Times New Roman" w:hAnsi="Times New Roman" w:cs="Times New Roman"/>
          <w:sz w:val="24"/>
          <w:szCs w:val="24"/>
        </w:rPr>
        <w:t xml:space="preserve"> values everyone equally even if the majority does not</w:t>
      </w:r>
      <w:r w:rsidR="003764DB" w:rsidRPr="00486B87">
        <w:rPr>
          <w:rFonts w:ascii="Times New Roman" w:eastAsia="Times New Roman" w:hAnsi="Times New Roman" w:cs="Times New Roman"/>
          <w:sz w:val="24"/>
          <w:szCs w:val="24"/>
        </w:rPr>
        <w:t xml:space="preserve">”. </w:t>
      </w:r>
    </w:p>
    <w:p w14:paraId="3C7590E4" w14:textId="77777777" w:rsidR="00970A57" w:rsidRPr="00486B87" w:rsidRDefault="00970A57" w:rsidP="00174DA6">
      <w:pPr>
        <w:spacing w:line="480" w:lineRule="auto"/>
        <w:jc w:val="both"/>
        <w:rPr>
          <w:rFonts w:ascii="Times New Roman" w:eastAsia="Times New Roman" w:hAnsi="Times New Roman" w:cs="Times New Roman"/>
          <w:sz w:val="24"/>
          <w:szCs w:val="24"/>
        </w:rPr>
      </w:pPr>
    </w:p>
    <w:p w14:paraId="5D1D1EB6" w14:textId="7D59E1B7" w:rsidR="00D411BF" w:rsidRPr="00486B87" w:rsidRDefault="00970A57" w:rsidP="006C251E">
      <w:pPr>
        <w:spacing w:line="480" w:lineRule="auto"/>
        <w:jc w:val="both"/>
        <w:outlineLvl w:val="0"/>
        <w:rPr>
          <w:rFonts w:ascii="Times New Roman" w:eastAsia="Times New Roman" w:hAnsi="Times New Roman" w:cs="Times New Roman"/>
          <w:sz w:val="24"/>
          <w:szCs w:val="24"/>
        </w:rPr>
      </w:pPr>
      <w:r w:rsidRPr="00486B87">
        <w:rPr>
          <w:rFonts w:ascii="Times New Roman" w:eastAsia="Times New Roman" w:hAnsi="Times New Roman" w:cs="Times New Roman"/>
          <w:sz w:val="24"/>
          <w:szCs w:val="24"/>
        </w:rPr>
        <w:t xml:space="preserve">A final matter which will be considered from the judgment is the </w:t>
      </w:r>
      <w:r w:rsidR="00060A17">
        <w:rPr>
          <w:rFonts w:ascii="Times New Roman" w:eastAsia="Times New Roman" w:hAnsi="Times New Roman" w:cs="Times New Roman"/>
          <w:sz w:val="24"/>
          <w:szCs w:val="24"/>
        </w:rPr>
        <w:t>C</w:t>
      </w:r>
      <w:r w:rsidRPr="00486B87">
        <w:rPr>
          <w:rFonts w:ascii="Times New Roman" w:eastAsia="Times New Roman" w:hAnsi="Times New Roman" w:cs="Times New Roman"/>
          <w:sz w:val="24"/>
          <w:szCs w:val="24"/>
        </w:rPr>
        <w:t xml:space="preserve">ourt’s very extensive dealings with the allegation that the Bermudian </w:t>
      </w:r>
      <w:proofErr w:type="gramStart"/>
      <w:r w:rsidRPr="00486B87">
        <w:rPr>
          <w:rFonts w:ascii="Times New Roman" w:eastAsia="Times New Roman" w:hAnsi="Times New Roman" w:cs="Times New Roman"/>
          <w:sz w:val="24"/>
          <w:szCs w:val="24"/>
        </w:rPr>
        <w:t>legislature  had</w:t>
      </w:r>
      <w:proofErr w:type="gramEnd"/>
      <w:r w:rsidRPr="00486B87">
        <w:rPr>
          <w:rFonts w:ascii="Times New Roman" w:eastAsia="Times New Roman" w:hAnsi="Times New Roman" w:cs="Times New Roman"/>
          <w:sz w:val="24"/>
          <w:szCs w:val="24"/>
        </w:rPr>
        <w:t xml:space="preserve"> created the DPA under religious influence </w:t>
      </w:r>
      <w:r w:rsidR="00274DBB" w:rsidRPr="00486B87">
        <w:rPr>
          <w:rFonts w:ascii="Times New Roman" w:eastAsia="Times New Roman" w:hAnsi="Times New Roman" w:cs="Times New Roman"/>
          <w:sz w:val="24"/>
          <w:szCs w:val="24"/>
        </w:rPr>
        <w:t>and persuasion</w:t>
      </w:r>
      <w:r w:rsidR="008871F6" w:rsidRPr="00486B87">
        <w:rPr>
          <w:rStyle w:val="FootnoteReference"/>
          <w:rFonts w:ascii="Times New Roman" w:eastAsia="Times New Roman" w:hAnsi="Times New Roman" w:cs="Times New Roman"/>
          <w:sz w:val="24"/>
          <w:szCs w:val="24"/>
        </w:rPr>
        <w:footnoteReference w:id="57"/>
      </w:r>
      <w:r w:rsidR="00274DBB" w:rsidRPr="00486B87">
        <w:rPr>
          <w:rFonts w:ascii="Times New Roman" w:eastAsia="Times New Roman" w:hAnsi="Times New Roman" w:cs="Times New Roman"/>
          <w:sz w:val="24"/>
          <w:szCs w:val="24"/>
        </w:rPr>
        <w:t xml:space="preserve">. </w:t>
      </w:r>
      <w:r w:rsidR="00FC67A9" w:rsidRPr="00486B87">
        <w:rPr>
          <w:rFonts w:ascii="Times New Roman" w:eastAsia="Times New Roman" w:hAnsi="Times New Roman" w:cs="Times New Roman"/>
          <w:sz w:val="24"/>
          <w:szCs w:val="24"/>
        </w:rPr>
        <w:t xml:space="preserve">The question that the </w:t>
      </w:r>
      <w:r w:rsidR="007E0E65">
        <w:rPr>
          <w:rFonts w:ascii="Times New Roman" w:eastAsia="Times New Roman" w:hAnsi="Times New Roman" w:cs="Times New Roman"/>
          <w:sz w:val="24"/>
          <w:szCs w:val="24"/>
        </w:rPr>
        <w:t>C</w:t>
      </w:r>
      <w:r w:rsidR="00FC67A9" w:rsidRPr="00486B87">
        <w:rPr>
          <w:rFonts w:ascii="Times New Roman" w:eastAsia="Times New Roman" w:hAnsi="Times New Roman" w:cs="Times New Roman"/>
          <w:sz w:val="24"/>
          <w:szCs w:val="24"/>
        </w:rPr>
        <w:t xml:space="preserve">ourt </w:t>
      </w:r>
      <w:r w:rsidR="006813AB" w:rsidRPr="00486B87">
        <w:rPr>
          <w:rFonts w:ascii="Times New Roman" w:eastAsia="Times New Roman" w:hAnsi="Times New Roman" w:cs="Times New Roman"/>
          <w:sz w:val="24"/>
          <w:szCs w:val="24"/>
        </w:rPr>
        <w:t>sought to answer was whether “the revocation provisions of the DPA</w:t>
      </w:r>
      <w:r w:rsidR="00002E5F" w:rsidRPr="00486B87">
        <w:rPr>
          <w:rFonts w:ascii="Times New Roman" w:eastAsia="Times New Roman" w:hAnsi="Times New Roman" w:cs="Times New Roman"/>
          <w:sz w:val="24"/>
          <w:szCs w:val="24"/>
        </w:rPr>
        <w:t xml:space="preserve"> [are]</w:t>
      </w:r>
      <w:r w:rsidR="006813AB" w:rsidRPr="00486B87">
        <w:rPr>
          <w:rFonts w:ascii="Times New Roman" w:eastAsia="Times New Roman" w:hAnsi="Times New Roman" w:cs="Times New Roman"/>
          <w:sz w:val="24"/>
          <w:szCs w:val="24"/>
        </w:rPr>
        <w:t xml:space="preserve"> invalid because they were enacted for a religious purpose?”</w:t>
      </w:r>
      <w:r w:rsidR="006813AB" w:rsidRPr="00486B87">
        <w:rPr>
          <w:rStyle w:val="FootnoteReference"/>
          <w:rFonts w:ascii="Times New Roman" w:eastAsia="Times New Roman" w:hAnsi="Times New Roman" w:cs="Times New Roman"/>
          <w:sz w:val="24"/>
          <w:szCs w:val="24"/>
        </w:rPr>
        <w:footnoteReference w:id="58"/>
      </w:r>
      <w:r w:rsidR="006813AB" w:rsidRPr="00486B87">
        <w:rPr>
          <w:rFonts w:ascii="Times New Roman" w:eastAsia="Times New Roman" w:hAnsi="Times New Roman" w:cs="Times New Roman"/>
          <w:sz w:val="24"/>
          <w:szCs w:val="24"/>
        </w:rPr>
        <w:t xml:space="preserve"> </w:t>
      </w:r>
      <w:r w:rsidR="00002E5F" w:rsidRPr="00486B87">
        <w:rPr>
          <w:rFonts w:ascii="Times New Roman" w:eastAsia="Times New Roman" w:hAnsi="Times New Roman" w:cs="Times New Roman"/>
          <w:sz w:val="24"/>
          <w:szCs w:val="24"/>
        </w:rPr>
        <w:t xml:space="preserve">The </w:t>
      </w:r>
      <w:r w:rsidR="00653BD7">
        <w:rPr>
          <w:rFonts w:ascii="Times New Roman" w:eastAsia="Times New Roman" w:hAnsi="Times New Roman" w:cs="Times New Roman"/>
          <w:sz w:val="24"/>
          <w:szCs w:val="24"/>
        </w:rPr>
        <w:t>C</w:t>
      </w:r>
      <w:r w:rsidR="00002E5F" w:rsidRPr="00486B87">
        <w:rPr>
          <w:rFonts w:ascii="Times New Roman" w:eastAsia="Times New Roman" w:hAnsi="Times New Roman" w:cs="Times New Roman"/>
          <w:sz w:val="24"/>
          <w:szCs w:val="24"/>
        </w:rPr>
        <w:t>ourt spent some time on this matter and</w:t>
      </w:r>
      <w:r w:rsidR="00ED222F" w:rsidRPr="00486B87">
        <w:rPr>
          <w:rFonts w:ascii="Times New Roman" w:eastAsia="Times New Roman" w:hAnsi="Times New Roman" w:cs="Times New Roman"/>
          <w:sz w:val="24"/>
          <w:szCs w:val="24"/>
        </w:rPr>
        <w:t xml:space="preserve"> the nexus of the </w:t>
      </w:r>
      <w:r w:rsidR="009F5EBE">
        <w:rPr>
          <w:rFonts w:ascii="Times New Roman" w:eastAsia="Times New Roman" w:hAnsi="Times New Roman" w:cs="Times New Roman"/>
          <w:sz w:val="24"/>
          <w:szCs w:val="24"/>
        </w:rPr>
        <w:t>C</w:t>
      </w:r>
      <w:r w:rsidR="00ED222F" w:rsidRPr="00486B87">
        <w:rPr>
          <w:rFonts w:ascii="Times New Roman" w:eastAsia="Times New Roman" w:hAnsi="Times New Roman" w:cs="Times New Roman"/>
          <w:sz w:val="24"/>
          <w:szCs w:val="24"/>
        </w:rPr>
        <w:t>ourt</w:t>
      </w:r>
      <w:r w:rsidR="009F5EBE">
        <w:rPr>
          <w:rFonts w:ascii="Times New Roman" w:eastAsia="Times New Roman" w:hAnsi="Times New Roman" w:cs="Times New Roman"/>
          <w:sz w:val="24"/>
          <w:szCs w:val="24"/>
        </w:rPr>
        <w:t>’</w:t>
      </w:r>
      <w:r w:rsidR="00ED222F" w:rsidRPr="00486B87">
        <w:rPr>
          <w:rFonts w:ascii="Times New Roman" w:eastAsia="Times New Roman" w:hAnsi="Times New Roman" w:cs="Times New Roman"/>
          <w:sz w:val="24"/>
          <w:szCs w:val="24"/>
        </w:rPr>
        <w:t>s discussion on these points was whether the Constitution is a secular one</w:t>
      </w:r>
      <w:r w:rsidR="009F5EBE">
        <w:rPr>
          <w:rFonts w:ascii="Times New Roman" w:eastAsia="Times New Roman" w:hAnsi="Times New Roman" w:cs="Times New Roman"/>
          <w:sz w:val="24"/>
          <w:szCs w:val="24"/>
        </w:rPr>
        <w:t>,</w:t>
      </w:r>
      <w:r w:rsidR="00ED222F" w:rsidRPr="00486B87">
        <w:rPr>
          <w:rFonts w:ascii="Times New Roman" w:eastAsia="Times New Roman" w:hAnsi="Times New Roman" w:cs="Times New Roman"/>
          <w:sz w:val="24"/>
          <w:szCs w:val="24"/>
        </w:rPr>
        <w:t xml:space="preserve"> or whether it permitted a religious inclination. If the latter were </w:t>
      </w:r>
      <w:r w:rsidR="008537B9" w:rsidRPr="00486B87">
        <w:rPr>
          <w:rFonts w:ascii="Times New Roman" w:eastAsia="Times New Roman" w:hAnsi="Times New Roman" w:cs="Times New Roman"/>
          <w:sz w:val="24"/>
          <w:szCs w:val="24"/>
        </w:rPr>
        <w:t>true,</w:t>
      </w:r>
      <w:r w:rsidR="00ED222F" w:rsidRPr="00486B87">
        <w:rPr>
          <w:rFonts w:ascii="Times New Roman" w:eastAsia="Times New Roman" w:hAnsi="Times New Roman" w:cs="Times New Roman"/>
          <w:sz w:val="24"/>
          <w:szCs w:val="24"/>
        </w:rPr>
        <w:t xml:space="preserve"> then there would also be scope to </w:t>
      </w:r>
      <w:r w:rsidR="008537B9" w:rsidRPr="00486B87">
        <w:rPr>
          <w:rFonts w:ascii="Times New Roman" w:eastAsia="Times New Roman" w:hAnsi="Times New Roman" w:cs="Times New Roman"/>
          <w:sz w:val="24"/>
          <w:szCs w:val="24"/>
        </w:rPr>
        <w:t xml:space="preserve">argue that a religiously charged law is permissible under the </w:t>
      </w:r>
      <w:r w:rsidR="001E1A0A" w:rsidRPr="00486B87">
        <w:rPr>
          <w:rFonts w:ascii="Times New Roman" w:eastAsia="Times New Roman" w:hAnsi="Times New Roman" w:cs="Times New Roman"/>
          <w:sz w:val="24"/>
          <w:szCs w:val="24"/>
        </w:rPr>
        <w:t>C</w:t>
      </w:r>
      <w:r w:rsidR="008537B9" w:rsidRPr="00486B87">
        <w:rPr>
          <w:rFonts w:ascii="Times New Roman" w:eastAsia="Times New Roman" w:hAnsi="Times New Roman" w:cs="Times New Roman"/>
          <w:sz w:val="24"/>
          <w:szCs w:val="24"/>
        </w:rPr>
        <w:t xml:space="preserve">onstitution. The </w:t>
      </w:r>
      <w:r w:rsidR="009F5EBE">
        <w:rPr>
          <w:rFonts w:ascii="Times New Roman" w:eastAsia="Times New Roman" w:hAnsi="Times New Roman" w:cs="Times New Roman"/>
          <w:sz w:val="24"/>
          <w:szCs w:val="24"/>
        </w:rPr>
        <w:t>C</w:t>
      </w:r>
      <w:r w:rsidR="008537B9" w:rsidRPr="00486B87">
        <w:rPr>
          <w:rFonts w:ascii="Times New Roman" w:eastAsia="Times New Roman" w:hAnsi="Times New Roman" w:cs="Times New Roman"/>
          <w:sz w:val="24"/>
          <w:szCs w:val="24"/>
        </w:rPr>
        <w:t>ourt discussed this at length and in its judgment included statements from the Supreme Courts of Bermuda</w:t>
      </w:r>
      <w:r w:rsidR="008537B9" w:rsidRPr="00486B87">
        <w:rPr>
          <w:rStyle w:val="FootnoteReference"/>
          <w:rFonts w:ascii="Times New Roman" w:eastAsia="Times New Roman" w:hAnsi="Times New Roman" w:cs="Times New Roman"/>
          <w:sz w:val="24"/>
          <w:szCs w:val="24"/>
        </w:rPr>
        <w:footnoteReference w:id="59"/>
      </w:r>
      <w:r w:rsidR="008537B9" w:rsidRPr="00486B87">
        <w:rPr>
          <w:rFonts w:ascii="Times New Roman" w:eastAsia="Times New Roman" w:hAnsi="Times New Roman" w:cs="Times New Roman"/>
          <w:sz w:val="24"/>
          <w:szCs w:val="24"/>
        </w:rPr>
        <w:t>, Canada</w:t>
      </w:r>
      <w:r w:rsidR="008537B9" w:rsidRPr="00486B87">
        <w:rPr>
          <w:rStyle w:val="FootnoteReference"/>
          <w:rFonts w:ascii="Times New Roman" w:eastAsia="Times New Roman" w:hAnsi="Times New Roman" w:cs="Times New Roman"/>
          <w:sz w:val="24"/>
          <w:szCs w:val="24"/>
        </w:rPr>
        <w:footnoteReference w:id="60"/>
      </w:r>
      <w:r w:rsidR="008537B9" w:rsidRPr="00486B87">
        <w:rPr>
          <w:rFonts w:ascii="Times New Roman" w:eastAsia="Times New Roman" w:hAnsi="Times New Roman" w:cs="Times New Roman"/>
          <w:sz w:val="24"/>
          <w:szCs w:val="24"/>
        </w:rPr>
        <w:t>, and the UK all stressing that the</w:t>
      </w:r>
      <w:r w:rsidR="002F6EB8">
        <w:rPr>
          <w:rFonts w:ascii="Times New Roman" w:eastAsia="Times New Roman" w:hAnsi="Times New Roman" w:cs="Times New Roman"/>
          <w:sz w:val="24"/>
          <w:szCs w:val="24"/>
        </w:rPr>
        <w:t>ir</w:t>
      </w:r>
      <w:r w:rsidR="008537B9" w:rsidRPr="00486B87">
        <w:rPr>
          <w:rFonts w:ascii="Times New Roman" w:eastAsia="Times New Roman" w:hAnsi="Times New Roman" w:cs="Times New Roman"/>
          <w:sz w:val="24"/>
          <w:szCs w:val="24"/>
        </w:rPr>
        <w:t xml:space="preserve"> respective constitutions are secular. However</w:t>
      </w:r>
      <w:r w:rsidR="005A279F" w:rsidRPr="00486B87">
        <w:rPr>
          <w:rFonts w:ascii="Times New Roman" w:eastAsia="Times New Roman" w:hAnsi="Times New Roman" w:cs="Times New Roman"/>
          <w:sz w:val="24"/>
          <w:szCs w:val="24"/>
        </w:rPr>
        <w:t>,</w:t>
      </w:r>
      <w:r w:rsidR="008537B9" w:rsidRPr="00486B87">
        <w:rPr>
          <w:rFonts w:ascii="Times New Roman" w:eastAsia="Times New Roman" w:hAnsi="Times New Roman" w:cs="Times New Roman"/>
          <w:sz w:val="24"/>
          <w:szCs w:val="24"/>
        </w:rPr>
        <w:t xml:space="preserve"> the </w:t>
      </w:r>
      <w:r w:rsidR="002F6EB8">
        <w:rPr>
          <w:rFonts w:ascii="Times New Roman" w:eastAsia="Times New Roman" w:hAnsi="Times New Roman" w:cs="Times New Roman"/>
          <w:sz w:val="24"/>
          <w:szCs w:val="24"/>
        </w:rPr>
        <w:t>C</w:t>
      </w:r>
      <w:r w:rsidR="008537B9" w:rsidRPr="00486B87">
        <w:rPr>
          <w:rFonts w:ascii="Times New Roman" w:eastAsia="Times New Roman" w:hAnsi="Times New Roman" w:cs="Times New Roman"/>
          <w:sz w:val="24"/>
          <w:szCs w:val="24"/>
        </w:rPr>
        <w:t xml:space="preserve">ourt then goes on to find that </w:t>
      </w:r>
      <w:r w:rsidR="005A279F" w:rsidRPr="00486B87">
        <w:rPr>
          <w:rFonts w:ascii="Times New Roman" w:eastAsia="Times New Roman" w:hAnsi="Times New Roman" w:cs="Times New Roman"/>
          <w:sz w:val="24"/>
          <w:szCs w:val="24"/>
        </w:rPr>
        <w:t xml:space="preserve">the DPA has a religious motive in part, but that this is not sufficient enough to draw its validity into question. It is proposed that another </w:t>
      </w:r>
      <w:r w:rsidR="005A279F" w:rsidRPr="00486B87">
        <w:rPr>
          <w:rFonts w:ascii="Times New Roman" w:eastAsia="Times New Roman" w:hAnsi="Times New Roman" w:cs="Times New Roman"/>
          <w:sz w:val="24"/>
          <w:szCs w:val="24"/>
        </w:rPr>
        <w:lastRenderedPageBreak/>
        <w:t xml:space="preserve">aspect has been neglected somewhat and only mentioned in passing during the judgment. In </w:t>
      </w:r>
      <w:r w:rsidR="005A279F" w:rsidRPr="00486B87">
        <w:rPr>
          <w:rFonts w:ascii="Times New Roman" w:eastAsia="Times New Roman" w:hAnsi="Times New Roman" w:cs="Times New Roman"/>
          <w:i/>
          <w:sz w:val="24"/>
          <w:szCs w:val="24"/>
        </w:rPr>
        <w:t>McFarlane</w:t>
      </w:r>
      <w:r w:rsidR="002F6EB8">
        <w:rPr>
          <w:rFonts w:ascii="Times New Roman" w:eastAsia="Times New Roman" w:hAnsi="Times New Roman" w:cs="Times New Roman"/>
          <w:i/>
          <w:sz w:val="24"/>
          <w:szCs w:val="24"/>
        </w:rPr>
        <w:t>,</w:t>
      </w:r>
      <w:r w:rsidR="005A279F" w:rsidRPr="00486B87">
        <w:rPr>
          <w:rFonts w:ascii="Times New Roman" w:eastAsia="Times New Roman" w:hAnsi="Times New Roman" w:cs="Times New Roman"/>
          <w:i/>
          <w:sz w:val="24"/>
          <w:szCs w:val="24"/>
        </w:rPr>
        <w:t xml:space="preserve"> </w:t>
      </w:r>
      <w:r w:rsidR="005A279F" w:rsidRPr="00486B87">
        <w:rPr>
          <w:rStyle w:val="FootnoteReference"/>
          <w:rFonts w:ascii="Times New Roman" w:eastAsia="Times New Roman" w:hAnsi="Times New Roman" w:cs="Times New Roman"/>
          <w:sz w:val="24"/>
          <w:szCs w:val="24"/>
        </w:rPr>
        <w:footnoteReference w:id="61"/>
      </w:r>
      <w:r w:rsidR="005A279F" w:rsidRPr="00486B87">
        <w:rPr>
          <w:rFonts w:ascii="Times New Roman" w:eastAsia="Times New Roman" w:hAnsi="Times New Roman" w:cs="Times New Roman"/>
          <w:sz w:val="24"/>
          <w:szCs w:val="24"/>
        </w:rPr>
        <w:t xml:space="preserve"> Laws LJ clarified that </w:t>
      </w:r>
      <w:r w:rsidR="00424E6E">
        <w:rPr>
          <w:rFonts w:ascii="Times New Roman" w:eastAsia="Times New Roman" w:hAnsi="Times New Roman" w:cs="Times New Roman"/>
          <w:sz w:val="24"/>
          <w:szCs w:val="24"/>
        </w:rPr>
        <w:t>art.</w:t>
      </w:r>
      <w:r w:rsidR="005A279F" w:rsidRPr="00486B87">
        <w:rPr>
          <w:rFonts w:ascii="Times New Roman" w:eastAsia="Times New Roman" w:hAnsi="Times New Roman" w:cs="Times New Roman"/>
          <w:sz w:val="24"/>
          <w:szCs w:val="24"/>
        </w:rPr>
        <w:t>9 of the ECHR is absolute in its protection of rights to hold or not hold a religion. The right to manifest a religious belief is subject to limitation; these have been discussed extensively in both UK domestic courts</w:t>
      </w:r>
      <w:r w:rsidR="005A279F" w:rsidRPr="00486B87">
        <w:rPr>
          <w:rStyle w:val="FootnoteReference"/>
          <w:rFonts w:ascii="Times New Roman" w:eastAsia="Times New Roman" w:hAnsi="Times New Roman" w:cs="Times New Roman"/>
          <w:sz w:val="24"/>
          <w:szCs w:val="24"/>
        </w:rPr>
        <w:footnoteReference w:id="62"/>
      </w:r>
      <w:r w:rsidR="005A279F" w:rsidRPr="00486B87">
        <w:rPr>
          <w:rFonts w:ascii="Times New Roman" w:eastAsia="Times New Roman" w:hAnsi="Times New Roman" w:cs="Times New Roman"/>
          <w:sz w:val="24"/>
          <w:szCs w:val="24"/>
        </w:rPr>
        <w:t xml:space="preserve"> and at the European Court of Human Rights</w:t>
      </w:r>
      <w:r w:rsidR="005A279F" w:rsidRPr="00486B87">
        <w:rPr>
          <w:rStyle w:val="FootnoteReference"/>
          <w:rFonts w:ascii="Times New Roman" w:eastAsia="Times New Roman" w:hAnsi="Times New Roman" w:cs="Times New Roman"/>
          <w:sz w:val="24"/>
          <w:szCs w:val="24"/>
        </w:rPr>
        <w:footnoteReference w:id="63"/>
      </w:r>
      <w:r w:rsidR="005A279F" w:rsidRPr="00486B87">
        <w:rPr>
          <w:rFonts w:ascii="Times New Roman" w:eastAsia="Times New Roman" w:hAnsi="Times New Roman" w:cs="Times New Roman"/>
          <w:sz w:val="24"/>
          <w:szCs w:val="24"/>
        </w:rPr>
        <w:t xml:space="preserve">. </w:t>
      </w:r>
      <w:r w:rsidR="009B4D4F" w:rsidRPr="00486B87">
        <w:rPr>
          <w:rFonts w:ascii="Times New Roman" w:eastAsia="Times New Roman" w:hAnsi="Times New Roman" w:cs="Times New Roman"/>
          <w:sz w:val="24"/>
          <w:szCs w:val="24"/>
        </w:rPr>
        <w:t xml:space="preserve">Whether the </w:t>
      </w:r>
      <w:r w:rsidR="001E1A0A" w:rsidRPr="00486B87">
        <w:rPr>
          <w:rFonts w:ascii="Times New Roman" w:eastAsia="Times New Roman" w:hAnsi="Times New Roman" w:cs="Times New Roman"/>
          <w:sz w:val="24"/>
          <w:szCs w:val="24"/>
        </w:rPr>
        <w:t>C</w:t>
      </w:r>
      <w:r w:rsidR="009B4D4F" w:rsidRPr="00486B87">
        <w:rPr>
          <w:rFonts w:ascii="Times New Roman" w:eastAsia="Times New Roman" w:hAnsi="Times New Roman" w:cs="Times New Roman"/>
          <w:sz w:val="24"/>
          <w:szCs w:val="24"/>
        </w:rPr>
        <w:t xml:space="preserve">onstitution is secular only satisfies half of the argument, even if the </w:t>
      </w:r>
      <w:r w:rsidR="000B41EC">
        <w:rPr>
          <w:rFonts w:ascii="Times New Roman" w:eastAsia="Times New Roman" w:hAnsi="Times New Roman" w:cs="Times New Roman"/>
          <w:sz w:val="24"/>
          <w:szCs w:val="24"/>
        </w:rPr>
        <w:t>C</w:t>
      </w:r>
      <w:r w:rsidR="009B4D4F" w:rsidRPr="00486B87">
        <w:rPr>
          <w:rFonts w:ascii="Times New Roman" w:eastAsia="Times New Roman" w:hAnsi="Times New Roman" w:cs="Times New Roman"/>
          <w:sz w:val="24"/>
          <w:szCs w:val="24"/>
        </w:rPr>
        <w:t>onstitution was not secular (which it is</w:t>
      </w:r>
      <w:r w:rsidR="009B4D4F" w:rsidRPr="00486B87">
        <w:rPr>
          <w:rStyle w:val="FootnoteReference"/>
          <w:rFonts w:ascii="Times New Roman" w:eastAsia="Times New Roman" w:hAnsi="Times New Roman" w:cs="Times New Roman"/>
          <w:sz w:val="24"/>
          <w:szCs w:val="24"/>
        </w:rPr>
        <w:footnoteReference w:id="64"/>
      </w:r>
      <w:r w:rsidR="004A32A5" w:rsidRPr="00486B87">
        <w:rPr>
          <w:rFonts w:ascii="Times New Roman" w:eastAsia="Times New Roman" w:hAnsi="Times New Roman" w:cs="Times New Roman"/>
          <w:sz w:val="24"/>
          <w:szCs w:val="24"/>
        </w:rPr>
        <w:t xml:space="preserve">), whether the HRA would permit the government to put forward a bill which manifests its religious belief in a discriminatory way is another matter entirely. In this case the relationship between the </w:t>
      </w:r>
      <w:r w:rsidR="001E1A0A" w:rsidRPr="00486B87">
        <w:rPr>
          <w:rFonts w:ascii="Times New Roman" w:eastAsia="Times New Roman" w:hAnsi="Times New Roman" w:cs="Times New Roman"/>
          <w:sz w:val="24"/>
          <w:szCs w:val="24"/>
        </w:rPr>
        <w:t>C</w:t>
      </w:r>
      <w:r w:rsidR="004A32A5" w:rsidRPr="00486B87">
        <w:rPr>
          <w:rFonts w:ascii="Times New Roman" w:eastAsia="Times New Roman" w:hAnsi="Times New Roman" w:cs="Times New Roman"/>
          <w:sz w:val="24"/>
          <w:szCs w:val="24"/>
        </w:rPr>
        <w:t>onstitution and the HRA is significant</w:t>
      </w:r>
      <w:r w:rsidR="000801D6" w:rsidRPr="00486B87">
        <w:rPr>
          <w:rFonts w:ascii="Times New Roman" w:eastAsia="Times New Roman" w:hAnsi="Times New Roman" w:cs="Times New Roman"/>
          <w:sz w:val="24"/>
          <w:szCs w:val="24"/>
        </w:rPr>
        <w:t xml:space="preserve"> on several levels</w:t>
      </w:r>
      <w:r w:rsidR="000B41EC">
        <w:rPr>
          <w:rFonts w:ascii="Times New Roman" w:eastAsia="Times New Roman" w:hAnsi="Times New Roman" w:cs="Times New Roman"/>
          <w:sz w:val="24"/>
          <w:szCs w:val="24"/>
        </w:rPr>
        <w:t>;</w:t>
      </w:r>
      <w:r w:rsidR="000801D6" w:rsidRPr="00486B87">
        <w:rPr>
          <w:rFonts w:ascii="Times New Roman" w:eastAsia="Times New Roman" w:hAnsi="Times New Roman" w:cs="Times New Roman"/>
          <w:sz w:val="24"/>
          <w:szCs w:val="24"/>
        </w:rPr>
        <w:t xml:space="preserve"> if the HRA expands on the </w:t>
      </w:r>
      <w:r w:rsidR="001E1A0A" w:rsidRPr="00486B87">
        <w:rPr>
          <w:rFonts w:ascii="Times New Roman" w:eastAsia="Times New Roman" w:hAnsi="Times New Roman" w:cs="Times New Roman"/>
          <w:sz w:val="24"/>
          <w:szCs w:val="24"/>
        </w:rPr>
        <w:t>C</w:t>
      </w:r>
      <w:r w:rsidR="000801D6" w:rsidRPr="00486B87">
        <w:rPr>
          <w:rFonts w:ascii="Times New Roman" w:eastAsia="Times New Roman" w:hAnsi="Times New Roman" w:cs="Times New Roman"/>
          <w:sz w:val="24"/>
          <w:szCs w:val="24"/>
        </w:rPr>
        <w:t xml:space="preserve">onstitution then the </w:t>
      </w:r>
      <w:r w:rsidR="001E1A0A" w:rsidRPr="00486B87">
        <w:rPr>
          <w:rFonts w:ascii="Times New Roman" w:eastAsia="Times New Roman" w:hAnsi="Times New Roman" w:cs="Times New Roman"/>
          <w:sz w:val="24"/>
          <w:szCs w:val="24"/>
        </w:rPr>
        <w:t>C</w:t>
      </w:r>
      <w:r w:rsidR="000801D6" w:rsidRPr="00486B87">
        <w:rPr>
          <w:rFonts w:ascii="Times New Roman" w:eastAsia="Times New Roman" w:hAnsi="Times New Roman" w:cs="Times New Roman"/>
          <w:sz w:val="24"/>
          <w:szCs w:val="24"/>
        </w:rPr>
        <w:t>onstitution would be ‘in harmony’ with the HRA and its principles, including those emanating from European human rights jurisprudence</w:t>
      </w:r>
      <w:r w:rsidR="000B41EC">
        <w:rPr>
          <w:rFonts w:ascii="Times New Roman" w:eastAsia="Times New Roman" w:hAnsi="Times New Roman" w:cs="Times New Roman"/>
          <w:sz w:val="24"/>
          <w:szCs w:val="24"/>
        </w:rPr>
        <w:t>,</w:t>
      </w:r>
      <w:r w:rsidR="000801D6" w:rsidRPr="00486B87">
        <w:rPr>
          <w:rFonts w:ascii="Times New Roman" w:eastAsia="Times New Roman" w:hAnsi="Times New Roman" w:cs="Times New Roman"/>
          <w:sz w:val="24"/>
          <w:szCs w:val="24"/>
        </w:rPr>
        <w:t xml:space="preserve"> given the HRA’s recognition statement. </w:t>
      </w:r>
      <w:r w:rsidR="00665032" w:rsidRPr="00486B87">
        <w:rPr>
          <w:rFonts w:ascii="Times New Roman" w:eastAsia="Times New Roman" w:hAnsi="Times New Roman" w:cs="Times New Roman"/>
          <w:sz w:val="24"/>
          <w:szCs w:val="24"/>
        </w:rPr>
        <w:t xml:space="preserve">The impact of the HRA on the </w:t>
      </w:r>
      <w:r w:rsidR="001E1A0A" w:rsidRPr="00486B87">
        <w:rPr>
          <w:rFonts w:ascii="Times New Roman" w:eastAsia="Times New Roman" w:hAnsi="Times New Roman" w:cs="Times New Roman"/>
          <w:sz w:val="24"/>
          <w:szCs w:val="24"/>
        </w:rPr>
        <w:t>C</w:t>
      </w:r>
      <w:r w:rsidR="00665032" w:rsidRPr="00486B87">
        <w:rPr>
          <w:rFonts w:ascii="Times New Roman" w:eastAsia="Times New Roman" w:hAnsi="Times New Roman" w:cs="Times New Roman"/>
          <w:sz w:val="24"/>
          <w:szCs w:val="24"/>
        </w:rPr>
        <w:t xml:space="preserve">onstitution and whether it has any material impact on the </w:t>
      </w:r>
      <w:r w:rsidR="001E1A0A" w:rsidRPr="00486B87">
        <w:rPr>
          <w:rFonts w:ascii="Times New Roman" w:eastAsia="Times New Roman" w:hAnsi="Times New Roman" w:cs="Times New Roman"/>
          <w:sz w:val="24"/>
          <w:szCs w:val="24"/>
        </w:rPr>
        <w:t>C</w:t>
      </w:r>
      <w:r w:rsidR="00665032" w:rsidRPr="00486B87">
        <w:rPr>
          <w:rFonts w:ascii="Times New Roman" w:eastAsia="Times New Roman" w:hAnsi="Times New Roman" w:cs="Times New Roman"/>
          <w:sz w:val="24"/>
          <w:szCs w:val="24"/>
        </w:rPr>
        <w:t xml:space="preserve">onstitution needs to be considered further. </w:t>
      </w:r>
    </w:p>
    <w:p w14:paraId="4492EC69" w14:textId="77777777" w:rsidR="00290243" w:rsidRPr="00486B87" w:rsidRDefault="00290243" w:rsidP="006C251E">
      <w:pPr>
        <w:spacing w:line="480" w:lineRule="auto"/>
        <w:jc w:val="both"/>
        <w:outlineLvl w:val="0"/>
        <w:rPr>
          <w:rFonts w:ascii="Times New Roman" w:eastAsia="Times New Roman" w:hAnsi="Times New Roman" w:cs="Times New Roman"/>
          <w:sz w:val="24"/>
          <w:szCs w:val="24"/>
        </w:rPr>
      </w:pPr>
    </w:p>
    <w:p w14:paraId="3CA83822" w14:textId="05DBD23D" w:rsidR="0067111D" w:rsidRPr="00486B87" w:rsidRDefault="0067111D" w:rsidP="006C251E">
      <w:pPr>
        <w:spacing w:line="480" w:lineRule="auto"/>
        <w:jc w:val="both"/>
        <w:outlineLvl w:val="0"/>
        <w:rPr>
          <w:rFonts w:ascii="Times New Roman" w:eastAsia="Times New Roman" w:hAnsi="Times New Roman" w:cs="Times New Roman"/>
          <w:sz w:val="24"/>
          <w:szCs w:val="24"/>
          <w:u w:val="single"/>
        </w:rPr>
      </w:pPr>
      <w:r w:rsidRPr="00486B87">
        <w:rPr>
          <w:rFonts w:ascii="Times New Roman" w:eastAsia="Times New Roman" w:hAnsi="Times New Roman" w:cs="Times New Roman"/>
          <w:sz w:val="24"/>
          <w:szCs w:val="24"/>
          <w:u w:val="single"/>
        </w:rPr>
        <w:t>Living Tree or Broken Branches</w:t>
      </w:r>
    </w:p>
    <w:p w14:paraId="34BBBF68" w14:textId="1C6DA7FF" w:rsidR="003C4659" w:rsidRPr="00486B87" w:rsidRDefault="00642B40" w:rsidP="00174DA6">
      <w:pPr>
        <w:spacing w:line="480" w:lineRule="auto"/>
        <w:jc w:val="both"/>
        <w:rPr>
          <w:rFonts w:ascii="Times New Roman" w:eastAsia="Times New Roman" w:hAnsi="Times New Roman" w:cs="Times New Roman"/>
          <w:sz w:val="24"/>
          <w:szCs w:val="24"/>
        </w:rPr>
      </w:pPr>
      <w:r w:rsidRPr="00486B87">
        <w:rPr>
          <w:rFonts w:ascii="Times New Roman" w:eastAsia="Times New Roman" w:hAnsi="Times New Roman" w:cs="Times New Roman"/>
          <w:sz w:val="24"/>
          <w:szCs w:val="24"/>
        </w:rPr>
        <w:t xml:space="preserve">The case of </w:t>
      </w:r>
      <w:r w:rsidRPr="00486B87">
        <w:rPr>
          <w:rFonts w:ascii="Times New Roman" w:eastAsia="Times New Roman" w:hAnsi="Times New Roman" w:cs="Times New Roman"/>
          <w:i/>
          <w:sz w:val="24"/>
          <w:szCs w:val="24"/>
        </w:rPr>
        <w:t>Ferguson</w:t>
      </w:r>
      <w:r w:rsidRPr="00486B87">
        <w:rPr>
          <w:rFonts w:ascii="Times New Roman" w:eastAsia="Times New Roman" w:hAnsi="Times New Roman" w:cs="Times New Roman"/>
          <w:sz w:val="24"/>
          <w:szCs w:val="24"/>
        </w:rPr>
        <w:t xml:space="preserve"> has raised</w:t>
      </w:r>
      <w:r w:rsidR="003C4659" w:rsidRPr="00486B87">
        <w:rPr>
          <w:rFonts w:ascii="Times New Roman" w:eastAsia="Times New Roman" w:hAnsi="Times New Roman" w:cs="Times New Roman"/>
          <w:sz w:val="24"/>
          <w:szCs w:val="24"/>
        </w:rPr>
        <w:t xml:space="preserve"> some issues which are relatively infrequently addressed</w:t>
      </w:r>
      <w:r w:rsidR="00AA636C" w:rsidRPr="00486B87">
        <w:rPr>
          <w:rFonts w:ascii="Times New Roman" w:eastAsia="Times New Roman" w:hAnsi="Times New Roman" w:cs="Times New Roman"/>
          <w:sz w:val="24"/>
          <w:szCs w:val="24"/>
        </w:rPr>
        <w:t xml:space="preserve"> in Bermudian domestic courts</w:t>
      </w:r>
      <w:r w:rsidR="003C4659" w:rsidRPr="00486B87">
        <w:rPr>
          <w:rFonts w:ascii="Times New Roman" w:eastAsia="Times New Roman" w:hAnsi="Times New Roman" w:cs="Times New Roman"/>
          <w:sz w:val="24"/>
          <w:szCs w:val="24"/>
        </w:rPr>
        <w:t>. Having rights</w:t>
      </w:r>
      <w:r w:rsidR="00AA636C" w:rsidRPr="00486B87">
        <w:rPr>
          <w:rFonts w:ascii="Times New Roman" w:eastAsia="Times New Roman" w:hAnsi="Times New Roman" w:cs="Times New Roman"/>
          <w:sz w:val="24"/>
          <w:szCs w:val="24"/>
        </w:rPr>
        <w:t>,</w:t>
      </w:r>
      <w:r w:rsidR="003C4659" w:rsidRPr="00486B87">
        <w:rPr>
          <w:rFonts w:ascii="Times New Roman" w:eastAsia="Times New Roman" w:hAnsi="Times New Roman" w:cs="Times New Roman"/>
          <w:sz w:val="24"/>
          <w:szCs w:val="24"/>
        </w:rPr>
        <w:t xml:space="preserve"> provided under the common law which are consistent with the HRA as a quasi-constitutional </w:t>
      </w:r>
      <w:r w:rsidRPr="00486B87">
        <w:rPr>
          <w:rFonts w:ascii="Times New Roman" w:eastAsia="Times New Roman" w:hAnsi="Times New Roman" w:cs="Times New Roman"/>
          <w:sz w:val="24"/>
          <w:szCs w:val="24"/>
        </w:rPr>
        <w:t>statute</w:t>
      </w:r>
      <w:r w:rsidR="00AA636C" w:rsidRPr="00486B87">
        <w:rPr>
          <w:rFonts w:ascii="Times New Roman" w:eastAsia="Times New Roman" w:hAnsi="Times New Roman" w:cs="Times New Roman"/>
          <w:sz w:val="24"/>
          <w:szCs w:val="24"/>
        </w:rPr>
        <w:t>,</w:t>
      </w:r>
      <w:r w:rsidR="003C4659" w:rsidRPr="00486B87">
        <w:rPr>
          <w:rFonts w:ascii="Times New Roman" w:eastAsia="Times New Roman" w:hAnsi="Times New Roman" w:cs="Times New Roman"/>
          <w:sz w:val="24"/>
          <w:szCs w:val="24"/>
        </w:rPr>
        <w:t xml:space="preserve"> taken away by an ordinary law is inconsistent with </w:t>
      </w:r>
      <w:r w:rsidRPr="00486B87">
        <w:rPr>
          <w:rFonts w:ascii="Times New Roman" w:eastAsia="Times New Roman" w:hAnsi="Times New Roman" w:cs="Times New Roman"/>
          <w:sz w:val="24"/>
          <w:szCs w:val="24"/>
        </w:rPr>
        <w:t xml:space="preserve">most </w:t>
      </w:r>
      <w:r w:rsidR="003C4659" w:rsidRPr="00486B87">
        <w:rPr>
          <w:rFonts w:ascii="Times New Roman" w:eastAsia="Times New Roman" w:hAnsi="Times New Roman" w:cs="Times New Roman"/>
          <w:sz w:val="24"/>
          <w:szCs w:val="24"/>
        </w:rPr>
        <w:t>UK jurisprudence and legal theory</w:t>
      </w:r>
      <w:r w:rsidRPr="00486B87">
        <w:rPr>
          <w:rStyle w:val="FootnoteReference"/>
          <w:rFonts w:ascii="Times New Roman" w:eastAsia="Times New Roman" w:hAnsi="Times New Roman" w:cs="Times New Roman"/>
          <w:sz w:val="24"/>
          <w:szCs w:val="24"/>
        </w:rPr>
        <w:footnoteReference w:id="65"/>
      </w:r>
      <w:r w:rsidR="003C4659" w:rsidRPr="00486B87">
        <w:rPr>
          <w:rFonts w:ascii="Times New Roman" w:eastAsia="Times New Roman" w:hAnsi="Times New Roman" w:cs="Times New Roman"/>
          <w:sz w:val="24"/>
          <w:szCs w:val="24"/>
        </w:rPr>
        <w:t xml:space="preserve">, though there seems to be limited Bermudian case law to refer to in this area. </w:t>
      </w:r>
      <w:r w:rsidR="00AA636C" w:rsidRPr="00486B87">
        <w:rPr>
          <w:rFonts w:ascii="Times New Roman" w:eastAsia="Times New Roman" w:hAnsi="Times New Roman" w:cs="Times New Roman"/>
          <w:sz w:val="24"/>
          <w:szCs w:val="24"/>
        </w:rPr>
        <w:t xml:space="preserve">Given that the UK jurisprudence </w:t>
      </w:r>
      <w:r w:rsidR="00FE32DC" w:rsidRPr="00486B87">
        <w:rPr>
          <w:rFonts w:ascii="Times New Roman" w:eastAsia="Times New Roman" w:hAnsi="Times New Roman" w:cs="Times New Roman"/>
          <w:sz w:val="24"/>
          <w:szCs w:val="24"/>
        </w:rPr>
        <w:t>may</w:t>
      </w:r>
      <w:r w:rsidR="00AA636C" w:rsidRPr="00486B87">
        <w:rPr>
          <w:rFonts w:ascii="Times New Roman" w:eastAsia="Times New Roman" w:hAnsi="Times New Roman" w:cs="Times New Roman"/>
          <w:sz w:val="24"/>
          <w:szCs w:val="24"/>
        </w:rPr>
        <w:t xml:space="preserve"> inevitably </w:t>
      </w:r>
      <w:r w:rsidR="00AA636C" w:rsidRPr="00486B87">
        <w:rPr>
          <w:rFonts w:ascii="Times New Roman" w:eastAsia="Times New Roman" w:hAnsi="Times New Roman" w:cs="Times New Roman"/>
          <w:sz w:val="24"/>
          <w:szCs w:val="24"/>
        </w:rPr>
        <w:lastRenderedPageBreak/>
        <w:t>filter into the argument if the matter is appealed beyond the Bermudian Court of Appeal</w:t>
      </w:r>
      <w:r w:rsidR="00673713">
        <w:rPr>
          <w:rStyle w:val="FootnoteReference"/>
          <w:rFonts w:ascii="Times New Roman" w:eastAsia="Times New Roman" w:hAnsi="Times New Roman" w:cs="Times New Roman"/>
          <w:sz w:val="24"/>
          <w:szCs w:val="24"/>
        </w:rPr>
        <w:footnoteReference w:id="66"/>
      </w:r>
      <w:r w:rsidR="00AA636C" w:rsidRPr="00486B87">
        <w:rPr>
          <w:rFonts w:ascii="Times New Roman" w:eastAsia="Times New Roman" w:hAnsi="Times New Roman" w:cs="Times New Roman"/>
          <w:sz w:val="24"/>
          <w:szCs w:val="24"/>
        </w:rPr>
        <w:t xml:space="preserve"> to the JCPC, </w:t>
      </w:r>
      <w:r w:rsidR="003C4659" w:rsidRPr="00486B87">
        <w:rPr>
          <w:rFonts w:ascii="Times New Roman" w:eastAsia="Times New Roman" w:hAnsi="Times New Roman" w:cs="Times New Roman"/>
          <w:sz w:val="24"/>
          <w:szCs w:val="24"/>
        </w:rPr>
        <w:t xml:space="preserve">some UK </w:t>
      </w:r>
      <w:r w:rsidR="00AA636C" w:rsidRPr="00486B87">
        <w:rPr>
          <w:rFonts w:ascii="Times New Roman" w:eastAsia="Times New Roman" w:hAnsi="Times New Roman" w:cs="Times New Roman"/>
          <w:sz w:val="24"/>
          <w:szCs w:val="24"/>
        </w:rPr>
        <w:t>points</w:t>
      </w:r>
      <w:r w:rsidR="003C4659" w:rsidRPr="00486B87">
        <w:rPr>
          <w:rFonts w:ascii="Times New Roman" w:eastAsia="Times New Roman" w:hAnsi="Times New Roman" w:cs="Times New Roman"/>
          <w:sz w:val="24"/>
          <w:szCs w:val="24"/>
        </w:rPr>
        <w:t xml:space="preserve"> will be considered </w:t>
      </w:r>
      <w:r w:rsidR="00AA636C" w:rsidRPr="00486B87">
        <w:rPr>
          <w:rFonts w:ascii="Times New Roman" w:eastAsia="Times New Roman" w:hAnsi="Times New Roman" w:cs="Times New Roman"/>
          <w:sz w:val="24"/>
          <w:szCs w:val="24"/>
        </w:rPr>
        <w:t>to add flesh to the bones of the argument</w:t>
      </w:r>
      <w:r w:rsidR="003C4659" w:rsidRPr="00486B87">
        <w:rPr>
          <w:rFonts w:ascii="Times New Roman" w:eastAsia="Times New Roman" w:hAnsi="Times New Roman" w:cs="Times New Roman"/>
          <w:sz w:val="24"/>
          <w:szCs w:val="24"/>
        </w:rPr>
        <w:t>. </w:t>
      </w:r>
    </w:p>
    <w:p w14:paraId="6B5791F2" w14:textId="1986F0BF" w:rsidR="00AA636C" w:rsidRPr="00486B87" w:rsidRDefault="00AA636C" w:rsidP="00174DA6">
      <w:pPr>
        <w:spacing w:line="480" w:lineRule="auto"/>
        <w:jc w:val="both"/>
        <w:rPr>
          <w:rFonts w:ascii="Times New Roman" w:eastAsia="Times New Roman" w:hAnsi="Times New Roman" w:cs="Times New Roman"/>
          <w:sz w:val="24"/>
          <w:szCs w:val="24"/>
        </w:rPr>
      </w:pPr>
    </w:p>
    <w:p w14:paraId="61E1857D" w14:textId="03A80170" w:rsidR="00155170" w:rsidRPr="00486B87" w:rsidRDefault="00AA636C" w:rsidP="00174DA6">
      <w:pPr>
        <w:spacing w:line="480" w:lineRule="auto"/>
        <w:jc w:val="both"/>
        <w:rPr>
          <w:rFonts w:ascii="Times New Roman" w:eastAsia="Times New Roman" w:hAnsi="Times New Roman" w:cs="Times New Roman"/>
          <w:sz w:val="24"/>
          <w:szCs w:val="24"/>
        </w:rPr>
      </w:pPr>
      <w:r w:rsidRPr="00486B87">
        <w:rPr>
          <w:rFonts w:ascii="Times New Roman" w:eastAsia="Times New Roman" w:hAnsi="Times New Roman" w:cs="Times New Roman"/>
          <w:sz w:val="24"/>
          <w:szCs w:val="24"/>
        </w:rPr>
        <w:t xml:space="preserve">Earlier, reference was made to </w:t>
      </w:r>
      <w:r w:rsidRPr="00486B87">
        <w:rPr>
          <w:rFonts w:ascii="Times New Roman" w:eastAsia="Times New Roman" w:hAnsi="Times New Roman" w:cs="Times New Roman"/>
          <w:i/>
          <w:sz w:val="24"/>
          <w:szCs w:val="24"/>
        </w:rPr>
        <w:t xml:space="preserve">Blackburn </w:t>
      </w:r>
      <w:r w:rsidRPr="00486B87">
        <w:rPr>
          <w:rFonts w:ascii="Times New Roman" w:eastAsia="Times New Roman" w:hAnsi="Times New Roman" w:cs="Times New Roman"/>
          <w:sz w:val="24"/>
          <w:szCs w:val="24"/>
        </w:rPr>
        <w:t>and specifically to Lord Denning’s point that “[f]</w:t>
      </w:r>
      <w:proofErr w:type="spellStart"/>
      <w:r w:rsidRPr="00486B87">
        <w:rPr>
          <w:rFonts w:ascii="Times New Roman" w:eastAsia="Times New Roman" w:hAnsi="Times New Roman" w:cs="Times New Roman"/>
          <w:sz w:val="24"/>
          <w:szCs w:val="24"/>
        </w:rPr>
        <w:t>reedom</w:t>
      </w:r>
      <w:proofErr w:type="spellEnd"/>
      <w:r w:rsidRPr="00486B87">
        <w:rPr>
          <w:rFonts w:ascii="Times New Roman" w:eastAsia="Times New Roman" w:hAnsi="Times New Roman" w:cs="Times New Roman"/>
          <w:sz w:val="24"/>
          <w:szCs w:val="24"/>
        </w:rPr>
        <w:t xml:space="preserve"> once given cannot be taken away”. </w:t>
      </w:r>
      <w:r w:rsidR="00014871" w:rsidRPr="00486B87">
        <w:rPr>
          <w:rFonts w:ascii="Times New Roman" w:eastAsia="Times New Roman" w:hAnsi="Times New Roman" w:cs="Times New Roman"/>
          <w:sz w:val="24"/>
          <w:szCs w:val="24"/>
        </w:rPr>
        <w:t>It could be argued that a legislature coul</w:t>
      </w:r>
      <w:r w:rsidR="001E7BA8" w:rsidRPr="00486B87">
        <w:rPr>
          <w:rFonts w:ascii="Times New Roman" w:eastAsia="Times New Roman" w:hAnsi="Times New Roman" w:cs="Times New Roman"/>
          <w:sz w:val="24"/>
          <w:szCs w:val="24"/>
        </w:rPr>
        <w:t xml:space="preserve">d legislate to remove rights; </w:t>
      </w:r>
      <w:r w:rsidR="00014871" w:rsidRPr="00486B87">
        <w:rPr>
          <w:rFonts w:ascii="Times New Roman" w:eastAsia="Times New Roman" w:hAnsi="Times New Roman" w:cs="Times New Roman"/>
          <w:sz w:val="24"/>
          <w:szCs w:val="24"/>
        </w:rPr>
        <w:t xml:space="preserve">the UK Parliament could repeal the Human Rights Act </w:t>
      </w:r>
      <w:r w:rsidR="000801D6" w:rsidRPr="00486B87">
        <w:rPr>
          <w:rFonts w:ascii="Times New Roman" w:eastAsia="Times New Roman" w:hAnsi="Times New Roman" w:cs="Times New Roman"/>
          <w:sz w:val="24"/>
          <w:szCs w:val="24"/>
        </w:rPr>
        <w:t>1998 and</w:t>
      </w:r>
      <w:r w:rsidR="00014871" w:rsidRPr="00486B87">
        <w:rPr>
          <w:rFonts w:ascii="Times New Roman" w:eastAsia="Times New Roman" w:hAnsi="Times New Roman" w:cs="Times New Roman"/>
          <w:sz w:val="24"/>
          <w:szCs w:val="24"/>
        </w:rPr>
        <w:t xml:space="preserve"> withdraw </w:t>
      </w:r>
      <w:r w:rsidR="00091567" w:rsidRPr="00486B87">
        <w:rPr>
          <w:rFonts w:ascii="Times New Roman" w:eastAsia="Times New Roman" w:hAnsi="Times New Roman" w:cs="Times New Roman"/>
          <w:sz w:val="24"/>
          <w:szCs w:val="24"/>
        </w:rPr>
        <w:t>from the European Convention on Human Rights</w:t>
      </w:r>
      <w:r w:rsidR="00951292" w:rsidRPr="00486B87">
        <w:rPr>
          <w:rFonts w:ascii="Times New Roman" w:eastAsia="Times New Roman" w:hAnsi="Times New Roman" w:cs="Times New Roman"/>
          <w:sz w:val="24"/>
          <w:szCs w:val="24"/>
        </w:rPr>
        <w:t xml:space="preserve"> and all proceeding domestic laws on rights and civil liberties</w:t>
      </w:r>
      <w:r w:rsidR="001E7BA8" w:rsidRPr="00486B87">
        <w:rPr>
          <w:rFonts w:ascii="Times New Roman" w:eastAsia="Times New Roman" w:hAnsi="Times New Roman" w:cs="Times New Roman"/>
          <w:sz w:val="24"/>
          <w:szCs w:val="24"/>
        </w:rPr>
        <w:t>,</w:t>
      </w:r>
      <w:r w:rsidR="00091567" w:rsidRPr="00486B87">
        <w:rPr>
          <w:rFonts w:ascii="Times New Roman" w:eastAsia="Times New Roman" w:hAnsi="Times New Roman" w:cs="Times New Roman"/>
          <w:sz w:val="24"/>
          <w:szCs w:val="24"/>
        </w:rPr>
        <w:t xml:space="preserve"> and therefore remove rights from the individual. However, this is an abstract argument given that</w:t>
      </w:r>
      <w:r w:rsidR="001E7BA8" w:rsidRPr="00486B87">
        <w:rPr>
          <w:rFonts w:ascii="Times New Roman" w:eastAsia="Times New Roman" w:hAnsi="Times New Roman" w:cs="Times New Roman"/>
          <w:sz w:val="24"/>
          <w:szCs w:val="24"/>
        </w:rPr>
        <w:t xml:space="preserve"> doing so would invariably</w:t>
      </w:r>
      <w:r w:rsidR="00091567" w:rsidRPr="00486B87">
        <w:rPr>
          <w:rFonts w:ascii="Times New Roman" w:eastAsia="Times New Roman" w:hAnsi="Times New Roman" w:cs="Times New Roman"/>
          <w:sz w:val="24"/>
          <w:szCs w:val="24"/>
        </w:rPr>
        <w:t xml:space="preserve"> result in a considerable</w:t>
      </w:r>
      <w:r w:rsidR="001E7BA8" w:rsidRPr="00486B87">
        <w:rPr>
          <w:rFonts w:ascii="Times New Roman" w:eastAsia="Times New Roman" w:hAnsi="Times New Roman" w:cs="Times New Roman"/>
          <w:sz w:val="24"/>
          <w:szCs w:val="24"/>
        </w:rPr>
        <w:t>,</w:t>
      </w:r>
      <w:r w:rsidR="00091567" w:rsidRPr="00486B87">
        <w:rPr>
          <w:rFonts w:ascii="Times New Roman" w:eastAsia="Times New Roman" w:hAnsi="Times New Roman" w:cs="Times New Roman"/>
          <w:sz w:val="24"/>
          <w:szCs w:val="24"/>
        </w:rPr>
        <w:t xml:space="preserve"> politically charged </w:t>
      </w:r>
      <w:r w:rsidR="00B6433F" w:rsidRPr="00486B87">
        <w:rPr>
          <w:rFonts w:ascii="Times New Roman" w:eastAsia="Times New Roman" w:hAnsi="Times New Roman" w:cs="Times New Roman"/>
          <w:sz w:val="24"/>
          <w:szCs w:val="24"/>
        </w:rPr>
        <w:t>discourse</w:t>
      </w:r>
      <w:r w:rsidR="00091567" w:rsidRPr="00486B87">
        <w:rPr>
          <w:rFonts w:ascii="Times New Roman" w:eastAsia="Times New Roman" w:hAnsi="Times New Roman" w:cs="Times New Roman"/>
          <w:sz w:val="24"/>
          <w:szCs w:val="24"/>
        </w:rPr>
        <w:t xml:space="preserve">. </w:t>
      </w:r>
      <w:r w:rsidR="003D162D" w:rsidRPr="00486B87">
        <w:rPr>
          <w:rFonts w:ascii="Times New Roman" w:eastAsia="Times New Roman" w:hAnsi="Times New Roman" w:cs="Times New Roman"/>
          <w:sz w:val="24"/>
          <w:szCs w:val="24"/>
        </w:rPr>
        <w:t>There is a</w:t>
      </w:r>
      <w:r w:rsidR="00B97220" w:rsidRPr="00486B87">
        <w:rPr>
          <w:rFonts w:ascii="Times New Roman" w:eastAsia="Times New Roman" w:hAnsi="Times New Roman" w:cs="Times New Roman"/>
          <w:sz w:val="24"/>
          <w:szCs w:val="24"/>
        </w:rPr>
        <w:t>lso a</w:t>
      </w:r>
      <w:r w:rsidR="003D162D" w:rsidRPr="00486B87">
        <w:rPr>
          <w:rFonts w:ascii="Times New Roman" w:eastAsia="Times New Roman" w:hAnsi="Times New Roman" w:cs="Times New Roman"/>
          <w:sz w:val="24"/>
          <w:szCs w:val="24"/>
        </w:rPr>
        <w:t xml:space="preserve"> common law presumption in the UK that Parliament does not legislate contrary to the common law unless it does so </w:t>
      </w:r>
      <w:r w:rsidR="003D162D" w:rsidRPr="00486B87">
        <w:rPr>
          <w:rFonts w:ascii="Times New Roman" w:eastAsia="Times New Roman" w:hAnsi="Times New Roman" w:cs="Times New Roman"/>
          <w:color w:val="000000" w:themeColor="text1"/>
          <w:sz w:val="24"/>
          <w:szCs w:val="24"/>
        </w:rPr>
        <w:t>explicitly</w:t>
      </w:r>
      <w:r w:rsidR="00EC1940" w:rsidRPr="00486B87">
        <w:rPr>
          <w:rStyle w:val="FootnoteReference"/>
          <w:rFonts w:ascii="Times New Roman" w:eastAsia="Times New Roman" w:hAnsi="Times New Roman" w:cs="Times New Roman"/>
          <w:color w:val="000000" w:themeColor="text1"/>
          <w:sz w:val="24"/>
          <w:szCs w:val="24"/>
        </w:rPr>
        <w:footnoteReference w:id="67"/>
      </w:r>
      <w:r w:rsidR="00EC1940" w:rsidRPr="00486B87">
        <w:rPr>
          <w:rFonts w:ascii="Times New Roman" w:eastAsia="Times New Roman" w:hAnsi="Times New Roman" w:cs="Times New Roman"/>
          <w:color w:val="000000" w:themeColor="text1"/>
          <w:sz w:val="24"/>
          <w:szCs w:val="24"/>
        </w:rPr>
        <w:t xml:space="preserve">. </w:t>
      </w:r>
      <w:r w:rsidR="00A92DCD" w:rsidRPr="00486B87">
        <w:rPr>
          <w:rFonts w:ascii="Times New Roman" w:eastAsia="Times New Roman" w:hAnsi="Times New Roman" w:cs="Times New Roman"/>
          <w:color w:val="000000" w:themeColor="text1"/>
          <w:sz w:val="24"/>
          <w:szCs w:val="24"/>
        </w:rPr>
        <w:t xml:space="preserve">Although </w:t>
      </w:r>
      <w:r w:rsidR="00EC1940" w:rsidRPr="00486B87">
        <w:rPr>
          <w:rFonts w:ascii="Times New Roman" w:eastAsia="Times New Roman" w:hAnsi="Times New Roman" w:cs="Times New Roman"/>
          <w:color w:val="000000" w:themeColor="text1"/>
          <w:sz w:val="24"/>
          <w:szCs w:val="24"/>
        </w:rPr>
        <w:t>the DPA</w:t>
      </w:r>
      <w:r w:rsidR="00A92DCD" w:rsidRPr="00486B87">
        <w:rPr>
          <w:rFonts w:ascii="Times New Roman" w:eastAsia="Times New Roman" w:hAnsi="Times New Roman" w:cs="Times New Roman"/>
          <w:color w:val="000000" w:themeColor="text1"/>
          <w:sz w:val="24"/>
          <w:szCs w:val="24"/>
        </w:rPr>
        <w:t xml:space="preserve"> seems express and certain in </w:t>
      </w:r>
      <w:r w:rsidR="00EC1940" w:rsidRPr="00486B87">
        <w:rPr>
          <w:rFonts w:ascii="Times New Roman" w:eastAsia="Times New Roman" w:hAnsi="Times New Roman" w:cs="Times New Roman"/>
          <w:color w:val="000000" w:themeColor="text1"/>
          <w:sz w:val="24"/>
          <w:szCs w:val="24"/>
        </w:rPr>
        <w:t>both its wording and its intention</w:t>
      </w:r>
      <w:r w:rsidR="00A92DCD" w:rsidRPr="00486B87">
        <w:rPr>
          <w:rFonts w:ascii="Times New Roman" w:eastAsia="Times New Roman" w:hAnsi="Times New Roman" w:cs="Times New Roman"/>
          <w:color w:val="000000" w:themeColor="text1"/>
          <w:sz w:val="24"/>
          <w:szCs w:val="24"/>
        </w:rPr>
        <w:t>, t</w:t>
      </w:r>
      <w:r w:rsidR="003D162D" w:rsidRPr="00486B87">
        <w:rPr>
          <w:rFonts w:ascii="Times New Roman" w:eastAsia="Times New Roman" w:hAnsi="Times New Roman" w:cs="Times New Roman"/>
          <w:color w:val="000000" w:themeColor="text1"/>
          <w:sz w:val="24"/>
          <w:szCs w:val="24"/>
        </w:rPr>
        <w:t xml:space="preserve">here </w:t>
      </w:r>
      <w:r w:rsidR="003D162D" w:rsidRPr="00486B87">
        <w:rPr>
          <w:rFonts w:ascii="Times New Roman" w:eastAsia="Times New Roman" w:hAnsi="Times New Roman" w:cs="Times New Roman"/>
          <w:sz w:val="24"/>
          <w:szCs w:val="24"/>
        </w:rPr>
        <w:t xml:space="preserve">is a slightly confusing </w:t>
      </w:r>
      <w:r w:rsidR="003D162D" w:rsidRPr="00486B87">
        <w:rPr>
          <w:rFonts w:ascii="Times New Roman" w:eastAsia="Times New Roman" w:hAnsi="Times New Roman" w:cs="Times New Roman"/>
          <w:i/>
          <w:sz w:val="24"/>
          <w:szCs w:val="24"/>
        </w:rPr>
        <w:t>caveat</w:t>
      </w:r>
      <w:r w:rsidR="003D162D" w:rsidRPr="00486B87">
        <w:rPr>
          <w:rFonts w:ascii="Times New Roman" w:eastAsia="Times New Roman" w:hAnsi="Times New Roman" w:cs="Times New Roman"/>
          <w:sz w:val="24"/>
          <w:szCs w:val="24"/>
        </w:rPr>
        <w:t xml:space="preserve"> that has been included in s.53</w:t>
      </w:r>
      <w:r w:rsidR="00B97220" w:rsidRPr="00486B87">
        <w:rPr>
          <w:rFonts w:ascii="Times New Roman" w:eastAsia="Times New Roman" w:hAnsi="Times New Roman" w:cs="Times New Roman"/>
          <w:sz w:val="24"/>
          <w:szCs w:val="24"/>
        </w:rPr>
        <w:t xml:space="preserve"> which was a disputed section in the </w:t>
      </w:r>
      <w:r w:rsidR="00B97220" w:rsidRPr="00486B87">
        <w:rPr>
          <w:rFonts w:ascii="Times New Roman" w:eastAsia="Times New Roman" w:hAnsi="Times New Roman" w:cs="Times New Roman"/>
          <w:i/>
          <w:sz w:val="24"/>
          <w:szCs w:val="24"/>
        </w:rPr>
        <w:t xml:space="preserve">Ferguson </w:t>
      </w:r>
      <w:r w:rsidR="00B97220" w:rsidRPr="00486B87">
        <w:rPr>
          <w:rFonts w:ascii="Times New Roman" w:eastAsia="Times New Roman" w:hAnsi="Times New Roman" w:cs="Times New Roman"/>
          <w:sz w:val="24"/>
          <w:szCs w:val="24"/>
        </w:rPr>
        <w:t>case</w:t>
      </w:r>
      <w:r w:rsidR="00A92DCD" w:rsidRPr="00486B87">
        <w:rPr>
          <w:rFonts w:ascii="Times New Roman" w:eastAsia="Times New Roman" w:hAnsi="Times New Roman" w:cs="Times New Roman"/>
          <w:sz w:val="24"/>
          <w:szCs w:val="24"/>
        </w:rPr>
        <w:t>. T</w:t>
      </w:r>
      <w:r w:rsidR="003D162D" w:rsidRPr="00486B87">
        <w:rPr>
          <w:rFonts w:ascii="Times New Roman" w:eastAsia="Times New Roman" w:hAnsi="Times New Roman" w:cs="Times New Roman"/>
          <w:sz w:val="24"/>
          <w:szCs w:val="24"/>
        </w:rPr>
        <w:t>he first phrase states “</w:t>
      </w:r>
      <w:r w:rsidR="00A92DCD" w:rsidRPr="00486B87">
        <w:rPr>
          <w:rFonts w:ascii="Times New Roman" w:eastAsia="Times New Roman" w:hAnsi="Times New Roman" w:cs="Times New Roman"/>
          <w:sz w:val="24"/>
          <w:szCs w:val="24"/>
        </w:rPr>
        <w:t>[n]</w:t>
      </w:r>
      <w:proofErr w:type="spellStart"/>
      <w:r w:rsidR="00A92DCD" w:rsidRPr="00486B87">
        <w:rPr>
          <w:rFonts w:ascii="Times New Roman" w:eastAsia="Times New Roman" w:hAnsi="Times New Roman" w:cs="Times New Roman"/>
          <w:sz w:val="24"/>
          <w:szCs w:val="24"/>
        </w:rPr>
        <w:t>otwithstanding</w:t>
      </w:r>
      <w:proofErr w:type="spellEnd"/>
      <w:r w:rsidR="00A92DCD" w:rsidRPr="00486B87">
        <w:rPr>
          <w:rFonts w:ascii="Times New Roman" w:eastAsia="Times New Roman" w:hAnsi="Times New Roman" w:cs="Times New Roman"/>
          <w:sz w:val="24"/>
          <w:szCs w:val="24"/>
        </w:rPr>
        <w:t xml:space="preserve"> anything in the Human Rights Act 1981…” Given that the HRA specifically precludes less-favourable treatment on the basis of sexual orientation, it is difficult to reconcile s.53 of the DPA with </w:t>
      </w:r>
      <w:r w:rsidR="001B7113">
        <w:rPr>
          <w:rFonts w:ascii="Times New Roman" w:eastAsia="Times New Roman" w:hAnsi="Times New Roman" w:cs="Times New Roman"/>
          <w:sz w:val="24"/>
          <w:szCs w:val="24"/>
        </w:rPr>
        <w:t>s.</w:t>
      </w:r>
      <w:r w:rsidR="001B7113" w:rsidRPr="00486B87">
        <w:rPr>
          <w:rFonts w:ascii="Times New Roman" w:eastAsia="Times New Roman" w:hAnsi="Times New Roman" w:cs="Times New Roman"/>
          <w:sz w:val="24"/>
          <w:szCs w:val="24"/>
        </w:rPr>
        <w:t>2(2)(a)(ii)</w:t>
      </w:r>
      <w:r w:rsidR="00A92DCD" w:rsidRPr="00486B87">
        <w:rPr>
          <w:rFonts w:ascii="Times New Roman" w:eastAsia="Times New Roman" w:hAnsi="Times New Roman" w:cs="Times New Roman"/>
          <w:sz w:val="24"/>
          <w:szCs w:val="24"/>
        </w:rPr>
        <w:t xml:space="preserve"> </w:t>
      </w:r>
      <w:r w:rsidR="001B7113">
        <w:rPr>
          <w:rFonts w:ascii="Times New Roman" w:eastAsia="Times New Roman" w:hAnsi="Times New Roman" w:cs="Times New Roman"/>
          <w:sz w:val="24"/>
          <w:szCs w:val="24"/>
        </w:rPr>
        <w:t xml:space="preserve">of the </w:t>
      </w:r>
      <w:r w:rsidR="00A92DCD" w:rsidRPr="00486B87">
        <w:rPr>
          <w:rFonts w:ascii="Times New Roman" w:eastAsia="Times New Roman" w:hAnsi="Times New Roman" w:cs="Times New Roman"/>
          <w:sz w:val="24"/>
          <w:szCs w:val="24"/>
        </w:rPr>
        <w:t>HRA</w:t>
      </w:r>
      <w:r w:rsidR="00A84237" w:rsidRPr="00486B87">
        <w:rPr>
          <w:rFonts w:ascii="Times New Roman" w:eastAsia="Times New Roman" w:hAnsi="Times New Roman" w:cs="Times New Roman"/>
          <w:sz w:val="24"/>
          <w:szCs w:val="24"/>
        </w:rPr>
        <w:t>, specifically</w:t>
      </w:r>
      <w:r w:rsidR="00A92DCD" w:rsidRPr="00486B87">
        <w:rPr>
          <w:rFonts w:ascii="Times New Roman" w:eastAsia="Times New Roman" w:hAnsi="Times New Roman" w:cs="Times New Roman"/>
          <w:sz w:val="24"/>
          <w:szCs w:val="24"/>
        </w:rPr>
        <w:t xml:space="preserve">. </w:t>
      </w:r>
      <w:r w:rsidR="00B97220" w:rsidRPr="00486B87">
        <w:rPr>
          <w:rFonts w:ascii="Times New Roman" w:eastAsia="Times New Roman" w:hAnsi="Times New Roman" w:cs="Times New Roman"/>
          <w:sz w:val="24"/>
          <w:szCs w:val="24"/>
        </w:rPr>
        <w:t xml:space="preserve">Whether this is </w:t>
      </w:r>
      <w:r w:rsidR="00C671BA" w:rsidRPr="00486B87">
        <w:rPr>
          <w:rFonts w:ascii="Times New Roman" w:eastAsia="Times New Roman" w:hAnsi="Times New Roman" w:cs="Times New Roman"/>
          <w:sz w:val="24"/>
          <w:szCs w:val="24"/>
        </w:rPr>
        <w:t>the government’s</w:t>
      </w:r>
      <w:r w:rsidR="00B97220" w:rsidRPr="00486B87">
        <w:rPr>
          <w:rFonts w:ascii="Times New Roman" w:eastAsia="Times New Roman" w:hAnsi="Times New Roman" w:cs="Times New Roman"/>
          <w:sz w:val="24"/>
          <w:szCs w:val="24"/>
        </w:rPr>
        <w:t xml:space="preserve"> attempt to </w:t>
      </w:r>
      <w:r w:rsidR="00C671BA" w:rsidRPr="00486B87">
        <w:rPr>
          <w:rFonts w:ascii="Times New Roman" w:eastAsia="Times New Roman" w:hAnsi="Times New Roman" w:cs="Times New Roman"/>
          <w:sz w:val="24"/>
          <w:szCs w:val="24"/>
        </w:rPr>
        <w:t xml:space="preserve">legitimise the revocation of same-sex marriage by including a reference to the </w:t>
      </w:r>
      <w:proofErr w:type="gramStart"/>
      <w:r w:rsidR="00C671BA" w:rsidRPr="00486B87">
        <w:rPr>
          <w:rFonts w:ascii="Times New Roman" w:eastAsia="Times New Roman" w:hAnsi="Times New Roman" w:cs="Times New Roman"/>
          <w:sz w:val="24"/>
          <w:szCs w:val="24"/>
        </w:rPr>
        <w:t>HRA,</w:t>
      </w:r>
      <w:proofErr w:type="gramEnd"/>
      <w:r w:rsidR="00C671BA" w:rsidRPr="00486B87">
        <w:rPr>
          <w:rFonts w:ascii="Times New Roman" w:eastAsia="Times New Roman" w:hAnsi="Times New Roman" w:cs="Times New Roman"/>
          <w:sz w:val="24"/>
          <w:szCs w:val="24"/>
        </w:rPr>
        <w:t xml:space="preserve"> </w:t>
      </w:r>
      <w:r w:rsidR="001B7113">
        <w:rPr>
          <w:rFonts w:ascii="Times New Roman" w:eastAsia="Times New Roman" w:hAnsi="Times New Roman" w:cs="Times New Roman"/>
          <w:sz w:val="24"/>
          <w:szCs w:val="24"/>
        </w:rPr>
        <w:t xml:space="preserve">and </w:t>
      </w:r>
      <w:r w:rsidR="00C671BA" w:rsidRPr="00486B87">
        <w:rPr>
          <w:rFonts w:ascii="Times New Roman" w:eastAsia="Times New Roman" w:hAnsi="Times New Roman" w:cs="Times New Roman"/>
          <w:sz w:val="24"/>
          <w:szCs w:val="24"/>
        </w:rPr>
        <w:t>to attempt to persuade the public that due consideration has been given to the HRA, is unclear.</w:t>
      </w:r>
      <w:r w:rsidR="00B97220" w:rsidRPr="00486B87">
        <w:rPr>
          <w:rFonts w:ascii="Times New Roman" w:eastAsia="Times New Roman" w:hAnsi="Times New Roman" w:cs="Times New Roman"/>
          <w:sz w:val="24"/>
          <w:szCs w:val="24"/>
        </w:rPr>
        <w:t xml:space="preserve"> </w:t>
      </w:r>
      <w:r w:rsidR="00A92DCD" w:rsidRPr="00486B87">
        <w:rPr>
          <w:rFonts w:ascii="Times New Roman" w:eastAsia="Times New Roman" w:hAnsi="Times New Roman" w:cs="Times New Roman"/>
          <w:sz w:val="24"/>
          <w:szCs w:val="24"/>
        </w:rPr>
        <w:t xml:space="preserve">The Bermudian </w:t>
      </w:r>
      <w:r w:rsidR="00835862">
        <w:rPr>
          <w:rFonts w:ascii="Times New Roman" w:eastAsia="Times New Roman" w:hAnsi="Times New Roman" w:cs="Times New Roman"/>
          <w:sz w:val="24"/>
          <w:szCs w:val="24"/>
        </w:rPr>
        <w:t>g</w:t>
      </w:r>
      <w:r w:rsidR="00A92DCD" w:rsidRPr="00486B87">
        <w:rPr>
          <w:rFonts w:ascii="Times New Roman" w:eastAsia="Times New Roman" w:hAnsi="Times New Roman" w:cs="Times New Roman"/>
          <w:sz w:val="24"/>
          <w:szCs w:val="24"/>
        </w:rPr>
        <w:t>overnment states that the DPA give</w:t>
      </w:r>
      <w:r w:rsidR="00B6433F" w:rsidRPr="00486B87">
        <w:rPr>
          <w:rFonts w:ascii="Times New Roman" w:eastAsia="Times New Roman" w:hAnsi="Times New Roman" w:cs="Times New Roman"/>
          <w:sz w:val="24"/>
          <w:szCs w:val="24"/>
        </w:rPr>
        <w:t>s</w:t>
      </w:r>
      <w:r w:rsidR="00A92DCD" w:rsidRPr="00486B87">
        <w:rPr>
          <w:rFonts w:ascii="Times New Roman" w:eastAsia="Times New Roman" w:hAnsi="Times New Roman" w:cs="Times New Roman"/>
          <w:sz w:val="24"/>
          <w:szCs w:val="24"/>
        </w:rPr>
        <w:t xml:space="preserve"> </w:t>
      </w:r>
      <w:r w:rsidR="00C465A7" w:rsidRPr="00486B87">
        <w:rPr>
          <w:rFonts w:ascii="Times New Roman" w:eastAsia="Times New Roman" w:hAnsi="Times New Roman" w:cs="Times New Roman"/>
          <w:sz w:val="24"/>
          <w:szCs w:val="24"/>
        </w:rPr>
        <w:t>a statutory right</w:t>
      </w:r>
      <w:r w:rsidR="00A92DCD" w:rsidRPr="00486B87">
        <w:rPr>
          <w:rFonts w:ascii="Times New Roman" w:eastAsia="Times New Roman" w:hAnsi="Times New Roman" w:cs="Times New Roman"/>
          <w:sz w:val="24"/>
          <w:szCs w:val="24"/>
        </w:rPr>
        <w:t xml:space="preserve"> to all couples to enter into a legally recognised partnership, but the result of that is simply that same-sex couples c</w:t>
      </w:r>
      <w:r w:rsidR="00B6433F" w:rsidRPr="00486B87">
        <w:rPr>
          <w:rFonts w:ascii="Times New Roman" w:eastAsia="Times New Roman" w:hAnsi="Times New Roman" w:cs="Times New Roman"/>
          <w:sz w:val="24"/>
          <w:szCs w:val="24"/>
        </w:rPr>
        <w:t>ould</w:t>
      </w:r>
      <w:r w:rsidR="00A92DCD" w:rsidRPr="00486B87">
        <w:rPr>
          <w:rFonts w:ascii="Times New Roman" w:eastAsia="Times New Roman" w:hAnsi="Times New Roman" w:cs="Times New Roman"/>
          <w:sz w:val="24"/>
          <w:szCs w:val="24"/>
        </w:rPr>
        <w:t xml:space="preserve"> no longer get married</w:t>
      </w:r>
      <w:r w:rsidR="00C465A7" w:rsidRPr="00486B87">
        <w:rPr>
          <w:rFonts w:ascii="Times New Roman" w:eastAsia="Times New Roman" w:hAnsi="Times New Roman" w:cs="Times New Roman"/>
          <w:sz w:val="24"/>
          <w:szCs w:val="24"/>
        </w:rPr>
        <w:t xml:space="preserve">. This does directly discriminate against same-sex couples as (using the standard set out in s.2 of the HRA) same-sex couples cannot enter into a legal marriage and so are treated less-favourably, </w:t>
      </w:r>
      <w:r w:rsidR="00C465A7" w:rsidRPr="00486B87">
        <w:rPr>
          <w:rFonts w:ascii="Times New Roman" w:eastAsia="Times New Roman" w:hAnsi="Times New Roman" w:cs="Times New Roman"/>
          <w:sz w:val="24"/>
          <w:szCs w:val="24"/>
        </w:rPr>
        <w:lastRenderedPageBreak/>
        <w:t xml:space="preserve">thus making out the grounds for discrimination under the Bermudian HRA. </w:t>
      </w:r>
      <w:r w:rsidR="00C671BA" w:rsidRPr="00486B87">
        <w:rPr>
          <w:rFonts w:ascii="Times New Roman" w:eastAsia="Times New Roman" w:hAnsi="Times New Roman" w:cs="Times New Roman"/>
          <w:sz w:val="24"/>
          <w:szCs w:val="24"/>
        </w:rPr>
        <w:t xml:space="preserve">There are material differences between the domestic partnership and marriage, though the one difference that seemed to hold weight with the court in </w:t>
      </w:r>
      <w:r w:rsidR="00C671BA" w:rsidRPr="00486B87">
        <w:rPr>
          <w:rFonts w:ascii="Times New Roman" w:eastAsia="Times New Roman" w:hAnsi="Times New Roman" w:cs="Times New Roman"/>
          <w:i/>
          <w:sz w:val="24"/>
          <w:szCs w:val="24"/>
        </w:rPr>
        <w:t>Ferguson</w:t>
      </w:r>
      <w:r w:rsidR="00C671BA" w:rsidRPr="00486B87">
        <w:rPr>
          <w:rFonts w:ascii="Times New Roman" w:eastAsia="Times New Roman" w:hAnsi="Times New Roman" w:cs="Times New Roman"/>
          <w:sz w:val="24"/>
          <w:szCs w:val="24"/>
        </w:rPr>
        <w:t xml:space="preserve"> was the international recognition of partnerships as sub-standard to marriage</w:t>
      </w:r>
      <w:r w:rsidR="00CC0CA3">
        <w:rPr>
          <w:rFonts w:ascii="Times New Roman" w:eastAsia="Times New Roman" w:hAnsi="Times New Roman" w:cs="Times New Roman"/>
          <w:sz w:val="24"/>
          <w:szCs w:val="24"/>
        </w:rPr>
        <w:t>,</w:t>
      </w:r>
      <w:r w:rsidR="00C671BA" w:rsidRPr="00486B87">
        <w:rPr>
          <w:rFonts w:ascii="Times New Roman" w:eastAsia="Times New Roman" w:hAnsi="Times New Roman" w:cs="Times New Roman"/>
          <w:sz w:val="24"/>
          <w:szCs w:val="24"/>
        </w:rPr>
        <w:t xml:space="preserve"> according to Professor Howard </w:t>
      </w:r>
      <w:proofErr w:type="spellStart"/>
      <w:r w:rsidR="00C671BA" w:rsidRPr="00486B87">
        <w:rPr>
          <w:rFonts w:ascii="Times New Roman" w:eastAsia="Times New Roman" w:hAnsi="Times New Roman" w:cs="Times New Roman"/>
          <w:sz w:val="24"/>
          <w:szCs w:val="24"/>
        </w:rPr>
        <w:t>NeJaime</w:t>
      </w:r>
      <w:proofErr w:type="spellEnd"/>
      <w:r w:rsidR="00C671BA" w:rsidRPr="00486B87">
        <w:rPr>
          <w:rStyle w:val="FootnoteReference"/>
          <w:rFonts w:ascii="Times New Roman" w:eastAsia="Times New Roman" w:hAnsi="Times New Roman" w:cs="Times New Roman"/>
          <w:sz w:val="24"/>
          <w:szCs w:val="24"/>
        </w:rPr>
        <w:footnoteReference w:id="68"/>
      </w:r>
      <w:r w:rsidR="00D96E51" w:rsidRPr="00486B87">
        <w:rPr>
          <w:rFonts w:ascii="Times New Roman" w:eastAsia="Times New Roman" w:hAnsi="Times New Roman" w:cs="Times New Roman"/>
          <w:sz w:val="24"/>
          <w:szCs w:val="24"/>
        </w:rPr>
        <w:t>.</w:t>
      </w:r>
      <w:r w:rsidR="00C671BA" w:rsidRPr="00486B87">
        <w:rPr>
          <w:rFonts w:ascii="Times New Roman" w:eastAsia="Times New Roman" w:hAnsi="Times New Roman" w:cs="Times New Roman"/>
          <w:sz w:val="24"/>
          <w:szCs w:val="24"/>
        </w:rPr>
        <w:t xml:space="preserve"> </w:t>
      </w:r>
      <w:r w:rsidR="00B6433F" w:rsidRPr="00486B87">
        <w:rPr>
          <w:rFonts w:ascii="Times New Roman" w:eastAsia="Times New Roman" w:hAnsi="Times New Roman" w:cs="Times New Roman"/>
          <w:sz w:val="24"/>
          <w:szCs w:val="24"/>
        </w:rPr>
        <w:t>Given that the</w:t>
      </w:r>
      <w:r w:rsidR="008464D3" w:rsidRPr="00486B87">
        <w:rPr>
          <w:rFonts w:ascii="Times New Roman" w:eastAsia="Times New Roman" w:hAnsi="Times New Roman" w:cs="Times New Roman"/>
          <w:sz w:val="24"/>
          <w:szCs w:val="24"/>
        </w:rPr>
        <w:t xml:space="preserve"> DPA does in fact discriminate against same-sex </w:t>
      </w:r>
      <w:r w:rsidR="00A84237" w:rsidRPr="00486B87">
        <w:rPr>
          <w:rFonts w:ascii="Times New Roman" w:eastAsia="Times New Roman" w:hAnsi="Times New Roman" w:cs="Times New Roman"/>
          <w:sz w:val="24"/>
          <w:szCs w:val="24"/>
        </w:rPr>
        <w:t>couples,</w:t>
      </w:r>
      <w:r w:rsidR="008464D3" w:rsidRPr="00486B87">
        <w:rPr>
          <w:rFonts w:ascii="Times New Roman" w:eastAsia="Times New Roman" w:hAnsi="Times New Roman" w:cs="Times New Roman"/>
          <w:sz w:val="24"/>
          <w:szCs w:val="24"/>
        </w:rPr>
        <w:t xml:space="preserve"> then the </w:t>
      </w:r>
      <w:r w:rsidR="001E7BA8" w:rsidRPr="00486B87">
        <w:rPr>
          <w:rFonts w:ascii="Times New Roman" w:eastAsia="Times New Roman" w:hAnsi="Times New Roman" w:cs="Times New Roman"/>
          <w:sz w:val="24"/>
          <w:szCs w:val="24"/>
        </w:rPr>
        <w:t>Supreme Court of Bermuda</w:t>
      </w:r>
      <w:r w:rsidR="008464D3" w:rsidRPr="00486B87">
        <w:rPr>
          <w:rFonts w:ascii="Times New Roman" w:eastAsia="Times New Roman" w:hAnsi="Times New Roman" w:cs="Times New Roman"/>
          <w:sz w:val="24"/>
          <w:szCs w:val="24"/>
        </w:rPr>
        <w:t xml:space="preserve"> </w:t>
      </w:r>
      <w:r w:rsidR="00B6433F" w:rsidRPr="00486B87">
        <w:rPr>
          <w:rFonts w:ascii="Times New Roman" w:eastAsia="Times New Roman" w:hAnsi="Times New Roman" w:cs="Times New Roman"/>
          <w:sz w:val="24"/>
          <w:szCs w:val="24"/>
        </w:rPr>
        <w:t>is correct in declaring that</w:t>
      </w:r>
      <w:r w:rsidR="008464D3" w:rsidRPr="00486B87">
        <w:rPr>
          <w:rFonts w:ascii="Times New Roman" w:eastAsia="Times New Roman" w:hAnsi="Times New Roman" w:cs="Times New Roman"/>
          <w:sz w:val="24"/>
          <w:szCs w:val="24"/>
        </w:rPr>
        <w:t xml:space="preserve"> the DPA </w:t>
      </w:r>
      <w:r w:rsidR="00B6433F" w:rsidRPr="00486B87">
        <w:rPr>
          <w:rFonts w:ascii="Times New Roman" w:eastAsia="Times New Roman" w:hAnsi="Times New Roman" w:cs="Times New Roman"/>
          <w:sz w:val="24"/>
          <w:szCs w:val="24"/>
        </w:rPr>
        <w:t xml:space="preserve">is </w:t>
      </w:r>
      <w:r w:rsidR="008464D3" w:rsidRPr="00486B87">
        <w:rPr>
          <w:rFonts w:ascii="Times New Roman" w:eastAsia="Times New Roman" w:hAnsi="Times New Roman" w:cs="Times New Roman"/>
          <w:sz w:val="24"/>
          <w:szCs w:val="24"/>
        </w:rPr>
        <w:t>inoperable</w:t>
      </w:r>
      <w:r w:rsidR="00A81769">
        <w:rPr>
          <w:rFonts w:ascii="Times New Roman" w:eastAsia="Times New Roman" w:hAnsi="Times New Roman" w:cs="Times New Roman"/>
          <w:sz w:val="24"/>
          <w:szCs w:val="24"/>
        </w:rPr>
        <w:t>,</w:t>
      </w:r>
      <w:r w:rsidR="008464D3" w:rsidRPr="00486B87">
        <w:rPr>
          <w:rFonts w:ascii="Times New Roman" w:eastAsia="Times New Roman" w:hAnsi="Times New Roman" w:cs="Times New Roman"/>
          <w:sz w:val="24"/>
          <w:szCs w:val="24"/>
        </w:rPr>
        <w:t xml:space="preserve"> as the HRA carries the quasi-constitutional status mentioned earlier.</w:t>
      </w:r>
      <w:r w:rsidR="00D96E51" w:rsidRPr="00486B87">
        <w:rPr>
          <w:rFonts w:ascii="Times New Roman" w:eastAsia="Times New Roman" w:hAnsi="Times New Roman" w:cs="Times New Roman"/>
          <w:sz w:val="24"/>
          <w:szCs w:val="24"/>
        </w:rPr>
        <w:t xml:space="preserve"> </w:t>
      </w:r>
      <w:r w:rsidR="00A84237" w:rsidRPr="00486B87">
        <w:rPr>
          <w:rFonts w:ascii="Times New Roman" w:eastAsia="Times New Roman" w:hAnsi="Times New Roman" w:cs="Times New Roman"/>
          <w:sz w:val="24"/>
          <w:szCs w:val="24"/>
        </w:rPr>
        <w:t>The point</w:t>
      </w:r>
      <w:r w:rsidR="00D96E51" w:rsidRPr="00486B87">
        <w:rPr>
          <w:rFonts w:ascii="Times New Roman" w:eastAsia="Times New Roman" w:hAnsi="Times New Roman" w:cs="Times New Roman"/>
          <w:sz w:val="24"/>
          <w:szCs w:val="24"/>
        </w:rPr>
        <w:t xml:space="preserve"> which is due discussion</w:t>
      </w:r>
      <w:r w:rsidR="00A84237" w:rsidRPr="00486B87">
        <w:rPr>
          <w:rFonts w:ascii="Times New Roman" w:eastAsia="Times New Roman" w:hAnsi="Times New Roman" w:cs="Times New Roman"/>
          <w:sz w:val="24"/>
          <w:szCs w:val="24"/>
        </w:rPr>
        <w:t xml:space="preserve"> is whether the quasi-constitutional HRA</w:t>
      </w:r>
      <w:r w:rsidR="009B6924" w:rsidRPr="00486B87">
        <w:rPr>
          <w:rFonts w:ascii="Times New Roman" w:eastAsia="Times New Roman" w:hAnsi="Times New Roman" w:cs="Times New Roman"/>
          <w:sz w:val="24"/>
          <w:szCs w:val="24"/>
        </w:rPr>
        <w:t xml:space="preserve"> is ‘in harmony’ with the Bermudian </w:t>
      </w:r>
      <w:r w:rsidR="00A81769">
        <w:rPr>
          <w:rFonts w:ascii="Times New Roman" w:eastAsia="Times New Roman" w:hAnsi="Times New Roman" w:cs="Times New Roman"/>
          <w:sz w:val="24"/>
          <w:szCs w:val="24"/>
        </w:rPr>
        <w:t>C</w:t>
      </w:r>
      <w:r w:rsidR="009B6924" w:rsidRPr="00486B87">
        <w:rPr>
          <w:rFonts w:ascii="Times New Roman" w:eastAsia="Times New Roman" w:hAnsi="Times New Roman" w:cs="Times New Roman"/>
          <w:sz w:val="24"/>
          <w:szCs w:val="24"/>
        </w:rPr>
        <w:t xml:space="preserve">onstitution, and if it is adequate consideration needs to be given to the impact of matters such as the </w:t>
      </w:r>
      <w:r w:rsidR="00A81769">
        <w:rPr>
          <w:rFonts w:ascii="Times New Roman" w:eastAsia="Times New Roman" w:hAnsi="Times New Roman" w:cs="Times New Roman"/>
          <w:sz w:val="24"/>
          <w:szCs w:val="24"/>
        </w:rPr>
        <w:t>art.</w:t>
      </w:r>
      <w:r w:rsidR="009B6924" w:rsidRPr="00486B87">
        <w:rPr>
          <w:rFonts w:ascii="Times New Roman" w:eastAsia="Times New Roman" w:hAnsi="Times New Roman" w:cs="Times New Roman"/>
          <w:sz w:val="24"/>
          <w:szCs w:val="24"/>
        </w:rPr>
        <w:t xml:space="preserve">9 limitations on manifestation of beliefs and </w:t>
      </w:r>
      <w:r w:rsidR="006D7CEB" w:rsidRPr="00486B87">
        <w:rPr>
          <w:rFonts w:ascii="Times New Roman" w:eastAsia="Times New Roman" w:hAnsi="Times New Roman" w:cs="Times New Roman"/>
          <w:sz w:val="24"/>
          <w:szCs w:val="24"/>
        </w:rPr>
        <w:t xml:space="preserve">the making of religiously charged laws. </w:t>
      </w:r>
    </w:p>
    <w:p w14:paraId="3D3FF0C5" w14:textId="77777777" w:rsidR="00155170" w:rsidRPr="00486B87" w:rsidRDefault="00155170" w:rsidP="00174DA6">
      <w:pPr>
        <w:spacing w:line="480" w:lineRule="auto"/>
        <w:jc w:val="both"/>
        <w:rPr>
          <w:rFonts w:ascii="Times New Roman" w:eastAsia="Times New Roman" w:hAnsi="Times New Roman" w:cs="Times New Roman"/>
          <w:sz w:val="24"/>
          <w:szCs w:val="24"/>
        </w:rPr>
      </w:pPr>
    </w:p>
    <w:p w14:paraId="624A0F32" w14:textId="3012BC59" w:rsidR="0067111D" w:rsidRPr="00486B87" w:rsidRDefault="00A84237" w:rsidP="00174DA6">
      <w:pPr>
        <w:spacing w:line="480" w:lineRule="auto"/>
        <w:jc w:val="both"/>
        <w:rPr>
          <w:rFonts w:ascii="Times New Roman" w:hAnsi="Times New Roman" w:cs="Times New Roman"/>
          <w:sz w:val="24"/>
          <w:szCs w:val="24"/>
        </w:rPr>
      </w:pPr>
      <w:r w:rsidRPr="00486B87">
        <w:rPr>
          <w:rFonts w:ascii="Times New Roman" w:eastAsia="Times New Roman" w:hAnsi="Times New Roman" w:cs="Times New Roman"/>
          <w:sz w:val="24"/>
          <w:szCs w:val="24"/>
        </w:rPr>
        <w:t>As abovementioned, the Bermudian Constitution includes a clause exempting marriage</w:t>
      </w:r>
      <w:r w:rsidR="00570250" w:rsidRPr="00486B87">
        <w:rPr>
          <w:rStyle w:val="FootnoteReference"/>
          <w:rFonts w:ascii="Times New Roman" w:eastAsia="Times New Roman" w:hAnsi="Times New Roman" w:cs="Times New Roman"/>
          <w:sz w:val="24"/>
          <w:szCs w:val="24"/>
        </w:rPr>
        <w:footnoteReference w:id="69"/>
      </w:r>
      <w:r w:rsidRPr="00486B87">
        <w:rPr>
          <w:rFonts w:ascii="Times New Roman" w:eastAsia="Times New Roman" w:hAnsi="Times New Roman" w:cs="Times New Roman"/>
          <w:sz w:val="24"/>
          <w:szCs w:val="24"/>
        </w:rPr>
        <w:t xml:space="preserve"> from discriminatory protection, whereas the HRA does not and so the discriminatory protections contained in the HRA do apply to marriage</w:t>
      </w:r>
      <w:r w:rsidR="005E21A0" w:rsidRPr="00486B87">
        <w:rPr>
          <w:rStyle w:val="FootnoteReference"/>
          <w:rFonts w:ascii="Times New Roman" w:eastAsia="Times New Roman" w:hAnsi="Times New Roman" w:cs="Times New Roman"/>
          <w:sz w:val="24"/>
          <w:szCs w:val="24"/>
        </w:rPr>
        <w:footnoteReference w:id="70"/>
      </w:r>
      <w:r w:rsidRPr="00486B87">
        <w:rPr>
          <w:rFonts w:ascii="Times New Roman" w:hAnsi="Times New Roman" w:cs="Times New Roman"/>
          <w:sz w:val="24"/>
          <w:szCs w:val="24"/>
        </w:rPr>
        <w:t xml:space="preserve">. </w:t>
      </w:r>
      <w:r w:rsidR="00852315" w:rsidRPr="00486B87">
        <w:rPr>
          <w:rFonts w:ascii="Times New Roman" w:hAnsi="Times New Roman" w:cs="Times New Roman"/>
          <w:sz w:val="24"/>
          <w:szCs w:val="24"/>
        </w:rPr>
        <w:t xml:space="preserve">Here, a </w:t>
      </w:r>
      <w:r w:rsidR="00CA114B" w:rsidRPr="00486B87">
        <w:rPr>
          <w:rFonts w:ascii="Times New Roman" w:hAnsi="Times New Roman" w:cs="Times New Roman"/>
          <w:sz w:val="24"/>
          <w:szCs w:val="24"/>
        </w:rPr>
        <w:t xml:space="preserve">somewhat theoretical approach </w:t>
      </w:r>
      <w:r w:rsidR="00A628E6" w:rsidRPr="00486B87">
        <w:rPr>
          <w:rFonts w:ascii="Times New Roman" w:hAnsi="Times New Roman" w:cs="Times New Roman"/>
          <w:sz w:val="24"/>
          <w:szCs w:val="24"/>
        </w:rPr>
        <w:t xml:space="preserve">needs to be taken </w:t>
      </w:r>
      <w:r w:rsidR="00CA114B" w:rsidRPr="00486B87">
        <w:rPr>
          <w:rFonts w:ascii="Times New Roman" w:hAnsi="Times New Roman" w:cs="Times New Roman"/>
          <w:sz w:val="24"/>
          <w:szCs w:val="24"/>
        </w:rPr>
        <w:t>to answering the question</w:t>
      </w:r>
      <w:r w:rsidR="003A3881" w:rsidRPr="00486B87">
        <w:rPr>
          <w:rFonts w:ascii="Times New Roman" w:hAnsi="Times New Roman" w:cs="Times New Roman"/>
          <w:sz w:val="24"/>
          <w:szCs w:val="24"/>
        </w:rPr>
        <w:t xml:space="preserve">. In the Bermudian case of </w:t>
      </w:r>
      <w:r w:rsidR="003A3881" w:rsidRPr="00486B87">
        <w:rPr>
          <w:rFonts w:ascii="Times New Roman" w:hAnsi="Times New Roman" w:cs="Times New Roman"/>
          <w:i/>
          <w:sz w:val="24"/>
          <w:szCs w:val="24"/>
        </w:rPr>
        <w:t>A v Attorney General</w:t>
      </w:r>
      <w:r w:rsidR="005E21A0" w:rsidRPr="00486B87">
        <w:rPr>
          <w:rStyle w:val="FootnoteReference"/>
          <w:rFonts w:ascii="Times New Roman" w:hAnsi="Times New Roman" w:cs="Times New Roman"/>
          <w:i/>
          <w:sz w:val="24"/>
          <w:szCs w:val="24"/>
        </w:rPr>
        <w:footnoteReference w:id="71"/>
      </w:r>
      <w:r w:rsidR="00992D53" w:rsidRPr="00486B87">
        <w:rPr>
          <w:rFonts w:ascii="Times New Roman" w:hAnsi="Times New Roman" w:cs="Times New Roman"/>
          <w:sz w:val="24"/>
          <w:szCs w:val="24"/>
        </w:rPr>
        <w:t>,</w:t>
      </w:r>
      <w:r w:rsidR="003A3881" w:rsidRPr="00486B87">
        <w:rPr>
          <w:rFonts w:ascii="Times New Roman" w:hAnsi="Times New Roman" w:cs="Times New Roman"/>
          <w:sz w:val="24"/>
          <w:szCs w:val="24"/>
        </w:rPr>
        <w:t xml:space="preserve"> the </w:t>
      </w:r>
      <w:r w:rsidR="00992D53" w:rsidRPr="00486B87">
        <w:rPr>
          <w:rFonts w:ascii="Times New Roman" w:hAnsi="Times New Roman" w:cs="Times New Roman"/>
          <w:sz w:val="24"/>
          <w:szCs w:val="24"/>
        </w:rPr>
        <w:t>Supreme C</w:t>
      </w:r>
      <w:r w:rsidR="003A3881" w:rsidRPr="00486B87">
        <w:rPr>
          <w:rFonts w:ascii="Times New Roman" w:hAnsi="Times New Roman" w:cs="Times New Roman"/>
          <w:sz w:val="24"/>
          <w:szCs w:val="24"/>
        </w:rPr>
        <w:t>ourt</w:t>
      </w:r>
      <w:r w:rsidR="00992D53" w:rsidRPr="00486B87">
        <w:rPr>
          <w:rFonts w:ascii="Times New Roman" w:hAnsi="Times New Roman" w:cs="Times New Roman"/>
          <w:sz w:val="24"/>
          <w:szCs w:val="24"/>
        </w:rPr>
        <w:t xml:space="preserve"> grapples with a post-constitution </w:t>
      </w:r>
      <w:r w:rsidR="0074542E" w:rsidRPr="00486B87">
        <w:rPr>
          <w:rFonts w:ascii="Times New Roman" w:hAnsi="Times New Roman" w:cs="Times New Roman"/>
          <w:sz w:val="24"/>
          <w:szCs w:val="24"/>
        </w:rPr>
        <w:t>statute</w:t>
      </w:r>
      <w:r w:rsidR="00992D53" w:rsidRPr="00486B87">
        <w:rPr>
          <w:rFonts w:ascii="Times New Roman" w:hAnsi="Times New Roman" w:cs="Times New Roman"/>
          <w:sz w:val="24"/>
          <w:szCs w:val="24"/>
        </w:rPr>
        <w:t xml:space="preserve"> (</w:t>
      </w:r>
      <w:r w:rsidR="00110033" w:rsidRPr="00486B87">
        <w:rPr>
          <w:rFonts w:ascii="Times New Roman" w:hAnsi="Times New Roman" w:cs="Times New Roman"/>
          <w:sz w:val="24"/>
          <w:szCs w:val="24"/>
        </w:rPr>
        <w:t xml:space="preserve">the </w:t>
      </w:r>
      <w:r w:rsidR="00992D53" w:rsidRPr="00486B87">
        <w:rPr>
          <w:rFonts w:ascii="Times New Roman" w:hAnsi="Times New Roman" w:cs="Times New Roman"/>
          <w:sz w:val="24"/>
          <w:szCs w:val="24"/>
        </w:rPr>
        <w:t xml:space="preserve">Companies Act 1981), which seems inconsistent with the constitution. The </w:t>
      </w:r>
      <w:r w:rsidR="00ED0889">
        <w:rPr>
          <w:rFonts w:ascii="Times New Roman" w:hAnsi="Times New Roman" w:cs="Times New Roman"/>
          <w:sz w:val="24"/>
          <w:szCs w:val="24"/>
        </w:rPr>
        <w:t>C</w:t>
      </w:r>
      <w:r w:rsidR="00992D53" w:rsidRPr="00486B87">
        <w:rPr>
          <w:rFonts w:ascii="Times New Roman" w:hAnsi="Times New Roman" w:cs="Times New Roman"/>
          <w:sz w:val="24"/>
          <w:szCs w:val="24"/>
        </w:rPr>
        <w:t xml:space="preserve">ourt affirmed that it is the duty of a court to construe an Act </w:t>
      </w:r>
      <w:r w:rsidR="0074542E" w:rsidRPr="00486B87">
        <w:rPr>
          <w:rFonts w:ascii="Times New Roman" w:hAnsi="Times New Roman" w:cs="Times New Roman"/>
          <w:sz w:val="24"/>
          <w:szCs w:val="24"/>
        </w:rPr>
        <w:t>“subject to the presumption of constitutionality”</w:t>
      </w:r>
      <w:r w:rsidR="00992D53" w:rsidRPr="00486B87">
        <w:rPr>
          <w:rFonts w:ascii="Times New Roman" w:hAnsi="Times New Roman" w:cs="Times New Roman"/>
          <w:sz w:val="24"/>
          <w:szCs w:val="24"/>
        </w:rPr>
        <w:t xml:space="preserve"> if it precedes the Bermud</w:t>
      </w:r>
      <w:r w:rsidR="00AD397E" w:rsidRPr="00486B87">
        <w:rPr>
          <w:rFonts w:ascii="Times New Roman" w:hAnsi="Times New Roman" w:cs="Times New Roman"/>
          <w:sz w:val="24"/>
          <w:szCs w:val="24"/>
        </w:rPr>
        <w:t>a</w:t>
      </w:r>
      <w:r w:rsidR="00992D53" w:rsidRPr="00486B87">
        <w:rPr>
          <w:rFonts w:ascii="Times New Roman" w:hAnsi="Times New Roman" w:cs="Times New Roman"/>
          <w:sz w:val="24"/>
          <w:szCs w:val="24"/>
        </w:rPr>
        <w:t xml:space="preserve"> Constitution Order 1968</w:t>
      </w:r>
      <w:r w:rsidR="0074542E" w:rsidRPr="00486B87">
        <w:rPr>
          <w:rFonts w:ascii="Times New Roman" w:hAnsi="Times New Roman" w:cs="Times New Roman"/>
          <w:sz w:val="24"/>
          <w:szCs w:val="24"/>
        </w:rPr>
        <w:t xml:space="preserve">. </w:t>
      </w:r>
      <w:proofErr w:type="gramStart"/>
      <w:r w:rsidR="0074542E" w:rsidRPr="00486B87">
        <w:rPr>
          <w:rFonts w:ascii="Times New Roman" w:hAnsi="Times New Roman" w:cs="Times New Roman"/>
          <w:sz w:val="24"/>
          <w:szCs w:val="24"/>
        </w:rPr>
        <w:t>W</w:t>
      </w:r>
      <w:r w:rsidR="00992D53" w:rsidRPr="00486B87">
        <w:rPr>
          <w:rFonts w:ascii="Times New Roman" w:hAnsi="Times New Roman" w:cs="Times New Roman"/>
          <w:sz w:val="24"/>
          <w:szCs w:val="24"/>
        </w:rPr>
        <w:t xml:space="preserve">here this is not possible, to declare that the later Act is </w:t>
      </w:r>
      <w:r w:rsidR="009711FF" w:rsidRPr="00486B87">
        <w:rPr>
          <w:rFonts w:ascii="Times New Roman" w:hAnsi="Times New Roman" w:cs="Times New Roman"/>
          <w:sz w:val="24"/>
          <w:szCs w:val="24"/>
        </w:rPr>
        <w:t xml:space="preserve">repugnant </w:t>
      </w:r>
      <w:r w:rsidR="00D43941" w:rsidRPr="00486B87">
        <w:rPr>
          <w:rFonts w:ascii="Times New Roman" w:hAnsi="Times New Roman" w:cs="Times New Roman"/>
          <w:sz w:val="24"/>
          <w:szCs w:val="24"/>
        </w:rPr>
        <w:t>in accordance with the Colonial Laws Validity Act 1865.</w:t>
      </w:r>
      <w:proofErr w:type="gramEnd"/>
      <w:r w:rsidR="0074542E" w:rsidRPr="00486B87">
        <w:rPr>
          <w:rFonts w:ascii="Times New Roman" w:hAnsi="Times New Roman" w:cs="Times New Roman"/>
          <w:sz w:val="24"/>
          <w:szCs w:val="24"/>
        </w:rPr>
        <w:t xml:space="preserve"> The presumption of constitutionality asserts that an Act passed is constitutional unless </w:t>
      </w:r>
      <w:r w:rsidR="00EE487B" w:rsidRPr="00486B87">
        <w:rPr>
          <w:rFonts w:ascii="Times New Roman" w:hAnsi="Times New Roman" w:cs="Times New Roman"/>
          <w:sz w:val="24"/>
          <w:szCs w:val="24"/>
        </w:rPr>
        <w:t xml:space="preserve">a subject can prove that it </w:t>
      </w:r>
      <w:r w:rsidR="00EE487B" w:rsidRPr="00486B87">
        <w:rPr>
          <w:rFonts w:ascii="Times New Roman" w:hAnsi="Times New Roman" w:cs="Times New Roman"/>
          <w:sz w:val="24"/>
          <w:szCs w:val="24"/>
        </w:rPr>
        <w:lastRenderedPageBreak/>
        <w:t>is not</w:t>
      </w:r>
      <w:r w:rsidR="00110033" w:rsidRPr="00486B87">
        <w:rPr>
          <w:rStyle w:val="FootnoteReference"/>
          <w:rFonts w:ascii="Times New Roman" w:hAnsi="Times New Roman" w:cs="Times New Roman"/>
          <w:sz w:val="24"/>
          <w:szCs w:val="24"/>
        </w:rPr>
        <w:footnoteReference w:id="72"/>
      </w:r>
      <w:r w:rsidR="00110033" w:rsidRPr="00486B87">
        <w:rPr>
          <w:rFonts w:ascii="Times New Roman" w:hAnsi="Times New Roman" w:cs="Times New Roman"/>
          <w:sz w:val="24"/>
          <w:szCs w:val="24"/>
        </w:rPr>
        <w:t xml:space="preserve">. </w:t>
      </w:r>
      <w:r w:rsidR="00510B39" w:rsidRPr="00486B87">
        <w:rPr>
          <w:rFonts w:ascii="Times New Roman" w:hAnsi="Times New Roman" w:cs="Times New Roman"/>
          <w:sz w:val="24"/>
          <w:szCs w:val="24"/>
        </w:rPr>
        <w:t>Given that the HRA has not yet</w:t>
      </w:r>
      <w:r w:rsidR="00D6179A" w:rsidRPr="00486B87">
        <w:rPr>
          <w:rFonts w:ascii="Times New Roman" w:hAnsi="Times New Roman" w:cs="Times New Roman"/>
          <w:sz w:val="24"/>
          <w:szCs w:val="24"/>
        </w:rPr>
        <w:t xml:space="preserve"> been </w:t>
      </w:r>
      <w:r w:rsidR="002D00CC" w:rsidRPr="00486B87">
        <w:rPr>
          <w:rFonts w:ascii="Times New Roman" w:hAnsi="Times New Roman" w:cs="Times New Roman"/>
          <w:sz w:val="24"/>
          <w:szCs w:val="24"/>
        </w:rPr>
        <w:t xml:space="preserve">declared repugnant to the </w:t>
      </w:r>
      <w:r w:rsidR="00AE3600">
        <w:rPr>
          <w:rFonts w:ascii="Times New Roman" w:hAnsi="Times New Roman" w:cs="Times New Roman"/>
          <w:sz w:val="24"/>
          <w:szCs w:val="24"/>
        </w:rPr>
        <w:t>C</w:t>
      </w:r>
      <w:r w:rsidR="002D00CC" w:rsidRPr="00486B87">
        <w:rPr>
          <w:rFonts w:ascii="Times New Roman" w:hAnsi="Times New Roman" w:cs="Times New Roman"/>
          <w:sz w:val="24"/>
          <w:szCs w:val="24"/>
        </w:rPr>
        <w:t>onstitution</w:t>
      </w:r>
      <w:r w:rsidR="002C4E9B" w:rsidRPr="00486B87">
        <w:rPr>
          <w:rFonts w:ascii="Times New Roman" w:hAnsi="Times New Roman" w:cs="Times New Roman"/>
          <w:sz w:val="24"/>
          <w:szCs w:val="24"/>
        </w:rPr>
        <w:t xml:space="preserve">, </w:t>
      </w:r>
      <w:r w:rsidR="002D00CC" w:rsidRPr="00486B87">
        <w:rPr>
          <w:rFonts w:ascii="Times New Roman" w:hAnsi="Times New Roman" w:cs="Times New Roman"/>
          <w:sz w:val="24"/>
          <w:szCs w:val="24"/>
        </w:rPr>
        <w:t xml:space="preserve">it is possible </w:t>
      </w:r>
      <w:r w:rsidR="00E61453" w:rsidRPr="00486B87">
        <w:rPr>
          <w:rFonts w:ascii="Times New Roman" w:hAnsi="Times New Roman" w:cs="Times New Roman"/>
          <w:sz w:val="24"/>
          <w:szCs w:val="24"/>
        </w:rPr>
        <w:t xml:space="preserve">that the former option </w:t>
      </w:r>
      <w:r w:rsidR="00E61453" w:rsidRPr="00486B87">
        <w:rPr>
          <w:rFonts w:ascii="Times New Roman" w:hAnsi="Times New Roman" w:cs="Times New Roman"/>
          <w:i/>
          <w:sz w:val="24"/>
          <w:szCs w:val="24"/>
        </w:rPr>
        <w:t xml:space="preserve">viz. </w:t>
      </w:r>
      <w:r w:rsidR="00E61453" w:rsidRPr="00486B87">
        <w:rPr>
          <w:rFonts w:ascii="Times New Roman" w:hAnsi="Times New Roman" w:cs="Times New Roman"/>
          <w:sz w:val="24"/>
          <w:szCs w:val="24"/>
        </w:rPr>
        <w:t xml:space="preserve">the HRA is being read compatibly with the </w:t>
      </w:r>
      <w:r w:rsidR="00AE3600">
        <w:rPr>
          <w:rFonts w:ascii="Times New Roman" w:hAnsi="Times New Roman" w:cs="Times New Roman"/>
          <w:sz w:val="24"/>
          <w:szCs w:val="24"/>
        </w:rPr>
        <w:t>C</w:t>
      </w:r>
      <w:r w:rsidR="00E61453" w:rsidRPr="00486B87">
        <w:rPr>
          <w:rFonts w:ascii="Times New Roman" w:hAnsi="Times New Roman" w:cs="Times New Roman"/>
          <w:sz w:val="24"/>
          <w:szCs w:val="24"/>
        </w:rPr>
        <w:t xml:space="preserve">onstitution and so affording rights in addition to the </w:t>
      </w:r>
      <w:r w:rsidR="00AE3600">
        <w:rPr>
          <w:rFonts w:ascii="Times New Roman" w:hAnsi="Times New Roman" w:cs="Times New Roman"/>
          <w:sz w:val="24"/>
          <w:szCs w:val="24"/>
        </w:rPr>
        <w:t>C</w:t>
      </w:r>
      <w:r w:rsidR="00E61453" w:rsidRPr="00486B87">
        <w:rPr>
          <w:rFonts w:ascii="Times New Roman" w:hAnsi="Times New Roman" w:cs="Times New Roman"/>
          <w:sz w:val="24"/>
          <w:szCs w:val="24"/>
        </w:rPr>
        <w:t>onstitution, is true. This is</w:t>
      </w:r>
      <w:r w:rsidR="00340550">
        <w:rPr>
          <w:rFonts w:ascii="Times New Roman" w:hAnsi="Times New Roman" w:cs="Times New Roman"/>
          <w:sz w:val="24"/>
          <w:szCs w:val="24"/>
        </w:rPr>
        <w:t>,</w:t>
      </w:r>
      <w:r w:rsidR="00E61453" w:rsidRPr="00486B87">
        <w:rPr>
          <w:rFonts w:ascii="Times New Roman" w:hAnsi="Times New Roman" w:cs="Times New Roman"/>
          <w:sz w:val="24"/>
          <w:szCs w:val="24"/>
        </w:rPr>
        <w:t xml:space="preserve"> however, a weak assumption as it is based on the lack of evidence to the contrary</w:t>
      </w:r>
      <w:r w:rsidR="00110033" w:rsidRPr="00486B87">
        <w:rPr>
          <w:rFonts w:ascii="Times New Roman" w:hAnsi="Times New Roman" w:cs="Times New Roman"/>
          <w:sz w:val="24"/>
          <w:szCs w:val="24"/>
        </w:rPr>
        <w:t xml:space="preserve"> in terms of the common law and logical reasoning</w:t>
      </w:r>
      <w:r w:rsidR="00E61453" w:rsidRPr="00486B87">
        <w:rPr>
          <w:rFonts w:ascii="Times New Roman" w:hAnsi="Times New Roman" w:cs="Times New Roman"/>
          <w:sz w:val="24"/>
          <w:szCs w:val="24"/>
        </w:rPr>
        <w:t xml:space="preserve">. Notwithstanding this point, assuming that the HRA is compatible with the </w:t>
      </w:r>
      <w:r w:rsidR="00367DBB">
        <w:rPr>
          <w:rFonts w:ascii="Times New Roman" w:hAnsi="Times New Roman" w:cs="Times New Roman"/>
          <w:sz w:val="24"/>
          <w:szCs w:val="24"/>
        </w:rPr>
        <w:t>C</w:t>
      </w:r>
      <w:r w:rsidR="00E61453" w:rsidRPr="00486B87">
        <w:rPr>
          <w:rFonts w:ascii="Times New Roman" w:hAnsi="Times New Roman" w:cs="Times New Roman"/>
          <w:sz w:val="24"/>
          <w:szCs w:val="24"/>
        </w:rPr>
        <w:t>onstitution, the constitutional rights have</w:t>
      </w:r>
      <w:r w:rsidR="009903B2">
        <w:rPr>
          <w:rFonts w:ascii="Times New Roman" w:hAnsi="Times New Roman" w:cs="Times New Roman"/>
          <w:sz w:val="24"/>
          <w:szCs w:val="24"/>
        </w:rPr>
        <w:t>,</w:t>
      </w:r>
      <w:r w:rsidR="00E61453" w:rsidRPr="00486B87">
        <w:rPr>
          <w:rFonts w:ascii="Times New Roman" w:hAnsi="Times New Roman" w:cs="Times New Roman"/>
          <w:sz w:val="24"/>
          <w:szCs w:val="24"/>
        </w:rPr>
        <w:t xml:space="preserve"> therefore, been extended under the HRA to include discrimination protections for same-sex couples</w:t>
      </w:r>
      <w:r w:rsidR="009903B2">
        <w:rPr>
          <w:rFonts w:ascii="Times New Roman" w:hAnsi="Times New Roman" w:cs="Times New Roman"/>
          <w:sz w:val="24"/>
          <w:szCs w:val="24"/>
        </w:rPr>
        <w:t>,</w:t>
      </w:r>
      <w:r w:rsidR="00E61453" w:rsidRPr="00486B87">
        <w:rPr>
          <w:rFonts w:ascii="Times New Roman" w:hAnsi="Times New Roman" w:cs="Times New Roman"/>
          <w:sz w:val="24"/>
          <w:szCs w:val="24"/>
        </w:rPr>
        <w:t xml:space="preserve"> and that these are not exclusive of marriage as was originally the case. </w:t>
      </w:r>
    </w:p>
    <w:p w14:paraId="10B1AC50" w14:textId="77777777" w:rsidR="00B6433F" w:rsidRPr="00486B87" w:rsidRDefault="00B6433F" w:rsidP="00174DA6">
      <w:pPr>
        <w:spacing w:line="480" w:lineRule="auto"/>
        <w:jc w:val="both"/>
        <w:rPr>
          <w:rFonts w:ascii="Times New Roman" w:hAnsi="Times New Roman" w:cs="Times New Roman"/>
          <w:sz w:val="24"/>
          <w:szCs w:val="24"/>
        </w:rPr>
      </w:pPr>
    </w:p>
    <w:p w14:paraId="68523EA6" w14:textId="74F4168F" w:rsidR="00075A57" w:rsidRPr="00486B87" w:rsidRDefault="00BC21DB" w:rsidP="00174DA6">
      <w:pPr>
        <w:spacing w:line="480" w:lineRule="auto"/>
        <w:jc w:val="both"/>
        <w:rPr>
          <w:rFonts w:ascii="Times New Roman" w:hAnsi="Times New Roman" w:cs="Times New Roman"/>
          <w:sz w:val="24"/>
          <w:szCs w:val="24"/>
        </w:rPr>
      </w:pPr>
      <w:r w:rsidRPr="00486B87">
        <w:rPr>
          <w:rFonts w:ascii="Times New Roman" w:eastAsia="Times New Roman" w:hAnsi="Times New Roman" w:cs="Times New Roman"/>
          <w:sz w:val="24"/>
          <w:szCs w:val="24"/>
        </w:rPr>
        <w:t>T</w:t>
      </w:r>
      <w:r w:rsidR="00E61453" w:rsidRPr="00486B87">
        <w:rPr>
          <w:rFonts w:ascii="Times New Roman" w:eastAsia="Times New Roman" w:hAnsi="Times New Roman" w:cs="Times New Roman"/>
          <w:sz w:val="24"/>
          <w:szCs w:val="24"/>
        </w:rPr>
        <w:t xml:space="preserve">here is an alternative argument which should be considered; does the HRA provide protection against discrimination </w:t>
      </w:r>
      <w:r w:rsidR="00EF3FCC" w:rsidRPr="00486B87">
        <w:rPr>
          <w:rFonts w:ascii="Times New Roman" w:eastAsia="Times New Roman" w:hAnsi="Times New Roman" w:cs="Times New Roman"/>
          <w:sz w:val="24"/>
          <w:szCs w:val="24"/>
        </w:rPr>
        <w:t>based on</w:t>
      </w:r>
      <w:r w:rsidR="00E61453" w:rsidRPr="00486B87">
        <w:rPr>
          <w:rFonts w:ascii="Times New Roman" w:eastAsia="Times New Roman" w:hAnsi="Times New Roman" w:cs="Times New Roman"/>
          <w:sz w:val="24"/>
          <w:szCs w:val="24"/>
        </w:rPr>
        <w:t xml:space="preserve"> sexual orientation</w:t>
      </w:r>
      <w:r w:rsidR="00E61453" w:rsidRPr="00486B87">
        <w:rPr>
          <w:rFonts w:ascii="Times New Roman" w:eastAsia="Times New Roman" w:hAnsi="Times New Roman" w:cs="Times New Roman"/>
          <w:color w:val="000000" w:themeColor="text1"/>
          <w:sz w:val="24"/>
          <w:szCs w:val="24"/>
        </w:rPr>
        <w:t>, save for the marriage exception which is found in</w:t>
      </w:r>
      <w:r w:rsidR="001E7BA8" w:rsidRPr="00486B87">
        <w:rPr>
          <w:rFonts w:ascii="Times New Roman" w:eastAsia="Times New Roman" w:hAnsi="Times New Roman" w:cs="Times New Roman"/>
          <w:color w:val="000000" w:themeColor="text1"/>
          <w:sz w:val="24"/>
          <w:szCs w:val="24"/>
        </w:rPr>
        <w:t xml:space="preserve"> </w:t>
      </w:r>
      <w:proofErr w:type="gramStart"/>
      <w:r w:rsidR="009903B2">
        <w:rPr>
          <w:rFonts w:ascii="Times New Roman" w:eastAsia="Times New Roman" w:hAnsi="Times New Roman" w:cs="Times New Roman"/>
          <w:color w:val="000000" w:themeColor="text1"/>
          <w:sz w:val="24"/>
          <w:szCs w:val="24"/>
        </w:rPr>
        <w:t>para.</w:t>
      </w:r>
      <w:r w:rsidR="001E7BA8" w:rsidRPr="00486B87">
        <w:rPr>
          <w:rFonts w:ascii="Times New Roman" w:eastAsia="Times New Roman" w:hAnsi="Times New Roman" w:cs="Times New Roman"/>
          <w:color w:val="000000" w:themeColor="text1"/>
          <w:sz w:val="24"/>
          <w:szCs w:val="24"/>
        </w:rPr>
        <w:t>12(</w:t>
      </w:r>
      <w:proofErr w:type="gramEnd"/>
      <w:r w:rsidR="001E7BA8" w:rsidRPr="00486B87">
        <w:rPr>
          <w:rFonts w:ascii="Times New Roman" w:eastAsia="Times New Roman" w:hAnsi="Times New Roman" w:cs="Times New Roman"/>
          <w:color w:val="000000" w:themeColor="text1"/>
          <w:sz w:val="24"/>
          <w:szCs w:val="24"/>
        </w:rPr>
        <w:t>4)(c) of the Constitution?</w:t>
      </w:r>
      <w:r w:rsidR="00E61453" w:rsidRPr="00486B87">
        <w:rPr>
          <w:rFonts w:ascii="Times New Roman" w:eastAsia="Times New Roman" w:hAnsi="Times New Roman" w:cs="Times New Roman"/>
          <w:color w:val="000000" w:themeColor="text1"/>
          <w:sz w:val="24"/>
          <w:szCs w:val="24"/>
        </w:rPr>
        <w:t xml:space="preserve"> </w:t>
      </w:r>
      <w:r w:rsidR="0074542E" w:rsidRPr="00486B87">
        <w:rPr>
          <w:rFonts w:ascii="Times New Roman" w:eastAsia="Times New Roman" w:hAnsi="Times New Roman" w:cs="Times New Roman"/>
          <w:sz w:val="24"/>
          <w:szCs w:val="24"/>
        </w:rPr>
        <w:t xml:space="preserve">In order to make this argument </w:t>
      </w:r>
      <w:proofErr w:type="gramStart"/>
      <w:r w:rsidR="0074542E" w:rsidRPr="00486B87">
        <w:rPr>
          <w:rFonts w:ascii="Times New Roman" w:eastAsia="Times New Roman" w:hAnsi="Times New Roman" w:cs="Times New Roman"/>
          <w:sz w:val="24"/>
          <w:szCs w:val="24"/>
        </w:rPr>
        <w:t>fit,</w:t>
      </w:r>
      <w:proofErr w:type="gramEnd"/>
      <w:r w:rsidR="0074542E" w:rsidRPr="00486B87">
        <w:rPr>
          <w:rFonts w:ascii="Times New Roman" w:eastAsia="Times New Roman" w:hAnsi="Times New Roman" w:cs="Times New Roman"/>
          <w:sz w:val="24"/>
          <w:szCs w:val="24"/>
        </w:rPr>
        <w:t xml:space="preserve"> a number of </w:t>
      </w:r>
      <w:r w:rsidR="008B5938" w:rsidRPr="00486B87">
        <w:rPr>
          <w:rFonts w:ascii="Times New Roman" w:eastAsia="Times New Roman" w:hAnsi="Times New Roman" w:cs="Times New Roman"/>
          <w:sz w:val="24"/>
          <w:szCs w:val="24"/>
        </w:rPr>
        <w:t>Commonwealth</w:t>
      </w:r>
      <w:r w:rsidR="0074542E" w:rsidRPr="00486B87">
        <w:rPr>
          <w:rFonts w:ascii="Times New Roman" w:eastAsia="Times New Roman" w:hAnsi="Times New Roman" w:cs="Times New Roman"/>
          <w:sz w:val="24"/>
          <w:szCs w:val="24"/>
        </w:rPr>
        <w:t xml:space="preserve"> principles need to be ignored </w:t>
      </w:r>
      <w:r w:rsidR="00167123">
        <w:rPr>
          <w:rFonts w:ascii="Times New Roman" w:eastAsia="Times New Roman" w:hAnsi="Times New Roman" w:cs="Times New Roman"/>
          <w:sz w:val="24"/>
          <w:szCs w:val="24"/>
        </w:rPr>
        <w:t>i</w:t>
      </w:r>
      <w:r w:rsidR="0074542E" w:rsidRPr="00486B87">
        <w:rPr>
          <w:rFonts w:ascii="Times New Roman" w:eastAsia="Times New Roman" w:hAnsi="Times New Roman" w:cs="Times New Roman"/>
          <w:sz w:val="24"/>
          <w:szCs w:val="24"/>
        </w:rPr>
        <w:t xml:space="preserve">ncluding (but not limited to), the living tree doctrine established in the Canadian constitutional case and the logic invoked by Lord Denning in </w:t>
      </w:r>
      <w:r w:rsidR="0074542E" w:rsidRPr="00486B87">
        <w:rPr>
          <w:rFonts w:ascii="Times New Roman" w:eastAsia="Times New Roman" w:hAnsi="Times New Roman" w:cs="Times New Roman"/>
          <w:i/>
          <w:sz w:val="24"/>
          <w:szCs w:val="24"/>
        </w:rPr>
        <w:t xml:space="preserve">Blackburn </w:t>
      </w:r>
      <w:r w:rsidR="0074542E" w:rsidRPr="00486B87">
        <w:rPr>
          <w:rFonts w:ascii="Times New Roman" w:eastAsia="Times New Roman" w:hAnsi="Times New Roman" w:cs="Times New Roman"/>
          <w:sz w:val="24"/>
          <w:szCs w:val="24"/>
        </w:rPr>
        <w:t xml:space="preserve">above. The statement of the </w:t>
      </w:r>
      <w:r w:rsidR="001E7BA8" w:rsidRPr="00486B87">
        <w:rPr>
          <w:rFonts w:ascii="Times New Roman" w:eastAsia="Times New Roman" w:hAnsi="Times New Roman" w:cs="Times New Roman"/>
          <w:sz w:val="24"/>
          <w:szCs w:val="24"/>
        </w:rPr>
        <w:t>Supreme Court of Bermuda</w:t>
      </w:r>
      <w:r w:rsidR="0074542E" w:rsidRPr="00486B87">
        <w:rPr>
          <w:rFonts w:ascii="Times New Roman" w:eastAsia="Times New Roman" w:hAnsi="Times New Roman" w:cs="Times New Roman"/>
          <w:sz w:val="24"/>
          <w:szCs w:val="24"/>
        </w:rPr>
        <w:t xml:space="preserve"> in </w:t>
      </w:r>
      <w:r w:rsidR="0074542E" w:rsidRPr="00486B87">
        <w:rPr>
          <w:rFonts w:ascii="Times New Roman" w:hAnsi="Times New Roman" w:cs="Times New Roman"/>
          <w:i/>
          <w:sz w:val="24"/>
          <w:szCs w:val="24"/>
        </w:rPr>
        <w:t xml:space="preserve">A v Attorney General </w:t>
      </w:r>
      <w:r w:rsidR="0074542E" w:rsidRPr="00486B87">
        <w:rPr>
          <w:rFonts w:ascii="Times New Roman" w:hAnsi="Times New Roman" w:cs="Times New Roman"/>
          <w:sz w:val="24"/>
          <w:szCs w:val="24"/>
        </w:rPr>
        <w:t xml:space="preserve">would also need to be reviewed; it would no longer be sufficient to read an Act compatibly </w:t>
      </w:r>
      <w:r w:rsidR="00A726C4" w:rsidRPr="00486B87">
        <w:rPr>
          <w:rFonts w:ascii="Times New Roman" w:hAnsi="Times New Roman" w:cs="Times New Roman"/>
          <w:sz w:val="24"/>
          <w:szCs w:val="24"/>
        </w:rPr>
        <w:t>with the presumptio</w:t>
      </w:r>
      <w:r w:rsidR="001E7BA8" w:rsidRPr="00486B87">
        <w:rPr>
          <w:rFonts w:ascii="Times New Roman" w:hAnsi="Times New Roman" w:cs="Times New Roman"/>
          <w:sz w:val="24"/>
          <w:szCs w:val="24"/>
        </w:rPr>
        <w:t>n of constitutionality, the Act would</w:t>
      </w:r>
      <w:r w:rsidR="00A726C4" w:rsidRPr="00486B87">
        <w:rPr>
          <w:rFonts w:ascii="Times New Roman" w:hAnsi="Times New Roman" w:cs="Times New Roman"/>
          <w:sz w:val="24"/>
          <w:szCs w:val="24"/>
        </w:rPr>
        <w:t xml:space="preserve"> need to be construed as </w:t>
      </w:r>
      <w:r w:rsidR="001E7BA8" w:rsidRPr="00486B87">
        <w:rPr>
          <w:rFonts w:ascii="Times New Roman" w:hAnsi="Times New Roman" w:cs="Times New Roman"/>
          <w:sz w:val="24"/>
          <w:szCs w:val="24"/>
        </w:rPr>
        <w:t xml:space="preserve">to apply subject to any exceptions which can be found in the </w:t>
      </w:r>
      <w:r w:rsidR="00167123">
        <w:rPr>
          <w:rFonts w:ascii="Times New Roman" w:hAnsi="Times New Roman" w:cs="Times New Roman"/>
          <w:sz w:val="24"/>
          <w:szCs w:val="24"/>
        </w:rPr>
        <w:t>C</w:t>
      </w:r>
      <w:r w:rsidR="001E7BA8" w:rsidRPr="00486B87">
        <w:rPr>
          <w:rFonts w:ascii="Times New Roman" w:hAnsi="Times New Roman" w:cs="Times New Roman"/>
          <w:sz w:val="24"/>
          <w:szCs w:val="24"/>
        </w:rPr>
        <w:t>onstitution</w:t>
      </w:r>
      <w:r w:rsidR="00047806" w:rsidRPr="00486B87">
        <w:rPr>
          <w:rFonts w:ascii="Times New Roman" w:hAnsi="Times New Roman" w:cs="Times New Roman"/>
          <w:sz w:val="24"/>
          <w:szCs w:val="24"/>
        </w:rPr>
        <w:t>. This seems like a considerable</w:t>
      </w:r>
      <w:r w:rsidR="00A726C4" w:rsidRPr="00486B87">
        <w:rPr>
          <w:rFonts w:ascii="Times New Roman" w:hAnsi="Times New Roman" w:cs="Times New Roman"/>
          <w:sz w:val="24"/>
          <w:szCs w:val="24"/>
        </w:rPr>
        <w:t xml:space="preserve"> step from the current path trodden by the </w:t>
      </w:r>
      <w:r w:rsidR="001E7BA8" w:rsidRPr="00486B87">
        <w:rPr>
          <w:rFonts w:ascii="Times New Roman" w:hAnsi="Times New Roman" w:cs="Times New Roman"/>
          <w:sz w:val="24"/>
          <w:szCs w:val="24"/>
        </w:rPr>
        <w:t>Supreme Court of Bermuda</w:t>
      </w:r>
      <w:r w:rsidR="00A726C4" w:rsidRPr="00486B87">
        <w:rPr>
          <w:rFonts w:ascii="Times New Roman" w:hAnsi="Times New Roman" w:cs="Times New Roman"/>
          <w:sz w:val="24"/>
          <w:szCs w:val="24"/>
        </w:rPr>
        <w:t xml:space="preserve"> in terms of logical reasoning</w:t>
      </w:r>
      <w:r w:rsidRPr="00486B87">
        <w:rPr>
          <w:rFonts w:ascii="Times New Roman" w:hAnsi="Times New Roman" w:cs="Times New Roman"/>
          <w:sz w:val="24"/>
          <w:szCs w:val="24"/>
        </w:rPr>
        <w:t xml:space="preserve"> and from the </w:t>
      </w:r>
      <w:r w:rsidR="00F8119F" w:rsidRPr="00486B87">
        <w:rPr>
          <w:rFonts w:ascii="Times New Roman" w:hAnsi="Times New Roman" w:cs="Times New Roman"/>
          <w:sz w:val="24"/>
          <w:szCs w:val="24"/>
        </w:rPr>
        <w:t>judgment</w:t>
      </w:r>
      <w:r w:rsidRPr="00486B87">
        <w:rPr>
          <w:rFonts w:ascii="Times New Roman" w:hAnsi="Times New Roman" w:cs="Times New Roman"/>
          <w:sz w:val="24"/>
          <w:szCs w:val="24"/>
        </w:rPr>
        <w:t xml:space="preserve"> in </w:t>
      </w:r>
      <w:r w:rsidRPr="00486B87">
        <w:rPr>
          <w:rFonts w:ascii="Times New Roman" w:hAnsi="Times New Roman" w:cs="Times New Roman"/>
          <w:i/>
          <w:sz w:val="24"/>
          <w:szCs w:val="24"/>
        </w:rPr>
        <w:t>Ferguson</w:t>
      </w:r>
      <w:r w:rsidR="00A726C4" w:rsidRPr="00486B87">
        <w:rPr>
          <w:rFonts w:ascii="Times New Roman" w:hAnsi="Times New Roman" w:cs="Times New Roman"/>
          <w:sz w:val="24"/>
          <w:szCs w:val="24"/>
        </w:rPr>
        <w:t>.</w:t>
      </w:r>
      <w:r w:rsidRPr="00486B87">
        <w:rPr>
          <w:rFonts w:ascii="Times New Roman" w:hAnsi="Times New Roman" w:cs="Times New Roman"/>
          <w:sz w:val="24"/>
          <w:szCs w:val="24"/>
        </w:rPr>
        <w:t xml:space="preserve"> From this, it is possible to argue the </w:t>
      </w:r>
      <w:r w:rsidR="00F8119F" w:rsidRPr="00486B87">
        <w:rPr>
          <w:rFonts w:ascii="Times New Roman" w:hAnsi="Times New Roman" w:cs="Times New Roman"/>
          <w:sz w:val="24"/>
          <w:szCs w:val="24"/>
        </w:rPr>
        <w:t>judgment</w:t>
      </w:r>
      <w:r w:rsidRPr="00486B87">
        <w:rPr>
          <w:rFonts w:ascii="Times New Roman" w:hAnsi="Times New Roman" w:cs="Times New Roman"/>
          <w:sz w:val="24"/>
          <w:szCs w:val="24"/>
        </w:rPr>
        <w:t xml:space="preserve"> in </w:t>
      </w:r>
      <w:r w:rsidRPr="00486B87">
        <w:rPr>
          <w:rFonts w:ascii="Times New Roman" w:hAnsi="Times New Roman" w:cs="Times New Roman"/>
          <w:i/>
          <w:sz w:val="24"/>
          <w:szCs w:val="24"/>
        </w:rPr>
        <w:t>Ferguson</w:t>
      </w:r>
      <w:r w:rsidRPr="00486B87">
        <w:rPr>
          <w:rFonts w:ascii="Times New Roman" w:hAnsi="Times New Roman" w:cs="Times New Roman"/>
          <w:sz w:val="24"/>
          <w:szCs w:val="24"/>
        </w:rPr>
        <w:t xml:space="preserve"> is a strong one, even if the reasoning in this article differs from that in the judgment. </w:t>
      </w:r>
      <w:r w:rsidR="00A726C4" w:rsidRPr="00486B87">
        <w:rPr>
          <w:rFonts w:ascii="Times New Roman" w:hAnsi="Times New Roman" w:cs="Times New Roman"/>
          <w:sz w:val="24"/>
          <w:szCs w:val="24"/>
        </w:rPr>
        <w:t xml:space="preserve"> </w:t>
      </w:r>
      <w:r w:rsidR="001935D7" w:rsidRPr="00486B87">
        <w:rPr>
          <w:rFonts w:ascii="Times New Roman" w:hAnsi="Times New Roman" w:cs="Times New Roman"/>
          <w:sz w:val="24"/>
          <w:szCs w:val="24"/>
        </w:rPr>
        <w:t xml:space="preserve">In addition to this, </w:t>
      </w:r>
      <w:r w:rsidR="001F2646" w:rsidRPr="00486B87">
        <w:rPr>
          <w:rFonts w:ascii="Times New Roman" w:hAnsi="Times New Roman" w:cs="Times New Roman"/>
          <w:sz w:val="24"/>
          <w:szCs w:val="24"/>
        </w:rPr>
        <w:t>over the past two decades</w:t>
      </w:r>
      <w:r w:rsidR="001935D7" w:rsidRPr="00486B87">
        <w:rPr>
          <w:rFonts w:ascii="Times New Roman" w:hAnsi="Times New Roman" w:cs="Times New Roman"/>
          <w:sz w:val="24"/>
          <w:szCs w:val="24"/>
        </w:rPr>
        <w:t xml:space="preserve"> the move in </w:t>
      </w:r>
      <w:r w:rsidR="008B5938" w:rsidRPr="00486B87">
        <w:rPr>
          <w:rFonts w:ascii="Times New Roman" w:hAnsi="Times New Roman" w:cs="Times New Roman"/>
          <w:sz w:val="24"/>
          <w:szCs w:val="24"/>
        </w:rPr>
        <w:t>Commonwealth</w:t>
      </w:r>
      <w:r w:rsidR="001935D7" w:rsidRPr="00486B87">
        <w:rPr>
          <w:rFonts w:ascii="Times New Roman" w:hAnsi="Times New Roman" w:cs="Times New Roman"/>
          <w:sz w:val="24"/>
          <w:szCs w:val="24"/>
        </w:rPr>
        <w:t xml:space="preserve"> </w:t>
      </w:r>
      <w:r w:rsidR="001935D7" w:rsidRPr="00486B87">
        <w:rPr>
          <w:rFonts w:ascii="Times New Roman" w:hAnsi="Times New Roman" w:cs="Times New Roman"/>
          <w:sz w:val="24"/>
          <w:szCs w:val="24"/>
        </w:rPr>
        <w:lastRenderedPageBreak/>
        <w:t>countries from all corners of the world</w:t>
      </w:r>
      <w:r w:rsidR="001F2646" w:rsidRPr="00486B87">
        <w:rPr>
          <w:rFonts w:ascii="Times New Roman" w:hAnsi="Times New Roman" w:cs="Times New Roman"/>
          <w:sz w:val="24"/>
          <w:szCs w:val="24"/>
        </w:rPr>
        <w:t xml:space="preserve"> has been to expand their constitutional rights to include same-sex </w:t>
      </w:r>
      <w:r w:rsidR="00281AEC" w:rsidRPr="00486B87">
        <w:rPr>
          <w:rFonts w:ascii="Times New Roman" w:hAnsi="Times New Roman" w:cs="Times New Roman"/>
          <w:sz w:val="24"/>
          <w:szCs w:val="24"/>
        </w:rPr>
        <w:t>marriage;</w:t>
      </w:r>
      <w:r w:rsidR="001935D7" w:rsidRPr="00486B87">
        <w:rPr>
          <w:rFonts w:ascii="Times New Roman" w:hAnsi="Times New Roman" w:cs="Times New Roman"/>
          <w:sz w:val="24"/>
          <w:szCs w:val="24"/>
        </w:rPr>
        <w:t xml:space="preserve"> </w:t>
      </w:r>
      <w:r w:rsidR="00281AEC" w:rsidRPr="00486B87">
        <w:rPr>
          <w:rFonts w:ascii="Times New Roman" w:hAnsi="Times New Roman" w:cs="Times New Roman"/>
          <w:sz w:val="24"/>
          <w:szCs w:val="24"/>
        </w:rPr>
        <w:t>j</w:t>
      </w:r>
      <w:r w:rsidR="005A2B22" w:rsidRPr="00486B87">
        <w:rPr>
          <w:rFonts w:ascii="Times New Roman" w:hAnsi="Times New Roman" w:cs="Times New Roman"/>
          <w:sz w:val="24"/>
          <w:szCs w:val="24"/>
        </w:rPr>
        <w:t>urisdictions</w:t>
      </w:r>
      <w:r w:rsidR="001935D7" w:rsidRPr="00486B87">
        <w:rPr>
          <w:rFonts w:ascii="Times New Roman" w:hAnsi="Times New Roman" w:cs="Times New Roman"/>
          <w:sz w:val="24"/>
          <w:szCs w:val="24"/>
        </w:rPr>
        <w:t xml:space="preserve"> such as </w:t>
      </w:r>
      <w:r w:rsidR="00983871" w:rsidRPr="00486B87">
        <w:rPr>
          <w:rFonts w:ascii="Times New Roman" w:hAnsi="Times New Roman" w:cs="Times New Roman"/>
          <w:sz w:val="24"/>
          <w:szCs w:val="24"/>
        </w:rPr>
        <w:t>Canada</w:t>
      </w:r>
      <w:r w:rsidR="00983871" w:rsidRPr="00486B87">
        <w:rPr>
          <w:rStyle w:val="FootnoteReference"/>
          <w:rFonts w:ascii="Times New Roman" w:hAnsi="Times New Roman" w:cs="Times New Roman"/>
          <w:sz w:val="24"/>
          <w:szCs w:val="24"/>
        </w:rPr>
        <w:footnoteReference w:id="73"/>
      </w:r>
      <w:r w:rsidR="00983871" w:rsidRPr="00486B87">
        <w:rPr>
          <w:rFonts w:ascii="Times New Roman" w:hAnsi="Times New Roman" w:cs="Times New Roman"/>
          <w:sz w:val="24"/>
          <w:szCs w:val="24"/>
        </w:rPr>
        <w:t xml:space="preserve">, </w:t>
      </w:r>
      <w:r w:rsidR="001935D7" w:rsidRPr="00486B87">
        <w:rPr>
          <w:rFonts w:ascii="Times New Roman" w:hAnsi="Times New Roman" w:cs="Times New Roman"/>
          <w:sz w:val="24"/>
          <w:szCs w:val="24"/>
        </w:rPr>
        <w:t>Australia</w:t>
      </w:r>
      <w:r w:rsidR="00B916B7" w:rsidRPr="00486B87">
        <w:rPr>
          <w:rStyle w:val="FootnoteReference"/>
          <w:rFonts w:ascii="Times New Roman" w:hAnsi="Times New Roman" w:cs="Times New Roman"/>
          <w:sz w:val="24"/>
          <w:szCs w:val="24"/>
        </w:rPr>
        <w:footnoteReference w:id="74"/>
      </w:r>
      <w:r w:rsidR="001935D7" w:rsidRPr="00486B87">
        <w:rPr>
          <w:rFonts w:ascii="Times New Roman" w:hAnsi="Times New Roman" w:cs="Times New Roman"/>
          <w:sz w:val="24"/>
          <w:szCs w:val="24"/>
        </w:rPr>
        <w:t>, Malta</w:t>
      </w:r>
      <w:r w:rsidR="00145CCE" w:rsidRPr="00486B87">
        <w:rPr>
          <w:rStyle w:val="FootnoteReference"/>
          <w:rFonts w:ascii="Times New Roman" w:hAnsi="Times New Roman" w:cs="Times New Roman"/>
          <w:sz w:val="24"/>
          <w:szCs w:val="24"/>
        </w:rPr>
        <w:footnoteReference w:id="75"/>
      </w:r>
      <w:r w:rsidR="001935D7" w:rsidRPr="00486B87">
        <w:rPr>
          <w:rFonts w:ascii="Times New Roman" w:hAnsi="Times New Roman" w:cs="Times New Roman"/>
          <w:sz w:val="24"/>
          <w:szCs w:val="24"/>
        </w:rPr>
        <w:t>, South Africa</w:t>
      </w:r>
      <w:r w:rsidR="007A3D07" w:rsidRPr="00486B87">
        <w:rPr>
          <w:rStyle w:val="FootnoteReference"/>
          <w:rFonts w:ascii="Times New Roman" w:hAnsi="Times New Roman" w:cs="Times New Roman"/>
          <w:sz w:val="24"/>
          <w:szCs w:val="24"/>
        </w:rPr>
        <w:footnoteReference w:id="76"/>
      </w:r>
      <w:r w:rsidR="001935D7" w:rsidRPr="00486B87">
        <w:rPr>
          <w:rFonts w:ascii="Times New Roman" w:hAnsi="Times New Roman" w:cs="Times New Roman"/>
          <w:sz w:val="24"/>
          <w:szCs w:val="24"/>
        </w:rPr>
        <w:t>, Saint Helena</w:t>
      </w:r>
      <w:r w:rsidR="002D6D92" w:rsidRPr="00486B87">
        <w:rPr>
          <w:rFonts w:ascii="Times New Roman" w:hAnsi="Times New Roman" w:cs="Times New Roman"/>
          <w:sz w:val="24"/>
          <w:szCs w:val="24"/>
        </w:rPr>
        <w:t xml:space="preserve">, </w:t>
      </w:r>
      <w:r w:rsidR="001935D7" w:rsidRPr="00486B87">
        <w:rPr>
          <w:rFonts w:ascii="Times New Roman" w:hAnsi="Times New Roman" w:cs="Times New Roman"/>
          <w:sz w:val="24"/>
          <w:szCs w:val="24"/>
        </w:rPr>
        <w:t>Ascension</w:t>
      </w:r>
      <w:r w:rsidR="002D6D92" w:rsidRPr="00486B87">
        <w:rPr>
          <w:rFonts w:ascii="Times New Roman" w:hAnsi="Times New Roman" w:cs="Times New Roman"/>
          <w:sz w:val="24"/>
          <w:szCs w:val="24"/>
        </w:rPr>
        <w:t xml:space="preserve"> and</w:t>
      </w:r>
      <w:r w:rsidR="001935D7" w:rsidRPr="00486B87">
        <w:rPr>
          <w:rFonts w:ascii="Times New Roman" w:hAnsi="Times New Roman" w:cs="Times New Roman"/>
          <w:sz w:val="24"/>
          <w:szCs w:val="24"/>
        </w:rPr>
        <w:t xml:space="preserve"> Tristan da Cunha</w:t>
      </w:r>
      <w:r w:rsidR="00010295" w:rsidRPr="00486B87">
        <w:rPr>
          <w:rStyle w:val="FootnoteReference"/>
          <w:rFonts w:ascii="Times New Roman" w:hAnsi="Times New Roman" w:cs="Times New Roman"/>
          <w:color w:val="000000" w:themeColor="text1"/>
          <w:sz w:val="24"/>
          <w:szCs w:val="24"/>
        </w:rPr>
        <w:footnoteReference w:id="77"/>
      </w:r>
      <w:r w:rsidR="00BE6E9B" w:rsidRPr="00486B87">
        <w:rPr>
          <w:rFonts w:ascii="Times New Roman" w:hAnsi="Times New Roman" w:cs="Times New Roman"/>
          <w:color w:val="000000" w:themeColor="text1"/>
          <w:sz w:val="24"/>
          <w:szCs w:val="24"/>
        </w:rPr>
        <w:t xml:space="preserve"> </w:t>
      </w:r>
      <w:r w:rsidR="004C3EAC" w:rsidRPr="00486B87">
        <w:rPr>
          <w:rFonts w:ascii="Times New Roman" w:hAnsi="Times New Roman" w:cs="Times New Roman"/>
          <w:color w:val="000000" w:themeColor="text1"/>
          <w:sz w:val="24"/>
          <w:szCs w:val="24"/>
        </w:rPr>
        <w:t xml:space="preserve">have </w:t>
      </w:r>
      <w:r w:rsidR="00BE6E9B" w:rsidRPr="00486B87">
        <w:rPr>
          <w:rFonts w:ascii="Times New Roman" w:hAnsi="Times New Roman" w:cs="Times New Roman"/>
          <w:color w:val="000000" w:themeColor="text1"/>
          <w:sz w:val="24"/>
          <w:szCs w:val="24"/>
        </w:rPr>
        <w:t xml:space="preserve">either </w:t>
      </w:r>
      <w:r w:rsidR="002C1303" w:rsidRPr="00486B87">
        <w:rPr>
          <w:rFonts w:ascii="Times New Roman" w:hAnsi="Times New Roman" w:cs="Times New Roman"/>
          <w:color w:val="000000" w:themeColor="text1"/>
          <w:sz w:val="24"/>
          <w:szCs w:val="24"/>
        </w:rPr>
        <w:t>allowed</w:t>
      </w:r>
      <w:r w:rsidR="004C3EAC" w:rsidRPr="00486B87">
        <w:rPr>
          <w:rFonts w:ascii="Times New Roman" w:hAnsi="Times New Roman" w:cs="Times New Roman"/>
          <w:color w:val="000000" w:themeColor="text1"/>
          <w:sz w:val="24"/>
          <w:szCs w:val="24"/>
        </w:rPr>
        <w:t>,</w:t>
      </w:r>
      <w:r w:rsidR="00BE6E9B" w:rsidRPr="00486B87">
        <w:rPr>
          <w:rFonts w:ascii="Times New Roman" w:hAnsi="Times New Roman" w:cs="Times New Roman"/>
          <w:color w:val="000000" w:themeColor="text1"/>
          <w:sz w:val="24"/>
          <w:szCs w:val="24"/>
        </w:rPr>
        <w:t xml:space="preserve"> or </w:t>
      </w:r>
      <w:r w:rsidR="002C1303" w:rsidRPr="00486B87">
        <w:rPr>
          <w:rFonts w:ascii="Times New Roman" w:hAnsi="Times New Roman" w:cs="Times New Roman"/>
          <w:color w:val="000000" w:themeColor="text1"/>
          <w:sz w:val="24"/>
          <w:szCs w:val="24"/>
        </w:rPr>
        <w:t>are due to allow</w:t>
      </w:r>
      <w:r w:rsidR="00BE6E9B" w:rsidRPr="00486B87">
        <w:rPr>
          <w:rFonts w:ascii="Times New Roman" w:hAnsi="Times New Roman" w:cs="Times New Roman"/>
          <w:color w:val="000000" w:themeColor="text1"/>
          <w:sz w:val="24"/>
          <w:szCs w:val="24"/>
        </w:rPr>
        <w:t xml:space="preserve"> same-sex </w:t>
      </w:r>
      <w:r w:rsidR="00BE6E9B" w:rsidRPr="00486B87">
        <w:rPr>
          <w:rFonts w:ascii="Times New Roman" w:hAnsi="Times New Roman" w:cs="Times New Roman"/>
          <w:sz w:val="24"/>
          <w:szCs w:val="24"/>
        </w:rPr>
        <w:t>marriage</w:t>
      </w:r>
      <w:r w:rsidR="002C1303" w:rsidRPr="00486B87">
        <w:rPr>
          <w:rFonts w:ascii="Times New Roman" w:hAnsi="Times New Roman" w:cs="Times New Roman"/>
          <w:sz w:val="24"/>
          <w:szCs w:val="24"/>
        </w:rPr>
        <w:t xml:space="preserve">. Even the remote islands of </w:t>
      </w:r>
      <w:r w:rsidR="001935D7" w:rsidRPr="00486B87">
        <w:rPr>
          <w:rFonts w:ascii="Times New Roman" w:hAnsi="Times New Roman" w:cs="Times New Roman"/>
          <w:sz w:val="24"/>
          <w:szCs w:val="24"/>
        </w:rPr>
        <w:t>South Georgia</w:t>
      </w:r>
      <w:r w:rsidR="002F57AA" w:rsidRPr="00486B87">
        <w:rPr>
          <w:rFonts w:ascii="Times New Roman" w:hAnsi="Times New Roman" w:cs="Times New Roman"/>
          <w:sz w:val="24"/>
          <w:szCs w:val="24"/>
        </w:rPr>
        <w:t xml:space="preserve"> and the </w:t>
      </w:r>
      <w:r w:rsidR="001935D7" w:rsidRPr="00486B87">
        <w:rPr>
          <w:rFonts w:ascii="Times New Roman" w:hAnsi="Times New Roman" w:cs="Times New Roman"/>
          <w:sz w:val="24"/>
          <w:szCs w:val="24"/>
        </w:rPr>
        <w:t>South Sandwich Islands</w:t>
      </w:r>
      <w:r w:rsidR="002C1303" w:rsidRPr="00486B87">
        <w:rPr>
          <w:rFonts w:ascii="Times New Roman" w:hAnsi="Times New Roman" w:cs="Times New Roman"/>
          <w:sz w:val="24"/>
          <w:szCs w:val="24"/>
        </w:rPr>
        <w:t xml:space="preserve"> allow same-sex marriage</w:t>
      </w:r>
      <w:r w:rsidR="002C1303" w:rsidRPr="00486B87">
        <w:rPr>
          <w:rStyle w:val="FootnoteReference"/>
          <w:rFonts w:ascii="Times New Roman" w:hAnsi="Times New Roman" w:cs="Times New Roman"/>
          <w:sz w:val="24"/>
          <w:szCs w:val="24"/>
        </w:rPr>
        <w:footnoteReference w:id="78"/>
      </w:r>
      <w:r w:rsidR="002F57AA" w:rsidRPr="00486B87">
        <w:rPr>
          <w:rFonts w:ascii="Times New Roman" w:hAnsi="Times New Roman" w:cs="Times New Roman"/>
          <w:sz w:val="24"/>
          <w:szCs w:val="24"/>
        </w:rPr>
        <w:t xml:space="preserve">. </w:t>
      </w:r>
      <w:r w:rsidR="00817B5A">
        <w:rPr>
          <w:rFonts w:ascii="Times New Roman" w:hAnsi="Times New Roman" w:cs="Times New Roman"/>
          <w:sz w:val="24"/>
          <w:szCs w:val="24"/>
        </w:rPr>
        <w:t>As</w:t>
      </w:r>
      <w:r w:rsidR="00817B5A" w:rsidRPr="00486B87">
        <w:rPr>
          <w:rFonts w:ascii="Times New Roman" w:hAnsi="Times New Roman" w:cs="Times New Roman"/>
          <w:sz w:val="24"/>
          <w:szCs w:val="24"/>
        </w:rPr>
        <w:t xml:space="preserve"> </w:t>
      </w:r>
      <w:r w:rsidR="00281AEC" w:rsidRPr="00486B87">
        <w:rPr>
          <w:rFonts w:ascii="Times New Roman" w:hAnsi="Times New Roman" w:cs="Times New Roman"/>
          <w:sz w:val="24"/>
          <w:szCs w:val="24"/>
        </w:rPr>
        <w:t xml:space="preserve">the Bermudian legislature </w:t>
      </w:r>
      <w:r w:rsidR="00817B5A">
        <w:rPr>
          <w:rFonts w:ascii="Times New Roman" w:hAnsi="Times New Roman" w:cs="Times New Roman"/>
          <w:sz w:val="24"/>
          <w:szCs w:val="24"/>
        </w:rPr>
        <w:t>has chosen</w:t>
      </w:r>
      <w:r w:rsidR="00817B5A" w:rsidRPr="00486B87">
        <w:rPr>
          <w:rFonts w:ascii="Times New Roman" w:hAnsi="Times New Roman" w:cs="Times New Roman"/>
          <w:sz w:val="24"/>
          <w:szCs w:val="24"/>
        </w:rPr>
        <w:t xml:space="preserve"> </w:t>
      </w:r>
      <w:r w:rsidR="00281AEC" w:rsidRPr="00486B87">
        <w:rPr>
          <w:rFonts w:ascii="Times New Roman" w:hAnsi="Times New Roman" w:cs="Times New Roman"/>
          <w:sz w:val="24"/>
          <w:szCs w:val="24"/>
        </w:rPr>
        <w:t xml:space="preserve">to appeal the decision in </w:t>
      </w:r>
      <w:r w:rsidR="00281AEC" w:rsidRPr="00486B87">
        <w:rPr>
          <w:rFonts w:ascii="Times New Roman" w:hAnsi="Times New Roman" w:cs="Times New Roman"/>
          <w:i/>
          <w:sz w:val="24"/>
          <w:szCs w:val="24"/>
        </w:rPr>
        <w:t>Ferguson</w:t>
      </w:r>
      <w:r w:rsidR="00281AEC" w:rsidRPr="00486B87">
        <w:rPr>
          <w:rFonts w:ascii="Times New Roman" w:hAnsi="Times New Roman" w:cs="Times New Roman"/>
          <w:sz w:val="24"/>
          <w:szCs w:val="24"/>
        </w:rPr>
        <w:t xml:space="preserve">, it </w:t>
      </w:r>
      <w:r w:rsidR="00817B5A">
        <w:rPr>
          <w:rFonts w:ascii="Times New Roman" w:hAnsi="Times New Roman" w:cs="Times New Roman"/>
          <w:sz w:val="24"/>
          <w:szCs w:val="24"/>
        </w:rPr>
        <w:t>is</w:t>
      </w:r>
      <w:r w:rsidR="00817B5A" w:rsidRPr="00486B87">
        <w:rPr>
          <w:rFonts w:ascii="Times New Roman" w:hAnsi="Times New Roman" w:cs="Times New Roman"/>
          <w:sz w:val="24"/>
          <w:szCs w:val="24"/>
        </w:rPr>
        <w:t xml:space="preserve"> </w:t>
      </w:r>
      <w:r w:rsidR="00281AEC" w:rsidRPr="00486B87">
        <w:rPr>
          <w:rFonts w:ascii="Times New Roman" w:hAnsi="Times New Roman" w:cs="Times New Roman"/>
          <w:sz w:val="24"/>
          <w:szCs w:val="24"/>
        </w:rPr>
        <w:t>‘buck</w:t>
      </w:r>
      <w:r w:rsidR="00817B5A">
        <w:rPr>
          <w:rFonts w:ascii="Times New Roman" w:hAnsi="Times New Roman" w:cs="Times New Roman"/>
          <w:sz w:val="24"/>
          <w:szCs w:val="24"/>
        </w:rPr>
        <w:t>ing</w:t>
      </w:r>
      <w:r w:rsidR="00281AEC" w:rsidRPr="00486B87">
        <w:rPr>
          <w:rFonts w:ascii="Times New Roman" w:hAnsi="Times New Roman" w:cs="Times New Roman"/>
          <w:sz w:val="24"/>
          <w:szCs w:val="24"/>
        </w:rPr>
        <w:t xml:space="preserve"> the trend’ considerably in the progression </w:t>
      </w:r>
      <w:r w:rsidR="004B1131">
        <w:rPr>
          <w:rFonts w:ascii="Times New Roman" w:hAnsi="Times New Roman" w:cs="Times New Roman"/>
          <w:sz w:val="24"/>
          <w:szCs w:val="24"/>
        </w:rPr>
        <w:t xml:space="preserve">of </w:t>
      </w:r>
      <w:r w:rsidR="00281AEC" w:rsidRPr="00486B87">
        <w:rPr>
          <w:rFonts w:ascii="Times New Roman" w:hAnsi="Times New Roman" w:cs="Times New Roman"/>
          <w:sz w:val="24"/>
          <w:szCs w:val="24"/>
        </w:rPr>
        <w:t xml:space="preserve">rights across the Commonwealth. </w:t>
      </w:r>
      <w:r w:rsidR="00983871" w:rsidRPr="00486B87">
        <w:rPr>
          <w:rFonts w:ascii="Times New Roman" w:hAnsi="Times New Roman" w:cs="Times New Roman"/>
          <w:sz w:val="24"/>
          <w:szCs w:val="24"/>
        </w:rPr>
        <w:t>Bermuda’s recent enactment of the DPA plots a substantially different course to th</w:t>
      </w:r>
      <w:r w:rsidR="008E7147" w:rsidRPr="00486B87">
        <w:rPr>
          <w:rFonts w:ascii="Times New Roman" w:hAnsi="Times New Roman" w:cs="Times New Roman"/>
          <w:sz w:val="24"/>
          <w:szCs w:val="24"/>
        </w:rPr>
        <w:t>at of</w:t>
      </w:r>
      <w:r w:rsidR="005956D4" w:rsidRPr="00486B87">
        <w:rPr>
          <w:rFonts w:ascii="Times New Roman" w:hAnsi="Times New Roman" w:cs="Times New Roman"/>
          <w:sz w:val="24"/>
          <w:szCs w:val="24"/>
        </w:rPr>
        <w:t xml:space="preserve"> </w:t>
      </w:r>
      <w:r w:rsidR="008B5938" w:rsidRPr="00486B87">
        <w:rPr>
          <w:rFonts w:ascii="Times New Roman" w:hAnsi="Times New Roman" w:cs="Times New Roman"/>
          <w:sz w:val="24"/>
          <w:szCs w:val="24"/>
        </w:rPr>
        <w:t>Commonwealth</w:t>
      </w:r>
      <w:r w:rsidR="00983871" w:rsidRPr="00486B87">
        <w:rPr>
          <w:rFonts w:ascii="Times New Roman" w:hAnsi="Times New Roman" w:cs="Times New Roman"/>
          <w:sz w:val="24"/>
          <w:szCs w:val="24"/>
        </w:rPr>
        <w:t xml:space="preserve"> countries mentioned above</w:t>
      </w:r>
      <w:r w:rsidR="004B1131">
        <w:rPr>
          <w:rFonts w:ascii="Times New Roman" w:hAnsi="Times New Roman" w:cs="Times New Roman"/>
          <w:sz w:val="24"/>
          <w:szCs w:val="24"/>
        </w:rPr>
        <w:t>,</w:t>
      </w:r>
      <w:r w:rsidR="00983871" w:rsidRPr="00486B87">
        <w:rPr>
          <w:rFonts w:ascii="Times New Roman" w:hAnsi="Times New Roman" w:cs="Times New Roman"/>
          <w:sz w:val="24"/>
          <w:szCs w:val="24"/>
        </w:rPr>
        <w:t xml:space="preserve"> and it is right to question if such a</w:t>
      </w:r>
      <w:r w:rsidR="00281AEC" w:rsidRPr="00486B87">
        <w:rPr>
          <w:rFonts w:ascii="Times New Roman" w:hAnsi="Times New Roman" w:cs="Times New Roman"/>
          <w:sz w:val="24"/>
          <w:szCs w:val="24"/>
        </w:rPr>
        <w:t>n</w:t>
      </w:r>
      <w:r w:rsidR="00983871" w:rsidRPr="00486B87">
        <w:rPr>
          <w:rFonts w:ascii="Times New Roman" w:hAnsi="Times New Roman" w:cs="Times New Roman"/>
          <w:sz w:val="24"/>
          <w:szCs w:val="24"/>
        </w:rPr>
        <w:t xml:space="preserve"> </w:t>
      </w:r>
      <w:r w:rsidR="00281AEC" w:rsidRPr="00486B87">
        <w:rPr>
          <w:rFonts w:ascii="Times New Roman" w:hAnsi="Times New Roman" w:cs="Times New Roman"/>
          <w:sz w:val="24"/>
          <w:szCs w:val="24"/>
        </w:rPr>
        <w:t xml:space="preserve">attempted </w:t>
      </w:r>
      <w:r w:rsidR="00983871" w:rsidRPr="00486B87">
        <w:rPr>
          <w:rFonts w:ascii="Times New Roman" w:hAnsi="Times New Roman" w:cs="Times New Roman"/>
          <w:sz w:val="24"/>
          <w:szCs w:val="24"/>
        </w:rPr>
        <w:t xml:space="preserve">divergence in </w:t>
      </w:r>
      <w:r w:rsidR="00281AEC" w:rsidRPr="00486B87">
        <w:rPr>
          <w:rFonts w:ascii="Times New Roman" w:hAnsi="Times New Roman" w:cs="Times New Roman"/>
          <w:sz w:val="24"/>
          <w:szCs w:val="24"/>
        </w:rPr>
        <w:t>rights</w:t>
      </w:r>
      <w:r w:rsidR="00983871" w:rsidRPr="00486B87">
        <w:rPr>
          <w:rFonts w:ascii="Times New Roman" w:hAnsi="Times New Roman" w:cs="Times New Roman"/>
          <w:sz w:val="24"/>
          <w:szCs w:val="24"/>
        </w:rPr>
        <w:t xml:space="preserve"> is consistent with the objectives of the </w:t>
      </w:r>
      <w:r w:rsidR="008B5938" w:rsidRPr="00486B87">
        <w:rPr>
          <w:rFonts w:ascii="Times New Roman" w:hAnsi="Times New Roman" w:cs="Times New Roman"/>
          <w:sz w:val="24"/>
          <w:szCs w:val="24"/>
        </w:rPr>
        <w:t>Commonwealth</w:t>
      </w:r>
      <w:r w:rsidR="004B1131">
        <w:rPr>
          <w:rFonts w:ascii="Times New Roman" w:hAnsi="Times New Roman" w:cs="Times New Roman"/>
          <w:sz w:val="24"/>
          <w:szCs w:val="24"/>
        </w:rPr>
        <w:t>.</w:t>
      </w:r>
      <w:r w:rsidR="00CC6F6C" w:rsidRPr="00486B87">
        <w:rPr>
          <w:rFonts w:ascii="Times New Roman" w:hAnsi="Times New Roman" w:cs="Times New Roman"/>
          <w:sz w:val="24"/>
          <w:szCs w:val="24"/>
        </w:rPr>
        <w:t xml:space="preserve"> </w:t>
      </w:r>
      <w:r w:rsidR="008E7147" w:rsidRPr="00486B87">
        <w:rPr>
          <w:rFonts w:ascii="Times New Roman" w:hAnsi="Times New Roman" w:cs="Times New Roman"/>
          <w:sz w:val="24"/>
          <w:szCs w:val="24"/>
        </w:rPr>
        <w:t xml:space="preserve"> Though Bermuda is itself not a member of the </w:t>
      </w:r>
      <w:r w:rsidR="008B5938" w:rsidRPr="00486B87">
        <w:rPr>
          <w:rFonts w:ascii="Times New Roman" w:hAnsi="Times New Roman" w:cs="Times New Roman"/>
          <w:sz w:val="24"/>
          <w:szCs w:val="24"/>
        </w:rPr>
        <w:t>Commonwealth</w:t>
      </w:r>
      <w:r w:rsidR="008E7147" w:rsidRPr="00486B87">
        <w:rPr>
          <w:rFonts w:ascii="Times New Roman" w:hAnsi="Times New Roman" w:cs="Times New Roman"/>
          <w:sz w:val="24"/>
          <w:szCs w:val="24"/>
        </w:rPr>
        <w:t xml:space="preserve"> of Nations, it is a British Overseas Territory and </w:t>
      </w:r>
      <w:r w:rsidR="00DF0A51" w:rsidRPr="00486B87">
        <w:rPr>
          <w:rFonts w:ascii="Times New Roman" w:hAnsi="Times New Roman" w:cs="Times New Roman"/>
          <w:sz w:val="24"/>
          <w:szCs w:val="24"/>
        </w:rPr>
        <w:t xml:space="preserve">the </w:t>
      </w:r>
      <w:r w:rsidR="008B5938" w:rsidRPr="00486B87">
        <w:rPr>
          <w:rFonts w:ascii="Times New Roman" w:hAnsi="Times New Roman" w:cs="Times New Roman"/>
          <w:sz w:val="24"/>
          <w:szCs w:val="24"/>
        </w:rPr>
        <w:t>Commonwealth</w:t>
      </w:r>
      <w:r w:rsidR="00DF0A51" w:rsidRPr="00486B87">
        <w:rPr>
          <w:rFonts w:ascii="Times New Roman" w:hAnsi="Times New Roman" w:cs="Times New Roman"/>
          <w:sz w:val="24"/>
          <w:szCs w:val="24"/>
        </w:rPr>
        <w:t xml:space="preserve"> of Nations sees the people who live in “associated and overseas territories” as “part of the </w:t>
      </w:r>
      <w:r w:rsidR="008B5938" w:rsidRPr="00486B87">
        <w:rPr>
          <w:rFonts w:ascii="Times New Roman" w:hAnsi="Times New Roman" w:cs="Times New Roman"/>
          <w:sz w:val="24"/>
          <w:szCs w:val="24"/>
        </w:rPr>
        <w:t>Commonwealth</w:t>
      </w:r>
      <w:r w:rsidR="00DF0A51" w:rsidRPr="00486B87">
        <w:rPr>
          <w:rFonts w:ascii="Times New Roman" w:hAnsi="Times New Roman" w:cs="Times New Roman"/>
          <w:sz w:val="24"/>
          <w:szCs w:val="24"/>
        </w:rPr>
        <w:t xml:space="preserve"> family”</w:t>
      </w:r>
      <w:r w:rsidR="00DF0A51" w:rsidRPr="00486B87">
        <w:rPr>
          <w:rStyle w:val="FootnoteReference"/>
          <w:rFonts w:ascii="Times New Roman" w:hAnsi="Times New Roman" w:cs="Times New Roman"/>
          <w:sz w:val="24"/>
          <w:szCs w:val="24"/>
        </w:rPr>
        <w:footnoteReference w:id="79"/>
      </w:r>
      <w:r w:rsidR="008E7147" w:rsidRPr="00486B87">
        <w:rPr>
          <w:rFonts w:ascii="Times New Roman" w:hAnsi="Times New Roman" w:cs="Times New Roman"/>
          <w:sz w:val="24"/>
          <w:szCs w:val="24"/>
        </w:rPr>
        <w:t xml:space="preserve">. </w:t>
      </w:r>
      <w:r w:rsidR="00FA3743" w:rsidRPr="00486B87">
        <w:rPr>
          <w:rFonts w:ascii="Times New Roman" w:hAnsi="Times New Roman" w:cs="Times New Roman"/>
          <w:sz w:val="24"/>
          <w:szCs w:val="24"/>
        </w:rPr>
        <w:t>I</w:t>
      </w:r>
      <w:r w:rsidR="00670AD2" w:rsidRPr="00486B87">
        <w:rPr>
          <w:rFonts w:ascii="Times New Roman" w:hAnsi="Times New Roman" w:cs="Times New Roman"/>
          <w:sz w:val="24"/>
          <w:szCs w:val="24"/>
        </w:rPr>
        <w:t>t</w:t>
      </w:r>
      <w:r w:rsidR="00FA3743" w:rsidRPr="00486B87">
        <w:rPr>
          <w:rFonts w:ascii="Times New Roman" w:hAnsi="Times New Roman" w:cs="Times New Roman"/>
          <w:sz w:val="24"/>
          <w:szCs w:val="24"/>
        </w:rPr>
        <w:t xml:space="preserve"> is therefore not necessary to draw a distinction between Bermuda and Commonwealth countries given that the perception of the Commonwealth of Nations is that a link exists between it and overseas territories of full members. </w:t>
      </w:r>
    </w:p>
    <w:p w14:paraId="74AD123F" w14:textId="77777777" w:rsidR="00075A57" w:rsidRPr="00486B87" w:rsidRDefault="00075A57" w:rsidP="00174DA6">
      <w:pPr>
        <w:spacing w:line="480" w:lineRule="auto"/>
        <w:jc w:val="both"/>
        <w:rPr>
          <w:rFonts w:ascii="Times New Roman" w:hAnsi="Times New Roman" w:cs="Times New Roman"/>
          <w:sz w:val="24"/>
          <w:szCs w:val="24"/>
        </w:rPr>
      </w:pPr>
    </w:p>
    <w:p w14:paraId="15C3ADFA" w14:textId="08810EF3" w:rsidR="0067111D" w:rsidRPr="00486B87" w:rsidRDefault="00887C8F" w:rsidP="00174DA6">
      <w:pPr>
        <w:spacing w:line="480" w:lineRule="auto"/>
        <w:jc w:val="both"/>
        <w:rPr>
          <w:rFonts w:ascii="Times New Roman" w:hAnsi="Times New Roman" w:cs="Times New Roman"/>
          <w:sz w:val="24"/>
          <w:szCs w:val="24"/>
        </w:rPr>
      </w:pPr>
      <w:r w:rsidRPr="00486B87">
        <w:rPr>
          <w:rFonts w:ascii="Times New Roman" w:hAnsi="Times New Roman" w:cs="Times New Roman"/>
          <w:sz w:val="24"/>
          <w:szCs w:val="24"/>
        </w:rPr>
        <w:t xml:space="preserve">As </w:t>
      </w:r>
      <w:r w:rsidR="008E7147" w:rsidRPr="00486B87">
        <w:rPr>
          <w:rFonts w:ascii="Times New Roman" w:hAnsi="Times New Roman" w:cs="Times New Roman"/>
          <w:sz w:val="24"/>
          <w:szCs w:val="24"/>
        </w:rPr>
        <w:t xml:space="preserve">the UK is a Member of the </w:t>
      </w:r>
      <w:r w:rsidR="008B5938" w:rsidRPr="00486B87">
        <w:rPr>
          <w:rFonts w:ascii="Times New Roman" w:hAnsi="Times New Roman" w:cs="Times New Roman"/>
          <w:sz w:val="24"/>
          <w:szCs w:val="24"/>
        </w:rPr>
        <w:t>Commonwealth</w:t>
      </w:r>
      <w:r w:rsidR="008E7147" w:rsidRPr="00486B87">
        <w:rPr>
          <w:rFonts w:ascii="Times New Roman" w:hAnsi="Times New Roman" w:cs="Times New Roman"/>
          <w:sz w:val="24"/>
          <w:szCs w:val="24"/>
        </w:rPr>
        <w:t xml:space="preserve"> of Nations, </w:t>
      </w:r>
      <w:r w:rsidR="00F80EF5" w:rsidRPr="00486B87">
        <w:rPr>
          <w:rFonts w:ascii="Times New Roman" w:hAnsi="Times New Roman" w:cs="Times New Roman"/>
          <w:sz w:val="24"/>
          <w:szCs w:val="24"/>
        </w:rPr>
        <w:t>it is incumbent upon the UK to lead its territories towards compliance with the Charter’s aims</w:t>
      </w:r>
      <w:r w:rsidR="003504DB" w:rsidRPr="00486B87">
        <w:rPr>
          <w:rFonts w:ascii="Times New Roman" w:hAnsi="Times New Roman" w:cs="Times New Roman"/>
          <w:sz w:val="24"/>
          <w:szCs w:val="24"/>
        </w:rPr>
        <w:t xml:space="preserve">; although it is recognised that other Commonwealth nations do discriminate against LGBT+ </w:t>
      </w:r>
      <w:r w:rsidR="00176DD2">
        <w:rPr>
          <w:rFonts w:ascii="Times New Roman" w:hAnsi="Times New Roman" w:cs="Times New Roman"/>
          <w:sz w:val="24"/>
          <w:szCs w:val="24"/>
        </w:rPr>
        <w:t>people</w:t>
      </w:r>
      <w:r w:rsidR="003504DB" w:rsidRPr="00486B87">
        <w:rPr>
          <w:rFonts w:ascii="Times New Roman" w:hAnsi="Times New Roman" w:cs="Times New Roman"/>
          <w:sz w:val="24"/>
          <w:szCs w:val="24"/>
        </w:rPr>
        <w:t xml:space="preserve">, this </w:t>
      </w:r>
      <w:r w:rsidR="00EF3FCC" w:rsidRPr="00486B87">
        <w:rPr>
          <w:rFonts w:ascii="Times New Roman" w:hAnsi="Times New Roman" w:cs="Times New Roman"/>
          <w:sz w:val="24"/>
          <w:szCs w:val="24"/>
        </w:rPr>
        <w:t>should</w:t>
      </w:r>
      <w:r w:rsidR="003504DB" w:rsidRPr="00486B87">
        <w:rPr>
          <w:rFonts w:ascii="Times New Roman" w:hAnsi="Times New Roman" w:cs="Times New Roman"/>
          <w:sz w:val="24"/>
          <w:szCs w:val="24"/>
        </w:rPr>
        <w:t xml:space="preserve"> not justify </w:t>
      </w:r>
      <w:r w:rsidR="003504DB" w:rsidRPr="00486B87">
        <w:rPr>
          <w:rFonts w:ascii="Times New Roman" w:hAnsi="Times New Roman" w:cs="Times New Roman"/>
          <w:sz w:val="24"/>
          <w:szCs w:val="24"/>
        </w:rPr>
        <w:lastRenderedPageBreak/>
        <w:t>the UK’s acquiescence towards the Charter’s aims.</w:t>
      </w:r>
      <w:r w:rsidR="008E7147" w:rsidRPr="00486B87">
        <w:rPr>
          <w:rFonts w:ascii="Times New Roman" w:hAnsi="Times New Roman" w:cs="Times New Roman"/>
          <w:sz w:val="24"/>
          <w:szCs w:val="24"/>
        </w:rPr>
        <w:t xml:space="preserve"> </w:t>
      </w:r>
      <w:r w:rsidR="00CC6F6C" w:rsidRPr="00486B87">
        <w:rPr>
          <w:rFonts w:ascii="Times New Roman" w:hAnsi="Times New Roman" w:cs="Times New Roman"/>
          <w:sz w:val="24"/>
          <w:szCs w:val="24"/>
        </w:rPr>
        <w:t xml:space="preserve">The Charter of the </w:t>
      </w:r>
      <w:r w:rsidR="008B5938" w:rsidRPr="00486B87">
        <w:rPr>
          <w:rFonts w:ascii="Times New Roman" w:hAnsi="Times New Roman" w:cs="Times New Roman"/>
          <w:sz w:val="24"/>
          <w:szCs w:val="24"/>
        </w:rPr>
        <w:t>Commonwealth</w:t>
      </w:r>
      <w:r w:rsidR="00CC6F6C" w:rsidRPr="00486B87">
        <w:rPr>
          <w:rFonts w:ascii="Times New Roman" w:hAnsi="Times New Roman" w:cs="Times New Roman"/>
          <w:sz w:val="24"/>
          <w:szCs w:val="24"/>
        </w:rPr>
        <w:t xml:space="preserve"> is a set of values that each </w:t>
      </w:r>
      <w:r w:rsidR="008B5938" w:rsidRPr="00486B87">
        <w:rPr>
          <w:rFonts w:ascii="Times New Roman" w:hAnsi="Times New Roman" w:cs="Times New Roman"/>
          <w:sz w:val="24"/>
          <w:szCs w:val="24"/>
        </w:rPr>
        <w:t>Commonwealth</w:t>
      </w:r>
      <w:r w:rsidR="00CC6F6C" w:rsidRPr="00486B87">
        <w:rPr>
          <w:rFonts w:ascii="Times New Roman" w:hAnsi="Times New Roman" w:cs="Times New Roman"/>
          <w:sz w:val="24"/>
          <w:szCs w:val="24"/>
        </w:rPr>
        <w:t xml:space="preserve"> state signs to uphold and embody</w:t>
      </w:r>
      <w:r w:rsidR="00603BAF">
        <w:rPr>
          <w:rFonts w:ascii="Times New Roman" w:hAnsi="Times New Roman" w:cs="Times New Roman"/>
          <w:sz w:val="24"/>
          <w:szCs w:val="24"/>
        </w:rPr>
        <w:t>.</w:t>
      </w:r>
      <w:r w:rsidR="00CC6F6C" w:rsidRPr="00486B87">
        <w:rPr>
          <w:rFonts w:ascii="Times New Roman" w:hAnsi="Times New Roman" w:cs="Times New Roman"/>
          <w:sz w:val="24"/>
          <w:szCs w:val="24"/>
        </w:rPr>
        <w:t xml:space="preserve"> </w:t>
      </w:r>
      <w:r w:rsidR="00603BAF">
        <w:rPr>
          <w:rFonts w:ascii="Times New Roman" w:hAnsi="Times New Roman" w:cs="Times New Roman"/>
          <w:sz w:val="24"/>
          <w:szCs w:val="24"/>
        </w:rPr>
        <w:t>W</w:t>
      </w:r>
      <w:r w:rsidR="00CC6F6C" w:rsidRPr="00486B87">
        <w:rPr>
          <w:rFonts w:ascii="Times New Roman" w:hAnsi="Times New Roman" w:cs="Times New Roman"/>
          <w:sz w:val="24"/>
          <w:szCs w:val="24"/>
        </w:rPr>
        <w:t>ithin the values can be found two statements</w:t>
      </w:r>
      <w:r w:rsidR="00603BAF">
        <w:rPr>
          <w:rFonts w:ascii="Times New Roman" w:hAnsi="Times New Roman" w:cs="Times New Roman"/>
          <w:sz w:val="24"/>
          <w:szCs w:val="24"/>
        </w:rPr>
        <w:t>:</w:t>
      </w:r>
      <w:r w:rsidR="00CC6F6C" w:rsidRPr="00486B87">
        <w:rPr>
          <w:rFonts w:ascii="Times New Roman" w:hAnsi="Times New Roman" w:cs="Times New Roman"/>
          <w:sz w:val="24"/>
          <w:szCs w:val="24"/>
        </w:rPr>
        <w:t xml:space="preserve"> </w:t>
      </w:r>
      <w:r w:rsidR="00603BAF">
        <w:rPr>
          <w:rFonts w:ascii="Times New Roman" w:hAnsi="Times New Roman" w:cs="Times New Roman"/>
          <w:sz w:val="24"/>
          <w:szCs w:val="24"/>
        </w:rPr>
        <w:t>t</w:t>
      </w:r>
      <w:r w:rsidR="00CC6F6C" w:rsidRPr="00486B87">
        <w:rPr>
          <w:rFonts w:ascii="Times New Roman" w:hAnsi="Times New Roman" w:cs="Times New Roman"/>
          <w:sz w:val="24"/>
          <w:szCs w:val="24"/>
        </w:rPr>
        <w:t>he first, “We note that these rights are universal, indivisible, interdependent and interrelated and cannot be implemented selectively”</w:t>
      </w:r>
      <w:r w:rsidR="00CC6F6C" w:rsidRPr="00486B87">
        <w:rPr>
          <w:rStyle w:val="FootnoteReference"/>
          <w:rFonts w:ascii="Times New Roman" w:hAnsi="Times New Roman" w:cs="Times New Roman"/>
          <w:sz w:val="24"/>
          <w:szCs w:val="24"/>
        </w:rPr>
        <w:footnoteReference w:id="80"/>
      </w:r>
      <w:r w:rsidR="00CC6F6C" w:rsidRPr="00486B87">
        <w:rPr>
          <w:rFonts w:ascii="Times New Roman" w:hAnsi="Times New Roman" w:cs="Times New Roman"/>
          <w:sz w:val="24"/>
          <w:szCs w:val="24"/>
        </w:rPr>
        <w:t>, and second, “We emphasise the need to promote tolerance, respect, understanding […] and recall that respect for the dignity of all human beings is critical to promoting peace and prosperity”</w:t>
      </w:r>
      <w:r w:rsidR="00CC6F6C" w:rsidRPr="00486B87">
        <w:rPr>
          <w:rStyle w:val="FootnoteReference"/>
          <w:rFonts w:ascii="Times New Roman" w:hAnsi="Times New Roman" w:cs="Times New Roman"/>
          <w:sz w:val="24"/>
          <w:szCs w:val="24"/>
        </w:rPr>
        <w:footnoteReference w:id="81"/>
      </w:r>
      <w:r w:rsidR="00CC6F6C" w:rsidRPr="00486B87">
        <w:rPr>
          <w:rFonts w:ascii="Times New Roman" w:hAnsi="Times New Roman" w:cs="Times New Roman"/>
          <w:sz w:val="24"/>
          <w:szCs w:val="24"/>
        </w:rPr>
        <w:t xml:space="preserve">. </w:t>
      </w:r>
      <w:r w:rsidR="00983871" w:rsidRPr="00486B87">
        <w:rPr>
          <w:rFonts w:ascii="Times New Roman" w:hAnsi="Times New Roman" w:cs="Times New Roman"/>
          <w:sz w:val="24"/>
          <w:szCs w:val="24"/>
        </w:rPr>
        <w:t xml:space="preserve"> </w:t>
      </w:r>
      <w:r w:rsidR="008910EE" w:rsidRPr="00486B87">
        <w:rPr>
          <w:rFonts w:ascii="Times New Roman" w:hAnsi="Times New Roman" w:cs="Times New Roman"/>
          <w:sz w:val="24"/>
          <w:szCs w:val="24"/>
        </w:rPr>
        <w:t xml:space="preserve">Although the Charter does </w:t>
      </w:r>
      <w:r w:rsidR="00EF3FCC" w:rsidRPr="00486B87">
        <w:rPr>
          <w:rFonts w:ascii="Times New Roman" w:hAnsi="Times New Roman" w:cs="Times New Roman"/>
          <w:sz w:val="24"/>
          <w:szCs w:val="24"/>
        </w:rPr>
        <w:t>not</w:t>
      </w:r>
      <w:r w:rsidR="008910EE" w:rsidRPr="00486B87">
        <w:rPr>
          <w:rFonts w:ascii="Times New Roman" w:hAnsi="Times New Roman" w:cs="Times New Roman"/>
          <w:sz w:val="24"/>
          <w:szCs w:val="24"/>
        </w:rPr>
        <w:t xml:space="preserve"> protect LGBT+ rights by specifically stating them, the phrases “rights cannot be implemented selectively” and “respect for the dignity of all human beings” fit well with the earlier mentioned notion of equality before the law as a fundamental constitutional right. It is acknowledged that the author is attempting to draw specifics from a vague statement and that this poses </w:t>
      </w:r>
      <w:r w:rsidR="00EF3FCC" w:rsidRPr="00486B87">
        <w:rPr>
          <w:rFonts w:ascii="Times New Roman" w:hAnsi="Times New Roman" w:cs="Times New Roman"/>
          <w:sz w:val="24"/>
          <w:szCs w:val="24"/>
        </w:rPr>
        <w:t>several</w:t>
      </w:r>
      <w:r w:rsidR="008910EE" w:rsidRPr="00486B87">
        <w:rPr>
          <w:rFonts w:ascii="Times New Roman" w:hAnsi="Times New Roman" w:cs="Times New Roman"/>
          <w:sz w:val="24"/>
          <w:szCs w:val="24"/>
        </w:rPr>
        <w:t xml:space="preserve"> inherent challenges</w:t>
      </w:r>
      <w:r w:rsidR="00B2099F">
        <w:rPr>
          <w:rFonts w:ascii="Times New Roman" w:hAnsi="Times New Roman" w:cs="Times New Roman"/>
          <w:sz w:val="24"/>
          <w:szCs w:val="24"/>
        </w:rPr>
        <w:t>,</w:t>
      </w:r>
      <w:r w:rsidR="008910EE" w:rsidRPr="00486B87">
        <w:rPr>
          <w:rFonts w:ascii="Times New Roman" w:hAnsi="Times New Roman" w:cs="Times New Roman"/>
          <w:sz w:val="24"/>
          <w:szCs w:val="24"/>
        </w:rPr>
        <w:t xml:space="preserve"> however, statements written in vague terms can have longevity as they can apply to the ever-changing shape of society. </w:t>
      </w:r>
      <w:r w:rsidR="00D64BA5" w:rsidRPr="00486B87">
        <w:rPr>
          <w:rFonts w:ascii="Times New Roman" w:hAnsi="Times New Roman" w:cs="Times New Roman"/>
          <w:sz w:val="24"/>
          <w:szCs w:val="24"/>
        </w:rPr>
        <w:t>Therefore,</w:t>
      </w:r>
      <w:r w:rsidR="008910EE" w:rsidRPr="00486B87">
        <w:rPr>
          <w:rFonts w:ascii="Times New Roman" w:hAnsi="Times New Roman" w:cs="Times New Roman"/>
          <w:sz w:val="24"/>
          <w:szCs w:val="24"/>
        </w:rPr>
        <w:t xml:space="preserve"> it is not problematic to attempt to apply </w:t>
      </w:r>
      <w:r w:rsidR="00D64BA5" w:rsidRPr="00486B87">
        <w:rPr>
          <w:rFonts w:ascii="Times New Roman" w:hAnsi="Times New Roman" w:cs="Times New Roman"/>
          <w:sz w:val="24"/>
          <w:szCs w:val="24"/>
        </w:rPr>
        <w:t>these vague statements</w:t>
      </w:r>
      <w:r w:rsidR="008910EE" w:rsidRPr="00486B87">
        <w:rPr>
          <w:rFonts w:ascii="Times New Roman" w:hAnsi="Times New Roman" w:cs="Times New Roman"/>
          <w:sz w:val="24"/>
          <w:szCs w:val="24"/>
        </w:rPr>
        <w:t xml:space="preserve"> to modern society, though it is problematic to close one’s ears to potential criticisms of that exercise.</w:t>
      </w:r>
      <w:r w:rsidR="00783C06" w:rsidRPr="00486B87">
        <w:rPr>
          <w:rFonts w:ascii="Times New Roman" w:hAnsi="Times New Roman" w:cs="Times New Roman"/>
          <w:sz w:val="24"/>
          <w:szCs w:val="24"/>
        </w:rPr>
        <w:t xml:space="preserve"> LGBT+ rights in the Commonwealth are a matter attracting much media coverage</w:t>
      </w:r>
      <w:r w:rsidR="00783C06" w:rsidRPr="00486B87">
        <w:rPr>
          <w:rStyle w:val="FootnoteReference"/>
          <w:rFonts w:ascii="Times New Roman" w:hAnsi="Times New Roman" w:cs="Times New Roman"/>
          <w:sz w:val="24"/>
          <w:szCs w:val="24"/>
        </w:rPr>
        <w:footnoteReference w:id="82"/>
      </w:r>
      <w:r w:rsidR="00783C06" w:rsidRPr="00486B87">
        <w:rPr>
          <w:rFonts w:ascii="Times New Roman" w:hAnsi="Times New Roman" w:cs="Times New Roman"/>
          <w:sz w:val="24"/>
          <w:szCs w:val="24"/>
        </w:rPr>
        <w:t xml:space="preserve"> and so a jurisdiction moving against the grain on this matter would inevitably </w:t>
      </w:r>
      <w:r w:rsidR="00D64BA5" w:rsidRPr="00486B87">
        <w:rPr>
          <w:rFonts w:ascii="Times New Roman" w:hAnsi="Times New Roman" w:cs="Times New Roman"/>
          <w:sz w:val="24"/>
          <w:szCs w:val="24"/>
        </w:rPr>
        <w:t>come under the spotlight of</w:t>
      </w:r>
      <w:r w:rsidR="00783C06" w:rsidRPr="00486B87">
        <w:rPr>
          <w:rFonts w:ascii="Times New Roman" w:hAnsi="Times New Roman" w:cs="Times New Roman"/>
          <w:sz w:val="24"/>
          <w:szCs w:val="24"/>
        </w:rPr>
        <w:t xml:space="preserve"> public scrutiny. </w:t>
      </w:r>
      <w:r w:rsidR="00FE32DC" w:rsidRPr="00486B87">
        <w:rPr>
          <w:rFonts w:ascii="Times New Roman" w:hAnsi="Times New Roman" w:cs="Times New Roman"/>
          <w:sz w:val="24"/>
          <w:szCs w:val="24"/>
        </w:rPr>
        <w:t xml:space="preserve"> Notwithstanding these points</w:t>
      </w:r>
      <w:r w:rsidR="00C85B6D">
        <w:rPr>
          <w:rFonts w:ascii="Times New Roman" w:hAnsi="Times New Roman" w:cs="Times New Roman"/>
          <w:sz w:val="24"/>
          <w:szCs w:val="24"/>
        </w:rPr>
        <w:t>,</w:t>
      </w:r>
      <w:r w:rsidR="00FE32DC" w:rsidRPr="00486B87">
        <w:rPr>
          <w:rFonts w:ascii="Times New Roman" w:hAnsi="Times New Roman" w:cs="Times New Roman"/>
          <w:sz w:val="24"/>
          <w:szCs w:val="24"/>
        </w:rPr>
        <w:t xml:space="preserve"> and drawing back to the purely legal question of the inoperability of the DPA, given the strength of feeling that the Bermudian </w:t>
      </w:r>
      <w:r w:rsidR="00835862">
        <w:rPr>
          <w:rFonts w:ascii="Times New Roman" w:hAnsi="Times New Roman" w:cs="Times New Roman"/>
          <w:sz w:val="24"/>
          <w:szCs w:val="24"/>
        </w:rPr>
        <w:t>g</w:t>
      </w:r>
      <w:r w:rsidR="00FE32DC" w:rsidRPr="00486B87">
        <w:rPr>
          <w:rFonts w:ascii="Times New Roman" w:hAnsi="Times New Roman" w:cs="Times New Roman"/>
          <w:sz w:val="24"/>
          <w:szCs w:val="24"/>
        </w:rPr>
        <w:t>overnment seem to have demonstrated in favour of the DPA, it is possible that the matter will eventually end up before the JCP</w:t>
      </w:r>
      <w:r w:rsidR="00C85B6D">
        <w:rPr>
          <w:rFonts w:ascii="Times New Roman" w:hAnsi="Times New Roman" w:cs="Times New Roman"/>
          <w:sz w:val="24"/>
          <w:szCs w:val="24"/>
        </w:rPr>
        <w:t>C</w:t>
      </w:r>
      <w:r w:rsidR="00FE32DC" w:rsidRPr="00486B87">
        <w:rPr>
          <w:rFonts w:ascii="Times New Roman" w:hAnsi="Times New Roman" w:cs="Times New Roman"/>
          <w:sz w:val="24"/>
          <w:szCs w:val="24"/>
        </w:rPr>
        <w:t>.</w:t>
      </w:r>
      <w:r w:rsidR="003C486D" w:rsidRPr="00486B87">
        <w:rPr>
          <w:rFonts w:ascii="Times New Roman" w:hAnsi="Times New Roman" w:cs="Times New Roman"/>
          <w:sz w:val="24"/>
          <w:szCs w:val="24"/>
        </w:rPr>
        <w:t xml:space="preserve"> </w:t>
      </w:r>
      <w:r w:rsidR="009E2F17" w:rsidRPr="00486B87">
        <w:rPr>
          <w:rFonts w:ascii="Times New Roman" w:hAnsi="Times New Roman" w:cs="Times New Roman"/>
          <w:sz w:val="24"/>
          <w:szCs w:val="24"/>
        </w:rPr>
        <w:t xml:space="preserve">If that does happen, it will offer the JCPC the opportunity to mend the broken branches and treat the constitutional tree. However, </w:t>
      </w:r>
      <w:r w:rsidR="009E2F17" w:rsidRPr="00486B87">
        <w:rPr>
          <w:rFonts w:ascii="Times New Roman" w:hAnsi="Times New Roman" w:cs="Times New Roman"/>
          <w:sz w:val="24"/>
          <w:szCs w:val="24"/>
        </w:rPr>
        <w:lastRenderedPageBreak/>
        <w:t>should the JCPC choose not to engage ‘actively’</w:t>
      </w:r>
      <w:r w:rsidR="009E2F17" w:rsidRPr="00486B87">
        <w:rPr>
          <w:rStyle w:val="FootnoteReference"/>
          <w:rFonts w:ascii="Times New Roman" w:hAnsi="Times New Roman" w:cs="Times New Roman"/>
          <w:sz w:val="24"/>
          <w:szCs w:val="24"/>
        </w:rPr>
        <w:footnoteReference w:id="83"/>
      </w:r>
      <w:r w:rsidR="009E2F17" w:rsidRPr="00486B87">
        <w:rPr>
          <w:rFonts w:ascii="Times New Roman" w:hAnsi="Times New Roman" w:cs="Times New Roman"/>
          <w:sz w:val="24"/>
          <w:szCs w:val="24"/>
        </w:rPr>
        <w:t xml:space="preserve"> in a similar way to their predecessors in </w:t>
      </w:r>
      <w:r w:rsidR="009E2F17" w:rsidRPr="00486B87">
        <w:rPr>
          <w:rFonts w:ascii="Times New Roman" w:hAnsi="Times New Roman" w:cs="Times New Roman"/>
          <w:i/>
          <w:sz w:val="24"/>
          <w:szCs w:val="24"/>
        </w:rPr>
        <w:t>Edwards</w:t>
      </w:r>
      <w:r w:rsidR="009E2F17" w:rsidRPr="00486B87">
        <w:rPr>
          <w:rFonts w:ascii="Times New Roman" w:hAnsi="Times New Roman" w:cs="Times New Roman"/>
          <w:sz w:val="24"/>
          <w:szCs w:val="24"/>
        </w:rPr>
        <w:t xml:space="preserve"> </w:t>
      </w:r>
      <w:r w:rsidR="00977183" w:rsidRPr="00486B87">
        <w:rPr>
          <w:rFonts w:ascii="Times New Roman" w:hAnsi="Times New Roman" w:cs="Times New Roman"/>
          <w:sz w:val="24"/>
          <w:szCs w:val="24"/>
        </w:rPr>
        <w:t>(</w:t>
      </w:r>
      <w:r w:rsidR="009D2F17" w:rsidRPr="00486B87">
        <w:rPr>
          <w:rFonts w:ascii="Times New Roman" w:hAnsi="Times New Roman" w:cs="Times New Roman"/>
          <w:sz w:val="24"/>
          <w:szCs w:val="24"/>
        </w:rPr>
        <w:t xml:space="preserve">possibly in deference to the PLP government and concerns that </w:t>
      </w:r>
      <w:r w:rsidR="00977183" w:rsidRPr="00486B87">
        <w:rPr>
          <w:rFonts w:ascii="Times New Roman" w:hAnsi="Times New Roman" w:cs="Times New Roman"/>
          <w:sz w:val="24"/>
          <w:szCs w:val="24"/>
        </w:rPr>
        <w:t xml:space="preserve">doing so would strengthen the call for independence), </w:t>
      </w:r>
      <w:r w:rsidR="009E2F17" w:rsidRPr="00486B87">
        <w:rPr>
          <w:rFonts w:ascii="Times New Roman" w:hAnsi="Times New Roman" w:cs="Times New Roman"/>
          <w:sz w:val="24"/>
          <w:szCs w:val="24"/>
        </w:rPr>
        <w:t xml:space="preserve">then the JCPC runs the risk of condoning the pruning of the constitutional tree by the Bermudian </w:t>
      </w:r>
      <w:r w:rsidR="00835862">
        <w:rPr>
          <w:rFonts w:ascii="Times New Roman" w:hAnsi="Times New Roman" w:cs="Times New Roman"/>
          <w:sz w:val="24"/>
          <w:szCs w:val="24"/>
        </w:rPr>
        <w:t>g</w:t>
      </w:r>
      <w:r w:rsidR="009E2F17" w:rsidRPr="00486B87">
        <w:rPr>
          <w:rFonts w:ascii="Times New Roman" w:hAnsi="Times New Roman" w:cs="Times New Roman"/>
          <w:sz w:val="24"/>
          <w:szCs w:val="24"/>
        </w:rPr>
        <w:t>overnment</w:t>
      </w:r>
      <w:r w:rsidR="00F46267" w:rsidRPr="00486B87">
        <w:rPr>
          <w:rFonts w:ascii="Times New Roman" w:hAnsi="Times New Roman" w:cs="Times New Roman"/>
          <w:sz w:val="24"/>
          <w:szCs w:val="24"/>
        </w:rPr>
        <w:t xml:space="preserve">. </w:t>
      </w:r>
      <w:r w:rsidR="00A92973" w:rsidRPr="00486B87">
        <w:rPr>
          <w:rFonts w:ascii="Times New Roman" w:hAnsi="Times New Roman" w:cs="Times New Roman"/>
          <w:sz w:val="24"/>
          <w:szCs w:val="24"/>
        </w:rPr>
        <w:t xml:space="preserve">In deciding </w:t>
      </w:r>
      <w:r w:rsidR="00A92973" w:rsidRPr="00486B87">
        <w:rPr>
          <w:rFonts w:ascii="Times New Roman" w:hAnsi="Times New Roman" w:cs="Times New Roman"/>
          <w:color w:val="000000" w:themeColor="text1"/>
          <w:sz w:val="24"/>
          <w:szCs w:val="24"/>
        </w:rPr>
        <w:t>which approach</w:t>
      </w:r>
      <w:r w:rsidR="00F9375D" w:rsidRPr="00486B87">
        <w:rPr>
          <w:rFonts w:ascii="Times New Roman" w:hAnsi="Times New Roman" w:cs="Times New Roman"/>
          <w:color w:val="000000" w:themeColor="text1"/>
          <w:sz w:val="24"/>
          <w:szCs w:val="24"/>
        </w:rPr>
        <w:t xml:space="preserve"> to take, it may be prudent </w:t>
      </w:r>
      <w:r w:rsidR="00C72361" w:rsidRPr="00486B87">
        <w:rPr>
          <w:rFonts w:ascii="Times New Roman" w:hAnsi="Times New Roman" w:cs="Times New Roman"/>
          <w:color w:val="000000" w:themeColor="text1"/>
          <w:sz w:val="24"/>
          <w:szCs w:val="24"/>
        </w:rPr>
        <w:t xml:space="preserve">for the JCPC </w:t>
      </w:r>
      <w:r w:rsidR="00F9375D" w:rsidRPr="00486B87">
        <w:rPr>
          <w:rFonts w:ascii="Times New Roman" w:hAnsi="Times New Roman" w:cs="Times New Roman"/>
          <w:color w:val="000000" w:themeColor="text1"/>
          <w:sz w:val="24"/>
          <w:szCs w:val="24"/>
        </w:rPr>
        <w:t>to</w:t>
      </w:r>
      <w:r w:rsidR="00A92973" w:rsidRPr="00486B87">
        <w:rPr>
          <w:rFonts w:ascii="Times New Roman" w:hAnsi="Times New Roman" w:cs="Times New Roman"/>
          <w:color w:val="000000" w:themeColor="text1"/>
          <w:sz w:val="24"/>
          <w:szCs w:val="24"/>
        </w:rPr>
        <w:t xml:space="preserve"> recall</w:t>
      </w:r>
      <w:r w:rsidR="00C72361" w:rsidRPr="00486B87">
        <w:rPr>
          <w:rFonts w:ascii="Times New Roman" w:hAnsi="Times New Roman" w:cs="Times New Roman"/>
          <w:color w:val="000000" w:themeColor="text1"/>
          <w:sz w:val="24"/>
          <w:szCs w:val="24"/>
        </w:rPr>
        <w:t>, should the matter come before them,</w:t>
      </w:r>
      <w:r w:rsidR="00A92973" w:rsidRPr="00486B87">
        <w:rPr>
          <w:rFonts w:ascii="Times New Roman" w:hAnsi="Times New Roman" w:cs="Times New Roman"/>
          <w:color w:val="000000" w:themeColor="text1"/>
          <w:sz w:val="24"/>
          <w:szCs w:val="24"/>
        </w:rPr>
        <w:t xml:space="preserve"> </w:t>
      </w:r>
      <w:r w:rsidR="00F9375D" w:rsidRPr="00486B87">
        <w:rPr>
          <w:rFonts w:ascii="Times New Roman" w:hAnsi="Times New Roman" w:cs="Times New Roman"/>
          <w:color w:val="000000" w:themeColor="text1"/>
          <w:sz w:val="24"/>
          <w:szCs w:val="24"/>
        </w:rPr>
        <w:t>that twisting the branch will</w:t>
      </w:r>
      <w:r w:rsidR="00D037B8" w:rsidRPr="00486B87">
        <w:rPr>
          <w:rFonts w:ascii="Times New Roman" w:hAnsi="Times New Roman" w:cs="Times New Roman"/>
          <w:color w:val="000000" w:themeColor="text1"/>
          <w:sz w:val="24"/>
          <w:szCs w:val="24"/>
        </w:rPr>
        <w:t xml:space="preserve"> incline the tree</w:t>
      </w:r>
      <w:r w:rsidR="00D037B8" w:rsidRPr="00486B87">
        <w:rPr>
          <w:rStyle w:val="FootnoteReference"/>
          <w:rFonts w:ascii="Times New Roman" w:hAnsi="Times New Roman" w:cs="Times New Roman"/>
          <w:color w:val="000000" w:themeColor="text1"/>
          <w:sz w:val="24"/>
          <w:szCs w:val="24"/>
        </w:rPr>
        <w:footnoteReference w:id="84"/>
      </w:r>
      <w:r w:rsidR="00D037B8" w:rsidRPr="00486B87">
        <w:rPr>
          <w:rFonts w:ascii="Times New Roman" w:hAnsi="Times New Roman" w:cs="Times New Roman"/>
          <w:color w:val="000000" w:themeColor="text1"/>
          <w:sz w:val="24"/>
          <w:szCs w:val="24"/>
        </w:rPr>
        <w:t xml:space="preserve">. </w:t>
      </w:r>
    </w:p>
    <w:p w14:paraId="53389934" w14:textId="58001235" w:rsidR="006A0720" w:rsidRDefault="006A0720" w:rsidP="00174DA6">
      <w:pPr>
        <w:spacing w:line="480" w:lineRule="auto"/>
        <w:jc w:val="both"/>
        <w:rPr>
          <w:rFonts w:ascii="Times New Roman" w:hAnsi="Times New Roman" w:cs="Times New Roman"/>
          <w:sz w:val="24"/>
          <w:szCs w:val="24"/>
        </w:rPr>
      </w:pPr>
    </w:p>
    <w:p w14:paraId="15C76B93" w14:textId="114ADFC6" w:rsidR="000E7F0D" w:rsidRPr="00A553D0" w:rsidRDefault="000E7F0D" w:rsidP="00174DA6">
      <w:pPr>
        <w:spacing w:line="480" w:lineRule="auto"/>
        <w:jc w:val="both"/>
        <w:rPr>
          <w:rFonts w:ascii="Times New Roman" w:hAnsi="Times New Roman" w:cs="Times New Roman"/>
          <w:sz w:val="24"/>
          <w:szCs w:val="24"/>
          <w:u w:val="single"/>
        </w:rPr>
      </w:pPr>
      <w:r>
        <w:rPr>
          <w:rFonts w:ascii="Times New Roman" w:hAnsi="Times New Roman" w:cs="Times New Roman"/>
          <w:sz w:val="24"/>
          <w:szCs w:val="24"/>
          <w:u w:val="single"/>
        </w:rPr>
        <w:t>Separation of Powers</w:t>
      </w:r>
    </w:p>
    <w:p w14:paraId="1FB8FED1" w14:textId="64B4CAE8" w:rsidR="004316DB" w:rsidRPr="00486B87" w:rsidRDefault="006A0720" w:rsidP="00237DA8">
      <w:pPr>
        <w:spacing w:line="480" w:lineRule="auto"/>
        <w:jc w:val="both"/>
        <w:rPr>
          <w:rFonts w:ascii="Times New Roman" w:hAnsi="Times New Roman" w:cs="Times New Roman"/>
          <w:sz w:val="24"/>
          <w:szCs w:val="24"/>
        </w:rPr>
      </w:pPr>
      <w:r w:rsidRPr="00486B87">
        <w:rPr>
          <w:rFonts w:ascii="Times New Roman" w:hAnsi="Times New Roman" w:cs="Times New Roman"/>
          <w:sz w:val="24"/>
          <w:szCs w:val="24"/>
        </w:rPr>
        <w:t xml:space="preserve">The point made here </w:t>
      </w:r>
      <w:r w:rsidR="00EF3FCC" w:rsidRPr="00486B87">
        <w:rPr>
          <w:rFonts w:ascii="Times New Roman" w:hAnsi="Times New Roman" w:cs="Times New Roman"/>
          <w:sz w:val="24"/>
          <w:szCs w:val="24"/>
        </w:rPr>
        <w:t>refers</w:t>
      </w:r>
      <w:r w:rsidRPr="00486B87">
        <w:rPr>
          <w:rFonts w:ascii="Times New Roman" w:hAnsi="Times New Roman" w:cs="Times New Roman"/>
          <w:sz w:val="24"/>
          <w:szCs w:val="24"/>
        </w:rPr>
        <w:t xml:space="preserve"> to the earlier mentioned case of </w:t>
      </w:r>
      <w:proofErr w:type="spellStart"/>
      <w:r w:rsidRPr="00486B87">
        <w:rPr>
          <w:rFonts w:ascii="Times New Roman" w:hAnsi="Times New Roman" w:cs="Times New Roman"/>
          <w:i/>
          <w:sz w:val="24"/>
          <w:szCs w:val="24"/>
        </w:rPr>
        <w:t>Lendore</w:t>
      </w:r>
      <w:proofErr w:type="spellEnd"/>
      <w:r w:rsidRPr="00486B87">
        <w:rPr>
          <w:rStyle w:val="FootnoteReference"/>
          <w:rFonts w:ascii="Times New Roman" w:hAnsi="Times New Roman" w:cs="Times New Roman"/>
          <w:i/>
          <w:sz w:val="24"/>
          <w:szCs w:val="24"/>
        </w:rPr>
        <w:footnoteReference w:id="85"/>
      </w:r>
      <w:r w:rsidRPr="00486B87">
        <w:rPr>
          <w:rFonts w:ascii="Times New Roman" w:hAnsi="Times New Roman" w:cs="Times New Roman"/>
          <w:sz w:val="24"/>
          <w:szCs w:val="24"/>
        </w:rPr>
        <w:t xml:space="preserve"> and a statement made by Lo</w:t>
      </w:r>
      <w:r w:rsidR="00F80822" w:rsidRPr="00486B87">
        <w:rPr>
          <w:rFonts w:ascii="Times New Roman" w:hAnsi="Times New Roman" w:cs="Times New Roman"/>
          <w:sz w:val="24"/>
          <w:szCs w:val="24"/>
        </w:rPr>
        <w:t>r</w:t>
      </w:r>
      <w:r w:rsidRPr="00486B87">
        <w:rPr>
          <w:rFonts w:ascii="Times New Roman" w:hAnsi="Times New Roman" w:cs="Times New Roman"/>
          <w:sz w:val="24"/>
          <w:szCs w:val="24"/>
        </w:rPr>
        <w:t>d Hughes JSC at p</w:t>
      </w:r>
      <w:r w:rsidR="00852EF2">
        <w:rPr>
          <w:rFonts w:ascii="Times New Roman" w:hAnsi="Times New Roman" w:cs="Times New Roman"/>
          <w:sz w:val="24"/>
          <w:szCs w:val="24"/>
        </w:rPr>
        <w:t>ara.</w:t>
      </w:r>
      <w:r w:rsidRPr="00486B87">
        <w:rPr>
          <w:rFonts w:ascii="Times New Roman" w:hAnsi="Times New Roman" w:cs="Times New Roman"/>
          <w:sz w:val="24"/>
          <w:szCs w:val="24"/>
        </w:rPr>
        <w:t>16</w:t>
      </w:r>
      <w:r w:rsidR="00EA120D" w:rsidRPr="00486B87">
        <w:rPr>
          <w:rFonts w:ascii="Times New Roman" w:hAnsi="Times New Roman" w:cs="Times New Roman"/>
          <w:sz w:val="24"/>
          <w:szCs w:val="24"/>
        </w:rPr>
        <w:t>,</w:t>
      </w:r>
      <w:r w:rsidRPr="00486B87">
        <w:rPr>
          <w:rFonts w:ascii="Times New Roman" w:hAnsi="Times New Roman" w:cs="Times New Roman"/>
          <w:sz w:val="24"/>
          <w:szCs w:val="24"/>
        </w:rPr>
        <w:t xml:space="preserve"> where His </w:t>
      </w:r>
      <w:r w:rsidR="00852EF2">
        <w:rPr>
          <w:rFonts w:ascii="Times New Roman" w:hAnsi="Times New Roman" w:cs="Times New Roman"/>
          <w:sz w:val="24"/>
          <w:szCs w:val="24"/>
        </w:rPr>
        <w:t>L</w:t>
      </w:r>
      <w:r w:rsidRPr="00486B87">
        <w:rPr>
          <w:rFonts w:ascii="Times New Roman" w:hAnsi="Times New Roman" w:cs="Times New Roman"/>
          <w:sz w:val="24"/>
          <w:szCs w:val="24"/>
        </w:rPr>
        <w:t xml:space="preserve">ordship considers whether the separation of powers is relevant and persuasive when </w:t>
      </w:r>
      <w:r w:rsidR="00F80822" w:rsidRPr="00486B87">
        <w:rPr>
          <w:rFonts w:ascii="Times New Roman" w:hAnsi="Times New Roman" w:cs="Times New Roman"/>
          <w:sz w:val="24"/>
          <w:szCs w:val="24"/>
        </w:rPr>
        <w:t xml:space="preserve">the executive has the right to grant clemency when the courts have sentenced to death. His </w:t>
      </w:r>
      <w:r w:rsidR="003C0698">
        <w:rPr>
          <w:rFonts w:ascii="Times New Roman" w:hAnsi="Times New Roman" w:cs="Times New Roman"/>
          <w:sz w:val="24"/>
          <w:szCs w:val="24"/>
        </w:rPr>
        <w:t>L</w:t>
      </w:r>
      <w:r w:rsidR="00F80822" w:rsidRPr="00486B87">
        <w:rPr>
          <w:rFonts w:ascii="Times New Roman" w:hAnsi="Times New Roman" w:cs="Times New Roman"/>
          <w:sz w:val="24"/>
          <w:szCs w:val="24"/>
        </w:rPr>
        <w:t xml:space="preserve">ordship considered whether one branch of the state can lawfully interfere with the execution of another’s role. His </w:t>
      </w:r>
      <w:r w:rsidR="00B41BE6">
        <w:rPr>
          <w:rFonts w:ascii="Times New Roman" w:hAnsi="Times New Roman" w:cs="Times New Roman"/>
          <w:sz w:val="24"/>
          <w:szCs w:val="24"/>
        </w:rPr>
        <w:t>L</w:t>
      </w:r>
      <w:r w:rsidR="00F80822" w:rsidRPr="00486B87">
        <w:rPr>
          <w:rFonts w:ascii="Times New Roman" w:hAnsi="Times New Roman" w:cs="Times New Roman"/>
          <w:sz w:val="24"/>
          <w:szCs w:val="24"/>
        </w:rPr>
        <w:t xml:space="preserve">ordship was not satisfied by the argument in </w:t>
      </w:r>
      <w:proofErr w:type="spellStart"/>
      <w:r w:rsidR="00F80822" w:rsidRPr="00486B87">
        <w:rPr>
          <w:rFonts w:ascii="Times New Roman" w:hAnsi="Times New Roman" w:cs="Times New Roman"/>
          <w:i/>
          <w:sz w:val="24"/>
          <w:szCs w:val="24"/>
        </w:rPr>
        <w:t>Lendore</w:t>
      </w:r>
      <w:proofErr w:type="spellEnd"/>
      <w:r w:rsidR="00F80822" w:rsidRPr="00486B87">
        <w:rPr>
          <w:rFonts w:ascii="Times New Roman" w:hAnsi="Times New Roman" w:cs="Times New Roman"/>
          <w:i/>
          <w:sz w:val="24"/>
          <w:szCs w:val="24"/>
        </w:rPr>
        <w:t xml:space="preserve">¸ </w:t>
      </w:r>
      <w:r w:rsidR="00F80822" w:rsidRPr="00486B87">
        <w:rPr>
          <w:rFonts w:ascii="Times New Roman" w:hAnsi="Times New Roman" w:cs="Times New Roman"/>
          <w:sz w:val="24"/>
          <w:szCs w:val="24"/>
        </w:rPr>
        <w:t xml:space="preserve">referring to the earlier case of </w:t>
      </w:r>
      <w:r w:rsidR="00F80822" w:rsidRPr="00486B87">
        <w:rPr>
          <w:rFonts w:ascii="Times New Roman" w:hAnsi="Times New Roman" w:cs="Times New Roman"/>
          <w:i/>
          <w:sz w:val="24"/>
          <w:szCs w:val="24"/>
        </w:rPr>
        <w:t>Boyce v The Queen</w:t>
      </w:r>
      <w:r w:rsidR="00F80822" w:rsidRPr="00486B87">
        <w:rPr>
          <w:rStyle w:val="FootnoteReference"/>
          <w:rFonts w:ascii="Times New Roman" w:hAnsi="Times New Roman" w:cs="Times New Roman"/>
          <w:sz w:val="24"/>
          <w:szCs w:val="24"/>
        </w:rPr>
        <w:footnoteReference w:id="86"/>
      </w:r>
      <w:r w:rsidR="002F368A" w:rsidRPr="00486B87">
        <w:rPr>
          <w:rFonts w:ascii="Times New Roman" w:hAnsi="Times New Roman" w:cs="Times New Roman"/>
          <w:i/>
          <w:sz w:val="24"/>
          <w:szCs w:val="24"/>
        </w:rPr>
        <w:t>,</w:t>
      </w:r>
      <w:r w:rsidR="00F80822" w:rsidRPr="00486B87">
        <w:rPr>
          <w:rFonts w:ascii="Times New Roman" w:hAnsi="Times New Roman" w:cs="Times New Roman"/>
          <w:sz w:val="24"/>
          <w:szCs w:val="24"/>
        </w:rPr>
        <w:t xml:space="preserve"> in which </w:t>
      </w:r>
      <w:r w:rsidR="000D3F6D" w:rsidRPr="00486B87">
        <w:rPr>
          <w:rFonts w:ascii="Times New Roman" w:hAnsi="Times New Roman" w:cs="Times New Roman"/>
          <w:sz w:val="24"/>
          <w:szCs w:val="24"/>
        </w:rPr>
        <w:t xml:space="preserve">Lord Hoffman stated that arguing a constitution was “based upon the principle of the separation of powers” as “pithy”.  Lord Hoffman felt that constitutions </w:t>
      </w:r>
      <w:r w:rsidR="00BA2252" w:rsidRPr="00486B87">
        <w:rPr>
          <w:rFonts w:ascii="Times New Roman" w:hAnsi="Times New Roman" w:cs="Times New Roman"/>
          <w:sz w:val="24"/>
          <w:szCs w:val="24"/>
        </w:rPr>
        <w:t>create</w:t>
      </w:r>
      <w:r w:rsidR="000D3F6D" w:rsidRPr="00486B87">
        <w:rPr>
          <w:rFonts w:ascii="Times New Roman" w:hAnsi="Times New Roman" w:cs="Times New Roman"/>
          <w:sz w:val="24"/>
          <w:szCs w:val="24"/>
        </w:rPr>
        <w:t xml:space="preserve"> their own v</w:t>
      </w:r>
      <w:r w:rsidR="00BA2252" w:rsidRPr="00486B87">
        <w:rPr>
          <w:rFonts w:ascii="Times New Roman" w:hAnsi="Times New Roman" w:cs="Times New Roman"/>
          <w:sz w:val="24"/>
          <w:szCs w:val="24"/>
        </w:rPr>
        <w:t>ersion</w:t>
      </w:r>
      <w:r w:rsidR="000D3F6D" w:rsidRPr="00486B87">
        <w:rPr>
          <w:rFonts w:ascii="Times New Roman" w:hAnsi="Times New Roman" w:cs="Times New Roman"/>
          <w:sz w:val="24"/>
          <w:szCs w:val="24"/>
        </w:rPr>
        <w:t xml:space="preserve"> of the separation of powers </w:t>
      </w:r>
      <w:r w:rsidR="00BA2252" w:rsidRPr="00486B87">
        <w:rPr>
          <w:rFonts w:ascii="Times New Roman" w:hAnsi="Times New Roman" w:cs="Times New Roman"/>
          <w:sz w:val="24"/>
          <w:szCs w:val="24"/>
        </w:rPr>
        <w:t xml:space="preserve">and transcribe that </w:t>
      </w:r>
      <w:r w:rsidR="000D3F6D" w:rsidRPr="00486B87">
        <w:rPr>
          <w:rFonts w:ascii="Times New Roman" w:hAnsi="Times New Roman" w:cs="Times New Roman"/>
          <w:sz w:val="24"/>
          <w:szCs w:val="24"/>
        </w:rPr>
        <w:t>into domestic law</w:t>
      </w:r>
      <w:r w:rsidR="003F4607" w:rsidRPr="00486B87">
        <w:rPr>
          <w:rFonts w:ascii="Times New Roman" w:hAnsi="Times New Roman" w:cs="Times New Roman"/>
          <w:sz w:val="24"/>
          <w:szCs w:val="24"/>
        </w:rPr>
        <w:t>;</w:t>
      </w:r>
      <w:r w:rsidR="000D3F6D" w:rsidRPr="00486B87">
        <w:rPr>
          <w:rFonts w:ascii="Times New Roman" w:hAnsi="Times New Roman" w:cs="Times New Roman"/>
          <w:sz w:val="24"/>
          <w:szCs w:val="24"/>
        </w:rPr>
        <w:t xml:space="preserve"> the role of the court is to </w:t>
      </w:r>
      <w:r w:rsidR="003F4607" w:rsidRPr="00486B87">
        <w:rPr>
          <w:rFonts w:ascii="Times New Roman" w:hAnsi="Times New Roman" w:cs="Times New Roman"/>
          <w:sz w:val="24"/>
          <w:szCs w:val="24"/>
        </w:rPr>
        <w:t xml:space="preserve">then </w:t>
      </w:r>
      <w:r w:rsidR="000D3F6D" w:rsidRPr="00486B87">
        <w:rPr>
          <w:rFonts w:ascii="Times New Roman" w:hAnsi="Times New Roman" w:cs="Times New Roman"/>
          <w:sz w:val="24"/>
          <w:szCs w:val="24"/>
        </w:rPr>
        <w:t xml:space="preserve">uphold that </w:t>
      </w:r>
      <w:r w:rsidR="00B41BE6">
        <w:rPr>
          <w:rFonts w:ascii="Times New Roman" w:hAnsi="Times New Roman" w:cs="Times New Roman"/>
          <w:sz w:val="24"/>
          <w:szCs w:val="24"/>
        </w:rPr>
        <w:t>c</w:t>
      </w:r>
      <w:r w:rsidR="000D3F6D" w:rsidRPr="00486B87">
        <w:rPr>
          <w:rFonts w:ascii="Times New Roman" w:hAnsi="Times New Roman" w:cs="Times New Roman"/>
          <w:sz w:val="24"/>
          <w:szCs w:val="24"/>
        </w:rPr>
        <w:t>onstitution</w:t>
      </w:r>
      <w:r w:rsidR="003F4607" w:rsidRPr="00486B87">
        <w:rPr>
          <w:rFonts w:ascii="Times New Roman" w:hAnsi="Times New Roman" w:cs="Times New Roman"/>
          <w:sz w:val="24"/>
          <w:szCs w:val="24"/>
        </w:rPr>
        <w:t>al view of the separation of powers</w:t>
      </w:r>
      <w:r w:rsidR="000D3F6D" w:rsidRPr="00486B87">
        <w:rPr>
          <w:rFonts w:ascii="Times New Roman" w:hAnsi="Times New Roman" w:cs="Times New Roman"/>
          <w:sz w:val="24"/>
          <w:szCs w:val="24"/>
        </w:rPr>
        <w:t xml:space="preserve">. </w:t>
      </w:r>
      <w:r w:rsidR="004316DB" w:rsidRPr="00486B87">
        <w:rPr>
          <w:rFonts w:ascii="Times New Roman" w:hAnsi="Times New Roman" w:cs="Times New Roman"/>
          <w:sz w:val="24"/>
          <w:szCs w:val="24"/>
        </w:rPr>
        <w:t xml:space="preserve">The difficulty here lies in vague description of the separation of powers laid-down in the </w:t>
      </w:r>
      <w:r w:rsidR="00274600">
        <w:rPr>
          <w:rFonts w:ascii="Times New Roman" w:hAnsi="Times New Roman" w:cs="Times New Roman"/>
          <w:sz w:val="24"/>
          <w:szCs w:val="24"/>
        </w:rPr>
        <w:t>C</w:t>
      </w:r>
      <w:r w:rsidR="004316DB" w:rsidRPr="00486B87">
        <w:rPr>
          <w:rFonts w:ascii="Times New Roman" w:hAnsi="Times New Roman" w:cs="Times New Roman"/>
          <w:sz w:val="24"/>
          <w:szCs w:val="24"/>
        </w:rPr>
        <w:t>onstitution. In the absence of specific model of separation, how does the judiciary and legislature establish their remit without testing the limits of their power</w:t>
      </w:r>
      <w:r w:rsidR="00274600">
        <w:rPr>
          <w:rFonts w:ascii="Times New Roman" w:hAnsi="Times New Roman" w:cs="Times New Roman"/>
          <w:sz w:val="24"/>
          <w:szCs w:val="24"/>
        </w:rPr>
        <w:t>?</w:t>
      </w:r>
    </w:p>
    <w:p w14:paraId="023B6D79" w14:textId="77777777" w:rsidR="004316DB" w:rsidRPr="00486B87" w:rsidRDefault="004316DB" w:rsidP="00237DA8">
      <w:pPr>
        <w:spacing w:line="480" w:lineRule="auto"/>
        <w:jc w:val="both"/>
        <w:rPr>
          <w:rFonts w:ascii="Times New Roman" w:hAnsi="Times New Roman" w:cs="Times New Roman"/>
          <w:sz w:val="24"/>
          <w:szCs w:val="24"/>
        </w:rPr>
      </w:pPr>
    </w:p>
    <w:p w14:paraId="023A39CA" w14:textId="7FB50DCA" w:rsidR="00D34AAD" w:rsidRPr="00486B87" w:rsidRDefault="004316DB" w:rsidP="00237DA8">
      <w:pPr>
        <w:spacing w:line="480" w:lineRule="auto"/>
        <w:jc w:val="both"/>
        <w:rPr>
          <w:rFonts w:ascii="Times New Roman" w:hAnsi="Times New Roman" w:cs="Times New Roman"/>
          <w:sz w:val="24"/>
          <w:szCs w:val="24"/>
        </w:rPr>
      </w:pPr>
      <w:r w:rsidRPr="00486B87">
        <w:rPr>
          <w:rFonts w:ascii="Times New Roman" w:hAnsi="Times New Roman" w:cs="Times New Roman"/>
          <w:sz w:val="24"/>
          <w:szCs w:val="24"/>
        </w:rPr>
        <w:t>In</w:t>
      </w:r>
      <w:r w:rsidR="00AE20A6" w:rsidRPr="00486B87">
        <w:rPr>
          <w:rFonts w:ascii="Times New Roman" w:hAnsi="Times New Roman" w:cs="Times New Roman"/>
          <w:sz w:val="24"/>
          <w:szCs w:val="24"/>
        </w:rPr>
        <w:t xml:space="preserve"> </w:t>
      </w:r>
      <w:r w:rsidR="00076403" w:rsidRPr="00A553D0">
        <w:rPr>
          <w:rFonts w:ascii="Times New Roman" w:hAnsi="Times New Roman" w:cs="Times New Roman"/>
          <w:i/>
          <w:sz w:val="24"/>
          <w:szCs w:val="24"/>
        </w:rPr>
        <w:t>Godwin</w:t>
      </w:r>
      <w:r w:rsidR="00076403">
        <w:rPr>
          <w:rFonts w:ascii="Times New Roman" w:hAnsi="Times New Roman" w:cs="Times New Roman"/>
          <w:sz w:val="24"/>
          <w:szCs w:val="24"/>
        </w:rPr>
        <w:t xml:space="preserve"> and </w:t>
      </w:r>
      <w:r w:rsidR="00076403" w:rsidRPr="00A553D0">
        <w:rPr>
          <w:rFonts w:ascii="Times New Roman" w:hAnsi="Times New Roman" w:cs="Times New Roman"/>
          <w:i/>
          <w:sz w:val="24"/>
          <w:szCs w:val="24"/>
        </w:rPr>
        <w:t>Ferguson</w:t>
      </w:r>
      <w:r w:rsidR="00AE20A6" w:rsidRPr="00A553D0">
        <w:rPr>
          <w:rFonts w:ascii="Times New Roman" w:hAnsi="Times New Roman" w:cs="Times New Roman"/>
          <w:i/>
          <w:sz w:val="24"/>
          <w:szCs w:val="24"/>
        </w:rPr>
        <w:t xml:space="preserve"> </w:t>
      </w:r>
      <w:r w:rsidR="00AE20A6" w:rsidRPr="00486B87">
        <w:rPr>
          <w:rFonts w:ascii="Times New Roman" w:hAnsi="Times New Roman" w:cs="Times New Roman"/>
          <w:sz w:val="24"/>
          <w:szCs w:val="24"/>
        </w:rPr>
        <w:t>there i</w:t>
      </w:r>
      <w:r w:rsidR="00F456BC" w:rsidRPr="00486B87">
        <w:rPr>
          <w:rFonts w:ascii="Times New Roman" w:hAnsi="Times New Roman" w:cs="Times New Roman"/>
          <w:sz w:val="24"/>
          <w:szCs w:val="24"/>
        </w:rPr>
        <w:t xml:space="preserve">s currently no indication that the decision of the </w:t>
      </w:r>
      <w:r w:rsidR="00274600">
        <w:rPr>
          <w:rFonts w:ascii="Times New Roman" w:hAnsi="Times New Roman" w:cs="Times New Roman"/>
          <w:sz w:val="24"/>
          <w:szCs w:val="24"/>
        </w:rPr>
        <w:t>C</w:t>
      </w:r>
      <w:r w:rsidR="00F456BC" w:rsidRPr="00486B87">
        <w:rPr>
          <w:rFonts w:ascii="Times New Roman" w:hAnsi="Times New Roman" w:cs="Times New Roman"/>
          <w:sz w:val="24"/>
          <w:szCs w:val="24"/>
        </w:rPr>
        <w:t>ourt</w:t>
      </w:r>
      <w:r w:rsidR="00076403">
        <w:rPr>
          <w:rFonts w:ascii="Times New Roman" w:hAnsi="Times New Roman" w:cs="Times New Roman"/>
          <w:sz w:val="24"/>
          <w:szCs w:val="24"/>
        </w:rPr>
        <w:t>s</w:t>
      </w:r>
      <w:r w:rsidR="00F456BC" w:rsidRPr="00486B87">
        <w:rPr>
          <w:rFonts w:ascii="Times New Roman" w:hAnsi="Times New Roman" w:cs="Times New Roman"/>
          <w:sz w:val="24"/>
          <w:szCs w:val="24"/>
        </w:rPr>
        <w:t xml:space="preserve"> w</w:t>
      </w:r>
      <w:r w:rsidR="00076403">
        <w:rPr>
          <w:rFonts w:ascii="Times New Roman" w:hAnsi="Times New Roman" w:cs="Times New Roman"/>
          <w:sz w:val="24"/>
          <w:szCs w:val="24"/>
        </w:rPr>
        <w:t>ere</w:t>
      </w:r>
      <w:r w:rsidR="00F456BC" w:rsidRPr="00486B87">
        <w:rPr>
          <w:rFonts w:ascii="Times New Roman" w:hAnsi="Times New Roman" w:cs="Times New Roman"/>
          <w:sz w:val="24"/>
          <w:szCs w:val="24"/>
        </w:rPr>
        <w:t xml:space="preserve"> </w:t>
      </w:r>
      <w:r w:rsidR="00F456BC" w:rsidRPr="00486B87">
        <w:rPr>
          <w:rFonts w:ascii="Times New Roman" w:hAnsi="Times New Roman" w:cs="Times New Roman"/>
          <w:i/>
          <w:sz w:val="24"/>
          <w:szCs w:val="24"/>
        </w:rPr>
        <w:t>ultra vires</w:t>
      </w:r>
      <w:r w:rsidR="00076403">
        <w:rPr>
          <w:rFonts w:ascii="Times New Roman" w:hAnsi="Times New Roman" w:cs="Times New Roman"/>
          <w:sz w:val="24"/>
          <w:szCs w:val="24"/>
        </w:rPr>
        <w:t xml:space="preserve">; however, the author acknowledges the pending appeal of the government against the </w:t>
      </w:r>
      <w:r w:rsidR="00076403" w:rsidRPr="00A553D0">
        <w:rPr>
          <w:rFonts w:ascii="Times New Roman" w:hAnsi="Times New Roman" w:cs="Times New Roman"/>
          <w:i/>
          <w:sz w:val="24"/>
          <w:szCs w:val="24"/>
        </w:rPr>
        <w:t>Ferguson</w:t>
      </w:r>
      <w:r w:rsidR="00076403">
        <w:rPr>
          <w:rFonts w:ascii="Times New Roman" w:hAnsi="Times New Roman" w:cs="Times New Roman"/>
          <w:sz w:val="24"/>
          <w:szCs w:val="24"/>
        </w:rPr>
        <w:t xml:space="preserve"> decision</w:t>
      </w:r>
      <w:r w:rsidR="00F456BC" w:rsidRPr="00486B87">
        <w:rPr>
          <w:rFonts w:ascii="Times New Roman" w:hAnsi="Times New Roman" w:cs="Times New Roman"/>
          <w:sz w:val="24"/>
          <w:szCs w:val="24"/>
        </w:rPr>
        <w:t xml:space="preserve">. </w:t>
      </w:r>
      <w:r w:rsidR="00076403">
        <w:rPr>
          <w:rFonts w:ascii="Times New Roman" w:hAnsi="Times New Roman" w:cs="Times New Roman"/>
          <w:sz w:val="24"/>
          <w:szCs w:val="24"/>
        </w:rPr>
        <w:t xml:space="preserve">Notwithstanding this, </w:t>
      </w:r>
      <w:r w:rsidR="00F456BC" w:rsidRPr="00486B87">
        <w:rPr>
          <w:rFonts w:ascii="Times New Roman" w:hAnsi="Times New Roman" w:cs="Times New Roman"/>
          <w:sz w:val="24"/>
          <w:szCs w:val="24"/>
        </w:rPr>
        <w:t xml:space="preserve">the curious approach </w:t>
      </w:r>
      <w:r w:rsidRPr="00486B87">
        <w:rPr>
          <w:rFonts w:ascii="Times New Roman" w:hAnsi="Times New Roman" w:cs="Times New Roman"/>
          <w:sz w:val="24"/>
          <w:szCs w:val="24"/>
        </w:rPr>
        <w:t>wa</w:t>
      </w:r>
      <w:r w:rsidR="00F456BC" w:rsidRPr="00486B87">
        <w:rPr>
          <w:rFonts w:ascii="Times New Roman" w:hAnsi="Times New Roman" w:cs="Times New Roman"/>
          <w:sz w:val="24"/>
          <w:szCs w:val="24"/>
        </w:rPr>
        <w:t xml:space="preserve">s taken </w:t>
      </w:r>
      <w:r w:rsidR="00D64D73" w:rsidRPr="00486B87">
        <w:rPr>
          <w:rFonts w:ascii="Times New Roman" w:hAnsi="Times New Roman" w:cs="Times New Roman"/>
          <w:sz w:val="24"/>
          <w:szCs w:val="24"/>
        </w:rPr>
        <w:t>to legislate</w:t>
      </w:r>
      <w:r w:rsidR="00F456BC" w:rsidRPr="00486B87">
        <w:rPr>
          <w:rFonts w:ascii="Times New Roman" w:hAnsi="Times New Roman" w:cs="Times New Roman"/>
          <w:sz w:val="24"/>
          <w:szCs w:val="24"/>
        </w:rPr>
        <w:t xml:space="preserve"> to stop the decision </w:t>
      </w:r>
      <w:r w:rsidR="00076403">
        <w:rPr>
          <w:rFonts w:ascii="Times New Roman" w:hAnsi="Times New Roman" w:cs="Times New Roman"/>
          <w:sz w:val="24"/>
          <w:szCs w:val="24"/>
        </w:rPr>
        <w:t xml:space="preserve">in </w:t>
      </w:r>
      <w:r w:rsidR="00076403">
        <w:rPr>
          <w:rFonts w:ascii="Times New Roman" w:hAnsi="Times New Roman" w:cs="Times New Roman"/>
          <w:i/>
          <w:sz w:val="24"/>
          <w:szCs w:val="24"/>
        </w:rPr>
        <w:t xml:space="preserve">Godwin </w:t>
      </w:r>
      <w:r w:rsidR="00F456BC" w:rsidRPr="00486B87">
        <w:rPr>
          <w:rFonts w:ascii="Times New Roman" w:hAnsi="Times New Roman" w:cs="Times New Roman"/>
          <w:sz w:val="24"/>
          <w:szCs w:val="24"/>
        </w:rPr>
        <w:t>applying going forward</w:t>
      </w:r>
      <w:r w:rsidR="001C7184" w:rsidRPr="00486B87">
        <w:rPr>
          <w:rFonts w:ascii="Times New Roman" w:hAnsi="Times New Roman" w:cs="Times New Roman"/>
          <w:sz w:val="24"/>
          <w:szCs w:val="24"/>
        </w:rPr>
        <w:t>,</w:t>
      </w:r>
      <w:r w:rsidR="00F456BC" w:rsidRPr="00486B87">
        <w:rPr>
          <w:rFonts w:ascii="Times New Roman" w:hAnsi="Times New Roman" w:cs="Times New Roman"/>
          <w:sz w:val="24"/>
          <w:szCs w:val="24"/>
        </w:rPr>
        <w:t xml:space="preserve"> without affecting the authority of the decision between the time the judgment was handed down </w:t>
      </w:r>
      <w:r w:rsidR="00F0772C" w:rsidRPr="00486B87">
        <w:rPr>
          <w:rFonts w:ascii="Times New Roman" w:hAnsi="Times New Roman" w:cs="Times New Roman"/>
          <w:sz w:val="24"/>
          <w:szCs w:val="24"/>
        </w:rPr>
        <w:t xml:space="preserve">and the time the DPA </w:t>
      </w:r>
      <w:r w:rsidR="001C7184" w:rsidRPr="00486B87">
        <w:rPr>
          <w:rFonts w:ascii="Times New Roman" w:hAnsi="Times New Roman" w:cs="Times New Roman"/>
          <w:sz w:val="24"/>
          <w:szCs w:val="24"/>
        </w:rPr>
        <w:t>provisions commenced</w:t>
      </w:r>
      <w:r w:rsidR="00F456BC" w:rsidRPr="00486B87">
        <w:rPr>
          <w:rFonts w:ascii="Times New Roman" w:hAnsi="Times New Roman" w:cs="Times New Roman"/>
          <w:sz w:val="24"/>
          <w:szCs w:val="24"/>
        </w:rPr>
        <w:t xml:space="preserve">. </w:t>
      </w:r>
      <w:r w:rsidR="004D3E5D" w:rsidRPr="00486B87">
        <w:rPr>
          <w:rFonts w:ascii="Times New Roman" w:hAnsi="Times New Roman" w:cs="Times New Roman"/>
          <w:sz w:val="24"/>
          <w:szCs w:val="24"/>
        </w:rPr>
        <w:t xml:space="preserve">This is distinctly different from the </w:t>
      </w:r>
      <w:proofErr w:type="spellStart"/>
      <w:r w:rsidR="004D3E5D" w:rsidRPr="00486B87">
        <w:rPr>
          <w:rFonts w:ascii="Times New Roman" w:hAnsi="Times New Roman" w:cs="Times New Roman"/>
          <w:i/>
          <w:sz w:val="24"/>
          <w:szCs w:val="24"/>
        </w:rPr>
        <w:t>Lendore</w:t>
      </w:r>
      <w:proofErr w:type="spellEnd"/>
      <w:r w:rsidR="004D3E5D" w:rsidRPr="00486B87">
        <w:rPr>
          <w:rFonts w:ascii="Times New Roman" w:hAnsi="Times New Roman" w:cs="Times New Roman"/>
          <w:sz w:val="24"/>
          <w:szCs w:val="24"/>
        </w:rPr>
        <w:t xml:space="preserve"> and </w:t>
      </w:r>
      <w:r w:rsidR="004D3E5D" w:rsidRPr="00486B87">
        <w:rPr>
          <w:rFonts w:ascii="Times New Roman" w:hAnsi="Times New Roman" w:cs="Times New Roman"/>
          <w:i/>
          <w:sz w:val="24"/>
          <w:szCs w:val="24"/>
        </w:rPr>
        <w:t xml:space="preserve">Boyce </w:t>
      </w:r>
      <w:r w:rsidR="004D3E5D" w:rsidRPr="00486B87">
        <w:rPr>
          <w:rFonts w:ascii="Times New Roman" w:hAnsi="Times New Roman" w:cs="Times New Roman"/>
          <w:sz w:val="24"/>
          <w:szCs w:val="24"/>
        </w:rPr>
        <w:t>examples listed above</w:t>
      </w:r>
      <w:r w:rsidR="009919D5">
        <w:rPr>
          <w:rFonts w:ascii="Times New Roman" w:hAnsi="Times New Roman" w:cs="Times New Roman"/>
          <w:sz w:val="24"/>
          <w:szCs w:val="24"/>
        </w:rPr>
        <w:t>,</w:t>
      </w:r>
      <w:r w:rsidR="004D3E5D" w:rsidRPr="00486B87">
        <w:rPr>
          <w:rFonts w:ascii="Times New Roman" w:hAnsi="Times New Roman" w:cs="Times New Roman"/>
          <w:sz w:val="24"/>
          <w:szCs w:val="24"/>
        </w:rPr>
        <w:t xml:space="preserve"> in that the question is </w:t>
      </w:r>
      <w:r w:rsidR="00087191" w:rsidRPr="00486B87">
        <w:rPr>
          <w:rFonts w:ascii="Times New Roman" w:hAnsi="Times New Roman" w:cs="Times New Roman"/>
          <w:sz w:val="24"/>
          <w:szCs w:val="24"/>
        </w:rPr>
        <w:t xml:space="preserve">whether </w:t>
      </w:r>
      <w:r w:rsidR="004D3E5D" w:rsidRPr="00486B87">
        <w:rPr>
          <w:rFonts w:ascii="Times New Roman" w:hAnsi="Times New Roman" w:cs="Times New Roman"/>
          <w:sz w:val="24"/>
          <w:szCs w:val="24"/>
        </w:rPr>
        <w:t xml:space="preserve">an action which is inconsistent with the separation of powers in Bermuda </w:t>
      </w:r>
      <w:r w:rsidR="00087191" w:rsidRPr="00486B87">
        <w:rPr>
          <w:rFonts w:ascii="Times New Roman" w:hAnsi="Times New Roman" w:cs="Times New Roman"/>
          <w:sz w:val="24"/>
          <w:szCs w:val="24"/>
        </w:rPr>
        <w:t xml:space="preserve">is </w:t>
      </w:r>
      <w:r w:rsidR="004D3E5D" w:rsidRPr="00486B87">
        <w:rPr>
          <w:rFonts w:ascii="Times New Roman" w:hAnsi="Times New Roman" w:cs="Times New Roman"/>
          <w:sz w:val="24"/>
          <w:szCs w:val="24"/>
        </w:rPr>
        <w:t xml:space="preserve">unconstitutional. The Bermuda Constitution Order 1968 mentions an “independent court” </w:t>
      </w:r>
      <w:r w:rsidR="0090594A" w:rsidRPr="00486B87">
        <w:rPr>
          <w:rFonts w:ascii="Times New Roman" w:hAnsi="Times New Roman" w:cs="Times New Roman"/>
          <w:sz w:val="24"/>
          <w:szCs w:val="24"/>
        </w:rPr>
        <w:t>several</w:t>
      </w:r>
      <w:r w:rsidR="004D3E5D" w:rsidRPr="00486B87">
        <w:rPr>
          <w:rFonts w:ascii="Times New Roman" w:hAnsi="Times New Roman" w:cs="Times New Roman"/>
          <w:sz w:val="24"/>
          <w:szCs w:val="24"/>
        </w:rPr>
        <w:t xml:space="preserve"> times</w:t>
      </w:r>
      <w:r w:rsidR="004D3E5D" w:rsidRPr="00486B87">
        <w:rPr>
          <w:rFonts w:ascii="Times New Roman" w:hAnsi="Times New Roman" w:cs="Times New Roman"/>
          <w:color w:val="000000" w:themeColor="text1"/>
          <w:sz w:val="24"/>
          <w:szCs w:val="24"/>
        </w:rPr>
        <w:t xml:space="preserve">, </w:t>
      </w:r>
      <w:r w:rsidR="00D34AAD" w:rsidRPr="00486B87">
        <w:rPr>
          <w:rFonts w:ascii="Times New Roman" w:hAnsi="Times New Roman" w:cs="Times New Roman"/>
          <w:color w:val="000000" w:themeColor="text1"/>
          <w:sz w:val="24"/>
          <w:szCs w:val="24"/>
        </w:rPr>
        <w:t xml:space="preserve">and yet </w:t>
      </w:r>
      <w:r w:rsidR="004D3E5D" w:rsidRPr="00486B87">
        <w:rPr>
          <w:rFonts w:ascii="Times New Roman" w:hAnsi="Times New Roman" w:cs="Times New Roman"/>
          <w:color w:val="000000" w:themeColor="text1"/>
          <w:sz w:val="24"/>
          <w:szCs w:val="24"/>
        </w:rPr>
        <w:t xml:space="preserve">it is questioned whether the court is </w:t>
      </w:r>
      <w:r w:rsidR="00D34AAD" w:rsidRPr="00486B87">
        <w:rPr>
          <w:rFonts w:ascii="Times New Roman" w:hAnsi="Times New Roman" w:cs="Times New Roman"/>
          <w:color w:val="000000" w:themeColor="text1"/>
          <w:sz w:val="24"/>
          <w:szCs w:val="24"/>
        </w:rPr>
        <w:t xml:space="preserve">truly </w:t>
      </w:r>
      <w:r w:rsidR="004D3E5D" w:rsidRPr="00486B87">
        <w:rPr>
          <w:rFonts w:ascii="Times New Roman" w:hAnsi="Times New Roman" w:cs="Times New Roman"/>
          <w:sz w:val="24"/>
          <w:szCs w:val="24"/>
        </w:rPr>
        <w:t xml:space="preserve">independent if the legislature </w:t>
      </w:r>
      <w:r w:rsidR="0090594A" w:rsidRPr="00486B87">
        <w:rPr>
          <w:rFonts w:ascii="Times New Roman" w:hAnsi="Times New Roman" w:cs="Times New Roman"/>
          <w:sz w:val="24"/>
          <w:szCs w:val="24"/>
        </w:rPr>
        <w:t>can</w:t>
      </w:r>
      <w:r w:rsidR="004D3E5D" w:rsidRPr="00486B87">
        <w:rPr>
          <w:rFonts w:ascii="Times New Roman" w:hAnsi="Times New Roman" w:cs="Times New Roman"/>
          <w:sz w:val="24"/>
          <w:szCs w:val="24"/>
        </w:rPr>
        <w:t xml:space="preserve"> legislate to </w:t>
      </w:r>
      <w:r w:rsidR="0090594A" w:rsidRPr="00486B87">
        <w:rPr>
          <w:rFonts w:ascii="Times New Roman" w:hAnsi="Times New Roman" w:cs="Times New Roman"/>
          <w:sz w:val="24"/>
          <w:szCs w:val="24"/>
        </w:rPr>
        <w:t>confine a ruling of a court</w:t>
      </w:r>
      <w:r w:rsidR="00D63364" w:rsidRPr="00486B87">
        <w:rPr>
          <w:rFonts w:ascii="Times New Roman" w:hAnsi="Times New Roman" w:cs="Times New Roman"/>
          <w:sz w:val="24"/>
          <w:szCs w:val="24"/>
        </w:rPr>
        <w:t xml:space="preserve"> without preceding through an appeal</w:t>
      </w:r>
      <w:r w:rsidR="00531D88" w:rsidRPr="00486B87">
        <w:rPr>
          <w:rFonts w:ascii="Times New Roman" w:hAnsi="Times New Roman" w:cs="Times New Roman"/>
          <w:sz w:val="24"/>
          <w:szCs w:val="24"/>
        </w:rPr>
        <w:t xml:space="preserve"> in pursuance of natural justice</w:t>
      </w:r>
      <w:r w:rsidR="004D3E5D" w:rsidRPr="00486B87">
        <w:rPr>
          <w:rFonts w:ascii="Times New Roman" w:hAnsi="Times New Roman" w:cs="Times New Roman"/>
          <w:sz w:val="24"/>
          <w:szCs w:val="24"/>
        </w:rPr>
        <w:t>?</w:t>
      </w:r>
      <w:r w:rsidR="00D34AAD" w:rsidRPr="00486B87">
        <w:rPr>
          <w:rStyle w:val="FootnoteReference"/>
          <w:rFonts w:ascii="Times New Roman" w:hAnsi="Times New Roman" w:cs="Times New Roman"/>
          <w:sz w:val="24"/>
          <w:szCs w:val="24"/>
        </w:rPr>
        <w:footnoteReference w:id="87"/>
      </w:r>
      <w:r w:rsidR="0004162D" w:rsidRPr="00486B87">
        <w:rPr>
          <w:rFonts w:ascii="Times New Roman" w:hAnsi="Times New Roman" w:cs="Times New Roman"/>
          <w:sz w:val="24"/>
          <w:szCs w:val="24"/>
        </w:rPr>
        <w:t xml:space="preserve"> Little comment was made in </w:t>
      </w:r>
      <w:r w:rsidR="0004162D" w:rsidRPr="00486B87">
        <w:rPr>
          <w:rFonts w:ascii="Times New Roman" w:hAnsi="Times New Roman" w:cs="Times New Roman"/>
          <w:i/>
          <w:sz w:val="24"/>
          <w:szCs w:val="24"/>
        </w:rPr>
        <w:t xml:space="preserve">Ferguson </w:t>
      </w:r>
      <w:r w:rsidR="0004162D" w:rsidRPr="00486B87">
        <w:rPr>
          <w:rFonts w:ascii="Times New Roman" w:hAnsi="Times New Roman" w:cs="Times New Roman"/>
          <w:sz w:val="24"/>
          <w:szCs w:val="24"/>
        </w:rPr>
        <w:t>about the legislature</w:t>
      </w:r>
      <w:r w:rsidR="006E00B4">
        <w:rPr>
          <w:rFonts w:ascii="Times New Roman" w:hAnsi="Times New Roman" w:cs="Times New Roman"/>
          <w:sz w:val="24"/>
          <w:szCs w:val="24"/>
        </w:rPr>
        <w:t>’</w:t>
      </w:r>
      <w:r w:rsidR="0004162D" w:rsidRPr="00486B87">
        <w:rPr>
          <w:rFonts w:ascii="Times New Roman" w:hAnsi="Times New Roman" w:cs="Times New Roman"/>
          <w:sz w:val="24"/>
          <w:szCs w:val="24"/>
        </w:rPr>
        <w:t>s</w:t>
      </w:r>
      <w:r w:rsidR="00F66464" w:rsidRPr="00486B87">
        <w:rPr>
          <w:rFonts w:ascii="Times New Roman" w:hAnsi="Times New Roman" w:cs="Times New Roman"/>
          <w:sz w:val="24"/>
          <w:szCs w:val="24"/>
        </w:rPr>
        <w:t xml:space="preserve"> apparent indifference towards the independence of the judiciary and the separation of powers, so this matter continues to be unresolved. </w:t>
      </w:r>
    </w:p>
    <w:p w14:paraId="1F28EE4B" w14:textId="77777777" w:rsidR="00D34AAD" w:rsidRPr="00486B87" w:rsidRDefault="00D34AAD" w:rsidP="00237DA8">
      <w:pPr>
        <w:spacing w:line="480" w:lineRule="auto"/>
        <w:jc w:val="both"/>
        <w:rPr>
          <w:rFonts w:ascii="Times New Roman" w:hAnsi="Times New Roman" w:cs="Times New Roman"/>
          <w:sz w:val="24"/>
          <w:szCs w:val="24"/>
        </w:rPr>
      </w:pPr>
    </w:p>
    <w:p w14:paraId="60DB7DD0" w14:textId="6FC5DCEE" w:rsidR="00E2705F" w:rsidRPr="00486B87" w:rsidRDefault="00087191" w:rsidP="00237DA8">
      <w:pPr>
        <w:spacing w:line="480" w:lineRule="auto"/>
        <w:jc w:val="both"/>
        <w:rPr>
          <w:rFonts w:ascii="Times New Roman" w:hAnsi="Times New Roman" w:cs="Times New Roman"/>
          <w:color w:val="000000"/>
          <w:sz w:val="24"/>
          <w:szCs w:val="24"/>
          <w:shd w:val="clear" w:color="auto" w:fill="FFFFFF"/>
        </w:rPr>
      </w:pPr>
      <w:r w:rsidRPr="00486B87">
        <w:rPr>
          <w:rFonts w:ascii="Times New Roman" w:hAnsi="Times New Roman" w:cs="Times New Roman"/>
          <w:sz w:val="24"/>
          <w:szCs w:val="24"/>
        </w:rPr>
        <w:t xml:space="preserve">The Supreme Court of Bermuda itself has recently stated </w:t>
      </w:r>
      <w:r w:rsidR="00673146" w:rsidRPr="00486B87">
        <w:rPr>
          <w:rFonts w:ascii="Times New Roman" w:hAnsi="Times New Roman" w:cs="Times New Roman"/>
          <w:sz w:val="24"/>
          <w:szCs w:val="24"/>
        </w:rPr>
        <w:t xml:space="preserve">in </w:t>
      </w:r>
      <w:r w:rsidRPr="00486B87">
        <w:rPr>
          <w:rFonts w:ascii="Times New Roman" w:hAnsi="Times New Roman" w:cs="Times New Roman"/>
          <w:sz w:val="24"/>
          <w:szCs w:val="24"/>
        </w:rPr>
        <w:t xml:space="preserve">the case of </w:t>
      </w:r>
      <w:r w:rsidRPr="00486B87">
        <w:rPr>
          <w:rFonts w:ascii="Times New Roman" w:hAnsi="Times New Roman" w:cs="Times New Roman"/>
          <w:i/>
          <w:sz w:val="24"/>
          <w:szCs w:val="24"/>
        </w:rPr>
        <w:t>Centre for Justice</w:t>
      </w:r>
      <w:r w:rsidRPr="00486B87">
        <w:rPr>
          <w:rStyle w:val="FootnoteReference"/>
          <w:rFonts w:ascii="Times New Roman" w:hAnsi="Times New Roman" w:cs="Times New Roman"/>
          <w:i/>
          <w:sz w:val="24"/>
          <w:szCs w:val="24"/>
        </w:rPr>
        <w:footnoteReference w:id="88"/>
      </w:r>
      <w:r w:rsidRPr="00486B87">
        <w:rPr>
          <w:rFonts w:ascii="Times New Roman" w:hAnsi="Times New Roman" w:cs="Times New Roman"/>
          <w:i/>
          <w:sz w:val="24"/>
          <w:szCs w:val="24"/>
        </w:rPr>
        <w:t xml:space="preserve"> </w:t>
      </w:r>
      <w:r w:rsidRPr="00486B87">
        <w:rPr>
          <w:rFonts w:ascii="Times New Roman" w:hAnsi="Times New Roman" w:cs="Times New Roman"/>
          <w:sz w:val="24"/>
          <w:szCs w:val="24"/>
        </w:rPr>
        <w:t xml:space="preserve">that the </w:t>
      </w:r>
      <w:r w:rsidR="001E1A0A" w:rsidRPr="00486B87">
        <w:rPr>
          <w:rFonts w:ascii="Times New Roman" w:hAnsi="Times New Roman" w:cs="Times New Roman"/>
          <w:sz w:val="24"/>
          <w:szCs w:val="24"/>
        </w:rPr>
        <w:t>C</w:t>
      </w:r>
      <w:r w:rsidRPr="00486B87">
        <w:rPr>
          <w:rFonts w:ascii="Times New Roman" w:hAnsi="Times New Roman" w:cs="Times New Roman"/>
          <w:sz w:val="24"/>
          <w:szCs w:val="24"/>
        </w:rPr>
        <w:t>onstitution has created an “independent judiciary based on the separation of powers”</w:t>
      </w:r>
      <w:r w:rsidRPr="00486B87">
        <w:rPr>
          <w:rStyle w:val="FootnoteReference"/>
          <w:rFonts w:ascii="Times New Roman" w:hAnsi="Times New Roman" w:cs="Times New Roman"/>
          <w:sz w:val="24"/>
          <w:szCs w:val="24"/>
        </w:rPr>
        <w:footnoteReference w:id="89"/>
      </w:r>
      <w:r w:rsidRPr="00486B87">
        <w:rPr>
          <w:rFonts w:ascii="Times New Roman" w:hAnsi="Times New Roman" w:cs="Times New Roman"/>
          <w:sz w:val="24"/>
          <w:szCs w:val="24"/>
        </w:rPr>
        <w:t xml:space="preserve">. </w:t>
      </w:r>
      <w:r w:rsidR="00237DA8" w:rsidRPr="00486B87">
        <w:rPr>
          <w:rFonts w:ascii="Times New Roman" w:hAnsi="Times New Roman" w:cs="Times New Roman"/>
          <w:sz w:val="24"/>
          <w:szCs w:val="24"/>
        </w:rPr>
        <w:t xml:space="preserve">In </w:t>
      </w:r>
      <w:r w:rsidR="00237DA8" w:rsidRPr="00486B87">
        <w:rPr>
          <w:rFonts w:ascii="Times New Roman" w:hAnsi="Times New Roman" w:cs="Times New Roman"/>
          <w:i/>
          <w:sz w:val="24"/>
          <w:szCs w:val="24"/>
        </w:rPr>
        <w:t xml:space="preserve">Centre for Justice </w:t>
      </w:r>
      <w:r w:rsidR="00237DA8" w:rsidRPr="00486B87">
        <w:rPr>
          <w:rFonts w:ascii="Times New Roman" w:hAnsi="Times New Roman" w:cs="Times New Roman"/>
          <w:sz w:val="24"/>
          <w:szCs w:val="24"/>
        </w:rPr>
        <w:t>the claimants were seeking judicial review of</w:t>
      </w:r>
      <w:r w:rsidR="006E1C5D" w:rsidRPr="00486B87">
        <w:rPr>
          <w:rFonts w:ascii="Times New Roman" w:hAnsi="Times New Roman" w:cs="Times New Roman"/>
          <w:sz w:val="24"/>
          <w:szCs w:val="24"/>
        </w:rPr>
        <w:t>,</w:t>
      </w:r>
      <w:r w:rsidR="00237DA8" w:rsidRPr="00486B87">
        <w:rPr>
          <w:rFonts w:ascii="Times New Roman" w:hAnsi="Times New Roman" w:cs="Times New Roman"/>
          <w:sz w:val="24"/>
          <w:szCs w:val="24"/>
        </w:rPr>
        <w:t xml:space="preserve"> </w:t>
      </w:r>
      <w:r w:rsidR="00237DA8" w:rsidRPr="00486B87">
        <w:rPr>
          <w:rFonts w:ascii="Times New Roman" w:hAnsi="Times New Roman" w:cs="Times New Roman"/>
          <w:i/>
          <w:sz w:val="24"/>
          <w:szCs w:val="24"/>
        </w:rPr>
        <w:t>inter alia</w:t>
      </w:r>
      <w:r w:rsidR="006E1C5D" w:rsidRPr="00486B87">
        <w:rPr>
          <w:rFonts w:ascii="Times New Roman" w:hAnsi="Times New Roman" w:cs="Times New Roman"/>
          <w:i/>
          <w:sz w:val="24"/>
          <w:szCs w:val="24"/>
        </w:rPr>
        <w:t>,</w:t>
      </w:r>
      <w:r w:rsidR="00237DA8" w:rsidRPr="00486B87">
        <w:rPr>
          <w:rFonts w:ascii="Times New Roman" w:hAnsi="Times New Roman" w:cs="Times New Roman"/>
          <w:i/>
          <w:sz w:val="24"/>
          <w:szCs w:val="24"/>
        </w:rPr>
        <w:t xml:space="preserve"> </w:t>
      </w:r>
      <w:r w:rsidR="00237DA8" w:rsidRPr="00486B87">
        <w:rPr>
          <w:rFonts w:ascii="Times New Roman" w:hAnsi="Times New Roman" w:cs="Times New Roman"/>
          <w:sz w:val="24"/>
          <w:szCs w:val="24"/>
        </w:rPr>
        <w:t xml:space="preserve">the decision of the executive to designate six churches as </w:t>
      </w:r>
      <w:r w:rsidR="00673146" w:rsidRPr="00486B87">
        <w:rPr>
          <w:rFonts w:ascii="Times New Roman" w:hAnsi="Times New Roman" w:cs="Times New Roman"/>
          <w:sz w:val="24"/>
          <w:szCs w:val="24"/>
        </w:rPr>
        <w:t>polling</w:t>
      </w:r>
      <w:r w:rsidR="00237DA8" w:rsidRPr="00486B87">
        <w:rPr>
          <w:rFonts w:ascii="Times New Roman" w:hAnsi="Times New Roman" w:cs="Times New Roman"/>
          <w:sz w:val="24"/>
          <w:szCs w:val="24"/>
        </w:rPr>
        <w:t xml:space="preserve"> stations in a referendum on same-sex relationships, which were actively supporting Preserve Marriage Limited, an organisation established to resist same-sex marriage. </w:t>
      </w:r>
      <w:r w:rsidR="00833E6A" w:rsidRPr="00486B87">
        <w:rPr>
          <w:rFonts w:ascii="Times New Roman" w:hAnsi="Times New Roman" w:cs="Times New Roman"/>
          <w:sz w:val="24"/>
          <w:szCs w:val="24"/>
        </w:rPr>
        <w:t xml:space="preserve">In addition to this, the </w:t>
      </w:r>
      <w:r w:rsidR="00F3171F">
        <w:rPr>
          <w:rFonts w:ascii="Times New Roman" w:hAnsi="Times New Roman" w:cs="Times New Roman"/>
          <w:sz w:val="24"/>
          <w:szCs w:val="24"/>
        </w:rPr>
        <w:t>C</w:t>
      </w:r>
      <w:r w:rsidR="00833E6A" w:rsidRPr="00486B87">
        <w:rPr>
          <w:rFonts w:ascii="Times New Roman" w:hAnsi="Times New Roman" w:cs="Times New Roman"/>
          <w:sz w:val="24"/>
          <w:szCs w:val="24"/>
        </w:rPr>
        <w:t xml:space="preserve">ourt was asked to consider </w:t>
      </w:r>
      <w:r w:rsidR="00ED1BB2" w:rsidRPr="00486B87">
        <w:rPr>
          <w:rFonts w:ascii="Times New Roman" w:hAnsi="Times New Roman" w:cs="Times New Roman"/>
          <w:sz w:val="24"/>
          <w:szCs w:val="24"/>
        </w:rPr>
        <w:t xml:space="preserve">the constitutionality of calling a referendum on same-sex marriage, </w:t>
      </w:r>
      <w:r w:rsidR="0007243D" w:rsidRPr="00486B87">
        <w:rPr>
          <w:rFonts w:ascii="Times New Roman" w:hAnsi="Times New Roman" w:cs="Times New Roman"/>
          <w:sz w:val="24"/>
          <w:szCs w:val="24"/>
        </w:rPr>
        <w:t xml:space="preserve">and the </w:t>
      </w:r>
      <w:r w:rsidR="00F3171F">
        <w:rPr>
          <w:rFonts w:ascii="Times New Roman" w:hAnsi="Times New Roman" w:cs="Times New Roman"/>
          <w:sz w:val="24"/>
          <w:szCs w:val="24"/>
        </w:rPr>
        <w:t>C</w:t>
      </w:r>
      <w:r w:rsidR="0007243D" w:rsidRPr="00486B87">
        <w:rPr>
          <w:rFonts w:ascii="Times New Roman" w:hAnsi="Times New Roman" w:cs="Times New Roman"/>
          <w:sz w:val="24"/>
          <w:szCs w:val="24"/>
        </w:rPr>
        <w:t xml:space="preserve">ourt </w:t>
      </w:r>
      <w:r w:rsidR="0007243D" w:rsidRPr="00486B87">
        <w:rPr>
          <w:rFonts w:ascii="Times New Roman" w:hAnsi="Times New Roman" w:cs="Times New Roman"/>
          <w:sz w:val="24"/>
          <w:szCs w:val="24"/>
        </w:rPr>
        <w:lastRenderedPageBreak/>
        <w:t xml:space="preserve">made comments generally on the use of referendums to make policy on human rights matters. The </w:t>
      </w:r>
      <w:r w:rsidR="00F3171F">
        <w:rPr>
          <w:rFonts w:ascii="Times New Roman" w:hAnsi="Times New Roman" w:cs="Times New Roman"/>
          <w:sz w:val="24"/>
          <w:szCs w:val="24"/>
        </w:rPr>
        <w:t>C</w:t>
      </w:r>
      <w:r w:rsidR="0007243D" w:rsidRPr="00486B87">
        <w:rPr>
          <w:rFonts w:ascii="Times New Roman" w:hAnsi="Times New Roman" w:cs="Times New Roman"/>
          <w:sz w:val="24"/>
          <w:szCs w:val="24"/>
        </w:rPr>
        <w:t xml:space="preserve">ourt seems to indicate that the convention of not using referendums to drive policy reforms in areas of human rights was not as absolute as previously considered. This raises the potential of </w:t>
      </w:r>
      <w:r w:rsidR="00835862">
        <w:rPr>
          <w:rFonts w:ascii="Times New Roman" w:hAnsi="Times New Roman" w:cs="Times New Roman"/>
          <w:sz w:val="24"/>
          <w:szCs w:val="24"/>
        </w:rPr>
        <w:t>g</w:t>
      </w:r>
      <w:r w:rsidR="00ED1BB2" w:rsidRPr="00486B87">
        <w:rPr>
          <w:rFonts w:ascii="Times New Roman" w:hAnsi="Times New Roman" w:cs="Times New Roman"/>
          <w:sz w:val="24"/>
          <w:szCs w:val="24"/>
        </w:rPr>
        <w:t>overnment tabling legislation to reduce rights</w:t>
      </w:r>
      <w:r w:rsidR="0007243D" w:rsidRPr="00486B87">
        <w:rPr>
          <w:rFonts w:ascii="Times New Roman" w:hAnsi="Times New Roman" w:cs="Times New Roman"/>
          <w:sz w:val="24"/>
          <w:szCs w:val="24"/>
        </w:rPr>
        <w:t xml:space="preserve"> and citing a referendum as the driving force or justification for such a reduction</w:t>
      </w:r>
      <w:r w:rsidR="004D0FB5" w:rsidRPr="00486B87">
        <w:rPr>
          <w:rFonts w:ascii="Times New Roman" w:hAnsi="Times New Roman" w:cs="Times New Roman"/>
          <w:sz w:val="24"/>
          <w:szCs w:val="24"/>
        </w:rPr>
        <w:t xml:space="preserve"> – a matter not too distant from some discussions in the UK regarding the referendum on exiting the European Union. </w:t>
      </w:r>
      <w:r w:rsidR="00ED1BB2" w:rsidRPr="00486B87">
        <w:rPr>
          <w:rFonts w:ascii="Times New Roman" w:hAnsi="Times New Roman" w:cs="Times New Roman"/>
          <w:sz w:val="24"/>
          <w:szCs w:val="24"/>
        </w:rPr>
        <w:t xml:space="preserve">The </w:t>
      </w:r>
      <w:r w:rsidR="008D050D">
        <w:rPr>
          <w:rFonts w:ascii="Times New Roman" w:hAnsi="Times New Roman" w:cs="Times New Roman"/>
          <w:color w:val="000000" w:themeColor="text1"/>
          <w:sz w:val="24"/>
          <w:szCs w:val="24"/>
        </w:rPr>
        <w:t>C</w:t>
      </w:r>
      <w:r w:rsidR="00ED1BB2" w:rsidRPr="00486B87">
        <w:rPr>
          <w:rFonts w:ascii="Times New Roman" w:hAnsi="Times New Roman" w:cs="Times New Roman"/>
          <w:color w:val="000000" w:themeColor="text1"/>
          <w:sz w:val="24"/>
          <w:szCs w:val="24"/>
        </w:rPr>
        <w:t xml:space="preserve">ourt </w:t>
      </w:r>
      <w:r w:rsidR="0007243D" w:rsidRPr="00486B87">
        <w:rPr>
          <w:rFonts w:ascii="Times New Roman" w:hAnsi="Times New Roman" w:cs="Times New Roman"/>
          <w:color w:val="000000" w:themeColor="text1"/>
          <w:sz w:val="24"/>
          <w:szCs w:val="24"/>
        </w:rPr>
        <w:t xml:space="preserve">also </w:t>
      </w:r>
      <w:r w:rsidR="00ED1BB2" w:rsidRPr="00486B87">
        <w:rPr>
          <w:rFonts w:ascii="Times New Roman" w:hAnsi="Times New Roman" w:cs="Times New Roman"/>
          <w:color w:val="000000" w:themeColor="text1"/>
          <w:sz w:val="24"/>
          <w:szCs w:val="24"/>
        </w:rPr>
        <w:t>felt that</w:t>
      </w:r>
      <w:r w:rsidR="00E2705F" w:rsidRPr="00486B87">
        <w:rPr>
          <w:rFonts w:ascii="Times New Roman" w:hAnsi="Times New Roman" w:cs="Times New Roman"/>
          <w:color w:val="000000" w:themeColor="text1"/>
          <w:sz w:val="24"/>
          <w:szCs w:val="24"/>
        </w:rPr>
        <w:t xml:space="preserve"> </w:t>
      </w:r>
      <w:r w:rsidR="0007243D" w:rsidRPr="00486B87">
        <w:rPr>
          <w:rFonts w:ascii="Times New Roman" w:hAnsi="Times New Roman" w:cs="Times New Roman"/>
          <w:color w:val="000000" w:themeColor="text1"/>
          <w:sz w:val="24"/>
          <w:szCs w:val="24"/>
        </w:rPr>
        <w:t xml:space="preserve">it </w:t>
      </w:r>
      <w:r w:rsidR="00E2705F" w:rsidRPr="00486B87">
        <w:rPr>
          <w:rFonts w:ascii="Times New Roman" w:hAnsi="Times New Roman" w:cs="Times New Roman"/>
          <w:color w:val="000000" w:themeColor="text1"/>
          <w:sz w:val="24"/>
          <w:szCs w:val="24"/>
        </w:rPr>
        <w:t xml:space="preserve">had jurisdiction to oversee </w:t>
      </w:r>
      <w:r w:rsidR="00E2705F" w:rsidRPr="00486B87">
        <w:rPr>
          <w:rFonts w:ascii="Times New Roman" w:hAnsi="Times New Roman" w:cs="Times New Roman"/>
          <w:sz w:val="24"/>
          <w:szCs w:val="24"/>
        </w:rPr>
        <w:t xml:space="preserve">the legality of a referendum, </w:t>
      </w:r>
      <w:r w:rsidR="006D670B" w:rsidRPr="00486B87">
        <w:rPr>
          <w:rFonts w:ascii="Times New Roman" w:hAnsi="Times New Roman" w:cs="Times New Roman"/>
          <w:sz w:val="24"/>
          <w:szCs w:val="24"/>
        </w:rPr>
        <w:t xml:space="preserve">but </w:t>
      </w:r>
      <w:r w:rsidR="00E2705F" w:rsidRPr="00486B87">
        <w:rPr>
          <w:rFonts w:ascii="Times New Roman" w:hAnsi="Times New Roman" w:cs="Times New Roman"/>
          <w:sz w:val="24"/>
          <w:szCs w:val="24"/>
        </w:rPr>
        <w:t>t</w:t>
      </w:r>
      <w:r w:rsidR="005D7797" w:rsidRPr="00486B87">
        <w:rPr>
          <w:rFonts w:ascii="Times New Roman" w:hAnsi="Times New Roman" w:cs="Times New Roman"/>
          <w:sz w:val="24"/>
          <w:szCs w:val="24"/>
        </w:rPr>
        <w:t>hat t</w:t>
      </w:r>
      <w:r w:rsidR="00E2705F" w:rsidRPr="00486B87">
        <w:rPr>
          <w:rFonts w:ascii="Times New Roman" w:hAnsi="Times New Roman" w:cs="Times New Roman"/>
          <w:sz w:val="24"/>
          <w:szCs w:val="24"/>
        </w:rPr>
        <w:t>he</w:t>
      </w:r>
      <w:r w:rsidR="00ED1BB2" w:rsidRPr="00486B87">
        <w:rPr>
          <w:rFonts w:ascii="Times New Roman" w:hAnsi="Times New Roman" w:cs="Times New Roman"/>
          <w:sz w:val="24"/>
          <w:szCs w:val="24"/>
        </w:rPr>
        <w:t xml:space="preserve"> Bermudian </w:t>
      </w:r>
      <w:r w:rsidR="00835862">
        <w:rPr>
          <w:rFonts w:ascii="Times New Roman" w:hAnsi="Times New Roman" w:cs="Times New Roman"/>
          <w:sz w:val="24"/>
          <w:szCs w:val="24"/>
        </w:rPr>
        <w:t>g</w:t>
      </w:r>
      <w:r w:rsidR="00E2705F" w:rsidRPr="00486B87">
        <w:rPr>
          <w:rFonts w:ascii="Times New Roman" w:hAnsi="Times New Roman" w:cs="Times New Roman"/>
          <w:sz w:val="24"/>
          <w:szCs w:val="24"/>
        </w:rPr>
        <w:t xml:space="preserve">overnment was able to convene a referendum that proposed to limit or extinguish rights that were enjoyed under the HRA. </w:t>
      </w:r>
      <w:r w:rsidR="000D0479" w:rsidRPr="00486B87">
        <w:rPr>
          <w:rFonts w:ascii="Times New Roman" w:hAnsi="Times New Roman" w:cs="Times New Roman"/>
          <w:sz w:val="24"/>
          <w:szCs w:val="24"/>
        </w:rPr>
        <w:t xml:space="preserve">The </w:t>
      </w:r>
      <w:r w:rsidR="008D050D">
        <w:rPr>
          <w:rFonts w:ascii="Times New Roman" w:hAnsi="Times New Roman" w:cs="Times New Roman"/>
          <w:sz w:val="24"/>
          <w:szCs w:val="24"/>
        </w:rPr>
        <w:t>C</w:t>
      </w:r>
      <w:r w:rsidR="000D0479" w:rsidRPr="00486B87">
        <w:rPr>
          <w:rFonts w:ascii="Times New Roman" w:hAnsi="Times New Roman" w:cs="Times New Roman"/>
          <w:sz w:val="24"/>
          <w:szCs w:val="24"/>
        </w:rPr>
        <w:t>ourt also stated that “fundamental rights could not be diluted or negotiated by the electorate”</w:t>
      </w:r>
      <w:r w:rsidR="000D0479" w:rsidRPr="00486B87">
        <w:rPr>
          <w:rStyle w:val="FootnoteReference"/>
          <w:rFonts w:ascii="Times New Roman" w:hAnsi="Times New Roman" w:cs="Times New Roman"/>
          <w:sz w:val="24"/>
          <w:szCs w:val="24"/>
        </w:rPr>
        <w:footnoteReference w:id="90"/>
      </w:r>
      <w:r w:rsidR="000D0479" w:rsidRPr="00486B87">
        <w:rPr>
          <w:rFonts w:ascii="Times New Roman" w:hAnsi="Times New Roman" w:cs="Times New Roman"/>
          <w:sz w:val="24"/>
          <w:szCs w:val="24"/>
        </w:rPr>
        <w:t xml:space="preserve">. </w:t>
      </w:r>
      <w:r w:rsidR="00832CAD" w:rsidRPr="00486B87">
        <w:rPr>
          <w:rFonts w:ascii="Times New Roman" w:hAnsi="Times New Roman" w:cs="Times New Roman"/>
          <w:sz w:val="24"/>
          <w:szCs w:val="24"/>
        </w:rPr>
        <w:t xml:space="preserve">There seems to be some disconnect between these statements. Furthermore, these statements do not seem to rest easy with </w:t>
      </w:r>
      <w:r w:rsidR="00E2705F" w:rsidRPr="00486B87">
        <w:rPr>
          <w:rFonts w:ascii="Times New Roman" w:hAnsi="Times New Roman" w:cs="Times New Roman"/>
          <w:sz w:val="24"/>
          <w:szCs w:val="24"/>
        </w:rPr>
        <w:t>the living tree analogy used earlier</w:t>
      </w:r>
      <w:r w:rsidR="00832CAD" w:rsidRPr="00486B87">
        <w:rPr>
          <w:rFonts w:ascii="Times New Roman" w:hAnsi="Times New Roman" w:cs="Times New Roman"/>
          <w:sz w:val="24"/>
          <w:szCs w:val="24"/>
        </w:rPr>
        <w:t>,</w:t>
      </w:r>
      <w:r w:rsidR="00E2705F" w:rsidRPr="00486B87">
        <w:rPr>
          <w:rFonts w:ascii="Times New Roman" w:hAnsi="Times New Roman" w:cs="Times New Roman"/>
          <w:sz w:val="24"/>
          <w:szCs w:val="24"/>
        </w:rPr>
        <w:t xml:space="preserve"> </w:t>
      </w:r>
      <w:r w:rsidR="00832CAD" w:rsidRPr="00486B87">
        <w:rPr>
          <w:rFonts w:ascii="Times New Roman" w:hAnsi="Times New Roman" w:cs="Times New Roman"/>
          <w:sz w:val="24"/>
          <w:szCs w:val="24"/>
        </w:rPr>
        <w:t>or t</w:t>
      </w:r>
      <w:r w:rsidR="00E2705F" w:rsidRPr="00486B87">
        <w:rPr>
          <w:rFonts w:ascii="Times New Roman" w:hAnsi="Times New Roman" w:cs="Times New Roman"/>
          <w:sz w:val="24"/>
          <w:szCs w:val="24"/>
        </w:rPr>
        <w:t xml:space="preserve">he UK and EU perspective that </w:t>
      </w:r>
      <w:r w:rsidR="00832CAD" w:rsidRPr="00486B87">
        <w:rPr>
          <w:rFonts w:ascii="Times New Roman" w:hAnsi="Times New Roman" w:cs="Times New Roman"/>
          <w:sz w:val="24"/>
          <w:szCs w:val="24"/>
        </w:rPr>
        <w:t xml:space="preserve">rights </w:t>
      </w:r>
      <w:r w:rsidR="00E2705F" w:rsidRPr="00486B87">
        <w:rPr>
          <w:rFonts w:ascii="Times New Roman" w:hAnsi="Times New Roman" w:cs="Times New Roman"/>
          <w:sz w:val="24"/>
          <w:szCs w:val="24"/>
        </w:rPr>
        <w:t>grow as society grows</w:t>
      </w:r>
      <w:r w:rsidR="00E2705F" w:rsidRPr="00486B87">
        <w:rPr>
          <w:rStyle w:val="FootnoteReference"/>
          <w:rFonts w:ascii="Times New Roman" w:hAnsi="Times New Roman" w:cs="Times New Roman"/>
          <w:sz w:val="24"/>
          <w:szCs w:val="24"/>
        </w:rPr>
        <w:footnoteReference w:id="91"/>
      </w:r>
      <w:r w:rsidR="00832CAD" w:rsidRPr="00486B87">
        <w:rPr>
          <w:rFonts w:ascii="Times New Roman" w:hAnsi="Times New Roman" w:cs="Times New Roman"/>
          <w:sz w:val="24"/>
          <w:szCs w:val="24"/>
        </w:rPr>
        <w:t xml:space="preserve">. </w:t>
      </w:r>
      <w:r w:rsidR="00F54C62" w:rsidRPr="00486B87">
        <w:rPr>
          <w:rFonts w:ascii="Times New Roman" w:hAnsi="Times New Roman" w:cs="Times New Roman"/>
          <w:sz w:val="24"/>
          <w:szCs w:val="24"/>
        </w:rPr>
        <w:t>I</w:t>
      </w:r>
      <w:r w:rsidR="00832CAD" w:rsidRPr="00486B87">
        <w:rPr>
          <w:rFonts w:ascii="Times New Roman" w:hAnsi="Times New Roman" w:cs="Times New Roman"/>
          <w:sz w:val="24"/>
          <w:szCs w:val="24"/>
        </w:rPr>
        <w:t xml:space="preserve">t </w:t>
      </w:r>
      <w:r w:rsidR="00644747" w:rsidRPr="00486B87">
        <w:rPr>
          <w:rFonts w:ascii="Times New Roman" w:hAnsi="Times New Roman" w:cs="Times New Roman"/>
          <w:sz w:val="24"/>
          <w:szCs w:val="24"/>
        </w:rPr>
        <w:t>can</w:t>
      </w:r>
      <w:r w:rsidR="009327D0">
        <w:rPr>
          <w:rFonts w:ascii="Times New Roman" w:hAnsi="Times New Roman" w:cs="Times New Roman"/>
          <w:sz w:val="24"/>
          <w:szCs w:val="24"/>
        </w:rPr>
        <w:t>,</w:t>
      </w:r>
      <w:r w:rsidR="00644747" w:rsidRPr="00486B87">
        <w:rPr>
          <w:rFonts w:ascii="Times New Roman" w:hAnsi="Times New Roman" w:cs="Times New Roman"/>
          <w:sz w:val="24"/>
          <w:szCs w:val="24"/>
        </w:rPr>
        <w:t xml:space="preserve"> </w:t>
      </w:r>
      <w:r w:rsidR="00F54C62" w:rsidRPr="00486B87">
        <w:rPr>
          <w:rFonts w:ascii="Times New Roman" w:hAnsi="Times New Roman" w:cs="Times New Roman"/>
          <w:sz w:val="24"/>
          <w:szCs w:val="24"/>
        </w:rPr>
        <w:t xml:space="preserve">however, </w:t>
      </w:r>
      <w:r w:rsidR="00644747" w:rsidRPr="00486B87">
        <w:rPr>
          <w:rFonts w:ascii="Times New Roman" w:hAnsi="Times New Roman" w:cs="Times New Roman"/>
          <w:sz w:val="24"/>
          <w:szCs w:val="24"/>
        </w:rPr>
        <w:t xml:space="preserve">be married </w:t>
      </w:r>
      <w:r w:rsidR="00832CAD" w:rsidRPr="00486B87">
        <w:rPr>
          <w:rFonts w:ascii="Times New Roman" w:hAnsi="Times New Roman" w:cs="Times New Roman"/>
          <w:sz w:val="24"/>
          <w:szCs w:val="24"/>
        </w:rPr>
        <w:t xml:space="preserve">with the statement made by the European Court of Human rights </w:t>
      </w:r>
      <w:r w:rsidR="00832CAD" w:rsidRPr="00486B87">
        <w:rPr>
          <w:rFonts w:ascii="Times New Roman" w:hAnsi="Times New Roman" w:cs="Times New Roman"/>
          <w:i/>
          <w:sz w:val="24"/>
          <w:szCs w:val="24"/>
        </w:rPr>
        <w:t xml:space="preserve">viz. </w:t>
      </w:r>
      <w:r w:rsidR="007F014C" w:rsidRPr="00486B87">
        <w:rPr>
          <w:rFonts w:ascii="Times New Roman" w:hAnsi="Times New Roman" w:cs="Times New Roman"/>
          <w:sz w:val="24"/>
          <w:szCs w:val="24"/>
        </w:rPr>
        <w:t xml:space="preserve">the development of rights </w:t>
      </w:r>
      <w:r w:rsidR="00BE34DD" w:rsidRPr="00486B87">
        <w:rPr>
          <w:rFonts w:ascii="Times New Roman" w:hAnsi="Times New Roman" w:cs="Times New Roman"/>
          <w:sz w:val="24"/>
          <w:szCs w:val="24"/>
        </w:rPr>
        <w:t xml:space="preserve">must </w:t>
      </w:r>
      <w:r w:rsidR="00AF7938" w:rsidRPr="00486B87">
        <w:rPr>
          <w:rFonts w:ascii="Times New Roman" w:hAnsi="Times New Roman" w:cs="Times New Roman"/>
          <w:sz w:val="24"/>
          <w:szCs w:val="24"/>
        </w:rPr>
        <w:t>be “</w:t>
      </w:r>
      <w:r w:rsidR="00AF7938" w:rsidRPr="00486B87">
        <w:rPr>
          <w:rFonts w:ascii="Times New Roman" w:hAnsi="Times New Roman" w:cs="Times New Roman"/>
          <w:color w:val="000000"/>
          <w:sz w:val="24"/>
          <w:szCs w:val="24"/>
          <w:shd w:val="clear" w:color="auto" w:fill="FFFFFF"/>
        </w:rPr>
        <w:t>in the light of present day conditions”</w:t>
      </w:r>
      <w:r w:rsidR="007F014C" w:rsidRPr="00486B87">
        <w:rPr>
          <w:rStyle w:val="FootnoteReference"/>
          <w:rFonts w:ascii="Times New Roman" w:hAnsi="Times New Roman" w:cs="Times New Roman"/>
          <w:sz w:val="24"/>
          <w:szCs w:val="24"/>
        </w:rPr>
        <w:footnoteReference w:id="92"/>
      </w:r>
      <w:r w:rsidR="00AF7938" w:rsidRPr="00486B87">
        <w:rPr>
          <w:rFonts w:ascii="Times New Roman" w:hAnsi="Times New Roman" w:cs="Times New Roman"/>
          <w:color w:val="000000"/>
          <w:sz w:val="24"/>
          <w:szCs w:val="24"/>
          <w:shd w:val="clear" w:color="auto" w:fill="FFFFFF"/>
        </w:rPr>
        <w:t xml:space="preserve">. </w:t>
      </w:r>
      <w:r w:rsidR="00F54C62" w:rsidRPr="00486B87">
        <w:rPr>
          <w:rFonts w:ascii="Times New Roman" w:hAnsi="Times New Roman" w:cs="Times New Roman"/>
          <w:color w:val="000000"/>
          <w:sz w:val="24"/>
          <w:szCs w:val="24"/>
          <w:shd w:val="clear" w:color="auto" w:fill="FFFFFF"/>
        </w:rPr>
        <w:t xml:space="preserve">Therefore, if the opinion of the Bermudian people has changed and is now more hostile towards same-sex marriage rights, the </w:t>
      </w:r>
      <w:r w:rsidR="00835862">
        <w:rPr>
          <w:rFonts w:ascii="Times New Roman" w:hAnsi="Times New Roman" w:cs="Times New Roman"/>
          <w:color w:val="000000"/>
          <w:sz w:val="24"/>
          <w:szCs w:val="24"/>
          <w:shd w:val="clear" w:color="auto" w:fill="FFFFFF"/>
        </w:rPr>
        <w:t>g</w:t>
      </w:r>
      <w:r w:rsidR="00F54C62" w:rsidRPr="00486B87">
        <w:rPr>
          <w:rFonts w:ascii="Times New Roman" w:hAnsi="Times New Roman" w:cs="Times New Roman"/>
          <w:color w:val="000000"/>
          <w:sz w:val="24"/>
          <w:szCs w:val="24"/>
          <w:shd w:val="clear" w:color="auto" w:fill="FFFFFF"/>
        </w:rPr>
        <w:t xml:space="preserve">overnment could argue that it is simply responding to this change. </w:t>
      </w:r>
      <w:r w:rsidR="00AF7938" w:rsidRPr="00486B87">
        <w:rPr>
          <w:rFonts w:ascii="Times New Roman" w:hAnsi="Times New Roman" w:cs="Times New Roman"/>
          <w:color w:val="000000"/>
          <w:sz w:val="24"/>
          <w:szCs w:val="24"/>
          <w:shd w:val="clear" w:color="auto" w:fill="FFFFFF"/>
        </w:rPr>
        <w:t xml:space="preserve">However, if the majority of </w:t>
      </w:r>
      <w:proofErr w:type="gramStart"/>
      <w:r w:rsidR="00AF7938" w:rsidRPr="00486B87">
        <w:rPr>
          <w:rFonts w:ascii="Times New Roman" w:hAnsi="Times New Roman" w:cs="Times New Roman"/>
          <w:color w:val="000000"/>
          <w:sz w:val="24"/>
          <w:szCs w:val="24"/>
          <w:shd w:val="clear" w:color="auto" w:fill="FFFFFF"/>
        </w:rPr>
        <w:t>a referendum are</w:t>
      </w:r>
      <w:proofErr w:type="gramEnd"/>
      <w:r w:rsidR="00AF7938" w:rsidRPr="00486B87">
        <w:rPr>
          <w:rFonts w:ascii="Times New Roman" w:hAnsi="Times New Roman" w:cs="Times New Roman"/>
          <w:color w:val="000000"/>
          <w:sz w:val="24"/>
          <w:szCs w:val="24"/>
          <w:shd w:val="clear" w:color="auto" w:fill="FFFFFF"/>
        </w:rPr>
        <w:t xml:space="preserve"> not in favour of same-sex marriage, should rights be interpreted in light of domestic Bermudian communities, British </w:t>
      </w:r>
      <w:r w:rsidR="00AF7938" w:rsidRPr="00486B87">
        <w:rPr>
          <w:rFonts w:ascii="Times New Roman" w:hAnsi="Times New Roman" w:cs="Times New Roman"/>
          <w:color w:val="000000" w:themeColor="text1"/>
          <w:sz w:val="24"/>
          <w:szCs w:val="24"/>
          <w:shd w:val="clear" w:color="auto" w:fill="FFFFFF"/>
        </w:rPr>
        <w:t xml:space="preserve">Overseas communities, </w:t>
      </w:r>
      <w:r w:rsidR="00CF7D2D" w:rsidRPr="00486B87">
        <w:rPr>
          <w:rFonts w:ascii="Times New Roman" w:hAnsi="Times New Roman" w:cs="Times New Roman"/>
          <w:color w:val="000000" w:themeColor="text1"/>
          <w:sz w:val="24"/>
          <w:szCs w:val="24"/>
          <w:shd w:val="clear" w:color="auto" w:fill="FFFFFF"/>
        </w:rPr>
        <w:t>UK, Commonwealth</w:t>
      </w:r>
      <w:r w:rsidR="00AF7938" w:rsidRPr="00486B87">
        <w:rPr>
          <w:rFonts w:ascii="Times New Roman" w:hAnsi="Times New Roman" w:cs="Times New Roman"/>
          <w:color w:val="000000" w:themeColor="text1"/>
          <w:sz w:val="24"/>
          <w:szCs w:val="24"/>
          <w:shd w:val="clear" w:color="auto" w:fill="FFFFFF"/>
        </w:rPr>
        <w:t xml:space="preserve"> or international communities? Each one would potentially </w:t>
      </w:r>
      <w:r w:rsidR="006D670B" w:rsidRPr="00486B87">
        <w:rPr>
          <w:rFonts w:ascii="Times New Roman" w:hAnsi="Times New Roman" w:cs="Times New Roman"/>
          <w:color w:val="000000" w:themeColor="text1"/>
          <w:sz w:val="24"/>
          <w:szCs w:val="24"/>
          <w:shd w:val="clear" w:color="auto" w:fill="FFFFFF"/>
        </w:rPr>
        <w:t>lead to</w:t>
      </w:r>
      <w:r w:rsidR="00AF7938" w:rsidRPr="00486B87">
        <w:rPr>
          <w:rFonts w:ascii="Times New Roman" w:hAnsi="Times New Roman" w:cs="Times New Roman"/>
          <w:color w:val="000000" w:themeColor="text1"/>
          <w:sz w:val="24"/>
          <w:szCs w:val="24"/>
          <w:shd w:val="clear" w:color="auto" w:fill="FFFFFF"/>
        </w:rPr>
        <w:t xml:space="preserve"> </w:t>
      </w:r>
      <w:r w:rsidR="00500B33">
        <w:rPr>
          <w:rFonts w:ascii="Times New Roman" w:hAnsi="Times New Roman" w:cs="Times New Roman"/>
          <w:color w:val="000000" w:themeColor="text1"/>
          <w:sz w:val="24"/>
          <w:szCs w:val="24"/>
          <w:shd w:val="clear" w:color="auto" w:fill="FFFFFF"/>
        </w:rPr>
        <w:t xml:space="preserve">a </w:t>
      </w:r>
      <w:r w:rsidR="00AF7938" w:rsidRPr="00486B87">
        <w:rPr>
          <w:rFonts w:ascii="Times New Roman" w:hAnsi="Times New Roman" w:cs="Times New Roman"/>
          <w:color w:val="000000" w:themeColor="text1"/>
          <w:sz w:val="24"/>
          <w:szCs w:val="24"/>
          <w:shd w:val="clear" w:color="auto" w:fill="FFFFFF"/>
        </w:rPr>
        <w:t xml:space="preserve">different outcome. In </w:t>
      </w:r>
      <w:r w:rsidR="00AF7938" w:rsidRPr="00486B87">
        <w:rPr>
          <w:rFonts w:ascii="Times New Roman" w:hAnsi="Times New Roman" w:cs="Times New Roman"/>
          <w:color w:val="000000"/>
          <w:sz w:val="24"/>
          <w:szCs w:val="24"/>
          <w:shd w:val="clear" w:color="auto" w:fill="FFFFFF"/>
        </w:rPr>
        <w:t>June 2016 the same sex relationships referendum was held in Bermuda</w:t>
      </w:r>
      <w:r w:rsidR="00F54C62" w:rsidRPr="00486B87">
        <w:rPr>
          <w:rFonts w:ascii="Times New Roman" w:hAnsi="Times New Roman" w:cs="Times New Roman"/>
          <w:color w:val="000000"/>
          <w:sz w:val="24"/>
          <w:szCs w:val="24"/>
          <w:shd w:val="clear" w:color="auto" w:fill="FFFFFF"/>
        </w:rPr>
        <w:t>,</w:t>
      </w:r>
      <w:r w:rsidR="00AF7938" w:rsidRPr="00486B87">
        <w:rPr>
          <w:rFonts w:ascii="Times New Roman" w:hAnsi="Times New Roman" w:cs="Times New Roman"/>
          <w:color w:val="000000"/>
          <w:sz w:val="24"/>
          <w:szCs w:val="24"/>
          <w:shd w:val="clear" w:color="auto" w:fill="FFFFFF"/>
        </w:rPr>
        <w:t xml:space="preserve"> and </w:t>
      </w:r>
      <w:r w:rsidR="000D0479" w:rsidRPr="00486B87">
        <w:rPr>
          <w:rFonts w:ascii="Times New Roman" w:hAnsi="Times New Roman" w:cs="Times New Roman"/>
          <w:color w:val="000000"/>
          <w:sz w:val="24"/>
          <w:szCs w:val="24"/>
          <w:shd w:val="clear" w:color="auto" w:fill="FFFFFF"/>
        </w:rPr>
        <w:t xml:space="preserve">69% of </w:t>
      </w:r>
      <w:r w:rsidR="00F54C62" w:rsidRPr="00486B87">
        <w:rPr>
          <w:rFonts w:ascii="Times New Roman" w:hAnsi="Times New Roman" w:cs="Times New Roman"/>
          <w:color w:val="000000"/>
          <w:sz w:val="24"/>
          <w:szCs w:val="24"/>
          <w:shd w:val="clear" w:color="auto" w:fill="FFFFFF"/>
        </w:rPr>
        <w:t>the votes cast were against same-sex marriage. Despite these figures,</w:t>
      </w:r>
      <w:r w:rsidR="000D0479" w:rsidRPr="00486B87">
        <w:rPr>
          <w:rFonts w:ascii="Times New Roman" w:hAnsi="Times New Roman" w:cs="Times New Roman"/>
          <w:color w:val="000000"/>
          <w:sz w:val="24"/>
          <w:szCs w:val="24"/>
          <w:shd w:val="clear" w:color="auto" w:fill="FFFFFF"/>
        </w:rPr>
        <w:t xml:space="preserve"> the turnout was only 46.89%</w:t>
      </w:r>
      <w:r w:rsidR="003014C1" w:rsidRPr="00486B87">
        <w:rPr>
          <w:rFonts w:ascii="Times New Roman" w:hAnsi="Times New Roman" w:cs="Times New Roman"/>
          <w:color w:val="000000"/>
          <w:sz w:val="24"/>
          <w:szCs w:val="24"/>
          <w:shd w:val="clear" w:color="auto" w:fill="FFFFFF"/>
        </w:rPr>
        <w:t xml:space="preserve"> of eligible voters</w:t>
      </w:r>
      <w:r w:rsidR="000D0479" w:rsidRPr="00486B87">
        <w:rPr>
          <w:rFonts w:ascii="Times New Roman" w:hAnsi="Times New Roman" w:cs="Times New Roman"/>
          <w:color w:val="000000"/>
          <w:sz w:val="24"/>
          <w:szCs w:val="24"/>
          <w:shd w:val="clear" w:color="auto" w:fill="FFFFFF"/>
        </w:rPr>
        <w:t xml:space="preserve">, </w:t>
      </w:r>
      <w:r w:rsidR="00F54C62" w:rsidRPr="00486B87">
        <w:rPr>
          <w:rFonts w:ascii="Times New Roman" w:hAnsi="Times New Roman" w:cs="Times New Roman"/>
          <w:color w:val="000000"/>
          <w:sz w:val="24"/>
          <w:szCs w:val="24"/>
          <w:shd w:val="clear" w:color="auto" w:fill="FFFFFF"/>
        </w:rPr>
        <w:t xml:space="preserve">which is </w:t>
      </w:r>
      <w:r w:rsidR="000D0479" w:rsidRPr="00486B87">
        <w:rPr>
          <w:rFonts w:ascii="Times New Roman" w:hAnsi="Times New Roman" w:cs="Times New Roman"/>
          <w:color w:val="000000"/>
          <w:sz w:val="24"/>
          <w:szCs w:val="24"/>
          <w:shd w:val="clear" w:color="auto" w:fill="FFFFFF"/>
        </w:rPr>
        <w:t xml:space="preserve">below the 50% </w:t>
      </w:r>
      <w:r w:rsidR="000D0479" w:rsidRPr="00486B87">
        <w:rPr>
          <w:rFonts w:ascii="Times New Roman" w:hAnsi="Times New Roman" w:cs="Times New Roman"/>
          <w:color w:val="000000"/>
          <w:sz w:val="24"/>
          <w:szCs w:val="24"/>
          <w:shd w:val="clear" w:color="auto" w:fill="FFFFFF"/>
        </w:rPr>
        <w:lastRenderedPageBreak/>
        <w:t>required for the referendum result to be valid</w:t>
      </w:r>
      <w:r w:rsidR="003014C1" w:rsidRPr="00486B87">
        <w:rPr>
          <w:rStyle w:val="FootnoteReference"/>
          <w:rFonts w:ascii="Times New Roman" w:hAnsi="Times New Roman" w:cs="Times New Roman"/>
          <w:color w:val="000000"/>
          <w:sz w:val="24"/>
          <w:szCs w:val="24"/>
          <w:shd w:val="clear" w:color="auto" w:fill="FFFFFF"/>
        </w:rPr>
        <w:footnoteReference w:id="93"/>
      </w:r>
      <w:r w:rsidR="000D0479" w:rsidRPr="00486B87">
        <w:rPr>
          <w:rFonts w:ascii="Times New Roman" w:hAnsi="Times New Roman" w:cs="Times New Roman"/>
          <w:color w:val="000000"/>
          <w:sz w:val="24"/>
          <w:szCs w:val="24"/>
          <w:shd w:val="clear" w:color="auto" w:fill="FFFFFF"/>
        </w:rPr>
        <w:t xml:space="preserve">. </w:t>
      </w:r>
      <w:r w:rsidR="00F54C62" w:rsidRPr="00486B87">
        <w:rPr>
          <w:rFonts w:ascii="Times New Roman" w:hAnsi="Times New Roman" w:cs="Times New Roman"/>
          <w:color w:val="000000"/>
          <w:sz w:val="24"/>
          <w:szCs w:val="24"/>
          <w:shd w:val="clear" w:color="auto" w:fill="FFFFFF"/>
        </w:rPr>
        <w:t>It may be hard to ju</w:t>
      </w:r>
      <w:r w:rsidR="00E35994" w:rsidRPr="00486B87">
        <w:rPr>
          <w:rFonts w:ascii="Times New Roman" w:hAnsi="Times New Roman" w:cs="Times New Roman"/>
          <w:color w:val="000000"/>
          <w:sz w:val="24"/>
          <w:szCs w:val="24"/>
          <w:shd w:val="clear" w:color="auto" w:fill="FFFFFF"/>
        </w:rPr>
        <w:t>stify using the referendum as support for removing same-sex marriage</w:t>
      </w:r>
      <w:r w:rsidR="00500B33">
        <w:rPr>
          <w:rFonts w:ascii="Times New Roman" w:hAnsi="Times New Roman" w:cs="Times New Roman"/>
          <w:color w:val="000000"/>
          <w:sz w:val="24"/>
          <w:szCs w:val="24"/>
          <w:shd w:val="clear" w:color="auto" w:fill="FFFFFF"/>
        </w:rPr>
        <w:t>,</w:t>
      </w:r>
      <w:r w:rsidR="00E35994" w:rsidRPr="00486B87">
        <w:rPr>
          <w:rFonts w:ascii="Times New Roman" w:hAnsi="Times New Roman" w:cs="Times New Roman"/>
          <w:color w:val="000000"/>
          <w:sz w:val="24"/>
          <w:szCs w:val="24"/>
          <w:shd w:val="clear" w:color="auto" w:fill="FFFFFF"/>
        </w:rPr>
        <w:t xml:space="preserve"> as it is not a valid referendum due to poor turn out. </w:t>
      </w:r>
      <w:r w:rsidR="00D34AAD" w:rsidRPr="00486B87">
        <w:rPr>
          <w:rFonts w:ascii="Times New Roman" w:hAnsi="Times New Roman" w:cs="Times New Roman"/>
          <w:color w:val="000000"/>
          <w:sz w:val="24"/>
          <w:szCs w:val="24"/>
          <w:shd w:val="clear" w:color="auto" w:fill="FFFFFF"/>
        </w:rPr>
        <w:t xml:space="preserve">If there seems to be at best </w:t>
      </w:r>
      <w:r w:rsidR="003014C1" w:rsidRPr="00486B87">
        <w:rPr>
          <w:rFonts w:ascii="Times New Roman" w:hAnsi="Times New Roman" w:cs="Times New Roman"/>
          <w:color w:val="000000"/>
          <w:sz w:val="24"/>
          <w:szCs w:val="24"/>
          <w:shd w:val="clear" w:color="auto" w:fill="FFFFFF"/>
        </w:rPr>
        <w:t>an indifference</w:t>
      </w:r>
      <w:r w:rsidR="00D34AAD" w:rsidRPr="00486B87">
        <w:rPr>
          <w:rFonts w:ascii="Times New Roman" w:hAnsi="Times New Roman" w:cs="Times New Roman"/>
          <w:color w:val="000000"/>
          <w:sz w:val="24"/>
          <w:szCs w:val="24"/>
          <w:shd w:val="clear" w:color="auto" w:fill="FFFFFF"/>
        </w:rPr>
        <w:t xml:space="preserve"> </w:t>
      </w:r>
      <w:r w:rsidR="003014C1" w:rsidRPr="00486B87">
        <w:rPr>
          <w:rFonts w:ascii="Times New Roman" w:hAnsi="Times New Roman" w:cs="Times New Roman"/>
          <w:color w:val="000000"/>
          <w:sz w:val="24"/>
          <w:szCs w:val="24"/>
          <w:shd w:val="clear" w:color="auto" w:fill="FFFFFF"/>
        </w:rPr>
        <w:t>amongst the</w:t>
      </w:r>
      <w:r w:rsidR="00D34AAD" w:rsidRPr="00486B87">
        <w:rPr>
          <w:rFonts w:ascii="Times New Roman" w:hAnsi="Times New Roman" w:cs="Times New Roman"/>
          <w:color w:val="000000"/>
          <w:sz w:val="24"/>
          <w:szCs w:val="24"/>
          <w:shd w:val="clear" w:color="auto" w:fill="FFFFFF"/>
        </w:rPr>
        <w:t xml:space="preserve"> </w:t>
      </w:r>
      <w:r w:rsidR="003014C1" w:rsidRPr="00486B87">
        <w:rPr>
          <w:rFonts w:ascii="Times New Roman" w:hAnsi="Times New Roman" w:cs="Times New Roman"/>
          <w:color w:val="000000"/>
          <w:sz w:val="24"/>
          <w:szCs w:val="24"/>
          <w:shd w:val="clear" w:color="auto" w:fill="FFFFFF"/>
        </w:rPr>
        <w:t xml:space="preserve">communities of </w:t>
      </w:r>
      <w:r w:rsidR="00D34AAD" w:rsidRPr="00486B87">
        <w:rPr>
          <w:rFonts w:ascii="Times New Roman" w:hAnsi="Times New Roman" w:cs="Times New Roman"/>
          <w:color w:val="000000"/>
          <w:sz w:val="24"/>
          <w:szCs w:val="24"/>
          <w:shd w:val="clear" w:color="auto" w:fill="FFFFFF"/>
        </w:rPr>
        <w:t>Bermuda</w:t>
      </w:r>
      <w:r w:rsidR="003014C1" w:rsidRPr="00486B87">
        <w:rPr>
          <w:rFonts w:ascii="Times New Roman" w:hAnsi="Times New Roman" w:cs="Times New Roman"/>
          <w:color w:val="000000"/>
          <w:sz w:val="24"/>
          <w:szCs w:val="24"/>
          <w:shd w:val="clear" w:color="auto" w:fill="FFFFFF"/>
        </w:rPr>
        <w:t xml:space="preserve"> </w:t>
      </w:r>
      <w:r w:rsidR="00D34AAD" w:rsidRPr="00486B87">
        <w:rPr>
          <w:rFonts w:ascii="Times New Roman" w:hAnsi="Times New Roman" w:cs="Times New Roman"/>
          <w:color w:val="000000"/>
          <w:sz w:val="24"/>
          <w:szCs w:val="24"/>
          <w:shd w:val="clear" w:color="auto" w:fill="FFFFFF"/>
        </w:rPr>
        <w:t xml:space="preserve">as to same-sex marriage (given the low turnout despite campaigning by both sides), how does this translate into the interpretation of rights in light of the community </w:t>
      </w:r>
      <w:r w:rsidR="00D63364" w:rsidRPr="00486B87">
        <w:rPr>
          <w:rFonts w:ascii="Times New Roman" w:hAnsi="Times New Roman" w:cs="Times New Roman"/>
          <w:color w:val="000000"/>
          <w:sz w:val="24"/>
          <w:szCs w:val="24"/>
          <w:shd w:val="clear" w:color="auto" w:fill="FFFFFF"/>
        </w:rPr>
        <w:t>that they serve? Th</w:t>
      </w:r>
      <w:r w:rsidR="00FC07FD" w:rsidRPr="00486B87">
        <w:rPr>
          <w:rFonts w:ascii="Times New Roman" w:hAnsi="Times New Roman" w:cs="Times New Roman"/>
          <w:color w:val="000000"/>
          <w:sz w:val="24"/>
          <w:szCs w:val="24"/>
          <w:shd w:val="clear" w:color="auto" w:fill="FFFFFF"/>
        </w:rPr>
        <w:t>is conundrum does demonstrate the tension between the courts</w:t>
      </w:r>
      <w:r w:rsidR="007A1E5C">
        <w:rPr>
          <w:rFonts w:ascii="Times New Roman" w:hAnsi="Times New Roman" w:cs="Times New Roman"/>
          <w:color w:val="000000"/>
          <w:sz w:val="24"/>
          <w:szCs w:val="24"/>
          <w:shd w:val="clear" w:color="auto" w:fill="FFFFFF"/>
        </w:rPr>
        <w:t>,</w:t>
      </w:r>
      <w:r w:rsidR="00FC07FD" w:rsidRPr="00486B87">
        <w:rPr>
          <w:rFonts w:ascii="Times New Roman" w:hAnsi="Times New Roman" w:cs="Times New Roman"/>
          <w:color w:val="000000"/>
          <w:sz w:val="24"/>
          <w:szCs w:val="24"/>
          <w:shd w:val="clear" w:color="auto" w:fill="FFFFFF"/>
        </w:rPr>
        <w:t xml:space="preserve"> who are seeking to assert legal certainty</w:t>
      </w:r>
      <w:r w:rsidR="007A1E5C">
        <w:rPr>
          <w:rFonts w:ascii="Times New Roman" w:hAnsi="Times New Roman" w:cs="Times New Roman"/>
          <w:color w:val="000000"/>
          <w:sz w:val="24"/>
          <w:szCs w:val="24"/>
          <w:shd w:val="clear" w:color="auto" w:fill="FFFFFF"/>
        </w:rPr>
        <w:t>,</w:t>
      </w:r>
      <w:r w:rsidR="00FC07FD" w:rsidRPr="00486B87">
        <w:rPr>
          <w:rFonts w:ascii="Times New Roman" w:hAnsi="Times New Roman" w:cs="Times New Roman"/>
          <w:color w:val="000000"/>
          <w:sz w:val="24"/>
          <w:szCs w:val="24"/>
          <w:shd w:val="clear" w:color="auto" w:fill="FFFFFF"/>
        </w:rPr>
        <w:t xml:space="preserve"> and the government who may be more </w:t>
      </w:r>
      <w:r w:rsidR="00EF3FCC" w:rsidRPr="00486B87">
        <w:rPr>
          <w:rFonts w:ascii="Times New Roman" w:hAnsi="Times New Roman" w:cs="Times New Roman"/>
          <w:color w:val="000000"/>
          <w:sz w:val="24"/>
          <w:szCs w:val="24"/>
          <w:shd w:val="clear" w:color="auto" w:fill="FFFFFF"/>
        </w:rPr>
        <w:t>inclined</w:t>
      </w:r>
      <w:r w:rsidR="00FC07FD" w:rsidRPr="00486B87">
        <w:rPr>
          <w:rFonts w:ascii="Times New Roman" w:hAnsi="Times New Roman" w:cs="Times New Roman"/>
          <w:color w:val="000000"/>
          <w:sz w:val="24"/>
          <w:szCs w:val="24"/>
          <w:shd w:val="clear" w:color="auto" w:fill="FFFFFF"/>
        </w:rPr>
        <w:t xml:space="preserve"> to make policy based on the </w:t>
      </w:r>
      <w:r w:rsidR="00C8529D" w:rsidRPr="00486B87">
        <w:rPr>
          <w:rFonts w:ascii="Times New Roman" w:hAnsi="Times New Roman" w:cs="Times New Roman"/>
          <w:color w:val="000000"/>
          <w:sz w:val="24"/>
          <w:szCs w:val="24"/>
          <w:shd w:val="clear" w:color="auto" w:fill="FFFFFF"/>
        </w:rPr>
        <w:t xml:space="preserve">view of </w:t>
      </w:r>
      <w:r w:rsidR="003014C1" w:rsidRPr="00486B87">
        <w:rPr>
          <w:rFonts w:ascii="Times New Roman" w:hAnsi="Times New Roman" w:cs="Times New Roman"/>
          <w:color w:val="000000"/>
          <w:sz w:val="24"/>
          <w:szCs w:val="24"/>
          <w:shd w:val="clear" w:color="auto" w:fill="FFFFFF"/>
        </w:rPr>
        <w:t>14,192</w:t>
      </w:r>
      <w:r w:rsidR="003014C1" w:rsidRPr="00486B87">
        <w:rPr>
          <w:rStyle w:val="FootnoteReference"/>
          <w:rFonts w:ascii="Times New Roman" w:hAnsi="Times New Roman" w:cs="Times New Roman"/>
          <w:color w:val="000000"/>
          <w:sz w:val="24"/>
          <w:szCs w:val="24"/>
          <w:shd w:val="clear" w:color="auto" w:fill="FFFFFF"/>
        </w:rPr>
        <w:footnoteReference w:id="94"/>
      </w:r>
      <w:r w:rsidR="00C8529D" w:rsidRPr="00486B87">
        <w:rPr>
          <w:rFonts w:ascii="Times New Roman" w:hAnsi="Times New Roman" w:cs="Times New Roman"/>
          <w:color w:val="000000"/>
          <w:sz w:val="24"/>
          <w:szCs w:val="24"/>
          <w:shd w:val="clear" w:color="auto" w:fill="FFFFFF"/>
        </w:rPr>
        <w:t>, or 21.70% of Bermuda’s population</w:t>
      </w:r>
      <w:r w:rsidR="00C8529D" w:rsidRPr="00486B87">
        <w:rPr>
          <w:rStyle w:val="FootnoteReference"/>
          <w:rFonts w:ascii="Times New Roman" w:hAnsi="Times New Roman" w:cs="Times New Roman"/>
          <w:color w:val="000000"/>
          <w:sz w:val="24"/>
          <w:szCs w:val="24"/>
          <w:shd w:val="clear" w:color="auto" w:fill="FFFFFF"/>
        </w:rPr>
        <w:footnoteReference w:id="95"/>
      </w:r>
      <w:r w:rsidR="00C8529D" w:rsidRPr="00486B87">
        <w:rPr>
          <w:rFonts w:ascii="Times New Roman" w:hAnsi="Times New Roman" w:cs="Times New Roman"/>
          <w:color w:val="000000"/>
          <w:sz w:val="24"/>
          <w:szCs w:val="24"/>
          <w:shd w:val="clear" w:color="auto" w:fill="FFFFFF"/>
        </w:rPr>
        <w:t xml:space="preserve">. The weight of international jurisprudence in Bermuda will certainly be under the spotlight </w:t>
      </w:r>
      <w:r w:rsidR="00E22A7C" w:rsidRPr="00486B87">
        <w:rPr>
          <w:rFonts w:ascii="Times New Roman" w:hAnsi="Times New Roman" w:cs="Times New Roman"/>
          <w:color w:val="000000"/>
          <w:sz w:val="24"/>
          <w:szCs w:val="24"/>
          <w:shd w:val="clear" w:color="auto" w:fill="FFFFFF"/>
        </w:rPr>
        <w:t>if the government seek</w:t>
      </w:r>
      <w:r w:rsidR="00C27B4C" w:rsidRPr="00486B87">
        <w:rPr>
          <w:rFonts w:ascii="Times New Roman" w:hAnsi="Times New Roman" w:cs="Times New Roman"/>
          <w:color w:val="000000"/>
          <w:sz w:val="24"/>
          <w:szCs w:val="24"/>
          <w:shd w:val="clear" w:color="auto" w:fill="FFFFFF"/>
        </w:rPr>
        <w:t>s</w:t>
      </w:r>
      <w:r w:rsidR="00E22A7C" w:rsidRPr="00486B87">
        <w:rPr>
          <w:rFonts w:ascii="Times New Roman" w:hAnsi="Times New Roman" w:cs="Times New Roman"/>
          <w:color w:val="000000"/>
          <w:sz w:val="24"/>
          <w:szCs w:val="24"/>
          <w:shd w:val="clear" w:color="auto" w:fill="FFFFFF"/>
        </w:rPr>
        <w:t xml:space="preserve"> to </w:t>
      </w:r>
      <w:r w:rsidR="003757AE" w:rsidRPr="00486B87">
        <w:rPr>
          <w:rFonts w:ascii="Times New Roman" w:hAnsi="Times New Roman" w:cs="Times New Roman"/>
          <w:color w:val="000000"/>
          <w:sz w:val="24"/>
          <w:szCs w:val="24"/>
          <w:shd w:val="clear" w:color="auto" w:fill="FFFFFF"/>
        </w:rPr>
        <w:t>appeal the decision to the Bermudian Court of Appeal or seek the involvement of the JCPC</w:t>
      </w:r>
      <w:r w:rsidR="00C8529D" w:rsidRPr="00486B87">
        <w:rPr>
          <w:rFonts w:ascii="Times New Roman" w:hAnsi="Times New Roman" w:cs="Times New Roman"/>
          <w:color w:val="000000"/>
          <w:sz w:val="24"/>
          <w:szCs w:val="24"/>
          <w:shd w:val="clear" w:color="auto" w:fill="FFFFFF"/>
        </w:rPr>
        <w:t xml:space="preserve">. </w:t>
      </w:r>
      <w:r w:rsidR="006A3107">
        <w:rPr>
          <w:rFonts w:ascii="Times New Roman" w:hAnsi="Times New Roman" w:cs="Times New Roman"/>
          <w:color w:val="000000"/>
          <w:sz w:val="24"/>
          <w:szCs w:val="24"/>
          <w:shd w:val="clear" w:color="auto" w:fill="FFFFFF"/>
        </w:rPr>
        <w:t xml:space="preserve">A connected issue has recently been decided in the UK’s Supreme Court; equal access to civil partnerships has been debated for a number of years and this is a salient point which can be discussed in brief </w:t>
      </w:r>
      <w:r w:rsidR="00042A86">
        <w:rPr>
          <w:rFonts w:ascii="Times New Roman" w:hAnsi="Times New Roman" w:cs="Times New Roman"/>
          <w:color w:val="000000"/>
          <w:sz w:val="24"/>
          <w:szCs w:val="24"/>
          <w:shd w:val="clear" w:color="auto" w:fill="FFFFFF"/>
        </w:rPr>
        <w:t>in relation to Bermudian s</w:t>
      </w:r>
      <w:r w:rsidR="006A3107">
        <w:rPr>
          <w:rFonts w:ascii="Times New Roman" w:hAnsi="Times New Roman" w:cs="Times New Roman"/>
          <w:color w:val="000000"/>
          <w:sz w:val="24"/>
          <w:szCs w:val="24"/>
          <w:shd w:val="clear" w:color="auto" w:fill="FFFFFF"/>
        </w:rPr>
        <w:t xml:space="preserve">ame-sex marriage. </w:t>
      </w:r>
    </w:p>
    <w:p w14:paraId="0C761F73" w14:textId="2B099772" w:rsidR="0040582F" w:rsidRPr="00486B87" w:rsidRDefault="0040582F" w:rsidP="00237DA8">
      <w:pPr>
        <w:spacing w:line="480" w:lineRule="auto"/>
        <w:jc w:val="both"/>
        <w:rPr>
          <w:rFonts w:ascii="Times New Roman" w:hAnsi="Times New Roman" w:cs="Times New Roman"/>
          <w:color w:val="000000"/>
          <w:sz w:val="24"/>
          <w:szCs w:val="24"/>
          <w:shd w:val="clear" w:color="auto" w:fill="FFFFFF"/>
        </w:rPr>
      </w:pPr>
    </w:p>
    <w:p w14:paraId="2A03AE62" w14:textId="68CDA45C" w:rsidR="00131D9A" w:rsidRPr="00486B87" w:rsidRDefault="0083400A" w:rsidP="00237DA8">
      <w:pPr>
        <w:spacing w:line="480" w:lineRule="auto"/>
        <w:jc w:val="both"/>
        <w:rPr>
          <w:rFonts w:ascii="Times New Roman" w:hAnsi="Times New Roman" w:cs="Times New Roman"/>
          <w:color w:val="000000"/>
          <w:sz w:val="24"/>
          <w:szCs w:val="24"/>
          <w:u w:val="single"/>
          <w:shd w:val="clear" w:color="auto" w:fill="FFFFFF"/>
        </w:rPr>
      </w:pPr>
      <w:r>
        <w:rPr>
          <w:rFonts w:ascii="Times New Roman" w:hAnsi="Times New Roman" w:cs="Times New Roman"/>
          <w:color w:val="000000"/>
          <w:sz w:val="24"/>
          <w:szCs w:val="24"/>
          <w:u w:val="single"/>
          <w:shd w:val="clear" w:color="auto" w:fill="FFFFFF"/>
        </w:rPr>
        <w:t>Equal Access to Civil Partnerships</w:t>
      </w:r>
    </w:p>
    <w:p w14:paraId="6642A5CC" w14:textId="6EB77046" w:rsidR="00131D9A" w:rsidRPr="00486B87" w:rsidRDefault="00131D9A" w:rsidP="00237DA8">
      <w:pPr>
        <w:spacing w:line="480" w:lineRule="auto"/>
        <w:jc w:val="both"/>
        <w:rPr>
          <w:rFonts w:ascii="Times New Roman" w:hAnsi="Times New Roman" w:cs="Times New Roman"/>
          <w:color w:val="000000"/>
          <w:sz w:val="24"/>
          <w:szCs w:val="24"/>
          <w:shd w:val="clear" w:color="auto" w:fill="FFFFFF"/>
        </w:rPr>
      </w:pPr>
      <w:r w:rsidRPr="00486B87">
        <w:rPr>
          <w:rFonts w:ascii="Times New Roman" w:hAnsi="Times New Roman" w:cs="Times New Roman"/>
          <w:color w:val="000000"/>
          <w:sz w:val="24"/>
          <w:szCs w:val="24"/>
          <w:shd w:val="clear" w:color="auto" w:fill="FFFFFF"/>
        </w:rPr>
        <w:t xml:space="preserve">Brief consideration will be given here to the recent decision of the UK Supreme Court in the </w:t>
      </w:r>
      <w:r w:rsidR="000D4854" w:rsidRPr="00486B87">
        <w:rPr>
          <w:rFonts w:ascii="Times New Roman" w:hAnsi="Times New Roman" w:cs="Times New Roman"/>
          <w:color w:val="000000"/>
          <w:sz w:val="24"/>
          <w:szCs w:val="24"/>
          <w:shd w:val="clear" w:color="auto" w:fill="FFFFFF"/>
        </w:rPr>
        <w:t xml:space="preserve">case of </w:t>
      </w:r>
      <w:proofErr w:type="spellStart"/>
      <w:r w:rsidR="000D4854" w:rsidRPr="00486B87">
        <w:rPr>
          <w:rFonts w:ascii="Times New Roman" w:hAnsi="Times New Roman" w:cs="Times New Roman"/>
          <w:i/>
          <w:color w:val="000000"/>
          <w:sz w:val="24"/>
          <w:szCs w:val="24"/>
          <w:shd w:val="clear" w:color="auto" w:fill="FFFFFF"/>
        </w:rPr>
        <w:t>Steinfeld</w:t>
      </w:r>
      <w:proofErr w:type="spellEnd"/>
      <w:r w:rsidR="000D4854" w:rsidRPr="00486B87">
        <w:rPr>
          <w:rFonts w:ascii="Times New Roman" w:hAnsi="Times New Roman" w:cs="Times New Roman"/>
          <w:i/>
          <w:color w:val="000000"/>
          <w:sz w:val="24"/>
          <w:szCs w:val="24"/>
          <w:shd w:val="clear" w:color="auto" w:fill="FFFFFF"/>
        </w:rPr>
        <w:t xml:space="preserve"> and </w:t>
      </w:r>
      <w:proofErr w:type="spellStart"/>
      <w:r w:rsidR="000D4854" w:rsidRPr="00486B87">
        <w:rPr>
          <w:rFonts w:ascii="Times New Roman" w:hAnsi="Times New Roman" w:cs="Times New Roman"/>
          <w:i/>
          <w:color w:val="000000"/>
          <w:sz w:val="24"/>
          <w:szCs w:val="24"/>
          <w:shd w:val="clear" w:color="auto" w:fill="FFFFFF"/>
        </w:rPr>
        <w:t>Keidan</w:t>
      </w:r>
      <w:proofErr w:type="spellEnd"/>
      <w:r w:rsidR="000D4854" w:rsidRPr="00486B87">
        <w:rPr>
          <w:rStyle w:val="FootnoteReference"/>
          <w:rFonts w:ascii="Times New Roman" w:hAnsi="Times New Roman" w:cs="Times New Roman"/>
          <w:i/>
          <w:color w:val="000000"/>
          <w:sz w:val="24"/>
          <w:szCs w:val="24"/>
          <w:shd w:val="clear" w:color="auto" w:fill="FFFFFF"/>
        </w:rPr>
        <w:footnoteReference w:id="96"/>
      </w:r>
      <w:r w:rsidR="000D4854" w:rsidRPr="00486B87">
        <w:rPr>
          <w:rFonts w:ascii="Times New Roman" w:hAnsi="Times New Roman" w:cs="Times New Roman"/>
          <w:color w:val="000000"/>
          <w:sz w:val="24"/>
          <w:szCs w:val="24"/>
          <w:shd w:val="clear" w:color="auto" w:fill="FFFFFF"/>
        </w:rPr>
        <w:t xml:space="preserve">, and the insight that it may give the </w:t>
      </w:r>
      <w:r w:rsidR="00835862">
        <w:rPr>
          <w:rFonts w:ascii="Times New Roman" w:hAnsi="Times New Roman" w:cs="Times New Roman"/>
          <w:color w:val="000000"/>
          <w:sz w:val="24"/>
          <w:szCs w:val="24"/>
          <w:shd w:val="clear" w:color="auto" w:fill="FFFFFF"/>
        </w:rPr>
        <w:t>g</w:t>
      </w:r>
      <w:r w:rsidR="000D4854" w:rsidRPr="00486B87">
        <w:rPr>
          <w:rFonts w:ascii="Times New Roman" w:hAnsi="Times New Roman" w:cs="Times New Roman"/>
          <w:color w:val="000000"/>
          <w:sz w:val="24"/>
          <w:szCs w:val="24"/>
          <w:shd w:val="clear" w:color="auto" w:fill="FFFFFF"/>
        </w:rPr>
        <w:t xml:space="preserve">overnment of Bermuda should they seek to refer the matter to the JCPC. After all, the JCPC may </w:t>
      </w:r>
      <w:r w:rsidR="000D4854" w:rsidRPr="00486B87">
        <w:rPr>
          <w:rFonts w:ascii="Times New Roman" w:hAnsi="Times New Roman" w:cs="Times New Roman"/>
          <w:i/>
          <w:color w:val="000000"/>
          <w:sz w:val="24"/>
          <w:szCs w:val="24"/>
          <w:shd w:val="clear" w:color="auto" w:fill="FFFFFF"/>
        </w:rPr>
        <w:t>de jure</w:t>
      </w:r>
      <w:r w:rsidR="000D4854" w:rsidRPr="00486B87">
        <w:rPr>
          <w:rFonts w:ascii="Times New Roman" w:hAnsi="Times New Roman" w:cs="Times New Roman"/>
          <w:color w:val="000000"/>
          <w:sz w:val="24"/>
          <w:szCs w:val="24"/>
          <w:shd w:val="clear" w:color="auto" w:fill="FFFFFF"/>
        </w:rPr>
        <w:t xml:space="preserve"> be a different chamber of adjudication, and the relationship it has with overseas and </w:t>
      </w:r>
      <w:r w:rsidR="002F6DCC">
        <w:rPr>
          <w:rFonts w:ascii="Times New Roman" w:hAnsi="Times New Roman" w:cs="Times New Roman"/>
          <w:color w:val="000000"/>
          <w:sz w:val="24"/>
          <w:szCs w:val="24"/>
          <w:shd w:val="clear" w:color="auto" w:fill="FFFFFF"/>
        </w:rPr>
        <w:t>C</w:t>
      </w:r>
      <w:r w:rsidR="000D4854" w:rsidRPr="00486B87">
        <w:rPr>
          <w:rFonts w:ascii="Times New Roman" w:hAnsi="Times New Roman" w:cs="Times New Roman"/>
          <w:color w:val="000000"/>
          <w:sz w:val="24"/>
          <w:szCs w:val="24"/>
          <w:shd w:val="clear" w:color="auto" w:fill="FFFFFF"/>
        </w:rPr>
        <w:t xml:space="preserve">ommonwealth territories is unique and subject to political and legal sensitivities. However, </w:t>
      </w:r>
      <w:r w:rsidR="000D4854" w:rsidRPr="00486B87">
        <w:rPr>
          <w:rFonts w:ascii="Times New Roman" w:hAnsi="Times New Roman" w:cs="Times New Roman"/>
          <w:color w:val="000000"/>
          <w:sz w:val="24"/>
          <w:szCs w:val="24"/>
          <w:shd w:val="clear" w:color="auto" w:fill="FFFFFF"/>
        </w:rPr>
        <w:lastRenderedPageBreak/>
        <w:t>given that the same Justices decide cases in the JCPC as do in the UK’s Supreme Court it would be prudent to acknowledge the decisions of one, when it deals with a relevant subject, even if it does not bind the other</w:t>
      </w:r>
      <w:r w:rsidR="000D4854" w:rsidRPr="00486B87">
        <w:rPr>
          <w:rStyle w:val="FootnoteReference"/>
          <w:rFonts w:ascii="Times New Roman" w:hAnsi="Times New Roman" w:cs="Times New Roman"/>
          <w:color w:val="000000"/>
          <w:sz w:val="24"/>
          <w:szCs w:val="24"/>
          <w:shd w:val="clear" w:color="auto" w:fill="FFFFFF"/>
        </w:rPr>
        <w:footnoteReference w:id="97"/>
      </w:r>
      <w:r w:rsidR="000D4854" w:rsidRPr="00486B87">
        <w:rPr>
          <w:rFonts w:ascii="Times New Roman" w:hAnsi="Times New Roman" w:cs="Times New Roman"/>
          <w:color w:val="000000"/>
          <w:sz w:val="24"/>
          <w:szCs w:val="24"/>
          <w:shd w:val="clear" w:color="auto" w:fill="FFFFFF"/>
        </w:rPr>
        <w:t xml:space="preserve">. </w:t>
      </w:r>
      <w:r w:rsidR="00E95199" w:rsidRPr="00486B87">
        <w:rPr>
          <w:rFonts w:ascii="Times New Roman" w:hAnsi="Times New Roman" w:cs="Times New Roman"/>
          <w:color w:val="000000"/>
          <w:sz w:val="24"/>
          <w:szCs w:val="24"/>
          <w:shd w:val="clear" w:color="auto" w:fill="FFFFFF"/>
        </w:rPr>
        <w:t>On the 27</w:t>
      </w:r>
      <w:r w:rsidR="00E95199" w:rsidRPr="00486B87">
        <w:rPr>
          <w:rFonts w:ascii="Times New Roman" w:hAnsi="Times New Roman" w:cs="Times New Roman"/>
          <w:color w:val="000000"/>
          <w:sz w:val="24"/>
          <w:szCs w:val="24"/>
          <w:shd w:val="clear" w:color="auto" w:fill="FFFFFF"/>
          <w:vertAlign w:val="superscript"/>
        </w:rPr>
        <w:t>th</w:t>
      </w:r>
      <w:r w:rsidR="00E95199" w:rsidRPr="00486B87">
        <w:rPr>
          <w:rFonts w:ascii="Times New Roman" w:hAnsi="Times New Roman" w:cs="Times New Roman"/>
          <w:color w:val="000000"/>
          <w:sz w:val="24"/>
          <w:szCs w:val="24"/>
          <w:shd w:val="clear" w:color="auto" w:fill="FFFFFF"/>
        </w:rPr>
        <w:t xml:space="preserve"> June 2018 the UK Supreme Court handed down its judgment in the abovementioned case of </w:t>
      </w:r>
      <w:proofErr w:type="spellStart"/>
      <w:r w:rsidR="00E95199" w:rsidRPr="00486B87">
        <w:rPr>
          <w:rFonts w:ascii="Times New Roman" w:hAnsi="Times New Roman" w:cs="Times New Roman"/>
          <w:i/>
          <w:color w:val="000000"/>
          <w:sz w:val="24"/>
          <w:szCs w:val="24"/>
          <w:shd w:val="clear" w:color="auto" w:fill="FFFFFF"/>
        </w:rPr>
        <w:t>Steinfeld</w:t>
      </w:r>
      <w:proofErr w:type="spellEnd"/>
      <w:r w:rsidR="00E95199" w:rsidRPr="00486B87">
        <w:rPr>
          <w:rFonts w:ascii="Times New Roman" w:hAnsi="Times New Roman" w:cs="Times New Roman"/>
          <w:i/>
          <w:color w:val="000000"/>
          <w:sz w:val="24"/>
          <w:szCs w:val="24"/>
          <w:shd w:val="clear" w:color="auto" w:fill="FFFFFF"/>
        </w:rPr>
        <w:t xml:space="preserve"> and </w:t>
      </w:r>
      <w:proofErr w:type="spellStart"/>
      <w:r w:rsidR="00E95199" w:rsidRPr="00486B87">
        <w:rPr>
          <w:rFonts w:ascii="Times New Roman" w:hAnsi="Times New Roman" w:cs="Times New Roman"/>
          <w:i/>
          <w:color w:val="000000"/>
          <w:sz w:val="24"/>
          <w:szCs w:val="24"/>
          <w:shd w:val="clear" w:color="auto" w:fill="FFFFFF"/>
        </w:rPr>
        <w:t>Keidan</w:t>
      </w:r>
      <w:proofErr w:type="spellEnd"/>
      <w:r w:rsidR="00E95199" w:rsidRPr="00486B87">
        <w:rPr>
          <w:rFonts w:ascii="Times New Roman" w:hAnsi="Times New Roman" w:cs="Times New Roman"/>
          <w:i/>
          <w:color w:val="000000"/>
          <w:sz w:val="24"/>
          <w:szCs w:val="24"/>
          <w:shd w:val="clear" w:color="auto" w:fill="FFFFFF"/>
        </w:rPr>
        <w:t>,</w:t>
      </w:r>
      <w:r w:rsidR="00E95199" w:rsidRPr="00486B87">
        <w:rPr>
          <w:rFonts w:ascii="Times New Roman" w:hAnsi="Times New Roman" w:cs="Times New Roman"/>
          <w:color w:val="000000"/>
          <w:sz w:val="24"/>
          <w:szCs w:val="24"/>
          <w:shd w:val="clear" w:color="auto" w:fill="FFFFFF"/>
        </w:rPr>
        <w:t xml:space="preserve"> issuing a declaration of incompatibility stating that the provisions of s.1 and s.3 of the Civil Partnership Act 2004</w:t>
      </w:r>
      <w:r w:rsidR="004704B6" w:rsidRPr="00486B87">
        <w:rPr>
          <w:rFonts w:ascii="Times New Roman" w:hAnsi="Times New Roman" w:cs="Times New Roman"/>
          <w:color w:val="000000"/>
          <w:sz w:val="24"/>
          <w:szCs w:val="24"/>
          <w:shd w:val="clear" w:color="auto" w:fill="FFFFFF"/>
        </w:rPr>
        <w:t xml:space="preserve"> (“CPA”)</w:t>
      </w:r>
      <w:r w:rsidR="00E95199" w:rsidRPr="00486B87">
        <w:rPr>
          <w:rFonts w:ascii="Times New Roman" w:hAnsi="Times New Roman" w:cs="Times New Roman"/>
          <w:color w:val="000000"/>
          <w:sz w:val="24"/>
          <w:szCs w:val="24"/>
          <w:shd w:val="clear" w:color="auto" w:fill="FFFFFF"/>
        </w:rPr>
        <w:t xml:space="preserve"> were incompatible with art.14 in conjunction with art.8 of sch.1 of the Human Right</w:t>
      </w:r>
      <w:r w:rsidR="004704B6" w:rsidRPr="00486B87">
        <w:rPr>
          <w:rFonts w:ascii="Times New Roman" w:hAnsi="Times New Roman" w:cs="Times New Roman"/>
          <w:color w:val="000000"/>
          <w:sz w:val="24"/>
          <w:szCs w:val="24"/>
          <w:shd w:val="clear" w:color="auto" w:fill="FFFFFF"/>
        </w:rPr>
        <w:t>s Act 1998. This is because the</w:t>
      </w:r>
      <w:r w:rsidR="00E95199" w:rsidRPr="00486B87">
        <w:rPr>
          <w:rFonts w:ascii="Times New Roman" w:hAnsi="Times New Roman" w:cs="Times New Roman"/>
          <w:color w:val="000000"/>
          <w:sz w:val="24"/>
          <w:szCs w:val="24"/>
          <w:shd w:val="clear" w:color="auto" w:fill="FFFFFF"/>
        </w:rPr>
        <w:t xml:space="preserve"> </w:t>
      </w:r>
      <w:r w:rsidR="004704B6" w:rsidRPr="00486B87">
        <w:rPr>
          <w:rFonts w:ascii="Times New Roman" w:hAnsi="Times New Roman" w:cs="Times New Roman"/>
          <w:color w:val="000000"/>
          <w:sz w:val="24"/>
          <w:szCs w:val="24"/>
          <w:shd w:val="clear" w:color="auto" w:fill="FFFFFF"/>
        </w:rPr>
        <w:t xml:space="preserve">CPA </w:t>
      </w:r>
      <w:r w:rsidR="00E95199" w:rsidRPr="00486B87">
        <w:rPr>
          <w:rFonts w:ascii="Times New Roman" w:hAnsi="Times New Roman" w:cs="Times New Roman"/>
          <w:color w:val="000000"/>
          <w:sz w:val="24"/>
          <w:szCs w:val="24"/>
          <w:shd w:val="clear" w:color="auto" w:fill="FFFFFF"/>
        </w:rPr>
        <w:t xml:space="preserve">only permitted same-sex couples to form civil partnerships and not different-sex couples. </w:t>
      </w:r>
      <w:r w:rsidR="000E415A" w:rsidRPr="00486B87">
        <w:rPr>
          <w:rFonts w:ascii="Times New Roman" w:hAnsi="Times New Roman" w:cs="Times New Roman"/>
          <w:color w:val="000000"/>
          <w:sz w:val="24"/>
          <w:szCs w:val="24"/>
          <w:shd w:val="clear" w:color="auto" w:fill="FFFFFF"/>
        </w:rPr>
        <w:t>It is noteworthy that this decision has come about following the UK’s creation of same-sex marriage</w:t>
      </w:r>
      <w:r w:rsidR="00620B7C">
        <w:rPr>
          <w:rFonts w:ascii="Times New Roman" w:hAnsi="Times New Roman" w:cs="Times New Roman"/>
          <w:color w:val="000000"/>
          <w:sz w:val="24"/>
          <w:szCs w:val="24"/>
          <w:shd w:val="clear" w:color="auto" w:fill="FFFFFF"/>
        </w:rPr>
        <w:t>,</w:t>
      </w:r>
      <w:r w:rsidR="000E415A" w:rsidRPr="00486B87">
        <w:rPr>
          <w:rFonts w:ascii="Times New Roman" w:hAnsi="Times New Roman" w:cs="Times New Roman"/>
          <w:color w:val="000000"/>
          <w:sz w:val="24"/>
          <w:szCs w:val="24"/>
          <w:shd w:val="clear" w:color="auto" w:fill="FFFFFF"/>
        </w:rPr>
        <w:t xml:space="preserve"> and one might ask what could have been the logical reason for allowing same-sex couples to form civil partnerships, civil marriages and religious marriages while not allowing different-sex couples the same rights. This has been discussed at length by authors such as Gaffney-Rhys, who argues that the CPA </w:t>
      </w:r>
      <w:r w:rsidR="00A13A59" w:rsidRPr="00486B87">
        <w:rPr>
          <w:rFonts w:ascii="Times New Roman" w:hAnsi="Times New Roman" w:cs="Times New Roman"/>
          <w:color w:val="000000"/>
          <w:sz w:val="24"/>
          <w:szCs w:val="24"/>
          <w:shd w:val="clear" w:color="auto" w:fill="FFFFFF"/>
        </w:rPr>
        <w:t xml:space="preserve">should be extended to heterosexual couples on the grounds of equality, privacy, dignity and autonomy and argues that denying mixed-sex couples the right to form a civil partnership contravenes </w:t>
      </w:r>
      <w:r w:rsidR="00620B7C">
        <w:rPr>
          <w:rFonts w:ascii="Times New Roman" w:hAnsi="Times New Roman" w:cs="Times New Roman"/>
          <w:color w:val="000000"/>
          <w:sz w:val="24"/>
          <w:szCs w:val="24"/>
          <w:shd w:val="clear" w:color="auto" w:fill="FFFFFF"/>
        </w:rPr>
        <w:t>art.</w:t>
      </w:r>
      <w:r w:rsidR="00A13A59" w:rsidRPr="00486B87">
        <w:rPr>
          <w:rFonts w:ascii="Times New Roman" w:hAnsi="Times New Roman" w:cs="Times New Roman"/>
          <w:color w:val="000000"/>
          <w:sz w:val="24"/>
          <w:szCs w:val="24"/>
          <w:shd w:val="clear" w:color="auto" w:fill="FFFFFF"/>
        </w:rPr>
        <w:t xml:space="preserve">8 and 14 </w:t>
      </w:r>
      <w:r w:rsidR="00620B7C">
        <w:rPr>
          <w:rFonts w:ascii="Times New Roman" w:hAnsi="Times New Roman" w:cs="Times New Roman"/>
          <w:color w:val="000000"/>
          <w:sz w:val="24"/>
          <w:szCs w:val="24"/>
          <w:shd w:val="clear" w:color="auto" w:fill="FFFFFF"/>
        </w:rPr>
        <w:t>ECHR</w:t>
      </w:r>
      <w:r w:rsidR="00A13A59" w:rsidRPr="00486B87">
        <w:rPr>
          <w:rFonts w:ascii="Times New Roman" w:hAnsi="Times New Roman" w:cs="Times New Roman"/>
          <w:color w:val="000000"/>
          <w:sz w:val="24"/>
          <w:szCs w:val="24"/>
          <w:shd w:val="clear" w:color="auto" w:fill="FFFFFF"/>
        </w:rPr>
        <w:t>.</w:t>
      </w:r>
      <w:r w:rsidR="00A13A59" w:rsidRPr="00486B87">
        <w:rPr>
          <w:rStyle w:val="FootnoteReference"/>
          <w:rFonts w:ascii="Times New Roman" w:hAnsi="Times New Roman" w:cs="Times New Roman"/>
          <w:color w:val="000000"/>
          <w:sz w:val="24"/>
          <w:szCs w:val="24"/>
          <w:shd w:val="clear" w:color="auto" w:fill="FFFFFF"/>
        </w:rPr>
        <w:footnoteReference w:id="98"/>
      </w:r>
      <w:r w:rsidR="00613A02" w:rsidRPr="00486B87">
        <w:rPr>
          <w:rFonts w:ascii="Times New Roman" w:hAnsi="Times New Roman" w:cs="Times New Roman"/>
          <w:color w:val="000000"/>
          <w:sz w:val="24"/>
          <w:szCs w:val="24"/>
          <w:shd w:val="clear" w:color="auto" w:fill="FFFFFF"/>
        </w:rPr>
        <w:t xml:space="preserve"> This is the same logical reasoning that the judiciary has adopted in the case of</w:t>
      </w:r>
      <w:r w:rsidR="00613A02" w:rsidRPr="00486B87">
        <w:rPr>
          <w:rFonts w:ascii="Times New Roman" w:hAnsi="Times New Roman" w:cs="Times New Roman"/>
          <w:i/>
          <w:color w:val="000000"/>
          <w:sz w:val="24"/>
          <w:szCs w:val="24"/>
          <w:shd w:val="clear" w:color="auto" w:fill="FFFFFF"/>
        </w:rPr>
        <w:t xml:space="preserve"> </w:t>
      </w:r>
      <w:proofErr w:type="spellStart"/>
      <w:r w:rsidR="00613A02" w:rsidRPr="00486B87">
        <w:rPr>
          <w:rFonts w:ascii="Times New Roman" w:hAnsi="Times New Roman" w:cs="Times New Roman"/>
          <w:i/>
          <w:color w:val="000000"/>
          <w:sz w:val="24"/>
          <w:szCs w:val="24"/>
          <w:shd w:val="clear" w:color="auto" w:fill="FFFFFF"/>
        </w:rPr>
        <w:t>Steinfeld</w:t>
      </w:r>
      <w:proofErr w:type="spellEnd"/>
      <w:r w:rsidR="00613A02" w:rsidRPr="00486B87">
        <w:rPr>
          <w:rFonts w:ascii="Times New Roman" w:hAnsi="Times New Roman" w:cs="Times New Roman"/>
          <w:i/>
          <w:color w:val="000000"/>
          <w:sz w:val="24"/>
          <w:szCs w:val="24"/>
          <w:shd w:val="clear" w:color="auto" w:fill="FFFFFF"/>
        </w:rPr>
        <w:t xml:space="preserve"> and </w:t>
      </w:r>
      <w:proofErr w:type="spellStart"/>
      <w:r w:rsidR="00613A02" w:rsidRPr="00486B87">
        <w:rPr>
          <w:rFonts w:ascii="Times New Roman" w:hAnsi="Times New Roman" w:cs="Times New Roman"/>
          <w:i/>
          <w:color w:val="000000"/>
          <w:sz w:val="24"/>
          <w:szCs w:val="24"/>
          <w:shd w:val="clear" w:color="auto" w:fill="FFFFFF"/>
        </w:rPr>
        <w:t>Keidan</w:t>
      </w:r>
      <w:proofErr w:type="spellEnd"/>
      <w:r w:rsidR="00613A02" w:rsidRPr="00486B87">
        <w:rPr>
          <w:rFonts w:ascii="Times New Roman" w:hAnsi="Times New Roman" w:cs="Times New Roman"/>
          <w:i/>
          <w:color w:val="000000"/>
          <w:sz w:val="24"/>
          <w:szCs w:val="24"/>
          <w:shd w:val="clear" w:color="auto" w:fill="FFFFFF"/>
        </w:rPr>
        <w:t xml:space="preserve"> </w:t>
      </w:r>
      <w:r w:rsidR="00613A02" w:rsidRPr="00486B87">
        <w:rPr>
          <w:rFonts w:ascii="Times New Roman" w:hAnsi="Times New Roman" w:cs="Times New Roman"/>
          <w:color w:val="000000"/>
          <w:sz w:val="24"/>
          <w:szCs w:val="24"/>
          <w:shd w:val="clear" w:color="auto" w:fill="FFFFFF"/>
        </w:rPr>
        <w:t xml:space="preserve">and this leads to two points; first what impact would this have should the Bermudian DPA and decision in </w:t>
      </w:r>
      <w:r w:rsidR="00613A02" w:rsidRPr="00486B87">
        <w:rPr>
          <w:rFonts w:ascii="Times New Roman" w:hAnsi="Times New Roman" w:cs="Times New Roman"/>
          <w:i/>
          <w:color w:val="000000"/>
          <w:sz w:val="24"/>
          <w:szCs w:val="24"/>
          <w:shd w:val="clear" w:color="auto" w:fill="FFFFFF"/>
        </w:rPr>
        <w:t xml:space="preserve">Ferguson </w:t>
      </w:r>
      <w:r w:rsidR="00613A02" w:rsidRPr="00486B87">
        <w:rPr>
          <w:rFonts w:ascii="Times New Roman" w:hAnsi="Times New Roman" w:cs="Times New Roman"/>
          <w:color w:val="000000"/>
          <w:sz w:val="24"/>
          <w:szCs w:val="24"/>
          <w:shd w:val="clear" w:color="auto" w:fill="FFFFFF"/>
        </w:rPr>
        <w:t>be challenged before the JCPC, and secondly what does this say about the notion of equality that is adopted by the UK Supreme Court</w:t>
      </w:r>
      <w:r w:rsidR="00203704">
        <w:rPr>
          <w:rFonts w:ascii="Times New Roman" w:hAnsi="Times New Roman" w:cs="Times New Roman"/>
          <w:color w:val="000000"/>
          <w:sz w:val="24"/>
          <w:szCs w:val="24"/>
          <w:shd w:val="clear" w:color="auto" w:fill="FFFFFF"/>
        </w:rPr>
        <w:t>?</w:t>
      </w:r>
      <w:r w:rsidR="00613A02" w:rsidRPr="00486B87">
        <w:rPr>
          <w:rFonts w:ascii="Times New Roman" w:hAnsi="Times New Roman" w:cs="Times New Roman"/>
          <w:color w:val="000000"/>
          <w:sz w:val="24"/>
          <w:szCs w:val="24"/>
          <w:shd w:val="clear" w:color="auto" w:fill="FFFFFF"/>
        </w:rPr>
        <w:t xml:space="preserve"> This latter point will be addressed under the next heading. </w:t>
      </w:r>
    </w:p>
    <w:p w14:paraId="4B6E7598" w14:textId="67A22700" w:rsidR="00613A02" w:rsidRPr="00486B87" w:rsidRDefault="00613A02" w:rsidP="00237DA8">
      <w:pPr>
        <w:spacing w:line="480" w:lineRule="auto"/>
        <w:jc w:val="both"/>
        <w:rPr>
          <w:rFonts w:ascii="Times New Roman" w:hAnsi="Times New Roman" w:cs="Times New Roman"/>
          <w:color w:val="000000"/>
          <w:sz w:val="24"/>
          <w:szCs w:val="24"/>
          <w:shd w:val="clear" w:color="auto" w:fill="FFFFFF"/>
        </w:rPr>
      </w:pPr>
    </w:p>
    <w:p w14:paraId="52BF2296" w14:textId="09887031" w:rsidR="00613A02" w:rsidRPr="00486B87" w:rsidRDefault="00613A02" w:rsidP="00237DA8">
      <w:pPr>
        <w:spacing w:line="480" w:lineRule="auto"/>
        <w:jc w:val="both"/>
        <w:rPr>
          <w:rFonts w:ascii="Times New Roman" w:hAnsi="Times New Roman" w:cs="Times New Roman"/>
          <w:color w:val="000000"/>
          <w:sz w:val="24"/>
          <w:szCs w:val="24"/>
          <w:shd w:val="clear" w:color="auto" w:fill="FFFFFF"/>
        </w:rPr>
      </w:pPr>
      <w:r w:rsidRPr="00486B87">
        <w:rPr>
          <w:rFonts w:ascii="Times New Roman" w:hAnsi="Times New Roman" w:cs="Times New Roman"/>
          <w:color w:val="000000"/>
          <w:sz w:val="24"/>
          <w:szCs w:val="24"/>
          <w:shd w:val="clear" w:color="auto" w:fill="FFFFFF"/>
        </w:rPr>
        <w:t xml:space="preserve">In reference to the impact of this decision on any potential referral to the JCPC by the Bermudian government, it should not fill the Bermudian government with much confidence if </w:t>
      </w:r>
      <w:r w:rsidRPr="00486B87">
        <w:rPr>
          <w:rFonts w:ascii="Times New Roman" w:hAnsi="Times New Roman" w:cs="Times New Roman"/>
          <w:color w:val="000000"/>
          <w:sz w:val="24"/>
          <w:szCs w:val="24"/>
          <w:shd w:val="clear" w:color="auto" w:fill="FFFFFF"/>
        </w:rPr>
        <w:lastRenderedPageBreak/>
        <w:t xml:space="preserve">they continue with the arguments used in </w:t>
      </w:r>
      <w:r w:rsidRPr="00486B87">
        <w:rPr>
          <w:rFonts w:ascii="Times New Roman" w:hAnsi="Times New Roman" w:cs="Times New Roman"/>
          <w:i/>
          <w:color w:val="000000"/>
          <w:sz w:val="24"/>
          <w:szCs w:val="24"/>
          <w:shd w:val="clear" w:color="auto" w:fill="FFFFFF"/>
        </w:rPr>
        <w:t>Ferguson.</w:t>
      </w:r>
      <w:r w:rsidRPr="00486B87">
        <w:rPr>
          <w:rFonts w:ascii="Times New Roman" w:hAnsi="Times New Roman" w:cs="Times New Roman"/>
          <w:color w:val="000000"/>
          <w:sz w:val="24"/>
          <w:szCs w:val="24"/>
          <w:shd w:val="clear" w:color="auto" w:fill="FFFFFF"/>
        </w:rPr>
        <w:t xml:space="preserve"> </w:t>
      </w:r>
      <w:r w:rsidR="002C6DD4" w:rsidRPr="00486B87">
        <w:rPr>
          <w:rFonts w:ascii="Times New Roman" w:hAnsi="Times New Roman" w:cs="Times New Roman"/>
          <w:color w:val="000000"/>
          <w:sz w:val="24"/>
          <w:szCs w:val="24"/>
          <w:shd w:val="clear" w:color="auto" w:fill="FFFFFF"/>
        </w:rPr>
        <w:t xml:space="preserve">One difference here is that the DPA does extend to same-sex and opposite-sex couples and so the question is not </w:t>
      </w:r>
      <w:r w:rsidR="002A607F" w:rsidRPr="00486B87">
        <w:rPr>
          <w:rFonts w:ascii="Times New Roman" w:hAnsi="Times New Roman" w:cs="Times New Roman"/>
          <w:color w:val="000000"/>
          <w:sz w:val="24"/>
          <w:szCs w:val="24"/>
          <w:shd w:val="clear" w:color="auto" w:fill="FFFFFF"/>
        </w:rPr>
        <w:t xml:space="preserve">analogous, rather the logic in the decision of the UK Supreme Court is </w:t>
      </w:r>
      <w:proofErr w:type="gramStart"/>
      <w:r w:rsidR="002A607F" w:rsidRPr="00486B87">
        <w:rPr>
          <w:rFonts w:ascii="Times New Roman" w:hAnsi="Times New Roman" w:cs="Times New Roman"/>
          <w:color w:val="000000"/>
          <w:sz w:val="24"/>
          <w:szCs w:val="24"/>
          <w:shd w:val="clear" w:color="auto" w:fill="FFFFFF"/>
        </w:rPr>
        <w:t>key</w:t>
      </w:r>
      <w:proofErr w:type="gramEnd"/>
      <w:r w:rsidR="002A607F" w:rsidRPr="00486B87">
        <w:rPr>
          <w:rFonts w:ascii="Times New Roman" w:hAnsi="Times New Roman" w:cs="Times New Roman"/>
          <w:color w:val="000000"/>
          <w:sz w:val="24"/>
          <w:szCs w:val="24"/>
          <w:shd w:val="clear" w:color="auto" w:fill="FFFFFF"/>
        </w:rPr>
        <w:t xml:space="preserve">. If the CPA is incompatible with art.14 taken with art.8 because it discriminates against different-sex couples, then the Bermudian Marriage Act 1944 would also be incompatible with art.14 and </w:t>
      </w:r>
      <w:r w:rsidR="008727B0">
        <w:rPr>
          <w:rFonts w:ascii="Times New Roman" w:hAnsi="Times New Roman" w:cs="Times New Roman"/>
          <w:color w:val="000000"/>
          <w:sz w:val="24"/>
          <w:szCs w:val="24"/>
          <w:shd w:val="clear" w:color="auto" w:fill="FFFFFF"/>
        </w:rPr>
        <w:t>art.</w:t>
      </w:r>
      <w:r w:rsidR="002A607F" w:rsidRPr="00486B87">
        <w:rPr>
          <w:rFonts w:ascii="Times New Roman" w:hAnsi="Times New Roman" w:cs="Times New Roman"/>
          <w:color w:val="000000"/>
          <w:sz w:val="24"/>
          <w:szCs w:val="24"/>
          <w:shd w:val="clear" w:color="auto" w:fill="FFFFFF"/>
        </w:rPr>
        <w:t xml:space="preserve">8 </w:t>
      </w:r>
      <w:r w:rsidR="008727B0">
        <w:rPr>
          <w:rFonts w:ascii="Times New Roman" w:hAnsi="Times New Roman" w:cs="Times New Roman"/>
          <w:color w:val="000000"/>
          <w:sz w:val="24"/>
          <w:szCs w:val="24"/>
          <w:shd w:val="clear" w:color="auto" w:fill="FFFFFF"/>
        </w:rPr>
        <w:t>if</w:t>
      </w:r>
      <w:r w:rsidR="002A607F" w:rsidRPr="00486B87">
        <w:rPr>
          <w:rFonts w:ascii="Times New Roman" w:hAnsi="Times New Roman" w:cs="Times New Roman"/>
          <w:color w:val="000000"/>
          <w:sz w:val="24"/>
          <w:szCs w:val="24"/>
          <w:shd w:val="clear" w:color="auto" w:fill="FFFFFF"/>
        </w:rPr>
        <w:t xml:space="preserve"> it does not permit same-sex couples to marry; this of course </w:t>
      </w:r>
      <w:r w:rsidR="008727B0">
        <w:rPr>
          <w:rFonts w:ascii="Times New Roman" w:hAnsi="Times New Roman" w:cs="Times New Roman"/>
          <w:color w:val="000000"/>
          <w:sz w:val="24"/>
          <w:szCs w:val="24"/>
          <w:shd w:val="clear" w:color="auto" w:fill="FFFFFF"/>
        </w:rPr>
        <w:t xml:space="preserve">is </w:t>
      </w:r>
      <w:r w:rsidR="002A607F" w:rsidRPr="00486B87">
        <w:rPr>
          <w:rFonts w:ascii="Times New Roman" w:hAnsi="Times New Roman" w:cs="Times New Roman"/>
          <w:color w:val="000000"/>
          <w:sz w:val="24"/>
          <w:szCs w:val="24"/>
          <w:shd w:val="clear" w:color="auto" w:fill="FFFFFF"/>
        </w:rPr>
        <w:t xml:space="preserve">similar to the </w:t>
      </w:r>
      <w:r w:rsidR="008727B0">
        <w:rPr>
          <w:rFonts w:ascii="Times New Roman" w:hAnsi="Times New Roman" w:cs="Times New Roman"/>
          <w:color w:val="000000"/>
          <w:sz w:val="24"/>
          <w:szCs w:val="24"/>
          <w:shd w:val="clear" w:color="auto" w:fill="FFFFFF"/>
        </w:rPr>
        <w:t>decision</w:t>
      </w:r>
      <w:r w:rsidR="002A607F" w:rsidRPr="00486B87">
        <w:rPr>
          <w:rFonts w:ascii="Times New Roman" w:hAnsi="Times New Roman" w:cs="Times New Roman"/>
          <w:color w:val="000000"/>
          <w:sz w:val="24"/>
          <w:szCs w:val="24"/>
          <w:shd w:val="clear" w:color="auto" w:fill="FFFFFF"/>
        </w:rPr>
        <w:t xml:space="preserve"> in </w:t>
      </w:r>
      <w:r w:rsidR="002A607F" w:rsidRPr="00486B87">
        <w:rPr>
          <w:rFonts w:ascii="Times New Roman" w:hAnsi="Times New Roman" w:cs="Times New Roman"/>
          <w:i/>
          <w:color w:val="000000"/>
          <w:sz w:val="24"/>
          <w:szCs w:val="24"/>
          <w:shd w:val="clear" w:color="auto" w:fill="FFFFFF"/>
        </w:rPr>
        <w:t>Godwin</w:t>
      </w:r>
      <w:r w:rsidR="002A607F" w:rsidRPr="00486B87">
        <w:rPr>
          <w:rStyle w:val="FootnoteReference"/>
          <w:rFonts w:ascii="Times New Roman" w:hAnsi="Times New Roman" w:cs="Times New Roman"/>
          <w:i/>
          <w:color w:val="000000"/>
          <w:sz w:val="24"/>
          <w:szCs w:val="24"/>
          <w:shd w:val="clear" w:color="auto" w:fill="FFFFFF"/>
        </w:rPr>
        <w:footnoteReference w:id="99"/>
      </w:r>
      <w:r w:rsidR="002A607F" w:rsidRPr="00486B87">
        <w:rPr>
          <w:rFonts w:ascii="Times New Roman" w:hAnsi="Times New Roman" w:cs="Times New Roman"/>
          <w:i/>
          <w:color w:val="000000"/>
          <w:sz w:val="24"/>
          <w:szCs w:val="24"/>
          <w:shd w:val="clear" w:color="auto" w:fill="FFFFFF"/>
        </w:rPr>
        <w:t>.</w:t>
      </w:r>
      <w:r w:rsidR="001F65CA" w:rsidRPr="00486B87">
        <w:rPr>
          <w:rFonts w:ascii="Times New Roman" w:hAnsi="Times New Roman" w:cs="Times New Roman"/>
          <w:color w:val="000000"/>
          <w:sz w:val="24"/>
          <w:szCs w:val="24"/>
          <w:shd w:val="clear" w:color="auto" w:fill="FFFFFF"/>
        </w:rPr>
        <w:t xml:space="preserve"> The second matter needs a greater look at the meaning of equality and its role in legal theory on the </w:t>
      </w:r>
      <w:r w:rsidR="00FA48D4">
        <w:rPr>
          <w:rFonts w:ascii="Times New Roman" w:hAnsi="Times New Roman" w:cs="Times New Roman"/>
          <w:color w:val="000000"/>
          <w:sz w:val="24"/>
          <w:szCs w:val="24"/>
          <w:shd w:val="clear" w:color="auto" w:fill="FFFFFF"/>
        </w:rPr>
        <w:t>R</w:t>
      </w:r>
      <w:r w:rsidR="001F65CA" w:rsidRPr="00486B87">
        <w:rPr>
          <w:rFonts w:ascii="Times New Roman" w:hAnsi="Times New Roman" w:cs="Times New Roman"/>
          <w:color w:val="000000"/>
          <w:sz w:val="24"/>
          <w:szCs w:val="24"/>
          <w:shd w:val="clear" w:color="auto" w:fill="FFFFFF"/>
        </w:rPr>
        <w:t xml:space="preserve">ule of </w:t>
      </w:r>
      <w:r w:rsidR="00FA48D4">
        <w:rPr>
          <w:rFonts w:ascii="Times New Roman" w:hAnsi="Times New Roman" w:cs="Times New Roman"/>
          <w:color w:val="000000"/>
          <w:sz w:val="24"/>
          <w:szCs w:val="24"/>
          <w:shd w:val="clear" w:color="auto" w:fill="FFFFFF"/>
        </w:rPr>
        <w:t>L</w:t>
      </w:r>
      <w:r w:rsidR="001F65CA" w:rsidRPr="00486B87">
        <w:rPr>
          <w:rFonts w:ascii="Times New Roman" w:hAnsi="Times New Roman" w:cs="Times New Roman"/>
          <w:color w:val="000000"/>
          <w:sz w:val="24"/>
          <w:szCs w:val="24"/>
          <w:shd w:val="clear" w:color="auto" w:fill="FFFFFF"/>
        </w:rPr>
        <w:t xml:space="preserve">aw. </w:t>
      </w:r>
    </w:p>
    <w:p w14:paraId="7C60DCF5" w14:textId="77777777" w:rsidR="00131D9A" w:rsidRPr="00486B87" w:rsidRDefault="00131D9A" w:rsidP="00237DA8">
      <w:pPr>
        <w:spacing w:line="480" w:lineRule="auto"/>
        <w:jc w:val="both"/>
        <w:rPr>
          <w:rFonts w:ascii="Times New Roman" w:hAnsi="Times New Roman" w:cs="Times New Roman"/>
          <w:color w:val="000000"/>
          <w:sz w:val="24"/>
          <w:szCs w:val="24"/>
          <w:shd w:val="clear" w:color="auto" w:fill="FFFFFF"/>
        </w:rPr>
      </w:pPr>
    </w:p>
    <w:p w14:paraId="106D5AD3" w14:textId="5308DB86" w:rsidR="0067111D" w:rsidRPr="00486B87" w:rsidRDefault="0040582F" w:rsidP="00174DA6">
      <w:pPr>
        <w:spacing w:line="480" w:lineRule="auto"/>
        <w:jc w:val="both"/>
        <w:rPr>
          <w:rFonts w:ascii="Times New Roman" w:hAnsi="Times New Roman" w:cs="Times New Roman"/>
          <w:sz w:val="24"/>
          <w:szCs w:val="24"/>
          <w:u w:val="single"/>
        </w:rPr>
      </w:pPr>
      <w:r w:rsidRPr="00486B87">
        <w:rPr>
          <w:rFonts w:ascii="Times New Roman" w:hAnsi="Times New Roman" w:cs="Times New Roman"/>
          <w:sz w:val="24"/>
          <w:szCs w:val="24"/>
          <w:u w:val="single"/>
        </w:rPr>
        <w:t xml:space="preserve">Equality </w:t>
      </w:r>
      <w:proofErr w:type="gramStart"/>
      <w:r w:rsidRPr="00486B87">
        <w:rPr>
          <w:rFonts w:ascii="Times New Roman" w:hAnsi="Times New Roman" w:cs="Times New Roman"/>
          <w:sz w:val="24"/>
          <w:szCs w:val="24"/>
          <w:u w:val="single"/>
        </w:rPr>
        <w:t>Before</w:t>
      </w:r>
      <w:proofErr w:type="gramEnd"/>
      <w:r w:rsidRPr="00486B87">
        <w:rPr>
          <w:rFonts w:ascii="Times New Roman" w:hAnsi="Times New Roman" w:cs="Times New Roman"/>
          <w:sz w:val="24"/>
          <w:szCs w:val="24"/>
          <w:u w:val="single"/>
        </w:rPr>
        <w:t xml:space="preserve"> the Law </w:t>
      </w:r>
    </w:p>
    <w:p w14:paraId="49978B25" w14:textId="4350CA38" w:rsidR="002621AF" w:rsidRPr="00486B87" w:rsidRDefault="00C1710C" w:rsidP="00174DA6">
      <w:pPr>
        <w:spacing w:line="480" w:lineRule="auto"/>
        <w:jc w:val="both"/>
        <w:rPr>
          <w:rFonts w:ascii="Times New Roman" w:hAnsi="Times New Roman" w:cs="Times New Roman"/>
          <w:sz w:val="24"/>
          <w:szCs w:val="24"/>
        </w:rPr>
      </w:pPr>
      <w:r w:rsidRPr="00486B87">
        <w:rPr>
          <w:rFonts w:ascii="Times New Roman" w:hAnsi="Times New Roman" w:cs="Times New Roman"/>
          <w:sz w:val="24"/>
          <w:szCs w:val="24"/>
        </w:rPr>
        <w:t>Exigencies of space preclude a full consideration of the historical development of</w:t>
      </w:r>
      <w:r w:rsidR="00B10FF8" w:rsidRPr="00486B87">
        <w:rPr>
          <w:rFonts w:ascii="Times New Roman" w:hAnsi="Times New Roman" w:cs="Times New Roman"/>
          <w:sz w:val="24"/>
          <w:szCs w:val="24"/>
        </w:rPr>
        <w:t>,</w:t>
      </w:r>
      <w:r w:rsidRPr="00486B87">
        <w:rPr>
          <w:rFonts w:ascii="Times New Roman" w:hAnsi="Times New Roman" w:cs="Times New Roman"/>
          <w:sz w:val="24"/>
          <w:szCs w:val="24"/>
        </w:rPr>
        <w:t xml:space="preserve"> and the later codification of</w:t>
      </w:r>
      <w:r w:rsidR="00FA48D4">
        <w:rPr>
          <w:rFonts w:ascii="Times New Roman" w:hAnsi="Times New Roman" w:cs="Times New Roman"/>
          <w:sz w:val="24"/>
          <w:szCs w:val="24"/>
        </w:rPr>
        <w:t>,</w:t>
      </w:r>
      <w:r w:rsidRPr="00486B87">
        <w:rPr>
          <w:rFonts w:ascii="Times New Roman" w:hAnsi="Times New Roman" w:cs="Times New Roman"/>
          <w:sz w:val="24"/>
          <w:szCs w:val="24"/>
        </w:rPr>
        <w:t xml:space="preserve"> equality before the law in constitutional terms. However, some key and salient points can be made in the short </w:t>
      </w:r>
      <w:r w:rsidR="00AD0BD3" w:rsidRPr="00486B87">
        <w:rPr>
          <w:rFonts w:ascii="Times New Roman" w:hAnsi="Times New Roman" w:cs="Times New Roman"/>
          <w:sz w:val="24"/>
          <w:szCs w:val="24"/>
        </w:rPr>
        <w:t>s</w:t>
      </w:r>
      <w:r w:rsidRPr="00486B87">
        <w:rPr>
          <w:rFonts w:ascii="Times New Roman" w:hAnsi="Times New Roman" w:cs="Times New Roman"/>
          <w:sz w:val="24"/>
          <w:szCs w:val="24"/>
        </w:rPr>
        <w:t>pace allowed to explore the nuances of same-sex marriage in Bermuda</w:t>
      </w:r>
      <w:r w:rsidR="0023100E" w:rsidRPr="00486B87">
        <w:rPr>
          <w:rFonts w:ascii="Times New Roman" w:hAnsi="Times New Roman" w:cs="Times New Roman"/>
          <w:sz w:val="24"/>
          <w:szCs w:val="24"/>
        </w:rPr>
        <w:t xml:space="preserve"> and the approach to equality taken by the court in </w:t>
      </w:r>
      <w:proofErr w:type="spellStart"/>
      <w:r w:rsidR="0023100E" w:rsidRPr="00486B87">
        <w:rPr>
          <w:rFonts w:ascii="Times New Roman" w:hAnsi="Times New Roman" w:cs="Times New Roman"/>
          <w:i/>
          <w:color w:val="000000"/>
          <w:sz w:val="24"/>
          <w:szCs w:val="24"/>
          <w:shd w:val="clear" w:color="auto" w:fill="FFFFFF"/>
        </w:rPr>
        <w:t>Steinfeld</w:t>
      </w:r>
      <w:proofErr w:type="spellEnd"/>
      <w:r w:rsidR="0023100E" w:rsidRPr="00486B87">
        <w:rPr>
          <w:rFonts w:ascii="Times New Roman" w:hAnsi="Times New Roman" w:cs="Times New Roman"/>
          <w:i/>
          <w:color w:val="000000"/>
          <w:sz w:val="24"/>
          <w:szCs w:val="24"/>
          <w:shd w:val="clear" w:color="auto" w:fill="FFFFFF"/>
        </w:rPr>
        <w:t xml:space="preserve"> and </w:t>
      </w:r>
      <w:proofErr w:type="spellStart"/>
      <w:r w:rsidR="0023100E" w:rsidRPr="00486B87">
        <w:rPr>
          <w:rFonts w:ascii="Times New Roman" w:hAnsi="Times New Roman" w:cs="Times New Roman"/>
          <w:i/>
          <w:color w:val="000000"/>
          <w:sz w:val="24"/>
          <w:szCs w:val="24"/>
          <w:shd w:val="clear" w:color="auto" w:fill="FFFFFF"/>
        </w:rPr>
        <w:t>Keidan</w:t>
      </w:r>
      <w:proofErr w:type="spellEnd"/>
      <w:r w:rsidRPr="00486B87">
        <w:rPr>
          <w:rFonts w:ascii="Times New Roman" w:hAnsi="Times New Roman" w:cs="Times New Roman"/>
          <w:sz w:val="24"/>
          <w:szCs w:val="24"/>
        </w:rPr>
        <w:t xml:space="preserve">. </w:t>
      </w:r>
      <w:r w:rsidR="00880831" w:rsidRPr="00486B87">
        <w:rPr>
          <w:rFonts w:ascii="Times New Roman" w:hAnsi="Times New Roman" w:cs="Times New Roman"/>
          <w:sz w:val="24"/>
          <w:szCs w:val="24"/>
        </w:rPr>
        <w:t xml:space="preserve">The </w:t>
      </w:r>
      <w:proofErr w:type="spellStart"/>
      <w:r w:rsidR="00880831" w:rsidRPr="00486B87">
        <w:rPr>
          <w:rFonts w:ascii="Times New Roman" w:hAnsi="Times New Roman" w:cs="Times New Roman"/>
          <w:sz w:val="24"/>
          <w:szCs w:val="24"/>
        </w:rPr>
        <w:t>Dice</w:t>
      </w:r>
      <w:r w:rsidR="00EF3FCC" w:rsidRPr="00486B87">
        <w:rPr>
          <w:rFonts w:ascii="Times New Roman" w:hAnsi="Times New Roman" w:cs="Times New Roman"/>
          <w:sz w:val="24"/>
          <w:szCs w:val="24"/>
        </w:rPr>
        <w:t>y</w:t>
      </w:r>
      <w:r w:rsidR="00880831" w:rsidRPr="00486B87">
        <w:rPr>
          <w:rFonts w:ascii="Times New Roman" w:hAnsi="Times New Roman" w:cs="Times New Roman"/>
          <w:sz w:val="24"/>
          <w:szCs w:val="24"/>
        </w:rPr>
        <w:t>an</w:t>
      </w:r>
      <w:proofErr w:type="spellEnd"/>
      <w:r w:rsidR="00880831" w:rsidRPr="00486B87">
        <w:rPr>
          <w:rFonts w:ascii="Times New Roman" w:hAnsi="Times New Roman" w:cs="Times New Roman"/>
          <w:sz w:val="24"/>
          <w:szCs w:val="24"/>
        </w:rPr>
        <w:t xml:space="preserve"> concept of the </w:t>
      </w:r>
      <w:r w:rsidR="00FA48D4">
        <w:rPr>
          <w:rFonts w:ascii="Times New Roman" w:hAnsi="Times New Roman" w:cs="Times New Roman"/>
          <w:sz w:val="24"/>
          <w:szCs w:val="24"/>
        </w:rPr>
        <w:t>R</w:t>
      </w:r>
      <w:r w:rsidR="00880831" w:rsidRPr="00486B87">
        <w:rPr>
          <w:rFonts w:ascii="Times New Roman" w:hAnsi="Times New Roman" w:cs="Times New Roman"/>
          <w:sz w:val="24"/>
          <w:szCs w:val="24"/>
        </w:rPr>
        <w:t xml:space="preserve">ule of </w:t>
      </w:r>
      <w:r w:rsidR="00FA48D4">
        <w:rPr>
          <w:rFonts w:ascii="Times New Roman" w:hAnsi="Times New Roman" w:cs="Times New Roman"/>
          <w:sz w:val="24"/>
          <w:szCs w:val="24"/>
        </w:rPr>
        <w:t>L</w:t>
      </w:r>
      <w:r w:rsidR="00880831" w:rsidRPr="00486B87">
        <w:rPr>
          <w:rFonts w:ascii="Times New Roman" w:hAnsi="Times New Roman" w:cs="Times New Roman"/>
          <w:sz w:val="24"/>
          <w:szCs w:val="24"/>
        </w:rPr>
        <w:t>aw includes reference to the law applying equally to all</w:t>
      </w:r>
      <w:r w:rsidR="0009168A">
        <w:rPr>
          <w:rFonts w:ascii="Times New Roman" w:hAnsi="Times New Roman" w:cs="Times New Roman"/>
          <w:sz w:val="24"/>
          <w:szCs w:val="24"/>
        </w:rPr>
        <w:t>,</w:t>
      </w:r>
      <w:r w:rsidR="00880831" w:rsidRPr="00486B87">
        <w:rPr>
          <w:rFonts w:ascii="Times New Roman" w:hAnsi="Times New Roman" w:cs="Times New Roman"/>
          <w:sz w:val="24"/>
          <w:szCs w:val="24"/>
        </w:rPr>
        <w:t xml:space="preserve"> but makes no judgment on the quality or content of the law itself</w:t>
      </w:r>
      <w:r w:rsidR="00880831" w:rsidRPr="00486B87">
        <w:rPr>
          <w:rStyle w:val="FootnoteReference"/>
          <w:rFonts w:ascii="Times New Roman" w:hAnsi="Times New Roman" w:cs="Times New Roman"/>
          <w:sz w:val="24"/>
          <w:szCs w:val="24"/>
        </w:rPr>
        <w:footnoteReference w:id="100"/>
      </w:r>
      <w:r w:rsidR="00880831" w:rsidRPr="00486B87">
        <w:rPr>
          <w:rFonts w:ascii="Times New Roman" w:hAnsi="Times New Roman" w:cs="Times New Roman"/>
          <w:sz w:val="24"/>
          <w:szCs w:val="24"/>
        </w:rPr>
        <w:t>. This is often termed the “equal subjection of all classes to a common rule”</w:t>
      </w:r>
      <w:r w:rsidR="00880831" w:rsidRPr="00486B87">
        <w:rPr>
          <w:rStyle w:val="FootnoteReference"/>
          <w:rFonts w:ascii="Times New Roman" w:hAnsi="Times New Roman" w:cs="Times New Roman"/>
          <w:sz w:val="24"/>
          <w:szCs w:val="24"/>
        </w:rPr>
        <w:footnoteReference w:id="101"/>
      </w:r>
      <w:r w:rsidR="00880831" w:rsidRPr="00486B87">
        <w:rPr>
          <w:rFonts w:ascii="Times New Roman" w:hAnsi="Times New Roman" w:cs="Times New Roman"/>
          <w:sz w:val="24"/>
          <w:szCs w:val="24"/>
        </w:rPr>
        <w:t xml:space="preserve">. </w:t>
      </w:r>
      <w:r w:rsidR="00341B82" w:rsidRPr="00486B87">
        <w:rPr>
          <w:rFonts w:ascii="Times New Roman" w:hAnsi="Times New Roman" w:cs="Times New Roman"/>
          <w:sz w:val="24"/>
          <w:szCs w:val="24"/>
        </w:rPr>
        <w:t xml:space="preserve">At the </w:t>
      </w:r>
      <w:r w:rsidR="00B10FF8" w:rsidRPr="00486B87">
        <w:rPr>
          <w:rFonts w:ascii="Times New Roman" w:hAnsi="Times New Roman" w:cs="Times New Roman"/>
          <w:sz w:val="24"/>
          <w:szCs w:val="24"/>
        </w:rPr>
        <w:t>opposite end of the spectrum lies the substantive approach</w:t>
      </w:r>
      <w:r w:rsidR="00341B82" w:rsidRPr="00486B87">
        <w:rPr>
          <w:rFonts w:ascii="Times New Roman" w:hAnsi="Times New Roman" w:cs="Times New Roman"/>
          <w:sz w:val="24"/>
          <w:szCs w:val="24"/>
        </w:rPr>
        <w:t>,</w:t>
      </w:r>
      <w:r w:rsidR="00B10FF8" w:rsidRPr="00486B87">
        <w:rPr>
          <w:rFonts w:ascii="Times New Roman" w:hAnsi="Times New Roman" w:cs="Times New Roman"/>
          <w:sz w:val="24"/>
          <w:szCs w:val="24"/>
        </w:rPr>
        <w:t xml:space="preserve"> which often cites that the </w:t>
      </w:r>
      <w:r w:rsidR="0009168A">
        <w:rPr>
          <w:rFonts w:ascii="Times New Roman" w:hAnsi="Times New Roman" w:cs="Times New Roman"/>
          <w:sz w:val="24"/>
          <w:szCs w:val="24"/>
        </w:rPr>
        <w:t>R</w:t>
      </w:r>
      <w:r w:rsidR="00B10FF8" w:rsidRPr="00486B87">
        <w:rPr>
          <w:rFonts w:ascii="Times New Roman" w:hAnsi="Times New Roman" w:cs="Times New Roman"/>
          <w:sz w:val="24"/>
          <w:szCs w:val="24"/>
        </w:rPr>
        <w:t xml:space="preserve">ule of </w:t>
      </w:r>
      <w:r w:rsidR="0009168A">
        <w:rPr>
          <w:rFonts w:ascii="Times New Roman" w:hAnsi="Times New Roman" w:cs="Times New Roman"/>
          <w:sz w:val="24"/>
          <w:szCs w:val="24"/>
        </w:rPr>
        <w:t>L</w:t>
      </w:r>
      <w:r w:rsidR="00B10FF8" w:rsidRPr="00486B87">
        <w:rPr>
          <w:rFonts w:ascii="Times New Roman" w:hAnsi="Times New Roman" w:cs="Times New Roman"/>
          <w:sz w:val="24"/>
          <w:szCs w:val="24"/>
        </w:rPr>
        <w:t>aw draws its authority from notions of equality, liberty and fundamental freedoms</w:t>
      </w:r>
      <w:r w:rsidR="00B10FF8" w:rsidRPr="00486B87">
        <w:rPr>
          <w:rStyle w:val="FootnoteReference"/>
          <w:rFonts w:ascii="Times New Roman" w:hAnsi="Times New Roman" w:cs="Times New Roman"/>
          <w:sz w:val="24"/>
          <w:szCs w:val="24"/>
        </w:rPr>
        <w:footnoteReference w:id="102"/>
      </w:r>
      <w:r w:rsidR="00B10FF8" w:rsidRPr="00486B87">
        <w:rPr>
          <w:rFonts w:ascii="Times New Roman" w:hAnsi="Times New Roman" w:cs="Times New Roman"/>
          <w:sz w:val="24"/>
          <w:szCs w:val="24"/>
        </w:rPr>
        <w:t xml:space="preserve">. </w:t>
      </w:r>
      <w:r w:rsidR="009C39F7" w:rsidRPr="00486B87">
        <w:rPr>
          <w:rFonts w:ascii="Times New Roman" w:hAnsi="Times New Roman" w:cs="Times New Roman"/>
          <w:sz w:val="24"/>
          <w:szCs w:val="24"/>
        </w:rPr>
        <w:t xml:space="preserve">This distinction is necessary before </w:t>
      </w:r>
      <w:r w:rsidR="00341B82" w:rsidRPr="00486B87">
        <w:rPr>
          <w:rFonts w:ascii="Times New Roman" w:hAnsi="Times New Roman" w:cs="Times New Roman"/>
          <w:sz w:val="24"/>
          <w:szCs w:val="24"/>
        </w:rPr>
        <w:t xml:space="preserve">considering </w:t>
      </w:r>
      <w:r w:rsidR="009C39F7" w:rsidRPr="00486B87">
        <w:rPr>
          <w:rFonts w:ascii="Times New Roman" w:hAnsi="Times New Roman" w:cs="Times New Roman"/>
          <w:sz w:val="24"/>
          <w:szCs w:val="24"/>
        </w:rPr>
        <w:t xml:space="preserve">equality before the law clause in </w:t>
      </w:r>
      <w:r w:rsidR="00341B82" w:rsidRPr="00486B87">
        <w:rPr>
          <w:rFonts w:ascii="Times New Roman" w:hAnsi="Times New Roman" w:cs="Times New Roman"/>
          <w:sz w:val="24"/>
          <w:szCs w:val="24"/>
        </w:rPr>
        <w:t>Bermuda</w:t>
      </w:r>
      <w:r w:rsidR="001D4BB9" w:rsidRPr="00486B87">
        <w:rPr>
          <w:rFonts w:ascii="Times New Roman" w:hAnsi="Times New Roman" w:cs="Times New Roman"/>
          <w:sz w:val="24"/>
          <w:szCs w:val="24"/>
        </w:rPr>
        <w:t>.</w:t>
      </w:r>
      <w:r w:rsidR="009C39F7" w:rsidRPr="00486B87">
        <w:rPr>
          <w:rFonts w:ascii="Times New Roman" w:hAnsi="Times New Roman" w:cs="Times New Roman"/>
          <w:sz w:val="24"/>
          <w:szCs w:val="24"/>
        </w:rPr>
        <w:t xml:space="preserve"> </w:t>
      </w:r>
      <w:r w:rsidR="001D4BB9" w:rsidRPr="00486B87">
        <w:rPr>
          <w:rFonts w:ascii="Times New Roman" w:hAnsi="Times New Roman" w:cs="Times New Roman"/>
          <w:sz w:val="24"/>
          <w:szCs w:val="24"/>
        </w:rPr>
        <w:t>E</w:t>
      </w:r>
      <w:r w:rsidR="009C39F7" w:rsidRPr="00486B87">
        <w:rPr>
          <w:rFonts w:ascii="Times New Roman" w:hAnsi="Times New Roman" w:cs="Times New Roman"/>
          <w:sz w:val="24"/>
          <w:szCs w:val="24"/>
        </w:rPr>
        <w:t xml:space="preserve">ach person will have a favoured </w:t>
      </w:r>
      <w:r w:rsidR="009C39F7" w:rsidRPr="00486B87">
        <w:rPr>
          <w:rFonts w:ascii="Times New Roman" w:hAnsi="Times New Roman" w:cs="Times New Roman"/>
          <w:sz w:val="24"/>
          <w:szCs w:val="24"/>
        </w:rPr>
        <w:lastRenderedPageBreak/>
        <w:t xml:space="preserve">perspective on whether equality as a term </w:t>
      </w:r>
      <w:r w:rsidR="00DE1ED2" w:rsidRPr="00486B87">
        <w:rPr>
          <w:rFonts w:ascii="Times New Roman" w:hAnsi="Times New Roman" w:cs="Times New Roman"/>
          <w:sz w:val="24"/>
          <w:szCs w:val="24"/>
        </w:rPr>
        <w:t xml:space="preserve">simply denotes the “equal subjugation”, or whether it goes further in referring to a common set of fundamental rights </w:t>
      </w:r>
      <w:r w:rsidR="001D4BB9" w:rsidRPr="00486B87">
        <w:rPr>
          <w:rFonts w:ascii="Times New Roman" w:hAnsi="Times New Roman" w:cs="Times New Roman"/>
          <w:sz w:val="24"/>
          <w:szCs w:val="24"/>
        </w:rPr>
        <w:t>everyone can enjoy</w:t>
      </w:r>
      <w:r w:rsidR="00DE1ED2" w:rsidRPr="00486B87">
        <w:rPr>
          <w:rFonts w:ascii="Times New Roman" w:hAnsi="Times New Roman" w:cs="Times New Roman"/>
          <w:sz w:val="24"/>
          <w:szCs w:val="24"/>
        </w:rPr>
        <w:t xml:space="preserve">. Depending on a person’s semantic preference, </w:t>
      </w:r>
      <w:r w:rsidR="001D4BB9" w:rsidRPr="00486B87">
        <w:rPr>
          <w:rFonts w:ascii="Times New Roman" w:hAnsi="Times New Roman" w:cs="Times New Roman"/>
          <w:sz w:val="24"/>
          <w:szCs w:val="24"/>
        </w:rPr>
        <w:t>a formalist would say that the law can be</w:t>
      </w:r>
      <w:r w:rsidR="00DE1ED2" w:rsidRPr="00486B87">
        <w:rPr>
          <w:rFonts w:ascii="Times New Roman" w:hAnsi="Times New Roman" w:cs="Times New Roman"/>
          <w:sz w:val="24"/>
          <w:szCs w:val="24"/>
        </w:rPr>
        <w:t xml:space="preserve"> legitimately discriminatory</w:t>
      </w:r>
      <w:r w:rsidR="00DE1ED2" w:rsidRPr="00486B87">
        <w:rPr>
          <w:rStyle w:val="FootnoteReference"/>
          <w:rFonts w:ascii="Times New Roman" w:hAnsi="Times New Roman" w:cs="Times New Roman"/>
          <w:sz w:val="24"/>
          <w:szCs w:val="24"/>
        </w:rPr>
        <w:footnoteReference w:id="103"/>
      </w:r>
      <w:r w:rsidR="00DE1ED2" w:rsidRPr="00486B87">
        <w:rPr>
          <w:rFonts w:ascii="Times New Roman" w:hAnsi="Times New Roman" w:cs="Times New Roman"/>
          <w:sz w:val="24"/>
          <w:szCs w:val="24"/>
        </w:rPr>
        <w:t xml:space="preserve">, </w:t>
      </w:r>
      <w:r w:rsidR="001D4BB9" w:rsidRPr="00486B87">
        <w:rPr>
          <w:rFonts w:ascii="Times New Roman" w:hAnsi="Times New Roman" w:cs="Times New Roman"/>
          <w:sz w:val="24"/>
          <w:szCs w:val="24"/>
        </w:rPr>
        <w:t xml:space="preserve">whilst a </w:t>
      </w:r>
      <w:proofErr w:type="spellStart"/>
      <w:r w:rsidR="001D4BB9" w:rsidRPr="00486B87">
        <w:rPr>
          <w:rFonts w:ascii="Times New Roman" w:hAnsi="Times New Roman" w:cs="Times New Roman"/>
          <w:sz w:val="24"/>
          <w:szCs w:val="24"/>
        </w:rPr>
        <w:t>substantivist</w:t>
      </w:r>
      <w:proofErr w:type="spellEnd"/>
      <w:r w:rsidR="001D4BB9" w:rsidRPr="00486B87">
        <w:rPr>
          <w:rFonts w:ascii="Times New Roman" w:hAnsi="Times New Roman" w:cs="Times New Roman"/>
          <w:sz w:val="24"/>
          <w:szCs w:val="24"/>
        </w:rPr>
        <w:t xml:space="preserve"> would say</w:t>
      </w:r>
      <w:r w:rsidR="00DE1ED2" w:rsidRPr="00486B87">
        <w:rPr>
          <w:rFonts w:ascii="Times New Roman" w:hAnsi="Times New Roman" w:cs="Times New Roman"/>
          <w:sz w:val="24"/>
          <w:szCs w:val="24"/>
        </w:rPr>
        <w:t xml:space="preserve"> that the authority of law is reliant on the content of law being compatible with a normative set of rights.</w:t>
      </w:r>
      <w:r w:rsidR="005F2340" w:rsidRPr="00486B87">
        <w:rPr>
          <w:rFonts w:ascii="Times New Roman" w:hAnsi="Times New Roman" w:cs="Times New Roman"/>
          <w:sz w:val="24"/>
          <w:szCs w:val="24"/>
        </w:rPr>
        <w:t xml:space="preserve"> Applying this to same-sex marriage in Bermuda, the </w:t>
      </w:r>
      <w:r w:rsidR="00A53DFD" w:rsidRPr="00486B87">
        <w:rPr>
          <w:rFonts w:ascii="Times New Roman" w:hAnsi="Times New Roman" w:cs="Times New Roman"/>
          <w:sz w:val="24"/>
          <w:szCs w:val="24"/>
        </w:rPr>
        <w:t xml:space="preserve">very beginning of the </w:t>
      </w:r>
      <w:r w:rsidR="005F2340" w:rsidRPr="00486B87">
        <w:rPr>
          <w:rFonts w:ascii="Times New Roman" w:hAnsi="Times New Roman" w:cs="Times New Roman"/>
          <w:sz w:val="24"/>
          <w:szCs w:val="24"/>
        </w:rPr>
        <w:t>Bermud</w:t>
      </w:r>
      <w:r w:rsidR="00A53DFD" w:rsidRPr="00486B87">
        <w:rPr>
          <w:rFonts w:ascii="Times New Roman" w:hAnsi="Times New Roman" w:cs="Times New Roman"/>
          <w:sz w:val="24"/>
          <w:szCs w:val="24"/>
        </w:rPr>
        <w:t>ian</w:t>
      </w:r>
      <w:r w:rsidR="005F2340" w:rsidRPr="00486B87">
        <w:rPr>
          <w:rFonts w:ascii="Times New Roman" w:hAnsi="Times New Roman" w:cs="Times New Roman"/>
          <w:sz w:val="24"/>
          <w:szCs w:val="24"/>
        </w:rPr>
        <w:t xml:space="preserve"> Constitution </w:t>
      </w:r>
      <w:r w:rsidR="00A53DFD" w:rsidRPr="00486B87">
        <w:rPr>
          <w:rFonts w:ascii="Times New Roman" w:hAnsi="Times New Roman" w:cs="Times New Roman"/>
          <w:sz w:val="24"/>
          <w:szCs w:val="24"/>
        </w:rPr>
        <w:t>states that “every person is entitled to the fundamental rights and freedoms of the individual”</w:t>
      </w:r>
      <w:r w:rsidR="00A53DFD" w:rsidRPr="00486B87">
        <w:rPr>
          <w:rStyle w:val="FootnoteReference"/>
          <w:rFonts w:ascii="Times New Roman" w:hAnsi="Times New Roman" w:cs="Times New Roman"/>
          <w:sz w:val="24"/>
          <w:szCs w:val="24"/>
        </w:rPr>
        <w:footnoteReference w:id="104"/>
      </w:r>
      <w:r w:rsidR="00A53DFD" w:rsidRPr="00486B87">
        <w:rPr>
          <w:rFonts w:ascii="Times New Roman" w:hAnsi="Times New Roman" w:cs="Times New Roman"/>
          <w:sz w:val="24"/>
          <w:szCs w:val="24"/>
        </w:rPr>
        <w:t>. This statement has a distinctly substantive approach to the formulation of the words</w:t>
      </w:r>
      <w:r w:rsidR="00222AB0" w:rsidRPr="00486B87">
        <w:rPr>
          <w:rFonts w:ascii="Times New Roman" w:hAnsi="Times New Roman" w:cs="Times New Roman"/>
          <w:sz w:val="24"/>
          <w:szCs w:val="24"/>
        </w:rPr>
        <w:t xml:space="preserve"> in that it refers to an inherent set of freedoms all enjoy</w:t>
      </w:r>
      <w:r w:rsidR="00A53DFD" w:rsidRPr="00486B87">
        <w:rPr>
          <w:rFonts w:ascii="Times New Roman" w:hAnsi="Times New Roman" w:cs="Times New Roman"/>
          <w:sz w:val="24"/>
          <w:szCs w:val="24"/>
        </w:rPr>
        <w:t xml:space="preserve">. </w:t>
      </w:r>
    </w:p>
    <w:p w14:paraId="0A8D6DC3" w14:textId="77777777" w:rsidR="002621AF" w:rsidRPr="00486B87" w:rsidRDefault="002621AF" w:rsidP="00174DA6">
      <w:pPr>
        <w:spacing w:line="480" w:lineRule="auto"/>
        <w:jc w:val="both"/>
        <w:rPr>
          <w:rFonts w:ascii="Times New Roman" w:hAnsi="Times New Roman" w:cs="Times New Roman"/>
          <w:sz w:val="24"/>
          <w:szCs w:val="24"/>
        </w:rPr>
      </w:pPr>
    </w:p>
    <w:p w14:paraId="7AFC2041" w14:textId="38D097E3" w:rsidR="0040582F" w:rsidRPr="00486B87" w:rsidRDefault="00A53DFD" w:rsidP="00174DA6">
      <w:pPr>
        <w:spacing w:line="480" w:lineRule="auto"/>
        <w:jc w:val="both"/>
        <w:rPr>
          <w:rFonts w:ascii="Times New Roman" w:hAnsi="Times New Roman" w:cs="Times New Roman"/>
          <w:sz w:val="24"/>
          <w:szCs w:val="24"/>
        </w:rPr>
      </w:pPr>
      <w:r w:rsidRPr="00486B87">
        <w:rPr>
          <w:rFonts w:ascii="Times New Roman" w:hAnsi="Times New Roman" w:cs="Times New Roman"/>
          <w:sz w:val="24"/>
          <w:szCs w:val="24"/>
        </w:rPr>
        <w:t xml:space="preserve">The first paragraph of the </w:t>
      </w:r>
      <w:r w:rsidR="001A359A">
        <w:rPr>
          <w:rFonts w:ascii="Times New Roman" w:hAnsi="Times New Roman" w:cs="Times New Roman"/>
          <w:sz w:val="24"/>
          <w:szCs w:val="24"/>
        </w:rPr>
        <w:t>C</w:t>
      </w:r>
      <w:r w:rsidRPr="00486B87">
        <w:rPr>
          <w:rFonts w:ascii="Times New Roman" w:hAnsi="Times New Roman" w:cs="Times New Roman"/>
          <w:sz w:val="24"/>
          <w:szCs w:val="24"/>
        </w:rPr>
        <w:t xml:space="preserve">onstitution specifically refers to rights and their universality. </w:t>
      </w:r>
      <w:r w:rsidR="00A67D0D" w:rsidRPr="00486B87">
        <w:rPr>
          <w:rFonts w:ascii="Times New Roman" w:hAnsi="Times New Roman" w:cs="Times New Roman"/>
          <w:sz w:val="24"/>
          <w:szCs w:val="24"/>
        </w:rPr>
        <w:t xml:space="preserve">This </w:t>
      </w:r>
      <w:r w:rsidR="009410D6" w:rsidRPr="00486B87">
        <w:rPr>
          <w:rFonts w:ascii="Times New Roman" w:hAnsi="Times New Roman" w:cs="Times New Roman"/>
          <w:sz w:val="24"/>
          <w:szCs w:val="24"/>
        </w:rPr>
        <w:t>poses</w:t>
      </w:r>
      <w:r w:rsidR="00A67D0D" w:rsidRPr="00486B87">
        <w:rPr>
          <w:rFonts w:ascii="Times New Roman" w:hAnsi="Times New Roman" w:cs="Times New Roman"/>
          <w:sz w:val="24"/>
          <w:szCs w:val="24"/>
        </w:rPr>
        <w:t xml:space="preserve"> a</w:t>
      </w:r>
      <w:r w:rsidR="00FB6555" w:rsidRPr="00486B87">
        <w:rPr>
          <w:rFonts w:ascii="Times New Roman" w:hAnsi="Times New Roman" w:cs="Times New Roman"/>
          <w:sz w:val="24"/>
          <w:szCs w:val="24"/>
        </w:rPr>
        <w:t xml:space="preserve"> question</w:t>
      </w:r>
      <w:r w:rsidR="00D22142">
        <w:rPr>
          <w:rFonts w:ascii="Times New Roman" w:hAnsi="Times New Roman" w:cs="Times New Roman"/>
          <w:sz w:val="24"/>
          <w:szCs w:val="24"/>
        </w:rPr>
        <w:t>:</w:t>
      </w:r>
      <w:r w:rsidR="00A67D0D" w:rsidRPr="00486B87">
        <w:rPr>
          <w:rFonts w:ascii="Times New Roman" w:hAnsi="Times New Roman" w:cs="Times New Roman"/>
          <w:sz w:val="24"/>
          <w:szCs w:val="24"/>
        </w:rPr>
        <w:t xml:space="preserve"> </w:t>
      </w:r>
      <w:r w:rsidR="00FB6555" w:rsidRPr="00486B87">
        <w:rPr>
          <w:rFonts w:ascii="Times New Roman" w:hAnsi="Times New Roman" w:cs="Times New Roman"/>
          <w:sz w:val="24"/>
          <w:szCs w:val="24"/>
        </w:rPr>
        <w:t xml:space="preserve">if </w:t>
      </w:r>
      <w:r w:rsidR="00A67D0D" w:rsidRPr="00486B87">
        <w:rPr>
          <w:rFonts w:ascii="Times New Roman" w:hAnsi="Times New Roman" w:cs="Times New Roman"/>
          <w:sz w:val="24"/>
          <w:szCs w:val="24"/>
        </w:rPr>
        <w:t xml:space="preserve">the </w:t>
      </w:r>
      <w:r w:rsidR="00D22142">
        <w:rPr>
          <w:rFonts w:ascii="Times New Roman" w:hAnsi="Times New Roman" w:cs="Times New Roman"/>
          <w:sz w:val="24"/>
          <w:szCs w:val="24"/>
        </w:rPr>
        <w:t>C</w:t>
      </w:r>
      <w:r w:rsidR="00A67D0D" w:rsidRPr="00486B87">
        <w:rPr>
          <w:rFonts w:ascii="Times New Roman" w:hAnsi="Times New Roman" w:cs="Times New Roman"/>
          <w:sz w:val="24"/>
          <w:szCs w:val="24"/>
        </w:rPr>
        <w:t xml:space="preserve">onstitution sets out certain rights and characteristics which are protected, </w:t>
      </w:r>
      <w:r w:rsidR="00FB6555" w:rsidRPr="00486B87">
        <w:rPr>
          <w:rFonts w:ascii="Times New Roman" w:hAnsi="Times New Roman" w:cs="Times New Roman"/>
          <w:sz w:val="24"/>
          <w:szCs w:val="24"/>
        </w:rPr>
        <w:t xml:space="preserve">is </w:t>
      </w:r>
      <w:proofErr w:type="spellStart"/>
      <w:r w:rsidR="007F2368" w:rsidRPr="00486B87">
        <w:rPr>
          <w:rFonts w:ascii="Times New Roman" w:hAnsi="Times New Roman" w:cs="Times New Roman"/>
          <w:i/>
          <w:sz w:val="24"/>
          <w:szCs w:val="24"/>
        </w:rPr>
        <w:t>ejusdem</w:t>
      </w:r>
      <w:proofErr w:type="spellEnd"/>
      <w:r w:rsidR="007F2368" w:rsidRPr="00486B87">
        <w:rPr>
          <w:rFonts w:ascii="Times New Roman" w:hAnsi="Times New Roman" w:cs="Times New Roman"/>
          <w:i/>
          <w:sz w:val="24"/>
          <w:szCs w:val="24"/>
        </w:rPr>
        <w:t xml:space="preserve"> generis</w:t>
      </w:r>
      <w:r w:rsidR="007F2368" w:rsidRPr="00486B87">
        <w:rPr>
          <w:rStyle w:val="FootnoteReference"/>
          <w:rFonts w:ascii="Times New Roman" w:hAnsi="Times New Roman" w:cs="Times New Roman"/>
          <w:i/>
          <w:sz w:val="24"/>
          <w:szCs w:val="24"/>
        </w:rPr>
        <w:footnoteReference w:id="105"/>
      </w:r>
      <w:r w:rsidR="007F2368" w:rsidRPr="00486B87">
        <w:rPr>
          <w:rFonts w:ascii="Times New Roman" w:hAnsi="Times New Roman" w:cs="Times New Roman"/>
          <w:sz w:val="24"/>
          <w:szCs w:val="24"/>
        </w:rPr>
        <w:t xml:space="preserve"> permitted to expand the list in the constitution</w:t>
      </w:r>
      <w:r w:rsidR="00D22142">
        <w:rPr>
          <w:rFonts w:ascii="Times New Roman" w:hAnsi="Times New Roman" w:cs="Times New Roman"/>
          <w:sz w:val="24"/>
          <w:szCs w:val="24"/>
        </w:rPr>
        <w:t xml:space="preserve">? </w:t>
      </w:r>
      <w:r w:rsidR="00C155B3" w:rsidRPr="00486B87">
        <w:rPr>
          <w:rFonts w:ascii="Times New Roman" w:hAnsi="Times New Roman" w:cs="Times New Roman"/>
          <w:i/>
          <w:sz w:val="24"/>
          <w:szCs w:val="24"/>
        </w:rPr>
        <w:t xml:space="preserve">Ferguson </w:t>
      </w:r>
      <w:r w:rsidR="00C155B3" w:rsidRPr="00486B87">
        <w:rPr>
          <w:rFonts w:ascii="Times New Roman" w:hAnsi="Times New Roman" w:cs="Times New Roman"/>
          <w:sz w:val="24"/>
          <w:szCs w:val="24"/>
        </w:rPr>
        <w:t>would seem to imply that the list is not finite and that the HRA</w:t>
      </w:r>
      <w:r w:rsidR="00BE4375">
        <w:rPr>
          <w:rFonts w:ascii="Times New Roman" w:hAnsi="Times New Roman" w:cs="Times New Roman"/>
          <w:sz w:val="24"/>
          <w:szCs w:val="24"/>
        </w:rPr>
        <w:t>,</w:t>
      </w:r>
      <w:r w:rsidR="00C155B3" w:rsidRPr="00486B87">
        <w:rPr>
          <w:rFonts w:ascii="Times New Roman" w:hAnsi="Times New Roman" w:cs="Times New Roman"/>
          <w:sz w:val="24"/>
          <w:szCs w:val="24"/>
        </w:rPr>
        <w:t xml:space="preserve"> along with the common law</w:t>
      </w:r>
      <w:r w:rsidR="00BE4375">
        <w:rPr>
          <w:rFonts w:ascii="Times New Roman" w:hAnsi="Times New Roman" w:cs="Times New Roman"/>
          <w:sz w:val="24"/>
          <w:szCs w:val="24"/>
        </w:rPr>
        <w:t>,</w:t>
      </w:r>
      <w:r w:rsidR="00C155B3" w:rsidRPr="00486B87">
        <w:rPr>
          <w:rFonts w:ascii="Times New Roman" w:hAnsi="Times New Roman" w:cs="Times New Roman"/>
          <w:sz w:val="24"/>
          <w:szCs w:val="24"/>
        </w:rPr>
        <w:t xml:space="preserve"> can expand on the specific rights and </w:t>
      </w:r>
      <w:r w:rsidR="005A66D8">
        <w:rPr>
          <w:rFonts w:ascii="Times New Roman" w:hAnsi="Times New Roman" w:cs="Times New Roman"/>
          <w:sz w:val="24"/>
          <w:szCs w:val="24"/>
        </w:rPr>
        <w:t xml:space="preserve">characteristics </w:t>
      </w:r>
      <w:r w:rsidR="00C155B3" w:rsidRPr="00486B87">
        <w:rPr>
          <w:rFonts w:ascii="Times New Roman" w:hAnsi="Times New Roman" w:cs="Times New Roman"/>
          <w:sz w:val="24"/>
          <w:szCs w:val="24"/>
        </w:rPr>
        <w:t xml:space="preserve">protected in the </w:t>
      </w:r>
      <w:r w:rsidR="00BE4375">
        <w:rPr>
          <w:rFonts w:ascii="Times New Roman" w:hAnsi="Times New Roman" w:cs="Times New Roman"/>
          <w:sz w:val="24"/>
          <w:szCs w:val="24"/>
        </w:rPr>
        <w:t>C</w:t>
      </w:r>
      <w:r w:rsidR="00C155B3" w:rsidRPr="00486B87">
        <w:rPr>
          <w:rFonts w:ascii="Times New Roman" w:hAnsi="Times New Roman" w:cs="Times New Roman"/>
          <w:sz w:val="24"/>
          <w:szCs w:val="24"/>
        </w:rPr>
        <w:t>onstitution</w:t>
      </w:r>
      <w:r w:rsidR="009950C7" w:rsidRPr="00486B87">
        <w:rPr>
          <w:rFonts w:ascii="Times New Roman" w:hAnsi="Times New Roman" w:cs="Times New Roman"/>
          <w:sz w:val="24"/>
          <w:szCs w:val="24"/>
        </w:rPr>
        <w:t>. H</w:t>
      </w:r>
      <w:r w:rsidR="00C155B3" w:rsidRPr="00486B87">
        <w:rPr>
          <w:rFonts w:ascii="Times New Roman" w:hAnsi="Times New Roman" w:cs="Times New Roman"/>
          <w:sz w:val="24"/>
          <w:szCs w:val="24"/>
        </w:rPr>
        <w:t>ere</w:t>
      </w:r>
      <w:r w:rsidR="009950C7" w:rsidRPr="00486B87">
        <w:rPr>
          <w:rFonts w:ascii="Times New Roman" w:hAnsi="Times New Roman" w:cs="Times New Roman"/>
          <w:sz w:val="24"/>
          <w:szCs w:val="24"/>
        </w:rPr>
        <w:t>,</w:t>
      </w:r>
      <w:r w:rsidR="00C155B3" w:rsidRPr="00486B87">
        <w:rPr>
          <w:rFonts w:ascii="Times New Roman" w:hAnsi="Times New Roman" w:cs="Times New Roman"/>
          <w:sz w:val="24"/>
          <w:szCs w:val="24"/>
        </w:rPr>
        <w:t xml:space="preserve"> one criticism of the substantive conception rings true too </w:t>
      </w:r>
      <w:r w:rsidR="00C155B3" w:rsidRPr="00486B87">
        <w:rPr>
          <w:rFonts w:ascii="Times New Roman" w:hAnsi="Times New Roman" w:cs="Times New Roman"/>
          <w:i/>
          <w:sz w:val="24"/>
          <w:szCs w:val="24"/>
        </w:rPr>
        <w:t>viz.</w:t>
      </w:r>
      <w:r w:rsidR="00C155B3" w:rsidRPr="00486B87">
        <w:rPr>
          <w:rFonts w:ascii="Times New Roman" w:hAnsi="Times New Roman" w:cs="Times New Roman"/>
          <w:sz w:val="24"/>
          <w:szCs w:val="24"/>
        </w:rPr>
        <w:t xml:space="preserve"> against </w:t>
      </w:r>
      <w:proofErr w:type="gramStart"/>
      <w:r w:rsidR="00C155B3" w:rsidRPr="00486B87">
        <w:rPr>
          <w:rFonts w:ascii="Times New Roman" w:hAnsi="Times New Roman" w:cs="Times New Roman"/>
          <w:sz w:val="24"/>
          <w:szCs w:val="24"/>
        </w:rPr>
        <w:t>who’s</w:t>
      </w:r>
      <w:proofErr w:type="gramEnd"/>
      <w:r w:rsidR="00C155B3" w:rsidRPr="00486B87">
        <w:rPr>
          <w:rFonts w:ascii="Times New Roman" w:hAnsi="Times New Roman" w:cs="Times New Roman"/>
          <w:sz w:val="24"/>
          <w:szCs w:val="24"/>
        </w:rPr>
        <w:t xml:space="preserve"> moral or ethical </w:t>
      </w:r>
      <w:r w:rsidR="003F2390" w:rsidRPr="00486B87">
        <w:rPr>
          <w:rFonts w:ascii="Times New Roman" w:hAnsi="Times New Roman" w:cs="Times New Roman"/>
          <w:sz w:val="24"/>
          <w:szCs w:val="24"/>
        </w:rPr>
        <w:t>standard</w:t>
      </w:r>
      <w:r w:rsidR="00C155B3" w:rsidRPr="00486B87">
        <w:rPr>
          <w:rFonts w:ascii="Times New Roman" w:hAnsi="Times New Roman" w:cs="Times New Roman"/>
          <w:sz w:val="24"/>
          <w:szCs w:val="24"/>
        </w:rPr>
        <w:t xml:space="preserve"> is the list of rights benchmarked</w:t>
      </w:r>
      <w:r w:rsidR="00BE4375">
        <w:rPr>
          <w:rFonts w:ascii="Times New Roman" w:hAnsi="Times New Roman" w:cs="Times New Roman"/>
          <w:sz w:val="24"/>
          <w:szCs w:val="24"/>
        </w:rPr>
        <w:t>.</w:t>
      </w:r>
      <w:r w:rsidR="00C155B3" w:rsidRPr="00486B87">
        <w:rPr>
          <w:rFonts w:ascii="Times New Roman" w:hAnsi="Times New Roman" w:cs="Times New Roman"/>
          <w:sz w:val="24"/>
          <w:szCs w:val="24"/>
        </w:rPr>
        <w:t xml:space="preserve"> It has already been stated in this article that the collective opinion of the people</w:t>
      </w:r>
      <w:r w:rsidR="002651A7" w:rsidRPr="00486B87">
        <w:rPr>
          <w:rFonts w:ascii="Times New Roman" w:hAnsi="Times New Roman" w:cs="Times New Roman"/>
          <w:sz w:val="24"/>
          <w:szCs w:val="24"/>
        </w:rPr>
        <w:t xml:space="preserve"> </w:t>
      </w:r>
      <w:r w:rsidR="00C155B3" w:rsidRPr="00486B87">
        <w:rPr>
          <w:rFonts w:ascii="Times New Roman" w:hAnsi="Times New Roman" w:cs="Times New Roman"/>
          <w:sz w:val="24"/>
          <w:szCs w:val="24"/>
        </w:rPr>
        <w:t>is not a sufficient benchmark against which to set fundamental rights. Doing so will marginalise minority groups</w:t>
      </w:r>
      <w:r w:rsidR="00B86A18">
        <w:rPr>
          <w:rFonts w:ascii="Times New Roman" w:hAnsi="Times New Roman" w:cs="Times New Roman"/>
          <w:sz w:val="24"/>
          <w:szCs w:val="24"/>
        </w:rPr>
        <w:t>,</w:t>
      </w:r>
      <w:r w:rsidR="00C155B3" w:rsidRPr="00486B87">
        <w:rPr>
          <w:rFonts w:ascii="Times New Roman" w:hAnsi="Times New Roman" w:cs="Times New Roman"/>
          <w:sz w:val="24"/>
          <w:szCs w:val="24"/>
        </w:rPr>
        <w:t xml:space="preserve"> which are arguably in greater need of protection from discrimination. </w:t>
      </w:r>
      <w:r w:rsidR="00276037" w:rsidRPr="00486B87">
        <w:rPr>
          <w:rFonts w:ascii="Times New Roman" w:hAnsi="Times New Roman" w:cs="Times New Roman"/>
          <w:sz w:val="24"/>
          <w:szCs w:val="24"/>
        </w:rPr>
        <w:t xml:space="preserve">It is therefore </w:t>
      </w:r>
      <w:r w:rsidR="0066293F" w:rsidRPr="00486B87">
        <w:rPr>
          <w:rFonts w:ascii="Times New Roman" w:hAnsi="Times New Roman" w:cs="Times New Roman"/>
          <w:sz w:val="24"/>
          <w:szCs w:val="24"/>
        </w:rPr>
        <w:t>the responsibility of</w:t>
      </w:r>
      <w:r w:rsidR="00276037" w:rsidRPr="00486B87">
        <w:rPr>
          <w:rFonts w:ascii="Times New Roman" w:hAnsi="Times New Roman" w:cs="Times New Roman"/>
          <w:sz w:val="24"/>
          <w:szCs w:val="24"/>
        </w:rPr>
        <w:t xml:space="preserve"> a few people in positions of authority</w:t>
      </w:r>
      <w:r w:rsidR="0066293F" w:rsidRPr="00486B87">
        <w:rPr>
          <w:rFonts w:ascii="Times New Roman" w:hAnsi="Times New Roman" w:cs="Times New Roman"/>
          <w:sz w:val="24"/>
          <w:szCs w:val="24"/>
        </w:rPr>
        <w:t xml:space="preserve"> –</w:t>
      </w:r>
      <w:r w:rsidR="00276037" w:rsidRPr="00486B87">
        <w:rPr>
          <w:rFonts w:ascii="Times New Roman" w:hAnsi="Times New Roman" w:cs="Times New Roman"/>
          <w:sz w:val="24"/>
          <w:szCs w:val="24"/>
        </w:rPr>
        <w:t xml:space="preserve"> such as legislatures and the judiciary</w:t>
      </w:r>
      <w:r w:rsidR="0066293F" w:rsidRPr="00486B87">
        <w:rPr>
          <w:rFonts w:ascii="Times New Roman" w:hAnsi="Times New Roman" w:cs="Times New Roman"/>
          <w:sz w:val="24"/>
          <w:szCs w:val="24"/>
        </w:rPr>
        <w:t xml:space="preserve"> –</w:t>
      </w:r>
      <w:r w:rsidR="00276037" w:rsidRPr="00486B87">
        <w:rPr>
          <w:rFonts w:ascii="Times New Roman" w:hAnsi="Times New Roman" w:cs="Times New Roman"/>
          <w:sz w:val="24"/>
          <w:szCs w:val="24"/>
        </w:rPr>
        <w:t xml:space="preserve"> to decide which characteristics are protected from discrimination and how wide universal rights extend. The issue that arises </w:t>
      </w:r>
      <w:r w:rsidR="00276037" w:rsidRPr="00486B87">
        <w:rPr>
          <w:rFonts w:ascii="Times New Roman" w:hAnsi="Times New Roman" w:cs="Times New Roman"/>
          <w:sz w:val="24"/>
          <w:szCs w:val="24"/>
        </w:rPr>
        <w:lastRenderedPageBreak/>
        <w:t xml:space="preserve">when a small number of people decide such an important factor is </w:t>
      </w:r>
      <w:r w:rsidR="00D64B30" w:rsidRPr="00486B87">
        <w:rPr>
          <w:rFonts w:ascii="Times New Roman" w:hAnsi="Times New Roman" w:cs="Times New Roman"/>
          <w:sz w:val="24"/>
          <w:szCs w:val="24"/>
        </w:rPr>
        <w:t xml:space="preserve">that severe change can occur </w:t>
      </w:r>
      <w:r w:rsidR="00276037" w:rsidRPr="00486B87">
        <w:rPr>
          <w:rFonts w:ascii="Times New Roman" w:hAnsi="Times New Roman" w:cs="Times New Roman"/>
          <w:sz w:val="24"/>
          <w:szCs w:val="24"/>
        </w:rPr>
        <w:t>when a post-holder changes to one with a different moral compass</w:t>
      </w:r>
      <w:r w:rsidR="00D64B30" w:rsidRPr="00486B87">
        <w:rPr>
          <w:rFonts w:ascii="Times New Roman" w:hAnsi="Times New Roman" w:cs="Times New Roman"/>
          <w:sz w:val="24"/>
          <w:szCs w:val="24"/>
        </w:rPr>
        <w:t xml:space="preserve"> or conception on the rule of law</w:t>
      </w:r>
      <w:r w:rsidR="00276037" w:rsidRPr="00486B87">
        <w:rPr>
          <w:rFonts w:ascii="Times New Roman" w:hAnsi="Times New Roman" w:cs="Times New Roman"/>
          <w:sz w:val="24"/>
          <w:szCs w:val="24"/>
        </w:rPr>
        <w:t xml:space="preserve">. A judge with a purely formal conception on the rule of law </w:t>
      </w:r>
      <w:r w:rsidR="00105165" w:rsidRPr="00486B87">
        <w:rPr>
          <w:rFonts w:ascii="Times New Roman" w:hAnsi="Times New Roman" w:cs="Times New Roman"/>
          <w:sz w:val="24"/>
          <w:szCs w:val="24"/>
        </w:rPr>
        <w:t>might</w:t>
      </w:r>
      <w:r w:rsidR="00282AA0" w:rsidRPr="00486B87">
        <w:rPr>
          <w:rFonts w:ascii="Times New Roman" w:hAnsi="Times New Roman" w:cs="Times New Roman"/>
          <w:sz w:val="24"/>
          <w:szCs w:val="24"/>
        </w:rPr>
        <w:t xml:space="preserve"> hold that even oppressive laws are neither arbitrary nor contrary to equality</w:t>
      </w:r>
      <w:r w:rsidR="00FC418B" w:rsidRPr="00486B87">
        <w:rPr>
          <w:rStyle w:val="FootnoteReference"/>
          <w:rFonts w:ascii="Times New Roman" w:hAnsi="Times New Roman" w:cs="Times New Roman"/>
          <w:sz w:val="24"/>
          <w:szCs w:val="24"/>
        </w:rPr>
        <w:footnoteReference w:id="106"/>
      </w:r>
      <w:r w:rsidR="00282AA0" w:rsidRPr="00486B87">
        <w:rPr>
          <w:rFonts w:ascii="Times New Roman" w:hAnsi="Times New Roman" w:cs="Times New Roman"/>
          <w:sz w:val="24"/>
          <w:szCs w:val="24"/>
        </w:rPr>
        <w:t xml:space="preserve">. </w:t>
      </w:r>
      <w:r w:rsidR="00D26310" w:rsidRPr="00486B87">
        <w:rPr>
          <w:rFonts w:ascii="Times New Roman" w:hAnsi="Times New Roman" w:cs="Times New Roman"/>
          <w:sz w:val="24"/>
          <w:szCs w:val="24"/>
        </w:rPr>
        <w:t xml:space="preserve">This leads on to a discussion documented by </w:t>
      </w:r>
      <w:proofErr w:type="spellStart"/>
      <w:r w:rsidR="00D26310" w:rsidRPr="00486B87">
        <w:rPr>
          <w:rFonts w:ascii="Times New Roman" w:hAnsi="Times New Roman" w:cs="Times New Roman"/>
          <w:sz w:val="24"/>
          <w:szCs w:val="24"/>
        </w:rPr>
        <w:t>Fairgrieve</w:t>
      </w:r>
      <w:proofErr w:type="spellEnd"/>
      <w:r w:rsidR="00D26310" w:rsidRPr="00486B87">
        <w:rPr>
          <w:rStyle w:val="FootnoteReference"/>
          <w:rFonts w:ascii="Times New Roman" w:hAnsi="Times New Roman" w:cs="Times New Roman"/>
          <w:sz w:val="24"/>
          <w:szCs w:val="24"/>
        </w:rPr>
        <w:footnoteReference w:id="107"/>
      </w:r>
      <w:r w:rsidR="00D26310" w:rsidRPr="00486B87">
        <w:rPr>
          <w:rFonts w:ascii="Times New Roman" w:hAnsi="Times New Roman" w:cs="Times New Roman"/>
          <w:sz w:val="24"/>
          <w:szCs w:val="24"/>
        </w:rPr>
        <w:t xml:space="preserve"> and is beyond the scope of this article. </w:t>
      </w:r>
      <w:r w:rsidR="000A0640" w:rsidRPr="00486B87">
        <w:rPr>
          <w:rFonts w:ascii="Times New Roman" w:hAnsi="Times New Roman" w:cs="Times New Roman"/>
          <w:sz w:val="24"/>
          <w:szCs w:val="24"/>
        </w:rPr>
        <w:t>In brief</w:t>
      </w:r>
      <w:r w:rsidR="00077C1D">
        <w:rPr>
          <w:rFonts w:ascii="Times New Roman" w:hAnsi="Times New Roman" w:cs="Times New Roman"/>
          <w:sz w:val="24"/>
          <w:szCs w:val="24"/>
        </w:rPr>
        <w:t>,</w:t>
      </w:r>
      <w:r w:rsidR="000A0640" w:rsidRPr="00486B87">
        <w:rPr>
          <w:rFonts w:ascii="Times New Roman" w:hAnsi="Times New Roman" w:cs="Times New Roman"/>
          <w:sz w:val="24"/>
          <w:szCs w:val="24"/>
        </w:rPr>
        <w:t xml:space="preserve"> however, when one considers the role of equality before the law as an argument to expand discrimination protections, it is right to ask to what extent </w:t>
      </w:r>
      <w:proofErr w:type="gramStart"/>
      <w:r w:rsidR="000A0640" w:rsidRPr="00486B87">
        <w:rPr>
          <w:rFonts w:ascii="Times New Roman" w:hAnsi="Times New Roman" w:cs="Times New Roman"/>
          <w:sz w:val="24"/>
          <w:szCs w:val="24"/>
        </w:rPr>
        <w:t>should they</w:t>
      </w:r>
      <w:proofErr w:type="gramEnd"/>
      <w:r w:rsidR="000A0640" w:rsidRPr="00486B87">
        <w:rPr>
          <w:rFonts w:ascii="Times New Roman" w:hAnsi="Times New Roman" w:cs="Times New Roman"/>
          <w:sz w:val="24"/>
          <w:szCs w:val="24"/>
        </w:rPr>
        <w:t xml:space="preserve"> be expanded upon and to reflect on the opinions of those imbued with the power to adjudicate on such matters. It would have been difficult for the </w:t>
      </w:r>
      <w:r w:rsidR="00077C1D">
        <w:rPr>
          <w:rFonts w:ascii="Times New Roman" w:hAnsi="Times New Roman" w:cs="Times New Roman"/>
          <w:sz w:val="24"/>
          <w:szCs w:val="24"/>
        </w:rPr>
        <w:t>C</w:t>
      </w:r>
      <w:r w:rsidR="000A0640" w:rsidRPr="00486B87">
        <w:rPr>
          <w:rFonts w:ascii="Times New Roman" w:hAnsi="Times New Roman" w:cs="Times New Roman"/>
          <w:sz w:val="24"/>
          <w:szCs w:val="24"/>
        </w:rPr>
        <w:t>ourt to assert that discrimination on the grounds of sexual orientation was prohibited by the HRA</w:t>
      </w:r>
      <w:r w:rsidR="003B7B84" w:rsidRPr="00486B87">
        <w:rPr>
          <w:rFonts w:ascii="Times New Roman" w:hAnsi="Times New Roman" w:cs="Times New Roman"/>
          <w:sz w:val="24"/>
          <w:szCs w:val="24"/>
        </w:rPr>
        <w:t>, and that same-sex marriage discrimination was not pr</w:t>
      </w:r>
      <w:r w:rsidR="00C85B7B" w:rsidRPr="00486B87">
        <w:rPr>
          <w:rFonts w:ascii="Times New Roman" w:hAnsi="Times New Roman" w:cs="Times New Roman"/>
          <w:sz w:val="24"/>
          <w:szCs w:val="24"/>
        </w:rPr>
        <w:t>ohibited</w:t>
      </w:r>
      <w:r w:rsidR="003B7B84" w:rsidRPr="00486B87">
        <w:rPr>
          <w:rFonts w:ascii="Times New Roman" w:hAnsi="Times New Roman" w:cs="Times New Roman"/>
          <w:sz w:val="24"/>
          <w:szCs w:val="24"/>
        </w:rPr>
        <w:t xml:space="preserve">, on the basis that one begets the other. The </w:t>
      </w:r>
      <w:r w:rsidR="006C0529">
        <w:rPr>
          <w:rFonts w:ascii="Times New Roman" w:hAnsi="Times New Roman" w:cs="Times New Roman"/>
          <w:sz w:val="24"/>
          <w:szCs w:val="24"/>
        </w:rPr>
        <w:t>C</w:t>
      </w:r>
      <w:r w:rsidR="003B7B84" w:rsidRPr="00486B87">
        <w:rPr>
          <w:rFonts w:ascii="Times New Roman" w:hAnsi="Times New Roman" w:cs="Times New Roman"/>
          <w:sz w:val="24"/>
          <w:szCs w:val="24"/>
        </w:rPr>
        <w:t xml:space="preserve">ourts view in </w:t>
      </w:r>
      <w:r w:rsidR="003B7B84" w:rsidRPr="00486B87">
        <w:rPr>
          <w:rFonts w:ascii="Times New Roman" w:hAnsi="Times New Roman" w:cs="Times New Roman"/>
          <w:i/>
          <w:sz w:val="24"/>
          <w:szCs w:val="24"/>
        </w:rPr>
        <w:t xml:space="preserve">Ferguson, </w:t>
      </w:r>
      <w:r w:rsidR="003B7B84" w:rsidRPr="00486B87">
        <w:rPr>
          <w:rFonts w:ascii="Times New Roman" w:hAnsi="Times New Roman" w:cs="Times New Roman"/>
          <w:sz w:val="24"/>
          <w:szCs w:val="24"/>
        </w:rPr>
        <w:t xml:space="preserve">that the </w:t>
      </w:r>
      <w:r w:rsidR="006C0529">
        <w:rPr>
          <w:rFonts w:ascii="Times New Roman" w:hAnsi="Times New Roman" w:cs="Times New Roman"/>
          <w:sz w:val="24"/>
          <w:szCs w:val="24"/>
        </w:rPr>
        <w:t>C</w:t>
      </w:r>
      <w:r w:rsidR="003B7B84" w:rsidRPr="00486B87">
        <w:rPr>
          <w:rFonts w:ascii="Times New Roman" w:hAnsi="Times New Roman" w:cs="Times New Roman"/>
          <w:sz w:val="24"/>
          <w:szCs w:val="24"/>
        </w:rPr>
        <w:t>onstitution protects every individual’s right to hold a belief is perfectly acceptable</w:t>
      </w:r>
      <w:r w:rsidR="00851CD5" w:rsidRPr="00486B87">
        <w:rPr>
          <w:rStyle w:val="FootnoteReference"/>
          <w:rFonts w:ascii="Times New Roman" w:hAnsi="Times New Roman" w:cs="Times New Roman"/>
          <w:sz w:val="24"/>
          <w:szCs w:val="24"/>
        </w:rPr>
        <w:footnoteReference w:id="108"/>
      </w:r>
      <w:r w:rsidR="003B7B84" w:rsidRPr="00486B87">
        <w:rPr>
          <w:rFonts w:ascii="Times New Roman" w:hAnsi="Times New Roman" w:cs="Times New Roman"/>
          <w:sz w:val="24"/>
          <w:szCs w:val="24"/>
        </w:rPr>
        <w:t>, and the use of that logic to dismiss the proposition that the constitutional right to believe only in opposite-sex marriage precludes same-sex marriage is utilitarian. It does address equality before the law in a roun</w:t>
      </w:r>
      <w:r w:rsidR="00AC702A">
        <w:rPr>
          <w:rFonts w:ascii="Times New Roman" w:hAnsi="Times New Roman" w:cs="Times New Roman"/>
          <w:sz w:val="24"/>
          <w:szCs w:val="24"/>
        </w:rPr>
        <w:t>d-</w:t>
      </w:r>
      <w:r w:rsidR="003B7B84" w:rsidRPr="00486B87">
        <w:rPr>
          <w:rFonts w:ascii="Times New Roman" w:hAnsi="Times New Roman" w:cs="Times New Roman"/>
          <w:sz w:val="24"/>
          <w:szCs w:val="24"/>
        </w:rPr>
        <w:t>about way</w:t>
      </w:r>
      <w:r w:rsidR="00AC702A">
        <w:rPr>
          <w:rFonts w:ascii="Times New Roman" w:hAnsi="Times New Roman" w:cs="Times New Roman"/>
          <w:sz w:val="24"/>
          <w:szCs w:val="24"/>
        </w:rPr>
        <w:t>,</w:t>
      </w:r>
      <w:r w:rsidR="003B7B84" w:rsidRPr="00486B87">
        <w:rPr>
          <w:rFonts w:ascii="Times New Roman" w:hAnsi="Times New Roman" w:cs="Times New Roman"/>
          <w:sz w:val="24"/>
          <w:szCs w:val="24"/>
        </w:rPr>
        <w:t xml:space="preserve"> in that it asserts a view that everyone has the right to a belief save in the instance that it impacts on others. How far that impact </w:t>
      </w:r>
      <w:r w:rsidR="00AC702A">
        <w:rPr>
          <w:rFonts w:ascii="Times New Roman" w:hAnsi="Times New Roman" w:cs="Times New Roman"/>
          <w:sz w:val="24"/>
          <w:szCs w:val="24"/>
        </w:rPr>
        <w:t xml:space="preserve">is </w:t>
      </w:r>
      <w:r w:rsidR="003B7B84" w:rsidRPr="00486B87">
        <w:rPr>
          <w:rFonts w:ascii="Times New Roman" w:hAnsi="Times New Roman" w:cs="Times New Roman"/>
          <w:sz w:val="24"/>
          <w:szCs w:val="24"/>
        </w:rPr>
        <w:t>measured</w:t>
      </w:r>
      <w:r w:rsidR="005359F4">
        <w:rPr>
          <w:rFonts w:ascii="Times New Roman" w:hAnsi="Times New Roman" w:cs="Times New Roman"/>
          <w:sz w:val="24"/>
          <w:szCs w:val="24"/>
        </w:rPr>
        <w:t>,</w:t>
      </w:r>
      <w:r w:rsidR="003B7B84" w:rsidRPr="00486B87">
        <w:rPr>
          <w:rFonts w:ascii="Times New Roman" w:hAnsi="Times New Roman" w:cs="Times New Roman"/>
          <w:sz w:val="24"/>
          <w:szCs w:val="24"/>
        </w:rPr>
        <w:t xml:space="preserve"> and what substantive view on equality before the law is being adopted to reach that conclusion</w:t>
      </w:r>
      <w:r w:rsidR="005359F4">
        <w:rPr>
          <w:rFonts w:ascii="Times New Roman" w:hAnsi="Times New Roman" w:cs="Times New Roman"/>
          <w:sz w:val="24"/>
          <w:szCs w:val="24"/>
        </w:rPr>
        <w:t>,</w:t>
      </w:r>
      <w:r w:rsidR="003B7B84" w:rsidRPr="00486B87">
        <w:rPr>
          <w:rFonts w:ascii="Times New Roman" w:hAnsi="Times New Roman" w:cs="Times New Roman"/>
          <w:sz w:val="24"/>
          <w:szCs w:val="24"/>
        </w:rPr>
        <w:t xml:space="preserve"> are questions that cannot yet be answered pending either an appeal or </w:t>
      </w:r>
      <w:r w:rsidR="00F70BB6" w:rsidRPr="00486B87">
        <w:rPr>
          <w:rFonts w:ascii="Times New Roman" w:hAnsi="Times New Roman" w:cs="Times New Roman"/>
          <w:sz w:val="24"/>
          <w:szCs w:val="24"/>
        </w:rPr>
        <w:t>further</w:t>
      </w:r>
      <w:r w:rsidR="003B7B84" w:rsidRPr="00486B87">
        <w:rPr>
          <w:rFonts w:ascii="Times New Roman" w:hAnsi="Times New Roman" w:cs="Times New Roman"/>
          <w:sz w:val="24"/>
          <w:szCs w:val="24"/>
        </w:rPr>
        <w:t xml:space="preserve"> ca</w:t>
      </w:r>
      <w:r w:rsidR="00F70BB6" w:rsidRPr="00486B87">
        <w:rPr>
          <w:rFonts w:ascii="Times New Roman" w:hAnsi="Times New Roman" w:cs="Times New Roman"/>
          <w:sz w:val="24"/>
          <w:szCs w:val="24"/>
        </w:rPr>
        <w:t xml:space="preserve">se law from Bermuda. </w:t>
      </w:r>
    </w:p>
    <w:p w14:paraId="6248DD61" w14:textId="2061B78B" w:rsidR="0023100E" w:rsidRPr="00486B87" w:rsidRDefault="0023100E" w:rsidP="00174DA6">
      <w:pPr>
        <w:spacing w:line="480" w:lineRule="auto"/>
        <w:jc w:val="both"/>
        <w:rPr>
          <w:rFonts w:ascii="Times New Roman" w:hAnsi="Times New Roman" w:cs="Times New Roman"/>
          <w:sz w:val="24"/>
          <w:szCs w:val="24"/>
        </w:rPr>
      </w:pPr>
    </w:p>
    <w:p w14:paraId="0D776030" w14:textId="7416316C" w:rsidR="00751A49" w:rsidRPr="00486B87" w:rsidRDefault="0023100E" w:rsidP="00174DA6">
      <w:pPr>
        <w:spacing w:line="480" w:lineRule="auto"/>
        <w:jc w:val="both"/>
        <w:rPr>
          <w:rFonts w:ascii="Times New Roman" w:hAnsi="Times New Roman" w:cs="Times New Roman"/>
          <w:color w:val="000000"/>
          <w:sz w:val="24"/>
          <w:szCs w:val="24"/>
          <w:shd w:val="clear" w:color="auto" w:fill="FFFFFF"/>
        </w:rPr>
      </w:pPr>
      <w:r w:rsidRPr="00486B87">
        <w:rPr>
          <w:rFonts w:ascii="Times New Roman" w:hAnsi="Times New Roman" w:cs="Times New Roman"/>
          <w:sz w:val="24"/>
          <w:szCs w:val="24"/>
        </w:rPr>
        <w:t>In terms of the UK Supreme Courts demonstrable view</w:t>
      </w:r>
      <w:r w:rsidR="005359F4">
        <w:rPr>
          <w:rFonts w:ascii="Times New Roman" w:hAnsi="Times New Roman" w:cs="Times New Roman"/>
          <w:sz w:val="24"/>
          <w:szCs w:val="24"/>
        </w:rPr>
        <w:t>,</w:t>
      </w:r>
      <w:r w:rsidRPr="00486B87">
        <w:rPr>
          <w:rFonts w:ascii="Times New Roman" w:hAnsi="Times New Roman" w:cs="Times New Roman"/>
          <w:sz w:val="24"/>
          <w:szCs w:val="24"/>
        </w:rPr>
        <w:t xml:space="preserve"> however, </w:t>
      </w:r>
      <w:proofErr w:type="spellStart"/>
      <w:r w:rsidRPr="00486B87">
        <w:rPr>
          <w:rFonts w:ascii="Times New Roman" w:hAnsi="Times New Roman" w:cs="Times New Roman"/>
          <w:i/>
          <w:color w:val="000000"/>
          <w:sz w:val="24"/>
          <w:szCs w:val="24"/>
          <w:shd w:val="clear" w:color="auto" w:fill="FFFFFF"/>
        </w:rPr>
        <w:t>Steinfeld</w:t>
      </w:r>
      <w:proofErr w:type="spellEnd"/>
      <w:r w:rsidRPr="00486B87">
        <w:rPr>
          <w:rFonts w:ascii="Times New Roman" w:hAnsi="Times New Roman" w:cs="Times New Roman"/>
          <w:i/>
          <w:color w:val="000000"/>
          <w:sz w:val="24"/>
          <w:szCs w:val="24"/>
          <w:shd w:val="clear" w:color="auto" w:fill="FFFFFF"/>
        </w:rPr>
        <w:t xml:space="preserve"> and </w:t>
      </w:r>
      <w:proofErr w:type="spellStart"/>
      <w:r w:rsidRPr="00486B87">
        <w:rPr>
          <w:rFonts w:ascii="Times New Roman" w:hAnsi="Times New Roman" w:cs="Times New Roman"/>
          <w:i/>
          <w:color w:val="000000"/>
          <w:sz w:val="24"/>
          <w:szCs w:val="24"/>
          <w:shd w:val="clear" w:color="auto" w:fill="FFFFFF"/>
        </w:rPr>
        <w:t>Keidan</w:t>
      </w:r>
      <w:proofErr w:type="spellEnd"/>
      <w:r w:rsidRPr="00486B87">
        <w:rPr>
          <w:rFonts w:ascii="Times New Roman" w:hAnsi="Times New Roman" w:cs="Times New Roman"/>
          <w:color w:val="000000"/>
          <w:sz w:val="24"/>
          <w:szCs w:val="24"/>
          <w:shd w:val="clear" w:color="auto" w:fill="FFFFFF"/>
        </w:rPr>
        <w:t xml:space="preserve"> seems to be drawing on both the substantive conception of equality having a relation to the fairness of the law to all. This draws on three of Lord Bingham’s key principles in his theory </w:t>
      </w:r>
      <w:r w:rsidRPr="00486B87">
        <w:rPr>
          <w:rFonts w:ascii="Times New Roman" w:hAnsi="Times New Roman" w:cs="Times New Roman"/>
          <w:color w:val="000000"/>
          <w:sz w:val="24"/>
          <w:szCs w:val="24"/>
          <w:shd w:val="clear" w:color="auto" w:fill="FFFFFF"/>
        </w:rPr>
        <w:lastRenderedPageBreak/>
        <w:t xml:space="preserve">on the </w:t>
      </w:r>
      <w:r w:rsidR="001039EF">
        <w:rPr>
          <w:rFonts w:ascii="Times New Roman" w:hAnsi="Times New Roman" w:cs="Times New Roman"/>
          <w:color w:val="000000"/>
          <w:sz w:val="24"/>
          <w:szCs w:val="24"/>
          <w:shd w:val="clear" w:color="auto" w:fill="FFFFFF"/>
        </w:rPr>
        <w:t>R</w:t>
      </w:r>
      <w:r w:rsidRPr="00486B87">
        <w:rPr>
          <w:rFonts w:ascii="Times New Roman" w:hAnsi="Times New Roman" w:cs="Times New Roman"/>
          <w:color w:val="000000"/>
          <w:sz w:val="24"/>
          <w:szCs w:val="24"/>
          <w:shd w:val="clear" w:color="auto" w:fill="FFFFFF"/>
        </w:rPr>
        <w:t xml:space="preserve">ule of </w:t>
      </w:r>
      <w:r w:rsidR="001039EF">
        <w:rPr>
          <w:rFonts w:ascii="Times New Roman" w:hAnsi="Times New Roman" w:cs="Times New Roman"/>
          <w:color w:val="000000"/>
          <w:sz w:val="24"/>
          <w:szCs w:val="24"/>
          <w:shd w:val="clear" w:color="auto" w:fill="FFFFFF"/>
        </w:rPr>
        <w:t>L</w:t>
      </w:r>
      <w:r w:rsidRPr="00486B87">
        <w:rPr>
          <w:rFonts w:ascii="Times New Roman" w:hAnsi="Times New Roman" w:cs="Times New Roman"/>
          <w:color w:val="000000"/>
          <w:sz w:val="24"/>
          <w:szCs w:val="24"/>
          <w:shd w:val="clear" w:color="auto" w:fill="FFFFFF"/>
        </w:rPr>
        <w:t>aw. First that the law applies equally to all, this in itself is formalist as it passes no comment on the content of law and so laws could be discriminatory</w:t>
      </w:r>
      <w:r w:rsidRPr="00486B87">
        <w:rPr>
          <w:rStyle w:val="FootnoteReference"/>
          <w:rFonts w:ascii="Times New Roman" w:hAnsi="Times New Roman" w:cs="Times New Roman"/>
          <w:color w:val="000000"/>
          <w:sz w:val="24"/>
          <w:szCs w:val="24"/>
          <w:shd w:val="clear" w:color="auto" w:fill="FFFFFF"/>
        </w:rPr>
        <w:footnoteReference w:id="109"/>
      </w:r>
      <w:r w:rsidRPr="00486B87">
        <w:rPr>
          <w:rFonts w:ascii="Times New Roman" w:hAnsi="Times New Roman" w:cs="Times New Roman"/>
          <w:color w:val="000000"/>
          <w:sz w:val="24"/>
          <w:szCs w:val="24"/>
          <w:shd w:val="clear" w:color="auto" w:fill="FFFFFF"/>
        </w:rPr>
        <w:t>. Secondly</w:t>
      </w:r>
      <w:r w:rsidR="001039EF">
        <w:rPr>
          <w:rFonts w:ascii="Times New Roman" w:hAnsi="Times New Roman" w:cs="Times New Roman"/>
          <w:color w:val="000000"/>
          <w:sz w:val="24"/>
          <w:szCs w:val="24"/>
          <w:shd w:val="clear" w:color="auto" w:fill="FFFFFF"/>
        </w:rPr>
        <w:t>,</w:t>
      </w:r>
      <w:r w:rsidRPr="00486B87">
        <w:rPr>
          <w:rFonts w:ascii="Times New Roman" w:hAnsi="Times New Roman" w:cs="Times New Roman"/>
          <w:color w:val="000000"/>
          <w:sz w:val="24"/>
          <w:szCs w:val="24"/>
          <w:shd w:val="clear" w:color="auto" w:fill="FFFFFF"/>
        </w:rPr>
        <w:t xml:space="preserve"> however, that the courts must protect fundamental human rights, and thirdly</w:t>
      </w:r>
      <w:r w:rsidR="001039EF">
        <w:rPr>
          <w:rFonts w:ascii="Times New Roman" w:hAnsi="Times New Roman" w:cs="Times New Roman"/>
          <w:color w:val="000000"/>
          <w:sz w:val="24"/>
          <w:szCs w:val="24"/>
          <w:shd w:val="clear" w:color="auto" w:fill="FFFFFF"/>
        </w:rPr>
        <w:t>,</w:t>
      </w:r>
      <w:r w:rsidRPr="00486B87">
        <w:rPr>
          <w:rFonts w:ascii="Times New Roman" w:hAnsi="Times New Roman" w:cs="Times New Roman"/>
          <w:color w:val="000000"/>
          <w:sz w:val="24"/>
          <w:szCs w:val="24"/>
          <w:shd w:val="clear" w:color="auto" w:fill="FFFFFF"/>
        </w:rPr>
        <w:t xml:space="preserve"> that the courts must act fairly when deciding cases.</w:t>
      </w:r>
      <w:r w:rsidR="00751A49" w:rsidRPr="00486B87">
        <w:rPr>
          <w:rFonts w:ascii="Times New Roman" w:hAnsi="Times New Roman" w:cs="Times New Roman"/>
          <w:color w:val="000000"/>
          <w:sz w:val="24"/>
          <w:szCs w:val="24"/>
          <w:shd w:val="clear" w:color="auto" w:fill="FFFFFF"/>
        </w:rPr>
        <w:t xml:space="preserve"> The courts have already demonstrated, not least in </w:t>
      </w:r>
      <w:proofErr w:type="spellStart"/>
      <w:r w:rsidR="00751A49" w:rsidRPr="00486B87">
        <w:rPr>
          <w:rFonts w:ascii="Times New Roman" w:hAnsi="Times New Roman" w:cs="Times New Roman"/>
          <w:i/>
          <w:color w:val="000000"/>
          <w:sz w:val="24"/>
          <w:szCs w:val="24"/>
          <w:shd w:val="clear" w:color="auto" w:fill="FFFFFF"/>
        </w:rPr>
        <w:t>Steinfeld</w:t>
      </w:r>
      <w:proofErr w:type="spellEnd"/>
      <w:r w:rsidR="00751A49" w:rsidRPr="00486B87">
        <w:rPr>
          <w:rFonts w:ascii="Times New Roman" w:hAnsi="Times New Roman" w:cs="Times New Roman"/>
          <w:i/>
          <w:color w:val="000000"/>
          <w:sz w:val="24"/>
          <w:szCs w:val="24"/>
          <w:shd w:val="clear" w:color="auto" w:fill="FFFFFF"/>
        </w:rPr>
        <w:t xml:space="preserve"> and </w:t>
      </w:r>
      <w:proofErr w:type="spellStart"/>
      <w:r w:rsidR="00751A49" w:rsidRPr="00486B87">
        <w:rPr>
          <w:rFonts w:ascii="Times New Roman" w:hAnsi="Times New Roman" w:cs="Times New Roman"/>
          <w:i/>
          <w:color w:val="000000"/>
          <w:sz w:val="24"/>
          <w:szCs w:val="24"/>
          <w:shd w:val="clear" w:color="auto" w:fill="FFFFFF"/>
        </w:rPr>
        <w:t>Keidan</w:t>
      </w:r>
      <w:proofErr w:type="spellEnd"/>
      <w:r w:rsidR="00751A49" w:rsidRPr="00486B87">
        <w:rPr>
          <w:rFonts w:ascii="Times New Roman" w:hAnsi="Times New Roman" w:cs="Times New Roman"/>
          <w:i/>
          <w:color w:val="000000"/>
          <w:sz w:val="24"/>
          <w:szCs w:val="24"/>
          <w:shd w:val="clear" w:color="auto" w:fill="FFFFFF"/>
        </w:rPr>
        <w:t xml:space="preserve">, </w:t>
      </w:r>
      <w:r w:rsidR="00751A49" w:rsidRPr="00486B87">
        <w:rPr>
          <w:rFonts w:ascii="Times New Roman" w:hAnsi="Times New Roman" w:cs="Times New Roman"/>
          <w:color w:val="000000"/>
          <w:sz w:val="24"/>
          <w:szCs w:val="24"/>
          <w:shd w:val="clear" w:color="auto" w:fill="FFFFFF"/>
        </w:rPr>
        <w:t xml:space="preserve">that forming a legal relationship is a matter which is relevant to the right to a private and family life protected under art.8. It has also demonstrated that treating people differently on the basis of their sexual-orientation is discriminatory and contrary to both art.8 and </w:t>
      </w:r>
      <w:r w:rsidR="00552548">
        <w:rPr>
          <w:rFonts w:ascii="Times New Roman" w:hAnsi="Times New Roman" w:cs="Times New Roman"/>
          <w:color w:val="000000"/>
          <w:sz w:val="24"/>
          <w:szCs w:val="24"/>
          <w:shd w:val="clear" w:color="auto" w:fill="FFFFFF"/>
        </w:rPr>
        <w:t>art.</w:t>
      </w:r>
      <w:r w:rsidR="00751A49" w:rsidRPr="00486B87">
        <w:rPr>
          <w:rFonts w:ascii="Times New Roman" w:hAnsi="Times New Roman" w:cs="Times New Roman"/>
          <w:color w:val="000000"/>
          <w:sz w:val="24"/>
          <w:szCs w:val="24"/>
          <w:shd w:val="clear" w:color="auto" w:fill="FFFFFF"/>
        </w:rPr>
        <w:t>14. Coupling this together</w:t>
      </w:r>
      <w:r w:rsidR="00B57658">
        <w:rPr>
          <w:rFonts w:ascii="Times New Roman" w:hAnsi="Times New Roman" w:cs="Times New Roman"/>
          <w:color w:val="000000"/>
          <w:sz w:val="24"/>
          <w:szCs w:val="24"/>
          <w:shd w:val="clear" w:color="auto" w:fill="FFFFFF"/>
        </w:rPr>
        <w:t>,</w:t>
      </w:r>
      <w:r w:rsidR="00751A49" w:rsidRPr="00486B87">
        <w:rPr>
          <w:rFonts w:ascii="Times New Roman" w:hAnsi="Times New Roman" w:cs="Times New Roman"/>
          <w:color w:val="000000"/>
          <w:sz w:val="24"/>
          <w:szCs w:val="24"/>
          <w:shd w:val="clear" w:color="auto" w:fill="FFFFFF"/>
        </w:rPr>
        <w:t xml:space="preserve"> then the UK Supreme Courts seems to have decided matters relatively consistently with the Bermudian Supreme Court, even if the reasoning behind the eventual decision were different. The courts are clearly utilising that distinctly substantive idea of fairness when looking at who should be entitle</w:t>
      </w:r>
      <w:r w:rsidR="00B57658">
        <w:rPr>
          <w:rFonts w:ascii="Times New Roman" w:hAnsi="Times New Roman" w:cs="Times New Roman"/>
          <w:color w:val="000000"/>
          <w:sz w:val="24"/>
          <w:szCs w:val="24"/>
          <w:shd w:val="clear" w:color="auto" w:fill="FFFFFF"/>
        </w:rPr>
        <w:t>d</w:t>
      </w:r>
      <w:r w:rsidR="00751A49" w:rsidRPr="00486B87">
        <w:rPr>
          <w:rFonts w:ascii="Times New Roman" w:hAnsi="Times New Roman" w:cs="Times New Roman"/>
          <w:color w:val="000000"/>
          <w:sz w:val="24"/>
          <w:szCs w:val="24"/>
          <w:shd w:val="clear" w:color="auto" w:fill="FFFFFF"/>
        </w:rPr>
        <w:t xml:space="preserve"> to marry and form civil partnerships </w:t>
      </w:r>
      <w:r w:rsidR="000136BA" w:rsidRPr="00486B87">
        <w:rPr>
          <w:rFonts w:ascii="Times New Roman" w:hAnsi="Times New Roman" w:cs="Times New Roman"/>
          <w:color w:val="000000"/>
          <w:sz w:val="24"/>
          <w:szCs w:val="24"/>
          <w:shd w:val="clear" w:color="auto" w:fill="FFFFFF"/>
        </w:rPr>
        <w:t xml:space="preserve">and adopting a broad understanding of equality. Differences in reasoning demonstrate that Bermuda has its distinct jurisprudence, the fact that both the UK Supreme Court and the Supreme Court of Bermuda came to similar conclusions in relation to marriage in Bermuda and civil partnership in </w:t>
      </w:r>
      <w:r w:rsidR="00D443FE" w:rsidRPr="00486B87">
        <w:rPr>
          <w:rFonts w:ascii="Times New Roman" w:hAnsi="Times New Roman" w:cs="Times New Roman"/>
          <w:color w:val="000000"/>
          <w:sz w:val="24"/>
          <w:szCs w:val="24"/>
          <w:shd w:val="clear" w:color="auto" w:fill="FFFFFF"/>
        </w:rPr>
        <w:t>the UK demonstrates that</w:t>
      </w:r>
      <w:r w:rsidR="00BD3946">
        <w:rPr>
          <w:rFonts w:ascii="Times New Roman" w:hAnsi="Times New Roman" w:cs="Times New Roman"/>
          <w:color w:val="000000"/>
          <w:sz w:val="24"/>
          <w:szCs w:val="24"/>
          <w:shd w:val="clear" w:color="auto" w:fill="FFFFFF"/>
        </w:rPr>
        <w:t>,</w:t>
      </w:r>
      <w:r w:rsidR="00D443FE" w:rsidRPr="00486B87">
        <w:rPr>
          <w:rFonts w:ascii="Times New Roman" w:hAnsi="Times New Roman" w:cs="Times New Roman"/>
          <w:color w:val="000000"/>
          <w:sz w:val="24"/>
          <w:szCs w:val="24"/>
          <w:shd w:val="clear" w:color="auto" w:fill="FFFFFF"/>
        </w:rPr>
        <w:t xml:space="preserve"> despite those differences in jurisprudence, there is a common acknowledgment of equality and fairness that permeates the jurisdictional divide. </w:t>
      </w:r>
    </w:p>
    <w:p w14:paraId="3E4B0D8B" w14:textId="1AF9C4B5" w:rsidR="0040582F" w:rsidRPr="00486B87" w:rsidRDefault="0040582F" w:rsidP="00174DA6">
      <w:pPr>
        <w:spacing w:line="480" w:lineRule="auto"/>
        <w:jc w:val="both"/>
        <w:rPr>
          <w:rFonts w:ascii="Times New Roman" w:hAnsi="Times New Roman" w:cs="Times New Roman"/>
          <w:sz w:val="24"/>
          <w:szCs w:val="24"/>
        </w:rPr>
      </w:pPr>
      <w:r w:rsidRPr="00486B87">
        <w:rPr>
          <w:rFonts w:ascii="Times New Roman" w:hAnsi="Times New Roman" w:cs="Times New Roman"/>
          <w:sz w:val="24"/>
          <w:szCs w:val="24"/>
        </w:rPr>
        <w:t xml:space="preserve"> </w:t>
      </w:r>
    </w:p>
    <w:p w14:paraId="5870F775" w14:textId="3726F325" w:rsidR="0067111D" w:rsidRPr="00486B87" w:rsidRDefault="0067111D" w:rsidP="006C251E">
      <w:pPr>
        <w:spacing w:line="480" w:lineRule="auto"/>
        <w:jc w:val="both"/>
        <w:outlineLvl w:val="0"/>
        <w:rPr>
          <w:rFonts w:ascii="Times New Roman" w:hAnsi="Times New Roman" w:cs="Times New Roman"/>
          <w:sz w:val="24"/>
          <w:szCs w:val="24"/>
          <w:u w:val="single"/>
        </w:rPr>
      </w:pPr>
      <w:r w:rsidRPr="00486B87">
        <w:rPr>
          <w:rFonts w:ascii="Times New Roman" w:hAnsi="Times New Roman" w:cs="Times New Roman"/>
          <w:sz w:val="24"/>
          <w:szCs w:val="24"/>
          <w:u w:val="single"/>
        </w:rPr>
        <w:t>Conclusion</w:t>
      </w:r>
    </w:p>
    <w:p w14:paraId="74CFA335" w14:textId="1EF9D5FF" w:rsidR="00CF4A7E" w:rsidRPr="00486B87" w:rsidRDefault="00490AA5" w:rsidP="00174DA6">
      <w:pPr>
        <w:spacing w:line="480" w:lineRule="auto"/>
        <w:jc w:val="both"/>
        <w:rPr>
          <w:rFonts w:ascii="Times New Roman" w:hAnsi="Times New Roman" w:cs="Times New Roman"/>
          <w:sz w:val="24"/>
          <w:szCs w:val="24"/>
        </w:rPr>
      </w:pPr>
      <w:r w:rsidRPr="00486B87">
        <w:rPr>
          <w:rFonts w:ascii="Times New Roman" w:hAnsi="Times New Roman" w:cs="Times New Roman"/>
          <w:sz w:val="24"/>
          <w:szCs w:val="24"/>
        </w:rPr>
        <w:t>The strong statement of intent included in the DPA</w:t>
      </w:r>
      <w:r w:rsidR="0018425F" w:rsidRPr="00486B87">
        <w:rPr>
          <w:rFonts w:ascii="Times New Roman" w:hAnsi="Times New Roman" w:cs="Times New Roman"/>
          <w:sz w:val="24"/>
          <w:szCs w:val="24"/>
        </w:rPr>
        <w:t xml:space="preserve"> does lead one to wonder whether the A</w:t>
      </w:r>
      <w:r w:rsidRPr="00486B87">
        <w:rPr>
          <w:rFonts w:ascii="Times New Roman" w:hAnsi="Times New Roman" w:cs="Times New Roman"/>
          <w:sz w:val="24"/>
          <w:szCs w:val="24"/>
        </w:rPr>
        <w:t>ct</w:t>
      </w:r>
      <w:r w:rsidR="0018425F" w:rsidRPr="00486B87">
        <w:rPr>
          <w:rFonts w:ascii="Times New Roman" w:hAnsi="Times New Roman" w:cs="Times New Roman"/>
          <w:sz w:val="24"/>
          <w:szCs w:val="24"/>
        </w:rPr>
        <w:t xml:space="preserve"> has been a knee-jerk reaction to a move by the Supreme Court of Bermuda to apply the HRA in a liberal fashion.</w:t>
      </w:r>
      <w:r w:rsidR="0067111D" w:rsidRPr="00486B87">
        <w:rPr>
          <w:rFonts w:ascii="Times New Roman" w:hAnsi="Times New Roman" w:cs="Times New Roman"/>
          <w:sz w:val="24"/>
          <w:szCs w:val="24"/>
        </w:rPr>
        <w:t xml:space="preserve"> Whether this matter warrants a knee-jerk legislative response will partly depend on whether one sees merit in the arguments for or against same-sex marriage. </w:t>
      </w:r>
      <w:r w:rsidR="0067111D" w:rsidRPr="00486B87">
        <w:rPr>
          <w:rFonts w:ascii="Times New Roman" w:hAnsi="Times New Roman" w:cs="Times New Roman"/>
          <w:sz w:val="24"/>
          <w:szCs w:val="24"/>
        </w:rPr>
        <w:lastRenderedPageBreak/>
        <w:t xml:space="preserve">Notwithstanding this point, legislating on </w:t>
      </w:r>
      <w:r w:rsidR="00D105F4" w:rsidRPr="00486B87">
        <w:rPr>
          <w:rFonts w:ascii="Times New Roman" w:hAnsi="Times New Roman" w:cs="Times New Roman"/>
          <w:sz w:val="24"/>
          <w:szCs w:val="24"/>
        </w:rPr>
        <w:t xml:space="preserve">equality and enshrining in legislation a form of discrimination seems, </w:t>
      </w:r>
      <w:r w:rsidR="00D105F4" w:rsidRPr="00486B87">
        <w:rPr>
          <w:rFonts w:ascii="Times New Roman" w:hAnsi="Times New Roman" w:cs="Times New Roman"/>
          <w:i/>
          <w:sz w:val="24"/>
          <w:szCs w:val="24"/>
        </w:rPr>
        <w:t>prima facie</w:t>
      </w:r>
      <w:r w:rsidR="00D105F4" w:rsidRPr="00486B87">
        <w:rPr>
          <w:rFonts w:ascii="Times New Roman" w:hAnsi="Times New Roman" w:cs="Times New Roman"/>
          <w:sz w:val="24"/>
          <w:szCs w:val="24"/>
        </w:rPr>
        <w:t xml:space="preserve">, contrary to the ethos of the Bermudian </w:t>
      </w:r>
      <w:r w:rsidR="001E1A0A" w:rsidRPr="00486B87">
        <w:rPr>
          <w:rFonts w:ascii="Times New Roman" w:hAnsi="Times New Roman" w:cs="Times New Roman"/>
          <w:sz w:val="24"/>
          <w:szCs w:val="24"/>
        </w:rPr>
        <w:t>C</w:t>
      </w:r>
      <w:r w:rsidR="00D105F4" w:rsidRPr="00486B87">
        <w:rPr>
          <w:rFonts w:ascii="Times New Roman" w:hAnsi="Times New Roman" w:cs="Times New Roman"/>
          <w:sz w:val="24"/>
          <w:szCs w:val="24"/>
        </w:rPr>
        <w:t xml:space="preserve">onstitution and its HRA. </w:t>
      </w:r>
      <w:r w:rsidR="00552548">
        <w:rPr>
          <w:rFonts w:ascii="Times New Roman" w:hAnsi="Times New Roman" w:cs="Times New Roman"/>
          <w:sz w:val="24"/>
          <w:szCs w:val="24"/>
        </w:rPr>
        <w:t>P</w:t>
      </w:r>
      <w:r w:rsidR="00D105F4" w:rsidRPr="00486B87">
        <w:rPr>
          <w:rFonts w:ascii="Times New Roman" w:hAnsi="Times New Roman" w:cs="Times New Roman"/>
          <w:sz w:val="24"/>
          <w:szCs w:val="24"/>
        </w:rPr>
        <w:t>ermitting an Act to treat people less-favourably as a result of their sexuality is intrinsically discriminatory. Sex</w:t>
      </w:r>
      <w:r w:rsidR="00585975" w:rsidRPr="00486B87">
        <w:rPr>
          <w:rFonts w:ascii="Times New Roman" w:hAnsi="Times New Roman" w:cs="Times New Roman"/>
          <w:sz w:val="24"/>
          <w:szCs w:val="24"/>
        </w:rPr>
        <w:t>ual</w:t>
      </w:r>
      <w:r w:rsidR="00D105F4" w:rsidRPr="00486B87">
        <w:rPr>
          <w:rFonts w:ascii="Times New Roman" w:hAnsi="Times New Roman" w:cs="Times New Roman"/>
          <w:sz w:val="24"/>
          <w:szCs w:val="24"/>
        </w:rPr>
        <w:t xml:space="preserve"> orientation and same-sex marriage are </w:t>
      </w:r>
      <w:r w:rsidR="007B17B3" w:rsidRPr="00486B87">
        <w:rPr>
          <w:rFonts w:ascii="Times New Roman" w:hAnsi="Times New Roman" w:cs="Times New Roman"/>
          <w:sz w:val="24"/>
          <w:szCs w:val="24"/>
        </w:rPr>
        <w:t>fundamentally</w:t>
      </w:r>
      <w:r w:rsidR="00D105F4" w:rsidRPr="00486B87">
        <w:rPr>
          <w:rFonts w:ascii="Times New Roman" w:hAnsi="Times New Roman" w:cs="Times New Roman"/>
          <w:sz w:val="24"/>
          <w:szCs w:val="24"/>
        </w:rPr>
        <w:t xml:space="preserve"> linked</w:t>
      </w:r>
      <w:r w:rsidR="00585975" w:rsidRPr="00486B87">
        <w:rPr>
          <w:rFonts w:ascii="Times New Roman" w:hAnsi="Times New Roman" w:cs="Times New Roman"/>
          <w:sz w:val="24"/>
          <w:szCs w:val="24"/>
        </w:rPr>
        <w:t xml:space="preserve"> by their definition</w:t>
      </w:r>
      <w:r w:rsidR="00CF7D2D" w:rsidRPr="00486B87">
        <w:rPr>
          <w:rStyle w:val="FootnoteReference"/>
          <w:rFonts w:ascii="Times New Roman" w:hAnsi="Times New Roman" w:cs="Times New Roman"/>
          <w:sz w:val="24"/>
          <w:szCs w:val="24"/>
        </w:rPr>
        <w:footnoteReference w:id="110"/>
      </w:r>
      <w:r w:rsidR="00585975" w:rsidRPr="00486B87">
        <w:rPr>
          <w:rFonts w:ascii="Times New Roman" w:hAnsi="Times New Roman" w:cs="Times New Roman"/>
          <w:sz w:val="24"/>
          <w:szCs w:val="24"/>
        </w:rPr>
        <w:t>. Therefore, to argue that discrimination should be sanctioned against same-sex couples wanting to marry, and not sanctioned against a person’s sexual orientation is illogical</w:t>
      </w:r>
      <w:r w:rsidR="007B17B3" w:rsidRPr="00486B87">
        <w:rPr>
          <w:rFonts w:ascii="Times New Roman" w:hAnsi="Times New Roman" w:cs="Times New Roman"/>
          <w:sz w:val="24"/>
          <w:szCs w:val="24"/>
        </w:rPr>
        <w:t>,</w:t>
      </w:r>
      <w:r w:rsidR="00585975" w:rsidRPr="00486B87">
        <w:rPr>
          <w:rFonts w:ascii="Times New Roman" w:hAnsi="Times New Roman" w:cs="Times New Roman"/>
          <w:sz w:val="24"/>
          <w:szCs w:val="24"/>
        </w:rPr>
        <w:t xml:space="preserve"> as same-sex marriage is </w:t>
      </w:r>
      <w:r w:rsidR="007B17B3" w:rsidRPr="00486B87">
        <w:rPr>
          <w:rFonts w:ascii="Times New Roman" w:hAnsi="Times New Roman" w:cs="Times New Roman"/>
          <w:sz w:val="24"/>
          <w:szCs w:val="24"/>
        </w:rPr>
        <w:t>by definition reliant on</w:t>
      </w:r>
      <w:r w:rsidR="00F9375D" w:rsidRPr="00486B87">
        <w:rPr>
          <w:rFonts w:ascii="Times New Roman" w:hAnsi="Times New Roman" w:cs="Times New Roman"/>
          <w:sz w:val="24"/>
          <w:szCs w:val="24"/>
        </w:rPr>
        <w:t xml:space="preserve"> those parties of the same </w:t>
      </w:r>
      <w:r w:rsidR="00585975" w:rsidRPr="00486B87">
        <w:rPr>
          <w:rFonts w:ascii="Times New Roman" w:hAnsi="Times New Roman" w:cs="Times New Roman"/>
          <w:sz w:val="24"/>
          <w:szCs w:val="24"/>
        </w:rPr>
        <w:t xml:space="preserve">sex wishing to marry. </w:t>
      </w:r>
      <w:r w:rsidR="006B7906" w:rsidRPr="00486B87">
        <w:rPr>
          <w:rFonts w:ascii="Times New Roman" w:hAnsi="Times New Roman" w:cs="Times New Roman"/>
          <w:sz w:val="24"/>
          <w:szCs w:val="24"/>
        </w:rPr>
        <w:t>It is concluded that there is a strong argument for</w:t>
      </w:r>
      <w:r w:rsidR="00585975" w:rsidRPr="00486B87">
        <w:rPr>
          <w:rFonts w:ascii="Times New Roman" w:hAnsi="Times New Roman" w:cs="Times New Roman"/>
          <w:sz w:val="24"/>
          <w:szCs w:val="24"/>
        </w:rPr>
        <w:t xml:space="preserve"> declaring that same-sex marriage should persist in Bermuda by drawing the </w:t>
      </w:r>
      <w:r w:rsidR="006B7906" w:rsidRPr="00486B87">
        <w:rPr>
          <w:rFonts w:ascii="Times New Roman" w:hAnsi="Times New Roman" w:cs="Times New Roman"/>
          <w:sz w:val="24"/>
          <w:szCs w:val="24"/>
        </w:rPr>
        <w:t>inference</w:t>
      </w:r>
      <w:r w:rsidR="00585975" w:rsidRPr="00486B87">
        <w:rPr>
          <w:rFonts w:ascii="Times New Roman" w:hAnsi="Times New Roman" w:cs="Times New Roman"/>
          <w:sz w:val="24"/>
          <w:szCs w:val="24"/>
        </w:rPr>
        <w:t xml:space="preserve"> that the DPA is inconsistent with the objectives of the Bermudian </w:t>
      </w:r>
      <w:r w:rsidR="00CF4A7E" w:rsidRPr="00486B87">
        <w:rPr>
          <w:rFonts w:ascii="Times New Roman" w:hAnsi="Times New Roman" w:cs="Times New Roman"/>
          <w:sz w:val="24"/>
          <w:szCs w:val="24"/>
        </w:rPr>
        <w:t>HRA insofar as</w:t>
      </w:r>
      <w:r w:rsidR="006B7906" w:rsidRPr="00486B87">
        <w:rPr>
          <w:rFonts w:ascii="Times New Roman" w:hAnsi="Times New Roman" w:cs="Times New Roman"/>
          <w:sz w:val="24"/>
          <w:szCs w:val="24"/>
        </w:rPr>
        <w:t xml:space="preserve"> it aims to treat same-sex couples less favourably than opposite-sex couples. </w:t>
      </w:r>
      <w:r w:rsidR="00E50CF2">
        <w:rPr>
          <w:rFonts w:ascii="Times New Roman" w:hAnsi="Times New Roman" w:cs="Times New Roman"/>
          <w:sz w:val="24"/>
          <w:szCs w:val="24"/>
        </w:rPr>
        <w:t xml:space="preserve">A further argument is </w:t>
      </w:r>
      <w:r w:rsidR="00585975" w:rsidRPr="00486B87">
        <w:rPr>
          <w:rFonts w:ascii="Times New Roman" w:hAnsi="Times New Roman" w:cs="Times New Roman"/>
          <w:sz w:val="24"/>
          <w:szCs w:val="24"/>
        </w:rPr>
        <w:t xml:space="preserve">that the HRA’s </w:t>
      </w:r>
      <w:r w:rsidR="003757AE" w:rsidRPr="00486B87">
        <w:rPr>
          <w:rFonts w:ascii="Times New Roman" w:hAnsi="Times New Roman" w:cs="Times New Roman"/>
          <w:sz w:val="24"/>
          <w:szCs w:val="24"/>
        </w:rPr>
        <w:t>quasi-</w:t>
      </w:r>
      <w:r w:rsidR="00585975" w:rsidRPr="00486B87">
        <w:rPr>
          <w:rFonts w:ascii="Times New Roman" w:hAnsi="Times New Roman" w:cs="Times New Roman"/>
          <w:sz w:val="24"/>
          <w:szCs w:val="24"/>
        </w:rPr>
        <w:t xml:space="preserve">constitutional status </w:t>
      </w:r>
      <w:r w:rsidR="006B7906" w:rsidRPr="00486B87">
        <w:rPr>
          <w:rFonts w:ascii="Times New Roman" w:hAnsi="Times New Roman" w:cs="Times New Roman"/>
          <w:sz w:val="24"/>
          <w:szCs w:val="24"/>
        </w:rPr>
        <w:t xml:space="preserve">gives rights which cannot easily be taken away </w:t>
      </w:r>
      <w:r w:rsidR="00CF4A7E" w:rsidRPr="00486B87">
        <w:rPr>
          <w:rFonts w:ascii="Times New Roman" w:hAnsi="Times New Roman" w:cs="Times New Roman"/>
          <w:sz w:val="24"/>
          <w:szCs w:val="24"/>
        </w:rPr>
        <w:t>by ordinary law</w:t>
      </w:r>
      <w:r w:rsidR="00552548">
        <w:rPr>
          <w:rFonts w:ascii="Times New Roman" w:hAnsi="Times New Roman" w:cs="Times New Roman"/>
          <w:sz w:val="24"/>
          <w:szCs w:val="24"/>
        </w:rPr>
        <w:t xml:space="preserve"> in support of both the living tree doctrine and the statement mentioned above in </w:t>
      </w:r>
      <w:r w:rsidR="00552548">
        <w:rPr>
          <w:rFonts w:ascii="Times New Roman" w:hAnsi="Times New Roman" w:cs="Times New Roman"/>
          <w:i/>
          <w:sz w:val="24"/>
          <w:szCs w:val="24"/>
        </w:rPr>
        <w:t xml:space="preserve">Blackburn. </w:t>
      </w:r>
    </w:p>
    <w:p w14:paraId="2DBB3838" w14:textId="77777777" w:rsidR="00CF4A7E" w:rsidRPr="00486B87" w:rsidRDefault="00CF4A7E" w:rsidP="00174DA6">
      <w:pPr>
        <w:spacing w:line="480" w:lineRule="auto"/>
        <w:jc w:val="both"/>
        <w:rPr>
          <w:rFonts w:ascii="Times New Roman" w:hAnsi="Times New Roman" w:cs="Times New Roman"/>
          <w:sz w:val="24"/>
          <w:szCs w:val="24"/>
        </w:rPr>
      </w:pPr>
    </w:p>
    <w:p w14:paraId="38533748" w14:textId="5A7DBFAD" w:rsidR="00E44E81" w:rsidRPr="00486B87" w:rsidRDefault="008201ED" w:rsidP="00174DA6">
      <w:pPr>
        <w:spacing w:line="480" w:lineRule="auto"/>
        <w:jc w:val="both"/>
        <w:rPr>
          <w:rFonts w:ascii="Times New Roman" w:hAnsi="Times New Roman" w:cs="Times New Roman"/>
          <w:sz w:val="24"/>
          <w:szCs w:val="24"/>
        </w:rPr>
      </w:pPr>
      <w:r w:rsidRPr="00486B87">
        <w:rPr>
          <w:rFonts w:ascii="Times New Roman" w:hAnsi="Times New Roman" w:cs="Times New Roman"/>
          <w:sz w:val="24"/>
          <w:szCs w:val="24"/>
        </w:rPr>
        <w:t>What will be the approach taken by the Bermud</w:t>
      </w:r>
      <w:r w:rsidR="00E23A22">
        <w:rPr>
          <w:rFonts w:ascii="Times New Roman" w:hAnsi="Times New Roman" w:cs="Times New Roman"/>
          <w:sz w:val="24"/>
          <w:szCs w:val="24"/>
        </w:rPr>
        <w:t>ian</w:t>
      </w:r>
      <w:r w:rsidRPr="00486B87">
        <w:rPr>
          <w:rFonts w:ascii="Times New Roman" w:hAnsi="Times New Roman" w:cs="Times New Roman"/>
          <w:sz w:val="24"/>
          <w:szCs w:val="24"/>
        </w:rPr>
        <w:t xml:space="preserve"> </w:t>
      </w:r>
      <w:r w:rsidR="00552548">
        <w:rPr>
          <w:rFonts w:ascii="Times New Roman" w:hAnsi="Times New Roman" w:cs="Times New Roman"/>
          <w:sz w:val="24"/>
          <w:szCs w:val="24"/>
        </w:rPr>
        <w:t>Court of Appeal should it grant permission to appeal</w:t>
      </w:r>
      <w:r w:rsidR="00CF0B9D" w:rsidRPr="00486B87">
        <w:rPr>
          <w:rFonts w:ascii="Times New Roman" w:hAnsi="Times New Roman" w:cs="Times New Roman"/>
          <w:sz w:val="24"/>
          <w:szCs w:val="24"/>
        </w:rPr>
        <w:t>,</w:t>
      </w:r>
      <w:r w:rsidRPr="00486B87">
        <w:rPr>
          <w:rFonts w:ascii="Times New Roman" w:hAnsi="Times New Roman" w:cs="Times New Roman"/>
          <w:sz w:val="24"/>
          <w:szCs w:val="24"/>
        </w:rPr>
        <w:t xml:space="preserve"> </w:t>
      </w:r>
      <w:r w:rsidR="008E6C42" w:rsidRPr="00486B87">
        <w:rPr>
          <w:rFonts w:ascii="Times New Roman" w:hAnsi="Times New Roman" w:cs="Times New Roman"/>
          <w:sz w:val="24"/>
          <w:szCs w:val="24"/>
        </w:rPr>
        <w:t>considering</w:t>
      </w:r>
      <w:r w:rsidRPr="00486B87">
        <w:rPr>
          <w:rFonts w:ascii="Times New Roman" w:hAnsi="Times New Roman" w:cs="Times New Roman"/>
          <w:sz w:val="24"/>
          <w:szCs w:val="24"/>
        </w:rPr>
        <w:t xml:space="preserve"> tensions between the opinions of a proportion of their </w:t>
      </w:r>
      <w:r w:rsidR="00CD57C9" w:rsidRPr="00486B87">
        <w:rPr>
          <w:rFonts w:ascii="Times New Roman" w:hAnsi="Times New Roman" w:cs="Times New Roman"/>
          <w:sz w:val="24"/>
          <w:szCs w:val="24"/>
        </w:rPr>
        <w:t>residents and the UK’s approach?</w:t>
      </w:r>
      <w:r w:rsidRPr="00486B87">
        <w:rPr>
          <w:rFonts w:ascii="Times New Roman" w:hAnsi="Times New Roman" w:cs="Times New Roman"/>
          <w:sz w:val="24"/>
          <w:szCs w:val="24"/>
        </w:rPr>
        <w:t xml:space="preserve"> The UK supports same-sex </w:t>
      </w:r>
      <w:r w:rsidRPr="00486B87">
        <w:rPr>
          <w:rFonts w:ascii="Times New Roman" w:hAnsi="Times New Roman" w:cs="Times New Roman"/>
          <w:color w:val="000000" w:themeColor="text1"/>
          <w:sz w:val="24"/>
          <w:szCs w:val="24"/>
        </w:rPr>
        <w:t>marriage, the European Court of Human Rights has considered same-sex marriage extensively</w:t>
      </w:r>
      <w:r w:rsidRPr="00486B87">
        <w:rPr>
          <w:rStyle w:val="FootnoteReference"/>
          <w:rFonts w:ascii="Times New Roman" w:hAnsi="Times New Roman" w:cs="Times New Roman"/>
          <w:color w:val="000000" w:themeColor="text1"/>
          <w:sz w:val="24"/>
          <w:szCs w:val="24"/>
        </w:rPr>
        <w:footnoteReference w:id="111"/>
      </w:r>
      <w:r w:rsidR="00CD57C9" w:rsidRPr="00486B87">
        <w:rPr>
          <w:rFonts w:ascii="Times New Roman" w:hAnsi="Times New Roman" w:cs="Times New Roman"/>
          <w:color w:val="000000" w:themeColor="text1"/>
          <w:sz w:val="24"/>
          <w:szCs w:val="24"/>
        </w:rPr>
        <w:t>,</w:t>
      </w:r>
      <w:r w:rsidRPr="00486B87">
        <w:rPr>
          <w:rFonts w:ascii="Times New Roman" w:hAnsi="Times New Roman" w:cs="Times New Roman"/>
          <w:color w:val="000000" w:themeColor="text1"/>
          <w:sz w:val="24"/>
          <w:szCs w:val="24"/>
        </w:rPr>
        <w:t xml:space="preserve"> and whether </w:t>
      </w:r>
      <w:r w:rsidR="00CD57C9" w:rsidRPr="00486B87">
        <w:rPr>
          <w:rFonts w:ascii="Times New Roman" w:hAnsi="Times New Roman" w:cs="Times New Roman"/>
          <w:color w:val="000000" w:themeColor="text1"/>
          <w:sz w:val="24"/>
          <w:szCs w:val="24"/>
        </w:rPr>
        <w:t xml:space="preserve">either of these </w:t>
      </w:r>
      <w:r w:rsidRPr="00486B87">
        <w:rPr>
          <w:rFonts w:ascii="Times New Roman" w:hAnsi="Times New Roman" w:cs="Times New Roman"/>
          <w:sz w:val="24"/>
          <w:szCs w:val="24"/>
        </w:rPr>
        <w:t xml:space="preserve">would trickle into the judgment of the </w:t>
      </w:r>
      <w:r w:rsidR="00E23A22">
        <w:rPr>
          <w:rFonts w:ascii="Times New Roman" w:hAnsi="Times New Roman" w:cs="Times New Roman"/>
          <w:sz w:val="24"/>
          <w:szCs w:val="24"/>
        </w:rPr>
        <w:t>Bermudian Court of Appeal</w:t>
      </w:r>
      <w:r w:rsidRPr="00486B87">
        <w:rPr>
          <w:rFonts w:ascii="Times New Roman" w:hAnsi="Times New Roman" w:cs="Times New Roman"/>
          <w:sz w:val="24"/>
          <w:szCs w:val="24"/>
        </w:rPr>
        <w:t xml:space="preserve"> is a matter to be seen</w:t>
      </w:r>
      <w:r w:rsidR="00541892" w:rsidRPr="00486B87">
        <w:rPr>
          <w:rFonts w:ascii="Times New Roman" w:hAnsi="Times New Roman" w:cs="Times New Roman"/>
          <w:sz w:val="24"/>
          <w:szCs w:val="24"/>
        </w:rPr>
        <w:t xml:space="preserve">. It is not limited to impact from the UK and European jurisprudence, </w:t>
      </w:r>
      <w:r w:rsidR="00F17243" w:rsidRPr="00486B87">
        <w:rPr>
          <w:rFonts w:ascii="Times New Roman" w:hAnsi="Times New Roman" w:cs="Times New Roman"/>
          <w:sz w:val="24"/>
          <w:szCs w:val="24"/>
        </w:rPr>
        <w:t xml:space="preserve">the case of </w:t>
      </w:r>
      <w:r w:rsidR="00F17243" w:rsidRPr="00486B87">
        <w:rPr>
          <w:rFonts w:ascii="Times New Roman" w:hAnsi="Times New Roman" w:cs="Times New Roman"/>
          <w:i/>
          <w:sz w:val="24"/>
          <w:szCs w:val="24"/>
        </w:rPr>
        <w:t>Jones</w:t>
      </w:r>
      <w:r w:rsidR="00F17243" w:rsidRPr="00486B87">
        <w:rPr>
          <w:rStyle w:val="FootnoteReference"/>
          <w:rFonts w:ascii="Times New Roman" w:hAnsi="Times New Roman" w:cs="Times New Roman"/>
          <w:i/>
          <w:sz w:val="24"/>
          <w:szCs w:val="24"/>
        </w:rPr>
        <w:footnoteReference w:id="112"/>
      </w:r>
      <w:r w:rsidR="00F17243" w:rsidRPr="00486B87">
        <w:rPr>
          <w:rFonts w:ascii="Times New Roman" w:hAnsi="Times New Roman" w:cs="Times New Roman"/>
          <w:i/>
          <w:sz w:val="24"/>
          <w:szCs w:val="24"/>
        </w:rPr>
        <w:t xml:space="preserve"> </w:t>
      </w:r>
      <w:r w:rsidR="00F17243" w:rsidRPr="00486B87">
        <w:rPr>
          <w:rFonts w:ascii="Times New Roman" w:hAnsi="Times New Roman" w:cs="Times New Roman"/>
          <w:sz w:val="24"/>
          <w:szCs w:val="24"/>
        </w:rPr>
        <w:t>(</w:t>
      </w:r>
      <w:r w:rsidR="00541892" w:rsidRPr="00486B87">
        <w:rPr>
          <w:rFonts w:ascii="Times New Roman" w:hAnsi="Times New Roman" w:cs="Times New Roman"/>
          <w:sz w:val="24"/>
          <w:szCs w:val="24"/>
        </w:rPr>
        <w:t>the very recent case in Trinidad and Tobago</w:t>
      </w:r>
      <w:r w:rsidR="00F17243" w:rsidRPr="00486B87">
        <w:rPr>
          <w:rFonts w:ascii="Times New Roman" w:hAnsi="Times New Roman" w:cs="Times New Roman"/>
          <w:sz w:val="24"/>
          <w:szCs w:val="24"/>
        </w:rPr>
        <w:t>)</w:t>
      </w:r>
      <w:r w:rsidR="00E44E81" w:rsidRPr="00486B87">
        <w:rPr>
          <w:rFonts w:ascii="Times New Roman" w:hAnsi="Times New Roman" w:cs="Times New Roman"/>
          <w:i/>
          <w:sz w:val="24"/>
          <w:szCs w:val="24"/>
        </w:rPr>
        <w:t xml:space="preserve"> </w:t>
      </w:r>
      <w:r w:rsidR="00E44E81" w:rsidRPr="00486B87">
        <w:rPr>
          <w:rFonts w:ascii="Times New Roman" w:hAnsi="Times New Roman" w:cs="Times New Roman"/>
          <w:sz w:val="24"/>
          <w:szCs w:val="24"/>
        </w:rPr>
        <w:t xml:space="preserve">saw the </w:t>
      </w:r>
      <w:r w:rsidR="00C23A97">
        <w:rPr>
          <w:rFonts w:ascii="Times New Roman" w:hAnsi="Times New Roman" w:cs="Times New Roman"/>
          <w:sz w:val="24"/>
          <w:szCs w:val="24"/>
        </w:rPr>
        <w:t>C</w:t>
      </w:r>
      <w:r w:rsidR="00E44E81" w:rsidRPr="00486B87">
        <w:rPr>
          <w:rFonts w:ascii="Times New Roman" w:hAnsi="Times New Roman" w:cs="Times New Roman"/>
          <w:sz w:val="24"/>
          <w:szCs w:val="24"/>
        </w:rPr>
        <w:t>ourt declare that criminalising same-</w:t>
      </w:r>
      <w:r w:rsidR="00E44E81" w:rsidRPr="00486B87">
        <w:rPr>
          <w:rFonts w:ascii="Times New Roman" w:hAnsi="Times New Roman" w:cs="Times New Roman"/>
          <w:sz w:val="24"/>
          <w:szCs w:val="24"/>
        </w:rPr>
        <w:lastRenderedPageBreak/>
        <w:t>sex sexual activity was unconstitutional. Though T</w:t>
      </w:r>
      <w:r w:rsidR="00CF4A7E" w:rsidRPr="00486B87">
        <w:rPr>
          <w:rFonts w:ascii="Times New Roman" w:hAnsi="Times New Roman" w:cs="Times New Roman"/>
          <w:sz w:val="24"/>
          <w:szCs w:val="24"/>
        </w:rPr>
        <w:t xml:space="preserve">rinidad and Tobago may not be </w:t>
      </w:r>
      <w:r w:rsidR="00E44E81" w:rsidRPr="00486B87">
        <w:rPr>
          <w:rFonts w:ascii="Times New Roman" w:hAnsi="Times New Roman" w:cs="Times New Roman"/>
          <w:sz w:val="24"/>
          <w:szCs w:val="24"/>
        </w:rPr>
        <w:t>at the point of discussing same-sex marriage yet, it is nonetheless a positive move in terms of LGBT+</w:t>
      </w:r>
      <w:r w:rsidRPr="00486B87">
        <w:rPr>
          <w:rFonts w:ascii="Times New Roman" w:hAnsi="Times New Roman" w:cs="Times New Roman"/>
          <w:sz w:val="24"/>
          <w:szCs w:val="24"/>
        </w:rPr>
        <w:t xml:space="preserve"> </w:t>
      </w:r>
      <w:r w:rsidR="00E44E81" w:rsidRPr="00486B87">
        <w:rPr>
          <w:rFonts w:ascii="Times New Roman" w:hAnsi="Times New Roman" w:cs="Times New Roman"/>
          <w:sz w:val="24"/>
          <w:szCs w:val="24"/>
        </w:rPr>
        <w:t>rights</w:t>
      </w:r>
      <w:r w:rsidR="00CF4A7E" w:rsidRPr="00486B87">
        <w:rPr>
          <w:rFonts w:ascii="Times New Roman" w:hAnsi="Times New Roman" w:cs="Times New Roman"/>
          <w:sz w:val="24"/>
          <w:szCs w:val="24"/>
        </w:rPr>
        <w:t xml:space="preserve"> in the Caribbean</w:t>
      </w:r>
      <w:r w:rsidR="00E44E81" w:rsidRPr="00486B87">
        <w:rPr>
          <w:rFonts w:ascii="Times New Roman" w:hAnsi="Times New Roman" w:cs="Times New Roman"/>
          <w:sz w:val="24"/>
          <w:szCs w:val="24"/>
        </w:rPr>
        <w:t>.</w:t>
      </w:r>
    </w:p>
    <w:p w14:paraId="1DFEB779" w14:textId="77777777" w:rsidR="00E44E81" w:rsidRPr="00486B87" w:rsidRDefault="00E44E81" w:rsidP="00174DA6">
      <w:pPr>
        <w:spacing w:line="480" w:lineRule="auto"/>
        <w:jc w:val="both"/>
        <w:rPr>
          <w:rFonts w:ascii="Times New Roman" w:hAnsi="Times New Roman" w:cs="Times New Roman"/>
          <w:sz w:val="24"/>
          <w:szCs w:val="24"/>
        </w:rPr>
      </w:pPr>
    </w:p>
    <w:p w14:paraId="3A04A9A3" w14:textId="6AB746D4" w:rsidR="003162F1" w:rsidRDefault="00E23A22" w:rsidP="00F9375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If the Bermudian Court of Appeal grants permission to appeal then the role of the </w:t>
      </w:r>
      <w:r w:rsidR="00D51F9F" w:rsidRPr="00486B87">
        <w:rPr>
          <w:rFonts w:ascii="Times New Roman" w:hAnsi="Times New Roman" w:cs="Times New Roman"/>
          <w:sz w:val="24"/>
          <w:szCs w:val="24"/>
        </w:rPr>
        <w:t xml:space="preserve">JCPC </w:t>
      </w:r>
      <w:r>
        <w:rPr>
          <w:rFonts w:ascii="Times New Roman" w:hAnsi="Times New Roman" w:cs="Times New Roman"/>
          <w:sz w:val="24"/>
          <w:szCs w:val="24"/>
        </w:rPr>
        <w:t>may</w:t>
      </w:r>
      <w:r w:rsidRPr="00486B87">
        <w:rPr>
          <w:rFonts w:ascii="Times New Roman" w:hAnsi="Times New Roman" w:cs="Times New Roman"/>
          <w:sz w:val="24"/>
          <w:szCs w:val="24"/>
        </w:rPr>
        <w:t xml:space="preserve"> </w:t>
      </w:r>
      <w:r w:rsidR="00D95860" w:rsidRPr="00486B87">
        <w:rPr>
          <w:rFonts w:ascii="Times New Roman" w:hAnsi="Times New Roman" w:cs="Times New Roman"/>
          <w:sz w:val="24"/>
          <w:szCs w:val="24"/>
        </w:rPr>
        <w:t>be</w:t>
      </w:r>
      <w:r w:rsidR="00D51F9F" w:rsidRPr="00486B87">
        <w:rPr>
          <w:rFonts w:ascii="Times New Roman" w:hAnsi="Times New Roman" w:cs="Times New Roman"/>
          <w:sz w:val="24"/>
          <w:szCs w:val="24"/>
        </w:rPr>
        <w:t xml:space="preserve"> of interest</w:t>
      </w:r>
      <w:r w:rsidR="00CD57C9" w:rsidRPr="00486B87">
        <w:rPr>
          <w:rFonts w:ascii="Times New Roman" w:hAnsi="Times New Roman" w:cs="Times New Roman"/>
          <w:sz w:val="24"/>
          <w:szCs w:val="24"/>
        </w:rPr>
        <w:t>,</w:t>
      </w:r>
      <w:r w:rsidR="00D95860" w:rsidRPr="00486B87">
        <w:rPr>
          <w:rFonts w:ascii="Times New Roman" w:hAnsi="Times New Roman" w:cs="Times New Roman"/>
          <w:sz w:val="24"/>
          <w:szCs w:val="24"/>
        </w:rPr>
        <w:t xml:space="preserve"> and the latter arguments in </w:t>
      </w:r>
      <w:r w:rsidR="00D95860" w:rsidRPr="00486B87">
        <w:rPr>
          <w:rFonts w:ascii="Times New Roman" w:hAnsi="Times New Roman" w:cs="Times New Roman"/>
          <w:color w:val="000000" w:themeColor="text1"/>
          <w:sz w:val="24"/>
          <w:szCs w:val="24"/>
        </w:rPr>
        <w:t xml:space="preserve">this article </w:t>
      </w:r>
      <w:r w:rsidR="00763A90" w:rsidRPr="00486B87">
        <w:rPr>
          <w:rFonts w:ascii="Times New Roman" w:hAnsi="Times New Roman" w:cs="Times New Roman"/>
          <w:color w:val="000000" w:themeColor="text1"/>
          <w:sz w:val="24"/>
          <w:szCs w:val="24"/>
        </w:rPr>
        <w:t>may warrant further discussion</w:t>
      </w:r>
      <w:r w:rsidR="008201ED" w:rsidRPr="00486B87">
        <w:rPr>
          <w:rFonts w:ascii="Times New Roman" w:hAnsi="Times New Roman" w:cs="Times New Roman"/>
          <w:color w:val="000000" w:themeColor="text1"/>
          <w:sz w:val="24"/>
          <w:szCs w:val="24"/>
        </w:rPr>
        <w:t xml:space="preserve">. </w:t>
      </w:r>
      <w:r w:rsidR="00D51F9F" w:rsidRPr="00486B87">
        <w:rPr>
          <w:rFonts w:ascii="Times New Roman" w:hAnsi="Times New Roman" w:cs="Times New Roman"/>
          <w:color w:val="000000" w:themeColor="text1"/>
          <w:sz w:val="24"/>
          <w:szCs w:val="24"/>
        </w:rPr>
        <w:t>W</w:t>
      </w:r>
      <w:r w:rsidR="00763A90" w:rsidRPr="00486B87">
        <w:rPr>
          <w:rFonts w:ascii="Times New Roman" w:hAnsi="Times New Roman" w:cs="Times New Roman"/>
          <w:color w:val="000000" w:themeColor="text1"/>
          <w:sz w:val="24"/>
          <w:szCs w:val="24"/>
        </w:rPr>
        <w:t>ould</w:t>
      </w:r>
      <w:r w:rsidR="00D51F9F" w:rsidRPr="00486B87">
        <w:rPr>
          <w:rFonts w:ascii="Times New Roman" w:hAnsi="Times New Roman" w:cs="Times New Roman"/>
          <w:color w:val="000000" w:themeColor="text1"/>
          <w:sz w:val="24"/>
          <w:szCs w:val="24"/>
        </w:rPr>
        <w:t xml:space="preserve"> the JCPC apply the living tree doctrine</w:t>
      </w:r>
      <w:r w:rsidR="006D670B" w:rsidRPr="00486B87">
        <w:rPr>
          <w:rFonts w:ascii="Times New Roman" w:hAnsi="Times New Roman" w:cs="Times New Roman"/>
          <w:color w:val="000000" w:themeColor="text1"/>
          <w:sz w:val="24"/>
          <w:szCs w:val="24"/>
        </w:rPr>
        <w:t>, which will</w:t>
      </w:r>
      <w:r w:rsidR="00D51F9F" w:rsidRPr="00486B87">
        <w:rPr>
          <w:rFonts w:ascii="Times New Roman" w:hAnsi="Times New Roman" w:cs="Times New Roman"/>
          <w:color w:val="000000" w:themeColor="text1"/>
          <w:sz w:val="24"/>
          <w:szCs w:val="24"/>
        </w:rPr>
        <w:t xml:space="preserve"> advance Bermudian rights</w:t>
      </w:r>
      <w:r w:rsidR="00351DE4" w:rsidRPr="00486B87">
        <w:rPr>
          <w:rFonts w:ascii="Times New Roman" w:hAnsi="Times New Roman" w:cs="Times New Roman"/>
          <w:color w:val="000000" w:themeColor="text1"/>
          <w:sz w:val="24"/>
          <w:szCs w:val="24"/>
        </w:rPr>
        <w:t xml:space="preserve"> and</w:t>
      </w:r>
      <w:r w:rsidR="00C71694">
        <w:rPr>
          <w:rFonts w:ascii="Times New Roman" w:hAnsi="Times New Roman" w:cs="Times New Roman"/>
          <w:color w:val="000000" w:themeColor="text1"/>
          <w:sz w:val="24"/>
          <w:szCs w:val="24"/>
        </w:rPr>
        <w:t>,</w:t>
      </w:r>
      <w:r w:rsidR="00351DE4" w:rsidRPr="00486B87">
        <w:rPr>
          <w:rFonts w:ascii="Times New Roman" w:hAnsi="Times New Roman" w:cs="Times New Roman"/>
          <w:color w:val="000000" w:themeColor="text1"/>
          <w:sz w:val="24"/>
          <w:szCs w:val="24"/>
        </w:rPr>
        <w:t xml:space="preserve"> </w:t>
      </w:r>
      <w:r w:rsidR="006D670B" w:rsidRPr="00486B87">
        <w:rPr>
          <w:rFonts w:ascii="Times New Roman" w:hAnsi="Times New Roman" w:cs="Times New Roman"/>
          <w:color w:val="000000" w:themeColor="text1"/>
          <w:sz w:val="24"/>
          <w:szCs w:val="24"/>
        </w:rPr>
        <w:t xml:space="preserve">if so, </w:t>
      </w:r>
      <w:r w:rsidR="00351DE4" w:rsidRPr="00486B87">
        <w:rPr>
          <w:rFonts w:ascii="Times New Roman" w:hAnsi="Times New Roman" w:cs="Times New Roman"/>
          <w:color w:val="000000" w:themeColor="text1"/>
          <w:sz w:val="24"/>
          <w:szCs w:val="24"/>
        </w:rPr>
        <w:t>how much will UK and Strasbourg jurisprudence influence the JCPC</w:t>
      </w:r>
      <w:r w:rsidR="00C71694">
        <w:rPr>
          <w:rFonts w:ascii="Times New Roman" w:hAnsi="Times New Roman" w:cs="Times New Roman"/>
          <w:color w:val="000000" w:themeColor="text1"/>
          <w:sz w:val="24"/>
          <w:szCs w:val="24"/>
        </w:rPr>
        <w:t>?</w:t>
      </w:r>
      <w:r w:rsidR="00B2605D" w:rsidRPr="00486B87">
        <w:rPr>
          <w:rFonts w:ascii="Times New Roman" w:hAnsi="Times New Roman" w:cs="Times New Roman"/>
          <w:color w:val="000000" w:themeColor="text1"/>
          <w:sz w:val="24"/>
          <w:szCs w:val="24"/>
        </w:rPr>
        <w:t xml:space="preserve"> </w:t>
      </w:r>
      <w:r w:rsidR="00D51F9F" w:rsidRPr="00486B87">
        <w:rPr>
          <w:rFonts w:ascii="Times New Roman" w:hAnsi="Times New Roman" w:cs="Times New Roman"/>
          <w:color w:val="000000" w:themeColor="text1"/>
          <w:sz w:val="24"/>
          <w:szCs w:val="24"/>
        </w:rPr>
        <w:t xml:space="preserve">If </w:t>
      </w:r>
      <w:r w:rsidR="00B2605D" w:rsidRPr="00486B87">
        <w:rPr>
          <w:rFonts w:ascii="Times New Roman" w:hAnsi="Times New Roman" w:cs="Times New Roman"/>
          <w:sz w:val="24"/>
          <w:szCs w:val="24"/>
        </w:rPr>
        <w:t>the JCPC d</w:t>
      </w:r>
      <w:r w:rsidR="008D6828" w:rsidRPr="00486B87">
        <w:rPr>
          <w:rFonts w:ascii="Times New Roman" w:hAnsi="Times New Roman" w:cs="Times New Roman"/>
          <w:sz w:val="24"/>
          <w:szCs w:val="24"/>
        </w:rPr>
        <w:t>id</w:t>
      </w:r>
      <w:r w:rsidR="00B2605D" w:rsidRPr="00486B87">
        <w:rPr>
          <w:rFonts w:ascii="Times New Roman" w:hAnsi="Times New Roman" w:cs="Times New Roman"/>
          <w:sz w:val="24"/>
          <w:szCs w:val="24"/>
        </w:rPr>
        <w:t xml:space="preserve"> decide to assert rights</w:t>
      </w:r>
      <w:r w:rsidR="0081295D">
        <w:rPr>
          <w:rFonts w:ascii="Times New Roman" w:hAnsi="Times New Roman" w:cs="Times New Roman"/>
          <w:sz w:val="24"/>
          <w:szCs w:val="24"/>
        </w:rPr>
        <w:t xml:space="preserve"> as it has done more recently in the case of </w:t>
      </w:r>
      <w:proofErr w:type="spellStart"/>
      <w:r w:rsidR="0081295D" w:rsidRPr="00486B87">
        <w:rPr>
          <w:rFonts w:ascii="Times New Roman" w:hAnsi="Times New Roman" w:cs="Times New Roman"/>
          <w:i/>
          <w:color w:val="000000"/>
          <w:sz w:val="24"/>
          <w:szCs w:val="24"/>
          <w:shd w:val="clear" w:color="auto" w:fill="FFFFFF"/>
        </w:rPr>
        <w:t>Steinfeld</w:t>
      </w:r>
      <w:proofErr w:type="spellEnd"/>
      <w:r w:rsidR="0081295D" w:rsidRPr="00486B87">
        <w:rPr>
          <w:rFonts w:ascii="Times New Roman" w:hAnsi="Times New Roman" w:cs="Times New Roman"/>
          <w:i/>
          <w:color w:val="000000"/>
          <w:sz w:val="24"/>
          <w:szCs w:val="24"/>
          <w:shd w:val="clear" w:color="auto" w:fill="FFFFFF"/>
        </w:rPr>
        <w:t xml:space="preserve"> and </w:t>
      </w:r>
      <w:proofErr w:type="spellStart"/>
      <w:r w:rsidR="0081295D" w:rsidRPr="00486B87">
        <w:rPr>
          <w:rFonts w:ascii="Times New Roman" w:hAnsi="Times New Roman" w:cs="Times New Roman"/>
          <w:i/>
          <w:color w:val="000000"/>
          <w:sz w:val="24"/>
          <w:szCs w:val="24"/>
          <w:shd w:val="clear" w:color="auto" w:fill="FFFFFF"/>
        </w:rPr>
        <w:t>Keidan</w:t>
      </w:r>
      <w:proofErr w:type="spellEnd"/>
      <w:r w:rsidR="00B2605D" w:rsidRPr="00486B87">
        <w:rPr>
          <w:rFonts w:ascii="Times New Roman" w:hAnsi="Times New Roman" w:cs="Times New Roman"/>
          <w:sz w:val="24"/>
          <w:szCs w:val="24"/>
        </w:rPr>
        <w:t xml:space="preserve">, </w:t>
      </w:r>
      <w:r w:rsidR="0067111D" w:rsidRPr="00486B87">
        <w:rPr>
          <w:rFonts w:ascii="Times New Roman" w:hAnsi="Times New Roman" w:cs="Times New Roman"/>
          <w:sz w:val="24"/>
          <w:szCs w:val="24"/>
        </w:rPr>
        <w:t>can</w:t>
      </w:r>
      <w:r w:rsidR="002F57AA" w:rsidRPr="00486B87">
        <w:rPr>
          <w:rFonts w:ascii="Times New Roman" w:hAnsi="Times New Roman" w:cs="Times New Roman"/>
          <w:sz w:val="24"/>
          <w:szCs w:val="24"/>
        </w:rPr>
        <w:t xml:space="preserve"> </w:t>
      </w:r>
      <w:r w:rsidR="008D6828" w:rsidRPr="00486B87">
        <w:rPr>
          <w:rFonts w:ascii="Times New Roman" w:hAnsi="Times New Roman" w:cs="Times New Roman"/>
          <w:sz w:val="24"/>
          <w:szCs w:val="24"/>
        </w:rPr>
        <w:t xml:space="preserve">they </w:t>
      </w:r>
      <w:r w:rsidR="002F57AA" w:rsidRPr="00486B87">
        <w:rPr>
          <w:rFonts w:ascii="Times New Roman" w:hAnsi="Times New Roman" w:cs="Times New Roman"/>
          <w:sz w:val="24"/>
          <w:szCs w:val="24"/>
        </w:rPr>
        <w:t xml:space="preserve">be </w:t>
      </w:r>
      <w:r w:rsidR="00812285" w:rsidRPr="00486B87">
        <w:rPr>
          <w:rFonts w:ascii="Times New Roman" w:hAnsi="Times New Roman" w:cs="Times New Roman"/>
          <w:sz w:val="24"/>
          <w:szCs w:val="24"/>
        </w:rPr>
        <w:t xml:space="preserve">of </w:t>
      </w:r>
      <w:r w:rsidR="002F57AA" w:rsidRPr="00486B87">
        <w:rPr>
          <w:rFonts w:ascii="Times New Roman" w:hAnsi="Times New Roman" w:cs="Times New Roman"/>
          <w:sz w:val="24"/>
          <w:szCs w:val="24"/>
        </w:rPr>
        <w:t>assist</w:t>
      </w:r>
      <w:r w:rsidR="00812285" w:rsidRPr="00486B87">
        <w:rPr>
          <w:rFonts w:ascii="Times New Roman" w:hAnsi="Times New Roman" w:cs="Times New Roman"/>
          <w:sz w:val="24"/>
          <w:szCs w:val="24"/>
        </w:rPr>
        <w:t>ance</w:t>
      </w:r>
      <w:r w:rsidR="002F57AA" w:rsidRPr="00486B87">
        <w:rPr>
          <w:rFonts w:ascii="Times New Roman" w:hAnsi="Times New Roman" w:cs="Times New Roman"/>
          <w:sz w:val="24"/>
          <w:szCs w:val="24"/>
        </w:rPr>
        <w:t xml:space="preserve"> with harmonising the inconsistencies </w:t>
      </w:r>
      <w:r w:rsidR="00D51F9F" w:rsidRPr="00486B87">
        <w:rPr>
          <w:rFonts w:ascii="Times New Roman" w:hAnsi="Times New Roman" w:cs="Times New Roman"/>
          <w:sz w:val="24"/>
          <w:szCs w:val="24"/>
        </w:rPr>
        <w:t xml:space="preserve">more widely seen </w:t>
      </w:r>
      <w:r w:rsidR="002F57AA" w:rsidRPr="00486B87">
        <w:rPr>
          <w:rFonts w:ascii="Times New Roman" w:hAnsi="Times New Roman" w:cs="Times New Roman"/>
          <w:sz w:val="24"/>
          <w:szCs w:val="24"/>
        </w:rPr>
        <w:t xml:space="preserve">across the </w:t>
      </w:r>
      <w:r w:rsidR="008B5938" w:rsidRPr="00486B87">
        <w:rPr>
          <w:rFonts w:ascii="Times New Roman" w:hAnsi="Times New Roman" w:cs="Times New Roman"/>
          <w:sz w:val="24"/>
          <w:szCs w:val="24"/>
        </w:rPr>
        <w:t>Commonwealth</w:t>
      </w:r>
      <w:r w:rsidR="00D51F9F" w:rsidRPr="00486B87">
        <w:rPr>
          <w:rFonts w:ascii="Times New Roman" w:hAnsi="Times New Roman" w:cs="Times New Roman"/>
          <w:sz w:val="24"/>
          <w:szCs w:val="24"/>
        </w:rPr>
        <w:t>?</w:t>
      </w:r>
      <w:r w:rsidR="002F57AA" w:rsidRPr="00486B87">
        <w:rPr>
          <w:rFonts w:ascii="Times New Roman" w:hAnsi="Times New Roman" w:cs="Times New Roman"/>
          <w:sz w:val="24"/>
          <w:szCs w:val="24"/>
        </w:rPr>
        <w:t xml:space="preserve"> </w:t>
      </w:r>
      <w:r w:rsidR="00D51F9F" w:rsidRPr="00486B87">
        <w:rPr>
          <w:rFonts w:ascii="Times New Roman" w:hAnsi="Times New Roman" w:cs="Times New Roman"/>
          <w:sz w:val="24"/>
          <w:szCs w:val="24"/>
        </w:rPr>
        <w:t>T</w:t>
      </w:r>
      <w:r w:rsidR="002F57AA" w:rsidRPr="00486B87">
        <w:rPr>
          <w:rFonts w:ascii="Times New Roman" w:hAnsi="Times New Roman" w:cs="Times New Roman"/>
          <w:sz w:val="24"/>
          <w:szCs w:val="24"/>
        </w:rPr>
        <w:t>here are</w:t>
      </w:r>
      <w:r w:rsidR="00940A91" w:rsidRPr="00486B87">
        <w:rPr>
          <w:rFonts w:ascii="Times New Roman" w:hAnsi="Times New Roman" w:cs="Times New Roman"/>
          <w:sz w:val="24"/>
          <w:szCs w:val="24"/>
        </w:rPr>
        <w:t xml:space="preserve"> approximately</w:t>
      </w:r>
      <w:r w:rsidR="00940A91" w:rsidRPr="00486B87">
        <w:rPr>
          <w:rStyle w:val="FootnoteReference"/>
          <w:rFonts w:ascii="Times New Roman" w:hAnsi="Times New Roman" w:cs="Times New Roman"/>
          <w:sz w:val="24"/>
          <w:szCs w:val="24"/>
        </w:rPr>
        <w:footnoteReference w:id="113"/>
      </w:r>
      <w:r w:rsidR="002F57AA" w:rsidRPr="00486B87">
        <w:rPr>
          <w:rFonts w:ascii="Times New Roman" w:hAnsi="Times New Roman" w:cs="Times New Roman"/>
          <w:sz w:val="24"/>
          <w:szCs w:val="24"/>
        </w:rPr>
        <w:t xml:space="preserve"> 3</w:t>
      </w:r>
      <w:r w:rsidR="00940A91" w:rsidRPr="00486B87">
        <w:rPr>
          <w:rFonts w:ascii="Times New Roman" w:hAnsi="Times New Roman" w:cs="Times New Roman"/>
          <w:sz w:val="24"/>
          <w:szCs w:val="24"/>
        </w:rPr>
        <w:t>6</w:t>
      </w:r>
      <w:r w:rsidR="002F57AA" w:rsidRPr="00486B87">
        <w:rPr>
          <w:rFonts w:ascii="Times New Roman" w:hAnsi="Times New Roman" w:cs="Times New Roman"/>
          <w:sz w:val="24"/>
          <w:szCs w:val="24"/>
        </w:rPr>
        <w:t xml:space="preserve"> </w:t>
      </w:r>
      <w:r w:rsidR="008B5938" w:rsidRPr="00486B87">
        <w:rPr>
          <w:rFonts w:ascii="Times New Roman" w:hAnsi="Times New Roman" w:cs="Times New Roman"/>
          <w:sz w:val="24"/>
          <w:szCs w:val="24"/>
        </w:rPr>
        <w:t>Commonwealth</w:t>
      </w:r>
      <w:r w:rsidR="00D51F9F" w:rsidRPr="00486B87">
        <w:rPr>
          <w:rFonts w:ascii="Times New Roman" w:hAnsi="Times New Roman" w:cs="Times New Roman"/>
          <w:sz w:val="24"/>
          <w:szCs w:val="24"/>
        </w:rPr>
        <w:t xml:space="preserve"> </w:t>
      </w:r>
      <w:r w:rsidR="002F57AA" w:rsidRPr="00486B87">
        <w:rPr>
          <w:rFonts w:ascii="Times New Roman" w:hAnsi="Times New Roman" w:cs="Times New Roman"/>
          <w:sz w:val="24"/>
          <w:szCs w:val="24"/>
        </w:rPr>
        <w:t xml:space="preserve">countries which criminalise </w:t>
      </w:r>
      <w:r w:rsidR="00940A91" w:rsidRPr="00486B87">
        <w:rPr>
          <w:rFonts w:ascii="Times New Roman" w:hAnsi="Times New Roman" w:cs="Times New Roman"/>
          <w:sz w:val="24"/>
          <w:szCs w:val="24"/>
        </w:rPr>
        <w:t xml:space="preserve">homosexuality or the </w:t>
      </w:r>
      <w:r w:rsidR="00E44E81" w:rsidRPr="00486B87">
        <w:rPr>
          <w:rFonts w:ascii="Times New Roman" w:hAnsi="Times New Roman" w:cs="Times New Roman"/>
          <w:sz w:val="24"/>
          <w:szCs w:val="24"/>
        </w:rPr>
        <w:t xml:space="preserve">LGBT+ </w:t>
      </w:r>
      <w:r w:rsidR="00940A91" w:rsidRPr="00486B87">
        <w:rPr>
          <w:rFonts w:ascii="Times New Roman" w:hAnsi="Times New Roman" w:cs="Times New Roman"/>
          <w:sz w:val="24"/>
          <w:szCs w:val="24"/>
        </w:rPr>
        <w:t>community</w:t>
      </w:r>
      <w:r w:rsidR="00E44E81" w:rsidRPr="00486B87">
        <w:rPr>
          <w:rFonts w:ascii="Times New Roman" w:hAnsi="Times New Roman" w:cs="Times New Roman"/>
          <w:sz w:val="24"/>
          <w:szCs w:val="24"/>
        </w:rPr>
        <w:t xml:space="preserve"> </w:t>
      </w:r>
      <w:r w:rsidR="00940A91" w:rsidRPr="00486B87">
        <w:rPr>
          <w:rFonts w:ascii="Times New Roman" w:hAnsi="Times New Roman" w:cs="Times New Roman"/>
          <w:sz w:val="24"/>
          <w:szCs w:val="24"/>
        </w:rPr>
        <w:t xml:space="preserve">in some way, and the JCPC could be a source of authority to encourage </w:t>
      </w:r>
      <w:r w:rsidR="00FA3983" w:rsidRPr="00486B87">
        <w:rPr>
          <w:rFonts w:ascii="Times New Roman" w:hAnsi="Times New Roman" w:cs="Times New Roman"/>
          <w:sz w:val="24"/>
          <w:szCs w:val="24"/>
        </w:rPr>
        <w:t>equality</w:t>
      </w:r>
      <w:r w:rsidR="00940A91" w:rsidRPr="00486B87">
        <w:rPr>
          <w:rFonts w:ascii="Times New Roman" w:hAnsi="Times New Roman" w:cs="Times New Roman"/>
          <w:sz w:val="24"/>
          <w:szCs w:val="24"/>
        </w:rPr>
        <w:t xml:space="preserve"> and tolerance across the </w:t>
      </w:r>
      <w:r w:rsidR="008B5938" w:rsidRPr="00486B87">
        <w:rPr>
          <w:rFonts w:ascii="Times New Roman" w:hAnsi="Times New Roman" w:cs="Times New Roman"/>
          <w:sz w:val="24"/>
          <w:szCs w:val="24"/>
        </w:rPr>
        <w:t>Commonwealth</w:t>
      </w:r>
      <w:r w:rsidR="00940A91" w:rsidRPr="00486B87">
        <w:rPr>
          <w:rFonts w:ascii="Times New Roman" w:hAnsi="Times New Roman" w:cs="Times New Roman"/>
          <w:sz w:val="24"/>
          <w:szCs w:val="24"/>
        </w:rPr>
        <w:t>.</w:t>
      </w:r>
      <w:r w:rsidR="00541892" w:rsidRPr="00486B87">
        <w:rPr>
          <w:rFonts w:ascii="Times New Roman" w:hAnsi="Times New Roman" w:cs="Times New Roman"/>
          <w:sz w:val="24"/>
          <w:szCs w:val="24"/>
        </w:rPr>
        <w:t xml:space="preserve"> </w:t>
      </w:r>
      <w:r w:rsidR="00D51F9F" w:rsidRPr="00486B87">
        <w:rPr>
          <w:rFonts w:ascii="Times New Roman" w:hAnsi="Times New Roman" w:cs="Times New Roman"/>
          <w:sz w:val="24"/>
          <w:szCs w:val="24"/>
        </w:rPr>
        <w:t xml:space="preserve"> This is hypothetical at this poin</w:t>
      </w:r>
      <w:r w:rsidR="00D0684B" w:rsidRPr="00486B87">
        <w:rPr>
          <w:rFonts w:ascii="Times New Roman" w:hAnsi="Times New Roman" w:cs="Times New Roman"/>
          <w:sz w:val="24"/>
          <w:szCs w:val="24"/>
        </w:rPr>
        <w:t>t</w:t>
      </w:r>
      <w:r w:rsidR="002E2430">
        <w:rPr>
          <w:rFonts w:ascii="Times New Roman" w:hAnsi="Times New Roman" w:cs="Times New Roman"/>
          <w:sz w:val="24"/>
          <w:szCs w:val="24"/>
        </w:rPr>
        <w:t>;</w:t>
      </w:r>
      <w:r w:rsidR="00D0684B" w:rsidRPr="00486B87">
        <w:rPr>
          <w:rFonts w:ascii="Times New Roman" w:hAnsi="Times New Roman" w:cs="Times New Roman"/>
          <w:sz w:val="24"/>
          <w:szCs w:val="24"/>
        </w:rPr>
        <w:t xml:space="preserve"> </w:t>
      </w:r>
      <w:r w:rsidR="00FA3983" w:rsidRPr="00486B87">
        <w:rPr>
          <w:rFonts w:ascii="Times New Roman" w:hAnsi="Times New Roman" w:cs="Times New Roman"/>
          <w:sz w:val="24"/>
          <w:szCs w:val="24"/>
        </w:rPr>
        <w:t>the next few months will be very important in terms of Bermudian constitutionalism and</w:t>
      </w:r>
      <w:r w:rsidR="002E2430">
        <w:rPr>
          <w:rFonts w:ascii="Times New Roman" w:hAnsi="Times New Roman" w:cs="Times New Roman"/>
          <w:sz w:val="24"/>
          <w:szCs w:val="24"/>
        </w:rPr>
        <w:t>,</w:t>
      </w:r>
      <w:r w:rsidR="00FA3983" w:rsidRPr="00486B87">
        <w:rPr>
          <w:rFonts w:ascii="Times New Roman" w:hAnsi="Times New Roman" w:cs="Times New Roman"/>
          <w:sz w:val="24"/>
          <w:szCs w:val="24"/>
        </w:rPr>
        <w:t xml:space="preserve"> potentially, of interest </w:t>
      </w:r>
      <w:r w:rsidR="00BC72D3" w:rsidRPr="00486B87">
        <w:rPr>
          <w:rFonts w:ascii="Times New Roman" w:hAnsi="Times New Roman" w:cs="Times New Roman"/>
          <w:sz w:val="24"/>
          <w:szCs w:val="24"/>
        </w:rPr>
        <w:t xml:space="preserve">across the </w:t>
      </w:r>
      <w:r w:rsidR="008B5938" w:rsidRPr="00486B87">
        <w:rPr>
          <w:rFonts w:ascii="Times New Roman" w:hAnsi="Times New Roman" w:cs="Times New Roman"/>
          <w:sz w:val="24"/>
          <w:szCs w:val="24"/>
        </w:rPr>
        <w:t>Commonwealth</w:t>
      </w:r>
      <w:r w:rsidR="00BC72D3" w:rsidRPr="00486B87">
        <w:rPr>
          <w:rFonts w:ascii="Times New Roman" w:hAnsi="Times New Roman" w:cs="Times New Roman"/>
          <w:sz w:val="24"/>
          <w:szCs w:val="24"/>
        </w:rPr>
        <w:t xml:space="preserve"> also</w:t>
      </w:r>
      <w:r w:rsidR="00FA3983" w:rsidRPr="00486B87">
        <w:rPr>
          <w:rFonts w:ascii="Times New Roman" w:hAnsi="Times New Roman" w:cs="Times New Roman"/>
          <w:sz w:val="24"/>
          <w:szCs w:val="24"/>
        </w:rPr>
        <w:t>.</w:t>
      </w:r>
      <w:r w:rsidR="00F46267" w:rsidRPr="00486B87">
        <w:rPr>
          <w:rFonts w:ascii="Times New Roman" w:hAnsi="Times New Roman" w:cs="Times New Roman"/>
          <w:sz w:val="24"/>
          <w:szCs w:val="24"/>
        </w:rPr>
        <w:t xml:space="preserve"> </w:t>
      </w:r>
    </w:p>
    <w:p w14:paraId="16FB9677" w14:textId="4DD8381B" w:rsidR="003162F1" w:rsidRDefault="003162F1" w:rsidP="00F9375D">
      <w:pPr>
        <w:spacing w:line="480" w:lineRule="auto"/>
        <w:jc w:val="both"/>
        <w:rPr>
          <w:rFonts w:ascii="Times New Roman" w:hAnsi="Times New Roman" w:cs="Times New Roman"/>
          <w:sz w:val="24"/>
          <w:szCs w:val="24"/>
        </w:rPr>
      </w:pPr>
    </w:p>
    <w:p w14:paraId="7AED41D7" w14:textId="3FF9FE2F" w:rsidR="003162F1" w:rsidRDefault="005E14F8" w:rsidP="00F9375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Given that the matter is pending an appeal by the Bermudian government, the domestic courts in Bermuda should not lose sight of the separation of powers and the substantive notion of equality before the law motioned above. The court’s decisions are handed down in pursuance of upholding the constitution as the supreme law, and (using the living tree doctrine) expanding the rights contained in the constitution to reflect society as a whole. In </w:t>
      </w:r>
      <w:r>
        <w:rPr>
          <w:rFonts w:ascii="Times New Roman" w:hAnsi="Times New Roman" w:cs="Times New Roman"/>
          <w:sz w:val="24"/>
          <w:szCs w:val="24"/>
        </w:rPr>
        <w:lastRenderedPageBreak/>
        <w:t xml:space="preserve">doing so the court should consider the impact and shortcomings of majority rule and identity thinking; the opinions of the population of Bermuda are anecdotally relevant but should not be used as authority for a contraction of rights or the living tree. Minority groups inevitably form a smaller share of the population and so their voices can be drowned out by the masses. It is the role of the Bermudian courts to resist the marginalisation of minority groups to achieve the aims in the first paragraph of the Bermudian Constitution.  </w:t>
      </w:r>
      <w:r w:rsidR="004D02E1">
        <w:rPr>
          <w:rFonts w:ascii="Times New Roman" w:hAnsi="Times New Roman" w:cs="Times New Roman"/>
          <w:sz w:val="24"/>
          <w:szCs w:val="24"/>
        </w:rPr>
        <w:t>The courts cannot do this if it submits to the will o</w:t>
      </w:r>
      <w:r w:rsidR="005E58D8">
        <w:rPr>
          <w:rFonts w:ascii="Times New Roman" w:hAnsi="Times New Roman" w:cs="Times New Roman"/>
          <w:sz w:val="24"/>
          <w:szCs w:val="24"/>
        </w:rPr>
        <w:t xml:space="preserve">f the legislature or of some public opinion. </w:t>
      </w:r>
    </w:p>
    <w:p w14:paraId="7F6D94CA" w14:textId="77777777" w:rsidR="003162F1" w:rsidRDefault="003162F1" w:rsidP="00F9375D">
      <w:pPr>
        <w:spacing w:line="480" w:lineRule="auto"/>
        <w:jc w:val="both"/>
        <w:rPr>
          <w:rFonts w:ascii="Times New Roman" w:hAnsi="Times New Roman" w:cs="Times New Roman"/>
          <w:sz w:val="24"/>
          <w:szCs w:val="24"/>
        </w:rPr>
      </w:pPr>
    </w:p>
    <w:p w14:paraId="20FD25D4" w14:textId="142511E1" w:rsidR="00541892" w:rsidRPr="00AB5AFF" w:rsidRDefault="00BB16BC" w:rsidP="00F9375D">
      <w:pPr>
        <w:spacing w:line="480" w:lineRule="auto"/>
        <w:jc w:val="both"/>
        <w:rPr>
          <w:rFonts w:ascii="Times New Roman" w:hAnsi="Times New Roman" w:cs="Times New Roman"/>
          <w:sz w:val="24"/>
          <w:szCs w:val="24"/>
        </w:rPr>
      </w:pPr>
      <w:r w:rsidRPr="00486B87">
        <w:rPr>
          <w:rFonts w:ascii="Times New Roman" w:hAnsi="Times New Roman" w:cs="Times New Roman"/>
          <w:sz w:val="24"/>
          <w:szCs w:val="24"/>
        </w:rPr>
        <w:t xml:space="preserve">The living tree doctrine was planted nearly a century ago in a society and situation very different from the one that is currently being </w:t>
      </w:r>
      <w:proofErr w:type="gramStart"/>
      <w:r w:rsidRPr="00486B87">
        <w:rPr>
          <w:rFonts w:ascii="Times New Roman" w:hAnsi="Times New Roman" w:cs="Times New Roman"/>
          <w:sz w:val="24"/>
          <w:szCs w:val="24"/>
        </w:rPr>
        <w:t>discussed</w:t>
      </w:r>
      <w:r w:rsidR="002E2430">
        <w:rPr>
          <w:rFonts w:ascii="Times New Roman" w:hAnsi="Times New Roman" w:cs="Times New Roman"/>
          <w:sz w:val="24"/>
          <w:szCs w:val="24"/>
        </w:rPr>
        <w:t>,</w:t>
      </w:r>
      <w:proofErr w:type="gramEnd"/>
      <w:r w:rsidRPr="00486B87">
        <w:rPr>
          <w:rFonts w:ascii="Times New Roman" w:hAnsi="Times New Roman" w:cs="Times New Roman"/>
          <w:sz w:val="24"/>
          <w:szCs w:val="24"/>
        </w:rPr>
        <w:t xml:space="preserve"> however, t</w:t>
      </w:r>
      <w:r w:rsidR="00F46267" w:rsidRPr="00486B87">
        <w:rPr>
          <w:rFonts w:ascii="Times New Roman" w:hAnsi="Times New Roman" w:cs="Times New Roman"/>
          <w:sz w:val="24"/>
          <w:szCs w:val="24"/>
        </w:rPr>
        <w:t xml:space="preserve">he author is </w:t>
      </w:r>
      <w:r w:rsidRPr="00486B87">
        <w:rPr>
          <w:rFonts w:ascii="Times New Roman" w:hAnsi="Times New Roman" w:cs="Times New Roman"/>
          <w:sz w:val="24"/>
          <w:szCs w:val="24"/>
        </w:rPr>
        <w:t>re</w:t>
      </w:r>
      <w:r w:rsidR="00F46267" w:rsidRPr="00486B87">
        <w:rPr>
          <w:rFonts w:ascii="Times New Roman" w:hAnsi="Times New Roman" w:cs="Times New Roman"/>
          <w:sz w:val="24"/>
          <w:szCs w:val="24"/>
        </w:rPr>
        <w:t xml:space="preserve">minded </w:t>
      </w:r>
      <w:r w:rsidR="00D037B8" w:rsidRPr="00486B87">
        <w:rPr>
          <w:rFonts w:ascii="Times New Roman" w:hAnsi="Times New Roman" w:cs="Times New Roman"/>
          <w:sz w:val="24"/>
          <w:szCs w:val="24"/>
        </w:rPr>
        <w:t>that</w:t>
      </w:r>
      <w:r w:rsidR="00F46267" w:rsidRPr="00486B87">
        <w:rPr>
          <w:rFonts w:ascii="Times New Roman" w:hAnsi="Times New Roman" w:cs="Times New Roman"/>
          <w:sz w:val="24"/>
          <w:szCs w:val="24"/>
        </w:rPr>
        <w:t xml:space="preserve"> </w:t>
      </w:r>
      <w:r w:rsidR="0026731C" w:rsidRPr="00486B87">
        <w:rPr>
          <w:rFonts w:ascii="Times New Roman" w:hAnsi="Times New Roman" w:cs="Times New Roman"/>
          <w:sz w:val="24"/>
          <w:szCs w:val="24"/>
        </w:rPr>
        <w:t>trees are planted “for the benefit of another generation”</w:t>
      </w:r>
      <w:r w:rsidR="0026731C" w:rsidRPr="00486B87">
        <w:rPr>
          <w:rStyle w:val="FootnoteReference"/>
          <w:rFonts w:ascii="Times New Roman" w:hAnsi="Times New Roman" w:cs="Times New Roman"/>
          <w:sz w:val="24"/>
          <w:szCs w:val="24"/>
        </w:rPr>
        <w:footnoteReference w:id="114"/>
      </w:r>
      <w:r w:rsidR="0026731C" w:rsidRPr="00486B87">
        <w:rPr>
          <w:rFonts w:ascii="Times New Roman" w:hAnsi="Times New Roman" w:cs="Times New Roman"/>
          <w:sz w:val="24"/>
          <w:szCs w:val="24"/>
        </w:rPr>
        <w:t>.</w:t>
      </w:r>
      <w:r w:rsidR="0026731C" w:rsidRPr="00AB5AFF">
        <w:rPr>
          <w:rFonts w:ascii="Times New Roman" w:hAnsi="Times New Roman" w:cs="Times New Roman"/>
          <w:sz w:val="24"/>
          <w:szCs w:val="24"/>
        </w:rPr>
        <w:t xml:space="preserve"> </w:t>
      </w:r>
    </w:p>
    <w:sectPr w:rsidR="00541892" w:rsidRPr="00AB5AF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ADA93B" w14:textId="77777777" w:rsidR="008B4762" w:rsidRDefault="008B4762" w:rsidP="003F316B">
      <w:pPr>
        <w:spacing w:after="0" w:line="240" w:lineRule="auto"/>
      </w:pPr>
      <w:r>
        <w:separator/>
      </w:r>
    </w:p>
  </w:endnote>
  <w:endnote w:type="continuationSeparator" w:id="0">
    <w:p w14:paraId="55073C7E" w14:textId="77777777" w:rsidR="008B4762" w:rsidRDefault="008B4762" w:rsidP="003F3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Calibr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78C97F" w14:textId="77777777" w:rsidR="008B4762" w:rsidRDefault="008B4762" w:rsidP="003F316B">
      <w:pPr>
        <w:spacing w:after="0" w:line="240" w:lineRule="auto"/>
      </w:pPr>
      <w:r>
        <w:separator/>
      </w:r>
    </w:p>
  </w:footnote>
  <w:footnote w:type="continuationSeparator" w:id="0">
    <w:p w14:paraId="1A002FA4" w14:textId="77777777" w:rsidR="008B4762" w:rsidRDefault="008B4762" w:rsidP="003F316B">
      <w:pPr>
        <w:spacing w:after="0" w:line="240" w:lineRule="auto"/>
      </w:pPr>
      <w:r>
        <w:continuationSeparator/>
      </w:r>
    </w:p>
  </w:footnote>
  <w:footnote w:id="1">
    <w:p w14:paraId="03D1E473" w14:textId="668224A3" w:rsidR="00087191" w:rsidRPr="00970A57" w:rsidRDefault="00087191" w:rsidP="004A4F0C">
      <w:pPr>
        <w:pStyle w:val="FootnoteText"/>
        <w:rPr>
          <w:rFonts w:cstheme="minorHAnsi"/>
        </w:rPr>
      </w:pPr>
      <w:r w:rsidRPr="00970A57">
        <w:rPr>
          <w:rStyle w:val="FootnoteReference"/>
          <w:rFonts w:cstheme="minorHAnsi"/>
        </w:rPr>
        <w:footnoteRef/>
      </w:r>
      <w:r w:rsidRPr="00970A57">
        <w:rPr>
          <w:rFonts w:cstheme="minorHAnsi"/>
        </w:rPr>
        <w:t xml:space="preserve"> Marc is a Teaching Associate in Law at the University of Bristol. </w:t>
      </w:r>
    </w:p>
  </w:footnote>
  <w:footnote w:id="2">
    <w:p w14:paraId="22032F2E" w14:textId="1C59F96B" w:rsidR="00087191" w:rsidRPr="00970A57" w:rsidRDefault="00087191" w:rsidP="004A4F0C">
      <w:pPr>
        <w:pStyle w:val="FootnoteText"/>
        <w:rPr>
          <w:rFonts w:cstheme="minorHAnsi"/>
        </w:rPr>
      </w:pPr>
      <w:r w:rsidRPr="00970A57">
        <w:rPr>
          <w:rStyle w:val="FootnoteReference"/>
          <w:rFonts w:cstheme="minorHAnsi"/>
        </w:rPr>
        <w:footnoteRef/>
      </w:r>
      <w:r w:rsidRPr="00970A57">
        <w:rPr>
          <w:rFonts w:cstheme="minorHAnsi"/>
        </w:rPr>
        <w:t xml:space="preserve"> This article is solely concerned with legal marriage and not with religious marriage. </w:t>
      </w:r>
    </w:p>
  </w:footnote>
  <w:footnote w:id="3">
    <w:p w14:paraId="26563451" w14:textId="583F4842" w:rsidR="009E5584" w:rsidRDefault="009E5584">
      <w:pPr>
        <w:pStyle w:val="FootnoteText"/>
      </w:pPr>
      <w:r>
        <w:rPr>
          <w:rStyle w:val="FootnoteReference"/>
        </w:rPr>
        <w:footnoteRef/>
      </w:r>
      <w:r>
        <w:t xml:space="preserve"> For example</w:t>
      </w:r>
      <w:r w:rsidR="00B47F9D">
        <w:t xml:space="preserve"> some perceptions are that the previous reservation of marriage for opposite-sex couples creates a hierarchy of legal partnership. Professor Howard </w:t>
      </w:r>
      <w:proofErr w:type="spellStart"/>
      <w:r w:rsidR="00B47F9D">
        <w:t>NeJaime</w:t>
      </w:r>
      <w:proofErr w:type="spellEnd"/>
      <w:r w:rsidR="00B47F9D">
        <w:t xml:space="preserve"> said in </w:t>
      </w:r>
      <w:r w:rsidR="00B47F9D" w:rsidRPr="00970A57">
        <w:rPr>
          <w:rFonts w:cstheme="minorHAnsi"/>
          <w:i/>
        </w:rPr>
        <w:t xml:space="preserve">R Ferguson v AG &amp; </w:t>
      </w:r>
      <w:proofErr w:type="spellStart"/>
      <w:r w:rsidR="00B47F9D" w:rsidRPr="00970A57">
        <w:rPr>
          <w:rFonts w:cstheme="minorHAnsi"/>
          <w:i/>
        </w:rPr>
        <w:t>OutBermuda</w:t>
      </w:r>
      <w:proofErr w:type="spellEnd"/>
      <w:r w:rsidR="00B47F9D" w:rsidRPr="00970A57">
        <w:rPr>
          <w:rFonts w:cstheme="minorHAnsi"/>
          <w:i/>
        </w:rPr>
        <w:t xml:space="preserve"> et al v AG </w:t>
      </w:r>
      <w:r w:rsidR="00B47F9D" w:rsidRPr="00970A57">
        <w:rPr>
          <w:rFonts w:cstheme="minorHAnsi"/>
        </w:rPr>
        <w:t>[2018] SC (</w:t>
      </w:r>
      <w:proofErr w:type="spellStart"/>
      <w:r w:rsidR="00B47F9D" w:rsidRPr="00970A57">
        <w:rPr>
          <w:rFonts w:cstheme="minorHAnsi"/>
        </w:rPr>
        <w:t>Bda</w:t>
      </w:r>
      <w:proofErr w:type="spellEnd"/>
      <w:r w:rsidR="00B47F9D" w:rsidRPr="00970A57">
        <w:rPr>
          <w:rFonts w:cstheme="minorHAnsi"/>
        </w:rPr>
        <w:t xml:space="preserve">) 45 </w:t>
      </w:r>
      <w:proofErr w:type="spellStart"/>
      <w:r w:rsidR="00B47F9D" w:rsidRPr="00970A57">
        <w:rPr>
          <w:rFonts w:cstheme="minorHAnsi"/>
        </w:rPr>
        <w:t>Civ</w:t>
      </w:r>
      <w:proofErr w:type="spellEnd"/>
      <w:r w:rsidR="00B47F9D">
        <w:rPr>
          <w:rFonts w:cstheme="minorHAnsi"/>
        </w:rPr>
        <w:t xml:space="preserve"> at para</w:t>
      </w:r>
      <w:r w:rsidR="006431C9">
        <w:rPr>
          <w:rFonts w:cstheme="minorHAnsi"/>
        </w:rPr>
        <w:t>.</w:t>
      </w:r>
      <w:r w:rsidR="00B47F9D">
        <w:rPr>
          <w:rFonts w:cstheme="minorHAnsi"/>
        </w:rPr>
        <w:t xml:space="preserve">19, that internationally speaking, partnerships are not perceived to attract the same respect as marriage. </w:t>
      </w:r>
      <w:r w:rsidR="00B47F9D">
        <w:t>S</w:t>
      </w:r>
      <w:r>
        <w:t xml:space="preserve">ee </w:t>
      </w:r>
      <w:r w:rsidR="005874BD" w:rsidRPr="00777601">
        <w:t>H Fenwick and A Hayward</w:t>
      </w:r>
      <w:r w:rsidR="005874BD">
        <w:t>, “</w:t>
      </w:r>
      <w:r w:rsidR="005874BD" w:rsidRPr="00777601">
        <w:t>Rejecting asymmetry of access to formal relationship statuses for same and different-sex couples at Strasbourg and domestically</w:t>
      </w:r>
      <w:r w:rsidR="005874BD">
        <w:t xml:space="preserve">” </w:t>
      </w:r>
      <w:r w:rsidR="006431C9">
        <w:t>[</w:t>
      </w:r>
      <w:r w:rsidR="005874BD">
        <w:t>2017</w:t>
      </w:r>
      <w:r w:rsidR="006431C9">
        <w:t>]</w:t>
      </w:r>
      <w:r w:rsidR="005874BD">
        <w:t xml:space="preserve"> 6 </w:t>
      </w:r>
      <w:r w:rsidR="006431C9" w:rsidRPr="00A553D0">
        <w:t>EHRLR</w:t>
      </w:r>
      <w:r w:rsidR="005874BD">
        <w:t xml:space="preserve"> 544; </w:t>
      </w:r>
      <w:r w:rsidR="005874BD" w:rsidRPr="005874BD">
        <w:t>H Fenwick</w:t>
      </w:r>
      <w:r w:rsidR="005874BD">
        <w:t>, “</w:t>
      </w:r>
      <w:r w:rsidR="005874BD" w:rsidRPr="005874BD">
        <w:t>Same sex unions at the Strasbourg Court in a divided Europe: driving forward reform or protecting the court's authority via consensus analysis?</w:t>
      </w:r>
      <w:r w:rsidR="005874BD">
        <w:t xml:space="preserve">” </w:t>
      </w:r>
      <w:proofErr w:type="gramStart"/>
      <w:r w:rsidR="00182857">
        <w:t>[</w:t>
      </w:r>
      <w:r w:rsidR="005874BD">
        <w:t>2016</w:t>
      </w:r>
      <w:r w:rsidR="00182857">
        <w:t>]</w:t>
      </w:r>
      <w:r w:rsidR="005874BD">
        <w:t xml:space="preserve"> </w:t>
      </w:r>
      <w:r w:rsidR="005874BD" w:rsidRPr="00191101">
        <w:rPr>
          <w:i/>
        </w:rPr>
        <w:t xml:space="preserve">3 </w:t>
      </w:r>
      <w:r w:rsidR="00182857" w:rsidRPr="00A553D0">
        <w:t>EHRLR</w:t>
      </w:r>
      <w:r w:rsidR="005874BD">
        <w:t xml:space="preserve"> 248; </w:t>
      </w:r>
      <w:r w:rsidRPr="009E5584">
        <w:t>R</w:t>
      </w:r>
      <w:r>
        <w:t>.</w:t>
      </w:r>
      <w:r w:rsidRPr="009E5584">
        <w:t xml:space="preserve"> </w:t>
      </w:r>
      <w:proofErr w:type="spellStart"/>
      <w:r w:rsidRPr="009E5584">
        <w:t>Leckey</w:t>
      </w:r>
      <w:proofErr w:type="spellEnd"/>
      <w:r>
        <w:t>, “</w:t>
      </w:r>
      <w:r w:rsidRPr="009E5584">
        <w:t>Must equal mean identical?</w:t>
      </w:r>
      <w:proofErr w:type="gramEnd"/>
      <w:r w:rsidRPr="009E5584">
        <w:t xml:space="preserve"> Same-sex couples and marriage</w:t>
      </w:r>
      <w:r>
        <w:t xml:space="preserve">” (2014) 10(1) </w:t>
      </w:r>
      <w:r w:rsidRPr="009E5584">
        <w:t>International Journal of Law in Context</w:t>
      </w:r>
      <w:r>
        <w:t xml:space="preserve"> 5; </w:t>
      </w:r>
      <w:r w:rsidRPr="009E5584">
        <w:t>F</w:t>
      </w:r>
      <w:r>
        <w:t>.</w:t>
      </w:r>
      <w:r w:rsidRPr="009E5584">
        <w:t xml:space="preserve"> Hamilton</w:t>
      </w:r>
      <w:r>
        <w:t>, “</w:t>
      </w:r>
      <w:r w:rsidRPr="009E5584">
        <w:t>Why the margin of appreciation is not the answer to the gay marriage debate</w:t>
      </w:r>
      <w:r>
        <w:t xml:space="preserve">” </w:t>
      </w:r>
      <w:r w:rsidR="00925E5C">
        <w:t>[</w:t>
      </w:r>
      <w:r>
        <w:t>2013</w:t>
      </w:r>
      <w:r w:rsidR="00925E5C">
        <w:t>]</w:t>
      </w:r>
      <w:r>
        <w:t xml:space="preserve"> 1 </w:t>
      </w:r>
      <w:r w:rsidR="00925E5C">
        <w:t>EHRLR</w:t>
      </w:r>
      <w:r>
        <w:t xml:space="preserve"> 47</w:t>
      </w:r>
      <w:r w:rsidR="001928DF">
        <w:t>;</w:t>
      </w:r>
      <w:r w:rsidR="000B21C9">
        <w:t xml:space="preserve"> R. </w:t>
      </w:r>
      <w:r w:rsidR="000B21C9" w:rsidRPr="000B21C9">
        <w:t xml:space="preserve">Gaffney-Rhys, “Same-sex marriage but not mixed-sex partnerships: should the Civil Partnership Act 2004 be extended to opposite sex couples?” </w:t>
      </w:r>
      <w:proofErr w:type="gramStart"/>
      <w:r w:rsidR="000B21C9" w:rsidRPr="000B21C9">
        <w:t xml:space="preserve">(2014) 26(2) </w:t>
      </w:r>
      <w:r w:rsidR="000B21C9" w:rsidRPr="00191101">
        <w:rPr>
          <w:i/>
        </w:rPr>
        <w:t>Child and Family Law Quarterly</w:t>
      </w:r>
      <w:r w:rsidR="000B21C9" w:rsidRPr="000B21C9">
        <w:t xml:space="preserve"> 173</w:t>
      </w:r>
      <w:r w:rsidR="000B21C9">
        <w:t>;</w:t>
      </w:r>
      <w:r w:rsidR="001928DF">
        <w:t xml:space="preserve"> </w:t>
      </w:r>
      <w:r w:rsidR="001928DF" w:rsidRPr="001928DF">
        <w:t>R</w:t>
      </w:r>
      <w:r w:rsidR="001928DF">
        <w:t>.</w:t>
      </w:r>
      <w:r w:rsidR="001928DF" w:rsidRPr="001928DF">
        <w:t xml:space="preserve"> Sandberg</w:t>
      </w:r>
      <w:r w:rsidR="001928DF">
        <w:t>, “</w:t>
      </w:r>
      <w:r w:rsidR="001928DF" w:rsidRPr="001928DF">
        <w:t>The right to discriminate</w:t>
      </w:r>
      <w:r w:rsidR="001928DF">
        <w:t xml:space="preserve">” (2011) 13(2) </w:t>
      </w:r>
      <w:r w:rsidR="001928DF" w:rsidRPr="00191101">
        <w:rPr>
          <w:i/>
        </w:rPr>
        <w:t>Ecclesiastical Law Journal</w:t>
      </w:r>
      <w:r w:rsidR="001928DF">
        <w:t xml:space="preserve"> 157.</w:t>
      </w:r>
      <w:proofErr w:type="gramEnd"/>
    </w:p>
  </w:footnote>
  <w:footnote w:id="4">
    <w:p w14:paraId="745EA0BF" w14:textId="16DF7F51" w:rsidR="00654D7F" w:rsidRPr="0057189B" w:rsidRDefault="00654D7F">
      <w:pPr>
        <w:pStyle w:val="FootnoteText"/>
      </w:pPr>
      <w:r>
        <w:rPr>
          <w:rStyle w:val="FootnoteReference"/>
        </w:rPr>
        <w:footnoteRef/>
      </w:r>
      <w:r>
        <w:t xml:space="preserve"> </w:t>
      </w:r>
      <w:r w:rsidR="008F7E86">
        <w:t>R.</w:t>
      </w:r>
      <w:r w:rsidR="008F7E86" w:rsidRPr="008F7E86">
        <w:t xml:space="preserve"> </w:t>
      </w:r>
      <w:proofErr w:type="spellStart"/>
      <w:r w:rsidR="008F7E86" w:rsidRPr="008F7E86">
        <w:t>Wintemute</w:t>
      </w:r>
      <w:proofErr w:type="spellEnd"/>
      <w:r w:rsidR="008F7E86">
        <w:t>, “</w:t>
      </w:r>
      <w:r w:rsidR="008F7E86" w:rsidRPr="008F7E86">
        <w:t>Unequal same-sex survivor pensions: the EWCA refuses to apply CJEU precedents or refer</w:t>
      </w:r>
      <w:r w:rsidR="008F7E86">
        <w:t xml:space="preserve">” (2016) 45(1) </w:t>
      </w:r>
      <w:r w:rsidR="008F7E86" w:rsidRPr="008F7E86">
        <w:t>Industrial Law Journal</w:t>
      </w:r>
      <w:r w:rsidR="008F7E86">
        <w:t xml:space="preserve"> 89; </w:t>
      </w:r>
      <w:r w:rsidR="0057189B" w:rsidRPr="0057189B">
        <w:t>N</w:t>
      </w:r>
      <w:r w:rsidR="0057189B">
        <w:t>.</w:t>
      </w:r>
      <w:r w:rsidR="0057189B" w:rsidRPr="0057189B">
        <w:t xml:space="preserve"> Barker, D</w:t>
      </w:r>
      <w:r w:rsidR="0057189B">
        <w:t>.</w:t>
      </w:r>
      <w:r w:rsidR="0057189B" w:rsidRPr="0057189B">
        <w:t xml:space="preserve"> </w:t>
      </w:r>
      <w:proofErr w:type="gramStart"/>
      <w:r w:rsidR="0057189B" w:rsidRPr="0057189B">
        <w:t>Monk</w:t>
      </w:r>
      <w:r w:rsidR="0057189B">
        <w:t>(</w:t>
      </w:r>
      <w:proofErr w:type="spellStart"/>
      <w:proofErr w:type="gramEnd"/>
      <w:r w:rsidR="0057189B">
        <w:t>eds</w:t>
      </w:r>
      <w:proofErr w:type="spellEnd"/>
      <w:r w:rsidR="0057189B">
        <w:t xml:space="preserve">), </w:t>
      </w:r>
      <w:r w:rsidR="0057189B" w:rsidRPr="0057189B">
        <w:rPr>
          <w:i/>
        </w:rPr>
        <w:t>From Civil Partnership to Same-Sex Marriage: Interdisciplinary Reflections</w:t>
      </w:r>
      <w:r w:rsidR="0057189B">
        <w:t xml:space="preserve"> (Routledge, 2015</w:t>
      </w:r>
      <w:r w:rsidR="00CB36AC">
        <w:t xml:space="preserve">). </w:t>
      </w:r>
    </w:p>
  </w:footnote>
  <w:footnote w:id="5">
    <w:p w14:paraId="0E3F3D83" w14:textId="3B5036AC" w:rsidR="006F3F43" w:rsidRDefault="006F3F43">
      <w:pPr>
        <w:pStyle w:val="FootnoteText"/>
      </w:pPr>
      <w:r>
        <w:rPr>
          <w:rStyle w:val="FootnoteReference"/>
        </w:rPr>
        <w:footnoteRef/>
      </w:r>
      <w:r w:rsidR="00A413E5">
        <w:t xml:space="preserve"> </w:t>
      </w:r>
      <w:r w:rsidR="00A413E5" w:rsidRPr="00A413E5">
        <w:rPr>
          <w:i/>
        </w:rPr>
        <w:t xml:space="preserve">R (on the application of </w:t>
      </w:r>
      <w:proofErr w:type="spellStart"/>
      <w:r w:rsidR="00A413E5" w:rsidRPr="00A413E5">
        <w:rPr>
          <w:i/>
        </w:rPr>
        <w:t>Steinfeld</w:t>
      </w:r>
      <w:proofErr w:type="spellEnd"/>
      <w:r w:rsidR="00A413E5" w:rsidRPr="00A413E5">
        <w:rPr>
          <w:i/>
        </w:rPr>
        <w:t xml:space="preserve"> and </w:t>
      </w:r>
      <w:proofErr w:type="spellStart"/>
      <w:r w:rsidR="00A413E5" w:rsidRPr="00A413E5">
        <w:rPr>
          <w:i/>
        </w:rPr>
        <w:t>Keiden</w:t>
      </w:r>
      <w:proofErr w:type="spellEnd"/>
      <w:r w:rsidR="00A413E5" w:rsidRPr="00A413E5">
        <w:rPr>
          <w:i/>
        </w:rPr>
        <w:t>) v Secretary of State for the International Development (in substitution for the Home Secretary and the Education Secretary)</w:t>
      </w:r>
      <w:r w:rsidR="00A413E5">
        <w:t xml:space="preserve"> </w:t>
      </w:r>
      <w:r w:rsidR="00A413E5" w:rsidRPr="00A413E5">
        <w:t>[2018] UKSC 32</w:t>
      </w:r>
    </w:p>
  </w:footnote>
  <w:footnote w:id="6">
    <w:p w14:paraId="467D960D" w14:textId="3C26BD39" w:rsidR="00A413E5" w:rsidRDefault="00A413E5">
      <w:pPr>
        <w:pStyle w:val="FootnoteText"/>
      </w:pPr>
      <w:r>
        <w:rPr>
          <w:rStyle w:val="FootnoteReference"/>
        </w:rPr>
        <w:footnoteRef/>
      </w:r>
      <w:r>
        <w:t xml:space="preserve"> Under the powers conferred on them by Human Rights Act 1998 s.(4)</w:t>
      </w:r>
    </w:p>
  </w:footnote>
  <w:footnote w:id="7">
    <w:p w14:paraId="73F2F4BC" w14:textId="0EC3FB53" w:rsidR="006F3F43" w:rsidRDefault="006F3F43">
      <w:pPr>
        <w:pStyle w:val="FootnoteText"/>
      </w:pPr>
      <w:r>
        <w:rPr>
          <w:rStyle w:val="FootnoteReference"/>
        </w:rPr>
        <w:footnoteRef/>
      </w:r>
      <w:r>
        <w:t xml:space="preserve"> Human Rights Act 1998 </w:t>
      </w:r>
      <w:r w:rsidR="00A413E5">
        <w:t>Sch</w:t>
      </w:r>
      <w:r w:rsidR="00C0208C">
        <w:t>.</w:t>
      </w:r>
      <w:r w:rsidR="00A413E5">
        <w:t>1</w:t>
      </w:r>
    </w:p>
  </w:footnote>
  <w:footnote w:id="8">
    <w:p w14:paraId="78DA979B" w14:textId="125428FF" w:rsidR="003E6758" w:rsidRDefault="003E6758">
      <w:pPr>
        <w:pStyle w:val="FootnoteText"/>
      </w:pPr>
      <w:r>
        <w:rPr>
          <w:rStyle w:val="FootnoteReference"/>
        </w:rPr>
        <w:footnoteRef/>
      </w:r>
      <w:r>
        <w:t xml:space="preserve"> This will be discussed later in this article</w:t>
      </w:r>
      <w:r w:rsidR="00A16CCD">
        <w:t>.</w:t>
      </w:r>
    </w:p>
  </w:footnote>
  <w:footnote w:id="9">
    <w:p w14:paraId="27D76D63" w14:textId="65069013" w:rsidR="00087191" w:rsidRPr="00970A57" w:rsidRDefault="00087191" w:rsidP="004A4F0C">
      <w:pPr>
        <w:pStyle w:val="FootnoteText"/>
        <w:rPr>
          <w:rFonts w:cstheme="minorHAnsi"/>
        </w:rPr>
      </w:pPr>
      <w:r w:rsidRPr="00970A57">
        <w:rPr>
          <w:rStyle w:val="FootnoteReference"/>
          <w:rFonts w:cstheme="minorHAnsi"/>
        </w:rPr>
        <w:footnoteRef/>
      </w:r>
      <w:r w:rsidRPr="00970A57">
        <w:rPr>
          <w:rFonts w:cstheme="minorHAnsi"/>
        </w:rPr>
        <w:t xml:space="preserve"> E. </w:t>
      </w:r>
      <w:proofErr w:type="spellStart"/>
      <w:r w:rsidRPr="00970A57">
        <w:rPr>
          <w:rFonts w:cstheme="minorHAnsi"/>
        </w:rPr>
        <w:t>Farge</w:t>
      </w:r>
      <w:proofErr w:type="spellEnd"/>
      <w:r w:rsidRPr="00970A57">
        <w:rPr>
          <w:rFonts w:cstheme="minorHAnsi"/>
        </w:rPr>
        <w:t xml:space="preserve">, “Bermudian lawyer goes to court to challenge gay marriage reversal” (February 20, 2018) </w:t>
      </w:r>
      <w:r w:rsidRPr="00970A57">
        <w:rPr>
          <w:rFonts w:cstheme="minorHAnsi"/>
          <w:i/>
        </w:rPr>
        <w:t>Reuters World News</w:t>
      </w:r>
      <w:r w:rsidRPr="00970A57">
        <w:rPr>
          <w:rFonts w:cstheme="minorHAnsi"/>
        </w:rPr>
        <w:t xml:space="preserve"> &lt; https://www.reuters.com/article/us-bermuda-gaymarriage/bermudian-lawyer-goes-to-court-to-challenge-gay-marriage-reversal-idUSKCN1G401N?il=0</w:t>
      </w:r>
      <w:r w:rsidR="00C77458">
        <w:rPr>
          <w:rFonts w:cstheme="minorHAnsi"/>
        </w:rPr>
        <w:t xml:space="preserve"> </w:t>
      </w:r>
      <w:r w:rsidRPr="00970A57">
        <w:rPr>
          <w:rFonts w:cstheme="minorHAnsi"/>
        </w:rPr>
        <w:t xml:space="preserve">&gt; [Accessed </w:t>
      </w:r>
      <w:r w:rsidR="00550635">
        <w:rPr>
          <w:rFonts w:cstheme="minorHAnsi"/>
        </w:rPr>
        <w:t>June 26</w:t>
      </w:r>
      <w:r w:rsidRPr="00970A57">
        <w:rPr>
          <w:rFonts w:cstheme="minorHAnsi"/>
        </w:rPr>
        <w:t>, 2018]</w:t>
      </w:r>
    </w:p>
  </w:footnote>
  <w:footnote w:id="10">
    <w:p w14:paraId="63091330" w14:textId="53BC641D" w:rsidR="0062163E" w:rsidRPr="00970A57" w:rsidRDefault="0062163E" w:rsidP="004A4F0C">
      <w:pPr>
        <w:pStyle w:val="FootnoteText"/>
        <w:rPr>
          <w:rFonts w:cstheme="minorHAnsi"/>
        </w:rPr>
      </w:pPr>
      <w:r w:rsidRPr="00970A57">
        <w:rPr>
          <w:rStyle w:val="FootnoteReference"/>
          <w:rFonts w:cstheme="minorHAnsi"/>
        </w:rPr>
        <w:footnoteRef/>
      </w:r>
      <w:r w:rsidRPr="00970A57">
        <w:rPr>
          <w:rFonts w:cstheme="minorHAnsi"/>
        </w:rPr>
        <w:t xml:space="preserve"> </w:t>
      </w:r>
      <w:r w:rsidRPr="00970A57">
        <w:rPr>
          <w:rFonts w:cstheme="minorHAnsi"/>
          <w:i/>
        </w:rPr>
        <w:t xml:space="preserve">R Ferguson v AG &amp; </w:t>
      </w:r>
      <w:proofErr w:type="spellStart"/>
      <w:r w:rsidRPr="00970A57">
        <w:rPr>
          <w:rFonts w:cstheme="minorHAnsi"/>
          <w:i/>
        </w:rPr>
        <w:t>OutBermuda</w:t>
      </w:r>
      <w:proofErr w:type="spellEnd"/>
      <w:r w:rsidRPr="00970A57">
        <w:rPr>
          <w:rFonts w:cstheme="minorHAnsi"/>
          <w:i/>
        </w:rPr>
        <w:t xml:space="preserve"> et al v AG </w:t>
      </w:r>
      <w:r w:rsidRPr="00970A57">
        <w:rPr>
          <w:rFonts w:cstheme="minorHAnsi"/>
        </w:rPr>
        <w:t>[2018] SC (</w:t>
      </w:r>
      <w:proofErr w:type="spellStart"/>
      <w:r w:rsidRPr="00970A57">
        <w:rPr>
          <w:rFonts w:cstheme="minorHAnsi"/>
        </w:rPr>
        <w:t>Bda</w:t>
      </w:r>
      <w:proofErr w:type="spellEnd"/>
      <w:r w:rsidRPr="00970A57">
        <w:rPr>
          <w:rFonts w:cstheme="minorHAnsi"/>
        </w:rPr>
        <w:t>) 45 Ci</w:t>
      </w:r>
    </w:p>
  </w:footnote>
  <w:footnote w:id="11">
    <w:p w14:paraId="17EACD45" w14:textId="714839EB" w:rsidR="00835862" w:rsidRPr="00C77458" w:rsidRDefault="00835862">
      <w:pPr>
        <w:pStyle w:val="FootnoteText"/>
      </w:pPr>
      <w:r>
        <w:rPr>
          <w:rStyle w:val="FootnoteReference"/>
        </w:rPr>
        <w:footnoteRef/>
      </w:r>
      <w:r>
        <w:t xml:space="preserve"> J Bell, “</w:t>
      </w:r>
      <w:r w:rsidR="00C77458" w:rsidRPr="00C77458">
        <w:t>Government appeals same-sex ruling</w:t>
      </w:r>
      <w:r w:rsidR="00C77458">
        <w:t xml:space="preserve">” (July 6, 2018) </w:t>
      </w:r>
      <w:r w:rsidR="00C77458">
        <w:rPr>
          <w:i/>
        </w:rPr>
        <w:t>The Royal Gazette</w:t>
      </w:r>
      <w:r w:rsidR="00C77458">
        <w:t xml:space="preserve"> &lt; </w:t>
      </w:r>
      <w:r w:rsidR="00C77458" w:rsidRPr="00C77458">
        <w:t>http://www.royalgazette.com/news/article/20180705/government-appeals-same-sex-ruling</w:t>
      </w:r>
      <w:r w:rsidR="00C77458">
        <w:t xml:space="preserve"> &gt; [Accessed July 7, 2018]</w:t>
      </w:r>
    </w:p>
  </w:footnote>
  <w:footnote w:id="12">
    <w:p w14:paraId="3681EDD8" w14:textId="6246481D" w:rsidR="00087191" w:rsidRPr="00970A57" w:rsidRDefault="00087191" w:rsidP="004A4F0C">
      <w:pPr>
        <w:pStyle w:val="FootnoteText"/>
        <w:rPr>
          <w:rFonts w:cstheme="minorHAnsi"/>
        </w:rPr>
      </w:pPr>
      <w:r w:rsidRPr="00970A57">
        <w:rPr>
          <w:rStyle w:val="FootnoteReference"/>
          <w:rFonts w:cstheme="minorHAnsi"/>
        </w:rPr>
        <w:footnoteRef/>
      </w:r>
      <w:r w:rsidRPr="00970A57">
        <w:rPr>
          <w:rFonts w:cstheme="minorHAnsi"/>
        </w:rPr>
        <w:t xml:space="preserve"> </w:t>
      </w:r>
      <w:proofErr w:type="gramStart"/>
      <w:r w:rsidRPr="00970A57">
        <w:rPr>
          <w:rFonts w:cstheme="minorHAnsi"/>
          <w:i/>
        </w:rPr>
        <w:t>FHR European Ventures LLP v Cedar Capital Partners LLC</w:t>
      </w:r>
      <w:r w:rsidRPr="00970A57">
        <w:rPr>
          <w:rFonts w:cstheme="minorHAnsi"/>
        </w:rPr>
        <w:t xml:space="preserve"> [2014] U</w:t>
      </w:r>
      <w:r w:rsidR="00655657" w:rsidRPr="00970A57">
        <w:rPr>
          <w:rFonts w:cstheme="minorHAnsi"/>
        </w:rPr>
        <w:t>.</w:t>
      </w:r>
      <w:r w:rsidRPr="00970A57">
        <w:rPr>
          <w:rFonts w:cstheme="minorHAnsi"/>
        </w:rPr>
        <w:t>K</w:t>
      </w:r>
      <w:r w:rsidR="00655657" w:rsidRPr="00970A57">
        <w:rPr>
          <w:rFonts w:cstheme="minorHAnsi"/>
        </w:rPr>
        <w:t>.</w:t>
      </w:r>
      <w:r w:rsidRPr="00970A57">
        <w:rPr>
          <w:rFonts w:cstheme="minorHAnsi"/>
        </w:rPr>
        <w:t>S</w:t>
      </w:r>
      <w:r w:rsidR="00655657" w:rsidRPr="00970A57">
        <w:rPr>
          <w:rFonts w:cstheme="minorHAnsi"/>
        </w:rPr>
        <w:t>.</w:t>
      </w:r>
      <w:r w:rsidRPr="00970A57">
        <w:rPr>
          <w:rFonts w:cstheme="minorHAnsi"/>
        </w:rPr>
        <w:t>C</w:t>
      </w:r>
      <w:r w:rsidR="00655657" w:rsidRPr="00970A57">
        <w:rPr>
          <w:rFonts w:cstheme="minorHAnsi"/>
        </w:rPr>
        <w:t>.</w:t>
      </w:r>
      <w:r w:rsidRPr="00970A57">
        <w:rPr>
          <w:rFonts w:cstheme="minorHAnsi"/>
        </w:rPr>
        <w:t xml:space="preserve"> 45; [2015] A.C. 250, Lord Neuberger at 45.</w:t>
      </w:r>
      <w:proofErr w:type="gramEnd"/>
    </w:p>
  </w:footnote>
  <w:footnote w:id="13">
    <w:p w14:paraId="1DA925C2" w14:textId="5F5BF403" w:rsidR="00087191" w:rsidRPr="00970A57" w:rsidRDefault="00087191" w:rsidP="004A4F0C">
      <w:pPr>
        <w:pStyle w:val="FootnoteText"/>
        <w:rPr>
          <w:rFonts w:cstheme="minorHAnsi"/>
        </w:rPr>
      </w:pPr>
      <w:r w:rsidRPr="00970A57">
        <w:rPr>
          <w:rStyle w:val="FootnoteReference"/>
          <w:rFonts w:cstheme="minorHAnsi"/>
        </w:rPr>
        <w:footnoteRef/>
      </w:r>
      <w:r w:rsidRPr="00970A57">
        <w:rPr>
          <w:rFonts w:cstheme="minorHAnsi"/>
        </w:rPr>
        <w:t xml:space="preserve"> </w:t>
      </w:r>
      <w:r w:rsidRPr="00970A57">
        <w:rPr>
          <w:rFonts w:eastAsia="Times New Roman" w:cstheme="minorHAnsi"/>
          <w:i/>
        </w:rPr>
        <w:t>Edwards v Canada</w:t>
      </w:r>
      <w:r w:rsidRPr="00970A57">
        <w:rPr>
          <w:rFonts w:eastAsia="Times New Roman" w:cstheme="minorHAnsi"/>
        </w:rPr>
        <w:t xml:space="preserve"> [1930] A.C. 124, 1929</w:t>
      </w:r>
      <w:r w:rsidRPr="00970A57">
        <w:rPr>
          <w:rFonts w:cstheme="minorHAnsi"/>
        </w:rPr>
        <w:t xml:space="preserve"> </w:t>
      </w:r>
      <w:r w:rsidRPr="00970A57">
        <w:rPr>
          <w:rFonts w:eastAsia="Times New Roman" w:cstheme="minorHAnsi"/>
        </w:rPr>
        <w:t>U</w:t>
      </w:r>
      <w:r w:rsidR="00655657" w:rsidRPr="00970A57">
        <w:rPr>
          <w:rFonts w:eastAsia="Times New Roman" w:cstheme="minorHAnsi"/>
        </w:rPr>
        <w:t>.</w:t>
      </w:r>
      <w:r w:rsidRPr="00970A57">
        <w:rPr>
          <w:rFonts w:eastAsia="Times New Roman" w:cstheme="minorHAnsi"/>
        </w:rPr>
        <w:t>K</w:t>
      </w:r>
      <w:r w:rsidR="00655657" w:rsidRPr="00970A57">
        <w:rPr>
          <w:rFonts w:eastAsia="Times New Roman" w:cstheme="minorHAnsi"/>
        </w:rPr>
        <w:t>.</w:t>
      </w:r>
      <w:r w:rsidRPr="00970A57">
        <w:rPr>
          <w:rFonts w:eastAsia="Times New Roman" w:cstheme="minorHAnsi"/>
        </w:rPr>
        <w:t>P</w:t>
      </w:r>
      <w:r w:rsidR="00655657" w:rsidRPr="00970A57">
        <w:rPr>
          <w:rFonts w:eastAsia="Times New Roman" w:cstheme="minorHAnsi"/>
        </w:rPr>
        <w:t>.</w:t>
      </w:r>
      <w:r w:rsidRPr="00970A57">
        <w:rPr>
          <w:rFonts w:eastAsia="Times New Roman" w:cstheme="minorHAnsi"/>
        </w:rPr>
        <w:t>C</w:t>
      </w:r>
      <w:r w:rsidR="00655657" w:rsidRPr="00970A57">
        <w:rPr>
          <w:rFonts w:eastAsia="Times New Roman" w:cstheme="minorHAnsi"/>
        </w:rPr>
        <w:t>.</w:t>
      </w:r>
      <w:r w:rsidRPr="00970A57">
        <w:rPr>
          <w:rFonts w:eastAsia="Times New Roman" w:cstheme="minorHAnsi"/>
        </w:rPr>
        <w:t xml:space="preserve"> 86</w:t>
      </w:r>
    </w:p>
  </w:footnote>
  <w:footnote w:id="14">
    <w:p w14:paraId="3DB4F5C6" w14:textId="2F5EB466" w:rsidR="000A29A2" w:rsidRPr="00970A57" w:rsidRDefault="000A29A2" w:rsidP="004A4F0C">
      <w:pPr>
        <w:pStyle w:val="FootnoteText"/>
        <w:rPr>
          <w:rFonts w:cstheme="minorHAnsi"/>
        </w:rPr>
      </w:pPr>
      <w:r w:rsidRPr="00970A57">
        <w:rPr>
          <w:rStyle w:val="FootnoteReference"/>
          <w:rFonts w:cstheme="minorHAnsi"/>
        </w:rPr>
        <w:footnoteRef/>
      </w:r>
      <w:r w:rsidRPr="00970A57">
        <w:rPr>
          <w:rFonts w:cstheme="minorHAnsi"/>
        </w:rPr>
        <w:t xml:space="preserve"> </w:t>
      </w:r>
      <w:r w:rsidRPr="00970A57">
        <w:rPr>
          <w:rFonts w:eastAsia="Times New Roman" w:cstheme="minorHAnsi"/>
        </w:rPr>
        <w:t>British North America Act 1867</w:t>
      </w:r>
    </w:p>
  </w:footnote>
  <w:footnote w:id="15">
    <w:p w14:paraId="71A8983C" w14:textId="692A03C1" w:rsidR="00745E4E" w:rsidRDefault="00745E4E">
      <w:pPr>
        <w:pStyle w:val="FootnoteText"/>
      </w:pPr>
      <w:r>
        <w:rPr>
          <w:rStyle w:val="FootnoteReference"/>
        </w:rPr>
        <w:footnoteRef/>
      </w:r>
      <w:r>
        <w:t xml:space="preserve"> </w:t>
      </w:r>
      <w:r w:rsidRPr="00A553D0">
        <w:rPr>
          <w:i/>
        </w:rPr>
        <w:t>ibid</w:t>
      </w:r>
    </w:p>
  </w:footnote>
  <w:footnote w:id="16">
    <w:p w14:paraId="46B0EF62" w14:textId="313E4892" w:rsidR="007242F4" w:rsidRPr="007242F4" w:rsidRDefault="007242F4">
      <w:pPr>
        <w:pStyle w:val="FootnoteText"/>
        <w:rPr>
          <w:rFonts w:cstheme="minorHAnsi"/>
        </w:rPr>
      </w:pPr>
      <w:r>
        <w:rPr>
          <w:rStyle w:val="FootnoteReference"/>
        </w:rPr>
        <w:footnoteRef/>
      </w:r>
      <w:r>
        <w:t xml:space="preserve"> </w:t>
      </w:r>
      <w:r w:rsidRPr="00970A57">
        <w:rPr>
          <w:rFonts w:eastAsia="Times New Roman" w:cstheme="minorHAnsi"/>
          <w:i/>
        </w:rPr>
        <w:t>Edwards v Canada</w:t>
      </w:r>
      <w:r w:rsidRPr="00970A57">
        <w:rPr>
          <w:rFonts w:eastAsia="Times New Roman" w:cstheme="minorHAnsi"/>
        </w:rPr>
        <w:t xml:space="preserve"> [1930] A.C. 124, 1929</w:t>
      </w:r>
      <w:r w:rsidRPr="00970A57">
        <w:rPr>
          <w:rFonts w:cstheme="minorHAnsi"/>
        </w:rPr>
        <w:t xml:space="preserve"> </w:t>
      </w:r>
      <w:r w:rsidRPr="00970A57">
        <w:rPr>
          <w:rFonts w:eastAsia="Times New Roman" w:cstheme="minorHAnsi"/>
        </w:rPr>
        <w:t>U.K.P.C. 86</w:t>
      </w:r>
    </w:p>
  </w:footnote>
  <w:footnote w:id="17">
    <w:p w14:paraId="01F8E7E9" w14:textId="3B2F0198" w:rsidR="00087191" w:rsidRPr="00970A57" w:rsidRDefault="00087191" w:rsidP="004A4F0C">
      <w:pPr>
        <w:pStyle w:val="FootnoteText"/>
        <w:rPr>
          <w:rFonts w:cstheme="minorHAnsi"/>
        </w:rPr>
      </w:pPr>
      <w:r w:rsidRPr="00970A57">
        <w:rPr>
          <w:rStyle w:val="FootnoteReference"/>
          <w:rFonts w:cstheme="minorHAnsi"/>
        </w:rPr>
        <w:footnoteRef/>
      </w:r>
      <w:r w:rsidRPr="00970A57">
        <w:rPr>
          <w:rFonts w:cstheme="minorHAnsi"/>
        </w:rPr>
        <w:t xml:space="preserve"> B. Wilson, “The making of a constitution: approaches to judicial interpretation” </w:t>
      </w:r>
      <w:r w:rsidR="00E50007">
        <w:rPr>
          <w:rFonts w:cstheme="minorHAnsi"/>
        </w:rPr>
        <w:t>[</w:t>
      </w:r>
      <w:r w:rsidRPr="00970A57">
        <w:rPr>
          <w:rFonts w:cstheme="minorHAnsi"/>
        </w:rPr>
        <w:t>1988</w:t>
      </w:r>
      <w:r w:rsidR="00E50007">
        <w:rPr>
          <w:rFonts w:cstheme="minorHAnsi"/>
        </w:rPr>
        <w:t>]</w:t>
      </w:r>
      <w:r w:rsidRPr="00970A57">
        <w:rPr>
          <w:rFonts w:cstheme="minorHAnsi"/>
        </w:rPr>
        <w:t xml:space="preserve"> </w:t>
      </w:r>
      <w:r w:rsidRPr="00191101">
        <w:rPr>
          <w:rFonts w:cstheme="minorHAnsi"/>
          <w:i/>
        </w:rPr>
        <w:t>Public Law</w:t>
      </w:r>
      <w:r w:rsidRPr="00970A57">
        <w:rPr>
          <w:rFonts w:cstheme="minorHAnsi"/>
        </w:rPr>
        <w:t xml:space="preserve"> 370</w:t>
      </w:r>
    </w:p>
  </w:footnote>
  <w:footnote w:id="18">
    <w:p w14:paraId="1B5C3242" w14:textId="553035A4" w:rsidR="00685BE2" w:rsidRPr="00685BE2" w:rsidRDefault="00685BE2">
      <w:pPr>
        <w:pStyle w:val="FootnoteText"/>
      </w:pPr>
      <w:r>
        <w:rPr>
          <w:rStyle w:val="FootnoteReference"/>
        </w:rPr>
        <w:footnoteRef/>
      </w:r>
      <w:r>
        <w:t xml:space="preserve"> Equality before the law has a long </w:t>
      </w:r>
      <w:r w:rsidR="00C8328A">
        <w:t>a</w:t>
      </w:r>
      <w:r w:rsidR="00037748">
        <w:t>nd</w:t>
      </w:r>
      <w:r>
        <w:t xml:space="preserve"> diverse history in the UK</w:t>
      </w:r>
      <w:r w:rsidR="00184A83">
        <w:t xml:space="preserve"> and has been codified in many written constitutions. I</w:t>
      </w:r>
      <w:r>
        <w:t>t has been argued that it forms part of the Rule of Law by notable theorists such as D</w:t>
      </w:r>
      <w:r w:rsidR="005958E7">
        <w:t xml:space="preserve">icey and Dworkin amongst others </w:t>
      </w:r>
      <w:r>
        <w:t>(see J.W.F. Allison(</w:t>
      </w:r>
      <w:proofErr w:type="spellStart"/>
      <w:proofErr w:type="gramStart"/>
      <w:r>
        <w:t>ed</w:t>
      </w:r>
      <w:proofErr w:type="spellEnd"/>
      <w:proofErr w:type="gramEnd"/>
      <w:r>
        <w:t xml:space="preserve">) A.V. Dicey, </w:t>
      </w:r>
      <w:r w:rsidRPr="00685BE2">
        <w:rPr>
          <w:i/>
        </w:rPr>
        <w:t>Introduction to the Study of the Law of the Constitution</w:t>
      </w:r>
      <w:r w:rsidRPr="00685BE2">
        <w:t xml:space="preserve"> (</w:t>
      </w:r>
      <w:r>
        <w:t>Oxford University Press 2013, first published in 1885</w:t>
      </w:r>
      <w:r w:rsidR="00880831">
        <w:t>)</w:t>
      </w:r>
      <w:r>
        <w:t xml:space="preserve"> and R. Dworkin, </w:t>
      </w:r>
      <w:r w:rsidR="00191101" w:rsidRPr="00970A57">
        <w:rPr>
          <w:rFonts w:cstheme="minorHAnsi"/>
          <w:i/>
        </w:rPr>
        <w:t>Taking Rights Seriously</w:t>
      </w:r>
      <w:r w:rsidR="00191101" w:rsidRPr="00970A57">
        <w:rPr>
          <w:rFonts w:cstheme="minorHAnsi"/>
        </w:rPr>
        <w:t xml:space="preserve"> (London: Duckworth, 1978)</w:t>
      </w:r>
      <w:r w:rsidR="005958E7">
        <w:t>)</w:t>
      </w:r>
      <w:r>
        <w:t xml:space="preserve">. There are many opinions on </w:t>
      </w:r>
      <w:r w:rsidR="00C8328A">
        <w:t xml:space="preserve">equality before the law and the connection with formal and substantive views of the Rule of Law makes for a lengthy discussion. For more see P. Craig, “Formal and substantive conceptions of the rule of law: an analytical framework” </w:t>
      </w:r>
      <w:r w:rsidR="00E50007">
        <w:t>[</w:t>
      </w:r>
      <w:r w:rsidR="00C8328A">
        <w:t>1997</w:t>
      </w:r>
      <w:r w:rsidR="00E50007">
        <w:t>]</w:t>
      </w:r>
      <w:r w:rsidR="00C8328A">
        <w:t xml:space="preserve"> </w:t>
      </w:r>
      <w:r w:rsidR="00C8328A" w:rsidRPr="00191101">
        <w:rPr>
          <w:i/>
        </w:rPr>
        <w:t>Public Law</w:t>
      </w:r>
      <w:r w:rsidR="00C8328A">
        <w:t xml:space="preserve"> 467.</w:t>
      </w:r>
    </w:p>
  </w:footnote>
  <w:footnote w:id="19">
    <w:p w14:paraId="726BA75F" w14:textId="4363527B" w:rsidR="00087191" w:rsidRPr="00970A57" w:rsidRDefault="00087191" w:rsidP="004A4F0C">
      <w:pPr>
        <w:pStyle w:val="FootnoteText"/>
        <w:rPr>
          <w:rFonts w:cstheme="minorHAnsi"/>
        </w:rPr>
      </w:pPr>
      <w:r w:rsidRPr="00970A57">
        <w:rPr>
          <w:rStyle w:val="FootnoteReference"/>
          <w:rFonts w:cstheme="minorHAnsi"/>
        </w:rPr>
        <w:footnoteRef/>
      </w:r>
      <w:r w:rsidRPr="00970A57">
        <w:rPr>
          <w:rFonts w:cstheme="minorHAnsi"/>
        </w:rPr>
        <w:t xml:space="preserve"> </w:t>
      </w:r>
      <w:r w:rsidRPr="00970A57">
        <w:rPr>
          <w:rFonts w:eastAsia="Times New Roman" w:cstheme="minorHAnsi"/>
          <w:i/>
        </w:rPr>
        <w:t>Edwards v Canada</w:t>
      </w:r>
      <w:r w:rsidRPr="00970A57">
        <w:rPr>
          <w:rFonts w:eastAsia="Times New Roman" w:cstheme="minorHAnsi"/>
        </w:rPr>
        <w:t xml:space="preserve"> [1930] A.C. 124, 1929</w:t>
      </w:r>
      <w:r w:rsidRPr="00970A57">
        <w:rPr>
          <w:rFonts w:cstheme="minorHAnsi"/>
        </w:rPr>
        <w:t xml:space="preserve"> </w:t>
      </w:r>
      <w:r w:rsidRPr="00970A57">
        <w:rPr>
          <w:rFonts w:eastAsia="Times New Roman" w:cstheme="minorHAnsi"/>
        </w:rPr>
        <w:t>U</w:t>
      </w:r>
      <w:r w:rsidR="00655657" w:rsidRPr="00970A57">
        <w:rPr>
          <w:rFonts w:eastAsia="Times New Roman" w:cstheme="minorHAnsi"/>
        </w:rPr>
        <w:t>.</w:t>
      </w:r>
      <w:r w:rsidRPr="00970A57">
        <w:rPr>
          <w:rFonts w:eastAsia="Times New Roman" w:cstheme="minorHAnsi"/>
        </w:rPr>
        <w:t>K</w:t>
      </w:r>
      <w:r w:rsidR="00655657" w:rsidRPr="00970A57">
        <w:rPr>
          <w:rFonts w:eastAsia="Times New Roman" w:cstheme="minorHAnsi"/>
        </w:rPr>
        <w:t>.</w:t>
      </w:r>
      <w:r w:rsidRPr="00970A57">
        <w:rPr>
          <w:rFonts w:eastAsia="Times New Roman" w:cstheme="minorHAnsi"/>
        </w:rPr>
        <w:t>P</w:t>
      </w:r>
      <w:r w:rsidR="00655657" w:rsidRPr="00970A57">
        <w:rPr>
          <w:rFonts w:eastAsia="Times New Roman" w:cstheme="minorHAnsi"/>
        </w:rPr>
        <w:t>.</w:t>
      </w:r>
      <w:r w:rsidRPr="00970A57">
        <w:rPr>
          <w:rFonts w:eastAsia="Times New Roman" w:cstheme="minorHAnsi"/>
        </w:rPr>
        <w:t>C</w:t>
      </w:r>
      <w:r w:rsidR="00655657" w:rsidRPr="00970A57">
        <w:rPr>
          <w:rFonts w:eastAsia="Times New Roman" w:cstheme="minorHAnsi"/>
        </w:rPr>
        <w:t>.</w:t>
      </w:r>
      <w:r w:rsidRPr="00970A57">
        <w:rPr>
          <w:rFonts w:eastAsia="Times New Roman" w:cstheme="minorHAnsi"/>
        </w:rPr>
        <w:t xml:space="preserve"> 86</w:t>
      </w:r>
    </w:p>
  </w:footnote>
  <w:footnote w:id="20">
    <w:p w14:paraId="1C106B77" w14:textId="6DBE47ED" w:rsidR="00087191" w:rsidRPr="00970A57" w:rsidRDefault="00087191" w:rsidP="004A4F0C">
      <w:pPr>
        <w:pStyle w:val="FootnoteText"/>
        <w:rPr>
          <w:rFonts w:cstheme="minorHAnsi"/>
        </w:rPr>
      </w:pPr>
      <w:r w:rsidRPr="00970A57">
        <w:rPr>
          <w:rStyle w:val="FootnoteReference"/>
          <w:rFonts w:cstheme="minorHAnsi"/>
        </w:rPr>
        <w:footnoteRef/>
      </w:r>
      <w:r w:rsidRPr="00970A57">
        <w:rPr>
          <w:rFonts w:cstheme="minorHAnsi"/>
        </w:rPr>
        <w:t xml:space="preserve"> </w:t>
      </w:r>
      <w:r w:rsidRPr="00970A57">
        <w:rPr>
          <w:rFonts w:eastAsia="Times New Roman" w:cstheme="minorHAnsi"/>
          <w:i/>
        </w:rPr>
        <w:t>Blackburn v Attorney General</w:t>
      </w:r>
      <w:r w:rsidRPr="00970A57">
        <w:rPr>
          <w:rFonts w:eastAsia="Times New Roman" w:cstheme="minorHAnsi"/>
        </w:rPr>
        <w:t xml:space="preserve"> [1971] E</w:t>
      </w:r>
      <w:r w:rsidR="00FC488D" w:rsidRPr="00970A57">
        <w:rPr>
          <w:rFonts w:eastAsia="Times New Roman" w:cstheme="minorHAnsi"/>
        </w:rPr>
        <w:t>.</w:t>
      </w:r>
      <w:r w:rsidRPr="00970A57">
        <w:rPr>
          <w:rFonts w:eastAsia="Times New Roman" w:cstheme="minorHAnsi"/>
        </w:rPr>
        <w:t>W</w:t>
      </w:r>
      <w:r w:rsidR="00FC488D" w:rsidRPr="00970A57">
        <w:rPr>
          <w:rFonts w:eastAsia="Times New Roman" w:cstheme="minorHAnsi"/>
        </w:rPr>
        <w:t>.</w:t>
      </w:r>
      <w:r w:rsidRPr="00970A57">
        <w:rPr>
          <w:rFonts w:eastAsia="Times New Roman" w:cstheme="minorHAnsi"/>
        </w:rPr>
        <w:t>C</w:t>
      </w:r>
      <w:r w:rsidR="00FC488D" w:rsidRPr="00970A57">
        <w:rPr>
          <w:rFonts w:eastAsia="Times New Roman" w:cstheme="minorHAnsi"/>
        </w:rPr>
        <w:t>.</w:t>
      </w:r>
      <w:r w:rsidRPr="00970A57">
        <w:rPr>
          <w:rFonts w:eastAsia="Times New Roman" w:cstheme="minorHAnsi"/>
        </w:rPr>
        <w:t>A</w:t>
      </w:r>
      <w:r w:rsidR="00FC488D" w:rsidRPr="00970A57">
        <w:rPr>
          <w:rFonts w:eastAsia="Times New Roman" w:cstheme="minorHAnsi"/>
        </w:rPr>
        <w:t>.</w:t>
      </w:r>
      <w:r w:rsidRPr="00970A57">
        <w:rPr>
          <w:rFonts w:eastAsia="Times New Roman" w:cstheme="minorHAnsi"/>
        </w:rPr>
        <w:t xml:space="preserve"> </w:t>
      </w:r>
      <w:proofErr w:type="spellStart"/>
      <w:r w:rsidRPr="00970A57">
        <w:rPr>
          <w:rFonts w:eastAsia="Times New Roman" w:cstheme="minorHAnsi"/>
        </w:rPr>
        <w:t>Civ</w:t>
      </w:r>
      <w:proofErr w:type="spellEnd"/>
      <w:r w:rsidRPr="00970A57">
        <w:rPr>
          <w:rFonts w:eastAsia="Times New Roman" w:cstheme="minorHAnsi"/>
        </w:rPr>
        <w:t xml:space="preserve"> 7</w:t>
      </w:r>
      <w:r w:rsidR="00FC488D" w:rsidRPr="00970A57">
        <w:rPr>
          <w:rFonts w:eastAsia="Times New Roman" w:cstheme="minorHAnsi"/>
        </w:rPr>
        <w:t>; 1 W.L.R 1037</w:t>
      </w:r>
    </w:p>
  </w:footnote>
  <w:footnote w:id="21">
    <w:p w14:paraId="57563353" w14:textId="6ED18FE4" w:rsidR="006131C0" w:rsidRPr="00970A57" w:rsidRDefault="006131C0" w:rsidP="004A4F0C">
      <w:pPr>
        <w:pStyle w:val="FootnoteText"/>
        <w:rPr>
          <w:rFonts w:cstheme="minorHAnsi"/>
        </w:rPr>
      </w:pPr>
      <w:r w:rsidRPr="00970A57">
        <w:rPr>
          <w:rStyle w:val="FootnoteReference"/>
          <w:rFonts w:cstheme="minorHAnsi"/>
        </w:rPr>
        <w:footnoteRef/>
      </w:r>
      <w:r w:rsidRPr="00970A57">
        <w:rPr>
          <w:rFonts w:cstheme="minorHAnsi"/>
        </w:rPr>
        <w:t xml:space="preserve"> Progressive Labour Party, “1972-1985” (2018) </w:t>
      </w:r>
      <w:r w:rsidRPr="00970A57">
        <w:rPr>
          <w:rFonts w:cstheme="minorHAnsi"/>
          <w:i/>
        </w:rPr>
        <w:t>History</w:t>
      </w:r>
      <w:r w:rsidRPr="00970A57">
        <w:rPr>
          <w:rFonts w:cstheme="minorHAnsi"/>
        </w:rPr>
        <w:t xml:space="preserve"> &lt; http://www.plp.bm/history &gt; [Accessed June </w:t>
      </w:r>
      <w:r w:rsidR="00F55E7B">
        <w:rPr>
          <w:rFonts w:cstheme="minorHAnsi"/>
        </w:rPr>
        <w:t>2</w:t>
      </w:r>
      <w:r w:rsidRPr="00970A57">
        <w:rPr>
          <w:rFonts w:cstheme="minorHAnsi"/>
        </w:rPr>
        <w:t>6, 2018)</w:t>
      </w:r>
    </w:p>
  </w:footnote>
  <w:footnote w:id="22">
    <w:p w14:paraId="0F2649AC" w14:textId="58E81BA7" w:rsidR="00087191" w:rsidRPr="00970A57" w:rsidRDefault="00087191" w:rsidP="004A4F0C">
      <w:pPr>
        <w:pStyle w:val="FootnoteText"/>
        <w:rPr>
          <w:rFonts w:cstheme="minorHAnsi"/>
        </w:rPr>
      </w:pPr>
      <w:r w:rsidRPr="00970A57">
        <w:rPr>
          <w:rStyle w:val="FootnoteReference"/>
          <w:rFonts w:cstheme="minorHAnsi"/>
        </w:rPr>
        <w:footnoteRef/>
      </w:r>
      <w:r w:rsidRPr="00970A57">
        <w:rPr>
          <w:rFonts w:cstheme="minorHAnsi"/>
        </w:rPr>
        <w:t xml:space="preserve"> </w:t>
      </w:r>
      <w:r w:rsidRPr="00970A57">
        <w:rPr>
          <w:rFonts w:eastAsia="Times New Roman" w:cstheme="minorHAnsi"/>
          <w:i/>
        </w:rPr>
        <w:t>W Godwin et al v Registrar General</w:t>
      </w:r>
      <w:r w:rsidRPr="00970A57">
        <w:rPr>
          <w:rFonts w:eastAsia="Times New Roman" w:cstheme="minorHAnsi"/>
        </w:rPr>
        <w:t xml:space="preserve"> [2017] S</w:t>
      </w:r>
      <w:r w:rsidR="00FC488D" w:rsidRPr="00970A57">
        <w:rPr>
          <w:rFonts w:eastAsia="Times New Roman" w:cstheme="minorHAnsi"/>
        </w:rPr>
        <w:t>.</w:t>
      </w:r>
      <w:r w:rsidRPr="00970A57">
        <w:rPr>
          <w:rFonts w:eastAsia="Times New Roman" w:cstheme="minorHAnsi"/>
        </w:rPr>
        <w:t>C</w:t>
      </w:r>
      <w:r w:rsidR="00FC488D" w:rsidRPr="00970A57">
        <w:rPr>
          <w:rFonts w:eastAsia="Times New Roman" w:cstheme="minorHAnsi"/>
        </w:rPr>
        <w:t>.</w:t>
      </w:r>
      <w:r w:rsidRPr="00970A57">
        <w:rPr>
          <w:rFonts w:eastAsia="Times New Roman" w:cstheme="minorHAnsi"/>
        </w:rPr>
        <w:t xml:space="preserve"> (</w:t>
      </w:r>
      <w:proofErr w:type="spellStart"/>
      <w:r w:rsidRPr="00970A57">
        <w:rPr>
          <w:rFonts w:eastAsia="Times New Roman" w:cstheme="minorHAnsi"/>
        </w:rPr>
        <w:t>Bda</w:t>
      </w:r>
      <w:proofErr w:type="spellEnd"/>
      <w:r w:rsidRPr="00970A57">
        <w:rPr>
          <w:rFonts w:eastAsia="Times New Roman" w:cstheme="minorHAnsi"/>
        </w:rPr>
        <w:t xml:space="preserve">) 36 </w:t>
      </w:r>
      <w:proofErr w:type="spellStart"/>
      <w:r w:rsidRPr="00970A57">
        <w:rPr>
          <w:rFonts w:eastAsia="Times New Roman" w:cstheme="minorHAnsi"/>
        </w:rPr>
        <w:t>Civ</w:t>
      </w:r>
      <w:proofErr w:type="spellEnd"/>
    </w:p>
  </w:footnote>
  <w:footnote w:id="23">
    <w:p w14:paraId="13D870D4" w14:textId="3C2945FA" w:rsidR="00884367" w:rsidRPr="00970A57" w:rsidRDefault="00884367" w:rsidP="004A4F0C">
      <w:pPr>
        <w:pStyle w:val="FootnoteText"/>
        <w:rPr>
          <w:rFonts w:cstheme="minorHAnsi"/>
        </w:rPr>
      </w:pPr>
      <w:r w:rsidRPr="00970A57">
        <w:rPr>
          <w:rStyle w:val="FootnoteReference"/>
          <w:rFonts w:cstheme="minorHAnsi"/>
        </w:rPr>
        <w:footnoteRef/>
      </w:r>
      <w:r w:rsidRPr="00970A57">
        <w:rPr>
          <w:rFonts w:cstheme="minorHAnsi"/>
        </w:rPr>
        <w:t xml:space="preserve"> Carnival Corporation, “Carnival Corporation Statement Regarding Bermuda’s Domestic Partnership Act” (2018) </w:t>
      </w:r>
      <w:r w:rsidRPr="00970A57">
        <w:rPr>
          <w:rFonts w:cstheme="minorHAnsi"/>
          <w:i/>
        </w:rPr>
        <w:t xml:space="preserve">News Release </w:t>
      </w:r>
      <w:r w:rsidRPr="00970A57">
        <w:rPr>
          <w:rFonts w:cstheme="minorHAnsi"/>
        </w:rPr>
        <w:t xml:space="preserve">&lt; http://www.carnivalcorp.com/phoenix.zhtml%3Fc%3D200767%26p%3Dirol-newsArticle%26ID%3D2340880 &gt; [Accessed </w:t>
      </w:r>
      <w:r w:rsidR="00F55E7B">
        <w:rPr>
          <w:rFonts w:cstheme="minorHAnsi"/>
        </w:rPr>
        <w:t>June 26</w:t>
      </w:r>
      <w:r w:rsidRPr="00970A57">
        <w:rPr>
          <w:rFonts w:cstheme="minorHAnsi"/>
        </w:rPr>
        <w:t>, 2018]</w:t>
      </w:r>
    </w:p>
  </w:footnote>
  <w:footnote w:id="24">
    <w:p w14:paraId="47595BEA" w14:textId="2529709C" w:rsidR="00087191" w:rsidRPr="00970A57" w:rsidRDefault="00087191" w:rsidP="004A4F0C">
      <w:pPr>
        <w:pStyle w:val="FootnoteText"/>
        <w:rPr>
          <w:rFonts w:cstheme="minorHAnsi"/>
        </w:rPr>
      </w:pPr>
      <w:r w:rsidRPr="00970A57">
        <w:rPr>
          <w:rStyle w:val="FootnoteReference"/>
          <w:rFonts w:cstheme="minorHAnsi"/>
        </w:rPr>
        <w:footnoteRef/>
      </w:r>
      <w:r w:rsidRPr="00970A57">
        <w:rPr>
          <w:rFonts w:cstheme="minorHAnsi"/>
        </w:rPr>
        <w:t xml:space="preserve"> Government of Bermuda, “Governor signs Domestic Partnership Act” (February 7, 2018) </w:t>
      </w:r>
      <w:r w:rsidRPr="00970A57">
        <w:rPr>
          <w:rFonts w:cstheme="minorHAnsi"/>
          <w:i/>
        </w:rPr>
        <w:t>News</w:t>
      </w:r>
      <w:r w:rsidRPr="00970A57">
        <w:rPr>
          <w:rFonts w:cstheme="minorHAnsi"/>
        </w:rPr>
        <w:t xml:space="preserve"> &lt; https://www.gov.bm/articles/governor-signs-domestic-partnership-act#&gt; [Accessed </w:t>
      </w:r>
      <w:r w:rsidR="00F55E7B">
        <w:rPr>
          <w:rFonts w:cstheme="minorHAnsi"/>
        </w:rPr>
        <w:t>June 26</w:t>
      </w:r>
      <w:r w:rsidRPr="00970A57">
        <w:rPr>
          <w:rFonts w:cstheme="minorHAnsi"/>
        </w:rPr>
        <w:t xml:space="preserve">, 2018] </w:t>
      </w:r>
    </w:p>
  </w:footnote>
  <w:footnote w:id="25">
    <w:p w14:paraId="504A8A75" w14:textId="23138D96" w:rsidR="00893A6E" w:rsidRPr="00970A57" w:rsidRDefault="00893A6E" w:rsidP="004A4F0C">
      <w:pPr>
        <w:pStyle w:val="FootnoteText"/>
        <w:rPr>
          <w:rFonts w:cstheme="minorHAnsi"/>
        </w:rPr>
      </w:pPr>
      <w:r w:rsidRPr="00970A57">
        <w:rPr>
          <w:rStyle w:val="FootnoteReference"/>
          <w:rFonts w:cstheme="minorHAnsi"/>
        </w:rPr>
        <w:footnoteRef/>
      </w:r>
      <w:r w:rsidRPr="00970A57">
        <w:rPr>
          <w:rFonts w:cstheme="minorHAnsi"/>
        </w:rPr>
        <w:t xml:space="preserve"> </w:t>
      </w:r>
      <w:r w:rsidRPr="00970A57">
        <w:rPr>
          <w:rFonts w:cstheme="minorHAnsi"/>
          <w:i/>
        </w:rPr>
        <w:t xml:space="preserve">R Ferguson v AG &amp; </w:t>
      </w:r>
      <w:proofErr w:type="spellStart"/>
      <w:r w:rsidRPr="00970A57">
        <w:rPr>
          <w:rFonts w:cstheme="minorHAnsi"/>
          <w:i/>
        </w:rPr>
        <w:t>OutBermuda</w:t>
      </w:r>
      <w:proofErr w:type="spellEnd"/>
      <w:r w:rsidRPr="00970A57">
        <w:rPr>
          <w:rFonts w:cstheme="minorHAnsi"/>
          <w:i/>
        </w:rPr>
        <w:t xml:space="preserve"> et al v AG </w:t>
      </w:r>
      <w:r w:rsidRPr="00970A57">
        <w:rPr>
          <w:rFonts w:cstheme="minorHAnsi"/>
        </w:rPr>
        <w:t>[2018] SC (</w:t>
      </w:r>
      <w:proofErr w:type="spellStart"/>
      <w:r w:rsidRPr="00970A57">
        <w:rPr>
          <w:rFonts w:cstheme="minorHAnsi"/>
        </w:rPr>
        <w:t>Bda</w:t>
      </w:r>
      <w:proofErr w:type="spellEnd"/>
      <w:r w:rsidRPr="00970A57">
        <w:rPr>
          <w:rFonts w:cstheme="minorHAnsi"/>
        </w:rPr>
        <w:t xml:space="preserve">) 45 </w:t>
      </w:r>
      <w:proofErr w:type="spellStart"/>
      <w:r w:rsidRPr="00970A57">
        <w:rPr>
          <w:rFonts w:cstheme="minorHAnsi"/>
        </w:rPr>
        <w:t>Civ</w:t>
      </w:r>
      <w:proofErr w:type="spellEnd"/>
    </w:p>
  </w:footnote>
  <w:footnote w:id="26">
    <w:p w14:paraId="1170C7E1" w14:textId="023F5210" w:rsidR="00087191" w:rsidRPr="00970A57" w:rsidRDefault="00087191" w:rsidP="004A4F0C">
      <w:pPr>
        <w:pStyle w:val="FootnoteText"/>
        <w:rPr>
          <w:rFonts w:cstheme="minorHAnsi"/>
          <w:i/>
        </w:rPr>
      </w:pPr>
      <w:r w:rsidRPr="00970A57">
        <w:rPr>
          <w:rStyle w:val="FootnoteReference"/>
          <w:rFonts w:cstheme="minorHAnsi"/>
        </w:rPr>
        <w:footnoteRef/>
      </w:r>
      <w:r w:rsidRPr="00970A57">
        <w:rPr>
          <w:rFonts w:cstheme="minorHAnsi"/>
        </w:rPr>
        <w:t xml:space="preserve"> R. Dworkin, </w:t>
      </w:r>
      <w:r w:rsidRPr="00970A57">
        <w:rPr>
          <w:rFonts w:cstheme="minorHAnsi"/>
          <w:i/>
        </w:rPr>
        <w:t>Taking Rights Seriously</w:t>
      </w:r>
      <w:r w:rsidRPr="00970A57">
        <w:rPr>
          <w:rFonts w:cstheme="minorHAnsi"/>
        </w:rPr>
        <w:t xml:space="preserve"> (London: Duckworth, 1978) 81; Alan C Hutchinson and John N Wakefield, “A Hard Look at “Hard Cases”: The nightmare of a noble dreamer” (1982) 2 </w:t>
      </w:r>
      <w:r w:rsidRPr="00F81086">
        <w:rPr>
          <w:rFonts w:cstheme="minorHAnsi"/>
          <w:i/>
        </w:rPr>
        <w:t>Oxford J Legal Studies</w:t>
      </w:r>
      <w:r w:rsidRPr="00970A57">
        <w:rPr>
          <w:rFonts w:cstheme="minorHAnsi"/>
        </w:rPr>
        <w:t xml:space="preserve"> 86, 88.</w:t>
      </w:r>
    </w:p>
  </w:footnote>
  <w:footnote w:id="27">
    <w:p w14:paraId="4954746B" w14:textId="0418FFC0" w:rsidR="00023E2D" w:rsidRPr="00970A57" w:rsidRDefault="003157DC" w:rsidP="004A4F0C">
      <w:pPr>
        <w:pStyle w:val="FootnoteText"/>
        <w:rPr>
          <w:rFonts w:cstheme="minorHAnsi"/>
        </w:rPr>
      </w:pPr>
      <w:r w:rsidRPr="00970A57">
        <w:rPr>
          <w:rStyle w:val="FootnoteReference"/>
          <w:rFonts w:cstheme="minorHAnsi"/>
        </w:rPr>
        <w:footnoteRef/>
      </w:r>
      <w:r w:rsidRPr="00970A57">
        <w:rPr>
          <w:rFonts w:cstheme="minorHAnsi"/>
        </w:rPr>
        <w:t xml:space="preserve"> Dworkin does</w:t>
      </w:r>
      <w:r w:rsidR="00311ED2">
        <w:rPr>
          <w:rFonts w:cstheme="minorHAnsi"/>
        </w:rPr>
        <w:t xml:space="preserve"> </w:t>
      </w:r>
      <w:r w:rsidRPr="00970A57">
        <w:rPr>
          <w:rFonts w:cstheme="minorHAnsi"/>
        </w:rPr>
        <w:t>n</w:t>
      </w:r>
      <w:r w:rsidR="00311ED2">
        <w:rPr>
          <w:rFonts w:cstheme="minorHAnsi"/>
        </w:rPr>
        <w:t>o</w:t>
      </w:r>
      <w:r w:rsidRPr="00970A57">
        <w:rPr>
          <w:rFonts w:cstheme="minorHAnsi"/>
        </w:rPr>
        <w:t xml:space="preserve">t actually define what a hard case is other than to say that a hard case is where “both in politics and law, … reasonable lawyers … disagree about rights” and where “no established rule can be found”. See </w:t>
      </w:r>
      <w:r w:rsidRPr="00970A57">
        <w:rPr>
          <w:rFonts w:cstheme="minorHAnsi"/>
          <w:i/>
        </w:rPr>
        <w:t>ibid.</w:t>
      </w:r>
      <w:r w:rsidR="000A1122" w:rsidRPr="00970A57">
        <w:rPr>
          <w:rFonts w:cstheme="minorHAnsi"/>
          <w:i/>
        </w:rPr>
        <w:t xml:space="preserve"> </w:t>
      </w:r>
      <w:r w:rsidR="000A1122" w:rsidRPr="00970A57">
        <w:rPr>
          <w:rFonts w:cstheme="minorHAnsi"/>
        </w:rPr>
        <w:t>See also T</w:t>
      </w:r>
      <w:r w:rsidR="008E6C42">
        <w:rPr>
          <w:rFonts w:cstheme="minorHAnsi"/>
        </w:rPr>
        <w:t>.</w:t>
      </w:r>
      <w:r w:rsidR="000A1122" w:rsidRPr="00970A57">
        <w:rPr>
          <w:rFonts w:cstheme="minorHAnsi"/>
        </w:rPr>
        <w:t xml:space="preserve"> </w:t>
      </w:r>
      <w:proofErr w:type="spellStart"/>
      <w:r w:rsidR="000A1122" w:rsidRPr="00970A57">
        <w:rPr>
          <w:rFonts w:cstheme="minorHAnsi"/>
        </w:rPr>
        <w:t>Etherton</w:t>
      </w:r>
      <w:proofErr w:type="spellEnd"/>
      <w:r w:rsidR="00023E2D" w:rsidRPr="00970A57">
        <w:rPr>
          <w:rFonts w:cstheme="minorHAnsi"/>
        </w:rPr>
        <w:t xml:space="preserve">, “Liberty, the archetype and diversity: a philosophy of judging” (2010) </w:t>
      </w:r>
      <w:r w:rsidR="00023E2D" w:rsidRPr="00FE3CB6">
        <w:rPr>
          <w:rFonts w:cstheme="minorHAnsi"/>
          <w:i/>
        </w:rPr>
        <w:t xml:space="preserve">Oct Public Law </w:t>
      </w:r>
      <w:r w:rsidR="00023E2D" w:rsidRPr="00970A57">
        <w:rPr>
          <w:rFonts w:cstheme="minorHAnsi"/>
        </w:rPr>
        <w:t xml:space="preserve">727. </w:t>
      </w:r>
    </w:p>
  </w:footnote>
  <w:footnote w:id="28">
    <w:p w14:paraId="1DADC8EC" w14:textId="3586B5FC" w:rsidR="00087191" w:rsidRPr="00970A57" w:rsidRDefault="00087191" w:rsidP="004A4F0C">
      <w:pPr>
        <w:pStyle w:val="FootnoteText"/>
        <w:rPr>
          <w:rFonts w:cstheme="minorHAnsi"/>
        </w:rPr>
      </w:pPr>
      <w:r w:rsidRPr="00970A57">
        <w:rPr>
          <w:rStyle w:val="FootnoteReference"/>
          <w:rFonts w:cstheme="minorHAnsi"/>
        </w:rPr>
        <w:footnoteRef/>
      </w:r>
      <w:r w:rsidRPr="00970A57">
        <w:rPr>
          <w:rFonts w:cstheme="minorHAnsi"/>
        </w:rPr>
        <w:t xml:space="preserve"> Human Rights Act 1981 s</w:t>
      </w:r>
      <w:r w:rsidR="00523583">
        <w:rPr>
          <w:rFonts w:cstheme="minorHAnsi"/>
        </w:rPr>
        <w:t>.</w:t>
      </w:r>
      <w:r w:rsidRPr="00970A57">
        <w:rPr>
          <w:rFonts w:cstheme="minorHAnsi"/>
        </w:rPr>
        <w:t>2(2)(a)(ii)</w:t>
      </w:r>
    </w:p>
  </w:footnote>
  <w:footnote w:id="29">
    <w:p w14:paraId="435B855D" w14:textId="2BCAB953" w:rsidR="00087191" w:rsidRPr="00970A57" w:rsidRDefault="00087191" w:rsidP="004A4F0C">
      <w:pPr>
        <w:pStyle w:val="FootnoteText"/>
        <w:rPr>
          <w:rFonts w:cstheme="minorHAnsi"/>
        </w:rPr>
      </w:pPr>
      <w:r w:rsidRPr="00970A57">
        <w:rPr>
          <w:rStyle w:val="FootnoteReference"/>
          <w:rFonts w:cstheme="minorHAnsi"/>
        </w:rPr>
        <w:footnoteRef/>
      </w:r>
      <w:r w:rsidRPr="00970A57">
        <w:rPr>
          <w:rFonts w:cstheme="minorHAnsi"/>
        </w:rPr>
        <w:t xml:space="preserve"> According to the preamble to the Bermudian Human Rights Act 1981 and prior to this </w:t>
      </w:r>
      <w:r w:rsidR="000044D8">
        <w:rPr>
          <w:rFonts w:cstheme="minorHAnsi"/>
        </w:rPr>
        <w:t>art.</w:t>
      </w:r>
      <w:r w:rsidRPr="00970A57">
        <w:rPr>
          <w:rFonts w:cstheme="minorHAnsi"/>
        </w:rPr>
        <w:t xml:space="preserve">63 </w:t>
      </w:r>
      <w:r w:rsidR="000044D8">
        <w:rPr>
          <w:rFonts w:cstheme="minorHAnsi"/>
        </w:rPr>
        <w:t xml:space="preserve">ECHR </w:t>
      </w:r>
      <w:r w:rsidRPr="00970A57">
        <w:rPr>
          <w:rFonts w:cstheme="minorHAnsi"/>
        </w:rPr>
        <w:t>allowed the UK to extend the Convention to its Overseas Territories.</w:t>
      </w:r>
    </w:p>
  </w:footnote>
  <w:footnote w:id="30">
    <w:p w14:paraId="4D650172" w14:textId="2E8C2F05" w:rsidR="00087191" w:rsidRPr="00970A57" w:rsidRDefault="00087191" w:rsidP="004A4F0C">
      <w:pPr>
        <w:pStyle w:val="FootnoteText"/>
        <w:rPr>
          <w:rFonts w:cstheme="minorHAnsi"/>
        </w:rPr>
      </w:pPr>
      <w:r w:rsidRPr="00970A57">
        <w:rPr>
          <w:rStyle w:val="FootnoteReference"/>
          <w:rFonts w:cstheme="minorHAnsi"/>
        </w:rPr>
        <w:footnoteRef/>
      </w:r>
      <w:r w:rsidRPr="00970A57">
        <w:rPr>
          <w:rFonts w:cstheme="minorHAnsi"/>
        </w:rPr>
        <w:t xml:space="preserve"> Treaty Series 71 (1953), UK Command Paper 8969</w:t>
      </w:r>
    </w:p>
  </w:footnote>
  <w:footnote w:id="31">
    <w:p w14:paraId="562161D3" w14:textId="4B3363D2" w:rsidR="00087191" w:rsidRPr="00970A57" w:rsidRDefault="00087191" w:rsidP="004A4F0C">
      <w:pPr>
        <w:pStyle w:val="FootnoteText"/>
        <w:rPr>
          <w:rFonts w:cstheme="minorHAnsi"/>
        </w:rPr>
      </w:pPr>
      <w:r w:rsidRPr="00970A57">
        <w:rPr>
          <w:rStyle w:val="FootnoteReference"/>
          <w:rFonts w:cstheme="minorHAnsi"/>
        </w:rPr>
        <w:footnoteRef/>
      </w:r>
      <w:r w:rsidRPr="00970A57">
        <w:rPr>
          <w:rFonts w:cstheme="minorHAnsi"/>
        </w:rPr>
        <w:t xml:space="preserve"> A.W. Brian Simpson, </w:t>
      </w:r>
      <w:r w:rsidRPr="00970A57">
        <w:rPr>
          <w:rFonts w:cstheme="minorHAnsi"/>
          <w:i/>
        </w:rPr>
        <w:t>Human Rights and the End of Empire: Britain and the Genesis of the European Convention</w:t>
      </w:r>
      <w:r w:rsidRPr="00970A57">
        <w:rPr>
          <w:rFonts w:cstheme="minorHAnsi"/>
        </w:rPr>
        <w:t xml:space="preserve"> (Oxford: Oxford University Press, 2001)</w:t>
      </w:r>
    </w:p>
  </w:footnote>
  <w:footnote w:id="32">
    <w:p w14:paraId="34A1540D" w14:textId="4477D04C" w:rsidR="00087191" w:rsidRPr="00970A57" w:rsidRDefault="00087191" w:rsidP="004A4F0C">
      <w:pPr>
        <w:pStyle w:val="FootnoteText"/>
        <w:rPr>
          <w:rFonts w:cstheme="minorHAnsi"/>
        </w:rPr>
      </w:pPr>
      <w:r w:rsidRPr="00970A57">
        <w:rPr>
          <w:rStyle w:val="FootnoteReference"/>
          <w:rFonts w:cstheme="minorHAnsi"/>
        </w:rPr>
        <w:footnoteRef/>
      </w:r>
      <w:r w:rsidRPr="00970A57">
        <w:rPr>
          <w:rFonts w:cstheme="minorHAnsi"/>
        </w:rPr>
        <w:t xml:space="preserve"> N. Barker, “"I wouldn't get unduly excited about it": the impact of the European Convention on Human Rights on the British Overseas Territories. </w:t>
      </w:r>
      <w:proofErr w:type="gramStart"/>
      <w:r w:rsidRPr="00970A57">
        <w:rPr>
          <w:rFonts w:cstheme="minorHAnsi"/>
        </w:rPr>
        <w:t xml:space="preserve">A case study on LGBT rights in Bermuda” </w:t>
      </w:r>
      <w:r w:rsidR="006A3DDE">
        <w:rPr>
          <w:rFonts w:cstheme="minorHAnsi"/>
        </w:rPr>
        <w:t>[</w:t>
      </w:r>
      <w:r w:rsidRPr="00970A57">
        <w:rPr>
          <w:rFonts w:cstheme="minorHAnsi"/>
        </w:rPr>
        <w:t>2016</w:t>
      </w:r>
      <w:r w:rsidR="006A3DDE">
        <w:rPr>
          <w:rFonts w:cstheme="minorHAnsi"/>
        </w:rPr>
        <w:t>]</w:t>
      </w:r>
      <w:r w:rsidRPr="00970A57">
        <w:rPr>
          <w:rFonts w:cstheme="minorHAnsi"/>
        </w:rPr>
        <w:t xml:space="preserve"> </w:t>
      </w:r>
      <w:r w:rsidRPr="00FE3CB6">
        <w:rPr>
          <w:rFonts w:cstheme="minorHAnsi"/>
          <w:i/>
        </w:rPr>
        <w:t>Public Law</w:t>
      </w:r>
      <w:r w:rsidRPr="00970A57">
        <w:rPr>
          <w:rFonts w:cstheme="minorHAnsi"/>
        </w:rPr>
        <w:t xml:space="preserve"> 595.</w:t>
      </w:r>
      <w:proofErr w:type="gramEnd"/>
      <w:r w:rsidRPr="00970A57">
        <w:rPr>
          <w:rFonts w:cstheme="minorHAnsi"/>
        </w:rPr>
        <w:t xml:space="preserve"> </w:t>
      </w:r>
    </w:p>
  </w:footnote>
  <w:footnote w:id="33">
    <w:p w14:paraId="5792E27D" w14:textId="77777777" w:rsidR="00087191" w:rsidRPr="00970A57" w:rsidRDefault="00087191" w:rsidP="004A4F0C">
      <w:pPr>
        <w:pStyle w:val="FootnoteText"/>
        <w:rPr>
          <w:rFonts w:cstheme="minorHAnsi"/>
        </w:rPr>
      </w:pPr>
      <w:r w:rsidRPr="00970A57">
        <w:rPr>
          <w:rStyle w:val="FootnoteReference"/>
          <w:rFonts w:cstheme="minorHAnsi"/>
        </w:rPr>
        <w:footnoteRef/>
      </w:r>
      <w:r w:rsidRPr="00970A57">
        <w:rPr>
          <w:rFonts w:cstheme="minorHAnsi"/>
        </w:rPr>
        <w:t xml:space="preserve"> Bermuda Constitution Order 1968 ‘</w:t>
      </w:r>
      <w:r w:rsidRPr="00970A57">
        <w:rPr>
          <w:rFonts w:eastAsia="Times New Roman" w:cstheme="minorHAnsi"/>
        </w:rPr>
        <w:t>The Schedule to the Constitution of Bermuda: Forms of Oaths and Affirmations’</w:t>
      </w:r>
    </w:p>
  </w:footnote>
  <w:footnote w:id="34">
    <w:p w14:paraId="4DD8B691" w14:textId="632807AA" w:rsidR="00087191" w:rsidRPr="00970A57" w:rsidRDefault="00087191" w:rsidP="004A4F0C">
      <w:pPr>
        <w:pStyle w:val="FootnoteText"/>
        <w:rPr>
          <w:rFonts w:cstheme="minorHAnsi"/>
        </w:rPr>
      </w:pPr>
      <w:r w:rsidRPr="00970A57">
        <w:rPr>
          <w:rStyle w:val="FootnoteReference"/>
          <w:rFonts w:cstheme="minorHAnsi"/>
        </w:rPr>
        <w:footnoteRef/>
      </w:r>
      <w:r w:rsidRPr="00970A57">
        <w:rPr>
          <w:rFonts w:cstheme="minorHAnsi"/>
        </w:rPr>
        <w:t xml:space="preserve"> For more on the interaction between territorial law and personal law see H</w:t>
      </w:r>
      <w:r w:rsidR="00FE3CB6">
        <w:rPr>
          <w:rFonts w:cstheme="minorHAnsi"/>
        </w:rPr>
        <w:t>.</w:t>
      </w:r>
      <w:r w:rsidRPr="00970A57">
        <w:rPr>
          <w:rFonts w:cstheme="minorHAnsi"/>
        </w:rPr>
        <w:t xml:space="preserve"> </w:t>
      </w:r>
      <w:proofErr w:type="spellStart"/>
      <w:r w:rsidRPr="00970A57">
        <w:rPr>
          <w:rFonts w:cstheme="minorHAnsi"/>
        </w:rPr>
        <w:t>Tagari</w:t>
      </w:r>
      <w:proofErr w:type="spellEnd"/>
      <w:r w:rsidRPr="00970A57">
        <w:rPr>
          <w:rFonts w:cstheme="minorHAnsi"/>
        </w:rPr>
        <w:t xml:space="preserve">, “Personal family law systems - a comparative and international human rights analysis” (2012) 8(2) </w:t>
      </w:r>
      <w:r w:rsidRPr="00FE3CB6">
        <w:rPr>
          <w:rFonts w:cstheme="minorHAnsi"/>
          <w:i/>
        </w:rPr>
        <w:t>International Journal of Law in Context</w:t>
      </w:r>
      <w:r w:rsidRPr="00970A57">
        <w:rPr>
          <w:rFonts w:cstheme="minorHAnsi"/>
        </w:rPr>
        <w:t xml:space="preserve"> 231</w:t>
      </w:r>
    </w:p>
  </w:footnote>
  <w:footnote w:id="35">
    <w:p w14:paraId="3D37F8E3" w14:textId="6FC2674C" w:rsidR="00711497" w:rsidRDefault="00711497">
      <w:pPr>
        <w:pStyle w:val="FootnoteText"/>
      </w:pPr>
      <w:r>
        <w:rPr>
          <w:rStyle w:val="FootnoteReference"/>
        </w:rPr>
        <w:footnoteRef/>
      </w:r>
      <w:r>
        <w:t xml:space="preserve"> </w:t>
      </w:r>
      <w:r w:rsidRPr="00970A57">
        <w:rPr>
          <w:rFonts w:cstheme="minorHAnsi"/>
          <w:i/>
        </w:rPr>
        <w:t xml:space="preserve">R Ferguson v AG &amp; </w:t>
      </w:r>
      <w:proofErr w:type="spellStart"/>
      <w:r w:rsidRPr="00970A57">
        <w:rPr>
          <w:rFonts w:cstheme="minorHAnsi"/>
          <w:i/>
        </w:rPr>
        <w:t>OutBermuda</w:t>
      </w:r>
      <w:proofErr w:type="spellEnd"/>
      <w:r w:rsidRPr="00970A57">
        <w:rPr>
          <w:rFonts w:cstheme="minorHAnsi"/>
          <w:i/>
        </w:rPr>
        <w:t xml:space="preserve"> et al v AG </w:t>
      </w:r>
      <w:r w:rsidRPr="00970A57">
        <w:rPr>
          <w:rFonts w:cstheme="minorHAnsi"/>
        </w:rPr>
        <w:t>[2018] SC (</w:t>
      </w:r>
      <w:proofErr w:type="spellStart"/>
      <w:r w:rsidRPr="00970A57">
        <w:rPr>
          <w:rFonts w:cstheme="minorHAnsi"/>
        </w:rPr>
        <w:t>Bda</w:t>
      </w:r>
      <w:proofErr w:type="spellEnd"/>
      <w:r w:rsidRPr="00970A57">
        <w:rPr>
          <w:rFonts w:cstheme="minorHAnsi"/>
        </w:rPr>
        <w:t xml:space="preserve">) 45 </w:t>
      </w:r>
      <w:proofErr w:type="spellStart"/>
      <w:r w:rsidRPr="00970A57">
        <w:rPr>
          <w:rFonts w:cstheme="minorHAnsi"/>
        </w:rPr>
        <w:t>Civ</w:t>
      </w:r>
      <w:proofErr w:type="spellEnd"/>
      <w:r w:rsidRPr="00970A57">
        <w:rPr>
          <w:rFonts w:cstheme="minorHAnsi"/>
        </w:rPr>
        <w:t xml:space="preserve"> at </w:t>
      </w:r>
      <w:r w:rsidR="006A3DDE">
        <w:rPr>
          <w:rFonts w:cstheme="minorHAnsi"/>
        </w:rPr>
        <w:t>[</w:t>
      </w:r>
      <w:r w:rsidR="00260814">
        <w:rPr>
          <w:rFonts w:cstheme="minorHAnsi"/>
        </w:rPr>
        <w:t>104</w:t>
      </w:r>
      <w:r w:rsidR="006A3DDE">
        <w:rPr>
          <w:rFonts w:cstheme="minorHAnsi"/>
        </w:rPr>
        <w:t>]</w:t>
      </w:r>
    </w:p>
  </w:footnote>
  <w:footnote w:id="36">
    <w:p w14:paraId="38618B29" w14:textId="1001B2F1" w:rsidR="00260814" w:rsidRDefault="00260814">
      <w:pPr>
        <w:pStyle w:val="FootnoteText"/>
      </w:pPr>
      <w:r>
        <w:rPr>
          <w:rStyle w:val="FootnoteReference"/>
        </w:rPr>
        <w:footnoteRef/>
      </w:r>
      <w:r>
        <w:t xml:space="preserve"> </w:t>
      </w:r>
      <w:r w:rsidR="006A3DDE" w:rsidRPr="00970A57">
        <w:rPr>
          <w:rFonts w:cstheme="minorHAnsi"/>
          <w:i/>
        </w:rPr>
        <w:t xml:space="preserve">R Ferguson v AG &amp; </w:t>
      </w:r>
      <w:proofErr w:type="spellStart"/>
      <w:r w:rsidR="006A3DDE" w:rsidRPr="00970A57">
        <w:rPr>
          <w:rFonts w:cstheme="minorHAnsi"/>
          <w:i/>
        </w:rPr>
        <w:t>OutBermuda</w:t>
      </w:r>
      <w:proofErr w:type="spellEnd"/>
      <w:r w:rsidR="006A3DDE" w:rsidRPr="00970A57">
        <w:rPr>
          <w:rFonts w:cstheme="minorHAnsi"/>
          <w:i/>
        </w:rPr>
        <w:t xml:space="preserve"> et al v AG </w:t>
      </w:r>
      <w:r w:rsidR="006A3DDE" w:rsidRPr="00970A57">
        <w:rPr>
          <w:rFonts w:cstheme="minorHAnsi"/>
        </w:rPr>
        <w:t>[2018] SC (</w:t>
      </w:r>
      <w:proofErr w:type="spellStart"/>
      <w:r w:rsidR="006A3DDE" w:rsidRPr="00970A57">
        <w:rPr>
          <w:rFonts w:cstheme="minorHAnsi"/>
        </w:rPr>
        <w:t>Bda</w:t>
      </w:r>
      <w:proofErr w:type="spellEnd"/>
      <w:r w:rsidR="006A3DDE" w:rsidRPr="00970A57">
        <w:rPr>
          <w:rFonts w:cstheme="minorHAnsi"/>
        </w:rPr>
        <w:t xml:space="preserve">) 45 </w:t>
      </w:r>
      <w:proofErr w:type="spellStart"/>
      <w:r w:rsidR="006A3DDE" w:rsidRPr="00970A57">
        <w:rPr>
          <w:rFonts w:cstheme="minorHAnsi"/>
        </w:rPr>
        <w:t>Civ</w:t>
      </w:r>
      <w:proofErr w:type="spellEnd"/>
      <w:r w:rsidR="006A3DDE" w:rsidRPr="00970A57">
        <w:rPr>
          <w:rFonts w:cstheme="minorHAnsi"/>
        </w:rPr>
        <w:t xml:space="preserve"> at </w:t>
      </w:r>
      <w:r w:rsidR="006A3DDE">
        <w:rPr>
          <w:rFonts w:cstheme="minorHAnsi"/>
        </w:rPr>
        <w:t>[104]</w:t>
      </w:r>
    </w:p>
  </w:footnote>
  <w:footnote w:id="37">
    <w:p w14:paraId="1D76E214" w14:textId="3EF11F1A" w:rsidR="00087191" w:rsidRPr="00970A57" w:rsidRDefault="00087191" w:rsidP="004A4F0C">
      <w:pPr>
        <w:pStyle w:val="FootnoteText"/>
        <w:rPr>
          <w:rFonts w:cstheme="minorHAnsi"/>
        </w:rPr>
      </w:pPr>
      <w:r w:rsidRPr="00970A57">
        <w:rPr>
          <w:rStyle w:val="FootnoteReference"/>
          <w:rFonts w:cstheme="minorHAnsi"/>
        </w:rPr>
        <w:footnoteRef/>
      </w:r>
      <w:r w:rsidRPr="00970A57">
        <w:rPr>
          <w:rFonts w:cstheme="minorHAnsi"/>
        </w:rPr>
        <w:t xml:space="preserve"> </w:t>
      </w:r>
      <w:r w:rsidRPr="00970A57">
        <w:rPr>
          <w:rFonts w:eastAsia="Times New Roman" w:cstheme="minorHAnsi"/>
          <w:i/>
        </w:rPr>
        <w:t>A and B v Director of Child and Family services and Attorney-General</w:t>
      </w:r>
      <w:r w:rsidRPr="00970A57">
        <w:rPr>
          <w:rFonts w:eastAsia="Times New Roman" w:cstheme="minorHAnsi"/>
        </w:rPr>
        <w:t xml:space="preserve"> [2015] S</w:t>
      </w:r>
      <w:r w:rsidR="0077301B" w:rsidRPr="00970A57">
        <w:rPr>
          <w:rFonts w:eastAsia="Times New Roman" w:cstheme="minorHAnsi"/>
        </w:rPr>
        <w:t>.</w:t>
      </w:r>
      <w:r w:rsidRPr="00970A57">
        <w:rPr>
          <w:rFonts w:eastAsia="Times New Roman" w:cstheme="minorHAnsi"/>
        </w:rPr>
        <w:t>C</w:t>
      </w:r>
      <w:r w:rsidR="0077301B" w:rsidRPr="00970A57">
        <w:rPr>
          <w:rFonts w:eastAsia="Times New Roman" w:cstheme="minorHAnsi"/>
        </w:rPr>
        <w:t>.</w:t>
      </w:r>
      <w:r w:rsidRPr="00970A57">
        <w:rPr>
          <w:rFonts w:eastAsia="Times New Roman" w:cstheme="minorHAnsi"/>
        </w:rPr>
        <w:t xml:space="preserve"> (</w:t>
      </w:r>
      <w:proofErr w:type="spellStart"/>
      <w:r w:rsidRPr="00970A57">
        <w:rPr>
          <w:rFonts w:eastAsia="Times New Roman" w:cstheme="minorHAnsi"/>
        </w:rPr>
        <w:t>Bda</w:t>
      </w:r>
      <w:proofErr w:type="spellEnd"/>
      <w:r w:rsidRPr="00970A57">
        <w:rPr>
          <w:rFonts w:eastAsia="Times New Roman" w:cstheme="minorHAnsi"/>
        </w:rPr>
        <w:t xml:space="preserve">) 11 </w:t>
      </w:r>
      <w:proofErr w:type="spellStart"/>
      <w:r w:rsidRPr="00970A57">
        <w:rPr>
          <w:rFonts w:eastAsia="Times New Roman" w:cstheme="minorHAnsi"/>
        </w:rPr>
        <w:t>Civ</w:t>
      </w:r>
      <w:proofErr w:type="spellEnd"/>
    </w:p>
  </w:footnote>
  <w:footnote w:id="38">
    <w:p w14:paraId="3139D9C3" w14:textId="2D7613C1" w:rsidR="00087191" w:rsidRPr="00970A57" w:rsidRDefault="00087191" w:rsidP="004A4F0C">
      <w:pPr>
        <w:pStyle w:val="FootnoteText"/>
        <w:rPr>
          <w:rFonts w:eastAsia="Times New Roman" w:cstheme="minorHAnsi"/>
        </w:rPr>
      </w:pPr>
      <w:r w:rsidRPr="00970A57">
        <w:rPr>
          <w:rStyle w:val="FootnoteReference"/>
          <w:rFonts w:cstheme="minorHAnsi"/>
        </w:rPr>
        <w:footnoteRef/>
      </w:r>
      <w:r w:rsidRPr="00970A57">
        <w:rPr>
          <w:rFonts w:cstheme="minorHAnsi"/>
        </w:rPr>
        <w:t xml:space="preserve"> </w:t>
      </w:r>
      <w:r w:rsidRPr="00970A57">
        <w:rPr>
          <w:rFonts w:eastAsia="Times New Roman" w:cstheme="minorHAnsi"/>
          <w:i/>
        </w:rPr>
        <w:t>Marshall v Deputy Governor</w:t>
      </w:r>
      <w:r w:rsidRPr="00970A57">
        <w:rPr>
          <w:rFonts w:eastAsia="Times New Roman" w:cstheme="minorHAnsi"/>
        </w:rPr>
        <w:t xml:space="preserve"> [2010] U</w:t>
      </w:r>
      <w:r w:rsidR="0077301B" w:rsidRPr="00970A57">
        <w:rPr>
          <w:rFonts w:eastAsia="Times New Roman" w:cstheme="minorHAnsi"/>
        </w:rPr>
        <w:t>.</w:t>
      </w:r>
      <w:r w:rsidRPr="00970A57">
        <w:rPr>
          <w:rFonts w:eastAsia="Times New Roman" w:cstheme="minorHAnsi"/>
        </w:rPr>
        <w:t>K</w:t>
      </w:r>
      <w:r w:rsidR="0077301B" w:rsidRPr="00970A57">
        <w:rPr>
          <w:rFonts w:eastAsia="Times New Roman" w:cstheme="minorHAnsi"/>
        </w:rPr>
        <w:t>.</w:t>
      </w:r>
      <w:r w:rsidRPr="00970A57">
        <w:rPr>
          <w:rFonts w:eastAsia="Times New Roman" w:cstheme="minorHAnsi"/>
        </w:rPr>
        <w:t>P</w:t>
      </w:r>
      <w:r w:rsidR="0077301B" w:rsidRPr="00970A57">
        <w:rPr>
          <w:rFonts w:eastAsia="Times New Roman" w:cstheme="minorHAnsi"/>
        </w:rPr>
        <w:t>.</w:t>
      </w:r>
      <w:r w:rsidRPr="00970A57">
        <w:rPr>
          <w:rFonts w:eastAsia="Times New Roman" w:cstheme="minorHAnsi"/>
        </w:rPr>
        <w:t>C</w:t>
      </w:r>
      <w:r w:rsidR="0077301B" w:rsidRPr="00970A57">
        <w:rPr>
          <w:rFonts w:eastAsia="Times New Roman" w:cstheme="minorHAnsi"/>
        </w:rPr>
        <w:t>.</w:t>
      </w:r>
      <w:r w:rsidRPr="00970A57">
        <w:rPr>
          <w:rFonts w:eastAsia="Times New Roman" w:cstheme="minorHAnsi"/>
        </w:rPr>
        <w:t xml:space="preserve"> 9</w:t>
      </w:r>
      <w:r w:rsidR="00FC488D" w:rsidRPr="00970A57">
        <w:rPr>
          <w:rFonts w:eastAsia="Times New Roman" w:cstheme="minorHAnsi"/>
        </w:rPr>
        <w:t>;</w:t>
      </w:r>
      <w:r w:rsidR="0077301B" w:rsidRPr="00970A57">
        <w:rPr>
          <w:rFonts w:eastAsia="Times New Roman" w:cstheme="minorHAnsi"/>
          <w:color w:val="545454"/>
          <w:sz w:val="24"/>
          <w:szCs w:val="24"/>
          <w:shd w:val="clear" w:color="auto" w:fill="FFFFFF"/>
          <w:lang w:eastAsia="en-GB"/>
        </w:rPr>
        <w:t xml:space="preserve"> </w:t>
      </w:r>
      <w:r w:rsidR="0077301B" w:rsidRPr="00970A57">
        <w:rPr>
          <w:rFonts w:eastAsia="Times New Roman" w:cstheme="minorHAnsi"/>
        </w:rPr>
        <w:t>[</w:t>
      </w:r>
      <w:r w:rsidR="0077301B" w:rsidRPr="00970A57">
        <w:rPr>
          <w:rFonts w:eastAsia="Times New Roman" w:cstheme="minorHAnsi"/>
          <w:bCs/>
        </w:rPr>
        <w:t>2010</w:t>
      </w:r>
      <w:r w:rsidR="0077301B" w:rsidRPr="00970A57">
        <w:rPr>
          <w:rFonts w:eastAsia="Times New Roman" w:cstheme="minorHAnsi"/>
        </w:rPr>
        <w:t>] W.L.R. (D) 133</w:t>
      </w:r>
    </w:p>
  </w:footnote>
  <w:footnote w:id="39">
    <w:p w14:paraId="3D02AF56" w14:textId="6A4056EC" w:rsidR="00087191" w:rsidRPr="00970A57" w:rsidRDefault="00087191" w:rsidP="004A4F0C">
      <w:pPr>
        <w:pStyle w:val="FootnoteText"/>
        <w:rPr>
          <w:rFonts w:cstheme="minorHAnsi"/>
        </w:rPr>
      </w:pPr>
      <w:r w:rsidRPr="00970A57">
        <w:rPr>
          <w:rStyle w:val="FootnoteReference"/>
          <w:rFonts w:cstheme="minorHAnsi"/>
        </w:rPr>
        <w:footnoteRef/>
      </w:r>
      <w:r w:rsidRPr="00970A57">
        <w:rPr>
          <w:rFonts w:cstheme="minorHAnsi"/>
        </w:rPr>
        <w:t xml:space="preserve"> </w:t>
      </w:r>
      <w:r w:rsidRPr="00970A57">
        <w:rPr>
          <w:rFonts w:eastAsia="Times New Roman" w:cstheme="minorHAnsi"/>
          <w:i/>
        </w:rPr>
        <w:t>Bermuda Bred Company v Minister of Home Affairs</w:t>
      </w:r>
      <w:r w:rsidRPr="00970A57">
        <w:rPr>
          <w:rFonts w:eastAsia="Times New Roman" w:cstheme="minorHAnsi"/>
        </w:rPr>
        <w:t xml:space="preserve"> [2015] S</w:t>
      </w:r>
      <w:r w:rsidR="0077301B" w:rsidRPr="00970A57">
        <w:rPr>
          <w:rFonts w:eastAsia="Times New Roman" w:cstheme="minorHAnsi"/>
        </w:rPr>
        <w:t>.</w:t>
      </w:r>
      <w:r w:rsidRPr="00970A57">
        <w:rPr>
          <w:rFonts w:eastAsia="Times New Roman" w:cstheme="minorHAnsi"/>
        </w:rPr>
        <w:t>C</w:t>
      </w:r>
      <w:r w:rsidR="0077301B" w:rsidRPr="00970A57">
        <w:rPr>
          <w:rFonts w:eastAsia="Times New Roman" w:cstheme="minorHAnsi"/>
        </w:rPr>
        <w:t>.</w:t>
      </w:r>
      <w:r w:rsidRPr="00970A57">
        <w:rPr>
          <w:rFonts w:eastAsia="Times New Roman" w:cstheme="minorHAnsi"/>
        </w:rPr>
        <w:t xml:space="preserve"> (</w:t>
      </w:r>
      <w:proofErr w:type="spellStart"/>
      <w:r w:rsidRPr="00970A57">
        <w:rPr>
          <w:rFonts w:eastAsia="Times New Roman" w:cstheme="minorHAnsi"/>
        </w:rPr>
        <w:t>Bda</w:t>
      </w:r>
      <w:proofErr w:type="spellEnd"/>
      <w:r w:rsidRPr="00970A57">
        <w:rPr>
          <w:rFonts w:eastAsia="Times New Roman" w:cstheme="minorHAnsi"/>
        </w:rPr>
        <w:t xml:space="preserve">) 82 </w:t>
      </w:r>
      <w:proofErr w:type="spellStart"/>
      <w:r w:rsidRPr="00970A57">
        <w:rPr>
          <w:rFonts w:eastAsia="Times New Roman" w:cstheme="minorHAnsi"/>
        </w:rPr>
        <w:t>Civ</w:t>
      </w:r>
      <w:proofErr w:type="spellEnd"/>
    </w:p>
  </w:footnote>
  <w:footnote w:id="40">
    <w:p w14:paraId="1517F992" w14:textId="31545CA2" w:rsidR="00087191" w:rsidRPr="00970A57" w:rsidRDefault="00087191" w:rsidP="004A4F0C">
      <w:pPr>
        <w:pStyle w:val="FootnoteText"/>
        <w:rPr>
          <w:rFonts w:cstheme="minorHAnsi"/>
        </w:rPr>
      </w:pPr>
      <w:r w:rsidRPr="00970A57">
        <w:rPr>
          <w:rStyle w:val="FootnoteReference"/>
          <w:rFonts w:cstheme="minorHAnsi"/>
        </w:rPr>
        <w:footnoteRef/>
      </w:r>
      <w:r w:rsidRPr="00970A57">
        <w:rPr>
          <w:rFonts w:cstheme="minorHAnsi"/>
        </w:rPr>
        <w:t xml:space="preserve"> </w:t>
      </w:r>
      <w:proofErr w:type="spellStart"/>
      <w:r w:rsidRPr="00970A57">
        <w:rPr>
          <w:rFonts w:cstheme="minorHAnsi"/>
          <w:i/>
        </w:rPr>
        <w:t>Lendore</w:t>
      </w:r>
      <w:proofErr w:type="spellEnd"/>
      <w:r w:rsidRPr="00970A57">
        <w:rPr>
          <w:rFonts w:cstheme="minorHAnsi"/>
          <w:i/>
        </w:rPr>
        <w:t xml:space="preserve"> and others v Attorney General of Trinidad and Tobago</w:t>
      </w:r>
      <w:r w:rsidRPr="00970A57">
        <w:rPr>
          <w:rFonts w:cstheme="minorHAnsi"/>
        </w:rPr>
        <w:t xml:space="preserve"> [2017] U</w:t>
      </w:r>
      <w:r w:rsidR="0077301B" w:rsidRPr="00970A57">
        <w:rPr>
          <w:rFonts w:cstheme="minorHAnsi"/>
        </w:rPr>
        <w:t>.</w:t>
      </w:r>
      <w:r w:rsidRPr="00970A57">
        <w:rPr>
          <w:rFonts w:cstheme="minorHAnsi"/>
        </w:rPr>
        <w:t>K</w:t>
      </w:r>
      <w:r w:rsidR="0077301B" w:rsidRPr="00970A57">
        <w:rPr>
          <w:rFonts w:cstheme="minorHAnsi"/>
        </w:rPr>
        <w:t>.</w:t>
      </w:r>
      <w:r w:rsidRPr="00970A57">
        <w:rPr>
          <w:rFonts w:cstheme="minorHAnsi"/>
        </w:rPr>
        <w:t>P</w:t>
      </w:r>
      <w:r w:rsidR="0077301B" w:rsidRPr="00970A57">
        <w:rPr>
          <w:rFonts w:cstheme="minorHAnsi"/>
        </w:rPr>
        <w:t>.</w:t>
      </w:r>
      <w:r w:rsidRPr="00970A57">
        <w:rPr>
          <w:rFonts w:cstheme="minorHAnsi"/>
        </w:rPr>
        <w:t>C 25; [2017] 1 W.L.R. 3369</w:t>
      </w:r>
    </w:p>
  </w:footnote>
  <w:footnote w:id="41">
    <w:p w14:paraId="5D0BEC1B" w14:textId="2C3A836C" w:rsidR="00087191" w:rsidRPr="00970A57" w:rsidRDefault="00087191" w:rsidP="004A4F0C">
      <w:pPr>
        <w:pStyle w:val="FootnoteText"/>
        <w:rPr>
          <w:rFonts w:cstheme="minorHAnsi"/>
        </w:rPr>
      </w:pPr>
      <w:r w:rsidRPr="00970A57">
        <w:rPr>
          <w:rStyle w:val="FootnoteReference"/>
          <w:rFonts w:cstheme="minorHAnsi"/>
        </w:rPr>
        <w:footnoteRef/>
      </w:r>
      <w:r w:rsidRPr="00970A57">
        <w:rPr>
          <w:rFonts w:cstheme="minorHAnsi"/>
        </w:rPr>
        <w:t xml:space="preserve"> </w:t>
      </w:r>
      <w:proofErr w:type="spellStart"/>
      <w:r w:rsidRPr="00A553D0">
        <w:rPr>
          <w:rFonts w:cstheme="minorHAnsi"/>
          <w:i/>
        </w:rPr>
        <w:t>Tyrer</w:t>
      </w:r>
      <w:proofErr w:type="spellEnd"/>
      <w:r w:rsidRPr="00A553D0">
        <w:rPr>
          <w:rFonts w:cstheme="minorHAnsi"/>
          <w:i/>
        </w:rPr>
        <w:t xml:space="preserve"> v United Kingdom</w:t>
      </w:r>
      <w:r w:rsidRPr="00970A57">
        <w:rPr>
          <w:rFonts w:cstheme="minorHAnsi"/>
        </w:rPr>
        <w:t xml:space="preserve"> (1978) 2 E</w:t>
      </w:r>
      <w:r w:rsidR="0077301B" w:rsidRPr="00970A57">
        <w:rPr>
          <w:rFonts w:cstheme="minorHAnsi"/>
        </w:rPr>
        <w:t>.</w:t>
      </w:r>
      <w:r w:rsidRPr="00970A57">
        <w:rPr>
          <w:rFonts w:cstheme="minorHAnsi"/>
        </w:rPr>
        <w:t>H</w:t>
      </w:r>
      <w:r w:rsidR="0077301B" w:rsidRPr="00970A57">
        <w:rPr>
          <w:rFonts w:cstheme="minorHAnsi"/>
        </w:rPr>
        <w:t>.</w:t>
      </w:r>
      <w:r w:rsidRPr="00970A57">
        <w:rPr>
          <w:rFonts w:cstheme="minorHAnsi"/>
        </w:rPr>
        <w:t>R</w:t>
      </w:r>
      <w:r w:rsidR="0077301B" w:rsidRPr="00970A57">
        <w:rPr>
          <w:rFonts w:cstheme="minorHAnsi"/>
        </w:rPr>
        <w:t>.</w:t>
      </w:r>
      <w:r w:rsidRPr="00970A57">
        <w:rPr>
          <w:rFonts w:cstheme="minorHAnsi"/>
        </w:rPr>
        <w:t>R</w:t>
      </w:r>
      <w:r w:rsidR="0077301B" w:rsidRPr="00970A57">
        <w:rPr>
          <w:rFonts w:cstheme="minorHAnsi"/>
        </w:rPr>
        <w:t>.</w:t>
      </w:r>
      <w:r w:rsidRPr="00970A57">
        <w:rPr>
          <w:rFonts w:cstheme="minorHAnsi"/>
        </w:rPr>
        <w:t xml:space="preserve"> 1</w:t>
      </w:r>
      <w:r w:rsidR="0013518B">
        <w:rPr>
          <w:rFonts w:cstheme="minorHAnsi"/>
        </w:rPr>
        <w:t xml:space="preserve"> at [</w:t>
      </w:r>
      <w:r w:rsidRPr="00970A57">
        <w:rPr>
          <w:rFonts w:cstheme="minorHAnsi"/>
        </w:rPr>
        <w:t>31</w:t>
      </w:r>
      <w:r w:rsidR="0013518B">
        <w:rPr>
          <w:rFonts w:cstheme="minorHAnsi"/>
        </w:rPr>
        <w:t>]</w:t>
      </w:r>
    </w:p>
  </w:footnote>
  <w:footnote w:id="42">
    <w:p w14:paraId="32D9EBE0" w14:textId="689AA41F" w:rsidR="00087191" w:rsidRPr="00970A57" w:rsidRDefault="00087191" w:rsidP="004A4F0C">
      <w:pPr>
        <w:pStyle w:val="FootnoteText"/>
        <w:rPr>
          <w:rFonts w:cstheme="minorHAnsi"/>
        </w:rPr>
      </w:pPr>
      <w:r w:rsidRPr="00970A57">
        <w:rPr>
          <w:rStyle w:val="FootnoteReference"/>
          <w:rFonts w:cstheme="minorHAnsi"/>
        </w:rPr>
        <w:footnoteRef/>
      </w:r>
      <w:r w:rsidRPr="00970A57">
        <w:rPr>
          <w:rFonts w:cstheme="minorHAnsi"/>
        </w:rPr>
        <w:t xml:space="preserve"> </w:t>
      </w:r>
      <w:proofErr w:type="spellStart"/>
      <w:r w:rsidR="0013518B" w:rsidRPr="00EA23C6">
        <w:rPr>
          <w:rFonts w:cstheme="minorHAnsi"/>
          <w:i/>
        </w:rPr>
        <w:t>Tyrer</w:t>
      </w:r>
      <w:proofErr w:type="spellEnd"/>
      <w:r w:rsidR="0013518B" w:rsidRPr="00EA23C6">
        <w:rPr>
          <w:rFonts w:cstheme="minorHAnsi"/>
          <w:i/>
        </w:rPr>
        <w:t xml:space="preserve"> v United Kingdom</w:t>
      </w:r>
      <w:r w:rsidR="0013518B" w:rsidRPr="00970A57">
        <w:rPr>
          <w:rFonts w:cstheme="minorHAnsi"/>
        </w:rPr>
        <w:t xml:space="preserve"> (1978) 2 E.H.R.R. 1</w:t>
      </w:r>
      <w:r w:rsidR="0013518B">
        <w:rPr>
          <w:rFonts w:cstheme="minorHAnsi"/>
        </w:rPr>
        <w:t xml:space="preserve"> at</w:t>
      </w:r>
      <w:r w:rsidR="0013518B" w:rsidRPr="00970A57">
        <w:rPr>
          <w:rFonts w:cstheme="minorHAnsi"/>
        </w:rPr>
        <w:t xml:space="preserve"> </w:t>
      </w:r>
      <w:r w:rsidR="0013518B">
        <w:rPr>
          <w:rFonts w:cstheme="minorHAnsi"/>
        </w:rPr>
        <w:t>[</w:t>
      </w:r>
      <w:r w:rsidR="0013518B" w:rsidRPr="00970A57">
        <w:rPr>
          <w:rFonts w:cstheme="minorHAnsi"/>
        </w:rPr>
        <w:t>31</w:t>
      </w:r>
      <w:r w:rsidR="0013518B">
        <w:rPr>
          <w:rFonts w:cstheme="minorHAnsi"/>
        </w:rPr>
        <w:t>]</w:t>
      </w:r>
    </w:p>
  </w:footnote>
  <w:footnote w:id="43">
    <w:p w14:paraId="537D0B4E" w14:textId="54584401" w:rsidR="001D0F2A" w:rsidRPr="00970A57" w:rsidRDefault="001D0F2A" w:rsidP="004A4F0C">
      <w:pPr>
        <w:pStyle w:val="FootnoteText"/>
        <w:rPr>
          <w:rFonts w:cstheme="minorHAnsi"/>
        </w:rPr>
      </w:pPr>
      <w:r w:rsidRPr="00970A57">
        <w:rPr>
          <w:rStyle w:val="FootnoteReference"/>
          <w:rFonts w:cstheme="minorHAnsi"/>
        </w:rPr>
        <w:footnoteRef/>
      </w:r>
      <w:r w:rsidRPr="00970A57">
        <w:rPr>
          <w:rFonts w:cstheme="minorHAnsi"/>
        </w:rPr>
        <w:t xml:space="preserve"> </w:t>
      </w:r>
      <w:proofErr w:type="spellStart"/>
      <w:r w:rsidR="0013518B" w:rsidRPr="00EA23C6">
        <w:rPr>
          <w:rFonts w:cstheme="minorHAnsi"/>
          <w:i/>
        </w:rPr>
        <w:t>Tyrer</w:t>
      </w:r>
      <w:proofErr w:type="spellEnd"/>
      <w:r w:rsidR="0013518B" w:rsidRPr="00EA23C6">
        <w:rPr>
          <w:rFonts w:cstheme="minorHAnsi"/>
          <w:i/>
        </w:rPr>
        <w:t xml:space="preserve"> v United Kingdom</w:t>
      </w:r>
      <w:r w:rsidR="0013518B" w:rsidRPr="00970A57">
        <w:rPr>
          <w:rFonts w:cstheme="minorHAnsi"/>
        </w:rPr>
        <w:t xml:space="preserve"> (1978) 2 E.H.R.R. 1</w:t>
      </w:r>
      <w:r w:rsidR="0013518B">
        <w:rPr>
          <w:rFonts w:cstheme="minorHAnsi"/>
        </w:rPr>
        <w:t xml:space="preserve"> at</w:t>
      </w:r>
      <w:r w:rsidR="0013518B" w:rsidRPr="00970A57">
        <w:rPr>
          <w:rFonts w:cstheme="minorHAnsi"/>
        </w:rPr>
        <w:t xml:space="preserve"> </w:t>
      </w:r>
      <w:r w:rsidR="0013518B">
        <w:rPr>
          <w:rFonts w:cstheme="minorHAnsi"/>
        </w:rPr>
        <w:t>[</w:t>
      </w:r>
      <w:r w:rsidR="00970A57">
        <w:rPr>
          <w:rFonts w:cstheme="minorHAnsi"/>
        </w:rPr>
        <w:t>39</w:t>
      </w:r>
      <w:r w:rsidR="0013518B">
        <w:rPr>
          <w:rFonts w:cstheme="minorHAnsi"/>
        </w:rPr>
        <w:t>]</w:t>
      </w:r>
    </w:p>
  </w:footnote>
  <w:footnote w:id="44">
    <w:p w14:paraId="7AE600A7" w14:textId="6D665D01" w:rsidR="001D0F2A" w:rsidRPr="00970A57" w:rsidRDefault="001D0F2A" w:rsidP="004A4F0C">
      <w:pPr>
        <w:pStyle w:val="FootnoteText"/>
        <w:rPr>
          <w:rFonts w:cstheme="minorHAnsi"/>
        </w:rPr>
      </w:pPr>
      <w:r w:rsidRPr="00970A57">
        <w:rPr>
          <w:rStyle w:val="FootnoteReference"/>
          <w:rFonts w:cstheme="minorHAnsi"/>
        </w:rPr>
        <w:footnoteRef/>
      </w:r>
      <w:r w:rsidRPr="00970A57">
        <w:rPr>
          <w:rFonts w:cstheme="minorHAnsi"/>
        </w:rPr>
        <w:t xml:space="preserve"> Bermuda Constitution Order 1968</w:t>
      </w:r>
    </w:p>
  </w:footnote>
  <w:footnote w:id="45">
    <w:p w14:paraId="253FAB75" w14:textId="2A2A7747" w:rsidR="00763D32" w:rsidRPr="00970A57" w:rsidRDefault="00763D32" w:rsidP="004A4F0C">
      <w:pPr>
        <w:pStyle w:val="FootnoteText"/>
        <w:rPr>
          <w:rFonts w:cstheme="minorHAnsi"/>
        </w:rPr>
      </w:pPr>
      <w:r w:rsidRPr="00970A57">
        <w:rPr>
          <w:rStyle w:val="FootnoteReference"/>
          <w:rFonts w:cstheme="minorHAnsi"/>
        </w:rPr>
        <w:footnoteRef/>
      </w:r>
      <w:r w:rsidRPr="00970A57">
        <w:rPr>
          <w:rFonts w:cstheme="minorHAnsi"/>
        </w:rPr>
        <w:t xml:space="preserve"> Lord Neuberger, "The UK Constitutional Settlement and the UK Supreme Court" (10 October 2014) speech at the Legal Wale</w:t>
      </w:r>
      <w:r w:rsidR="00EB7A3B" w:rsidRPr="00970A57">
        <w:rPr>
          <w:rFonts w:cstheme="minorHAnsi"/>
        </w:rPr>
        <w:t xml:space="preserve">s Conference 2014, &lt; </w:t>
      </w:r>
      <w:r w:rsidRPr="00970A57">
        <w:rPr>
          <w:rFonts w:cstheme="minorHAnsi"/>
        </w:rPr>
        <w:t xml:space="preserve">https://www.supremecourt.uk/docs/speech-141010.pdf </w:t>
      </w:r>
      <w:r w:rsidR="00EB7A3B" w:rsidRPr="00970A57">
        <w:rPr>
          <w:rFonts w:cstheme="minorHAnsi"/>
        </w:rPr>
        <w:t xml:space="preserve">&gt; </w:t>
      </w:r>
      <w:r w:rsidRPr="00970A57">
        <w:rPr>
          <w:rFonts w:cstheme="minorHAnsi"/>
        </w:rPr>
        <w:t>[</w:t>
      </w:r>
      <w:r w:rsidR="00EB7A3B" w:rsidRPr="00970A57">
        <w:rPr>
          <w:rFonts w:cstheme="minorHAnsi"/>
        </w:rPr>
        <w:t xml:space="preserve"> Accessed </w:t>
      </w:r>
      <w:r w:rsidR="00F55E7B">
        <w:rPr>
          <w:rFonts w:cstheme="minorHAnsi"/>
        </w:rPr>
        <w:t>June 26</w:t>
      </w:r>
      <w:r w:rsidR="00EB7A3B" w:rsidRPr="00970A57">
        <w:rPr>
          <w:rFonts w:cstheme="minorHAnsi"/>
        </w:rPr>
        <w:t>, 2018]</w:t>
      </w:r>
    </w:p>
  </w:footnote>
  <w:footnote w:id="46">
    <w:p w14:paraId="713974E4" w14:textId="3BB8E184" w:rsidR="008200EF" w:rsidRPr="00970A57" w:rsidRDefault="008200EF" w:rsidP="004A4F0C">
      <w:pPr>
        <w:pStyle w:val="FootnoteText"/>
        <w:rPr>
          <w:rFonts w:cstheme="minorHAnsi"/>
        </w:rPr>
      </w:pPr>
      <w:r w:rsidRPr="00970A57">
        <w:rPr>
          <w:rStyle w:val="FootnoteReference"/>
          <w:rFonts w:cstheme="minorHAnsi"/>
        </w:rPr>
        <w:footnoteRef/>
      </w:r>
      <w:r w:rsidRPr="00970A57">
        <w:rPr>
          <w:rFonts w:cstheme="minorHAnsi"/>
        </w:rPr>
        <w:t xml:space="preserve"> </w:t>
      </w:r>
      <w:r w:rsidRPr="00970A57">
        <w:rPr>
          <w:rFonts w:cstheme="minorHAnsi"/>
          <w:i/>
        </w:rPr>
        <w:t>Robinson v R</w:t>
      </w:r>
      <w:r w:rsidRPr="00970A57">
        <w:rPr>
          <w:rFonts w:cstheme="minorHAnsi"/>
        </w:rPr>
        <w:t xml:space="preserve"> [2009] </w:t>
      </w:r>
      <w:proofErr w:type="spellStart"/>
      <w:r w:rsidRPr="00970A57">
        <w:rPr>
          <w:rFonts w:cstheme="minorHAnsi"/>
        </w:rPr>
        <w:t>Bda</w:t>
      </w:r>
      <w:proofErr w:type="spellEnd"/>
      <w:r w:rsidRPr="00970A57">
        <w:rPr>
          <w:rFonts w:cstheme="minorHAnsi"/>
        </w:rPr>
        <w:t xml:space="preserve"> LR 40</w:t>
      </w:r>
    </w:p>
  </w:footnote>
  <w:footnote w:id="47">
    <w:p w14:paraId="5A343CA6" w14:textId="5935CD3A" w:rsidR="00F350EE" w:rsidRPr="00970A57" w:rsidRDefault="00F350EE" w:rsidP="004A4F0C">
      <w:pPr>
        <w:pStyle w:val="FootnoteText"/>
        <w:rPr>
          <w:rFonts w:cstheme="minorHAnsi"/>
        </w:rPr>
      </w:pPr>
      <w:r w:rsidRPr="00970A57">
        <w:rPr>
          <w:rStyle w:val="FootnoteReference"/>
          <w:rFonts w:cstheme="minorHAnsi"/>
        </w:rPr>
        <w:footnoteRef/>
      </w:r>
      <w:r w:rsidRPr="00970A57">
        <w:rPr>
          <w:rFonts w:cstheme="minorHAnsi"/>
        </w:rPr>
        <w:t xml:space="preserve"> </w:t>
      </w:r>
      <w:proofErr w:type="gramStart"/>
      <w:r w:rsidRPr="00970A57">
        <w:rPr>
          <w:rFonts w:cstheme="minorHAnsi"/>
          <w:i/>
        </w:rPr>
        <w:t xml:space="preserve">R Ferguson v AG &amp; </w:t>
      </w:r>
      <w:proofErr w:type="spellStart"/>
      <w:r w:rsidRPr="00970A57">
        <w:rPr>
          <w:rFonts w:cstheme="minorHAnsi"/>
          <w:i/>
        </w:rPr>
        <w:t>OutBermuda</w:t>
      </w:r>
      <w:proofErr w:type="spellEnd"/>
      <w:r w:rsidRPr="00970A57">
        <w:rPr>
          <w:rFonts w:cstheme="minorHAnsi"/>
          <w:i/>
        </w:rPr>
        <w:t xml:space="preserve"> et al v AG </w:t>
      </w:r>
      <w:r w:rsidRPr="00970A57">
        <w:rPr>
          <w:rFonts w:cstheme="minorHAnsi"/>
        </w:rPr>
        <w:t>[2018] SC (</w:t>
      </w:r>
      <w:proofErr w:type="spellStart"/>
      <w:r w:rsidRPr="00970A57">
        <w:rPr>
          <w:rFonts w:cstheme="minorHAnsi"/>
        </w:rPr>
        <w:t>Bda</w:t>
      </w:r>
      <w:proofErr w:type="spellEnd"/>
      <w:r w:rsidRPr="00970A57">
        <w:rPr>
          <w:rFonts w:cstheme="minorHAnsi"/>
        </w:rPr>
        <w:t xml:space="preserve">) 45 </w:t>
      </w:r>
      <w:proofErr w:type="spellStart"/>
      <w:r w:rsidRPr="00970A57">
        <w:rPr>
          <w:rFonts w:cstheme="minorHAnsi"/>
        </w:rPr>
        <w:t>Civ</w:t>
      </w:r>
      <w:proofErr w:type="spellEnd"/>
      <w:r w:rsidRPr="00970A57">
        <w:rPr>
          <w:rFonts w:cstheme="minorHAnsi"/>
        </w:rPr>
        <w:t xml:space="preserve"> at </w:t>
      </w:r>
      <w:r w:rsidR="00195667">
        <w:rPr>
          <w:rFonts w:cstheme="minorHAnsi"/>
        </w:rPr>
        <w:t>[</w:t>
      </w:r>
      <w:r w:rsidRPr="00970A57">
        <w:rPr>
          <w:rFonts w:cstheme="minorHAnsi"/>
        </w:rPr>
        <w:t>43</w:t>
      </w:r>
      <w:r w:rsidR="00195667">
        <w:rPr>
          <w:rFonts w:cstheme="minorHAnsi"/>
        </w:rPr>
        <w:t>]</w:t>
      </w:r>
      <w:r w:rsidRPr="00970A57">
        <w:rPr>
          <w:rFonts w:cstheme="minorHAnsi"/>
        </w:rPr>
        <w:t>.</w:t>
      </w:r>
      <w:proofErr w:type="gramEnd"/>
      <w:r w:rsidRPr="00970A57">
        <w:rPr>
          <w:rFonts w:cstheme="minorHAnsi"/>
        </w:rPr>
        <w:t xml:space="preserve"> </w:t>
      </w:r>
    </w:p>
  </w:footnote>
  <w:footnote w:id="48">
    <w:p w14:paraId="27DEA457" w14:textId="5DB3952F" w:rsidR="00DB5B9D" w:rsidRPr="00970A57" w:rsidRDefault="00DB5B9D" w:rsidP="004A4F0C">
      <w:pPr>
        <w:pStyle w:val="FootnoteText"/>
        <w:rPr>
          <w:rFonts w:cstheme="minorHAnsi"/>
        </w:rPr>
      </w:pPr>
      <w:r w:rsidRPr="00970A57">
        <w:rPr>
          <w:rStyle w:val="FootnoteReference"/>
          <w:rFonts w:cstheme="minorHAnsi"/>
        </w:rPr>
        <w:footnoteRef/>
      </w:r>
      <w:r w:rsidRPr="00970A57">
        <w:rPr>
          <w:rFonts w:cstheme="minorHAnsi"/>
        </w:rPr>
        <w:t xml:space="preserve"> W</w:t>
      </w:r>
      <w:r w:rsidR="005B13E1">
        <w:rPr>
          <w:rFonts w:cstheme="minorHAnsi"/>
        </w:rPr>
        <w:t>.</w:t>
      </w:r>
      <w:r w:rsidRPr="00970A57">
        <w:rPr>
          <w:rFonts w:cstheme="minorHAnsi"/>
        </w:rPr>
        <w:t xml:space="preserve"> </w:t>
      </w:r>
      <w:proofErr w:type="spellStart"/>
      <w:r w:rsidRPr="00970A57">
        <w:rPr>
          <w:rFonts w:cstheme="minorHAnsi"/>
        </w:rPr>
        <w:t>Sadurski</w:t>
      </w:r>
      <w:proofErr w:type="spellEnd"/>
      <w:r w:rsidRPr="00970A57">
        <w:rPr>
          <w:rFonts w:cstheme="minorHAnsi"/>
        </w:rPr>
        <w:t xml:space="preserve">, “Legitimacy, political equality, and majority rule” (2008) 21(1) </w:t>
      </w:r>
      <w:r w:rsidRPr="005B13E1">
        <w:rPr>
          <w:rFonts w:cstheme="minorHAnsi"/>
          <w:i/>
        </w:rPr>
        <w:t>Ratio Juris</w:t>
      </w:r>
      <w:r w:rsidRPr="00970A57">
        <w:rPr>
          <w:rFonts w:cstheme="minorHAnsi"/>
        </w:rPr>
        <w:t xml:space="preserve"> 39</w:t>
      </w:r>
      <w:r w:rsidR="00934797" w:rsidRPr="00970A57">
        <w:rPr>
          <w:rFonts w:cstheme="minorHAnsi"/>
        </w:rPr>
        <w:t>; J</w:t>
      </w:r>
      <w:r w:rsidR="005B13E1">
        <w:rPr>
          <w:rFonts w:cstheme="minorHAnsi"/>
        </w:rPr>
        <w:t>.</w:t>
      </w:r>
      <w:r w:rsidR="00934797" w:rsidRPr="00970A57">
        <w:rPr>
          <w:rFonts w:cstheme="minorHAnsi"/>
        </w:rPr>
        <w:t xml:space="preserve"> </w:t>
      </w:r>
      <w:proofErr w:type="spellStart"/>
      <w:r w:rsidR="00934797" w:rsidRPr="00970A57">
        <w:rPr>
          <w:rFonts w:cstheme="minorHAnsi"/>
        </w:rPr>
        <w:t>Jaconelli</w:t>
      </w:r>
      <w:proofErr w:type="spellEnd"/>
      <w:r w:rsidR="00934797" w:rsidRPr="00970A57">
        <w:rPr>
          <w:rFonts w:cstheme="minorHAnsi"/>
        </w:rPr>
        <w:t xml:space="preserve">, " Majority rule and special majorities” </w:t>
      </w:r>
      <w:r w:rsidR="00195667">
        <w:rPr>
          <w:rFonts w:cstheme="minorHAnsi"/>
        </w:rPr>
        <w:t>[</w:t>
      </w:r>
      <w:r w:rsidR="00934797" w:rsidRPr="00970A57">
        <w:rPr>
          <w:rFonts w:cstheme="minorHAnsi"/>
        </w:rPr>
        <w:t>1989</w:t>
      </w:r>
      <w:r w:rsidR="00195667">
        <w:rPr>
          <w:rFonts w:cstheme="minorHAnsi"/>
        </w:rPr>
        <w:t>]</w:t>
      </w:r>
      <w:r w:rsidR="00934797" w:rsidRPr="00970A57">
        <w:rPr>
          <w:rFonts w:cstheme="minorHAnsi"/>
        </w:rPr>
        <w:t xml:space="preserve"> </w:t>
      </w:r>
      <w:r w:rsidR="00934797" w:rsidRPr="005B13E1">
        <w:rPr>
          <w:rFonts w:cstheme="minorHAnsi"/>
          <w:i/>
        </w:rPr>
        <w:t>Public Law</w:t>
      </w:r>
      <w:r w:rsidR="00934797" w:rsidRPr="00970A57">
        <w:rPr>
          <w:rFonts w:cstheme="minorHAnsi"/>
        </w:rPr>
        <w:t xml:space="preserve"> 587</w:t>
      </w:r>
    </w:p>
  </w:footnote>
  <w:footnote w:id="49">
    <w:p w14:paraId="638E56B8" w14:textId="37066409" w:rsidR="001E2EA8" w:rsidRPr="00970A57" w:rsidRDefault="001E2EA8" w:rsidP="004A4F0C">
      <w:pPr>
        <w:pStyle w:val="FootnoteText"/>
        <w:rPr>
          <w:rFonts w:cstheme="minorHAnsi"/>
        </w:rPr>
      </w:pPr>
      <w:r w:rsidRPr="00970A57">
        <w:rPr>
          <w:rStyle w:val="FootnoteReference"/>
          <w:rFonts w:cstheme="minorHAnsi"/>
        </w:rPr>
        <w:footnoteRef/>
      </w:r>
      <w:r w:rsidRPr="00970A57">
        <w:rPr>
          <w:rFonts w:cstheme="minorHAnsi"/>
        </w:rPr>
        <w:t xml:space="preserve"> </w:t>
      </w:r>
      <w:r w:rsidRPr="00970A57">
        <w:rPr>
          <w:rFonts w:cstheme="minorHAnsi"/>
          <w:i/>
        </w:rPr>
        <w:t>SAS v France</w:t>
      </w:r>
      <w:r w:rsidRPr="00970A57">
        <w:rPr>
          <w:rFonts w:cstheme="minorHAnsi"/>
        </w:rPr>
        <w:t xml:space="preserve"> (2015) 60 E.H.R.R. 11</w:t>
      </w:r>
    </w:p>
  </w:footnote>
  <w:footnote w:id="50">
    <w:p w14:paraId="1F8B192E" w14:textId="13B8D65A" w:rsidR="00FC6966" w:rsidRPr="00970A57" w:rsidRDefault="00FC6966" w:rsidP="004A4F0C">
      <w:pPr>
        <w:pStyle w:val="FootnoteText"/>
        <w:rPr>
          <w:rFonts w:cstheme="minorHAnsi"/>
        </w:rPr>
      </w:pPr>
      <w:r w:rsidRPr="00970A57">
        <w:rPr>
          <w:rStyle w:val="FootnoteReference"/>
          <w:rFonts w:cstheme="minorHAnsi"/>
        </w:rPr>
        <w:footnoteRef/>
      </w:r>
      <w:r w:rsidRPr="00970A57">
        <w:rPr>
          <w:rFonts w:cstheme="minorHAnsi"/>
        </w:rPr>
        <w:t xml:space="preserve"> An excellent discussion of this is available in M Nicholson, “Majority Rule and Human Rights: Identity and Non-Identity in S.A.S. v France” (2016) 67(2) </w:t>
      </w:r>
      <w:r w:rsidRPr="0088458F">
        <w:rPr>
          <w:rFonts w:cstheme="minorHAnsi"/>
          <w:i/>
        </w:rPr>
        <w:t>Northern Ireland Legal Quarterly</w:t>
      </w:r>
      <w:r w:rsidRPr="00970A57">
        <w:rPr>
          <w:rFonts w:cstheme="minorHAnsi"/>
        </w:rPr>
        <w:t xml:space="preserve"> 115</w:t>
      </w:r>
    </w:p>
  </w:footnote>
  <w:footnote w:id="51">
    <w:p w14:paraId="49AB91BB" w14:textId="1F7DF560" w:rsidR="00BD16A1" w:rsidRPr="00970A57" w:rsidRDefault="00BD16A1" w:rsidP="004A4F0C">
      <w:pPr>
        <w:pStyle w:val="FootnoteText"/>
        <w:rPr>
          <w:rFonts w:cstheme="minorHAnsi"/>
        </w:rPr>
      </w:pPr>
      <w:r w:rsidRPr="00970A57">
        <w:rPr>
          <w:rStyle w:val="FootnoteReference"/>
          <w:rFonts w:cstheme="minorHAnsi"/>
        </w:rPr>
        <w:footnoteRef/>
      </w:r>
      <w:r w:rsidRPr="00970A57">
        <w:rPr>
          <w:rFonts w:cstheme="minorHAnsi"/>
        </w:rPr>
        <w:t xml:space="preserve"> T W Adorno, </w:t>
      </w:r>
      <w:r w:rsidRPr="00970A57">
        <w:rPr>
          <w:rFonts w:cstheme="minorHAnsi"/>
          <w:i/>
        </w:rPr>
        <w:t>Negative Dialectics</w:t>
      </w:r>
      <w:r w:rsidRPr="00970A57">
        <w:rPr>
          <w:rFonts w:cstheme="minorHAnsi"/>
        </w:rPr>
        <w:t xml:space="preserve"> (London: Routledge 2004) </w:t>
      </w:r>
    </w:p>
  </w:footnote>
  <w:footnote w:id="52">
    <w:p w14:paraId="6C89FF53" w14:textId="0B386C5D" w:rsidR="00BD16A1" w:rsidRPr="00970A57" w:rsidRDefault="00BD16A1" w:rsidP="004A4F0C">
      <w:pPr>
        <w:pStyle w:val="FootnoteText"/>
        <w:rPr>
          <w:rFonts w:cstheme="minorHAnsi"/>
        </w:rPr>
      </w:pPr>
      <w:r w:rsidRPr="00970A57">
        <w:rPr>
          <w:rStyle w:val="FootnoteReference"/>
          <w:rFonts w:cstheme="minorHAnsi"/>
        </w:rPr>
        <w:footnoteRef/>
      </w:r>
      <w:r w:rsidRPr="00970A57">
        <w:rPr>
          <w:rFonts w:cstheme="minorHAnsi"/>
        </w:rPr>
        <w:t xml:space="preserve"> </w:t>
      </w:r>
      <w:r w:rsidR="001665A8" w:rsidRPr="00970A57">
        <w:rPr>
          <w:rFonts w:cstheme="minorHAnsi"/>
        </w:rPr>
        <w:t xml:space="preserve">T W Adorno, </w:t>
      </w:r>
      <w:r w:rsidR="001665A8" w:rsidRPr="00970A57">
        <w:rPr>
          <w:rFonts w:cstheme="minorHAnsi"/>
          <w:i/>
        </w:rPr>
        <w:t>Negative Dialectics</w:t>
      </w:r>
      <w:r w:rsidR="001665A8" w:rsidRPr="00970A57">
        <w:rPr>
          <w:rFonts w:cstheme="minorHAnsi"/>
        </w:rPr>
        <w:t xml:space="preserve"> (London: Routledge 2004) </w:t>
      </w:r>
      <w:r w:rsidRPr="0004162D">
        <w:rPr>
          <w:rFonts w:cstheme="minorHAnsi"/>
          <w:i/>
        </w:rPr>
        <w:t xml:space="preserve"> </w:t>
      </w:r>
    </w:p>
  </w:footnote>
  <w:footnote w:id="53">
    <w:p w14:paraId="076ABC6F" w14:textId="3E592C33" w:rsidR="00745B90" w:rsidRPr="00970A57" w:rsidRDefault="00745B90" w:rsidP="004A4F0C">
      <w:pPr>
        <w:pStyle w:val="FootnoteText"/>
        <w:rPr>
          <w:rFonts w:cstheme="minorHAnsi"/>
        </w:rPr>
      </w:pPr>
      <w:r w:rsidRPr="00970A57">
        <w:rPr>
          <w:rStyle w:val="FootnoteReference"/>
          <w:rFonts w:cstheme="minorHAnsi"/>
        </w:rPr>
        <w:footnoteRef/>
      </w:r>
      <w:r w:rsidRPr="00970A57">
        <w:rPr>
          <w:rFonts w:cstheme="minorHAnsi"/>
        </w:rPr>
        <w:t xml:space="preserve"> </w:t>
      </w:r>
      <w:r w:rsidR="0031126C" w:rsidRPr="00970A57">
        <w:rPr>
          <w:rFonts w:cstheme="minorHAnsi"/>
        </w:rPr>
        <w:t xml:space="preserve">M Nicholson, “Majority Rule and Human Rights: Identity and Non-Identity in S.A.S. v France” (2016) 67(2) </w:t>
      </w:r>
      <w:r w:rsidR="0031126C" w:rsidRPr="0088458F">
        <w:rPr>
          <w:rFonts w:cstheme="minorHAnsi"/>
          <w:i/>
        </w:rPr>
        <w:t>Northern Ireland Legal Quarterly</w:t>
      </w:r>
      <w:r w:rsidR="0031126C" w:rsidRPr="00970A57">
        <w:rPr>
          <w:rFonts w:cstheme="minorHAnsi"/>
        </w:rPr>
        <w:t xml:space="preserve"> 115</w:t>
      </w:r>
    </w:p>
  </w:footnote>
  <w:footnote w:id="54">
    <w:p w14:paraId="1200DEC6" w14:textId="288A8BCA" w:rsidR="00AE27F9" w:rsidRDefault="00AE27F9">
      <w:pPr>
        <w:pStyle w:val="FootnoteText"/>
      </w:pPr>
      <w:r>
        <w:rPr>
          <w:rStyle w:val="FootnoteReference"/>
        </w:rPr>
        <w:footnoteRef/>
      </w:r>
      <w:r>
        <w:t xml:space="preserve"> Bermuda is an associate member of the Caribbean Community and the term Caribbean is used in that sense, not the geographical sense</w:t>
      </w:r>
    </w:p>
  </w:footnote>
  <w:footnote w:id="55">
    <w:p w14:paraId="2C0BDB91" w14:textId="7E016CBA" w:rsidR="0050449B" w:rsidRPr="00970A57" w:rsidRDefault="0050449B" w:rsidP="004A4F0C">
      <w:pPr>
        <w:pStyle w:val="FootnoteText"/>
        <w:rPr>
          <w:rFonts w:cstheme="minorHAnsi"/>
        </w:rPr>
      </w:pPr>
      <w:r w:rsidRPr="00970A57">
        <w:rPr>
          <w:rStyle w:val="FootnoteReference"/>
          <w:rFonts w:cstheme="minorHAnsi"/>
        </w:rPr>
        <w:footnoteRef/>
      </w:r>
      <w:r w:rsidRPr="00970A57">
        <w:rPr>
          <w:rFonts w:cstheme="minorHAnsi"/>
        </w:rPr>
        <w:t xml:space="preserve"> </w:t>
      </w:r>
      <w:proofErr w:type="spellStart"/>
      <w:r w:rsidRPr="00970A57">
        <w:rPr>
          <w:rFonts w:cstheme="minorHAnsi"/>
          <w:i/>
        </w:rPr>
        <w:t>Ghaidan</w:t>
      </w:r>
      <w:proofErr w:type="spellEnd"/>
      <w:r w:rsidRPr="00970A57">
        <w:rPr>
          <w:rFonts w:cstheme="minorHAnsi"/>
          <w:i/>
        </w:rPr>
        <w:t xml:space="preserve"> v Godin-Mendoza</w:t>
      </w:r>
      <w:r w:rsidRPr="00970A57">
        <w:rPr>
          <w:rFonts w:cstheme="minorHAnsi"/>
        </w:rPr>
        <w:t xml:space="preserve"> [2004] UKHL 30, [2004] 2 AC 557</w:t>
      </w:r>
      <w:r w:rsidR="00BB08D0">
        <w:rPr>
          <w:rFonts w:cstheme="minorHAnsi"/>
        </w:rPr>
        <w:t xml:space="preserve"> at</w:t>
      </w:r>
      <w:r w:rsidRPr="00970A57">
        <w:rPr>
          <w:rFonts w:cstheme="minorHAnsi"/>
        </w:rPr>
        <w:t xml:space="preserve"> </w:t>
      </w:r>
      <w:r w:rsidR="00BB08D0">
        <w:rPr>
          <w:rFonts w:cstheme="minorHAnsi"/>
        </w:rPr>
        <w:t>[</w:t>
      </w:r>
      <w:r w:rsidRPr="00970A57">
        <w:rPr>
          <w:rFonts w:cstheme="minorHAnsi"/>
        </w:rPr>
        <w:t>132</w:t>
      </w:r>
      <w:r w:rsidR="00BB08D0">
        <w:rPr>
          <w:rFonts w:cstheme="minorHAnsi"/>
        </w:rPr>
        <w:t>]</w:t>
      </w:r>
    </w:p>
  </w:footnote>
  <w:footnote w:id="56">
    <w:p w14:paraId="67885CF5" w14:textId="1F4DF494" w:rsidR="0050449B" w:rsidRPr="00970A57" w:rsidRDefault="0050449B" w:rsidP="004A4F0C">
      <w:pPr>
        <w:pStyle w:val="FootnoteText"/>
        <w:rPr>
          <w:rFonts w:cstheme="minorHAnsi"/>
        </w:rPr>
      </w:pPr>
      <w:r w:rsidRPr="00970A57">
        <w:rPr>
          <w:rStyle w:val="FootnoteReference"/>
          <w:rFonts w:cstheme="minorHAnsi"/>
        </w:rPr>
        <w:footnoteRef/>
      </w:r>
      <w:r w:rsidRPr="00970A57">
        <w:rPr>
          <w:rFonts w:cstheme="minorHAnsi"/>
        </w:rPr>
        <w:t xml:space="preserve"> </w:t>
      </w:r>
      <w:r w:rsidRPr="00970A57">
        <w:rPr>
          <w:rFonts w:cstheme="minorHAnsi"/>
          <w:i/>
        </w:rPr>
        <w:t xml:space="preserve">Re P and others </w:t>
      </w:r>
      <w:r w:rsidRPr="00970A57">
        <w:rPr>
          <w:rFonts w:cstheme="minorHAnsi"/>
        </w:rPr>
        <w:t>[2009] 1 AC 179</w:t>
      </w:r>
    </w:p>
  </w:footnote>
  <w:footnote w:id="57">
    <w:p w14:paraId="65CEF9C3" w14:textId="17B5115C" w:rsidR="008871F6" w:rsidRPr="00835862" w:rsidRDefault="008871F6" w:rsidP="004A4F0C">
      <w:pPr>
        <w:pStyle w:val="FootnoteText"/>
        <w:rPr>
          <w:rFonts w:cstheme="minorHAnsi"/>
        </w:rPr>
      </w:pPr>
      <w:r>
        <w:rPr>
          <w:rStyle w:val="FootnoteReference"/>
        </w:rPr>
        <w:footnoteRef/>
      </w:r>
      <w:r>
        <w:t xml:space="preserve"> </w:t>
      </w:r>
      <w:r w:rsidR="008548B7" w:rsidRPr="00970A57">
        <w:rPr>
          <w:rFonts w:cstheme="minorHAnsi"/>
          <w:i/>
        </w:rPr>
        <w:t xml:space="preserve">R Ferguson v AG &amp; </w:t>
      </w:r>
      <w:proofErr w:type="spellStart"/>
      <w:r w:rsidR="008548B7" w:rsidRPr="00970A57">
        <w:rPr>
          <w:rFonts w:cstheme="minorHAnsi"/>
          <w:i/>
        </w:rPr>
        <w:t>OutBermuda</w:t>
      </w:r>
      <w:proofErr w:type="spellEnd"/>
      <w:r w:rsidR="008548B7" w:rsidRPr="00970A57">
        <w:rPr>
          <w:rFonts w:cstheme="minorHAnsi"/>
          <w:i/>
        </w:rPr>
        <w:t xml:space="preserve"> et al v AG </w:t>
      </w:r>
      <w:r w:rsidR="008548B7" w:rsidRPr="00970A57">
        <w:rPr>
          <w:rFonts w:cstheme="minorHAnsi"/>
        </w:rPr>
        <w:t>[2018] SC (</w:t>
      </w:r>
      <w:proofErr w:type="spellStart"/>
      <w:r w:rsidR="008548B7" w:rsidRPr="00970A57">
        <w:rPr>
          <w:rFonts w:cstheme="minorHAnsi"/>
        </w:rPr>
        <w:t>Bda</w:t>
      </w:r>
      <w:proofErr w:type="spellEnd"/>
      <w:r w:rsidR="008548B7" w:rsidRPr="00970A57">
        <w:rPr>
          <w:rFonts w:cstheme="minorHAnsi"/>
        </w:rPr>
        <w:t xml:space="preserve">) 45 </w:t>
      </w:r>
      <w:proofErr w:type="spellStart"/>
      <w:r w:rsidR="008548B7" w:rsidRPr="00970A57">
        <w:rPr>
          <w:rFonts w:cstheme="minorHAnsi"/>
        </w:rPr>
        <w:t>Civ</w:t>
      </w:r>
      <w:proofErr w:type="spellEnd"/>
      <w:r w:rsidR="008548B7">
        <w:rPr>
          <w:rFonts w:cstheme="minorHAnsi"/>
        </w:rPr>
        <w:t xml:space="preserve"> summarised at </w:t>
      </w:r>
      <w:r w:rsidR="00BB08D0">
        <w:rPr>
          <w:rFonts w:cstheme="minorHAnsi"/>
        </w:rPr>
        <w:t>[</w:t>
      </w:r>
      <w:r w:rsidR="008548B7">
        <w:rPr>
          <w:rFonts w:cstheme="minorHAnsi"/>
        </w:rPr>
        <w:t>67</w:t>
      </w:r>
      <w:r w:rsidR="00BB08D0">
        <w:rPr>
          <w:rFonts w:cstheme="minorHAnsi"/>
        </w:rPr>
        <w:t>]</w:t>
      </w:r>
      <w:r w:rsidR="008548B7">
        <w:rPr>
          <w:rFonts w:cstheme="minorHAnsi"/>
        </w:rPr>
        <w:t>-</w:t>
      </w:r>
      <w:r w:rsidR="00BB08D0">
        <w:rPr>
          <w:rFonts w:cstheme="minorHAnsi"/>
        </w:rPr>
        <w:t>[</w:t>
      </w:r>
      <w:r w:rsidR="008548B7">
        <w:rPr>
          <w:rFonts w:cstheme="minorHAnsi"/>
        </w:rPr>
        <w:t>70</w:t>
      </w:r>
      <w:r w:rsidR="00BB08D0">
        <w:rPr>
          <w:rFonts w:cstheme="minorHAnsi"/>
        </w:rPr>
        <w:t>]</w:t>
      </w:r>
    </w:p>
  </w:footnote>
  <w:footnote w:id="58">
    <w:p w14:paraId="2BB9E39F" w14:textId="1867BE95" w:rsidR="006813AB" w:rsidRDefault="006813AB" w:rsidP="004A4F0C">
      <w:pPr>
        <w:pStyle w:val="FootnoteText"/>
      </w:pPr>
      <w:r>
        <w:rPr>
          <w:rStyle w:val="FootnoteReference"/>
        </w:rPr>
        <w:footnoteRef/>
      </w:r>
      <w:r>
        <w:t xml:space="preserve"> </w:t>
      </w:r>
      <w:r w:rsidR="00BB08D0" w:rsidRPr="00970A57">
        <w:rPr>
          <w:rFonts w:cstheme="minorHAnsi"/>
          <w:i/>
        </w:rPr>
        <w:t xml:space="preserve">R Ferguson v AG &amp; </w:t>
      </w:r>
      <w:proofErr w:type="spellStart"/>
      <w:r w:rsidR="00BB08D0" w:rsidRPr="00970A57">
        <w:rPr>
          <w:rFonts w:cstheme="minorHAnsi"/>
          <w:i/>
        </w:rPr>
        <w:t>OutBermuda</w:t>
      </w:r>
      <w:proofErr w:type="spellEnd"/>
      <w:r w:rsidR="00BB08D0" w:rsidRPr="00970A57">
        <w:rPr>
          <w:rFonts w:cstheme="minorHAnsi"/>
          <w:i/>
        </w:rPr>
        <w:t xml:space="preserve"> et al v AG </w:t>
      </w:r>
      <w:r w:rsidR="00BB08D0" w:rsidRPr="00970A57">
        <w:rPr>
          <w:rFonts w:cstheme="minorHAnsi"/>
        </w:rPr>
        <w:t>[2018] SC (</w:t>
      </w:r>
      <w:proofErr w:type="spellStart"/>
      <w:r w:rsidR="00BB08D0" w:rsidRPr="00970A57">
        <w:rPr>
          <w:rFonts w:cstheme="minorHAnsi"/>
        </w:rPr>
        <w:t>Bda</w:t>
      </w:r>
      <w:proofErr w:type="spellEnd"/>
      <w:r w:rsidR="00BB08D0" w:rsidRPr="00970A57">
        <w:rPr>
          <w:rFonts w:cstheme="minorHAnsi"/>
        </w:rPr>
        <w:t xml:space="preserve">) 45 </w:t>
      </w:r>
      <w:proofErr w:type="spellStart"/>
      <w:r w:rsidR="00BB08D0" w:rsidRPr="00970A57">
        <w:rPr>
          <w:rFonts w:cstheme="minorHAnsi"/>
        </w:rPr>
        <w:t>Civ</w:t>
      </w:r>
      <w:proofErr w:type="spellEnd"/>
      <w:r w:rsidR="00BB08D0">
        <w:rPr>
          <w:rFonts w:cstheme="minorHAnsi"/>
        </w:rPr>
        <w:t xml:space="preserve"> summarised at [67]-[70]</w:t>
      </w:r>
    </w:p>
  </w:footnote>
  <w:footnote w:id="59">
    <w:p w14:paraId="7A39CE7B" w14:textId="3CA8DB78" w:rsidR="008537B9" w:rsidRDefault="008537B9" w:rsidP="004A4F0C">
      <w:pPr>
        <w:pStyle w:val="FootnoteText"/>
      </w:pPr>
      <w:r>
        <w:rPr>
          <w:rStyle w:val="FootnoteReference"/>
        </w:rPr>
        <w:footnoteRef/>
      </w:r>
      <w:r>
        <w:t xml:space="preserve"> </w:t>
      </w:r>
      <w:r w:rsidRPr="008537B9">
        <w:rPr>
          <w:i/>
        </w:rPr>
        <w:t>Centre for Justice v Attorney-General and Minister for Legal Affairs</w:t>
      </w:r>
      <w:r w:rsidRPr="008537B9">
        <w:t xml:space="preserve"> [2016] </w:t>
      </w:r>
      <w:proofErr w:type="spellStart"/>
      <w:r w:rsidRPr="008537B9">
        <w:t>Bda</w:t>
      </w:r>
      <w:proofErr w:type="spellEnd"/>
      <w:r w:rsidRPr="008537B9">
        <w:t xml:space="preserve"> LR 140</w:t>
      </w:r>
    </w:p>
  </w:footnote>
  <w:footnote w:id="60">
    <w:p w14:paraId="0D29A075" w14:textId="546A9D83" w:rsidR="008537B9" w:rsidRDefault="008537B9" w:rsidP="004A4F0C">
      <w:pPr>
        <w:pStyle w:val="FootnoteText"/>
      </w:pPr>
      <w:r>
        <w:rPr>
          <w:rStyle w:val="FootnoteReference"/>
        </w:rPr>
        <w:footnoteRef/>
      </w:r>
      <w:r>
        <w:t xml:space="preserve"> </w:t>
      </w:r>
      <w:r w:rsidRPr="008537B9">
        <w:rPr>
          <w:i/>
        </w:rPr>
        <w:t>R v Big M Drug Mart</w:t>
      </w:r>
      <w:r w:rsidRPr="008537B9">
        <w:t xml:space="preserve"> (1985) 1 SCR 295</w:t>
      </w:r>
    </w:p>
  </w:footnote>
  <w:footnote w:id="61">
    <w:p w14:paraId="27FD1D1E" w14:textId="4E572E1E" w:rsidR="005A279F" w:rsidRDefault="005A279F" w:rsidP="004A4F0C">
      <w:pPr>
        <w:pStyle w:val="FootnoteText"/>
      </w:pPr>
      <w:r>
        <w:rPr>
          <w:rStyle w:val="FootnoteReference"/>
        </w:rPr>
        <w:footnoteRef/>
      </w:r>
      <w:r>
        <w:t xml:space="preserve"> </w:t>
      </w:r>
      <w:bookmarkStart w:id="1" w:name="_Hlk516822700"/>
      <w:r w:rsidRPr="005A279F">
        <w:rPr>
          <w:i/>
        </w:rPr>
        <w:t xml:space="preserve">McFarlane </w:t>
      </w:r>
      <w:bookmarkEnd w:id="1"/>
      <w:r w:rsidRPr="005A279F">
        <w:rPr>
          <w:i/>
        </w:rPr>
        <w:t>v Relate Avon Limited</w:t>
      </w:r>
      <w:r w:rsidRPr="005A279F">
        <w:t xml:space="preserve"> [2010] EWCA </w:t>
      </w:r>
      <w:proofErr w:type="spellStart"/>
      <w:r w:rsidRPr="005A279F">
        <w:t>Civ</w:t>
      </w:r>
      <w:proofErr w:type="spellEnd"/>
      <w:r w:rsidRPr="005A279F">
        <w:t xml:space="preserve"> 880</w:t>
      </w:r>
    </w:p>
  </w:footnote>
  <w:footnote w:id="62">
    <w:p w14:paraId="7B034466" w14:textId="115E8F14" w:rsidR="005A279F" w:rsidRDefault="005A279F" w:rsidP="004A4F0C">
      <w:pPr>
        <w:pStyle w:val="FootnoteText"/>
      </w:pPr>
      <w:r>
        <w:rPr>
          <w:rStyle w:val="FootnoteReference"/>
        </w:rPr>
        <w:footnoteRef/>
      </w:r>
      <w:r>
        <w:t xml:space="preserve"> </w:t>
      </w:r>
      <w:r w:rsidRPr="005A279F">
        <w:rPr>
          <w:i/>
        </w:rPr>
        <w:t xml:space="preserve">R (Begum) v Head Teacher and Governors of </w:t>
      </w:r>
      <w:proofErr w:type="spellStart"/>
      <w:r w:rsidRPr="005A279F">
        <w:rPr>
          <w:i/>
        </w:rPr>
        <w:t>Denbeigh</w:t>
      </w:r>
      <w:proofErr w:type="spellEnd"/>
      <w:r w:rsidRPr="005A279F">
        <w:rPr>
          <w:i/>
        </w:rPr>
        <w:t xml:space="preserve"> High School</w:t>
      </w:r>
      <w:r w:rsidRPr="005A279F">
        <w:t xml:space="preserve"> [2006] 2 All ER 487</w:t>
      </w:r>
    </w:p>
  </w:footnote>
  <w:footnote w:id="63">
    <w:p w14:paraId="30C2E72B" w14:textId="5F070A88" w:rsidR="005A279F" w:rsidRDefault="005A279F" w:rsidP="004A4F0C">
      <w:pPr>
        <w:pStyle w:val="FootnoteText"/>
      </w:pPr>
      <w:r>
        <w:rPr>
          <w:rStyle w:val="FootnoteReference"/>
        </w:rPr>
        <w:footnoteRef/>
      </w:r>
      <w:r>
        <w:t xml:space="preserve"> </w:t>
      </w:r>
      <w:proofErr w:type="spellStart"/>
      <w:r w:rsidRPr="005A279F">
        <w:rPr>
          <w:i/>
        </w:rPr>
        <w:t>Eweida</w:t>
      </w:r>
      <w:proofErr w:type="spellEnd"/>
      <w:r w:rsidRPr="005A279F">
        <w:rPr>
          <w:i/>
        </w:rPr>
        <w:t xml:space="preserve"> v United Kingdom</w:t>
      </w:r>
      <w:r w:rsidRPr="005A279F">
        <w:t xml:space="preserve"> (2013) 57 E.H.R.R. 8</w:t>
      </w:r>
    </w:p>
  </w:footnote>
  <w:footnote w:id="64">
    <w:p w14:paraId="4E1E39C6" w14:textId="3662A293" w:rsidR="009B4D4F" w:rsidRDefault="009B4D4F" w:rsidP="004A4F0C">
      <w:pPr>
        <w:pStyle w:val="FootnoteText"/>
      </w:pPr>
      <w:r>
        <w:rPr>
          <w:rStyle w:val="FootnoteReference"/>
        </w:rPr>
        <w:footnoteRef/>
      </w:r>
      <w:r>
        <w:t xml:space="preserve"> According to </w:t>
      </w:r>
      <w:proofErr w:type="spellStart"/>
      <w:r>
        <w:t>Kawaley</w:t>
      </w:r>
      <w:proofErr w:type="spellEnd"/>
      <w:r>
        <w:t xml:space="preserve"> CJ in </w:t>
      </w:r>
      <w:r w:rsidRPr="008537B9">
        <w:rPr>
          <w:i/>
        </w:rPr>
        <w:t>Centre for Justice v Attorney-General and Minister for Legal Affairs</w:t>
      </w:r>
      <w:r w:rsidRPr="008537B9">
        <w:t xml:space="preserve"> [2016] </w:t>
      </w:r>
      <w:proofErr w:type="spellStart"/>
      <w:r w:rsidRPr="008537B9">
        <w:t>Bda</w:t>
      </w:r>
      <w:proofErr w:type="spellEnd"/>
      <w:r w:rsidRPr="008537B9">
        <w:t xml:space="preserve"> LR 140</w:t>
      </w:r>
    </w:p>
  </w:footnote>
  <w:footnote w:id="65">
    <w:p w14:paraId="711AF90C" w14:textId="290FC2D5" w:rsidR="001D0F2A" w:rsidRPr="00970A57" w:rsidRDefault="00642B40" w:rsidP="004A4F0C">
      <w:pPr>
        <w:pStyle w:val="FootnoteText"/>
        <w:rPr>
          <w:rFonts w:cstheme="minorHAnsi"/>
        </w:rPr>
      </w:pPr>
      <w:r w:rsidRPr="00970A57">
        <w:rPr>
          <w:rStyle w:val="FootnoteReference"/>
          <w:rFonts w:cstheme="minorHAnsi"/>
        </w:rPr>
        <w:footnoteRef/>
      </w:r>
      <w:r w:rsidRPr="00970A57">
        <w:rPr>
          <w:rFonts w:cstheme="minorHAnsi"/>
        </w:rPr>
        <w:t xml:space="preserve"> </w:t>
      </w:r>
      <w:r w:rsidR="00547281" w:rsidRPr="00970A57">
        <w:rPr>
          <w:rFonts w:cstheme="minorHAnsi"/>
        </w:rPr>
        <w:t>M Johnson, “</w:t>
      </w:r>
      <w:r w:rsidR="00B6433F" w:rsidRPr="00970A57">
        <w:rPr>
          <w:rFonts w:cstheme="minorHAnsi"/>
        </w:rPr>
        <w:t xml:space="preserve">The Models of Parliamentary Sovereignty” (2017) </w:t>
      </w:r>
      <w:r w:rsidR="00B6433F" w:rsidRPr="00970A57">
        <w:rPr>
          <w:rFonts w:cstheme="minorHAnsi"/>
          <w:i/>
        </w:rPr>
        <w:t>University of Bristol Law School Blog</w:t>
      </w:r>
      <w:r w:rsidR="00B6433F" w:rsidRPr="00970A57">
        <w:rPr>
          <w:rFonts w:cstheme="minorHAnsi"/>
        </w:rPr>
        <w:t xml:space="preserve"> &lt; https://legalresearch.blogs.bris.ac.uk/2017/12/the-models-of-parliamentary-sovereignty/#_ftn6 &gt; [Accessed </w:t>
      </w:r>
      <w:r w:rsidR="00F55E7B">
        <w:rPr>
          <w:rFonts w:cstheme="minorHAnsi"/>
        </w:rPr>
        <w:t>June 26</w:t>
      </w:r>
      <w:r w:rsidR="00B6433F" w:rsidRPr="00970A57">
        <w:rPr>
          <w:rFonts w:cstheme="minorHAnsi"/>
        </w:rPr>
        <w:t>, 2018]</w:t>
      </w:r>
    </w:p>
  </w:footnote>
  <w:footnote w:id="66">
    <w:p w14:paraId="35D2AB38" w14:textId="6D52F661" w:rsidR="00673713" w:rsidRDefault="00673713">
      <w:pPr>
        <w:pStyle w:val="FootnoteText"/>
      </w:pPr>
      <w:r>
        <w:rPr>
          <w:rStyle w:val="FootnoteReference"/>
        </w:rPr>
        <w:footnoteRef/>
      </w:r>
      <w:r>
        <w:t xml:space="preserve"> At the time of writing, permission to appeal to the Court of Appeal in Bermuda had not been granted</w:t>
      </w:r>
    </w:p>
  </w:footnote>
  <w:footnote w:id="67">
    <w:p w14:paraId="387BC063" w14:textId="550557B8" w:rsidR="00087191" w:rsidRPr="00970A57" w:rsidRDefault="00087191" w:rsidP="004A4F0C">
      <w:pPr>
        <w:pStyle w:val="FootnoteText"/>
        <w:rPr>
          <w:rFonts w:cstheme="minorHAnsi"/>
        </w:rPr>
      </w:pPr>
      <w:r w:rsidRPr="00970A57">
        <w:rPr>
          <w:rStyle w:val="FootnoteReference"/>
          <w:rFonts w:cstheme="minorHAnsi"/>
        </w:rPr>
        <w:footnoteRef/>
      </w:r>
      <w:r w:rsidRPr="00970A57">
        <w:rPr>
          <w:rFonts w:cstheme="minorHAnsi"/>
        </w:rPr>
        <w:t xml:space="preserve"> </w:t>
      </w:r>
      <w:r w:rsidRPr="00970A57">
        <w:rPr>
          <w:rFonts w:eastAsia="Times New Roman" w:cstheme="minorHAnsi"/>
          <w:i/>
        </w:rPr>
        <w:t xml:space="preserve">Leach v R </w:t>
      </w:r>
      <w:r w:rsidRPr="00970A57">
        <w:rPr>
          <w:rFonts w:eastAsia="Times New Roman" w:cstheme="minorHAnsi"/>
        </w:rPr>
        <w:t>[1912] A</w:t>
      </w:r>
      <w:r w:rsidR="0077301B" w:rsidRPr="00970A57">
        <w:rPr>
          <w:rFonts w:eastAsia="Times New Roman" w:cstheme="minorHAnsi"/>
        </w:rPr>
        <w:t>.</w:t>
      </w:r>
      <w:r w:rsidRPr="00970A57">
        <w:rPr>
          <w:rFonts w:eastAsia="Times New Roman" w:cstheme="minorHAnsi"/>
        </w:rPr>
        <w:t>C</w:t>
      </w:r>
      <w:r w:rsidR="0077301B" w:rsidRPr="00970A57">
        <w:rPr>
          <w:rFonts w:eastAsia="Times New Roman" w:cstheme="minorHAnsi"/>
        </w:rPr>
        <w:t>.</w:t>
      </w:r>
      <w:r w:rsidRPr="00970A57">
        <w:rPr>
          <w:rFonts w:eastAsia="Times New Roman" w:cstheme="minorHAnsi"/>
        </w:rPr>
        <w:t xml:space="preserve"> 403; (1912) 7 Cr. App. R. 157</w:t>
      </w:r>
    </w:p>
  </w:footnote>
  <w:footnote w:id="68">
    <w:p w14:paraId="01AFDD7E" w14:textId="2C2BEA49" w:rsidR="00C671BA" w:rsidRDefault="00C671BA" w:rsidP="004A4F0C">
      <w:pPr>
        <w:pStyle w:val="FootnoteText"/>
      </w:pPr>
      <w:r>
        <w:rPr>
          <w:rStyle w:val="FootnoteReference"/>
        </w:rPr>
        <w:footnoteRef/>
      </w:r>
      <w:r>
        <w:t xml:space="preserve"> </w:t>
      </w:r>
      <w:r w:rsidRPr="00970A57">
        <w:rPr>
          <w:rFonts w:cstheme="minorHAnsi"/>
          <w:i/>
        </w:rPr>
        <w:t xml:space="preserve">R Ferguson v AG &amp; </w:t>
      </w:r>
      <w:proofErr w:type="spellStart"/>
      <w:r w:rsidRPr="00970A57">
        <w:rPr>
          <w:rFonts w:cstheme="minorHAnsi"/>
          <w:i/>
        </w:rPr>
        <w:t>OutBermuda</w:t>
      </w:r>
      <w:proofErr w:type="spellEnd"/>
      <w:r w:rsidRPr="00970A57">
        <w:rPr>
          <w:rFonts w:cstheme="minorHAnsi"/>
          <w:i/>
        </w:rPr>
        <w:t xml:space="preserve"> et al v AG </w:t>
      </w:r>
      <w:r w:rsidRPr="00970A57">
        <w:rPr>
          <w:rFonts w:cstheme="minorHAnsi"/>
        </w:rPr>
        <w:t>[2018] SC (</w:t>
      </w:r>
      <w:proofErr w:type="spellStart"/>
      <w:r w:rsidRPr="00970A57">
        <w:rPr>
          <w:rFonts w:cstheme="minorHAnsi"/>
        </w:rPr>
        <w:t>Bda</w:t>
      </w:r>
      <w:proofErr w:type="spellEnd"/>
      <w:r w:rsidRPr="00970A57">
        <w:rPr>
          <w:rFonts w:cstheme="minorHAnsi"/>
        </w:rPr>
        <w:t xml:space="preserve">) 45 </w:t>
      </w:r>
      <w:proofErr w:type="spellStart"/>
      <w:r w:rsidRPr="00970A57">
        <w:rPr>
          <w:rFonts w:cstheme="minorHAnsi"/>
        </w:rPr>
        <w:t>Civ</w:t>
      </w:r>
      <w:proofErr w:type="spellEnd"/>
      <w:r>
        <w:rPr>
          <w:rFonts w:cstheme="minorHAnsi"/>
        </w:rPr>
        <w:t xml:space="preserve"> at </w:t>
      </w:r>
      <w:r w:rsidR="0076556F">
        <w:rPr>
          <w:rFonts w:cstheme="minorHAnsi"/>
        </w:rPr>
        <w:t>[</w:t>
      </w:r>
      <w:r>
        <w:rPr>
          <w:rFonts w:cstheme="minorHAnsi"/>
        </w:rPr>
        <w:t>19</w:t>
      </w:r>
      <w:r w:rsidR="0076556F">
        <w:rPr>
          <w:rFonts w:cstheme="minorHAnsi"/>
        </w:rPr>
        <w:t>]</w:t>
      </w:r>
    </w:p>
  </w:footnote>
  <w:footnote w:id="69">
    <w:p w14:paraId="2AD20D51" w14:textId="1C2D23B4" w:rsidR="00570250" w:rsidRPr="00970A57" w:rsidRDefault="00570250" w:rsidP="004A4F0C">
      <w:pPr>
        <w:pStyle w:val="FootnoteText"/>
        <w:rPr>
          <w:rFonts w:cstheme="minorHAnsi"/>
        </w:rPr>
      </w:pPr>
      <w:r w:rsidRPr="00970A57">
        <w:rPr>
          <w:rStyle w:val="FootnoteReference"/>
          <w:rFonts w:cstheme="minorHAnsi"/>
        </w:rPr>
        <w:footnoteRef/>
      </w:r>
      <w:r w:rsidRPr="00970A57">
        <w:rPr>
          <w:rFonts w:cstheme="minorHAnsi"/>
        </w:rPr>
        <w:t xml:space="preserve"> It also exempts personal law, though this article does not consider this matter further as it warrants it</w:t>
      </w:r>
      <w:r w:rsidR="00551401">
        <w:rPr>
          <w:rFonts w:cstheme="minorHAnsi"/>
        </w:rPr>
        <w:t>s</w:t>
      </w:r>
      <w:r w:rsidRPr="00970A57">
        <w:rPr>
          <w:rFonts w:cstheme="minorHAnsi"/>
        </w:rPr>
        <w:t xml:space="preserve"> own independent piece. </w:t>
      </w:r>
    </w:p>
  </w:footnote>
  <w:footnote w:id="70">
    <w:p w14:paraId="5CE645B2" w14:textId="7C54A059" w:rsidR="00087191" w:rsidRPr="00970A57" w:rsidRDefault="00087191" w:rsidP="004A4F0C">
      <w:pPr>
        <w:pStyle w:val="FootnoteText"/>
        <w:rPr>
          <w:rFonts w:cstheme="minorHAnsi"/>
        </w:rPr>
      </w:pPr>
      <w:r w:rsidRPr="00970A57">
        <w:rPr>
          <w:rStyle w:val="FootnoteReference"/>
          <w:rFonts w:cstheme="minorHAnsi"/>
        </w:rPr>
        <w:footnoteRef/>
      </w:r>
      <w:r w:rsidRPr="00970A57">
        <w:rPr>
          <w:rFonts w:cstheme="minorHAnsi"/>
        </w:rPr>
        <w:t xml:space="preserve"> </w:t>
      </w:r>
      <w:r w:rsidRPr="00970A57">
        <w:rPr>
          <w:rFonts w:cstheme="minorHAnsi"/>
          <w:i/>
          <w:iCs/>
        </w:rPr>
        <w:t xml:space="preserve">Godwin and </w:t>
      </w:r>
      <w:proofErr w:type="spellStart"/>
      <w:r w:rsidRPr="00970A57">
        <w:rPr>
          <w:rFonts w:cstheme="minorHAnsi"/>
          <w:i/>
          <w:iCs/>
        </w:rPr>
        <w:t>DeRoche</w:t>
      </w:r>
      <w:proofErr w:type="spellEnd"/>
      <w:r w:rsidRPr="00970A57">
        <w:rPr>
          <w:rFonts w:cstheme="minorHAnsi"/>
          <w:i/>
          <w:iCs/>
        </w:rPr>
        <w:t xml:space="preserve"> v The Registrar General and others </w:t>
      </w:r>
      <w:r w:rsidR="0077301B" w:rsidRPr="00970A57">
        <w:rPr>
          <w:rFonts w:cstheme="minorHAnsi"/>
        </w:rPr>
        <w:t>[2017] S.C. (</w:t>
      </w:r>
      <w:proofErr w:type="spellStart"/>
      <w:r w:rsidR="0077301B" w:rsidRPr="00970A57">
        <w:rPr>
          <w:rFonts w:cstheme="minorHAnsi"/>
        </w:rPr>
        <w:t>Bda</w:t>
      </w:r>
      <w:proofErr w:type="spellEnd"/>
      <w:r w:rsidR="0077301B" w:rsidRPr="00970A57">
        <w:rPr>
          <w:rFonts w:cstheme="minorHAnsi"/>
        </w:rPr>
        <w:t xml:space="preserve">) 36 </w:t>
      </w:r>
      <w:proofErr w:type="spellStart"/>
      <w:r w:rsidR="0077301B" w:rsidRPr="00970A57">
        <w:rPr>
          <w:rFonts w:cstheme="minorHAnsi"/>
        </w:rPr>
        <w:t>Civ</w:t>
      </w:r>
      <w:proofErr w:type="spellEnd"/>
      <w:r w:rsidR="0077301B" w:rsidRPr="00970A57">
        <w:rPr>
          <w:rFonts w:cstheme="minorHAnsi"/>
        </w:rPr>
        <w:t xml:space="preserve"> </w:t>
      </w:r>
    </w:p>
  </w:footnote>
  <w:footnote w:id="71">
    <w:p w14:paraId="680F5109" w14:textId="18B77DA2" w:rsidR="00087191" w:rsidRPr="00970A57" w:rsidRDefault="00087191" w:rsidP="004A4F0C">
      <w:pPr>
        <w:pStyle w:val="FootnoteText"/>
        <w:rPr>
          <w:rFonts w:cstheme="minorHAnsi"/>
        </w:rPr>
      </w:pPr>
      <w:r w:rsidRPr="00970A57">
        <w:rPr>
          <w:rStyle w:val="FootnoteReference"/>
          <w:rFonts w:cstheme="minorHAnsi"/>
        </w:rPr>
        <w:footnoteRef/>
      </w:r>
      <w:r w:rsidRPr="00970A57">
        <w:rPr>
          <w:rFonts w:cstheme="minorHAnsi"/>
        </w:rPr>
        <w:t xml:space="preserve"> </w:t>
      </w:r>
      <w:r w:rsidRPr="00970A57">
        <w:rPr>
          <w:rFonts w:cstheme="minorHAnsi"/>
          <w:i/>
        </w:rPr>
        <w:t xml:space="preserve">A v Attorney General </w:t>
      </w:r>
      <w:r w:rsidRPr="00970A57">
        <w:rPr>
          <w:rFonts w:cstheme="minorHAnsi"/>
        </w:rPr>
        <w:t>[2017] S</w:t>
      </w:r>
      <w:r w:rsidR="0077301B" w:rsidRPr="00970A57">
        <w:rPr>
          <w:rFonts w:cstheme="minorHAnsi"/>
        </w:rPr>
        <w:t>.</w:t>
      </w:r>
      <w:r w:rsidRPr="00970A57">
        <w:rPr>
          <w:rFonts w:cstheme="minorHAnsi"/>
        </w:rPr>
        <w:t>C</w:t>
      </w:r>
      <w:r w:rsidR="0077301B" w:rsidRPr="00970A57">
        <w:rPr>
          <w:rFonts w:cstheme="minorHAnsi"/>
        </w:rPr>
        <w:t>.</w:t>
      </w:r>
      <w:r w:rsidRPr="00970A57">
        <w:rPr>
          <w:rFonts w:cstheme="minorHAnsi"/>
        </w:rPr>
        <w:t xml:space="preserve"> (</w:t>
      </w:r>
      <w:proofErr w:type="spellStart"/>
      <w:r w:rsidRPr="00970A57">
        <w:rPr>
          <w:rFonts w:cstheme="minorHAnsi"/>
        </w:rPr>
        <w:t>Bda</w:t>
      </w:r>
      <w:proofErr w:type="spellEnd"/>
      <w:r w:rsidRPr="00970A57">
        <w:rPr>
          <w:rFonts w:cstheme="minorHAnsi"/>
        </w:rPr>
        <w:t xml:space="preserve">) 90 </w:t>
      </w:r>
      <w:proofErr w:type="spellStart"/>
      <w:r w:rsidRPr="00970A57">
        <w:rPr>
          <w:rFonts w:cstheme="minorHAnsi"/>
        </w:rPr>
        <w:t>Civ</w:t>
      </w:r>
      <w:proofErr w:type="spellEnd"/>
      <w:r w:rsidR="0077301B" w:rsidRPr="00970A57">
        <w:rPr>
          <w:rFonts w:cstheme="minorHAnsi"/>
        </w:rPr>
        <w:t xml:space="preserve"> </w:t>
      </w:r>
    </w:p>
  </w:footnote>
  <w:footnote w:id="72">
    <w:p w14:paraId="5C31CBA8" w14:textId="48B377CD" w:rsidR="00087191" w:rsidRPr="00970A57" w:rsidRDefault="00087191" w:rsidP="004A4F0C">
      <w:pPr>
        <w:pStyle w:val="FootnoteText"/>
        <w:rPr>
          <w:rFonts w:cstheme="minorHAnsi"/>
        </w:rPr>
      </w:pPr>
      <w:r w:rsidRPr="00970A57">
        <w:rPr>
          <w:rStyle w:val="FootnoteReference"/>
          <w:rFonts w:cstheme="minorHAnsi"/>
        </w:rPr>
        <w:footnoteRef/>
      </w:r>
      <w:r w:rsidRPr="00970A57">
        <w:rPr>
          <w:rFonts w:cstheme="minorHAnsi"/>
        </w:rPr>
        <w:t xml:space="preserve"> E. </w:t>
      </w:r>
      <w:proofErr w:type="spellStart"/>
      <w:r w:rsidRPr="00970A57">
        <w:rPr>
          <w:rFonts w:cstheme="minorHAnsi"/>
        </w:rPr>
        <w:t>Carolan</w:t>
      </w:r>
      <w:proofErr w:type="spellEnd"/>
      <w:r w:rsidRPr="00970A57">
        <w:rPr>
          <w:rFonts w:cstheme="minorHAnsi"/>
        </w:rPr>
        <w:t xml:space="preserve">, “Leaving behind the </w:t>
      </w:r>
      <w:r w:rsidR="008B5938" w:rsidRPr="00970A57">
        <w:rPr>
          <w:rFonts w:cstheme="minorHAnsi"/>
        </w:rPr>
        <w:t>Commonwealth</w:t>
      </w:r>
      <w:r w:rsidRPr="00970A57">
        <w:rPr>
          <w:rFonts w:cstheme="minorHAnsi"/>
        </w:rPr>
        <w:t xml:space="preserve"> model of rights review: Ireland as an example of collaborative constitutionalism” and C. Kelly, “A tale of two rights-based reviews or how the European Convention on Human Rights Act 2003 has impacted on the Irish model of review” in J. Bell and M. </w:t>
      </w:r>
      <w:proofErr w:type="spellStart"/>
      <w:proofErr w:type="gramStart"/>
      <w:r w:rsidRPr="00970A57">
        <w:rPr>
          <w:rFonts w:cstheme="minorHAnsi"/>
        </w:rPr>
        <w:t>Luce</w:t>
      </w:r>
      <w:proofErr w:type="spellEnd"/>
      <w:r w:rsidRPr="00970A57">
        <w:rPr>
          <w:rFonts w:cstheme="minorHAnsi"/>
        </w:rPr>
        <w:t>(</w:t>
      </w:r>
      <w:proofErr w:type="spellStart"/>
      <w:proofErr w:type="gramEnd"/>
      <w:r w:rsidRPr="00970A57">
        <w:rPr>
          <w:rFonts w:cstheme="minorHAnsi"/>
        </w:rPr>
        <w:t>eds</w:t>
      </w:r>
      <w:proofErr w:type="spellEnd"/>
      <w:r w:rsidRPr="00970A57">
        <w:rPr>
          <w:rFonts w:cstheme="minorHAnsi"/>
        </w:rPr>
        <w:t>) Rights-Based Constitutional Review Constitutional Courts in a Changing Landscape (Cheltenham: Edward Elgar, 2016).</w:t>
      </w:r>
    </w:p>
  </w:footnote>
  <w:footnote w:id="73">
    <w:p w14:paraId="42484594" w14:textId="1B407F8B" w:rsidR="00087191" w:rsidRPr="00970A57" w:rsidRDefault="00087191" w:rsidP="004A4F0C">
      <w:pPr>
        <w:pStyle w:val="FootnoteText"/>
        <w:rPr>
          <w:rFonts w:cstheme="minorHAnsi"/>
        </w:rPr>
      </w:pPr>
      <w:r w:rsidRPr="00970A57">
        <w:rPr>
          <w:rStyle w:val="FootnoteReference"/>
          <w:rFonts w:cstheme="minorHAnsi"/>
        </w:rPr>
        <w:footnoteRef/>
      </w:r>
      <w:r w:rsidRPr="00970A57">
        <w:rPr>
          <w:rFonts w:cstheme="minorHAnsi"/>
        </w:rPr>
        <w:t xml:space="preserve"> Civil Marriage Act 2005</w:t>
      </w:r>
    </w:p>
  </w:footnote>
  <w:footnote w:id="74">
    <w:p w14:paraId="22BD98E9" w14:textId="3BE587E3" w:rsidR="00087191" w:rsidRPr="00970A57" w:rsidRDefault="00087191" w:rsidP="004A4F0C">
      <w:pPr>
        <w:pStyle w:val="FootnoteText"/>
        <w:rPr>
          <w:rFonts w:cstheme="minorHAnsi"/>
        </w:rPr>
      </w:pPr>
      <w:r w:rsidRPr="00970A57">
        <w:rPr>
          <w:rStyle w:val="FootnoteReference"/>
          <w:rFonts w:cstheme="minorHAnsi"/>
        </w:rPr>
        <w:footnoteRef/>
      </w:r>
      <w:r w:rsidRPr="00970A57">
        <w:rPr>
          <w:rFonts w:cstheme="minorHAnsi"/>
        </w:rPr>
        <w:t xml:space="preserve"> D. McKeown, “Chronology of same-sex marriage bills introduced into the federal parliament: a quick guide” (</w:t>
      </w:r>
      <w:r w:rsidRPr="00970A57">
        <w:rPr>
          <w:rFonts w:cstheme="minorHAnsi"/>
          <w:i/>
        </w:rPr>
        <w:t>Research Papers 2017/18</w:t>
      </w:r>
      <w:r w:rsidRPr="00970A57">
        <w:rPr>
          <w:rFonts w:cstheme="minorHAnsi"/>
        </w:rPr>
        <w:t xml:space="preserve">, Parliament of Australia 2018) &lt; https://www.aph.gov.au/About_Parliament/Parliamentary_Departments/Parliamentary_Library/pubs/rp/rp1718/Quick_Guides/SSMarriageBills &gt; [Accessed </w:t>
      </w:r>
      <w:r w:rsidR="00F55E7B">
        <w:rPr>
          <w:rFonts w:cstheme="minorHAnsi"/>
        </w:rPr>
        <w:t>June 26</w:t>
      </w:r>
      <w:r w:rsidRPr="00970A57">
        <w:rPr>
          <w:rFonts w:cstheme="minorHAnsi"/>
        </w:rPr>
        <w:t>, 2018]</w:t>
      </w:r>
    </w:p>
  </w:footnote>
  <w:footnote w:id="75">
    <w:p w14:paraId="2C3C0B03" w14:textId="2B3B8855" w:rsidR="00087191" w:rsidRPr="00970A57" w:rsidRDefault="00087191" w:rsidP="004A4F0C">
      <w:pPr>
        <w:pStyle w:val="FootnoteText"/>
        <w:rPr>
          <w:rFonts w:cstheme="minorHAnsi"/>
        </w:rPr>
      </w:pPr>
      <w:r w:rsidRPr="00970A57">
        <w:rPr>
          <w:rStyle w:val="FootnoteReference"/>
          <w:rFonts w:cstheme="minorHAnsi"/>
        </w:rPr>
        <w:footnoteRef/>
      </w:r>
      <w:r w:rsidRPr="00970A57">
        <w:rPr>
          <w:rFonts w:cstheme="minorHAnsi"/>
        </w:rPr>
        <w:t xml:space="preserve"> Marriage Act 2017</w:t>
      </w:r>
    </w:p>
  </w:footnote>
  <w:footnote w:id="76">
    <w:p w14:paraId="193AEDAD" w14:textId="7FD51BE2" w:rsidR="00087191" w:rsidRPr="00970A57" w:rsidRDefault="00087191" w:rsidP="004A4F0C">
      <w:pPr>
        <w:pStyle w:val="FootnoteText"/>
        <w:rPr>
          <w:rFonts w:cstheme="minorHAnsi"/>
        </w:rPr>
      </w:pPr>
      <w:r w:rsidRPr="00970A57">
        <w:rPr>
          <w:rStyle w:val="FootnoteReference"/>
          <w:rFonts w:cstheme="minorHAnsi"/>
        </w:rPr>
        <w:footnoteRef/>
      </w:r>
      <w:r w:rsidRPr="00970A57">
        <w:rPr>
          <w:rFonts w:cstheme="minorHAnsi"/>
        </w:rPr>
        <w:t xml:space="preserve"> Civil Union Act 2006</w:t>
      </w:r>
    </w:p>
  </w:footnote>
  <w:footnote w:id="77">
    <w:p w14:paraId="4CF76EB2" w14:textId="4D3ED4DD" w:rsidR="00087191" w:rsidRPr="00970A57" w:rsidRDefault="00087191" w:rsidP="004A4F0C">
      <w:pPr>
        <w:pStyle w:val="FootnoteText"/>
        <w:rPr>
          <w:rFonts w:cstheme="minorHAnsi"/>
        </w:rPr>
      </w:pPr>
      <w:r w:rsidRPr="00970A57">
        <w:rPr>
          <w:rStyle w:val="FootnoteReference"/>
          <w:rFonts w:cstheme="minorHAnsi"/>
        </w:rPr>
        <w:footnoteRef/>
      </w:r>
      <w:r w:rsidRPr="00970A57">
        <w:rPr>
          <w:rFonts w:cstheme="minorHAnsi"/>
        </w:rPr>
        <w:t xml:space="preserve"> Marriage Ordinance 2017</w:t>
      </w:r>
    </w:p>
  </w:footnote>
  <w:footnote w:id="78">
    <w:p w14:paraId="11A147A5" w14:textId="3F1C7A0B" w:rsidR="00087191" w:rsidRPr="00970A57" w:rsidRDefault="00087191" w:rsidP="004A4F0C">
      <w:pPr>
        <w:pStyle w:val="FootnoteText"/>
        <w:rPr>
          <w:rFonts w:cstheme="minorHAnsi"/>
        </w:rPr>
      </w:pPr>
      <w:r w:rsidRPr="00970A57">
        <w:rPr>
          <w:rStyle w:val="FootnoteReference"/>
          <w:rFonts w:cstheme="minorHAnsi"/>
        </w:rPr>
        <w:footnoteRef/>
      </w:r>
      <w:r w:rsidRPr="00970A57">
        <w:rPr>
          <w:rFonts w:cstheme="minorHAnsi"/>
        </w:rPr>
        <w:t xml:space="preserve"> By virtue of its legal relationship with the United Kingdom</w:t>
      </w:r>
    </w:p>
  </w:footnote>
  <w:footnote w:id="79">
    <w:p w14:paraId="39D7E400" w14:textId="4E08B40E" w:rsidR="00087191" w:rsidRPr="00970A57" w:rsidRDefault="00087191" w:rsidP="004A4F0C">
      <w:pPr>
        <w:pStyle w:val="FootnoteText"/>
        <w:rPr>
          <w:rFonts w:cstheme="minorHAnsi"/>
        </w:rPr>
      </w:pPr>
      <w:r w:rsidRPr="00970A57">
        <w:rPr>
          <w:rStyle w:val="FootnoteReference"/>
          <w:rFonts w:cstheme="minorHAnsi"/>
        </w:rPr>
        <w:footnoteRef/>
      </w:r>
      <w:r w:rsidRPr="00970A57">
        <w:rPr>
          <w:rFonts w:cstheme="minorHAnsi"/>
        </w:rPr>
        <w:t xml:space="preserve"> </w:t>
      </w:r>
      <w:r w:rsidR="008B5938" w:rsidRPr="00970A57">
        <w:rPr>
          <w:rFonts w:cstheme="minorHAnsi"/>
        </w:rPr>
        <w:t>Commonwealth</w:t>
      </w:r>
      <w:r w:rsidRPr="00970A57">
        <w:rPr>
          <w:rFonts w:cstheme="minorHAnsi"/>
        </w:rPr>
        <w:t xml:space="preserve"> of Nations, “Associated and Overseas Territories” (</w:t>
      </w:r>
      <w:r w:rsidR="00680450">
        <w:rPr>
          <w:rFonts w:cstheme="minorHAnsi"/>
        </w:rPr>
        <w:t xml:space="preserve">2018) </w:t>
      </w:r>
      <w:r w:rsidR="008B5938" w:rsidRPr="00970A57">
        <w:rPr>
          <w:rFonts w:cstheme="minorHAnsi"/>
          <w:i/>
        </w:rPr>
        <w:t>Commonwealth</w:t>
      </w:r>
      <w:r w:rsidRPr="00970A57">
        <w:rPr>
          <w:rFonts w:cstheme="minorHAnsi"/>
          <w:i/>
        </w:rPr>
        <w:t xml:space="preserve"> Membership</w:t>
      </w:r>
      <w:r w:rsidR="00680450">
        <w:rPr>
          <w:rFonts w:cstheme="minorHAnsi"/>
        </w:rPr>
        <w:t xml:space="preserve"> </w:t>
      </w:r>
      <w:r w:rsidRPr="00970A57">
        <w:rPr>
          <w:rFonts w:cstheme="minorHAnsi"/>
        </w:rPr>
        <w:t xml:space="preserve">&lt; http://www.commonwealthofnations.org/commonwealth/commonwealth-membership/associated-and-overseas-territories/ &gt; [Accessed </w:t>
      </w:r>
      <w:r w:rsidR="00F55E7B">
        <w:rPr>
          <w:rFonts w:cstheme="minorHAnsi"/>
        </w:rPr>
        <w:t>June 26</w:t>
      </w:r>
      <w:r w:rsidRPr="00970A57">
        <w:rPr>
          <w:rFonts w:cstheme="minorHAnsi"/>
        </w:rPr>
        <w:t>, 2018]</w:t>
      </w:r>
    </w:p>
  </w:footnote>
  <w:footnote w:id="80">
    <w:p w14:paraId="58255A03" w14:textId="599B52C9" w:rsidR="00087191" w:rsidRPr="00970A57" w:rsidRDefault="00087191" w:rsidP="004A4F0C">
      <w:pPr>
        <w:pStyle w:val="FootnoteText"/>
        <w:rPr>
          <w:rFonts w:cstheme="minorHAnsi"/>
        </w:rPr>
      </w:pPr>
      <w:r w:rsidRPr="00970A57">
        <w:rPr>
          <w:rStyle w:val="FootnoteReference"/>
          <w:rFonts w:cstheme="minorHAnsi"/>
        </w:rPr>
        <w:footnoteRef/>
      </w:r>
      <w:r w:rsidRPr="00970A57">
        <w:rPr>
          <w:rFonts w:cstheme="minorHAnsi"/>
        </w:rPr>
        <w:t xml:space="preserve"> Relating to the application of the Universal Declaration of Human Rights and found in Charter of the Commonwealth 2013, II</w:t>
      </w:r>
    </w:p>
  </w:footnote>
  <w:footnote w:id="81">
    <w:p w14:paraId="11140CB5" w14:textId="7F251DC7" w:rsidR="00087191" w:rsidRPr="00970A57" w:rsidRDefault="00087191" w:rsidP="004A4F0C">
      <w:pPr>
        <w:pStyle w:val="FootnoteText"/>
        <w:rPr>
          <w:rFonts w:cstheme="minorHAnsi"/>
        </w:rPr>
      </w:pPr>
      <w:r w:rsidRPr="00970A57">
        <w:rPr>
          <w:rStyle w:val="FootnoteReference"/>
          <w:rFonts w:cstheme="minorHAnsi"/>
        </w:rPr>
        <w:footnoteRef/>
      </w:r>
      <w:r w:rsidRPr="00970A57">
        <w:rPr>
          <w:rFonts w:cstheme="minorHAnsi"/>
        </w:rPr>
        <w:t xml:space="preserve"> Charter of the Commonwealth 2013, IV</w:t>
      </w:r>
    </w:p>
  </w:footnote>
  <w:footnote w:id="82">
    <w:p w14:paraId="2DB494F6" w14:textId="28A4CCD8" w:rsidR="00783C06" w:rsidRPr="00783C06" w:rsidRDefault="00783C06" w:rsidP="004A4F0C">
      <w:pPr>
        <w:pStyle w:val="FootnoteText"/>
      </w:pPr>
      <w:r>
        <w:rPr>
          <w:rStyle w:val="FootnoteReference"/>
        </w:rPr>
        <w:footnoteRef/>
      </w:r>
      <w:r>
        <w:t xml:space="preserve"> B</w:t>
      </w:r>
      <w:r w:rsidR="006C3AA1">
        <w:t>.</w:t>
      </w:r>
      <w:r>
        <w:t xml:space="preserve"> </w:t>
      </w:r>
      <w:proofErr w:type="spellStart"/>
      <w:r>
        <w:t>Dittrich</w:t>
      </w:r>
      <w:proofErr w:type="spellEnd"/>
      <w:r>
        <w:t>, “</w:t>
      </w:r>
      <w:r w:rsidRPr="00783C06">
        <w:t>Commonwealth Nations Must Decriminalize Gay Sex</w:t>
      </w:r>
      <w:r>
        <w:t xml:space="preserve">” (2018) </w:t>
      </w:r>
      <w:r w:rsidRPr="00783C06">
        <w:rPr>
          <w:i/>
        </w:rPr>
        <w:t>The Advocate</w:t>
      </w:r>
      <w:r>
        <w:rPr>
          <w:i/>
        </w:rPr>
        <w:t xml:space="preserve"> </w:t>
      </w:r>
      <w:r>
        <w:t xml:space="preserve">&lt; </w:t>
      </w:r>
      <w:r w:rsidRPr="00783C06">
        <w:t>https://www.advocate.com/commentary/2018/4/16/commonwealth-nations-must-decriminalize-gay-sex</w:t>
      </w:r>
      <w:r>
        <w:t xml:space="preserve"> &gt; [Accessed </w:t>
      </w:r>
      <w:r w:rsidR="00F55E7B">
        <w:rPr>
          <w:rFonts w:cstheme="minorHAnsi"/>
        </w:rPr>
        <w:t>June 26</w:t>
      </w:r>
      <w:r>
        <w:t xml:space="preserve">, 2018] </w:t>
      </w:r>
    </w:p>
  </w:footnote>
  <w:footnote w:id="83">
    <w:p w14:paraId="0D99C92C" w14:textId="77777777" w:rsidR="00087191" w:rsidRPr="00970A57" w:rsidRDefault="00087191" w:rsidP="004A4F0C">
      <w:pPr>
        <w:pStyle w:val="FootnoteText"/>
        <w:rPr>
          <w:rFonts w:cstheme="minorHAnsi"/>
        </w:rPr>
      </w:pPr>
      <w:r w:rsidRPr="00970A57">
        <w:rPr>
          <w:rStyle w:val="FootnoteReference"/>
          <w:rFonts w:cstheme="minorHAnsi"/>
        </w:rPr>
        <w:footnoteRef/>
      </w:r>
      <w:r w:rsidRPr="00970A57">
        <w:rPr>
          <w:rFonts w:cstheme="minorHAnsi"/>
        </w:rPr>
        <w:t xml:space="preserve"> In terms of Judicial Activism</w:t>
      </w:r>
    </w:p>
  </w:footnote>
  <w:footnote w:id="84">
    <w:p w14:paraId="52EE6C35" w14:textId="3F0332AB" w:rsidR="00087191" w:rsidRPr="00970A57" w:rsidRDefault="00087191" w:rsidP="004A4F0C">
      <w:pPr>
        <w:pStyle w:val="FootnoteText"/>
        <w:rPr>
          <w:rFonts w:cstheme="minorHAnsi"/>
        </w:rPr>
      </w:pPr>
      <w:r w:rsidRPr="00970A57">
        <w:rPr>
          <w:rStyle w:val="FootnoteReference"/>
          <w:rFonts w:cstheme="minorHAnsi"/>
        </w:rPr>
        <w:footnoteRef/>
      </w:r>
      <w:r w:rsidRPr="00970A57">
        <w:rPr>
          <w:rFonts w:cstheme="minorHAnsi"/>
        </w:rPr>
        <w:t xml:space="preserve"> A. Pope, </w:t>
      </w:r>
      <w:r w:rsidRPr="00970A57">
        <w:rPr>
          <w:rFonts w:cstheme="minorHAnsi"/>
          <w:i/>
        </w:rPr>
        <w:t xml:space="preserve">Epistles to Several Persons: Moral Essays </w:t>
      </w:r>
      <w:r w:rsidRPr="00970A57">
        <w:rPr>
          <w:rFonts w:cstheme="minorHAnsi"/>
        </w:rPr>
        <w:t xml:space="preserve">(First Published 1732, London: </w:t>
      </w:r>
      <w:proofErr w:type="spellStart"/>
      <w:r w:rsidRPr="00970A57">
        <w:rPr>
          <w:rFonts w:cstheme="minorHAnsi"/>
        </w:rPr>
        <w:t>Metheuan</w:t>
      </w:r>
      <w:proofErr w:type="spellEnd"/>
      <w:r w:rsidRPr="00970A57">
        <w:rPr>
          <w:rFonts w:cstheme="minorHAnsi"/>
        </w:rPr>
        <w:t xml:space="preserve"> 1961) Epistle to Cobham “Just as the Twig is bent, the Tree’s </w:t>
      </w:r>
      <w:proofErr w:type="spellStart"/>
      <w:r w:rsidRPr="00970A57">
        <w:rPr>
          <w:rFonts w:cstheme="minorHAnsi"/>
        </w:rPr>
        <w:t>inclin’d</w:t>
      </w:r>
      <w:proofErr w:type="spellEnd"/>
      <w:r w:rsidRPr="00970A57">
        <w:rPr>
          <w:rFonts w:cstheme="minorHAnsi"/>
        </w:rPr>
        <w:t xml:space="preserve">”. </w:t>
      </w:r>
    </w:p>
  </w:footnote>
  <w:footnote w:id="85">
    <w:p w14:paraId="1286190B" w14:textId="7D40A21E" w:rsidR="00087191" w:rsidRPr="00970A57" w:rsidRDefault="00087191" w:rsidP="004A4F0C">
      <w:pPr>
        <w:pStyle w:val="FootnoteText"/>
        <w:rPr>
          <w:rFonts w:cstheme="minorHAnsi"/>
        </w:rPr>
      </w:pPr>
      <w:r w:rsidRPr="00970A57">
        <w:rPr>
          <w:rStyle w:val="FootnoteReference"/>
          <w:rFonts w:cstheme="minorHAnsi"/>
        </w:rPr>
        <w:footnoteRef/>
      </w:r>
      <w:r w:rsidRPr="00970A57">
        <w:rPr>
          <w:rFonts w:cstheme="minorHAnsi"/>
        </w:rPr>
        <w:t xml:space="preserve"> </w:t>
      </w:r>
      <w:proofErr w:type="spellStart"/>
      <w:r w:rsidRPr="00970A57">
        <w:rPr>
          <w:rFonts w:cstheme="minorHAnsi"/>
          <w:i/>
        </w:rPr>
        <w:t>Lendore</w:t>
      </w:r>
      <w:proofErr w:type="spellEnd"/>
      <w:r w:rsidRPr="00970A57">
        <w:rPr>
          <w:rFonts w:cstheme="minorHAnsi"/>
          <w:i/>
        </w:rPr>
        <w:t xml:space="preserve"> and others v Attorney General of Trinidad and Tobago</w:t>
      </w:r>
      <w:r w:rsidRPr="00970A57">
        <w:rPr>
          <w:rFonts w:cstheme="minorHAnsi"/>
        </w:rPr>
        <w:t xml:space="preserve"> [2017] U</w:t>
      </w:r>
      <w:r w:rsidR="0077301B" w:rsidRPr="00970A57">
        <w:rPr>
          <w:rFonts w:cstheme="minorHAnsi"/>
        </w:rPr>
        <w:t>.</w:t>
      </w:r>
      <w:r w:rsidRPr="00970A57">
        <w:rPr>
          <w:rFonts w:cstheme="minorHAnsi"/>
        </w:rPr>
        <w:t>K</w:t>
      </w:r>
      <w:r w:rsidR="0077301B" w:rsidRPr="00970A57">
        <w:rPr>
          <w:rFonts w:cstheme="minorHAnsi"/>
        </w:rPr>
        <w:t>.</w:t>
      </w:r>
      <w:r w:rsidRPr="00970A57">
        <w:rPr>
          <w:rFonts w:cstheme="minorHAnsi"/>
        </w:rPr>
        <w:t>P</w:t>
      </w:r>
      <w:r w:rsidR="0077301B" w:rsidRPr="00970A57">
        <w:rPr>
          <w:rFonts w:cstheme="minorHAnsi"/>
        </w:rPr>
        <w:t>.</w:t>
      </w:r>
      <w:r w:rsidRPr="00970A57">
        <w:rPr>
          <w:rFonts w:cstheme="minorHAnsi"/>
        </w:rPr>
        <w:t>C</w:t>
      </w:r>
      <w:r w:rsidR="0077301B" w:rsidRPr="00970A57">
        <w:rPr>
          <w:rFonts w:cstheme="minorHAnsi"/>
        </w:rPr>
        <w:t>.</w:t>
      </w:r>
      <w:r w:rsidRPr="00970A57">
        <w:rPr>
          <w:rFonts w:cstheme="minorHAnsi"/>
        </w:rPr>
        <w:t xml:space="preserve"> 25; [2017] 1 W.L.R. 3369</w:t>
      </w:r>
    </w:p>
  </w:footnote>
  <w:footnote w:id="86">
    <w:p w14:paraId="3F78C006" w14:textId="11AD90DA" w:rsidR="00087191" w:rsidRPr="00970A57" w:rsidRDefault="00087191" w:rsidP="004A4F0C">
      <w:pPr>
        <w:pStyle w:val="FootnoteText"/>
        <w:rPr>
          <w:rFonts w:cstheme="minorHAnsi"/>
        </w:rPr>
      </w:pPr>
      <w:r w:rsidRPr="00970A57">
        <w:rPr>
          <w:rStyle w:val="FootnoteReference"/>
          <w:rFonts w:cstheme="minorHAnsi"/>
        </w:rPr>
        <w:footnoteRef/>
      </w:r>
      <w:r w:rsidRPr="00970A57">
        <w:rPr>
          <w:rFonts w:cstheme="minorHAnsi"/>
        </w:rPr>
        <w:t xml:space="preserve"> [2004] U</w:t>
      </w:r>
      <w:r w:rsidR="0077301B" w:rsidRPr="00970A57">
        <w:rPr>
          <w:rFonts w:cstheme="minorHAnsi"/>
        </w:rPr>
        <w:t>.</w:t>
      </w:r>
      <w:r w:rsidRPr="00970A57">
        <w:rPr>
          <w:rFonts w:cstheme="minorHAnsi"/>
        </w:rPr>
        <w:t>K</w:t>
      </w:r>
      <w:r w:rsidR="0077301B" w:rsidRPr="00970A57">
        <w:rPr>
          <w:rFonts w:cstheme="minorHAnsi"/>
        </w:rPr>
        <w:t>.</w:t>
      </w:r>
      <w:r w:rsidRPr="00970A57">
        <w:rPr>
          <w:rFonts w:cstheme="minorHAnsi"/>
        </w:rPr>
        <w:t>P</w:t>
      </w:r>
      <w:r w:rsidR="0077301B" w:rsidRPr="00970A57">
        <w:rPr>
          <w:rFonts w:cstheme="minorHAnsi"/>
        </w:rPr>
        <w:t xml:space="preserve">.C. </w:t>
      </w:r>
      <w:r w:rsidRPr="00970A57">
        <w:rPr>
          <w:rFonts w:cstheme="minorHAnsi"/>
        </w:rPr>
        <w:t>32; [2005] 1 A.C. 400</w:t>
      </w:r>
    </w:p>
  </w:footnote>
  <w:footnote w:id="87">
    <w:p w14:paraId="6D78CF2B" w14:textId="0E7D9C88" w:rsidR="00D34AAD" w:rsidRPr="00970A57" w:rsidRDefault="00D34AAD" w:rsidP="004A4F0C">
      <w:pPr>
        <w:pStyle w:val="FootnoteText"/>
        <w:rPr>
          <w:rFonts w:cstheme="minorHAnsi"/>
        </w:rPr>
      </w:pPr>
      <w:r w:rsidRPr="00970A57">
        <w:rPr>
          <w:rStyle w:val="FootnoteReference"/>
          <w:rFonts w:cstheme="minorHAnsi"/>
        </w:rPr>
        <w:footnoteRef/>
      </w:r>
      <w:r w:rsidRPr="00970A57">
        <w:rPr>
          <w:rFonts w:cstheme="minorHAnsi"/>
        </w:rPr>
        <w:t xml:space="preserve"> S.53 of the DPA states “[n]</w:t>
      </w:r>
      <w:proofErr w:type="spellStart"/>
      <w:r w:rsidRPr="00970A57">
        <w:rPr>
          <w:rFonts w:cstheme="minorHAnsi"/>
        </w:rPr>
        <w:t>otwithstanding</w:t>
      </w:r>
      <w:proofErr w:type="spellEnd"/>
      <w:r w:rsidRPr="00970A57">
        <w:rPr>
          <w:rFonts w:cstheme="minorHAnsi"/>
        </w:rPr>
        <w:t xml:space="preserve"> anything in the Human Rights Act 1981, any other provision of law or the judgment of the Supreme Court in </w:t>
      </w:r>
      <w:r w:rsidRPr="00A73410">
        <w:rPr>
          <w:rFonts w:cstheme="minorHAnsi"/>
          <w:i/>
        </w:rPr>
        <w:t xml:space="preserve">Godwin and </w:t>
      </w:r>
      <w:proofErr w:type="spellStart"/>
      <w:r w:rsidRPr="00A73410">
        <w:rPr>
          <w:rFonts w:cstheme="minorHAnsi"/>
          <w:i/>
        </w:rPr>
        <w:t>DeRoche</w:t>
      </w:r>
      <w:proofErr w:type="spellEnd"/>
      <w:r w:rsidRPr="00A73410">
        <w:rPr>
          <w:rFonts w:cstheme="minorHAnsi"/>
          <w:i/>
        </w:rPr>
        <w:t xml:space="preserve"> v The Registrar General and others</w:t>
      </w:r>
      <w:r w:rsidRPr="00970A57">
        <w:rPr>
          <w:rFonts w:cstheme="minorHAnsi"/>
        </w:rPr>
        <w:t xml:space="preserve"> delivered on 5 May 2017, a marriage is void unless the parties are respectively male and female.”</w:t>
      </w:r>
    </w:p>
  </w:footnote>
  <w:footnote w:id="88">
    <w:p w14:paraId="21CAAD2D" w14:textId="44048115" w:rsidR="00087191" w:rsidRPr="00970A57" w:rsidRDefault="00087191" w:rsidP="004A4F0C">
      <w:pPr>
        <w:pStyle w:val="FootnoteText"/>
        <w:rPr>
          <w:rFonts w:cstheme="minorHAnsi"/>
        </w:rPr>
      </w:pPr>
      <w:r w:rsidRPr="00970A57">
        <w:rPr>
          <w:rStyle w:val="FootnoteReference"/>
          <w:rFonts w:cstheme="minorHAnsi"/>
        </w:rPr>
        <w:footnoteRef/>
      </w:r>
      <w:r w:rsidRPr="00970A57">
        <w:rPr>
          <w:rFonts w:cstheme="minorHAnsi"/>
        </w:rPr>
        <w:t xml:space="preserve"> </w:t>
      </w:r>
      <w:r w:rsidR="0077301B" w:rsidRPr="00970A57">
        <w:rPr>
          <w:rFonts w:cstheme="minorHAnsi"/>
        </w:rPr>
        <w:t>[2016] SC (</w:t>
      </w:r>
      <w:proofErr w:type="spellStart"/>
      <w:r w:rsidR="0077301B" w:rsidRPr="00970A57">
        <w:rPr>
          <w:rFonts w:cstheme="minorHAnsi"/>
        </w:rPr>
        <w:t>Bda</w:t>
      </w:r>
      <w:proofErr w:type="spellEnd"/>
      <w:r w:rsidR="0077301B" w:rsidRPr="00970A57">
        <w:rPr>
          <w:rFonts w:cstheme="minorHAnsi"/>
        </w:rPr>
        <w:t xml:space="preserve">) 64 </w:t>
      </w:r>
      <w:proofErr w:type="spellStart"/>
      <w:r w:rsidR="0077301B" w:rsidRPr="00970A57">
        <w:rPr>
          <w:rFonts w:cstheme="minorHAnsi"/>
        </w:rPr>
        <w:t>Civ</w:t>
      </w:r>
      <w:proofErr w:type="spellEnd"/>
      <w:r w:rsidR="0077301B" w:rsidRPr="00970A57">
        <w:rPr>
          <w:rFonts w:cstheme="minorHAnsi"/>
        </w:rPr>
        <w:t xml:space="preserve"> </w:t>
      </w:r>
    </w:p>
  </w:footnote>
  <w:footnote w:id="89">
    <w:p w14:paraId="5AEE9C0C" w14:textId="2779BF51" w:rsidR="00087191" w:rsidRPr="00970A57" w:rsidRDefault="00087191" w:rsidP="004A4F0C">
      <w:pPr>
        <w:pStyle w:val="FootnoteText"/>
        <w:rPr>
          <w:rFonts w:cstheme="minorHAnsi"/>
        </w:rPr>
      </w:pPr>
      <w:r w:rsidRPr="00970A57">
        <w:rPr>
          <w:rStyle w:val="FootnoteReference"/>
          <w:rFonts w:cstheme="minorHAnsi"/>
        </w:rPr>
        <w:footnoteRef/>
      </w:r>
      <w:r w:rsidRPr="00970A57">
        <w:rPr>
          <w:rFonts w:cstheme="minorHAnsi"/>
        </w:rPr>
        <w:t xml:space="preserve"> </w:t>
      </w:r>
      <w:r w:rsidR="006E1C83" w:rsidRPr="00970A57">
        <w:rPr>
          <w:rFonts w:cstheme="minorHAnsi"/>
        </w:rPr>
        <w:t>[2016] SC (</w:t>
      </w:r>
      <w:proofErr w:type="spellStart"/>
      <w:r w:rsidR="006E1C83" w:rsidRPr="00970A57">
        <w:rPr>
          <w:rFonts w:cstheme="minorHAnsi"/>
        </w:rPr>
        <w:t>Bda</w:t>
      </w:r>
      <w:proofErr w:type="spellEnd"/>
      <w:r w:rsidR="006E1C83" w:rsidRPr="00970A57">
        <w:rPr>
          <w:rFonts w:cstheme="minorHAnsi"/>
        </w:rPr>
        <w:t xml:space="preserve">) 64 </w:t>
      </w:r>
      <w:proofErr w:type="spellStart"/>
      <w:r w:rsidR="006E1C83" w:rsidRPr="00970A57">
        <w:rPr>
          <w:rFonts w:cstheme="minorHAnsi"/>
        </w:rPr>
        <w:t>Civ</w:t>
      </w:r>
      <w:proofErr w:type="spellEnd"/>
      <w:r w:rsidR="006E1C83" w:rsidRPr="00970A57">
        <w:rPr>
          <w:rFonts w:cstheme="minorHAnsi"/>
        </w:rPr>
        <w:t xml:space="preserve"> </w:t>
      </w:r>
      <w:r w:rsidR="006E1C83">
        <w:rPr>
          <w:rFonts w:cstheme="minorHAnsi"/>
        </w:rPr>
        <w:t>at [</w:t>
      </w:r>
      <w:r w:rsidRPr="00970A57">
        <w:rPr>
          <w:rFonts w:cstheme="minorHAnsi"/>
        </w:rPr>
        <w:t>3</w:t>
      </w:r>
      <w:r w:rsidR="006E1C83">
        <w:rPr>
          <w:rFonts w:cstheme="minorHAnsi"/>
        </w:rPr>
        <w:t>]</w:t>
      </w:r>
    </w:p>
  </w:footnote>
  <w:footnote w:id="90">
    <w:p w14:paraId="008F4538" w14:textId="04AD491E" w:rsidR="000D0479" w:rsidRPr="00970A57" w:rsidRDefault="000D0479" w:rsidP="004A4F0C">
      <w:pPr>
        <w:pStyle w:val="FootnoteText"/>
        <w:rPr>
          <w:rFonts w:cstheme="minorHAnsi"/>
        </w:rPr>
      </w:pPr>
      <w:r w:rsidRPr="00970A57">
        <w:rPr>
          <w:rStyle w:val="FootnoteReference"/>
          <w:rFonts w:cstheme="minorHAnsi"/>
        </w:rPr>
        <w:footnoteRef/>
      </w:r>
      <w:r w:rsidRPr="00970A57">
        <w:rPr>
          <w:rFonts w:cstheme="minorHAnsi"/>
        </w:rPr>
        <w:t xml:space="preserve"> </w:t>
      </w:r>
      <w:proofErr w:type="spellStart"/>
      <w:proofErr w:type="gramStart"/>
      <w:r w:rsidRPr="00970A57">
        <w:rPr>
          <w:rFonts w:cstheme="minorHAnsi"/>
          <w:i/>
        </w:rPr>
        <w:t>DeRoche</w:t>
      </w:r>
      <w:proofErr w:type="spellEnd"/>
      <w:r w:rsidRPr="00970A57">
        <w:rPr>
          <w:rFonts w:cstheme="minorHAnsi"/>
          <w:i/>
        </w:rPr>
        <w:t xml:space="preserve"> v The Registrar General and others </w:t>
      </w:r>
      <w:r w:rsidRPr="00970A57">
        <w:rPr>
          <w:rFonts w:cstheme="minorHAnsi"/>
        </w:rPr>
        <w:t>[2016] S</w:t>
      </w:r>
      <w:r w:rsidR="0077301B" w:rsidRPr="00970A57">
        <w:rPr>
          <w:rFonts w:cstheme="minorHAnsi"/>
        </w:rPr>
        <w:t>.</w:t>
      </w:r>
      <w:r w:rsidRPr="00970A57">
        <w:rPr>
          <w:rFonts w:cstheme="minorHAnsi"/>
        </w:rPr>
        <w:t>C</w:t>
      </w:r>
      <w:r w:rsidR="0077301B" w:rsidRPr="00970A57">
        <w:rPr>
          <w:rFonts w:cstheme="minorHAnsi"/>
        </w:rPr>
        <w:t>. (</w:t>
      </w:r>
      <w:proofErr w:type="spellStart"/>
      <w:r w:rsidR="0077301B" w:rsidRPr="00970A57">
        <w:rPr>
          <w:rFonts w:cstheme="minorHAnsi"/>
        </w:rPr>
        <w:t>Bda</w:t>
      </w:r>
      <w:proofErr w:type="spellEnd"/>
      <w:r w:rsidR="0077301B" w:rsidRPr="00970A57">
        <w:rPr>
          <w:rFonts w:cstheme="minorHAnsi"/>
        </w:rPr>
        <w:t xml:space="preserve">) 64 </w:t>
      </w:r>
      <w:proofErr w:type="spellStart"/>
      <w:r w:rsidR="0077301B" w:rsidRPr="00970A57">
        <w:rPr>
          <w:rFonts w:cstheme="minorHAnsi"/>
        </w:rPr>
        <w:t>Civ</w:t>
      </w:r>
      <w:proofErr w:type="spellEnd"/>
      <w:r w:rsidR="0077301B" w:rsidRPr="00970A57">
        <w:rPr>
          <w:rFonts w:cstheme="minorHAnsi"/>
        </w:rPr>
        <w:t xml:space="preserve"> </w:t>
      </w:r>
      <w:r w:rsidRPr="00970A57">
        <w:rPr>
          <w:rFonts w:cstheme="minorHAnsi"/>
        </w:rPr>
        <w:t xml:space="preserve">at </w:t>
      </w:r>
      <w:r w:rsidR="006E1C83">
        <w:rPr>
          <w:rFonts w:cstheme="minorHAnsi"/>
        </w:rPr>
        <w:t>[</w:t>
      </w:r>
      <w:r w:rsidRPr="00970A57">
        <w:rPr>
          <w:rFonts w:cstheme="minorHAnsi"/>
        </w:rPr>
        <w:t>8</w:t>
      </w:r>
      <w:r w:rsidR="006E1C83">
        <w:rPr>
          <w:rFonts w:cstheme="minorHAnsi"/>
        </w:rPr>
        <w:t>]</w:t>
      </w:r>
      <w:r w:rsidRPr="00970A57">
        <w:rPr>
          <w:rFonts w:cstheme="minorHAnsi"/>
        </w:rPr>
        <w:t>.</w:t>
      </w:r>
      <w:proofErr w:type="gramEnd"/>
    </w:p>
  </w:footnote>
  <w:footnote w:id="91">
    <w:p w14:paraId="0A28B727" w14:textId="32EE6D6F" w:rsidR="00E2705F" w:rsidRPr="00970A57" w:rsidRDefault="00E2705F" w:rsidP="004A4F0C">
      <w:pPr>
        <w:pStyle w:val="FootnoteText"/>
        <w:rPr>
          <w:rFonts w:cstheme="minorHAnsi"/>
        </w:rPr>
      </w:pPr>
      <w:r w:rsidRPr="00970A57">
        <w:rPr>
          <w:rStyle w:val="FootnoteReference"/>
          <w:rFonts w:cstheme="minorHAnsi"/>
        </w:rPr>
        <w:footnoteRef/>
      </w:r>
      <w:r w:rsidRPr="00970A57">
        <w:rPr>
          <w:rFonts w:cstheme="minorHAnsi"/>
        </w:rPr>
        <w:t xml:space="preserve"> </w:t>
      </w:r>
      <w:r w:rsidR="007F014C" w:rsidRPr="00970A57">
        <w:rPr>
          <w:rFonts w:eastAsia="Times New Roman" w:cstheme="minorHAnsi"/>
          <w:i/>
        </w:rPr>
        <w:t>Edwards v Canada</w:t>
      </w:r>
      <w:r w:rsidR="007F014C" w:rsidRPr="00970A57">
        <w:rPr>
          <w:rFonts w:eastAsia="Times New Roman" w:cstheme="minorHAnsi"/>
        </w:rPr>
        <w:t xml:space="preserve"> [1930] A.C. 124, 1929</w:t>
      </w:r>
      <w:r w:rsidR="007F014C" w:rsidRPr="00970A57">
        <w:rPr>
          <w:rFonts w:cstheme="minorHAnsi"/>
        </w:rPr>
        <w:t xml:space="preserve"> </w:t>
      </w:r>
      <w:r w:rsidR="007F014C" w:rsidRPr="00970A57">
        <w:rPr>
          <w:rFonts w:eastAsia="Times New Roman" w:cstheme="minorHAnsi"/>
        </w:rPr>
        <w:t>U</w:t>
      </w:r>
      <w:r w:rsidR="0077301B" w:rsidRPr="00970A57">
        <w:rPr>
          <w:rFonts w:eastAsia="Times New Roman" w:cstheme="minorHAnsi"/>
        </w:rPr>
        <w:t>.</w:t>
      </w:r>
      <w:r w:rsidR="007F014C" w:rsidRPr="00970A57">
        <w:rPr>
          <w:rFonts w:eastAsia="Times New Roman" w:cstheme="minorHAnsi"/>
        </w:rPr>
        <w:t>K</w:t>
      </w:r>
      <w:r w:rsidR="0077301B" w:rsidRPr="00970A57">
        <w:rPr>
          <w:rFonts w:eastAsia="Times New Roman" w:cstheme="minorHAnsi"/>
        </w:rPr>
        <w:t>.</w:t>
      </w:r>
      <w:r w:rsidR="007F014C" w:rsidRPr="00970A57">
        <w:rPr>
          <w:rFonts w:eastAsia="Times New Roman" w:cstheme="minorHAnsi"/>
        </w:rPr>
        <w:t>P</w:t>
      </w:r>
      <w:r w:rsidR="0077301B" w:rsidRPr="00970A57">
        <w:rPr>
          <w:rFonts w:eastAsia="Times New Roman" w:cstheme="minorHAnsi"/>
        </w:rPr>
        <w:t>.</w:t>
      </w:r>
      <w:r w:rsidR="007F014C" w:rsidRPr="00970A57">
        <w:rPr>
          <w:rFonts w:eastAsia="Times New Roman" w:cstheme="minorHAnsi"/>
        </w:rPr>
        <w:t>C</w:t>
      </w:r>
      <w:r w:rsidR="0077301B" w:rsidRPr="00970A57">
        <w:rPr>
          <w:rFonts w:eastAsia="Times New Roman" w:cstheme="minorHAnsi"/>
        </w:rPr>
        <w:t>.</w:t>
      </w:r>
      <w:r w:rsidR="007F014C" w:rsidRPr="00970A57">
        <w:rPr>
          <w:rFonts w:eastAsia="Times New Roman" w:cstheme="minorHAnsi"/>
        </w:rPr>
        <w:t xml:space="preserve"> 86</w:t>
      </w:r>
    </w:p>
  </w:footnote>
  <w:footnote w:id="92">
    <w:p w14:paraId="4FB04D91" w14:textId="06DAAA57" w:rsidR="007F014C" w:rsidRPr="00970A57" w:rsidRDefault="007F014C" w:rsidP="004A4F0C">
      <w:pPr>
        <w:pStyle w:val="FootnoteText"/>
        <w:rPr>
          <w:rFonts w:cstheme="minorHAnsi"/>
        </w:rPr>
      </w:pPr>
      <w:r w:rsidRPr="00970A57">
        <w:rPr>
          <w:rStyle w:val="FootnoteReference"/>
          <w:rFonts w:cstheme="minorHAnsi"/>
        </w:rPr>
        <w:footnoteRef/>
      </w:r>
      <w:r w:rsidRPr="00970A57">
        <w:rPr>
          <w:rFonts w:cstheme="minorHAnsi"/>
        </w:rPr>
        <w:t xml:space="preserve"> </w:t>
      </w:r>
      <w:proofErr w:type="spellStart"/>
      <w:r w:rsidR="00AF7938" w:rsidRPr="00851CD5">
        <w:rPr>
          <w:rFonts w:cstheme="minorHAnsi"/>
          <w:i/>
        </w:rPr>
        <w:t>Tyrer</w:t>
      </w:r>
      <w:proofErr w:type="spellEnd"/>
      <w:r w:rsidR="00AF7938" w:rsidRPr="00851CD5">
        <w:rPr>
          <w:rFonts w:cstheme="minorHAnsi"/>
          <w:i/>
        </w:rPr>
        <w:t xml:space="preserve"> v United Kingdom</w:t>
      </w:r>
      <w:r w:rsidR="00AF7938" w:rsidRPr="00970A57">
        <w:rPr>
          <w:rFonts w:cstheme="minorHAnsi"/>
        </w:rPr>
        <w:t xml:space="preserve"> (1978) 2 E</w:t>
      </w:r>
      <w:r w:rsidR="0077301B" w:rsidRPr="00970A57">
        <w:rPr>
          <w:rFonts w:cstheme="minorHAnsi"/>
        </w:rPr>
        <w:t>.</w:t>
      </w:r>
      <w:r w:rsidR="00AF7938" w:rsidRPr="00970A57">
        <w:rPr>
          <w:rFonts w:cstheme="minorHAnsi"/>
        </w:rPr>
        <w:t>H</w:t>
      </w:r>
      <w:r w:rsidR="0077301B" w:rsidRPr="00970A57">
        <w:rPr>
          <w:rFonts w:cstheme="minorHAnsi"/>
        </w:rPr>
        <w:t>.</w:t>
      </w:r>
      <w:r w:rsidR="00AF7938" w:rsidRPr="00970A57">
        <w:rPr>
          <w:rFonts w:cstheme="minorHAnsi"/>
        </w:rPr>
        <w:t>R</w:t>
      </w:r>
      <w:r w:rsidR="00DB595F" w:rsidRPr="00970A57">
        <w:rPr>
          <w:rFonts w:cstheme="minorHAnsi"/>
        </w:rPr>
        <w:t>.</w:t>
      </w:r>
      <w:r w:rsidR="00AF7938" w:rsidRPr="00970A57">
        <w:rPr>
          <w:rFonts w:cstheme="minorHAnsi"/>
        </w:rPr>
        <w:t>R</w:t>
      </w:r>
      <w:r w:rsidR="00DB595F" w:rsidRPr="00970A57">
        <w:rPr>
          <w:rFonts w:cstheme="minorHAnsi"/>
        </w:rPr>
        <w:t>.</w:t>
      </w:r>
      <w:r w:rsidR="00AF7938" w:rsidRPr="00970A57">
        <w:rPr>
          <w:rFonts w:cstheme="minorHAnsi"/>
        </w:rPr>
        <w:t xml:space="preserve"> 1</w:t>
      </w:r>
      <w:r w:rsidR="00615FAE">
        <w:rPr>
          <w:rFonts w:cstheme="minorHAnsi"/>
        </w:rPr>
        <w:t xml:space="preserve"> at [</w:t>
      </w:r>
      <w:r w:rsidR="00AF7938" w:rsidRPr="00970A57">
        <w:rPr>
          <w:rFonts w:cstheme="minorHAnsi"/>
        </w:rPr>
        <w:t>31</w:t>
      </w:r>
      <w:r w:rsidR="00615FAE">
        <w:rPr>
          <w:rFonts w:cstheme="minorHAnsi"/>
        </w:rPr>
        <w:t>]</w:t>
      </w:r>
    </w:p>
  </w:footnote>
  <w:footnote w:id="93">
    <w:p w14:paraId="5A6678CD" w14:textId="5B68C3B3" w:rsidR="003014C1" w:rsidRPr="00970A57" w:rsidRDefault="003014C1" w:rsidP="004A4F0C">
      <w:pPr>
        <w:pStyle w:val="FootnoteText"/>
        <w:rPr>
          <w:rFonts w:cstheme="minorHAnsi"/>
        </w:rPr>
      </w:pPr>
      <w:r w:rsidRPr="00970A57">
        <w:rPr>
          <w:rStyle w:val="FootnoteReference"/>
          <w:rFonts w:cstheme="minorHAnsi"/>
        </w:rPr>
        <w:footnoteRef/>
      </w:r>
      <w:r w:rsidRPr="00970A57">
        <w:rPr>
          <w:rFonts w:cstheme="minorHAnsi"/>
        </w:rPr>
        <w:t xml:space="preserve"> S. Jones, “Voters roundly reject same-sex marriage” (June 24, 2016)</w:t>
      </w:r>
      <w:r w:rsidR="006C3DC2">
        <w:rPr>
          <w:rFonts w:cstheme="minorHAnsi"/>
        </w:rPr>
        <w:t xml:space="preserve"> </w:t>
      </w:r>
      <w:r w:rsidR="006C3DC2">
        <w:rPr>
          <w:rFonts w:cstheme="minorHAnsi"/>
          <w:i/>
        </w:rPr>
        <w:t>Royal Gazette</w:t>
      </w:r>
      <w:r w:rsidRPr="00970A57">
        <w:rPr>
          <w:rFonts w:cstheme="minorHAnsi"/>
        </w:rPr>
        <w:t xml:space="preserve"> &lt; http://www.royalgazette.com/news/article/20160624/voters-roundly-reject-same-sex-marriage &gt; [Accessed </w:t>
      </w:r>
      <w:r w:rsidR="00F55E7B">
        <w:rPr>
          <w:rFonts w:cstheme="minorHAnsi"/>
        </w:rPr>
        <w:t>June 26</w:t>
      </w:r>
      <w:r w:rsidRPr="00970A57">
        <w:rPr>
          <w:rFonts w:cstheme="minorHAnsi"/>
        </w:rPr>
        <w:t>, 2018].</w:t>
      </w:r>
    </w:p>
  </w:footnote>
  <w:footnote w:id="94">
    <w:p w14:paraId="4F2FA499" w14:textId="57025C98" w:rsidR="003014C1" w:rsidRPr="00970A57" w:rsidRDefault="003014C1" w:rsidP="004A4F0C">
      <w:pPr>
        <w:pStyle w:val="FootnoteText"/>
        <w:rPr>
          <w:rFonts w:cstheme="minorHAnsi"/>
        </w:rPr>
      </w:pPr>
      <w:r w:rsidRPr="00970A57">
        <w:rPr>
          <w:rStyle w:val="FootnoteReference"/>
          <w:rFonts w:cstheme="minorHAnsi"/>
        </w:rPr>
        <w:footnoteRef/>
      </w:r>
      <w:r w:rsidRPr="00970A57">
        <w:rPr>
          <w:rFonts w:cstheme="minorHAnsi"/>
        </w:rPr>
        <w:t xml:space="preserve"> </w:t>
      </w:r>
      <w:r w:rsidRPr="00970A57">
        <w:rPr>
          <w:rFonts w:cstheme="minorHAnsi"/>
          <w:i/>
        </w:rPr>
        <w:t xml:space="preserve">ibid </w:t>
      </w:r>
    </w:p>
  </w:footnote>
  <w:footnote w:id="95">
    <w:p w14:paraId="3E2B4515" w14:textId="04052542" w:rsidR="00C8529D" w:rsidRPr="00970A57" w:rsidRDefault="00C8529D" w:rsidP="004A4F0C">
      <w:pPr>
        <w:pStyle w:val="FootnoteText"/>
        <w:rPr>
          <w:rFonts w:cstheme="minorHAnsi"/>
        </w:rPr>
      </w:pPr>
      <w:r w:rsidRPr="00970A57">
        <w:rPr>
          <w:rStyle w:val="FootnoteReference"/>
          <w:rFonts w:cstheme="minorHAnsi"/>
        </w:rPr>
        <w:footnoteRef/>
      </w:r>
      <w:r w:rsidRPr="00970A57">
        <w:rPr>
          <w:rFonts w:cstheme="minorHAnsi"/>
        </w:rPr>
        <w:t xml:space="preserve"> According to World Bank, “Data: Bermuda” (2016) &lt; https://data.worldbank.org/country/bermuda?view=chart &gt; [Accessed </w:t>
      </w:r>
      <w:r w:rsidR="00F55E7B">
        <w:rPr>
          <w:rFonts w:cstheme="minorHAnsi"/>
        </w:rPr>
        <w:t>June 26,</w:t>
      </w:r>
      <w:r w:rsidRPr="00970A57">
        <w:rPr>
          <w:rFonts w:cstheme="minorHAnsi"/>
        </w:rPr>
        <w:t xml:space="preserve"> 2018]. </w:t>
      </w:r>
    </w:p>
  </w:footnote>
  <w:footnote w:id="96">
    <w:p w14:paraId="528735BF" w14:textId="44C53D5F" w:rsidR="000D4854" w:rsidRDefault="000D4854">
      <w:pPr>
        <w:pStyle w:val="FootnoteText"/>
      </w:pPr>
      <w:r>
        <w:rPr>
          <w:rStyle w:val="FootnoteReference"/>
        </w:rPr>
        <w:footnoteRef/>
      </w:r>
      <w:r>
        <w:t xml:space="preserve"> </w:t>
      </w:r>
      <w:r w:rsidRPr="00A413E5">
        <w:rPr>
          <w:i/>
        </w:rPr>
        <w:t xml:space="preserve">R (on the application of </w:t>
      </w:r>
      <w:proofErr w:type="spellStart"/>
      <w:r w:rsidRPr="00A413E5">
        <w:rPr>
          <w:i/>
        </w:rPr>
        <w:t>Steinfeld</w:t>
      </w:r>
      <w:proofErr w:type="spellEnd"/>
      <w:r w:rsidRPr="00A413E5">
        <w:rPr>
          <w:i/>
        </w:rPr>
        <w:t xml:space="preserve"> and </w:t>
      </w:r>
      <w:proofErr w:type="spellStart"/>
      <w:r w:rsidRPr="00A413E5">
        <w:rPr>
          <w:i/>
        </w:rPr>
        <w:t>Keiden</w:t>
      </w:r>
      <w:proofErr w:type="spellEnd"/>
      <w:r w:rsidRPr="00A413E5">
        <w:rPr>
          <w:i/>
        </w:rPr>
        <w:t>) v Secretary of State for the International Development (in substitution for the Home Secretary and the Education Secretary)</w:t>
      </w:r>
      <w:r>
        <w:t xml:space="preserve"> </w:t>
      </w:r>
      <w:r w:rsidRPr="00A413E5">
        <w:t>[2018] UKSC 32</w:t>
      </w:r>
    </w:p>
  </w:footnote>
  <w:footnote w:id="97">
    <w:p w14:paraId="4507B367" w14:textId="3BB3C163" w:rsidR="000D4854" w:rsidRDefault="000D4854">
      <w:pPr>
        <w:pStyle w:val="FootnoteText"/>
      </w:pPr>
      <w:r>
        <w:rPr>
          <w:rStyle w:val="FootnoteReference"/>
        </w:rPr>
        <w:footnoteRef/>
      </w:r>
      <w:r>
        <w:t xml:space="preserve"> For a Justice’s opinion on the role of the JCPC and UK Supreme Court see </w:t>
      </w:r>
      <w:r w:rsidRPr="000D4854">
        <w:t>Lord Neuberger of Abbotsbury</w:t>
      </w:r>
      <w:r>
        <w:t>, “</w:t>
      </w:r>
      <w:r w:rsidRPr="000D4854">
        <w:t>The Judicial Committee of the Privy Council in the 21st century</w:t>
      </w:r>
      <w:r>
        <w:t xml:space="preserve">” (2014) 3(1) </w:t>
      </w:r>
      <w:r w:rsidRPr="00360656">
        <w:rPr>
          <w:i/>
        </w:rPr>
        <w:t xml:space="preserve">Cambridge Journal of International and Comparative Law </w:t>
      </w:r>
      <w:r>
        <w:t>30</w:t>
      </w:r>
      <w:r w:rsidR="00360656">
        <w:t>.</w:t>
      </w:r>
    </w:p>
  </w:footnote>
  <w:footnote w:id="98">
    <w:p w14:paraId="4C6CEFC4" w14:textId="51A56DD3" w:rsidR="00A13A59" w:rsidRDefault="00A13A59">
      <w:pPr>
        <w:pStyle w:val="FootnoteText"/>
      </w:pPr>
      <w:r>
        <w:rPr>
          <w:rStyle w:val="FootnoteReference"/>
        </w:rPr>
        <w:footnoteRef/>
      </w:r>
      <w:r>
        <w:t xml:space="preserve"> R. </w:t>
      </w:r>
      <w:r w:rsidRPr="000B21C9">
        <w:t xml:space="preserve">Gaffney-Rhys, “Same-sex marriage but not mixed-sex partnerships: should the Civil Partnership Act 2004 be extended to opposite sex couples?” (2014) 26(2) </w:t>
      </w:r>
      <w:r w:rsidRPr="00191101">
        <w:rPr>
          <w:i/>
        </w:rPr>
        <w:t>Child and Family Law Quarterly</w:t>
      </w:r>
      <w:r w:rsidRPr="000B21C9">
        <w:t xml:space="preserve"> 173</w:t>
      </w:r>
    </w:p>
  </w:footnote>
  <w:footnote w:id="99">
    <w:p w14:paraId="46B43A47" w14:textId="4B9BE737" w:rsidR="002A607F" w:rsidRDefault="002A607F">
      <w:pPr>
        <w:pStyle w:val="FootnoteText"/>
      </w:pPr>
      <w:r>
        <w:rPr>
          <w:rStyle w:val="FootnoteReference"/>
        </w:rPr>
        <w:footnoteRef/>
      </w:r>
      <w:r>
        <w:t xml:space="preserve"> </w:t>
      </w:r>
      <w:r w:rsidRPr="00970A57">
        <w:rPr>
          <w:rFonts w:eastAsia="Times New Roman" w:cstheme="minorHAnsi"/>
          <w:i/>
        </w:rPr>
        <w:t>W Godwin et al v Registrar General</w:t>
      </w:r>
      <w:r w:rsidRPr="00970A57">
        <w:rPr>
          <w:rFonts w:eastAsia="Times New Roman" w:cstheme="minorHAnsi"/>
        </w:rPr>
        <w:t xml:space="preserve"> [2017] S.C. (</w:t>
      </w:r>
      <w:proofErr w:type="spellStart"/>
      <w:r w:rsidRPr="00970A57">
        <w:rPr>
          <w:rFonts w:eastAsia="Times New Roman" w:cstheme="minorHAnsi"/>
        </w:rPr>
        <w:t>Bda</w:t>
      </w:r>
      <w:proofErr w:type="spellEnd"/>
      <w:r w:rsidRPr="00970A57">
        <w:rPr>
          <w:rFonts w:eastAsia="Times New Roman" w:cstheme="minorHAnsi"/>
        </w:rPr>
        <w:t xml:space="preserve">) 36 </w:t>
      </w:r>
      <w:proofErr w:type="spellStart"/>
      <w:r w:rsidRPr="00970A57">
        <w:rPr>
          <w:rFonts w:eastAsia="Times New Roman" w:cstheme="minorHAnsi"/>
        </w:rPr>
        <w:t>Civ</w:t>
      </w:r>
      <w:proofErr w:type="spellEnd"/>
    </w:p>
  </w:footnote>
  <w:footnote w:id="100">
    <w:p w14:paraId="2738071A" w14:textId="05EB74C0" w:rsidR="00880831" w:rsidRDefault="00880831">
      <w:pPr>
        <w:pStyle w:val="FootnoteText"/>
      </w:pPr>
      <w:r>
        <w:rPr>
          <w:rStyle w:val="FootnoteReference"/>
        </w:rPr>
        <w:footnoteRef/>
      </w:r>
      <w:r>
        <w:t xml:space="preserve"> </w:t>
      </w:r>
      <w:proofErr w:type="gramStart"/>
      <w:r>
        <w:t xml:space="preserve">A.V. Dicey, </w:t>
      </w:r>
      <w:r w:rsidRPr="00685BE2">
        <w:rPr>
          <w:i/>
        </w:rPr>
        <w:t>Introduction to the Study of the Law of the Constitution</w:t>
      </w:r>
      <w:r w:rsidRPr="00685BE2">
        <w:t xml:space="preserve"> (</w:t>
      </w:r>
      <w:r w:rsidR="00FC418B">
        <w:t xml:space="preserve">Oxford: </w:t>
      </w:r>
      <w:r>
        <w:t xml:space="preserve">Oxford University Press 2013, first published in 1885); </w:t>
      </w:r>
      <w:r w:rsidRPr="00880831">
        <w:t>G. Marshall, Constitutional Theory (</w:t>
      </w:r>
      <w:r>
        <w:t xml:space="preserve">Clarendon Law Series, Oxford University Press </w:t>
      </w:r>
      <w:r w:rsidRPr="00880831">
        <w:t>19</w:t>
      </w:r>
      <w:r>
        <w:t>80</w:t>
      </w:r>
      <w:r w:rsidRPr="00880831">
        <w:t>)</w:t>
      </w:r>
      <w:r>
        <w:t>.</w:t>
      </w:r>
      <w:proofErr w:type="gramEnd"/>
    </w:p>
  </w:footnote>
  <w:footnote w:id="101">
    <w:p w14:paraId="2C6D598D" w14:textId="53594204" w:rsidR="00880831" w:rsidRDefault="00880831">
      <w:pPr>
        <w:pStyle w:val="FootnoteText"/>
      </w:pPr>
      <w:r>
        <w:rPr>
          <w:rStyle w:val="FootnoteReference"/>
        </w:rPr>
        <w:footnoteRef/>
      </w:r>
      <w:r>
        <w:t xml:space="preserve"> P. Craig, “Formal and substantive conceptions of the rule of law: an analytical framework” </w:t>
      </w:r>
      <w:r w:rsidR="00615FAE">
        <w:t>[</w:t>
      </w:r>
      <w:r>
        <w:t>1997</w:t>
      </w:r>
      <w:r w:rsidR="00615FAE">
        <w:t>]</w:t>
      </w:r>
      <w:r>
        <w:t xml:space="preserve"> </w:t>
      </w:r>
      <w:r w:rsidRPr="00C72377">
        <w:rPr>
          <w:i/>
        </w:rPr>
        <w:t>Public Law</w:t>
      </w:r>
      <w:r>
        <w:t xml:space="preserve"> 467.</w:t>
      </w:r>
    </w:p>
  </w:footnote>
  <w:footnote w:id="102">
    <w:p w14:paraId="207803D0" w14:textId="4E3B1817" w:rsidR="00B10FF8" w:rsidRDefault="00B10FF8">
      <w:pPr>
        <w:pStyle w:val="FootnoteText"/>
      </w:pPr>
      <w:r>
        <w:rPr>
          <w:rStyle w:val="FootnoteReference"/>
        </w:rPr>
        <w:footnoteRef/>
      </w:r>
      <w:r>
        <w:t xml:space="preserve"> </w:t>
      </w:r>
      <w:r w:rsidRPr="00B10FF8">
        <w:t xml:space="preserve">T.R.S. Allan, </w:t>
      </w:r>
      <w:r w:rsidRPr="00B10FF8">
        <w:rPr>
          <w:i/>
        </w:rPr>
        <w:t>Law, Liberty and Justice: The Legal Foundations of British Constitutionalism</w:t>
      </w:r>
      <w:r w:rsidRPr="00B10FF8">
        <w:t xml:space="preserve"> (</w:t>
      </w:r>
      <w:r w:rsidR="00FC418B">
        <w:t xml:space="preserve">Oxford: </w:t>
      </w:r>
      <w:r>
        <w:t xml:space="preserve">Clarendon Press, Oxford University Press, </w:t>
      </w:r>
      <w:r w:rsidRPr="00B10FF8">
        <w:t>199</w:t>
      </w:r>
      <w:r>
        <w:t>4)</w:t>
      </w:r>
    </w:p>
  </w:footnote>
  <w:footnote w:id="103">
    <w:p w14:paraId="074F53CA" w14:textId="46A42B86" w:rsidR="00DE1ED2" w:rsidRDefault="00DE1ED2">
      <w:pPr>
        <w:pStyle w:val="FootnoteText"/>
      </w:pPr>
      <w:r>
        <w:rPr>
          <w:rStyle w:val="FootnoteReference"/>
        </w:rPr>
        <w:footnoteRef/>
      </w:r>
      <w:r>
        <w:t xml:space="preserve"> In the formal conception as the content of law is irrelevant, see J </w:t>
      </w:r>
      <w:proofErr w:type="spellStart"/>
      <w:r>
        <w:t>Raz</w:t>
      </w:r>
      <w:proofErr w:type="spellEnd"/>
      <w:r>
        <w:t xml:space="preserve">, </w:t>
      </w:r>
      <w:r w:rsidRPr="00DE1ED2">
        <w:t xml:space="preserve">“The Rule of Law and its Virtue” (1977) 93 </w:t>
      </w:r>
      <w:r w:rsidRPr="00C72377">
        <w:rPr>
          <w:i/>
        </w:rPr>
        <w:t>Law Quarterly Review</w:t>
      </w:r>
      <w:r w:rsidRPr="00DE1ED2">
        <w:t xml:space="preserve"> 195</w:t>
      </w:r>
    </w:p>
  </w:footnote>
  <w:footnote w:id="104">
    <w:p w14:paraId="4DA5CEBB" w14:textId="0951061A" w:rsidR="00A53DFD" w:rsidRDefault="00A53DFD">
      <w:pPr>
        <w:pStyle w:val="FootnoteText"/>
      </w:pPr>
      <w:r>
        <w:rPr>
          <w:rStyle w:val="FootnoteReference"/>
        </w:rPr>
        <w:footnoteRef/>
      </w:r>
      <w:r>
        <w:t xml:space="preserve"> Bermuda Constitution Order 1968, </w:t>
      </w:r>
      <w:r w:rsidRPr="00A53DFD">
        <w:t xml:space="preserve">The Schedule </w:t>
      </w:r>
      <w:r>
        <w:t>t</w:t>
      </w:r>
      <w:r w:rsidRPr="00A53DFD">
        <w:t xml:space="preserve">o </w:t>
      </w:r>
      <w:r>
        <w:t>t</w:t>
      </w:r>
      <w:r w:rsidRPr="00A53DFD">
        <w:t xml:space="preserve">he Constitution </w:t>
      </w:r>
      <w:r>
        <w:t>o</w:t>
      </w:r>
      <w:r w:rsidRPr="00A53DFD">
        <w:t>f Bermuda</w:t>
      </w:r>
      <w:r>
        <w:t xml:space="preserve"> Chapter 1(1)</w:t>
      </w:r>
    </w:p>
  </w:footnote>
  <w:footnote w:id="105">
    <w:p w14:paraId="2A2BCA44" w14:textId="22467EE7" w:rsidR="007F2368" w:rsidRDefault="007F2368">
      <w:pPr>
        <w:pStyle w:val="FootnoteText"/>
      </w:pPr>
      <w:r>
        <w:rPr>
          <w:rStyle w:val="FootnoteReference"/>
        </w:rPr>
        <w:footnoteRef/>
      </w:r>
      <w:r>
        <w:t xml:space="preserve"> </w:t>
      </w:r>
      <w:proofErr w:type="gramStart"/>
      <w:r>
        <w:t xml:space="preserve">Halsbury’s Laws of England, </w:t>
      </w:r>
      <w:r w:rsidRPr="007F2368">
        <w:t>Statutes and Legislative Process (Volume 96</w:t>
      </w:r>
      <w:r w:rsidR="00681E62">
        <w:t xml:space="preserve">, </w:t>
      </w:r>
      <w:r w:rsidRPr="007F2368">
        <w:t>2012)</w:t>
      </w:r>
      <w:r w:rsidR="00681E62">
        <w:t xml:space="preserve"> </w:t>
      </w:r>
      <w:r w:rsidR="004946A3">
        <w:t>para.</w:t>
      </w:r>
      <w:r w:rsidR="00681E62">
        <w:t>1199.</w:t>
      </w:r>
      <w:proofErr w:type="gramEnd"/>
      <w:r w:rsidRPr="007F2368">
        <w:t xml:space="preserve"> </w:t>
      </w:r>
    </w:p>
  </w:footnote>
  <w:footnote w:id="106">
    <w:p w14:paraId="00E95DDB" w14:textId="7A68F010" w:rsidR="00FC418B" w:rsidRDefault="00FC418B">
      <w:pPr>
        <w:pStyle w:val="FootnoteText"/>
      </w:pPr>
      <w:r>
        <w:rPr>
          <w:rStyle w:val="FootnoteReference"/>
        </w:rPr>
        <w:footnoteRef/>
      </w:r>
      <w:r>
        <w:t xml:space="preserve"> </w:t>
      </w:r>
      <w:r w:rsidRPr="00FC418B">
        <w:t xml:space="preserve">M. Horwitz, "The Rule of Law: An Unqualified Human Good?" (1977) 86 </w:t>
      </w:r>
      <w:r w:rsidRPr="00C67B70">
        <w:rPr>
          <w:i/>
        </w:rPr>
        <w:t xml:space="preserve">Yale Law Journal </w:t>
      </w:r>
      <w:r w:rsidRPr="00FC418B">
        <w:t>561</w:t>
      </w:r>
      <w:r>
        <w:t xml:space="preserve">; </w:t>
      </w:r>
      <w:r w:rsidRPr="00FC418B">
        <w:t xml:space="preserve">U. </w:t>
      </w:r>
      <w:proofErr w:type="spellStart"/>
      <w:r w:rsidRPr="00FC418B">
        <w:t>Mattei</w:t>
      </w:r>
      <w:proofErr w:type="spellEnd"/>
      <w:r w:rsidRPr="00FC418B">
        <w:t xml:space="preserve"> and L. Nader, </w:t>
      </w:r>
      <w:r w:rsidRPr="00FC418B">
        <w:rPr>
          <w:i/>
        </w:rPr>
        <w:t>Plunder: When the Rule of Law is Illegal</w:t>
      </w:r>
      <w:r w:rsidRPr="00FC418B">
        <w:t xml:space="preserve"> (Oxford: Blackwell, 2008)</w:t>
      </w:r>
      <w:r>
        <w:t xml:space="preserve">; </w:t>
      </w:r>
      <w:r w:rsidRPr="00FC418B">
        <w:t>D</w:t>
      </w:r>
      <w:r>
        <w:t>.</w:t>
      </w:r>
      <w:r w:rsidRPr="00FC418B">
        <w:t xml:space="preserve"> </w:t>
      </w:r>
      <w:proofErr w:type="spellStart"/>
      <w:r w:rsidRPr="00FC418B">
        <w:t>Fairgrieve</w:t>
      </w:r>
      <w:proofErr w:type="spellEnd"/>
      <w:r>
        <w:t>, “</w:t>
      </w:r>
      <w:proofErr w:type="spellStart"/>
      <w:r w:rsidRPr="00FC418B">
        <w:t>Etat</w:t>
      </w:r>
      <w:proofErr w:type="spellEnd"/>
      <w:r w:rsidRPr="00FC418B">
        <w:t xml:space="preserve"> de droit and rule of law: comparing concepts - a tribute to Roger </w:t>
      </w:r>
      <w:proofErr w:type="spellStart"/>
      <w:r w:rsidRPr="00FC418B">
        <w:t>Errera</w:t>
      </w:r>
      <w:proofErr w:type="spellEnd"/>
      <w:r>
        <w:t xml:space="preserve">” </w:t>
      </w:r>
      <w:r w:rsidR="004946A3">
        <w:t>[</w:t>
      </w:r>
      <w:r>
        <w:t>2015</w:t>
      </w:r>
      <w:r w:rsidR="004946A3">
        <w:t>]</w:t>
      </w:r>
      <w:r>
        <w:t xml:space="preserve"> </w:t>
      </w:r>
      <w:r w:rsidRPr="00C67B70">
        <w:rPr>
          <w:i/>
        </w:rPr>
        <w:t>Public Law</w:t>
      </w:r>
      <w:r>
        <w:t xml:space="preserve"> 40.</w:t>
      </w:r>
    </w:p>
  </w:footnote>
  <w:footnote w:id="107">
    <w:p w14:paraId="7491522C" w14:textId="657B9969" w:rsidR="00D26310" w:rsidRDefault="00D26310">
      <w:pPr>
        <w:pStyle w:val="FootnoteText"/>
      </w:pPr>
      <w:r>
        <w:rPr>
          <w:rStyle w:val="FootnoteReference"/>
        </w:rPr>
        <w:footnoteRef/>
      </w:r>
      <w:r>
        <w:t xml:space="preserve"> </w:t>
      </w:r>
      <w:r w:rsidRPr="00D26310">
        <w:rPr>
          <w:i/>
        </w:rPr>
        <w:t>ibid</w:t>
      </w:r>
    </w:p>
  </w:footnote>
  <w:footnote w:id="108">
    <w:p w14:paraId="154AADD3" w14:textId="26CE95B8" w:rsidR="00851CD5" w:rsidRDefault="00851CD5">
      <w:pPr>
        <w:pStyle w:val="FootnoteText"/>
      </w:pPr>
      <w:r>
        <w:rPr>
          <w:rStyle w:val="FootnoteReference"/>
        </w:rPr>
        <w:footnoteRef/>
      </w:r>
      <w:r>
        <w:t xml:space="preserve"> </w:t>
      </w:r>
      <w:proofErr w:type="gramStart"/>
      <w:r w:rsidR="00A73410" w:rsidRPr="00970A57">
        <w:rPr>
          <w:rFonts w:cstheme="minorHAnsi"/>
          <w:i/>
        </w:rPr>
        <w:t xml:space="preserve">R Ferguson v AG &amp; </w:t>
      </w:r>
      <w:proofErr w:type="spellStart"/>
      <w:r w:rsidR="00A73410" w:rsidRPr="00970A57">
        <w:rPr>
          <w:rFonts w:cstheme="minorHAnsi"/>
          <w:i/>
        </w:rPr>
        <w:t>OutBermuda</w:t>
      </w:r>
      <w:proofErr w:type="spellEnd"/>
      <w:r w:rsidR="00A73410" w:rsidRPr="00970A57">
        <w:rPr>
          <w:rFonts w:cstheme="minorHAnsi"/>
          <w:i/>
        </w:rPr>
        <w:t xml:space="preserve"> et al v AG </w:t>
      </w:r>
      <w:r w:rsidR="00A73410" w:rsidRPr="00970A57">
        <w:rPr>
          <w:rFonts w:cstheme="minorHAnsi"/>
        </w:rPr>
        <w:t>[2018] SC (</w:t>
      </w:r>
      <w:proofErr w:type="spellStart"/>
      <w:r w:rsidR="00A73410" w:rsidRPr="00970A57">
        <w:rPr>
          <w:rFonts w:cstheme="minorHAnsi"/>
        </w:rPr>
        <w:t>Bda</w:t>
      </w:r>
      <w:proofErr w:type="spellEnd"/>
      <w:r w:rsidR="00A73410" w:rsidRPr="00970A57">
        <w:rPr>
          <w:rFonts w:cstheme="minorHAnsi"/>
        </w:rPr>
        <w:t xml:space="preserve">) 45 </w:t>
      </w:r>
      <w:proofErr w:type="spellStart"/>
      <w:r w:rsidR="00A73410" w:rsidRPr="00970A57">
        <w:rPr>
          <w:rFonts w:cstheme="minorHAnsi"/>
        </w:rPr>
        <w:t>Civ</w:t>
      </w:r>
      <w:proofErr w:type="spellEnd"/>
      <w:r w:rsidR="00A73410">
        <w:rPr>
          <w:rFonts w:cstheme="minorHAnsi"/>
        </w:rPr>
        <w:t xml:space="preserve"> at </w:t>
      </w:r>
      <w:r w:rsidR="004946A3">
        <w:rPr>
          <w:rFonts w:cstheme="minorHAnsi"/>
        </w:rPr>
        <w:t>[</w:t>
      </w:r>
      <w:r w:rsidR="00A73410">
        <w:rPr>
          <w:rFonts w:cstheme="minorHAnsi"/>
        </w:rPr>
        <w:t>103</w:t>
      </w:r>
      <w:r w:rsidR="004946A3">
        <w:rPr>
          <w:rFonts w:cstheme="minorHAnsi"/>
        </w:rPr>
        <w:t>]</w:t>
      </w:r>
      <w:r w:rsidR="00A73410">
        <w:rPr>
          <w:rFonts w:cstheme="minorHAnsi"/>
        </w:rPr>
        <w:t>-</w:t>
      </w:r>
      <w:r w:rsidR="004946A3">
        <w:rPr>
          <w:rFonts w:cstheme="minorHAnsi"/>
        </w:rPr>
        <w:t>[</w:t>
      </w:r>
      <w:r w:rsidR="00A73410">
        <w:rPr>
          <w:rFonts w:cstheme="minorHAnsi"/>
        </w:rPr>
        <w:t>105</w:t>
      </w:r>
      <w:r w:rsidR="004946A3">
        <w:rPr>
          <w:rFonts w:cstheme="minorHAnsi"/>
        </w:rPr>
        <w:t>]</w:t>
      </w:r>
      <w:r w:rsidR="00A73410">
        <w:rPr>
          <w:rFonts w:cstheme="minorHAnsi"/>
        </w:rPr>
        <w:t>.</w:t>
      </w:r>
      <w:proofErr w:type="gramEnd"/>
    </w:p>
  </w:footnote>
  <w:footnote w:id="109">
    <w:p w14:paraId="4F126B3A" w14:textId="75EB2D2B" w:rsidR="0023100E" w:rsidRPr="00E44E1B" w:rsidRDefault="0023100E">
      <w:pPr>
        <w:pStyle w:val="FootnoteText"/>
      </w:pPr>
      <w:r>
        <w:rPr>
          <w:rStyle w:val="FootnoteReference"/>
        </w:rPr>
        <w:footnoteRef/>
      </w:r>
      <w:r>
        <w:t xml:space="preserve"> </w:t>
      </w:r>
      <w:r w:rsidR="00E44E1B">
        <w:t xml:space="preserve">T Bingham, </w:t>
      </w:r>
      <w:r w:rsidR="00E44E1B">
        <w:rPr>
          <w:i/>
        </w:rPr>
        <w:t>The Rule of Law</w:t>
      </w:r>
      <w:r w:rsidR="00E44E1B">
        <w:t xml:space="preserve"> (London: Penguin UK, 2011) </w:t>
      </w:r>
    </w:p>
  </w:footnote>
  <w:footnote w:id="110">
    <w:p w14:paraId="2D431C73" w14:textId="77777777" w:rsidR="00CF7D2D" w:rsidRPr="00970A57" w:rsidRDefault="00CF7D2D" w:rsidP="004A4F0C">
      <w:pPr>
        <w:pStyle w:val="FootnoteText"/>
        <w:rPr>
          <w:rFonts w:cstheme="minorHAnsi"/>
        </w:rPr>
      </w:pPr>
      <w:r w:rsidRPr="00970A57">
        <w:rPr>
          <w:rStyle w:val="FootnoteReference"/>
          <w:rFonts w:cstheme="minorHAnsi"/>
        </w:rPr>
        <w:footnoteRef/>
      </w:r>
      <w:r w:rsidRPr="00970A57">
        <w:rPr>
          <w:rFonts w:cstheme="minorHAnsi"/>
        </w:rPr>
        <w:t xml:space="preserve"> </w:t>
      </w:r>
      <w:r w:rsidRPr="00970A57">
        <w:rPr>
          <w:rFonts w:cstheme="minorHAnsi"/>
          <w:i/>
        </w:rPr>
        <w:t xml:space="preserve">Lee v McArthur </w:t>
      </w:r>
      <w:r w:rsidRPr="00970A57">
        <w:rPr>
          <w:rFonts w:cstheme="minorHAnsi"/>
        </w:rPr>
        <w:t xml:space="preserve">[2016] N.I.C.A. 39; [2016] H.R.L.R. 22 </w:t>
      </w:r>
    </w:p>
  </w:footnote>
  <w:footnote w:id="111">
    <w:p w14:paraId="76C9400C" w14:textId="7973E97E" w:rsidR="008201ED" w:rsidRPr="00970A57" w:rsidRDefault="008201ED" w:rsidP="004A4F0C">
      <w:pPr>
        <w:pStyle w:val="FootnoteText"/>
        <w:rPr>
          <w:rFonts w:cstheme="minorHAnsi"/>
        </w:rPr>
      </w:pPr>
      <w:r w:rsidRPr="00970A57">
        <w:rPr>
          <w:rStyle w:val="FootnoteReference"/>
          <w:rFonts w:cstheme="minorHAnsi"/>
        </w:rPr>
        <w:footnoteRef/>
      </w:r>
      <w:r w:rsidRPr="00970A57">
        <w:rPr>
          <w:rFonts w:cstheme="minorHAnsi"/>
        </w:rPr>
        <w:t xml:space="preserve"> European Court of Human Rights, “Factsheet - Sexual orientation issues” (February 2018) &lt; https://www.echr.coe.int/Documents/FS_Sexual_orientation_ENG.pdf &gt; [Accessed </w:t>
      </w:r>
      <w:r w:rsidR="00F55E7B">
        <w:rPr>
          <w:rFonts w:cstheme="minorHAnsi"/>
        </w:rPr>
        <w:t>June 26</w:t>
      </w:r>
      <w:r w:rsidR="00E44E81" w:rsidRPr="00970A57">
        <w:rPr>
          <w:rFonts w:cstheme="minorHAnsi"/>
        </w:rPr>
        <w:t>,</w:t>
      </w:r>
      <w:r w:rsidRPr="00970A57">
        <w:rPr>
          <w:rFonts w:cstheme="minorHAnsi"/>
        </w:rPr>
        <w:t xml:space="preserve"> 2018]</w:t>
      </w:r>
    </w:p>
  </w:footnote>
  <w:footnote w:id="112">
    <w:p w14:paraId="1B1720DF" w14:textId="3BE1FD92" w:rsidR="00F17243" w:rsidRPr="00970A57" w:rsidRDefault="00F17243" w:rsidP="004A4F0C">
      <w:pPr>
        <w:pStyle w:val="FootnoteText"/>
        <w:rPr>
          <w:rFonts w:cstheme="minorHAnsi"/>
        </w:rPr>
      </w:pPr>
      <w:r w:rsidRPr="00970A57">
        <w:rPr>
          <w:rStyle w:val="FootnoteReference"/>
          <w:rFonts w:cstheme="minorHAnsi"/>
        </w:rPr>
        <w:footnoteRef/>
      </w:r>
      <w:r w:rsidRPr="00970A57">
        <w:rPr>
          <w:rFonts w:cstheme="minorHAnsi"/>
        </w:rPr>
        <w:t xml:space="preserve"> Case name and citation not available, full judgement due in July S. Chaudhry, “Trinidad and Tobago court says laws barring gay sex are unconstitutional” (April 13, 2018)</w:t>
      </w:r>
      <w:r w:rsidR="000307C1">
        <w:rPr>
          <w:rFonts w:cstheme="minorHAnsi"/>
        </w:rPr>
        <w:t xml:space="preserve"> </w:t>
      </w:r>
      <w:r w:rsidR="000307C1">
        <w:rPr>
          <w:rFonts w:cstheme="minorHAnsi"/>
          <w:i/>
        </w:rPr>
        <w:t xml:space="preserve">Reuters </w:t>
      </w:r>
      <w:r w:rsidRPr="00970A57">
        <w:rPr>
          <w:rFonts w:cstheme="minorHAnsi"/>
        </w:rPr>
        <w:t xml:space="preserve">&lt; https://www.reuters.com/article/us-trinidadtobago-judiciary-lgbt/trinidad-and-tobago-court-says-laws-barring-gay-sex-are-unconstitutional-idUSKBN1HK21I &gt; [Accessed </w:t>
      </w:r>
      <w:r w:rsidR="00B05E64">
        <w:rPr>
          <w:rFonts w:cstheme="minorHAnsi"/>
        </w:rPr>
        <w:t>June 26</w:t>
      </w:r>
      <w:r w:rsidRPr="00970A57">
        <w:rPr>
          <w:rFonts w:cstheme="minorHAnsi"/>
        </w:rPr>
        <w:t>, 2018]</w:t>
      </w:r>
    </w:p>
  </w:footnote>
  <w:footnote w:id="113">
    <w:p w14:paraId="4A53647E" w14:textId="21547308" w:rsidR="00087191" w:rsidRPr="00970A57" w:rsidRDefault="00087191" w:rsidP="004A4F0C">
      <w:pPr>
        <w:pStyle w:val="FootnoteText"/>
        <w:rPr>
          <w:rFonts w:cstheme="minorHAnsi"/>
        </w:rPr>
      </w:pPr>
      <w:r w:rsidRPr="00970A57">
        <w:rPr>
          <w:rStyle w:val="FootnoteReference"/>
          <w:rFonts w:cstheme="minorHAnsi"/>
        </w:rPr>
        <w:footnoteRef/>
      </w:r>
      <w:r w:rsidRPr="00970A57">
        <w:rPr>
          <w:rFonts w:cstheme="minorHAnsi"/>
        </w:rPr>
        <w:t xml:space="preserve"> Varying figures quoted on this, see Royal Commonwealth Society, “A Commonwealth Approach to LGBT Equality” (LGBT Rights, Date unknown) &lt; http://thercs.org/our-work/campaigns/lgbt-rights/ &gt; [Accessed </w:t>
      </w:r>
      <w:r w:rsidR="002E115C">
        <w:rPr>
          <w:rFonts w:cstheme="minorHAnsi"/>
        </w:rPr>
        <w:t>June 26</w:t>
      </w:r>
      <w:r w:rsidRPr="00970A57">
        <w:rPr>
          <w:rFonts w:cstheme="minorHAnsi"/>
        </w:rPr>
        <w:t xml:space="preserve">, 2018]; </w:t>
      </w:r>
      <w:r w:rsidRPr="00970A57">
        <w:rPr>
          <w:rFonts w:cstheme="minorHAnsi"/>
          <w:i/>
        </w:rPr>
        <w:t>cf</w:t>
      </w:r>
      <w:r w:rsidR="00865636">
        <w:rPr>
          <w:rFonts w:cstheme="minorHAnsi"/>
          <w:i/>
        </w:rPr>
        <w:t>.</w:t>
      </w:r>
      <w:r w:rsidRPr="00970A57">
        <w:rPr>
          <w:rFonts w:cstheme="minorHAnsi"/>
          <w:i/>
        </w:rPr>
        <w:t xml:space="preserve"> </w:t>
      </w:r>
      <w:r w:rsidRPr="00970A57">
        <w:rPr>
          <w:rFonts w:cstheme="minorHAnsi"/>
        </w:rPr>
        <w:t xml:space="preserve">B. </w:t>
      </w:r>
      <w:proofErr w:type="spellStart"/>
      <w:r w:rsidRPr="00970A57">
        <w:rPr>
          <w:rFonts w:cstheme="minorHAnsi"/>
        </w:rPr>
        <w:t>Dittrich</w:t>
      </w:r>
      <w:proofErr w:type="spellEnd"/>
      <w:r w:rsidRPr="00970A57">
        <w:rPr>
          <w:rFonts w:cstheme="minorHAnsi"/>
        </w:rPr>
        <w:t xml:space="preserve">, “Commonwealth Should Address LGBT Rights: Two Thirds of Member States Criminalize Consensual Same-Sex Acts” (2018) </w:t>
      </w:r>
      <w:r w:rsidR="0057237D" w:rsidRPr="0057237D">
        <w:rPr>
          <w:rFonts w:cstheme="minorHAnsi"/>
          <w:i/>
        </w:rPr>
        <w:t xml:space="preserve">The Advocate </w:t>
      </w:r>
      <w:r w:rsidRPr="00970A57">
        <w:rPr>
          <w:rFonts w:cstheme="minorHAnsi"/>
        </w:rPr>
        <w:t xml:space="preserve">&lt; https://www.advocate.com/commentary/2018/4/16/commonwealth-nations-must-decriminalize-gay-sex &gt; [Accessed </w:t>
      </w:r>
      <w:r w:rsidR="002E115C">
        <w:rPr>
          <w:rFonts w:cstheme="minorHAnsi"/>
        </w:rPr>
        <w:t>June 26</w:t>
      </w:r>
      <w:r w:rsidRPr="00970A57">
        <w:rPr>
          <w:rFonts w:cstheme="minorHAnsi"/>
        </w:rPr>
        <w:t>, 2018].</w:t>
      </w:r>
    </w:p>
  </w:footnote>
  <w:footnote w:id="114">
    <w:p w14:paraId="00D93010" w14:textId="5CB9C943" w:rsidR="00087191" w:rsidRPr="00970A57" w:rsidRDefault="00087191" w:rsidP="004A4F0C">
      <w:pPr>
        <w:pStyle w:val="FootnoteText"/>
        <w:rPr>
          <w:rFonts w:cstheme="minorHAnsi"/>
        </w:rPr>
      </w:pPr>
      <w:r w:rsidRPr="00970A57">
        <w:rPr>
          <w:rStyle w:val="FootnoteReference"/>
          <w:rFonts w:cstheme="minorHAnsi"/>
        </w:rPr>
        <w:footnoteRef/>
      </w:r>
      <w:r w:rsidRPr="00970A57">
        <w:rPr>
          <w:rFonts w:cstheme="minorHAnsi"/>
        </w:rPr>
        <w:t xml:space="preserve"> Cicero, </w:t>
      </w:r>
      <w:r w:rsidRPr="00970A57">
        <w:rPr>
          <w:rFonts w:cstheme="minorHAnsi"/>
          <w:i/>
        </w:rPr>
        <w:t xml:space="preserve">Cato </w:t>
      </w:r>
      <w:proofErr w:type="spellStart"/>
      <w:r w:rsidRPr="00970A57">
        <w:rPr>
          <w:rFonts w:cstheme="minorHAnsi"/>
          <w:i/>
        </w:rPr>
        <w:t>Maior</w:t>
      </w:r>
      <w:proofErr w:type="spellEnd"/>
      <w:r w:rsidRPr="00970A57">
        <w:rPr>
          <w:rFonts w:cstheme="minorHAnsi"/>
          <w:i/>
        </w:rPr>
        <w:t xml:space="preserve"> de </w:t>
      </w:r>
      <w:proofErr w:type="spellStart"/>
      <w:r w:rsidRPr="00970A57">
        <w:rPr>
          <w:rFonts w:cstheme="minorHAnsi"/>
          <w:i/>
        </w:rPr>
        <w:t>Senectute</w:t>
      </w:r>
      <w:proofErr w:type="spellEnd"/>
      <w:r w:rsidRPr="00970A57">
        <w:rPr>
          <w:rFonts w:cstheme="minorHAnsi"/>
        </w:rPr>
        <w:t xml:space="preserve"> (Cambridge, Massachusetts: Loeb Classical Library 1923)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B66D4"/>
    <w:multiLevelType w:val="hybridMultilevel"/>
    <w:tmpl w:val="D0ACD2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by Collis">
    <w15:presenceInfo w15:providerId="None" w15:userId="Toby Collis"/>
  </w15:person>
  <w15:person w15:author="Marc Johnson">
    <w15:presenceInfo w15:providerId="None" w15:userId="Marc John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AC1"/>
    <w:rsid w:val="00002E5F"/>
    <w:rsid w:val="000044D8"/>
    <w:rsid w:val="00010295"/>
    <w:rsid w:val="000130C9"/>
    <w:rsid w:val="000136BA"/>
    <w:rsid w:val="00014871"/>
    <w:rsid w:val="00023E2D"/>
    <w:rsid w:val="000251EC"/>
    <w:rsid w:val="000255C4"/>
    <w:rsid w:val="000265E6"/>
    <w:rsid w:val="000307C1"/>
    <w:rsid w:val="0003658F"/>
    <w:rsid w:val="00036A3C"/>
    <w:rsid w:val="00037748"/>
    <w:rsid w:val="0004162D"/>
    <w:rsid w:val="00042A86"/>
    <w:rsid w:val="00045A6F"/>
    <w:rsid w:val="00047806"/>
    <w:rsid w:val="00060A17"/>
    <w:rsid w:val="0007243D"/>
    <w:rsid w:val="00075A57"/>
    <w:rsid w:val="00075B7C"/>
    <w:rsid w:val="00075FFD"/>
    <w:rsid w:val="00076403"/>
    <w:rsid w:val="00077C1D"/>
    <w:rsid w:val="000801D6"/>
    <w:rsid w:val="00081B54"/>
    <w:rsid w:val="0008668C"/>
    <w:rsid w:val="00087147"/>
    <w:rsid w:val="00087191"/>
    <w:rsid w:val="00091567"/>
    <w:rsid w:val="0009168A"/>
    <w:rsid w:val="000A0640"/>
    <w:rsid w:val="000A1122"/>
    <w:rsid w:val="000A29A2"/>
    <w:rsid w:val="000A51A4"/>
    <w:rsid w:val="000A78C9"/>
    <w:rsid w:val="000B0681"/>
    <w:rsid w:val="000B21C9"/>
    <w:rsid w:val="000B41EC"/>
    <w:rsid w:val="000B42B6"/>
    <w:rsid w:val="000B5FD7"/>
    <w:rsid w:val="000D0479"/>
    <w:rsid w:val="000D3F6D"/>
    <w:rsid w:val="000D4854"/>
    <w:rsid w:val="000E1409"/>
    <w:rsid w:val="000E3603"/>
    <w:rsid w:val="000E3A98"/>
    <w:rsid w:val="000E415A"/>
    <w:rsid w:val="000E7F0D"/>
    <w:rsid w:val="00101D0C"/>
    <w:rsid w:val="001039EF"/>
    <w:rsid w:val="00103EC1"/>
    <w:rsid w:val="00105165"/>
    <w:rsid w:val="00110033"/>
    <w:rsid w:val="00110E12"/>
    <w:rsid w:val="00122A55"/>
    <w:rsid w:val="00131D9A"/>
    <w:rsid w:val="0013518B"/>
    <w:rsid w:val="00145CCE"/>
    <w:rsid w:val="00150490"/>
    <w:rsid w:val="00152265"/>
    <w:rsid w:val="00155170"/>
    <w:rsid w:val="00162C9B"/>
    <w:rsid w:val="001665A8"/>
    <w:rsid w:val="00167123"/>
    <w:rsid w:val="00174DA6"/>
    <w:rsid w:val="00176DD2"/>
    <w:rsid w:val="00182857"/>
    <w:rsid w:val="00182EB5"/>
    <w:rsid w:val="0018425F"/>
    <w:rsid w:val="00184A83"/>
    <w:rsid w:val="00191101"/>
    <w:rsid w:val="001928DF"/>
    <w:rsid w:val="001935D7"/>
    <w:rsid w:val="0019452A"/>
    <w:rsid w:val="00195667"/>
    <w:rsid w:val="001977A3"/>
    <w:rsid w:val="001A07CC"/>
    <w:rsid w:val="001A359A"/>
    <w:rsid w:val="001B7113"/>
    <w:rsid w:val="001C7184"/>
    <w:rsid w:val="001D0F2A"/>
    <w:rsid w:val="001D4BB9"/>
    <w:rsid w:val="001E1A0A"/>
    <w:rsid w:val="001E2EA8"/>
    <w:rsid w:val="001E7BA8"/>
    <w:rsid w:val="001F2646"/>
    <w:rsid w:val="001F4220"/>
    <w:rsid w:val="001F65CA"/>
    <w:rsid w:val="00203704"/>
    <w:rsid w:val="00206288"/>
    <w:rsid w:val="002137EC"/>
    <w:rsid w:val="00222AB0"/>
    <w:rsid w:val="0022382C"/>
    <w:rsid w:val="00224434"/>
    <w:rsid w:val="00226528"/>
    <w:rsid w:val="0023100E"/>
    <w:rsid w:val="00237DA8"/>
    <w:rsid w:val="00244086"/>
    <w:rsid w:val="0024786A"/>
    <w:rsid w:val="00251501"/>
    <w:rsid w:val="00257B15"/>
    <w:rsid w:val="00260814"/>
    <w:rsid w:val="002612B9"/>
    <w:rsid w:val="002615D2"/>
    <w:rsid w:val="002621AF"/>
    <w:rsid w:val="002651A7"/>
    <w:rsid w:val="0026731C"/>
    <w:rsid w:val="00274600"/>
    <w:rsid w:val="00274DBB"/>
    <w:rsid w:val="00276037"/>
    <w:rsid w:val="00281AEC"/>
    <w:rsid w:val="00282AA0"/>
    <w:rsid w:val="002852FE"/>
    <w:rsid w:val="00290243"/>
    <w:rsid w:val="00297D74"/>
    <w:rsid w:val="002A05B9"/>
    <w:rsid w:val="002A5EE7"/>
    <w:rsid w:val="002A5F10"/>
    <w:rsid w:val="002A607F"/>
    <w:rsid w:val="002A7107"/>
    <w:rsid w:val="002B3282"/>
    <w:rsid w:val="002B55CD"/>
    <w:rsid w:val="002C02D7"/>
    <w:rsid w:val="002C1303"/>
    <w:rsid w:val="002C4E9B"/>
    <w:rsid w:val="002C6DD4"/>
    <w:rsid w:val="002D00CC"/>
    <w:rsid w:val="002D6D92"/>
    <w:rsid w:val="002E115C"/>
    <w:rsid w:val="002E2430"/>
    <w:rsid w:val="002E7313"/>
    <w:rsid w:val="002F1493"/>
    <w:rsid w:val="002F368A"/>
    <w:rsid w:val="002F4BB4"/>
    <w:rsid w:val="002F57AA"/>
    <w:rsid w:val="002F6DCC"/>
    <w:rsid w:val="002F6EB8"/>
    <w:rsid w:val="00301395"/>
    <w:rsid w:val="003014C1"/>
    <w:rsid w:val="003025EF"/>
    <w:rsid w:val="00303AF0"/>
    <w:rsid w:val="0031126C"/>
    <w:rsid w:val="00311ED2"/>
    <w:rsid w:val="003157DC"/>
    <w:rsid w:val="003162F1"/>
    <w:rsid w:val="00321FB3"/>
    <w:rsid w:val="00340550"/>
    <w:rsid w:val="00341B82"/>
    <w:rsid w:val="00346E42"/>
    <w:rsid w:val="003504DB"/>
    <w:rsid w:val="00351DE4"/>
    <w:rsid w:val="00360656"/>
    <w:rsid w:val="00366162"/>
    <w:rsid w:val="00367DBB"/>
    <w:rsid w:val="00370D68"/>
    <w:rsid w:val="003757AE"/>
    <w:rsid w:val="003764DB"/>
    <w:rsid w:val="0038213A"/>
    <w:rsid w:val="00386CAA"/>
    <w:rsid w:val="00394D18"/>
    <w:rsid w:val="00396FEB"/>
    <w:rsid w:val="003A1602"/>
    <w:rsid w:val="003A3881"/>
    <w:rsid w:val="003B0013"/>
    <w:rsid w:val="003B078A"/>
    <w:rsid w:val="003B7B84"/>
    <w:rsid w:val="003C0698"/>
    <w:rsid w:val="003C085D"/>
    <w:rsid w:val="003C3538"/>
    <w:rsid w:val="003C4659"/>
    <w:rsid w:val="003C486D"/>
    <w:rsid w:val="003D162D"/>
    <w:rsid w:val="003D5F8C"/>
    <w:rsid w:val="003E2FD5"/>
    <w:rsid w:val="003E6758"/>
    <w:rsid w:val="003F1553"/>
    <w:rsid w:val="003F2390"/>
    <w:rsid w:val="003F316B"/>
    <w:rsid w:val="003F3803"/>
    <w:rsid w:val="003F4607"/>
    <w:rsid w:val="003F6FA5"/>
    <w:rsid w:val="003F7604"/>
    <w:rsid w:val="00404966"/>
    <w:rsid w:val="004053D7"/>
    <w:rsid w:val="0040582F"/>
    <w:rsid w:val="00406D19"/>
    <w:rsid w:val="00406EF7"/>
    <w:rsid w:val="00411671"/>
    <w:rsid w:val="00424E6E"/>
    <w:rsid w:val="004316DB"/>
    <w:rsid w:val="00435409"/>
    <w:rsid w:val="004414DE"/>
    <w:rsid w:val="004457C4"/>
    <w:rsid w:val="00455441"/>
    <w:rsid w:val="004571A6"/>
    <w:rsid w:val="00460AAA"/>
    <w:rsid w:val="00463D46"/>
    <w:rsid w:val="004704B6"/>
    <w:rsid w:val="00475968"/>
    <w:rsid w:val="004806C7"/>
    <w:rsid w:val="00482854"/>
    <w:rsid w:val="00486B87"/>
    <w:rsid w:val="00490AA5"/>
    <w:rsid w:val="004946A3"/>
    <w:rsid w:val="00494E75"/>
    <w:rsid w:val="00495CE2"/>
    <w:rsid w:val="004A32A5"/>
    <w:rsid w:val="004A4B4D"/>
    <w:rsid w:val="004A4F0C"/>
    <w:rsid w:val="004B1131"/>
    <w:rsid w:val="004B51C9"/>
    <w:rsid w:val="004B7FFA"/>
    <w:rsid w:val="004C3EAC"/>
    <w:rsid w:val="004D02E1"/>
    <w:rsid w:val="004D0FB5"/>
    <w:rsid w:val="004D1772"/>
    <w:rsid w:val="004D1CE9"/>
    <w:rsid w:val="004D3E5D"/>
    <w:rsid w:val="004D6A9D"/>
    <w:rsid w:val="004E45D3"/>
    <w:rsid w:val="004F4438"/>
    <w:rsid w:val="00500B33"/>
    <w:rsid w:val="0050449B"/>
    <w:rsid w:val="00510B39"/>
    <w:rsid w:val="00515215"/>
    <w:rsid w:val="00517F9F"/>
    <w:rsid w:val="005215C7"/>
    <w:rsid w:val="00523583"/>
    <w:rsid w:val="00523727"/>
    <w:rsid w:val="00527D8A"/>
    <w:rsid w:val="00531D88"/>
    <w:rsid w:val="00533D75"/>
    <w:rsid w:val="005359F4"/>
    <w:rsid w:val="00541892"/>
    <w:rsid w:val="00547281"/>
    <w:rsid w:val="005500B2"/>
    <w:rsid w:val="00550635"/>
    <w:rsid w:val="00551401"/>
    <w:rsid w:val="00552548"/>
    <w:rsid w:val="00554EB0"/>
    <w:rsid w:val="00570250"/>
    <w:rsid w:val="0057189B"/>
    <w:rsid w:val="0057237D"/>
    <w:rsid w:val="00585975"/>
    <w:rsid w:val="00586ABE"/>
    <w:rsid w:val="005874BD"/>
    <w:rsid w:val="00592E4D"/>
    <w:rsid w:val="00593D76"/>
    <w:rsid w:val="005956D4"/>
    <w:rsid w:val="005958E7"/>
    <w:rsid w:val="005A279F"/>
    <w:rsid w:val="005A2B22"/>
    <w:rsid w:val="005A3465"/>
    <w:rsid w:val="005A3AC1"/>
    <w:rsid w:val="005A66D8"/>
    <w:rsid w:val="005B13E1"/>
    <w:rsid w:val="005C5737"/>
    <w:rsid w:val="005D7797"/>
    <w:rsid w:val="005E00F5"/>
    <w:rsid w:val="005E14F8"/>
    <w:rsid w:val="005E21A0"/>
    <w:rsid w:val="005E58D8"/>
    <w:rsid w:val="005F2340"/>
    <w:rsid w:val="005F2C0D"/>
    <w:rsid w:val="00603BAF"/>
    <w:rsid w:val="006131C0"/>
    <w:rsid w:val="00613A02"/>
    <w:rsid w:val="00615FAE"/>
    <w:rsid w:val="00620B7C"/>
    <w:rsid w:val="0062163E"/>
    <w:rsid w:val="006350A2"/>
    <w:rsid w:val="00642B40"/>
    <w:rsid w:val="006431C9"/>
    <w:rsid w:val="00644747"/>
    <w:rsid w:val="00653909"/>
    <w:rsid w:val="00653BD7"/>
    <w:rsid w:val="00654D7F"/>
    <w:rsid w:val="00655657"/>
    <w:rsid w:val="0066293F"/>
    <w:rsid w:val="00665032"/>
    <w:rsid w:val="00665938"/>
    <w:rsid w:val="00670AD2"/>
    <w:rsid w:val="0067111D"/>
    <w:rsid w:val="00673146"/>
    <w:rsid w:val="00673713"/>
    <w:rsid w:val="00673CCB"/>
    <w:rsid w:val="00680450"/>
    <w:rsid w:val="006813AB"/>
    <w:rsid w:val="00681E62"/>
    <w:rsid w:val="00685BE2"/>
    <w:rsid w:val="006A0720"/>
    <w:rsid w:val="006A3107"/>
    <w:rsid w:val="006A3DDE"/>
    <w:rsid w:val="006A5C16"/>
    <w:rsid w:val="006B5A94"/>
    <w:rsid w:val="006B7906"/>
    <w:rsid w:val="006C0529"/>
    <w:rsid w:val="006C251E"/>
    <w:rsid w:val="006C3AA1"/>
    <w:rsid w:val="006C3C1B"/>
    <w:rsid w:val="006C3DC2"/>
    <w:rsid w:val="006D051E"/>
    <w:rsid w:val="006D670B"/>
    <w:rsid w:val="006D7CEB"/>
    <w:rsid w:val="006E00B4"/>
    <w:rsid w:val="006E1C5D"/>
    <w:rsid w:val="006E1C70"/>
    <w:rsid w:val="006E1C83"/>
    <w:rsid w:val="006F3F43"/>
    <w:rsid w:val="006F5C8E"/>
    <w:rsid w:val="00703A54"/>
    <w:rsid w:val="00711497"/>
    <w:rsid w:val="007242F4"/>
    <w:rsid w:val="00726925"/>
    <w:rsid w:val="0073034C"/>
    <w:rsid w:val="00730458"/>
    <w:rsid w:val="0074542E"/>
    <w:rsid w:val="00745B90"/>
    <w:rsid w:val="00745E4E"/>
    <w:rsid w:val="00751A49"/>
    <w:rsid w:val="00751B0D"/>
    <w:rsid w:val="00763A90"/>
    <w:rsid w:val="00763D32"/>
    <w:rsid w:val="0076556F"/>
    <w:rsid w:val="0077301B"/>
    <w:rsid w:val="00777601"/>
    <w:rsid w:val="00783C06"/>
    <w:rsid w:val="007A0B4F"/>
    <w:rsid w:val="007A0B6F"/>
    <w:rsid w:val="007A1E5C"/>
    <w:rsid w:val="007A3D07"/>
    <w:rsid w:val="007A5BB2"/>
    <w:rsid w:val="007B17B3"/>
    <w:rsid w:val="007B2AC1"/>
    <w:rsid w:val="007B61D8"/>
    <w:rsid w:val="007C19D2"/>
    <w:rsid w:val="007C622E"/>
    <w:rsid w:val="007D6719"/>
    <w:rsid w:val="007E0E65"/>
    <w:rsid w:val="007F014C"/>
    <w:rsid w:val="007F1097"/>
    <w:rsid w:val="007F2368"/>
    <w:rsid w:val="007F4B43"/>
    <w:rsid w:val="00800150"/>
    <w:rsid w:val="00812285"/>
    <w:rsid w:val="0081295D"/>
    <w:rsid w:val="00817535"/>
    <w:rsid w:val="00817B5A"/>
    <w:rsid w:val="008200EF"/>
    <w:rsid w:val="008201ED"/>
    <w:rsid w:val="00824583"/>
    <w:rsid w:val="00832CAD"/>
    <w:rsid w:val="00833E6A"/>
    <w:rsid w:val="0083400A"/>
    <w:rsid w:val="00835862"/>
    <w:rsid w:val="008464D3"/>
    <w:rsid w:val="00851CD5"/>
    <w:rsid w:val="00852315"/>
    <w:rsid w:val="00852EF2"/>
    <w:rsid w:val="008537B9"/>
    <w:rsid w:val="008548B7"/>
    <w:rsid w:val="0085672C"/>
    <w:rsid w:val="00864A6A"/>
    <w:rsid w:val="00865636"/>
    <w:rsid w:val="00865FF9"/>
    <w:rsid w:val="008727B0"/>
    <w:rsid w:val="00880831"/>
    <w:rsid w:val="00880D80"/>
    <w:rsid w:val="00884367"/>
    <w:rsid w:val="0088458F"/>
    <w:rsid w:val="008871F6"/>
    <w:rsid w:val="00887C8F"/>
    <w:rsid w:val="008910EE"/>
    <w:rsid w:val="00893A6E"/>
    <w:rsid w:val="00894DAA"/>
    <w:rsid w:val="008A1D9C"/>
    <w:rsid w:val="008A3662"/>
    <w:rsid w:val="008A5ACB"/>
    <w:rsid w:val="008B1EE8"/>
    <w:rsid w:val="008B4762"/>
    <w:rsid w:val="008B5938"/>
    <w:rsid w:val="008C3731"/>
    <w:rsid w:val="008C77D0"/>
    <w:rsid w:val="008D050D"/>
    <w:rsid w:val="008D6828"/>
    <w:rsid w:val="008E16C2"/>
    <w:rsid w:val="008E5D42"/>
    <w:rsid w:val="008E6C42"/>
    <w:rsid w:val="008E7147"/>
    <w:rsid w:val="008F7E86"/>
    <w:rsid w:val="00903C98"/>
    <w:rsid w:val="0090594A"/>
    <w:rsid w:val="00920196"/>
    <w:rsid w:val="00921D87"/>
    <w:rsid w:val="00925E5C"/>
    <w:rsid w:val="009327D0"/>
    <w:rsid w:val="00934797"/>
    <w:rsid w:val="00940A91"/>
    <w:rsid w:val="009410D6"/>
    <w:rsid w:val="00942C15"/>
    <w:rsid w:val="00951292"/>
    <w:rsid w:val="00966F41"/>
    <w:rsid w:val="00970A57"/>
    <w:rsid w:val="009711FF"/>
    <w:rsid w:val="00973452"/>
    <w:rsid w:val="00977183"/>
    <w:rsid w:val="0097731E"/>
    <w:rsid w:val="00983871"/>
    <w:rsid w:val="00986375"/>
    <w:rsid w:val="009903B2"/>
    <w:rsid w:val="009919D5"/>
    <w:rsid w:val="0099259A"/>
    <w:rsid w:val="00992D53"/>
    <w:rsid w:val="00994B39"/>
    <w:rsid w:val="009950C7"/>
    <w:rsid w:val="009B4D4F"/>
    <w:rsid w:val="009B6924"/>
    <w:rsid w:val="009C39F7"/>
    <w:rsid w:val="009D2F17"/>
    <w:rsid w:val="009D498A"/>
    <w:rsid w:val="009E2F17"/>
    <w:rsid w:val="009E3378"/>
    <w:rsid w:val="009E5584"/>
    <w:rsid w:val="009F127F"/>
    <w:rsid w:val="009F5EBE"/>
    <w:rsid w:val="00A04C7A"/>
    <w:rsid w:val="00A13A59"/>
    <w:rsid w:val="00A16CCD"/>
    <w:rsid w:val="00A17B0E"/>
    <w:rsid w:val="00A222E2"/>
    <w:rsid w:val="00A30449"/>
    <w:rsid w:val="00A34A51"/>
    <w:rsid w:val="00A35F19"/>
    <w:rsid w:val="00A413E5"/>
    <w:rsid w:val="00A4378B"/>
    <w:rsid w:val="00A53DFD"/>
    <w:rsid w:val="00A553D0"/>
    <w:rsid w:val="00A579BB"/>
    <w:rsid w:val="00A628E6"/>
    <w:rsid w:val="00A63CF5"/>
    <w:rsid w:val="00A67D0D"/>
    <w:rsid w:val="00A726C4"/>
    <w:rsid w:val="00A73410"/>
    <w:rsid w:val="00A76412"/>
    <w:rsid w:val="00A81769"/>
    <w:rsid w:val="00A82192"/>
    <w:rsid w:val="00A8413A"/>
    <w:rsid w:val="00A84237"/>
    <w:rsid w:val="00A91B7E"/>
    <w:rsid w:val="00A92973"/>
    <w:rsid w:val="00A92DCD"/>
    <w:rsid w:val="00A93767"/>
    <w:rsid w:val="00A9776F"/>
    <w:rsid w:val="00AA3B58"/>
    <w:rsid w:val="00AA636C"/>
    <w:rsid w:val="00AA6CEF"/>
    <w:rsid w:val="00AB5AFF"/>
    <w:rsid w:val="00AC2456"/>
    <w:rsid w:val="00AC3D6C"/>
    <w:rsid w:val="00AC5E3F"/>
    <w:rsid w:val="00AC702A"/>
    <w:rsid w:val="00AD0BD3"/>
    <w:rsid w:val="00AD34A7"/>
    <w:rsid w:val="00AD397E"/>
    <w:rsid w:val="00AE20A6"/>
    <w:rsid w:val="00AE27F9"/>
    <w:rsid w:val="00AE3600"/>
    <w:rsid w:val="00AE3985"/>
    <w:rsid w:val="00AF00E9"/>
    <w:rsid w:val="00AF6673"/>
    <w:rsid w:val="00AF7938"/>
    <w:rsid w:val="00B0093D"/>
    <w:rsid w:val="00B03644"/>
    <w:rsid w:val="00B05E64"/>
    <w:rsid w:val="00B10FF8"/>
    <w:rsid w:val="00B11C86"/>
    <w:rsid w:val="00B1368B"/>
    <w:rsid w:val="00B1465C"/>
    <w:rsid w:val="00B2099F"/>
    <w:rsid w:val="00B2605D"/>
    <w:rsid w:val="00B267C6"/>
    <w:rsid w:val="00B3107E"/>
    <w:rsid w:val="00B34AD7"/>
    <w:rsid w:val="00B3646F"/>
    <w:rsid w:val="00B376C3"/>
    <w:rsid w:val="00B37845"/>
    <w:rsid w:val="00B41BE6"/>
    <w:rsid w:val="00B47F9D"/>
    <w:rsid w:val="00B502AE"/>
    <w:rsid w:val="00B57392"/>
    <w:rsid w:val="00B574BB"/>
    <w:rsid w:val="00B57658"/>
    <w:rsid w:val="00B57999"/>
    <w:rsid w:val="00B6433F"/>
    <w:rsid w:val="00B65A08"/>
    <w:rsid w:val="00B72A12"/>
    <w:rsid w:val="00B86A18"/>
    <w:rsid w:val="00B916B7"/>
    <w:rsid w:val="00B928A3"/>
    <w:rsid w:val="00B95144"/>
    <w:rsid w:val="00B97220"/>
    <w:rsid w:val="00B977AF"/>
    <w:rsid w:val="00BA2252"/>
    <w:rsid w:val="00BB08D0"/>
    <w:rsid w:val="00BB16BC"/>
    <w:rsid w:val="00BC21DB"/>
    <w:rsid w:val="00BC332E"/>
    <w:rsid w:val="00BC34BE"/>
    <w:rsid w:val="00BC6FA4"/>
    <w:rsid w:val="00BC72D3"/>
    <w:rsid w:val="00BD16A1"/>
    <w:rsid w:val="00BD3946"/>
    <w:rsid w:val="00BE1F5C"/>
    <w:rsid w:val="00BE242B"/>
    <w:rsid w:val="00BE34DD"/>
    <w:rsid w:val="00BE4375"/>
    <w:rsid w:val="00BE60B8"/>
    <w:rsid w:val="00BE6E9B"/>
    <w:rsid w:val="00BF0C9F"/>
    <w:rsid w:val="00BF1F73"/>
    <w:rsid w:val="00BF4F84"/>
    <w:rsid w:val="00C01C08"/>
    <w:rsid w:val="00C0208C"/>
    <w:rsid w:val="00C073D8"/>
    <w:rsid w:val="00C155B3"/>
    <w:rsid w:val="00C15E18"/>
    <w:rsid w:val="00C1710C"/>
    <w:rsid w:val="00C23A97"/>
    <w:rsid w:val="00C27B4C"/>
    <w:rsid w:val="00C363D1"/>
    <w:rsid w:val="00C36A7F"/>
    <w:rsid w:val="00C41227"/>
    <w:rsid w:val="00C465A7"/>
    <w:rsid w:val="00C619BB"/>
    <w:rsid w:val="00C6602E"/>
    <w:rsid w:val="00C671BA"/>
    <w:rsid w:val="00C6736B"/>
    <w:rsid w:val="00C67B70"/>
    <w:rsid w:val="00C71694"/>
    <w:rsid w:val="00C72361"/>
    <w:rsid w:val="00C72377"/>
    <w:rsid w:val="00C72DB4"/>
    <w:rsid w:val="00C77458"/>
    <w:rsid w:val="00C8328A"/>
    <w:rsid w:val="00C8529D"/>
    <w:rsid w:val="00C85B6D"/>
    <w:rsid w:val="00C85B7B"/>
    <w:rsid w:val="00CA114B"/>
    <w:rsid w:val="00CA6CB2"/>
    <w:rsid w:val="00CA78A0"/>
    <w:rsid w:val="00CB36AC"/>
    <w:rsid w:val="00CC0CA3"/>
    <w:rsid w:val="00CC1DE5"/>
    <w:rsid w:val="00CC4CDF"/>
    <w:rsid w:val="00CC6255"/>
    <w:rsid w:val="00CC6F6C"/>
    <w:rsid w:val="00CD57C9"/>
    <w:rsid w:val="00CE147D"/>
    <w:rsid w:val="00CE27CA"/>
    <w:rsid w:val="00CE67C6"/>
    <w:rsid w:val="00CF0B9D"/>
    <w:rsid w:val="00CF3C97"/>
    <w:rsid w:val="00CF4A7E"/>
    <w:rsid w:val="00CF62B9"/>
    <w:rsid w:val="00CF7D2D"/>
    <w:rsid w:val="00D0008B"/>
    <w:rsid w:val="00D017CA"/>
    <w:rsid w:val="00D035DD"/>
    <w:rsid w:val="00D037B8"/>
    <w:rsid w:val="00D0684B"/>
    <w:rsid w:val="00D0719F"/>
    <w:rsid w:val="00D105F4"/>
    <w:rsid w:val="00D22142"/>
    <w:rsid w:val="00D24140"/>
    <w:rsid w:val="00D26310"/>
    <w:rsid w:val="00D31AE6"/>
    <w:rsid w:val="00D32636"/>
    <w:rsid w:val="00D34AAD"/>
    <w:rsid w:val="00D411BF"/>
    <w:rsid w:val="00D43941"/>
    <w:rsid w:val="00D443FE"/>
    <w:rsid w:val="00D44B48"/>
    <w:rsid w:val="00D519A0"/>
    <w:rsid w:val="00D51F9F"/>
    <w:rsid w:val="00D530C2"/>
    <w:rsid w:val="00D6179A"/>
    <w:rsid w:val="00D63364"/>
    <w:rsid w:val="00D63FAF"/>
    <w:rsid w:val="00D64B30"/>
    <w:rsid w:val="00D64BA5"/>
    <w:rsid w:val="00D64D73"/>
    <w:rsid w:val="00D837A6"/>
    <w:rsid w:val="00D843EC"/>
    <w:rsid w:val="00D924B8"/>
    <w:rsid w:val="00D95860"/>
    <w:rsid w:val="00D96E51"/>
    <w:rsid w:val="00DB595F"/>
    <w:rsid w:val="00DB5B9D"/>
    <w:rsid w:val="00DC5C51"/>
    <w:rsid w:val="00DD30DA"/>
    <w:rsid w:val="00DD4551"/>
    <w:rsid w:val="00DE1ED2"/>
    <w:rsid w:val="00DF0A51"/>
    <w:rsid w:val="00DF45B2"/>
    <w:rsid w:val="00E01E64"/>
    <w:rsid w:val="00E03659"/>
    <w:rsid w:val="00E10122"/>
    <w:rsid w:val="00E153C1"/>
    <w:rsid w:val="00E22A7C"/>
    <w:rsid w:val="00E23785"/>
    <w:rsid w:val="00E23A22"/>
    <w:rsid w:val="00E261BC"/>
    <w:rsid w:val="00E2705F"/>
    <w:rsid w:val="00E35994"/>
    <w:rsid w:val="00E422E2"/>
    <w:rsid w:val="00E44E1B"/>
    <w:rsid w:val="00E44E81"/>
    <w:rsid w:val="00E50007"/>
    <w:rsid w:val="00E50CF2"/>
    <w:rsid w:val="00E52FBD"/>
    <w:rsid w:val="00E61453"/>
    <w:rsid w:val="00E6470D"/>
    <w:rsid w:val="00E90609"/>
    <w:rsid w:val="00E95199"/>
    <w:rsid w:val="00EA120D"/>
    <w:rsid w:val="00EA2A19"/>
    <w:rsid w:val="00EA3C1F"/>
    <w:rsid w:val="00EA7FFB"/>
    <w:rsid w:val="00EB1269"/>
    <w:rsid w:val="00EB7A3B"/>
    <w:rsid w:val="00EC1940"/>
    <w:rsid w:val="00EC62E3"/>
    <w:rsid w:val="00ED0889"/>
    <w:rsid w:val="00ED1BB2"/>
    <w:rsid w:val="00ED222F"/>
    <w:rsid w:val="00EE0836"/>
    <w:rsid w:val="00EE487B"/>
    <w:rsid w:val="00EF3FCC"/>
    <w:rsid w:val="00F04F0E"/>
    <w:rsid w:val="00F0772C"/>
    <w:rsid w:val="00F153A9"/>
    <w:rsid w:val="00F17243"/>
    <w:rsid w:val="00F219F5"/>
    <w:rsid w:val="00F272C4"/>
    <w:rsid w:val="00F30B8B"/>
    <w:rsid w:val="00F3171F"/>
    <w:rsid w:val="00F350EE"/>
    <w:rsid w:val="00F36495"/>
    <w:rsid w:val="00F40BB5"/>
    <w:rsid w:val="00F456BC"/>
    <w:rsid w:val="00F46267"/>
    <w:rsid w:val="00F530BE"/>
    <w:rsid w:val="00F5341E"/>
    <w:rsid w:val="00F54182"/>
    <w:rsid w:val="00F54C62"/>
    <w:rsid w:val="00F55E7B"/>
    <w:rsid w:val="00F5632B"/>
    <w:rsid w:val="00F66464"/>
    <w:rsid w:val="00F70BB6"/>
    <w:rsid w:val="00F72C72"/>
    <w:rsid w:val="00F74963"/>
    <w:rsid w:val="00F803D4"/>
    <w:rsid w:val="00F80822"/>
    <w:rsid w:val="00F80EF5"/>
    <w:rsid w:val="00F81086"/>
    <w:rsid w:val="00F8119F"/>
    <w:rsid w:val="00F9375D"/>
    <w:rsid w:val="00FA3743"/>
    <w:rsid w:val="00FA3983"/>
    <w:rsid w:val="00FA48D4"/>
    <w:rsid w:val="00FA5C08"/>
    <w:rsid w:val="00FA5DF9"/>
    <w:rsid w:val="00FA6781"/>
    <w:rsid w:val="00FB6555"/>
    <w:rsid w:val="00FB74AC"/>
    <w:rsid w:val="00FC07FD"/>
    <w:rsid w:val="00FC418B"/>
    <w:rsid w:val="00FC488D"/>
    <w:rsid w:val="00FC49CF"/>
    <w:rsid w:val="00FC67A9"/>
    <w:rsid w:val="00FC6966"/>
    <w:rsid w:val="00FE0E5C"/>
    <w:rsid w:val="00FE2040"/>
    <w:rsid w:val="00FE32DC"/>
    <w:rsid w:val="00FE3C5B"/>
    <w:rsid w:val="00FE3CB6"/>
    <w:rsid w:val="00FE591E"/>
    <w:rsid w:val="00FF4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40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52F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03E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413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4378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35F19"/>
    <w:rPr>
      <w:sz w:val="16"/>
      <w:szCs w:val="16"/>
    </w:rPr>
  </w:style>
  <w:style w:type="paragraph" w:styleId="CommentText">
    <w:name w:val="annotation text"/>
    <w:basedOn w:val="Normal"/>
    <w:link w:val="CommentTextChar"/>
    <w:uiPriority w:val="99"/>
    <w:semiHidden/>
    <w:unhideWhenUsed/>
    <w:rsid w:val="00A35F19"/>
    <w:pPr>
      <w:spacing w:line="240" w:lineRule="auto"/>
    </w:pPr>
    <w:rPr>
      <w:sz w:val="20"/>
      <w:szCs w:val="20"/>
    </w:rPr>
  </w:style>
  <w:style w:type="character" w:customStyle="1" w:styleId="CommentTextChar">
    <w:name w:val="Comment Text Char"/>
    <w:basedOn w:val="DefaultParagraphFont"/>
    <w:link w:val="CommentText"/>
    <w:uiPriority w:val="99"/>
    <w:semiHidden/>
    <w:rsid w:val="00A35F19"/>
    <w:rPr>
      <w:sz w:val="20"/>
      <w:szCs w:val="20"/>
    </w:rPr>
  </w:style>
  <w:style w:type="paragraph" w:styleId="CommentSubject">
    <w:name w:val="annotation subject"/>
    <w:basedOn w:val="CommentText"/>
    <w:next w:val="CommentText"/>
    <w:link w:val="CommentSubjectChar"/>
    <w:uiPriority w:val="99"/>
    <w:semiHidden/>
    <w:unhideWhenUsed/>
    <w:rsid w:val="00A35F19"/>
    <w:rPr>
      <w:b/>
      <w:bCs/>
    </w:rPr>
  </w:style>
  <w:style w:type="character" w:customStyle="1" w:styleId="CommentSubjectChar">
    <w:name w:val="Comment Subject Char"/>
    <w:basedOn w:val="CommentTextChar"/>
    <w:link w:val="CommentSubject"/>
    <w:uiPriority w:val="99"/>
    <w:semiHidden/>
    <w:rsid w:val="00A35F19"/>
    <w:rPr>
      <w:b/>
      <w:bCs/>
      <w:sz w:val="20"/>
      <w:szCs w:val="20"/>
    </w:rPr>
  </w:style>
  <w:style w:type="paragraph" w:styleId="BalloonText">
    <w:name w:val="Balloon Text"/>
    <w:basedOn w:val="Normal"/>
    <w:link w:val="BalloonTextChar"/>
    <w:uiPriority w:val="99"/>
    <w:semiHidden/>
    <w:unhideWhenUsed/>
    <w:rsid w:val="00A35F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F19"/>
    <w:rPr>
      <w:rFonts w:ascii="Segoe UI" w:hAnsi="Segoe UI" w:cs="Segoe UI"/>
      <w:sz w:val="18"/>
      <w:szCs w:val="18"/>
    </w:rPr>
  </w:style>
  <w:style w:type="paragraph" w:styleId="ListParagraph">
    <w:name w:val="List Paragraph"/>
    <w:basedOn w:val="Normal"/>
    <w:uiPriority w:val="34"/>
    <w:qFormat/>
    <w:rsid w:val="00A35F19"/>
    <w:pPr>
      <w:ind w:left="720"/>
      <w:contextualSpacing/>
    </w:pPr>
  </w:style>
  <w:style w:type="paragraph" w:styleId="FootnoteText">
    <w:name w:val="footnote text"/>
    <w:basedOn w:val="Normal"/>
    <w:link w:val="FootnoteTextChar"/>
    <w:uiPriority w:val="99"/>
    <w:unhideWhenUsed/>
    <w:rsid w:val="003F316B"/>
    <w:pPr>
      <w:spacing w:after="0" w:line="240" w:lineRule="auto"/>
    </w:pPr>
    <w:rPr>
      <w:sz w:val="20"/>
      <w:szCs w:val="20"/>
    </w:rPr>
  </w:style>
  <w:style w:type="character" w:customStyle="1" w:styleId="FootnoteTextChar">
    <w:name w:val="Footnote Text Char"/>
    <w:basedOn w:val="DefaultParagraphFont"/>
    <w:link w:val="FootnoteText"/>
    <w:uiPriority w:val="99"/>
    <w:rsid w:val="003F316B"/>
    <w:rPr>
      <w:sz w:val="20"/>
      <w:szCs w:val="20"/>
    </w:rPr>
  </w:style>
  <w:style w:type="character" w:styleId="FootnoteReference">
    <w:name w:val="footnote reference"/>
    <w:basedOn w:val="DefaultParagraphFont"/>
    <w:uiPriority w:val="99"/>
    <w:semiHidden/>
    <w:unhideWhenUsed/>
    <w:rsid w:val="003F316B"/>
    <w:rPr>
      <w:vertAlign w:val="superscript"/>
    </w:rPr>
  </w:style>
  <w:style w:type="character" w:styleId="Hyperlink">
    <w:name w:val="Hyperlink"/>
    <w:basedOn w:val="DefaultParagraphFont"/>
    <w:uiPriority w:val="99"/>
    <w:unhideWhenUsed/>
    <w:rsid w:val="00940A91"/>
    <w:rPr>
      <w:color w:val="0563C1" w:themeColor="hyperlink"/>
      <w:u w:val="single"/>
    </w:rPr>
  </w:style>
  <w:style w:type="character" w:customStyle="1" w:styleId="UnresolvedMention1">
    <w:name w:val="Unresolved Mention1"/>
    <w:basedOn w:val="DefaultParagraphFont"/>
    <w:uiPriority w:val="99"/>
    <w:semiHidden/>
    <w:unhideWhenUsed/>
    <w:rsid w:val="00940A91"/>
    <w:rPr>
      <w:color w:val="808080"/>
      <w:shd w:val="clear" w:color="auto" w:fill="E6E6E6"/>
    </w:rPr>
  </w:style>
  <w:style w:type="character" w:customStyle="1" w:styleId="Heading1Char">
    <w:name w:val="Heading 1 Char"/>
    <w:basedOn w:val="DefaultParagraphFont"/>
    <w:link w:val="Heading1"/>
    <w:uiPriority w:val="9"/>
    <w:rsid w:val="00E52FB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03EC1"/>
    <w:rPr>
      <w:rFonts w:asciiTheme="majorHAnsi" w:eastAsiaTheme="majorEastAsia" w:hAnsiTheme="majorHAnsi" w:cstheme="majorBidi"/>
      <w:color w:val="2F5496" w:themeColor="accent1" w:themeShade="BF"/>
      <w:sz w:val="26"/>
      <w:szCs w:val="26"/>
    </w:rPr>
  </w:style>
  <w:style w:type="character" w:customStyle="1" w:styleId="UnresolvedMention">
    <w:name w:val="Unresolved Mention"/>
    <w:basedOn w:val="DefaultParagraphFont"/>
    <w:uiPriority w:val="99"/>
    <w:rsid w:val="00DF0A51"/>
    <w:rPr>
      <w:color w:val="808080"/>
      <w:shd w:val="clear" w:color="auto" w:fill="E6E6E6"/>
    </w:rPr>
  </w:style>
  <w:style w:type="character" w:customStyle="1" w:styleId="Heading4Char">
    <w:name w:val="Heading 4 Char"/>
    <w:basedOn w:val="DefaultParagraphFont"/>
    <w:link w:val="Heading4"/>
    <w:uiPriority w:val="9"/>
    <w:semiHidden/>
    <w:rsid w:val="00A4378B"/>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B37845"/>
    <w:pPr>
      <w:spacing w:after="0" w:line="240" w:lineRule="auto"/>
    </w:pPr>
  </w:style>
  <w:style w:type="character" w:styleId="FollowedHyperlink">
    <w:name w:val="FollowedHyperlink"/>
    <w:basedOn w:val="DefaultParagraphFont"/>
    <w:uiPriority w:val="99"/>
    <w:semiHidden/>
    <w:unhideWhenUsed/>
    <w:rsid w:val="00763D32"/>
    <w:rPr>
      <w:color w:val="954F72" w:themeColor="followedHyperlink"/>
      <w:u w:val="single"/>
    </w:rPr>
  </w:style>
  <w:style w:type="character" w:customStyle="1" w:styleId="Heading3Char">
    <w:name w:val="Heading 3 Char"/>
    <w:basedOn w:val="DefaultParagraphFont"/>
    <w:link w:val="Heading3"/>
    <w:uiPriority w:val="9"/>
    <w:semiHidden/>
    <w:rsid w:val="00A413E5"/>
    <w:rPr>
      <w:rFonts w:asciiTheme="majorHAnsi" w:eastAsiaTheme="majorEastAsia" w:hAnsiTheme="majorHAnsi" w:cstheme="majorBidi"/>
      <w:color w:val="1F3763"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52F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03E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413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4378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35F19"/>
    <w:rPr>
      <w:sz w:val="16"/>
      <w:szCs w:val="16"/>
    </w:rPr>
  </w:style>
  <w:style w:type="paragraph" w:styleId="CommentText">
    <w:name w:val="annotation text"/>
    <w:basedOn w:val="Normal"/>
    <w:link w:val="CommentTextChar"/>
    <w:uiPriority w:val="99"/>
    <w:semiHidden/>
    <w:unhideWhenUsed/>
    <w:rsid w:val="00A35F19"/>
    <w:pPr>
      <w:spacing w:line="240" w:lineRule="auto"/>
    </w:pPr>
    <w:rPr>
      <w:sz w:val="20"/>
      <w:szCs w:val="20"/>
    </w:rPr>
  </w:style>
  <w:style w:type="character" w:customStyle="1" w:styleId="CommentTextChar">
    <w:name w:val="Comment Text Char"/>
    <w:basedOn w:val="DefaultParagraphFont"/>
    <w:link w:val="CommentText"/>
    <w:uiPriority w:val="99"/>
    <w:semiHidden/>
    <w:rsid w:val="00A35F19"/>
    <w:rPr>
      <w:sz w:val="20"/>
      <w:szCs w:val="20"/>
    </w:rPr>
  </w:style>
  <w:style w:type="paragraph" w:styleId="CommentSubject">
    <w:name w:val="annotation subject"/>
    <w:basedOn w:val="CommentText"/>
    <w:next w:val="CommentText"/>
    <w:link w:val="CommentSubjectChar"/>
    <w:uiPriority w:val="99"/>
    <w:semiHidden/>
    <w:unhideWhenUsed/>
    <w:rsid w:val="00A35F19"/>
    <w:rPr>
      <w:b/>
      <w:bCs/>
    </w:rPr>
  </w:style>
  <w:style w:type="character" w:customStyle="1" w:styleId="CommentSubjectChar">
    <w:name w:val="Comment Subject Char"/>
    <w:basedOn w:val="CommentTextChar"/>
    <w:link w:val="CommentSubject"/>
    <w:uiPriority w:val="99"/>
    <w:semiHidden/>
    <w:rsid w:val="00A35F19"/>
    <w:rPr>
      <w:b/>
      <w:bCs/>
      <w:sz w:val="20"/>
      <w:szCs w:val="20"/>
    </w:rPr>
  </w:style>
  <w:style w:type="paragraph" w:styleId="BalloonText">
    <w:name w:val="Balloon Text"/>
    <w:basedOn w:val="Normal"/>
    <w:link w:val="BalloonTextChar"/>
    <w:uiPriority w:val="99"/>
    <w:semiHidden/>
    <w:unhideWhenUsed/>
    <w:rsid w:val="00A35F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F19"/>
    <w:rPr>
      <w:rFonts w:ascii="Segoe UI" w:hAnsi="Segoe UI" w:cs="Segoe UI"/>
      <w:sz w:val="18"/>
      <w:szCs w:val="18"/>
    </w:rPr>
  </w:style>
  <w:style w:type="paragraph" w:styleId="ListParagraph">
    <w:name w:val="List Paragraph"/>
    <w:basedOn w:val="Normal"/>
    <w:uiPriority w:val="34"/>
    <w:qFormat/>
    <w:rsid w:val="00A35F19"/>
    <w:pPr>
      <w:ind w:left="720"/>
      <w:contextualSpacing/>
    </w:pPr>
  </w:style>
  <w:style w:type="paragraph" w:styleId="FootnoteText">
    <w:name w:val="footnote text"/>
    <w:basedOn w:val="Normal"/>
    <w:link w:val="FootnoteTextChar"/>
    <w:uiPriority w:val="99"/>
    <w:unhideWhenUsed/>
    <w:rsid w:val="003F316B"/>
    <w:pPr>
      <w:spacing w:after="0" w:line="240" w:lineRule="auto"/>
    </w:pPr>
    <w:rPr>
      <w:sz w:val="20"/>
      <w:szCs w:val="20"/>
    </w:rPr>
  </w:style>
  <w:style w:type="character" w:customStyle="1" w:styleId="FootnoteTextChar">
    <w:name w:val="Footnote Text Char"/>
    <w:basedOn w:val="DefaultParagraphFont"/>
    <w:link w:val="FootnoteText"/>
    <w:uiPriority w:val="99"/>
    <w:rsid w:val="003F316B"/>
    <w:rPr>
      <w:sz w:val="20"/>
      <w:szCs w:val="20"/>
    </w:rPr>
  </w:style>
  <w:style w:type="character" w:styleId="FootnoteReference">
    <w:name w:val="footnote reference"/>
    <w:basedOn w:val="DefaultParagraphFont"/>
    <w:uiPriority w:val="99"/>
    <w:semiHidden/>
    <w:unhideWhenUsed/>
    <w:rsid w:val="003F316B"/>
    <w:rPr>
      <w:vertAlign w:val="superscript"/>
    </w:rPr>
  </w:style>
  <w:style w:type="character" w:styleId="Hyperlink">
    <w:name w:val="Hyperlink"/>
    <w:basedOn w:val="DefaultParagraphFont"/>
    <w:uiPriority w:val="99"/>
    <w:unhideWhenUsed/>
    <w:rsid w:val="00940A91"/>
    <w:rPr>
      <w:color w:val="0563C1" w:themeColor="hyperlink"/>
      <w:u w:val="single"/>
    </w:rPr>
  </w:style>
  <w:style w:type="character" w:customStyle="1" w:styleId="UnresolvedMention1">
    <w:name w:val="Unresolved Mention1"/>
    <w:basedOn w:val="DefaultParagraphFont"/>
    <w:uiPriority w:val="99"/>
    <w:semiHidden/>
    <w:unhideWhenUsed/>
    <w:rsid w:val="00940A91"/>
    <w:rPr>
      <w:color w:val="808080"/>
      <w:shd w:val="clear" w:color="auto" w:fill="E6E6E6"/>
    </w:rPr>
  </w:style>
  <w:style w:type="character" w:customStyle="1" w:styleId="Heading1Char">
    <w:name w:val="Heading 1 Char"/>
    <w:basedOn w:val="DefaultParagraphFont"/>
    <w:link w:val="Heading1"/>
    <w:uiPriority w:val="9"/>
    <w:rsid w:val="00E52FB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03EC1"/>
    <w:rPr>
      <w:rFonts w:asciiTheme="majorHAnsi" w:eastAsiaTheme="majorEastAsia" w:hAnsiTheme="majorHAnsi" w:cstheme="majorBidi"/>
      <w:color w:val="2F5496" w:themeColor="accent1" w:themeShade="BF"/>
      <w:sz w:val="26"/>
      <w:szCs w:val="26"/>
    </w:rPr>
  </w:style>
  <w:style w:type="character" w:customStyle="1" w:styleId="UnresolvedMention">
    <w:name w:val="Unresolved Mention"/>
    <w:basedOn w:val="DefaultParagraphFont"/>
    <w:uiPriority w:val="99"/>
    <w:rsid w:val="00DF0A51"/>
    <w:rPr>
      <w:color w:val="808080"/>
      <w:shd w:val="clear" w:color="auto" w:fill="E6E6E6"/>
    </w:rPr>
  </w:style>
  <w:style w:type="character" w:customStyle="1" w:styleId="Heading4Char">
    <w:name w:val="Heading 4 Char"/>
    <w:basedOn w:val="DefaultParagraphFont"/>
    <w:link w:val="Heading4"/>
    <w:uiPriority w:val="9"/>
    <w:semiHidden/>
    <w:rsid w:val="00A4378B"/>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B37845"/>
    <w:pPr>
      <w:spacing w:after="0" w:line="240" w:lineRule="auto"/>
    </w:pPr>
  </w:style>
  <w:style w:type="character" w:styleId="FollowedHyperlink">
    <w:name w:val="FollowedHyperlink"/>
    <w:basedOn w:val="DefaultParagraphFont"/>
    <w:uiPriority w:val="99"/>
    <w:semiHidden/>
    <w:unhideWhenUsed/>
    <w:rsid w:val="00763D32"/>
    <w:rPr>
      <w:color w:val="954F72" w:themeColor="followedHyperlink"/>
      <w:u w:val="single"/>
    </w:rPr>
  </w:style>
  <w:style w:type="character" w:customStyle="1" w:styleId="Heading3Char">
    <w:name w:val="Heading 3 Char"/>
    <w:basedOn w:val="DefaultParagraphFont"/>
    <w:link w:val="Heading3"/>
    <w:uiPriority w:val="9"/>
    <w:semiHidden/>
    <w:rsid w:val="00A413E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6798">
      <w:bodyDiv w:val="1"/>
      <w:marLeft w:val="0"/>
      <w:marRight w:val="0"/>
      <w:marTop w:val="0"/>
      <w:marBottom w:val="0"/>
      <w:divBdr>
        <w:top w:val="none" w:sz="0" w:space="0" w:color="auto"/>
        <w:left w:val="none" w:sz="0" w:space="0" w:color="auto"/>
        <w:bottom w:val="none" w:sz="0" w:space="0" w:color="auto"/>
        <w:right w:val="none" w:sz="0" w:space="0" w:color="auto"/>
      </w:divBdr>
    </w:div>
    <w:div w:id="34739084">
      <w:bodyDiv w:val="1"/>
      <w:marLeft w:val="0"/>
      <w:marRight w:val="0"/>
      <w:marTop w:val="0"/>
      <w:marBottom w:val="0"/>
      <w:divBdr>
        <w:top w:val="none" w:sz="0" w:space="0" w:color="auto"/>
        <w:left w:val="none" w:sz="0" w:space="0" w:color="auto"/>
        <w:bottom w:val="none" w:sz="0" w:space="0" w:color="auto"/>
        <w:right w:val="none" w:sz="0" w:space="0" w:color="auto"/>
      </w:divBdr>
    </w:div>
    <w:div w:id="50153965">
      <w:bodyDiv w:val="1"/>
      <w:marLeft w:val="0"/>
      <w:marRight w:val="0"/>
      <w:marTop w:val="0"/>
      <w:marBottom w:val="0"/>
      <w:divBdr>
        <w:top w:val="none" w:sz="0" w:space="0" w:color="auto"/>
        <w:left w:val="none" w:sz="0" w:space="0" w:color="auto"/>
        <w:bottom w:val="none" w:sz="0" w:space="0" w:color="auto"/>
        <w:right w:val="none" w:sz="0" w:space="0" w:color="auto"/>
      </w:divBdr>
    </w:div>
    <w:div w:id="58872010">
      <w:bodyDiv w:val="1"/>
      <w:marLeft w:val="0"/>
      <w:marRight w:val="0"/>
      <w:marTop w:val="0"/>
      <w:marBottom w:val="0"/>
      <w:divBdr>
        <w:top w:val="none" w:sz="0" w:space="0" w:color="auto"/>
        <w:left w:val="none" w:sz="0" w:space="0" w:color="auto"/>
        <w:bottom w:val="none" w:sz="0" w:space="0" w:color="auto"/>
        <w:right w:val="none" w:sz="0" w:space="0" w:color="auto"/>
      </w:divBdr>
    </w:div>
    <w:div w:id="144395580">
      <w:bodyDiv w:val="1"/>
      <w:marLeft w:val="0"/>
      <w:marRight w:val="0"/>
      <w:marTop w:val="0"/>
      <w:marBottom w:val="0"/>
      <w:divBdr>
        <w:top w:val="none" w:sz="0" w:space="0" w:color="auto"/>
        <w:left w:val="none" w:sz="0" w:space="0" w:color="auto"/>
        <w:bottom w:val="none" w:sz="0" w:space="0" w:color="auto"/>
        <w:right w:val="none" w:sz="0" w:space="0" w:color="auto"/>
      </w:divBdr>
      <w:divsChild>
        <w:div w:id="286086750">
          <w:marLeft w:val="0"/>
          <w:marRight w:val="0"/>
          <w:marTop w:val="0"/>
          <w:marBottom w:val="0"/>
          <w:divBdr>
            <w:top w:val="none" w:sz="0" w:space="0" w:color="auto"/>
            <w:left w:val="none" w:sz="0" w:space="0" w:color="auto"/>
            <w:bottom w:val="none" w:sz="0" w:space="0" w:color="auto"/>
            <w:right w:val="none" w:sz="0" w:space="0" w:color="auto"/>
          </w:divBdr>
          <w:divsChild>
            <w:div w:id="673075173">
              <w:marLeft w:val="0"/>
              <w:marRight w:val="0"/>
              <w:marTop w:val="0"/>
              <w:marBottom w:val="0"/>
              <w:divBdr>
                <w:top w:val="none" w:sz="0" w:space="0" w:color="auto"/>
                <w:left w:val="none" w:sz="0" w:space="0" w:color="auto"/>
                <w:bottom w:val="none" w:sz="0" w:space="0" w:color="auto"/>
                <w:right w:val="none" w:sz="0" w:space="0" w:color="auto"/>
              </w:divBdr>
              <w:divsChild>
                <w:div w:id="2012439657">
                  <w:marLeft w:val="0"/>
                  <w:marRight w:val="0"/>
                  <w:marTop w:val="0"/>
                  <w:marBottom w:val="0"/>
                  <w:divBdr>
                    <w:top w:val="none" w:sz="0" w:space="0" w:color="auto"/>
                    <w:left w:val="none" w:sz="0" w:space="0" w:color="auto"/>
                    <w:bottom w:val="none" w:sz="0" w:space="0" w:color="auto"/>
                    <w:right w:val="none" w:sz="0" w:space="0" w:color="auto"/>
                  </w:divBdr>
                  <w:divsChild>
                    <w:div w:id="188278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30611">
      <w:bodyDiv w:val="1"/>
      <w:marLeft w:val="0"/>
      <w:marRight w:val="0"/>
      <w:marTop w:val="0"/>
      <w:marBottom w:val="0"/>
      <w:divBdr>
        <w:top w:val="none" w:sz="0" w:space="0" w:color="auto"/>
        <w:left w:val="none" w:sz="0" w:space="0" w:color="auto"/>
        <w:bottom w:val="none" w:sz="0" w:space="0" w:color="auto"/>
        <w:right w:val="none" w:sz="0" w:space="0" w:color="auto"/>
      </w:divBdr>
      <w:divsChild>
        <w:div w:id="1031342678">
          <w:marLeft w:val="0"/>
          <w:marRight w:val="0"/>
          <w:marTop w:val="0"/>
          <w:marBottom w:val="0"/>
          <w:divBdr>
            <w:top w:val="none" w:sz="0" w:space="0" w:color="auto"/>
            <w:left w:val="none" w:sz="0" w:space="0" w:color="auto"/>
            <w:bottom w:val="none" w:sz="0" w:space="0" w:color="auto"/>
            <w:right w:val="none" w:sz="0" w:space="0" w:color="auto"/>
          </w:divBdr>
          <w:divsChild>
            <w:div w:id="938099875">
              <w:marLeft w:val="0"/>
              <w:marRight w:val="0"/>
              <w:marTop w:val="0"/>
              <w:marBottom w:val="0"/>
              <w:divBdr>
                <w:top w:val="none" w:sz="0" w:space="0" w:color="auto"/>
                <w:left w:val="none" w:sz="0" w:space="0" w:color="auto"/>
                <w:bottom w:val="none" w:sz="0" w:space="0" w:color="auto"/>
                <w:right w:val="none" w:sz="0" w:space="0" w:color="auto"/>
              </w:divBdr>
              <w:divsChild>
                <w:div w:id="183934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23828">
      <w:bodyDiv w:val="1"/>
      <w:marLeft w:val="0"/>
      <w:marRight w:val="0"/>
      <w:marTop w:val="0"/>
      <w:marBottom w:val="0"/>
      <w:divBdr>
        <w:top w:val="none" w:sz="0" w:space="0" w:color="auto"/>
        <w:left w:val="none" w:sz="0" w:space="0" w:color="auto"/>
        <w:bottom w:val="none" w:sz="0" w:space="0" w:color="auto"/>
        <w:right w:val="none" w:sz="0" w:space="0" w:color="auto"/>
      </w:divBdr>
    </w:div>
    <w:div w:id="207574474">
      <w:bodyDiv w:val="1"/>
      <w:marLeft w:val="0"/>
      <w:marRight w:val="0"/>
      <w:marTop w:val="0"/>
      <w:marBottom w:val="0"/>
      <w:divBdr>
        <w:top w:val="none" w:sz="0" w:space="0" w:color="auto"/>
        <w:left w:val="none" w:sz="0" w:space="0" w:color="auto"/>
        <w:bottom w:val="none" w:sz="0" w:space="0" w:color="auto"/>
        <w:right w:val="none" w:sz="0" w:space="0" w:color="auto"/>
      </w:divBdr>
    </w:div>
    <w:div w:id="243690178">
      <w:bodyDiv w:val="1"/>
      <w:marLeft w:val="0"/>
      <w:marRight w:val="0"/>
      <w:marTop w:val="0"/>
      <w:marBottom w:val="0"/>
      <w:divBdr>
        <w:top w:val="none" w:sz="0" w:space="0" w:color="auto"/>
        <w:left w:val="none" w:sz="0" w:space="0" w:color="auto"/>
        <w:bottom w:val="none" w:sz="0" w:space="0" w:color="auto"/>
        <w:right w:val="none" w:sz="0" w:space="0" w:color="auto"/>
      </w:divBdr>
    </w:div>
    <w:div w:id="264970388">
      <w:bodyDiv w:val="1"/>
      <w:marLeft w:val="0"/>
      <w:marRight w:val="0"/>
      <w:marTop w:val="0"/>
      <w:marBottom w:val="0"/>
      <w:divBdr>
        <w:top w:val="none" w:sz="0" w:space="0" w:color="auto"/>
        <w:left w:val="none" w:sz="0" w:space="0" w:color="auto"/>
        <w:bottom w:val="none" w:sz="0" w:space="0" w:color="auto"/>
        <w:right w:val="none" w:sz="0" w:space="0" w:color="auto"/>
      </w:divBdr>
      <w:divsChild>
        <w:div w:id="274872474">
          <w:marLeft w:val="0"/>
          <w:marRight w:val="0"/>
          <w:marTop w:val="0"/>
          <w:marBottom w:val="0"/>
          <w:divBdr>
            <w:top w:val="none" w:sz="0" w:space="0" w:color="auto"/>
            <w:left w:val="none" w:sz="0" w:space="0" w:color="auto"/>
            <w:bottom w:val="none" w:sz="0" w:space="0" w:color="auto"/>
            <w:right w:val="none" w:sz="0" w:space="0" w:color="auto"/>
          </w:divBdr>
          <w:divsChild>
            <w:div w:id="218445184">
              <w:marLeft w:val="0"/>
              <w:marRight w:val="0"/>
              <w:marTop w:val="0"/>
              <w:marBottom w:val="0"/>
              <w:divBdr>
                <w:top w:val="none" w:sz="0" w:space="0" w:color="auto"/>
                <w:left w:val="none" w:sz="0" w:space="0" w:color="auto"/>
                <w:bottom w:val="none" w:sz="0" w:space="0" w:color="auto"/>
                <w:right w:val="none" w:sz="0" w:space="0" w:color="auto"/>
              </w:divBdr>
              <w:divsChild>
                <w:div w:id="22217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471905">
      <w:bodyDiv w:val="1"/>
      <w:marLeft w:val="0"/>
      <w:marRight w:val="0"/>
      <w:marTop w:val="0"/>
      <w:marBottom w:val="0"/>
      <w:divBdr>
        <w:top w:val="none" w:sz="0" w:space="0" w:color="auto"/>
        <w:left w:val="none" w:sz="0" w:space="0" w:color="auto"/>
        <w:bottom w:val="none" w:sz="0" w:space="0" w:color="auto"/>
        <w:right w:val="none" w:sz="0" w:space="0" w:color="auto"/>
      </w:divBdr>
      <w:divsChild>
        <w:div w:id="1554662118">
          <w:marLeft w:val="0"/>
          <w:marRight w:val="0"/>
          <w:marTop w:val="0"/>
          <w:marBottom w:val="0"/>
          <w:divBdr>
            <w:top w:val="none" w:sz="0" w:space="0" w:color="auto"/>
            <w:left w:val="none" w:sz="0" w:space="0" w:color="auto"/>
            <w:bottom w:val="none" w:sz="0" w:space="0" w:color="auto"/>
            <w:right w:val="none" w:sz="0" w:space="0" w:color="auto"/>
          </w:divBdr>
          <w:divsChild>
            <w:div w:id="791826080">
              <w:marLeft w:val="0"/>
              <w:marRight w:val="0"/>
              <w:marTop w:val="0"/>
              <w:marBottom w:val="0"/>
              <w:divBdr>
                <w:top w:val="none" w:sz="0" w:space="0" w:color="auto"/>
                <w:left w:val="none" w:sz="0" w:space="0" w:color="auto"/>
                <w:bottom w:val="none" w:sz="0" w:space="0" w:color="auto"/>
                <w:right w:val="none" w:sz="0" w:space="0" w:color="auto"/>
              </w:divBdr>
              <w:divsChild>
                <w:div w:id="159528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230787">
      <w:bodyDiv w:val="1"/>
      <w:marLeft w:val="0"/>
      <w:marRight w:val="0"/>
      <w:marTop w:val="0"/>
      <w:marBottom w:val="0"/>
      <w:divBdr>
        <w:top w:val="none" w:sz="0" w:space="0" w:color="auto"/>
        <w:left w:val="none" w:sz="0" w:space="0" w:color="auto"/>
        <w:bottom w:val="none" w:sz="0" w:space="0" w:color="auto"/>
        <w:right w:val="none" w:sz="0" w:space="0" w:color="auto"/>
      </w:divBdr>
    </w:div>
    <w:div w:id="307249022">
      <w:bodyDiv w:val="1"/>
      <w:marLeft w:val="0"/>
      <w:marRight w:val="0"/>
      <w:marTop w:val="0"/>
      <w:marBottom w:val="0"/>
      <w:divBdr>
        <w:top w:val="none" w:sz="0" w:space="0" w:color="auto"/>
        <w:left w:val="none" w:sz="0" w:space="0" w:color="auto"/>
        <w:bottom w:val="none" w:sz="0" w:space="0" w:color="auto"/>
        <w:right w:val="none" w:sz="0" w:space="0" w:color="auto"/>
      </w:divBdr>
    </w:div>
    <w:div w:id="313148931">
      <w:bodyDiv w:val="1"/>
      <w:marLeft w:val="0"/>
      <w:marRight w:val="0"/>
      <w:marTop w:val="0"/>
      <w:marBottom w:val="0"/>
      <w:divBdr>
        <w:top w:val="none" w:sz="0" w:space="0" w:color="auto"/>
        <w:left w:val="none" w:sz="0" w:space="0" w:color="auto"/>
        <w:bottom w:val="none" w:sz="0" w:space="0" w:color="auto"/>
        <w:right w:val="none" w:sz="0" w:space="0" w:color="auto"/>
      </w:divBdr>
    </w:div>
    <w:div w:id="325864956">
      <w:bodyDiv w:val="1"/>
      <w:marLeft w:val="0"/>
      <w:marRight w:val="0"/>
      <w:marTop w:val="0"/>
      <w:marBottom w:val="0"/>
      <w:divBdr>
        <w:top w:val="none" w:sz="0" w:space="0" w:color="auto"/>
        <w:left w:val="none" w:sz="0" w:space="0" w:color="auto"/>
        <w:bottom w:val="none" w:sz="0" w:space="0" w:color="auto"/>
        <w:right w:val="none" w:sz="0" w:space="0" w:color="auto"/>
      </w:divBdr>
    </w:div>
    <w:div w:id="361052550">
      <w:bodyDiv w:val="1"/>
      <w:marLeft w:val="0"/>
      <w:marRight w:val="0"/>
      <w:marTop w:val="0"/>
      <w:marBottom w:val="0"/>
      <w:divBdr>
        <w:top w:val="none" w:sz="0" w:space="0" w:color="auto"/>
        <w:left w:val="none" w:sz="0" w:space="0" w:color="auto"/>
        <w:bottom w:val="none" w:sz="0" w:space="0" w:color="auto"/>
        <w:right w:val="none" w:sz="0" w:space="0" w:color="auto"/>
      </w:divBdr>
    </w:div>
    <w:div w:id="372313069">
      <w:bodyDiv w:val="1"/>
      <w:marLeft w:val="0"/>
      <w:marRight w:val="0"/>
      <w:marTop w:val="0"/>
      <w:marBottom w:val="0"/>
      <w:divBdr>
        <w:top w:val="none" w:sz="0" w:space="0" w:color="auto"/>
        <w:left w:val="none" w:sz="0" w:space="0" w:color="auto"/>
        <w:bottom w:val="none" w:sz="0" w:space="0" w:color="auto"/>
        <w:right w:val="none" w:sz="0" w:space="0" w:color="auto"/>
      </w:divBdr>
    </w:div>
    <w:div w:id="375013526">
      <w:bodyDiv w:val="1"/>
      <w:marLeft w:val="0"/>
      <w:marRight w:val="0"/>
      <w:marTop w:val="0"/>
      <w:marBottom w:val="0"/>
      <w:divBdr>
        <w:top w:val="none" w:sz="0" w:space="0" w:color="auto"/>
        <w:left w:val="none" w:sz="0" w:space="0" w:color="auto"/>
        <w:bottom w:val="none" w:sz="0" w:space="0" w:color="auto"/>
        <w:right w:val="none" w:sz="0" w:space="0" w:color="auto"/>
      </w:divBdr>
    </w:div>
    <w:div w:id="397171104">
      <w:bodyDiv w:val="1"/>
      <w:marLeft w:val="0"/>
      <w:marRight w:val="0"/>
      <w:marTop w:val="0"/>
      <w:marBottom w:val="0"/>
      <w:divBdr>
        <w:top w:val="none" w:sz="0" w:space="0" w:color="auto"/>
        <w:left w:val="none" w:sz="0" w:space="0" w:color="auto"/>
        <w:bottom w:val="none" w:sz="0" w:space="0" w:color="auto"/>
        <w:right w:val="none" w:sz="0" w:space="0" w:color="auto"/>
      </w:divBdr>
    </w:div>
    <w:div w:id="406535841">
      <w:bodyDiv w:val="1"/>
      <w:marLeft w:val="0"/>
      <w:marRight w:val="0"/>
      <w:marTop w:val="0"/>
      <w:marBottom w:val="0"/>
      <w:divBdr>
        <w:top w:val="none" w:sz="0" w:space="0" w:color="auto"/>
        <w:left w:val="none" w:sz="0" w:space="0" w:color="auto"/>
        <w:bottom w:val="none" w:sz="0" w:space="0" w:color="auto"/>
        <w:right w:val="none" w:sz="0" w:space="0" w:color="auto"/>
      </w:divBdr>
    </w:div>
    <w:div w:id="453256814">
      <w:bodyDiv w:val="1"/>
      <w:marLeft w:val="0"/>
      <w:marRight w:val="0"/>
      <w:marTop w:val="0"/>
      <w:marBottom w:val="0"/>
      <w:divBdr>
        <w:top w:val="none" w:sz="0" w:space="0" w:color="auto"/>
        <w:left w:val="none" w:sz="0" w:space="0" w:color="auto"/>
        <w:bottom w:val="none" w:sz="0" w:space="0" w:color="auto"/>
        <w:right w:val="none" w:sz="0" w:space="0" w:color="auto"/>
      </w:divBdr>
    </w:div>
    <w:div w:id="536699397">
      <w:bodyDiv w:val="1"/>
      <w:marLeft w:val="0"/>
      <w:marRight w:val="0"/>
      <w:marTop w:val="0"/>
      <w:marBottom w:val="0"/>
      <w:divBdr>
        <w:top w:val="none" w:sz="0" w:space="0" w:color="auto"/>
        <w:left w:val="none" w:sz="0" w:space="0" w:color="auto"/>
        <w:bottom w:val="none" w:sz="0" w:space="0" w:color="auto"/>
        <w:right w:val="none" w:sz="0" w:space="0" w:color="auto"/>
      </w:divBdr>
    </w:div>
    <w:div w:id="537280711">
      <w:bodyDiv w:val="1"/>
      <w:marLeft w:val="0"/>
      <w:marRight w:val="0"/>
      <w:marTop w:val="0"/>
      <w:marBottom w:val="0"/>
      <w:divBdr>
        <w:top w:val="none" w:sz="0" w:space="0" w:color="auto"/>
        <w:left w:val="none" w:sz="0" w:space="0" w:color="auto"/>
        <w:bottom w:val="none" w:sz="0" w:space="0" w:color="auto"/>
        <w:right w:val="none" w:sz="0" w:space="0" w:color="auto"/>
      </w:divBdr>
    </w:div>
    <w:div w:id="539711040">
      <w:bodyDiv w:val="1"/>
      <w:marLeft w:val="0"/>
      <w:marRight w:val="0"/>
      <w:marTop w:val="0"/>
      <w:marBottom w:val="0"/>
      <w:divBdr>
        <w:top w:val="none" w:sz="0" w:space="0" w:color="auto"/>
        <w:left w:val="none" w:sz="0" w:space="0" w:color="auto"/>
        <w:bottom w:val="none" w:sz="0" w:space="0" w:color="auto"/>
        <w:right w:val="none" w:sz="0" w:space="0" w:color="auto"/>
      </w:divBdr>
    </w:div>
    <w:div w:id="585118239">
      <w:bodyDiv w:val="1"/>
      <w:marLeft w:val="0"/>
      <w:marRight w:val="0"/>
      <w:marTop w:val="0"/>
      <w:marBottom w:val="0"/>
      <w:divBdr>
        <w:top w:val="none" w:sz="0" w:space="0" w:color="auto"/>
        <w:left w:val="none" w:sz="0" w:space="0" w:color="auto"/>
        <w:bottom w:val="none" w:sz="0" w:space="0" w:color="auto"/>
        <w:right w:val="none" w:sz="0" w:space="0" w:color="auto"/>
      </w:divBdr>
    </w:div>
    <w:div w:id="619803864">
      <w:bodyDiv w:val="1"/>
      <w:marLeft w:val="0"/>
      <w:marRight w:val="0"/>
      <w:marTop w:val="0"/>
      <w:marBottom w:val="0"/>
      <w:divBdr>
        <w:top w:val="none" w:sz="0" w:space="0" w:color="auto"/>
        <w:left w:val="none" w:sz="0" w:space="0" w:color="auto"/>
        <w:bottom w:val="none" w:sz="0" w:space="0" w:color="auto"/>
        <w:right w:val="none" w:sz="0" w:space="0" w:color="auto"/>
      </w:divBdr>
      <w:divsChild>
        <w:div w:id="2073307827">
          <w:marLeft w:val="0"/>
          <w:marRight w:val="0"/>
          <w:marTop w:val="0"/>
          <w:marBottom w:val="0"/>
          <w:divBdr>
            <w:top w:val="none" w:sz="0" w:space="0" w:color="auto"/>
            <w:left w:val="none" w:sz="0" w:space="0" w:color="auto"/>
            <w:bottom w:val="none" w:sz="0" w:space="0" w:color="auto"/>
            <w:right w:val="none" w:sz="0" w:space="0" w:color="auto"/>
          </w:divBdr>
          <w:divsChild>
            <w:div w:id="969672858">
              <w:marLeft w:val="0"/>
              <w:marRight w:val="0"/>
              <w:marTop w:val="0"/>
              <w:marBottom w:val="0"/>
              <w:divBdr>
                <w:top w:val="none" w:sz="0" w:space="0" w:color="auto"/>
                <w:left w:val="none" w:sz="0" w:space="0" w:color="auto"/>
                <w:bottom w:val="none" w:sz="0" w:space="0" w:color="auto"/>
                <w:right w:val="none" w:sz="0" w:space="0" w:color="auto"/>
              </w:divBdr>
              <w:divsChild>
                <w:div w:id="12878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05751">
      <w:bodyDiv w:val="1"/>
      <w:marLeft w:val="0"/>
      <w:marRight w:val="0"/>
      <w:marTop w:val="0"/>
      <w:marBottom w:val="0"/>
      <w:divBdr>
        <w:top w:val="none" w:sz="0" w:space="0" w:color="auto"/>
        <w:left w:val="none" w:sz="0" w:space="0" w:color="auto"/>
        <w:bottom w:val="none" w:sz="0" w:space="0" w:color="auto"/>
        <w:right w:val="none" w:sz="0" w:space="0" w:color="auto"/>
      </w:divBdr>
    </w:div>
    <w:div w:id="710423343">
      <w:bodyDiv w:val="1"/>
      <w:marLeft w:val="0"/>
      <w:marRight w:val="0"/>
      <w:marTop w:val="0"/>
      <w:marBottom w:val="0"/>
      <w:divBdr>
        <w:top w:val="none" w:sz="0" w:space="0" w:color="auto"/>
        <w:left w:val="none" w:sz="0" w:space="0" w:color="auto"/>
        <w:bottom w:val="none" w:sz="0" w:space="0" w:color="auto"/>
        <w:right w:val="none" w:sz="0" w:space="0" w:color="auto"/>
      </w:divBdr>
    </w:div>
    <w:div w:id="719404307">
      <w:bodyDiv w:val="1"/>
      <w:marLeft w:val="0"/>
      <w:marRight w:val="0"/>
      <w:marTop w:val="0"/>
      <w:marBottom w:val="0"/>
      <w:divBdr>
        <w:top w:val="none" w:sz="0" w:space="0" w:color="auto"/>
        <w:left w:val="none" w:sz="0" w:space="0" w:color="auto"/>
        <w:bottom w:val="none" w:sz="0" w:space="0" w:color="auto"/>
        <w:right w:val="none" w:sz="0" w:space="0" w:color="auto"/>
      </w:divBdr>
    </w:div>
    <w:div w:id="726996914">
      <w:bodyDiv w:val="1"/>
      <w:marLeft w:val="0"/>
      <w:marRight w:val="0"/>
      <w:marTop w:val="0"/>
      <w:marBottom w:val="0"/>
      <w:divBdr>
        <w:top w:val="none" w:sz="0" w:space="0" w:color="auto"/>
        <w:left w:val="none" w:sz="0" w:space="0" w:color="auto"/>
        <w:bottom w:val="none" w:sz="0" w:space="0" w:color="auto"/>
        <w:right w:val="none" w:sz="0" w:space="0" w:color="auto"/>
      </w:divBdr>
    </w:div>
    <w:div w:id="752899743">
      <w:bodyDiv w:val="1"/>
      <w:marLeft w:val="0"/>
      <w:marRight w:val="0"/>
      <w:marTop w:val="0"/>
      <w:marBottom w:val="0"/>
      <w:divBdr>
        <w:top w:val="none" w:sz="0" w:space="0" w:color="auto"/>
        <w:left w:val="none" w:sz="0" w:space="0" w:color="auto"/>
        <w:bottom w:val="none" w:sz="0" w:space="0" w:color="auto"/>
        <w:right w:val="none" w:sz="0" w:space="0" w:color="auto"/>
      </w:divBdr>
    </w:div>
    <w:div w:id="810487317">
      <w:bodyDiv w:val="1"/>
      <w:marLeft w:val="0"/>
      <w:marRight w:val="0"/>
      <w:marTop w:val="0"/>
      <w:marBottom w:val="0"/>
      <w:divBdr>
        <w:top w:val="none" w:sz="0" w:space="0" w:color="auto"/>
        <w:left w:val="none" w:sz="0" w:space="0" w:color="auto"/>
        <w:bottom w:val="none" w:sz="0" w:space="0" w:color="auto"/>
        <w:right w:val="none" w:sz="0" w:space="0" w:color="auto"/>
      </w:divBdr>
      <w:divsChild>
        <w:div w:id="1261722038">
          <w:marLeft w:val="0"/>
          <w:marRight w:val="0"/>
          <w:marTop w:val="0"/>
          <w:marBottom w:val="0"/>
          <w:divBdr>
            <w:top w:val="none" w:sz="0" w:space="0" w:color="auto"/>
            <w:left w:val="none" w:sz="0" w:space="0" w:color="auto"/>
            <w:bottom w:val="none" w:sz="0" w:space="0" w:color="auto"/>
            <w:right w:val="none" w:sz="0" w:space="0" w:color="auto"/>
          </w:divBdr>
          <w:divsChild>
            <w:div w:id="1467892029">
              <w:marLeft w:val="0"/>
              <w:marRight w:val="0"/>
              <w:marTop w:val="0"/>
              <w:marBottom w:val="0"/>
              <w:divBdr>
                <w:top w:val="none" w:sz="0" w:space="0" w:color="auto"/>
                <w:left w:val="none" w:sz="0" w:space="0" w:color="auto"/>
                <w:bottom w:val="none" w:sz="0" w:space="0" w:color="auto"/>
                <w:right w:val="none" w:sz="0" w:space="0" w:color="auto"/>
              </w:divBdr>
              <w:divsChild>
                <w:div w:id="48551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72183">
      <w:bodyDiv w:val="1"/>
      <w:marLeft w:val="0"/>
      <w:marRight w:val="0"/>
      <w:marTop w:val="0"/>
      <w:marBottom w:val="0"/>
      <w:divBdr>
        <w:top w:val="none" w:sz="0" w:space="0" w:color="auto"/>
        <w:left w:val="none" w:sz="0" w:space="0" w:color="auto"/>
        <w:bottom w:val="none" w:sz="0" w:space="0" w:color="auto"/>
        <w:right w:val="none" w:sz="0" w:space="0" w:color="auto"/>
      </w:divBdr>
    </w:div>
    <w:div w:id="873228099">
      <w:bodyDiv w:val="1"/>
      <w:marLeft w:val="0"/>
      <w:marRight w:val="0"/>
      <w:marTop w:val="0"/>
      <w:marBottom w:val="0"/>
      <w:divBdr>
        <w:top w:val="none" w:sz="0" w:space="0" w:color="auto"/>
        <w:left w:val="none" w:sz="0" w:space="0" w:color="auto"/>
        <w:bottom w:val="none" w:sz="0" w:space="0" w:color="auto"/>
        <w:right w:val="none" w:sz="0" w:space="0" w:color="auto"/>
      </w:divBdr>
    </w:div>
    <w:div w:id="983775562">
      <w:bodyDiv w:val="1"/>
      <w:marLeft w:val="0"/>
      <w:marRight w:val="0"/>
      <w:marTop w:val="0"/>
      <w:marBottom w:val="0"/>
      <w:divBdr>
        <w:top w:val="none" w:sz="0" w:space="0" w:color="auto"/>
        <w:left w:val="none" w:sz="0" w:space="0" w:color="auto"/>
        <w:bottom w:val="none" w:sz="0" w:space="0" w:color="auto"/>
        <w:right w:val="none" w:sz="0" w:space="0" w:color="auto"/>
      </w:divBdr>
    </w:div>
    <w:div w:id="986057709">
      <w:bodyDiv w:val="1"/>
      <w:marLeft w:val="0"/>
      <w:marRight w:val="0"/>
      <w:marTop w:val="0"/>
      <w:marBottom w:val="0"/>
      <w:divBdr>
        <w:top w:val="none" w:sz="0" w:space="0" w:color="auto"/>
        <w:left w:val="none" w:sz="0" w:space="0" w:color="auto"/>
        <w:bottom w:val="none" w:sz="0" w:space="0" w:color="auto"/>
        <w:right w:val="none" w:sz="0" w:space="0" w:color="auto"/>
      </w:divBdr>
    </w:div>
    <w:div w:id="994260120">
      <w:bodyDiv w:val="1"/>
      <w:marLeft w:val="0"/>
      <w:marRight w:val="0"/>
      <w:marTop w:val="0"/>
      <w:marBottom w:val="0"/>
      <w:divBdr>
        <w:top w:val="none" w:sz="0" w:space="0" w:color="auto"/>
        <w:left w:val="none" w:sz="0" w:space="0" w:color="auto"/>
        <w:bottom w:val="none" w:sz="0" w:space="0" w:color="auto"/>
        <w:right w:val="none" w:sz="0" w:space="0" w:color="auto"/>
      </w:divBdr>
    </w:div>
    <w:div w:id="1066536873">
      <w:bodyDiv w:val="1"/>
      <w:marLeft w:val="0"/>
      <w:marRight w:val="0"/>
      <w:marTop w:val="0"/>
      <w:marBottom w:val="0"/>
      <w:divBdr>
        <w:top w:val="none" w:sz="0" w:space="0" w:color="auto"/>
        <w:left w:val="none" w:sz="0" w:space="0" w:color="auto"/>
        <w:bottom w:val="none" w:sz="0" w:space="0" w:color="auto"/>
        <w:right w:val="none" w:sz="0" w:space="0" w:color="auto"/>
      </w:divBdr>
      <w:divsChild>
        <w:div w:id="542179410">
          <w:marLeft w:val="0"/>
          <w:marRight w:val="0"/>
          <w:marTop w:val="0"/>
          <w:marBottom w:val="0"/>
          <w:divBdr>
            <w:top w:val="none" w:sz="0" w:space="0" w:color="auto"/>
            <w:left w:val="none" w:sz="0" w:space="0" w:color="auto"/>
            <w:bottom w:val="none" w:sz="0" w:space="0" w:color="auto"/>
            <w:right w:val="none" w:sz="0" w:space="0" w:color="auto"/>
          </w:divBdr>
          <w:divsChild>
            <w:div w:id="1440954209">
              <w:marLeft w:val="0"/>
              <w:marRight w:val="0"/>
              <w:marTop w:val="0"/>
              <w:marBottom w:val="0"/>
              <w:divBdr>
                <w:top w:val="none" w:sz="0" w:space="0" w:color="auto"/>
                <w:left w:val="none" w:sz="0" w:space="0" w:color="auto"/>
                <w:bottom w:val="none" w:sz="0" w:space="0" w:color="auto"/>
                <w:right w:val="none" w:sz="0" w:space="0" w:color="auto"/>
              </w:divBdr>
              <w:divsChild>
                <w:div w:id="61721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358764">
      <w:bodyDiv w:val="1"/>
      <w:marLeft w:val="0"/>
      <w:marRight w:val="0"/>
      <w:marTop w:val="0"/>
      <w:marBottom w:val="0"/>
      <w:divBdr>
        <w:top w:val="none" w:sz="0" w:space="0" w:color="auto"/>
        <w:left w:val="none" w:sz="0" w:space="0" w:color="auto"/>
        <w:bottom w:val="none" w:sz="0" w:space="0" w:color="auto"/>
        <w:right w:val="none" w:sz="0" w:space="0" w:color="auto"/>
      </w:divBdr>
    </w:div>
    <w:div w:id="1223098722">
      <w:bodyDiv w:val="1"/>
      <w:marLeft w:val="0"/>
      <w:marRight w:val="0"/>
      <w:marTop w:val="0"/>
      <w:marBottom w:val="0"/>
      <w:divBdr>
        <w:top w:val="none" w:sz="0" w:space="0" w:color="auto"/>
        <w:left w:val="none" w:sz="0" w:space="0" w:color="auto"/>
        <w:bottom w:val="none" w:sz="0" w:space="0" w:color="auto"/>
        <w:right w:val="none" w:sz="0" w:space="0" w:color="auto"/>
      </w:divBdr>
    </w:div>
    <w:div w:id="1254165109">
      <w:bodyDiv w:val="1"/>
      <w:marLeft w:val="0"/>
      <w:marRight w:val="0"/>
      <w:marTop w:val="0"/>
      <w:marBottom w:val="0"/>
      <w:divBdr>
        <w:top w:val="none" w:sz="0" w:space="0" w:color="auto"/>
        <w:left w:val="none" w:sz="0" w:space="0" w:color="auto"/>
        <w:bottom w:val="none" w:sz="0" w:space="0" w:color="auto"/>
        <w:right w:val="none" w:sz="0" w:space="0" w:color="auto"/>
      </w:divBdr>
    </w:div>
    <w:div w:id="1296640505">
      <w:bodyDiv w:val="1"/>
      <w:marLeft w:val="0"/>
      <w:marRight w:val="0"/>
      <w:marTop w:val="0"/>
      <w:marBottom w:val="0"/>
      <w:divBdr>
        <w:top w:val="none" w:sz="0" w:space="0" w:color="auto"/>
        <w:left w:val="none" w:sz="0" w:space="0" w:color="auto"/>
        <w:bottom w:val="none" w:sz="0" w:space="0" w:color="auto"/>
        <w:right w:val="none" w:sz="0" w:space="0" w:color="auto"/>
      </w:divBdr>
    </w:div>
    <w:div w:id="1308821687">
      <w:bodyDiv w:val="1"/>
      <w:marLeft w:val="0"/>
      <w:marRight w:val="0"/>
      <w:marTop w:val="0"/>
      <w:marBottom w:val="0"/>
      <w:divBdr>
        <w:top w:val="none" w:sz="0" w:space="0" w:color="auto"/>
        <w:left w:val="none" w:sz="0" w:space="0" w:color="auto"/>
        <w:bottom w:val="none" w:sz="0" w:space="0" w:color="auto"/>
        <w:right w:val="none" w:sz="0" w:space="0" w:color="auto"/>
      </w:divBdr>
    </w:div>
    <w:div w:id="1311133364">
      <w:bodyDiv w:val="1"/>
      <w:marLeft w:val="0"/>
      <w:marRight w:val="0"/>
      <w:marTop w:val="0"/>
      <w:marBottom w:val="0"/>
      <w:divBdr>
        <w:top w:val="none" w:sz="0" w:space="0" w:color="auto"/>
        <w:left w:val="none" w:sz="0" w:space="0" w:color="auto"/>
        <w:bottom w:val="none" w:sz="0" w:space="0" w:color="auto"/>
        <w:right w:val="none" w:sz="0" w:space="0" w:color="auto"/>
      </w:divBdr>
    </w:div>
    <w:div w:id="1382486496">
      <w:bodyDiv w:val="1"/>
      <w:marLeft w:val="0"/>
      <w:marRight w:val="0"/>
      <w:marTop w:val="0"/>
      <w:marBottom w:val="0"/>
      <w:divBdr>
        <w:top w:val="none" w:sz="0" w:space="0" w:color="auto"/>
        <w:left w:val="none" w:sz="0" w:space="0" w:color="auto"/>
        <w:bottom w:val="none" w:sz="0" w:space="0" w:color="auto"/>
        <w:right w:val="none" w:sz="0" w:space="0" w:color="auto"/>
      </w:divBdr>
      <w:divsChild>
        <w:div w:id="2009164256">
          <w:marLeft w:val="0"/>
          <w:marRight w:val="0"/>
          <w:marTop w:val="0"/>
          <w:marBottom w:val="0"/>
          <w:divBdr>
            <w:top w:val="none" w:sz="0" w:space="0" w:color="auto"/>
            <w:left w:val="none" w:sz="0" w:space="0" w:color="auto"/>
            <w:bottom w:val="none" w:sz="0" w:space="0" w:color="auto"/>
            <w:right w:val="none" w:sz="0" w:space="0" w:color="auto"/>
          </w:divBdr>
          <w:divsChild>
            <w:div w:id="1496602860">
              <w:marLeft w:val="0"/>
              <w:marRight w:val="0"/>
              <w:marTop w:val="0"/>
              <w:marBottom w:val="0"/>
              <w:divBdr>
                <w:top w:val="none" w:sz="0" w:space="0" w:color="auto"/>
                <w:left w:val="none" w:sz="0" w:space="0" w:color="auto"/>
                <w:bottom w:val="none" w:sz="0" w:space="0" w:color="auto"/>
                <w:right w:val="none" w:sz="0" w:space="0" w:color="auto"/>
              </w:divBdr>
              <w:divsChild>
                <w:div w:id="10192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14705">
      <w:bodyDiv w:val="1"/>
      <w:marLeft w:val="0"/>
      <w:marRight w:val="0"/>
      <w:marTop w:val="0"/>
      <w:marBottom w:val="0"/>
      <w:divBdr>
        <w:top w:val="none" w:sz="0" w:space="0" w:color="auto"/>
        <w:left w:val="none" w:sz="0" w:space="0" w:color="auto"/>
        <w:bottom w:val="none" w:sz="0" w:space="0" w:color="auto"/>
        <w:right w:val="none" w:sz="0" w:space="0" w:color="auto"/>
      </w:divBdr>
    </w:div>
    <w:div w:id="1473985946">
      <w:bodyDiv w:val="1"/>
      <w:marLeft w:val="0"/>
      <w:marRight w:val="0"/>
      <w:marTop w:val="0"/>
      <w:marBottom w:val="0"/>
      <w:divBdr>
        <w:top w:val="none" w:sz="0" w:space="0" w:color="auto"/>
        <w:left w:val="none" w:sz="0" w:space="0" w:color="auto"/>
        <w:bottom w:val="none" w:sz="0" w:space="0" w:color="auto"/>
        <w:right w:val="none" w:sz="0" w:space="0" w:color="auto"/>
      </w:divBdr>
    </w:div>
    <w:div w:id="1486623013">
      <w:bodyDiv w:val="1"/>
      <w:marLeft w:val="0"/>
      <w:marRight w:val="0"/>
      <w:marTop w:val="0"/>
      <w:marBottom w:val="0"/>
      <w:divBdr>
        <w:top w:val="none" w:sz="0" w:space="0" w:color="auto"/>
        <w:left w:val="none" w:sz="0" w:space="0" w:color="auto"/>
        <w:bottom w:val="none" w:sz="0" w:space="0" w:color="auto"/>
        <w:right w:val="none" w:sz="0" w:space="0" w:color="auto"/>
      </w:divBdr>
      <w:divsChild>
        <w:div w:id="1562791977">
          <w:marLeft w:val="0"/>
          <w:marRight w:val="0"/>
          <w:marTop w:val="0"/>
          <w:marBottom w:val="0"/>
          <w:divBdr>
            <w:top w:val="none" w:sz="0" w:space="0" w:color="auto"/>
            <w:left w:val="none" w:sz="0" w:space="0" w:color="auto"/>
            <w:bottom w:val="none" w:sz="0" w:space="0" w:color="auto"/>
            <w:right w:val="none" w:sz="0" w:space="0" w:color="auto"/>
          </w:divBdr>
          <w:divsChild>
            <w:div w:id="1514103353">
              <w:marLeft w:val="0"/>
              <w:marRight w:val="0"/>
              <w:marTop w:val="0"/>
              <w:marBottom w:val="0"/>
              <w:divBdr>
                <w:top w:val="none" w:sz="0" w:space="0" w:color="auto"/>
                <w:left w:val="none" w:sz="0" w:space="0" w:color="auto"/>
                <w:bottom w:val="none" w:sz="0" w:space="0" w:color="auto"/>
                <w:right w:val="none" w:sz="0" w:space="0" w:color="auto"/>
              </w:divBdr>
              <w:divsChild>
                <w:div w:id="100247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273663">
      <w:bodyDiv w:val="1"/>
      <w:marLeft w:val="0"/>
      <w:marRight w:val="0"/>
      <w:marTop w:val="0"/>
      <w:marBottom w:val="0"/>
      <w:divBdr>
        <w:top w:val="none" w:sz="0" w:space="0" w:color="auto"/>
        <w:left w:val="none" w:sz="0" w:space="0" w:color="auto"/>
        <w:bottom w:val="none" w:sz="0" w:space="0" w:color="auto"/>
        <w:right w:val="none" w:sz="0" w:space="0" w:color="auto"/>
      </w:divBdr>
    </w:div>
    <w:div w:id="1512833648">
      <w:bodyDiv w:val="1"/>
      <w:marLeft w:val="0"/>
      <w:marRight w:val="0"/>
      <w:marTop w:val="0"/>
      <w:marBottom w:val="0"/>
      <w:divBdr>
        <w:top w:val="none" w:sz="0" w:space="0" w:color="auto"/>
        <w:left w:val="none" w:sz="0" w:space="0" w:color="auto"/>
        <w:bottom w:val="none" w:sz="0" w:space="0" w:color="auto"/>
        <w:right w:val="none" w:sz="0" w:space="0" w:color="auto"/>
      </w:divBdr>
    </w:div>
    <w:div w:id="1512913112">
      <w:bodyDiv w:val="1"/>
      <w:marLeft w:val="0"/>
      <w:marRight w:val="0"/>
      <w:marTop w:val="0"/>
      <w:marBottom w:val="0"/>
      <w:divBdr>
        <w:top w:val="none" w:sz="0" w:space="0" w:color="auto"/>
        <w:left w:val="none" w:sz="0" w:space="0" w:color="auto"/>
        <w:bottom w:val="none" w:sz="0" w:space="0" w:color="auto"/>
        <w:right w:val="none" w:sz="0" w:space="0" w:color="auto"/>
      </w:divBdr>
    </w:div>
    <w:div w:id="1554269269">
      <w:bodyDiv w:val="1"/>
      <w:marLeft w:val="0"/>
      <w:marRight w:val="0"/>
      <w:marTop w:val="0"/>
      <w:marBottom w:val="0"/>
      <w:divBdr>
        <w:top w:val="none" w:sz="0" w:space="0" w:color="auto"/>
        <w:left w:val="none" w:sz="0" w:space="0" w:color="auto"/>
        <w:bottom w:val="none" w:sz="0" w:space="0" w:color="auto"/>
        <w:right w:val="none" w:sz="0" w:space="0" w:color="auto"/>
      </w:divBdr>
    </w:div>
    <w:div w:id="1577548737">
      <w:bodyDiv w:val="1"/>
      <w:marLeft w:val="0"/>
      <w:marRight w:val="0"/>
      <w:marTop w:val="0"/>
      <w:marBottom w:val="0"/>
      <w:divBdr>
        <w:top w:val="none" w:sz="0" w:space="0" w:color="auto"/>
        <w:left w:val="none" w:sz="0" w:space="0" w:color="auto"/>
        <w:bottom w:val="none" w:sz="0" w:space="0" w:color="auto"/>
        <w:right w:val="none" w:sz="0" w:space="0" w:color="auto"/>
      </w:divBdr>
      <w:divsChild>
        <w:div w:id="766274224">
          <w:marLeft w:val="0"/>
          <w:marRight w:val="0"/>
          <w:marTop w:val="0"/>
          <w:marBottom w:val="450"/>
          <w:divBdr>
            <w:top w:val="none" w:sz="0" w:space="0" w:color="auto"/>
            <w:left w:val="none" w:sz="0" w:space="0" w:color="auto"/>
            <w:bottom w:val="none" w:sz="0" w:space="0" w:color="auto"/>
            <w:right w:val="none" w:sz="0" w:space="0" w:color="auto"/>
          </w:divBdr>
          <w:divsChild>
            <w:div w:id="767038790">
              <w:marLeft w:val="0"/>
              <w:marRight w:val="0"/>
              <w:marTop w:val="0"/>
              <w:marBottom w:val="0"/>
              <w:divBdr>
                <w:top w:val="none" w:sz="0" w:space="0" w:color="auto"/>
                <w:left w:val="none" w:sz="0" w:space="0" w:color="auto"/>
                <w:bottom w:val="none" w:sz="0" w:space="0" w:color="auto"/>
                <w:right w:val="none" w:sz="0" w:space="0" w:color="auto"/>
              </w:divBdr>
              <w:divsChild>
                <w:div w:id="136608314">
                  <w:marLeft w:val="0"/>
                  <w:marRight w:val="0"/>
                  <w:marTop w:val="0"/>
                  <w:marBottom w:val="0"/>
                  <w:divBdr>
                    <w:top w:val="none" w:sz="0" w:space="0" w:color="auto"/>
                    <w:left w:val="none" w:sz="0" w:space="0" w:color="auto"/>
                    <w:bottom w:val="none" w:sz="0" w:space="0" w:color="auto"/>
                    <w:right w:val="none" w:sz="0" w:space="0" w:color="auto"/>
                  </w:divBdr>
                  <w:divsChild>
                    <w:div w:id="1239248363">
                      <w:marLeft w:val="0"/>
                      <w:marRight w:val="0"/>
                      <w:marTop w:val="0"/>
                      <w:marBottom w:val="0"/>
                      <w:divBdr>
                        <w:top w:val="none" w:sz="0" w:space="0" w:color="auto"/>
                        <w:left w:val="none" w:sz="0" w:space="0" w:color="auto"/>
                        <w:bottom w:val="none" w:sz="0" w:space="0" w:color="auto"/>
                        <w:right w:val="none" w:sz="0" w:space="0" w:color="auto"/>
                      </w:divBdr>
                      <w:divsChild>
                        <w:div w:id="919633047">
                          <w:marLeft w:val="0"/>
                          <w:marRight w:val="1911"/>
                          <w:marTop w:val="0"/>
                          <w:marBottom w:val="0"/>
                          <w:divBdr>
                            <w:top w:val="none" w:sz="0" w:space="0" w:color="auto"/>
                            <w:left w:val="none" w:sz="0" w:space="0" w:color="auto"/>
                            <w:bottom w:val="none" w:sz="0" w:space="0" w:color="auto"/>
                            <w:right w:val="none" w:sz="0" w:space="0" w:color="auto"/>
                          </w:divBdr>
                          <w:divsChild>
                            <w:div w:id="1245532013">
                              <w:marLeft w:val="1465"/>
                              <w:marRight w:val="400"/>
                              <w:marTop w:val="0"/>
                              <w:marBottom w:val="0"/>
                              <w:divBdr>
                                <w:top w:val="none" w:sz="0" w:space="0" w:color="auto"/>
                                <w:left w:val="none" w:sz="0" w:space="0" w:color="auto"/>
                                <w:bottom w:val="none" w:sz="0" w:space="0" w:color="auto"/>
                                <w:right w:val="none" w:sz="0" w:space="0" w:color="auto"/>
                              </w:divBdr>
                              <w:divsChild>
                                <w:div w:id="1945569419">
                                  <w:marLeft w:val="0"/>
                                  <w:marRight w:val="0"/>
                                  <w:marTop w:val="0"/>
                                  <w:marBottom w:val="0"/>
                                  <w:divBdr>
                                    <w:top w:val="none" w:sz="0" w:space="0" w:color="auto"/>
                                    <w:left w:val="none" w:sz="0" w:space="0" w:color="auto"/>
                                    <w:bottom w:val="single" w:sz="6" w:space="11" w:color="EBEBEB"/>
                                    <w:right w:val="none" w:sz="0" w:space="0" w:color="auto"/>
                                  </w:divBdr>
                                  <w:divsChild>
                                    <w:div w:id="52656833">
                                      <w:marLeft w:val="0"/>
                                      <w:marRight w:val="225"/>
                                      <w:marTop w:val="0"/>
                                      <w:marBottom w:val="0"/>
                                      <w:divBdr>
                                        <w:top w:val="none" w:sz="0" w:space="0" w:color="auto"/>
                                        <w:left w:val="none" w:sz="0" w:space="0" w:color="auto"/>
                                        <w:bottom w:val="none" w:sz="0" w:space="0" w:color="auto"/>
                                        <w:right w:val="none" w:sz="0" w:space="0" w:color="auto"/>
                                      </w:divBdr>
                                    </w:div>
                                    <w:div w:id="2009671482">
                                      <w:marLeft w:val="0"/>
                                      <w:marRight w:val="0"/>
                                      <w:marTop w:val="0"/>
                                      <w:marBottom w:val="0"/>
                                      <w:divBdr>
                                        <w:top w:val="none" w:sz="0" w:space="0" w:color="auto"/>
                                        <w:left w:val="none" w:sz="0" w:space="0" w:color="auto"/>
                                        <w:bottom w:val="none" w:sz="0" w:space="0" w:color="auto"/>
                                        <w:right w:val="none" w:sz="0" w:space="0" w:color="auto"/>
                                      </w:divBdr>
                                      <w:divsChild>
                                        <w:div w:id="8135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8071955">
      <w:bodyDiv w:val="1"/>
      <w:marLeft w:val="0"/>
      <w:marRight w:val="0"/>
      <w:marTop w:val="0"/>
      <w:marBottom w:val="0"/>
      <w:divBdr>
        <w:top w:val="none" w:sz="0" w:space="0" w:color="auto"/>
        <w:left w:val="none" w:sz="0" w:space="0" w:color="auto"/>
        <w:bottom w:val="none" w:sz="0" w:space="0" w:color="auto"/>
        <w:right w:val="none" w:sz="0" w:space="0" w:color="auto"/>
      </w:divBdr>
    </w:div>
    <w:div w:id="1629553650">
      <w:bodyDiv w:val="1"/>
      <w:marLeft w:val="0"/>
      <w:marRight w:val="0"/>
      <w:marTop w:val="0"/>
      <w:marBottom w:val="0"/>
      <w:divBdr>
        <w:top w:val="none" w:sz="0" w:space="0" w:color="auto"/>
        <w:left w:val="none" w:sz="0" w:space="0" w:color="auto"/>
        <w:bottom w:val="none" w:sz="0" w:space="0" w:color="auto"/>
        <w:right w:val="none" w:sz="0" w:space="0" w:color="auto"/>
      </w:divBdr>
    </w:div>
    <w:div w:id="1685472305">
      <w:bodyDiv w:val="1"/>
      <w:marLeft w:val="0"/>
      <w:marRight w:val="0"/>
      <w:marTop w:val="0"/>
      <w:marBottom w:val="0"/>
      <w:divBdr>
        <w:top w:val="none" w:sz="0" w:space="0" w:color="auto"/>
        <w:left w:val="none" w:sz="0" w:space="0" w:color="auto"/>
        <w:bottom w:val="none" w:sz="0" w:space="0" w:color="auto"/>
        <w:right w:val="none" w:sz="0" w:space="0" w:color="auto"/>
      </w:divBdr>
    </w:div>
    <w:div w:id="1791246060">
      <w:bodyDiv w:val="1"/>
      <w:marLeft w:val="0"/>
      <w:marRight w:val="0"/>
      <w:marTop w:val="0"/>
      <w:marBottom w:val="0"/>
      <w:divBdr>
        <w:top w:val="none" w:sz="0" w:space="0" w:color="auto"/>
        <w:left w:val="none" w:sz="0" w:space="0" w:color="auto"/>
        <w:bottom w:val="none" w:sz="0" w:space="0" w:color="auto"/>
        <w:right w:val="none" w:sz="0" w:space="0" w:color="auto"/>
      </w:divBdr>
    </w:div>
    <w:div w:id="1819764644">
      <w:bodyDiv w:val="1"/>
      <w:marLeft w:val="0"/>
      <w:marRight w:val="0"/>
      <w:marTop w:val="0"/>
      <w:marBottom w:val="0"/>
      <w:divBdr>
        <w:top w:val="none" w:sz="0" w:space="0" w:color="auto"/>
        <w:left w:val="none" w:sz="0" w:space="0" w:color="auto"/>
        <w:bottom w:val="none" w:sz="0" w:space="0" w:color="auto"/>
        <w:right w:val="none" w:sz="0" w:space="0" w:color="auto"/>
      </w:divBdr>
    </w:div>
    <w:div w:id="1836922128">
      <w:bodyDiv w:val="1"/>
      <w:marLeft w:val="0"/>
      <w:marRight w:val="0"/>
      <w:marTop w:val="0"/>
      <w:marBottom w:val="0"/>
      <w:divBdr>
        <w:top w:val="none" w:sz="0" w:space="0" w:color="auto"/>
        <w:left w:val="none" w:sz="0" w:space="0" w:color="auto"/>
        <w:bottom w:val="none" w:sz="0" w:space="0" w:color="auto"/>
        <w:right w:val="none" w:sz="0" w:space="0" w:color="auto"/>
      </w:divBdr>
    </w:div>
    <w:div w:id="1909537230">
      <w:bodyDiv w:val="1"/>
      <w:marLeft w:val="0"/>
      <w:marRight w:val="0"/>
      <w:marTop w:val="0"/>
      <w:marBottom w:val="0"/>
      <w:divBdr>
        <w:top w:val="none" w:sz="0" w:space="0" w:color="auto"/>
        <w:left w:val="none" w:sz="0" w:space="0" w:color="auto"/>
        <w:bottom w:val="none" w:sz="0" w:space="0" w:color="auto"/>
        <w:right w:val="none" w:sz="0" w:space="0" w:color="auto"/>
      </w:divBdr>
    </w:div>
    <w:div w:id="1911957730">
      <w:bodyDiv w:val="1"/>
      <w:marLeft w:val="0"/>
      <w:marRight w:val="0"/>
      <w:marTop w:val="0"/>
      <w:marBottom w:val="0"/>
      <w:divBdr>
        <w:top w:val="none" w:sz="0" w:space="0" w:color="auto"/>
        <w:left w:val="none" w:sz="0" w:space="0" w:color="auto"/>
        <w:bottom w:val="none" w:sz="0" w:space="0" w:color="auto"/>
        <w:right w:val="none" w:sz="0" w:space="0" w:color="auto"/>
      </w:divBdr>
      <w:divsChild>
        <w:div w:id="758797518">
          <w:marLeft w:val="0"/>
          <w:marRight w:val="0"/>
          <w:marTop w:val="0"/>
          <w:marBottom w:val="0"/>
          <w:divBdr>
            <w:top w:val="none" w:sz="0" w:space="0" w:color="auto"/>
            <w:left w:val="none" w:sz="0" w:space="0" w:color="auto"/>
            <w:bottom w:val="none" w:sz="0" w:space="0" w:color="auto"/>
            <w:right w:val="none" w:sz="0" w:space="0" w:color="auto"/>
          </w:divBdr>
          <w:divsChild>
            <w:div w:id="2059893273">
              <w:marLeft w:val="0"/>
              <w:marRight w:val="0"/>
              <w:marTop w:val="0"/>
              <w:marBottom w:val="0"/>
              <w:divBdr>
                <w:top w:val="none" w:sz="0" w:space="0" w:color="auto"/>
                <w:left w:val="none" w:sz="0" w:space="0" w:color="auto"/>
                <w:bottom w:val="none" w:sz="0" w:space="0" w:color="auto"/>
                <w:right w:val="none" w:sz="0" w:space="0" w:color="auto"/>
              </w:divBdr>
              <w:divsChild>
                <w:div w:id="58098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166664">
      <w:bodyDiv w:val="1"/>
      <w:marLeft w:val="0"/>
      <w:marRight w:val="0"/>
      <w:marTop w:val="0"/>
      <w:marBottom w:val="0"/>
      <w:divBdr>
        <w:top w:val="none" w:sz="0" w:space="0" w:color="auto"/>
        <w:left w:val="none" w:sz="0" w:space="0" w:color="auto"/>
        <w:bottom w:val="none" w:sz="0" w:space="0" w:color="auto"/>
        <w:right w:val="none" w:sz="0" w:space="0" w:color="auto"/>
      </w:divBdr>
    </w:div>
    <w:div w:id="1963414150">
      <w:bodyDiv w:val="1"/>
      <w:marLeft w:val="0"/>
      <w:marRight w:val="0"/>
      <w:marTop w:val="0"/>
      <w:marBottom w:val="0"/>
      <w:divBdr>
        <w:top w:val="none" w:sz="0" w:space="0" w:color="auto"/>
        <w:left w:val="none" w:sz="0" w:space="0" w:color="auto"/>
        <w:bottom w:val="none" w:sz="0" w:space="0" w:color="auto"/>
        <w:right w:val="none" w:sz="0" w:space="0" w:color="auto"/>
      </w:divBdr>
    </w:div>
    <w:div w:id="1987314592">
      <w:bodyDiv w:val="1"/>
      <w:marLeft w:val="0"/>
      <w:marRight w:val="0"/>
      <w:marTop w:val="0"/>
      <w:marBottom w:val="0"/>
      <w:divBdr>
        <w:top w:val="none" w:sz="0" w:space="0" w:color="auto"/>
        <w:left w:val="none" w:sz="0" w:space="0" w:color="auto"/>
        <w:bottom w:val="none" w:sz="0" w:space="0" w:color="auto"/>
        <w:right w:val="none" w:sz="0" w:space="0" w:color="auto"/>
      </w:divBdr>
    </w:div>
    <w:div w:id="2003926632">
      <w:bodyDiv w:val="1"/>
      <w:marLeft w:val="0"/>
      <w:marRight w:val="0"/>
      <w:marTop w:val="0"/>
      <w:marBottom w:val="0"/>
      <w:divBdr>
        <w:top w:val="none" w:sz="0" w:space="0" w:color="auto"/>
        <w:left w:val="none" w:sz="0" w:space="0" w:color="auto"/>
        <w:bottom w:val="none" w:sz="0" w:space="0" w:color="auto"/>
        <w:right w:val="none" w:sz="0" w:space="0" w:color="auto"/>
      </w:divBdr>
    </w:div>
    <w:div w:id="2052998457">
      <w:bodyDiv w:val="1"/>
      <w:marLeft w:val="0"/>
      <w:marRight w:val="0"/>
      <w:marTop w:val="0"/>
      <w:marBottom w:val="0"/>
      <w:divBdr>
        <w:top w:val="none" w:sz="0" w:space="0" w:color="auto"/>
        <w:left w:val="none" w:sz="0" w:space="0" w:color="auto"/>
        <w:bottom w:val="none" w:sz="0" w:space="0" w:color="auto"/>
        <w:right w:val="none" w:sz="0" w:space="0" w:color="auto"/>
      </w:divBdr>
    </w:div>
    <w:div w:id="2056347023">
      <w:bodyDiv w:val="1"/>
      <w:marLeft w:val="0"/>
      <w:marRight w:val="0"/>
      <w:marTop w:val="0"/>
      <w:marBottom w:val="0"/>
      <w:divBdr>
        <w:top w:val="none" w:sz="0" w:space="0" w:color="auto"/>
        <w:left w:val="none" w:sz="0" w:space="0" w:color="auto"/>
        <w:bottom w:val="none" w:sz="0" w:space="0" w:color="auto"/>
        <w:right w:val="none" w:sz="0" w:space="0" w:color="auto"/>
      </w:divBdr>
    </w:div>
    <w:div w:id="2060863131">
      <w:bodyDiv w:val="1"/>
      <w:marLeft w:val="0"/>
      <w:marRight w:val="0"/>
      <w:marTop w:val="0"/>
      <w:marBottom w:val="0"/>
      <w:divBdr>
        <w:top w:val="none" w:sz="0" w:space="0" w:color="auto"/>
        <w:left w:val="none" w:sz="0" w:space="0" w:color="auto"/>
        <w:bottom w:val="none" w:sz="0" w:space="0" w:color="auto"/>
        <w:right w:val="none" w:sz="0" w:space="0" w:color="auto"/>
      </w:divBdr>
      <w:divsChild>
        <w:div w:id="1745029501">
          <w:marLeft w:val="0"/>
          <w:marRight w:val="0"/>
          <w:marTop w:val="0"/>
          <w:marBottom w:val="0"/>
          <w:divBdr>
            <w:top w:val="none" w:sz="0" w:space="0" w:color="auto"/>
            <w:left w:val="none" w:sz="0" w:space="0" w:color="auto"/>
            <w:bottom w:val="none" w:sz="0" w:space="0" w:color="auto"/>
            <w:right w:val="none" w:sz="0" w:space="0" w:color="auto"/>
          </w:divBdr>
          <w:divsChild>
            <w:div w:id="304118952">
              <w:marLeft w:val="0"/>
              <w:marRight w:val="0"/>
              <w:marTop w:val="0"/>
              <w:marBottom w:val="0"/>
              <w:divBdr>
                <w:top w:val="none" w:sz="0" w:space="0" w:color="auto"/>
                <w:left w:val="none" w:sz="0" w:space="0" w:color="auto"/>
                <w:bottom w:val="none" w:sz="0" w:space="0" w:color="auto"/>
                <w:right w:val="none" w:sz="0" w:space="0" w:color="auto"/>
              </w:divBdr>
              <w:divsChild>
                <w:div w:id="560023130">
                  <w:marLeft w:val="0"/>
                  <w:marRight w:val="0"/>
                  <w:marTop w:val="0"/>
                  <w:marBottom w:val="0"/>
                  <w:divBdr>
                    <w:top w:val="none" w:sz="0" w:space="0" w:color="auto"/>
                    <w:left w:val="none" w:sz="0" w:space="0" w:color="auto"/>
                    <w:bottom w:val="none" w:sz="0" w:space="0" w:color="auto"/>
                    <w:right w:val="none" w:sz="0" w:space="0" w:color="auto"/>
                  </w:divBdr>
                  <w:divsChild>
                    <w:div w:id="107042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687798">
      <w:bodyDiv w:val="1"/>
      <w:marLeft w:val="0"/>
      <w:marRight w:val="0"/>
      <w:marTop w:val="0"/>
      <w:marBottom w:val="0"/>
      <w:divBdr>
        <w:top w:val="none" w:sz="0" w:space="0" w:color="auto"/>
        <w:left w:val="none" w:sz="0" w:space="0" w:color="auto"/>
        <w:bottom w:val="none" w:sz="0" w:space="0" w:color="auto"/>
        <w:right w:val="none" w:sz="0" w:space="0" w:color="auto"/>
      </w:divBdr>
      <w:divsChild>
        <w:div w:id="259417729">
          <w:marLeft w:val="0"/>
          <w:marRight w:val="0"/>
          <w:marTop w:val="0"/>
          <w:marBottom w:val="0"/>
          <w:divBdr>
            <w:top w:val="none" w:sz="0" w:space="0" w:color="auto"/>
            <w:left w:val="none" w:sz="0" w:space="0" w:color="auto"/>
            <w:bottom w:val="none" w:sz="0" w:space="0" w:color="auto"/>
            <w:right w:val="none" w:sz="0" w:space="0" w:color="auto"/>
          </w:divBdr>
          <w:divsChild>
            <w:div w:id="5791334">
              <w:marLeft w:val="0"/>
              <w:marRight w:val="0"/>
              <w:marTop w:val="0"/>
              <w:marBottom w:val="0"/>
              <w:divBdr>
                <w:top w:val="none" w:sz="0" w:space="0" w:color="auto"/>
                <w:left w:val="none" w:sz="0" w:space="0" w:color="auto"/>
                <w:bottom w:val="none" w:sz="0" w:space="0" w:color="auto"/>
                <w:right w:val="none" w:sz="0" w:space="0" w:color="auto"/>
              </w:divBdr>
              <w:divsChild>
                <w:div w:id="5696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02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C5AC9-1E7A-4249-B310-E107BEE02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9104</Words>
  <Characters>46784</Characters>
  <Application>Microsoft Office Word</Application>
  <DocSecurity>0</DocSecurity>
  <Lines>687</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Johnson</dc:creator>
  <cp:lastModifiedBy>Marc Johnson</cp:lastModifiedBy>
  <cp:revision>4</cp:revision>
  <dcterms:created xsi:type="dcterms:W3CDTF">2018-11-29T14:34:00Z</dcterms:created>
  <dcterms:modified xsi:type="dcterms:W3CDTF">2018-11-29T14:40:00Z</dcterms:modified>
</cp:coreProperties>
</file>