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BC" w:rsidRPr="006224FE" w:rsidRDefault="00C763BC" w:rsidP="00C763BC">
      <w:pPr>
        <w:spacing w:line="480" w:lineRule="auto"/>
        <w:rPr>
          <w:rFonts w:asciiTheme="minorHAnsi" w:hAnsiTheme="minorHAnsi"/>
          <w:b/>
        </w:rPr>
      </w:pPr>
      <w:r w:rsidRPr="006224FE">
        <w:rPr>
          <w:rFonts w:asciiTheme="minorHAnsi" w:hAnsiTheme="minorHAnsi"/>
          <w:b/>
        </w:rPr>
        <w:t>Authors:</w:t>
      </w:r>
    </w:p>
    <w:p w:rsidR="00C763BC" w:rsidRPr="006224FE" w:rsidRDefault="00C763BC" w:rsidP="00C763BC">
      <w:pPr>
        <w:spacing w:line="480" w:lineRule="auto"/>
        <w:rPr>
          <w:rFonts w:asciiTheme="minorHAnsi" w:hAnsiTheme="minorHAnsi"/>
        </w:rPr>
      </w:pPr>
      <w:r w:rsidRPr="006224FE">
        <w:rPr>
          <w:rFonts w:asciiTheme="minorHAnsi" w:hAnsiTheme="minorHAnsi"/>
        </w:rPr>
        <w:t>Alan Tapp, Professor of Marketing, Bristol Business School</w:t>
      </w:r>
    </w:p>
    <w:p w:rsidR="00C763BC" w:rsidRPr="006224FE" w:rsidRDefault="00AD036C" w:rsidP="00C763BC">
      <w:pPr>
        <w:spacing w:line="480" w:lineRule="auto"/>
        <w:rPr>
          <w:rFonts w:asciiTheme="minorHAnsi" w:hAnsiTheme="minorHAnsi"/>
        </w:rPr>
      </w:pPr>
      <w:hyperlink r:id="rId7" w:history="1">
        <w:r w:rsidR="006224FE" w:rsidRPr="00472CE7">
          <w:rPr>
            <w:rStyle w:val="Hyperlink"/>
            <w:rFonts w:asciiTheme="minorHAnsi" w:eastAsiaTheme="majorEastAsia" w:hAnsiTheme="minorHAnsi"/>
          </w:rPr>
          <w:t>Alan.Tapp@uwe.ac.uk</w:t>
        </w:r>
      </w:hyperlink>
      <w:r w:rsidR="00C763BC" w:rsidRPr="006224FE">
        <w:rPr>
          <w:rFonts w:asciiTheme="minorHAnsi" w:hAnsiTheme="minorHAnsi"/>
        </w:rPr>
        <w:t xml:space="preserve"> </w:t>
      </w:r>
    </w:p>
    <w:p w:rsidR="00C763BC" w:rsidRPr="006224FE" w:rsidRDefault="00C763BC" w:rsidP="00C763BC">
      <w:pPr>
        <w:spacing w:line="480" w:lineRule="auto"/>
        <w:rPr>
          <w:rFonts w:asciiTheme="minorHAnsi" w:hAnsiTheme="minorHAnsi"/>
        </w:rPr>
      </w:pPr>
      <w:r w:rsidRPr="006224FE">
        <w:rPr>
          <w:rFonts w:asciiTheme="minorHAnsi" w:hAnsiTheme="minorHAnsi"/>
        </w:rPr>
        <w:t>Fiona Spotswood, Lecturer in Marketing, Bristol Business School</w:t>
      </w:r>
    </w:p>
    <w:p w:rsidR="00C763BC" w:rsidRPr="006224FE" w:rsidRDefault="00AD036C" w:rsidP="00C763BC">
      <w:pPr>
        <w:spacing w:line="480" w:lineRule="auto"/>
        <w:rPr>
          <w:rFonts w:asciiTheme="minorHAnsi" w:hAnsiTheme="minorHAnsi"/>
        </w:rPr>
      </w:pPr>
      <w:hyperlink r:id="rId8" w:history="1">
        <w:r w:rsidR="006224FE" w:rsidRPr="00472CE7">
          <w:rPr>
            <w:rStyle w:val="Hyperlink"/>
            <w:rFonts w:asciiTheme="minorHAnsi" w:eastAsiaTheme="majorEastAsia" w:hAnsiTheme="minorHAnsi"/>
          </w:rPr>
          <w:t>Fiona2.Spotswood@uwe.ac.uk</w:t>
        </w:r>
      </w:hyperlink>
      <w:r w:rsidR="00C763BC" w:rsidRPr="006224FE">
        <w:rPr>
          <w:rFonts w:asciiTheme="minorHAnsi" w:hAnsiTheme="minorHAnsi"/>
        </w:rPr>
        <w:t>, 07876380762</w:t>
      </w:r>
    </w:p>
    <w:p w:rsidR="00C763BC" w:rsidRPr="006224FE" w:rsidRDefault="00C763BC" w:rsidP="00C763BC">
      <w:pPr>
        <w:spacing w:line="480" w:lineRule="auto"/>
        <w:rPr>
          <w:rFonts w:asciiTheme="minorHAnsi" w:hAnsiTheme="minorHAnsi"/>
        </w:rPr>
      </w:pPr>
    </w:p>
    <w:p w:rsidR="00C763BC" w:rsidRPr="006224FE" w:rsidRDefault="00C763BC" w:rsidP="00C763BC">
      <w:pPr>
        <w:spacing w:line="480" w:lineRule="auto"/>
        <w:rPr>
          <w:rFonts w:asciiTheme="minorHAnsi" w:hAnsiTheme="minorHAnsi"/>
        </w:rPr>
      </w:pPr>
      <w:r w:rsidRPr="006224FE">
        <w:rPr>
          <w:rFonts w:asciiTheme="minorHAnsi" w:hAnsiTheme="minorHAnsi"/>
        </w:rPr>
        <w:t>Bristol Social Marketing Centre</w:t>
      </w:r>
    </w:p>
    <w:p w:rsidR="00C763BC" w:rsidRPr="006224FE" w:rsidRDefault="00C763BC" w:rsidP="00C763BC">
      <w:pPr>
        <w:spacing w:line="480" w:lineRule="auto"/>
        <w:rPr>
          <w:rFonts w:asciiTheme="minorHAnsi" w:hAnsiTheme="minorHAnsi"/>
        </w:rPr>
      </w:pPr>
      <w:r w:rsidRPr="006224FE">
        <w:rPr>
          <w:rFonts w:asciiTheme="minorHAnsi" w:hAnsiTheme="minorHAnsi"/>
        </w:rPr>
        <w:t>University of the West of England</w:t>
      </w:r>
    </w:p>
    <w:p w:rsidR="00C763BC" w:rsidRPr="006224FE" w:rsidRDefault="00C763BC" w:rsidP="00C763BC">
      <w:pPr>
        <w:spacing w:line="480" w:lineRule="auto"/>
        <w:rPr>
          <w:rFonts w:asciiTheme="minorHAnsi" w:hAnsiTheme="minorHAnsi"/>
        </w:rPr>
      </w:pPr>
      <w:r w:rsidRPr="006224FE">
        <w:rPr>
          <w:rFonts w:asciiTheme="minorHAnsi" w:hAnsiTheme="minorHAnsi"/>
        </w:rPr>
        <w:t>Frenchay Campus</w:t>
      </w:r>
    </w:p>
    <w:p w:rsidR="00C763BC" w:rsidRPr="006224FE" w:rsidRDefault="00C763BC" w:rsidP="00C763BC">
      <w:pPr>
        <w:spacing w:line="480" w:lineRule="auto"/>
        <w:rPr>
          <w:rFonts w:asciiTheme="minorHAnsi" w:hAnsiTheme="minorHAnsi"/>
        </w:rPr>
      </w:pPr>
      <w:proofErr w:type="spellStart"/>
      <w:r w:rsidRPr="006224FE">
        <w:rPr>
          <w:rFonts w:asciiTheme="minorHAnsi" w:hAnsiTheme="minorHAnsi"/>
        </w:rPr>
        <w:t>Coldharbour</w:t>
      </w:r>
      <w:proofErr w:type="spellEnd"/>
      <w:r w:rsidRPr="006224FE">
        <w:rPr>
          <w:rFonts w:asciiTheme="minorHAnsi" w:hAnsiTheme="minorHAnsi"/>
        </w:rPr>
        <w:t xml:space="preserve"> Lane</w:t>
      </w:r>
    </w:p>
    <w:p w:rsidR="00C763BC" w:rsidRPr="006224FE" w:rsidRDefault="00C763BC" w:rsidP="00C763BC">
      <w:pPr>
        <w:spacing w:line="480" w:lineRule="auto"/>
        <w:rPr>
          <w:rFonts w:asciiTheme="minorHAnsi" w:hAnsiTheme="minorHAnsi"/>
        </w:rPr>
      </w:pPr>
      <w:r w:rsidRPr="006224FE">
        <w:rPr>
          <w:rFonts w:asciiTheme="minorHAnsi" w:hAnsiTheme="minorHAnsi"/>
        </w:rPr>
        <w:t>Bristol</w:t>
      </w:r>
    </w:p>
    <w:p w:rsidR="00C763BC" w:rsidRPr="006224FE" w:rsidRDefault="00C763BC" w:rsidP="00C763BC">
      <w:pPr>
        <w:spacing w:line="480" w:lineRule="auto"/>
        <w:rPr>
          <w:rFonts w:asciiTheme="minorHAnsi" w:hAnsiTheme="minorHAnsi"/>
        </w:rPr>
      </w:pPr>
      <w:r w:rsidRPr="006224FE">
        <w:rPr>
          <w:rFonts w:asciiTheme="minorHAnsi" w:hAnsiTheme="minorHAnsi"/>
        </w:rPr>
        <w:t>BS16 0QY</w:t>
      </w:r>
    </w:p>
    <w:p w:rsidR="00C763BC" w:rsidRPr="006224FE" w:rsidRDefault="00C763BC" w:rsidP="00C763BC">
      <w:pPr>
        <w:pStyle w:val="Heading1"/>
        <w:spacing w:line="480" w:lineRule="auto"/>
        <w:rPr>
          <w:rFonts w:asciiTheme="minorHAnsi" w:hAnsiTheme="minorHAnsi"/>
          <w:sz w:val="24"/>
          <w:szCs w:val="24"/>
        </w:rPr>
      </w:pPr>
      <w:r w:rsidRPr="006224FE">
        <w:rPr>
          <w:rFonts w:asciiTheme="minorHAnsi" w:hAnsiTheme="minorHAnsi"/>
          <w:sz w:val="24"/>
          <w:szCs w:val="24"/>
        </w:rPr>
        <w:t xml:space="preserve">Title of Paper: </w:t>
      </w:r>
      <w:r w:rsidRPr="006224FE">
        <w:rPr>
          <w:rFonts w:asciiTheme="minorHAnsi" w:hAnsiTheme="minorHAnsi"/>
          <w:b w:val="0"/>
          <w:sz w:val="24"/>
          <w:szCs w:val="24"/>
        </w:rPr>
        <w:t>From transparency to invisibility: the implications of different behaviour change mechanisms for social marketers</w:t>
      </w:r>
      <w:r w:rsidRPr="006224FE">
        <w:rPr>
          <w:rFonts w:asciiTheme="minorHAnsi" w:hAnsiTheme="minorHAnsi"/>
          <w:sz w:val="24"/>
          <w:szCs w:val="24"/>
        </w:rPr>
        <w:t xml:space="preserve"> </w:t>
      </w:r>
    </w:p>
    <w:p w:rsidR="00C763BC" w:rsidRPr="006224FE" w:rsidRDefault="00C763BC" w:rsidP="00C763BC">
      <w:pPr>
        <w:spacing w:line="480" w:lineRule="auto"/>
        <w:rPr>
          <w:rFonts w:asciiTheme="minorHAnsi" w:hAnsiTheme="minorHAnsi"/>
        </w:rPr>
      </w:pPr>
      <w:r w:rsidRPr="006224FE">
        <w:rPr>
          <w:rFonts w:asciiTheme="minorHAnsi" w:hAnsiTheme="minorHAnsi"/>
          <w:b/>
        </w:rPr>
        <w:t xml:space="preserve">Form of presentation: </w:t>
      </w:r>
      <w:r w:rsidRPr="006224FE">
        <w:rPr>
          <w:rFonts w:asciiTheme="minorHAnsi" w:hAnsiTheme="minorHAnsi"/>
        </w:rPr>
        <w:t>Seminar presentation</w:t>
      </w:r>
    </w:p>
    <w:p w:rsidR="00C763BC" w:rsidRPr="006224FE" w:rsidRDefault="00C763BC" w:rsidP="00C763BC">
      <w:pPr>
        <w:spacing w:line="480" w:lineRule="auto"/>
        <w:rPr>
          <w:rFonts w:asciiTheme="minorHAnsi" w:hAnsiTheme="minorHAnsi"/>
        </w:rPr>
      </w:pPr>
      <w:r w:rsidRPr="006224FE">
        <w:rPr>
          <w:rFonts w:asciiTheme="minorHAnsi" w:hAnsiTheme="minorHAnsi"/>
          <w:b/>
        </w:rPr>
        <w:t xml:space="preserve">General subject area: </w:t>
      </w:r>
      <w:r w:rsidRPr="006224FE">
        <w:rPr>
          <w:rFonts w:asciiTheme="minorHAnsi" w:hAnsiTheme="minorHAnsi"/>
        </w:rPr>
        <w:t>Behaviour change, mechanisms</w:t>
      </w:r>
    </w:p>
    <w:p w:rsidR="00C763BC" w:rsidRPr="006224FE" w:rsidRDefault="00C763BC" w:rsidP="00C763BC">
      <w:pPr>
        <w:spacing w:line="480" w:lineRule="auto"/>
        <w:rPr>
          <w:rFonts w:asciiTheme="minorHAnsi" w:hAnsiTheme="minorHAnsi"/>
        </w:rPr>
      </w:pPr>
      <w:r w:rsidRPr="006224FE">
        <w:rPr>
          <w:rFonts w:asciiTheme="minorHAnsi" w:hAnsiTheme="minorHAnsi"/>
          <w:b/>
        </w:rPr>
        <w:t xml:space="preserve">Method: </w:t>
      </w:r>
      <w:r w:rsidRPr="006224FE">
        <w:rPr>
          <w:rFonts w:asciiTheme="minorHAnsi" w:hAnsiTheme="minorHAnsi"/>
        </w:rPr>
        <w:t xml:space="preserve">Conceptual paper </w:t>
      </w:r>
    </w:p>
    <w:p w:rsidR="00C763BC" w:rsidRPr="006224FE" w:rsidRDefault="00C763BC" w:rsidP="00C763BC">
      <w:pPr>
        <w:spacing w:line="480" w:lineRule="auto"/>
        <w:rPr>
          <w:rFonts w:asciiTheme="minorHAnsi" w:hAnsiTheme="minorHAnsi"/>
        </w:rPr>
      </w:pPr>
      <w:r w:rsidRPr="006224FE">
        <w:rPr>
          <w:rFonts w:asciiTheme="minorHAnsi" w:hAnsiTheme="minorHAnsi"/>
        </w:rPr>
        <w:br w:type="page"/>
      </w:r>
    </w:p>
    <w:p w:rsidR="00C763BC" w:rsidRPr="006224FE" w:rsidRDefault="00C763BC" w:rsidP="00C763BC">
      <w:pPr>
        <w:pStyle w:val="Heading1"/>
        <w:spacing w:line="480" w:lineRule="auto"/>
        <w:jc w:val="center"/>
        <w:rPr>
          <w:rFonts w:asciiTheme="minorHAnsi" w:hAnsiTheme="minorHAnsi"/>
          <w:sz w:val="24"/>
          <w:szCs w:val="24"/>
        </w:rPr>
      </w:pPr>
      <w:r w:rsidRPr="006224FE">
        <w:rPr>
          <w:rFonts w:asciiTheme="minorHAnsi" w:hAnsiTheme="minorHAnsi"/>
          <w:sz w:val="24"/>
          <w:szCs w:val="24"/>
        </w:rPr>
        <w:lastRenderedPageBreak/>
        <w:t xml:space="preserve">FROM TRANSPARENCY TO INVISIBILITY: THE IMPLICATIONS OF DIFFERENT BEHAVIOUR CHANGE MECHANISMS FOR SOCIAL MARKETERS </w:t>
      </w:r>
    </w:p>
    <w:p w:rsidR="00C763BC" w:rsidRPr="006224FE" w:rsidRDefault="00C763BC" w:rsidP="000F600A">
      <w:pPr>
        <w:spacing w:line="480" w:lineRule="auto"/>
        <w:rPr>
          <w:rFonts w:asciiTheme="minorHAnsi" w:hAnsiTheme="minorHAnsi"/>
          <w:b/>
        </w:rPr>
      </w:pPr>
      <w:r w:rsidRPr="006224FE">
        <w:rPr>
          <w:rFonts w:asciiTheme="minorHAnsi" w:hAnsiTheme="minorHAnsi"/>
          <w:b/>
        </w:rPr>
        <w:t>Abstract</w:t>
      </w:r>
    </w:p>
    <w:p w:rsidR="00C763BC" w:rsidRPr="006224FE" w:rsidRDefault="0075468A" w:rsidP="000F600A">
      <w:pPr>
        <w:spacing w:line="480" w:lineRule="auto"/>
        <w:rPr>
          <w:rFonts w:asciiTheme="minorHAnsi" w:hAnsiTheme="minorHAnsi"/>
        </w:rPr>
      </w:pPr>
      <w:r w:rsidRPr="006224FE">
        <w:rPr>
          <w:rFonts w:asciiTheme="minorHAnsi" w:hAnsiTheme="minorHAnsi"/>
        </w:rPr>
        <w:t xml:space="preserve">This paper introduces the concept of a transparency-invisibility spectrum of social marketing approaches to behaviour change. The literature has </w:t>
      </w:r>
      <w:r w:rsidR="0012626C" w:rsidRPr="006224FE">
        <w:rPr>
          <w:rFonts w:asciiTheme="minorHAnsi" w:hAnsiTheme="minorHAnsi"/>
        </w:rPr>
        <w:t xml:space="preserve">tended to emphasise </w:t>
      </w:r>
      <w:r w:rsidRPr="006224FE">
        <w:rPr>
          <w:rFonts w:asciiTheme="minorHAnsi" w:hAnsiTheme="minorHAnsi"/>
        </w:rPr>
        <w:t xml:space="preserve">cognitive exchange as a basis for the value-based social marketing offering. </w:t>
      </w:r>
      <w:r w:rsidR="0012626C" w:rsidRPr="006224FE">
        <w:rPr>
          <w:rFonts w:asciiTheme="minorHAnsi" w:hAnsiTheme="minorHAnsi"/>
        </w:rPr>
        <w:t>However t</w:t>
      </w:r>
      <w:r w:rsidRPr="006224FE">
        <w:rPr>
          <w:rFonts w:asciiTheme="minorHAnsi" w:hAnsiTheme="minorHAnsi"/>
        </w:rPr>
        <w:t xml:space="preserve">he authors argue that many behaviours considered to be ‘unhealthy’ for individuals or society are not the result of cognitive processing and will unlikely be changed by engaging the target group in a cognitive dialogue about the offer. ‘Invisible’ approaches, including ‘social </w:t>
      </w:r>
      <w:proofErr w:type="spellStart"/>
      <w:r w:rsidRPr="006224FE">
        <w:rPr>
          <w:rFonts w:asciiTheme="minorHAnsi" w:hAnsiTheme="minorHAnsi"/>
        </w:rPr>
        <w:t>norming</w:t>
      </w:r>
      <w:proofErr w:type="spellEnd"/>
      <w:r w:rsidRPr="006224FE">
        <w:rPr>
          <w:rFonts w:asciiTheme="minorHAnsi" w:hAnsiTheme="minorHAnsi"/>
        </w:rPr>
        <w:t>’, emotional response, choice architecture and habit-formation are likely, in some instances, to be more effective (and particularly for the most resistant groups) and achieve a better ROI for the social marketer.</w:t>
      </w:r>
      <w:r w:rsidR="0012626C" w:rsidRPr="006224FE">
        <w:rPr>
          <w:rFonts w:asciiTheme="minorHAnsi" w:hAnsiTheme="minorHAnsi"/>
        </w:rPr>
        <w:t xml:space="preserve"> The continuum between ‘transparency’ and ‘invisibility’ raises a number of issues which are discussed.</w:t>
      </w:r>
    </w:p>
    <w:p w:rsidR="0075468A" w:rsidRPr="006224FE" w:rsidRDefault="0075468A" w:rsidP="0075468A">
      <w:pPr>
        <w:rPr>
          <w:rFonts w:asciiTheme="minorHAnsi" w:hAnsiTheme="minorHAnsi"/>
          <w:b/>
        </w:rPr>
      </w:pPr>
    </w:p>
    <w:p w:rsidR="0075468A" w:rsidRPr="006224FE" w:rsidRDefault="0075468A" w:rsidP="000F600A">
      <w:pPr>
        <w:spacing w:line="480" w:lineRule="auto"/>
        <w:rPr>
          <w:rFonts w:asciiTheme="minorHAnsi" w:hAnsiTheme="minorHAnsi"/>
          <w:b/>
        </w:rPr>
      </w:pPr>
      <w:r w:rsidRPr="006224FE">
        <w:rPr>
          <w:rFonts w:asciiTheme="minorHAnsi" w:hAnsiTheme="minorHAnsi"/>
          <w:b/>
        </w:rPr>
        <w:t>Introduction</w:t>
      </w:r>
    </w:p>
    <w:p w:rsidR="00FB48EC" w:rsidRPr="006224FE" w:rsidRDefault="002403CC" w:rsidP="000F600A">
      <w:pPr>
        <w:spacing w:line="480" w:lineRule="auto"/>
        <w:rPr>
          <w:rFonts w:asciiTheme="minorHAnsi" w:hAnsiTheme="minorHAnsi"/>
        </w:rPr>
      </w:pPr>
      <w:r w:rsidRPr="006224FE">
        <w:rPr>
          <w:rFonts w:asciiTheme="minorHAnsi" w:hAnsiTheme="minorHAnsi"/>
        </w:rPr>
        <w:t>Cognitive exchange-</w:t>
      </w:r>
      <w:r w:rsidR="00FB48EC" w:rsidRPr="006224FE">
        <w:rPr>
          <w:rFonts w:asciiTheme="minorHAnsi" w:hAnsiTheme="minorHAnsi"/>
        </w:rPr>
        <w:t xml:space="preserve">based social marketing can sometimes be quite straightforward. An offer </w:t>
      </w:r>
      <w:r w:rsidR="004E7FB9" w:rsidRPr="006224FE">
        <w:rPr>
          <w:rFonts w:asciiTheme="minorHAnsi" w:hAnsiTheme="minorHAnsi"/>
        </w:rPr>
        <w:t>is</w:t>
      </w:r>
      <w:r w:rsidR="00FB48EC" w:rsidRPr="006224FE">
        <w:rPr>
          <w:rFonts w:asciiTheme="minorHAnsi" w:hAnsiTheme="minorHAnsi"/>
        </w:rPr>
        <w:t xml:space="preserve"> made in return for a defined behaviour change, </w:t>
      </w:r>
      <w:r w:rsidR="004E7FB9" w:rsidRPr="006224FE">
        <w:rPr>
          <w:rFonts w:asciiTheme="minorHAnsi" w:hAnsiTheme="minorHAnsi"/>
        </w:rPr>
        <w:t>which is</w:t>
      </w:r>
      <w:r w:rsidR="00FB48EC" w:rsidRPr="006224FE">
        <w:rPr>
          <w:rFonts w:asciiTheme="minorHAnsi" w:hAnsiTheme="minorHAnsi"/>
        </w:rPr>
        <w:t xml:space="preserve"> accept</w:t>
      </w:r>
      <w:r w:rsidR="004E7FB9" w:rsidRPr="006224FE">
        <w:rPr>
          <w:rFonts w:asciiTheme="minorHAnsi" w:hAnsiTheme="minorHAnsi"/>
        </w:rPr>
        <w:t>ed</w:t>
      </w:r>
      <w:r w:rsidR="00FB48EC" w:rsidRPr="006224FE">
        <w:rPr>
          <w:rFonts w:asciiTheme="minorHAnsi" w:hAnsiTheme="minorHAnsi"/>
        </w:rPr>
        <w:t xml:space="preserve"> or reject</w:t>
      </w:r>
      <w:r w:rsidR="004E7FB9" w:rsidRPr="006224FE">
        <w:rPr>
          <w:rFonts w:asciiTheme="minorHAnsi" w:hAnsiTheme="minorHAnsi"/>
        </w:rPr>
        <w:t>ed by</w:t>
      </w:r>
      <w:r w:rsidR="00FB48EC" w:rsidRPr="006224FE">
        <w:rPr>
          <w:rFonts w:asciiTheme="minorHAnsi" w:hAnsiTheme="minorHAnsi"/>
        </w:rPr>
        <w:t xml:space="preserve"> weighing up the pros and cons. The marketer</w:t>
      </w:r>
      <w:r w:rsidR="004E7FB9" w:rsidRPr="006224FE">
        <w:rPr>
          <w:rFonts w:asciiTheme="minorHAnsi" w:hAnsiTheme="minorHAnsi"/>
        </w:rPr>
        <w:t xml:space="preserve"> </w:t>
      </w:r>
      <w:r w:rsidR="00FB48EC" w:rsidRPr="006224FE">
        <w:rPr>
          <w:rFonts w:asciiTheme="minorHAnsi" w:hAnsiTheme="minorHAnsi"/>
        </w:rPr>
        <w:t>has made a clear calculation that the retur</w:t>
      </w:r>
      <w:r w:rsidR="004E7FB9" w:rsidRPr="006224FE">
        <w:rPr>
          <w:rFonts w:asciiTheme="minorHAnsi" w:hAnsiTheme="minorHAnsi"/>
        </w:rPr>
        <w:t>ns justify the outlay. An example w</w:t>
      </w:r>
      <w:r w:rsidR="00FB48EC" w:rsidRPr="006224FE">
        <w:rPr>
          <w:rFonts w:asciiTheme="minorHAnsi" w:hAnsiTheme="minorHAnsi"/>
        </w:rPr>
        <w:t xml:space="preserve">ould be </w:t>
      </w:r>
      <w:r w:rsidRPr="006224FE">
        <w:rPr>
          <w:rFonts w:asciiTheme="minorHAnsi" w:hAnsiTheme="minorHAnsi"/>
        </w:rPr>
        <w:t>an</w:t>
      </w:r>
      <w:r w:rsidR="00FB48EC" w:rsidRPr="006224FE">
        <w:rPr>
          <w:rFonts w:asciiTheme="minorHAnsi" w:hAnsiTheme="minorHAnsi"/>
        </w:rPr>
        <w:t xml:space="preserve"> offer to save money b</w:t>
      </w:r>
      <w:r w:rsidR="004E7FB9" w:rsidRPr="006224FE">
        <w:rPr>
          <w:rFonts w:asciiTheme="minorHAnsi" w:hAnsiTheme="minorHAnsi"/>
        </w:rPr>
        <w:t>y quit</w:t>
      </w:r>
      <w:r w:rsidR="00757D5E" w:rsidRPr="006224FE">
        <w:rPr>
          <w:rFonts w:asciiTheme="minorHAnsi" w:hAnsiTheme="minorHAnsi"/>
        </w:rPr>
        <w:t>ting</w:t>
      </w:r>
      <w:r w:rsidR="004E7FB9" w:rsidRPr="006224FE">
        <w:rPr>
          <w:rFonts w:asciiTheme="minorHAnsi" w:hAnsiTheme="minorHAnsi"/>
        </w:rPr>
        <w:t xml:space="preserve"> smoking using </w:t>
      </w:r>
      <w:r w:rsidR="00FB48EC" w:rsidRPr="006224FE">
        <w:rPr>
          <w:rFonts w:asciiTheme="minorHAnsi" w:hAnsiTheme="minorHAnsi"/>
        </w:rPr>
        <w:t>NHS services. The marketing proposition is tran</w:t>
      </w:r>
      <w:r w:rsidR="004E7FB9" w:rsidRPr="006224FE">
        <w:rPr>
          <w:rFonts w:asciiTheme="minorHAnsi" w:hAnsiTheme="minorHAnsi"/>
        </w:rPr>
        <w:t xml:space="preserve">sparent in the sense that both </w:t>
      </w:r>
      <w:r w:rsidR="00FB48EC" w:rsidRPr="006224FE">
        <w:rPr>
          <w:rFonts w:asciiTheme="minorHAnsi" w:hAnsiTheme="minorHAnsi"/>
        </w:rPr>
        <w:t xml:space="preserve">audience and marketer are </w:t>
      </w:r>
      <w:r w:rsidR="00F41131" w:rsidRPr="006224FE">
        <w:rPr>
          <w:rFonts w:asciiTheme="minorHAnsi" w:hAnsiTheme="minorHAnsi"/>
        </w:rPr>
        <w:t>fully aware</w:t>
      </w:r>
      <w:r w:rsidR="00FB48EC" w:rsidRPr="006224FE">
        <w:rPr>
          <w:rFonts w:asciiTheme="minorHAnsi" w:hAnsiTheme="minorHAnsi"/>
        </w:rPr>
        <w:t xml:space="preserve"> of the </w:t>
      </w:r>
      <w:r w:rsidR="00F41131" w:rsidRPr="006224FE">
        <w:rPr>
          <w:rFonts w:asciiTheme="minorHAnsi" w:hAnsiTheme="minorHAnsi"/>
        </w:rPr>
        <w:t>exchange</w:t>
      </w:r>
      <w:r w:rsidR="00FB48EC" w:rsidRPr="006224FE">
        <w:rPr>
          <w:rFonts w:asciiTheme="minorHAnsi" w:hAnsiTheme="minorHAnsi"/>
        </w:rPr>
        <w:t xml:space="preserve">. </w:t>
      </w:r>
    </w:p>
    <w:p w:rsidR="00FB48EC" w:rsidRPr="006224FE" w:rsidRDefault="002403CC" w:rsidP="000F600A">
      <w:pPr>
        <w:pStyle w:val="NormalWeb"/>
        <w:spacing w:line="480" w:lineRule="auto"/>
        <w:rPr>
          <w:rFonts w:asciiTheme="minorHAnsi" w:hAnsiTheme="minorHAnsi"/>
        </w:rPr>
      </w:pPr>
      <w:r w:rsidRPr="006224FE">
        <w:rPr>
          <w:rFonts w:asciiTheme="minorHAnsi" w:hAnsiTheme="minorHAnsi"/>
        </w:rPr>
        <w:t>In</w:t>
      </w:r>
      <w:r w:rsidR="004E7FB9" w:rsidRPr="006224FE">
        <w:rPr>
          <w:rFonts w:asciiTheme="minorHAnsi" w:hAnsiTheme="minorHAnsi"/>
        </w:rPr>
        <w:t xml:space="preserve"> contrast</w:t>
      </w:r>
      <w:r w:rsidR="00FB48EC" w:rsidRPr="006224FE">
        <w:rPr>
          <w:rFonts w:asciiTheme="minorHAnsi" w:hAnsiTheme="minorHAnsi"/>
        </w:rPr>
        <w:t xml:space="preserve"> are </w:t>
      </w:r>
      <w:r w:rsidR="00D7616D" w:rsidRPr="006224FE">
        <w:rPr>
          <w:rFonts w:asciiTheme="minorHAnsi" w:hAnsiTheme="minorHAnsi"/>
        </w:rPr>
        <w:t xml:space="preserve">those </w:t>
      </w:r>
      <w:r w:rsidR="00FB48EC" w:rsidRPr="006224FE">
        <w:rPr>
          <w:rFonts w:asciiTheme="minorHAnsi" w:hAnsiTheme="minorHAnsi"/>
        </w:rPr>
        <w:t>interventions linked to the underlying soci</w:t>
      </w:r>
      <w:r w:rsidR="004E7FB9" w:rsidRPr="006224FE">
        <w:rPr>
          <w:rFonts w:asciiTheme="minorHAnsi" w:hAnsiTheme="minorHAnsi"/>
        </w:rPr>
        <w:t>o-cultural</w:t>
      </w:r>
      <w:r w:rsidR="00FB48EC" w:rsidRPr="006224FE">
        <w:rPr>
          <w:rFonts w:asciiTheme="minorHAnsi" w:hAnsiTheme="minorHAnsi"/>
        </w:rPr>
        <w:t xml:space="preserve"> or environmental structures which often </w:t>
      </w:r>
      <w:r w:rsidRPr="006224FE">
        <w:rPr>
          <w:rFonts w:asciiTheme="minorHAnsi" w:hAnsiTheme="minorHAnsi"/>
        </w:rPr>
        <w:t>underpin</w:t>
      </w:r>
      <w:r w:rsidR="004E7FB9" w:rsidRPr="006224FE">
        <w:rPr>
          <w:rFonts w:asciiTheme="minorHAnsi" w:hAnsiTheme="minorHAnsi"/>
        </w:rPr>
        <w:t xml:space="preserve"> </w:t>
      </w:r>
      <w:r w:rsidR="00FB48EC" w:rsidRPr="006224FE">
        <w:rPr>
          <w:rFonts w:asciiTheme="minorHAnsi" w:hAnsiTheme="minorHAnsi"/>
        </w:rPr>
        <w:t>unhealthy behaviours</w:t>
      </w:r>
      <w:r w:rsidR="004E7FB9" w:rsidRPr="006224FE">
        <w:rPr>
          <w:rFonts w:asciiTheme="minorHAnsi" w:hAnsiTheme="minorHAnsi"/>
        </w:rPr>
        <w:t xml:space="preserve"> </w:t>
      </w:r>
      <w:r w:rsidR="00AD036C" w:rsidRPr="006224FE">
        <w:rPr>
          <w:rFonts w:asciiTheme="minorHAnsi" w:hAnsiTheme="minorHAnsi"/>
        </w:rPr>
        <w:fldChar w:fldCharType="begin"/>
      </w:r>
      <w:r w:rsidR="004E7FB9" w:rsidRPr="006224FE">
        <w:rPr>
          <w:rFonts w:asciiTheme="minorHAnsi" w:hAnsiTheme="minorHAnsi"/>
        </w:rPr>
        <w:instrText>ADDIN RW.CITE{{286 Bourdieu,P. 1985}}</w:instrText>
      </w:r>
      <w:r w:rsidR="00AD036C" w:rsidRPr="006224FE">
        <w:rPr>
          <w:rFonts w:asciiTheme="minorHAnsi" w:hAnsiTheme="minorHAnsi"/>
        </w:rPr>
        <w:fldChar w:fldCharType="separate"/>
      </w:r>
      <w:r w:rsidR="00446CFB" w:rsidRPr="006224FE">
        <w:rPr>
          <w:rFonts w:asciiTheme="minorHAnsi" w:hAnsiTheme="minorHAnsi"/>
        </w:rPr>
        <w:t>(Bourdieu, 1985)</w:t>
      </w:r>
      <w:r w:rsidR="00AD036C" w:rsidRPr="006224FE">
        <w:rPr>
          <w:rFonts w:asciiTheme="minorHAnsi" w:hAnsiTheme="minorHAnsi"/>
        </w:rPr>
        <w:fldChar w:fldCharType="end"/>
      </w:r>
      <w:r w:rsidR="00FB48EC" w:rsidRPr="006224FE">
        <w:rPr>
          <w:rFonts w:asciiTheme="minorHAnsi" w:hAnsiTheme="minorHAnsi"/>
        </w:rPr>
        <w:t xml:space="preserve">. </w:t>
      </w:r>
      <w:r w:rsidR="007D2C6F" w:rsidRPr="006224FE">
        <w:rPr>
          <w:rFonts w:asciiTheme="minorHAnsi" w:hAnsiTheme="minorHAnsi"/>
        </w:rPr>
        <w:t xml:space="preserve"> </w:t>
      </w:r>
      <w:r w:rsidR="00FB48EC" w:rsidRPr="006224FE">
        <w:rPr>
          <w:rFonts w:asciiTheme="minorHAnsi" w:hAnsiTheme="minorHAnsi"/>
        </w:rPr>
        <w:t xml:space="preserve">In these cases ‘choice architecture’ </w:t>
      </w:r>
      <w:r w:rsidR="004E7FB9" w:rsidRPr="006224FE">
        <w:rPr>
          <w:rFonts w:asciiTheme="minorHAnsi" w:hAnsiTheme="minorHAnsi"/>
        </w:rPr>
        <w:t>might be</w:t>
      </w:r>
      <w:r w:rsidR="00FB48EC" w:rsidRPr="006224FE">
        <w:rPr>
          <w:rFonts w:asciiTheme="minorHAnsi" w:hAnsiTheme="minorHAnsi"/>
        </w:rPr>
        <w:t xml:space="preserve"> used to design the environment such that people are </w:t>
      </w:r>
      <w:r w:rsidR="00FB48EC" w:rsidRPr="006224FE">
        <w:rPr>
          <w:rFonts w:asciiTheme="minorHAnsi" w:hAnsiTheme="minorHAnsi"/>
        </w:rPr>
        <w:lastRenderedPageBreak/>
        <w:t xml:space="preserve">subconsciously guided to </w:t>
      </w:r>
      <w:r w:rsidR="004E7FB9" w:rsidRPr="006224FE">
        <w:rPr>
          <w:rFonts w:asciiTheme="minorHAnsi" w:hAnsiTheme="minorHAnsi"/>
        </w:rPr>
        <w:t>change their behaviour</w:t>
      </w:r>
      <w:r w:rsidR="00FB48EC" w:rsidRPr="006224FE">
        <w:rPr>
          <w:rFonts w:asciiTheme="minorHAnsi" w:hAnsiTheme="minorHAnsi"/>
        </w:rPr>
        <w:t xml:space="preserve"> </w:t>
      </w:r>
      <w:r w:rsidR="00AD036C" w:rsidRPr="006224FE">
        <w:rPr>
          <w:rFonts w:asciiTheme="minorHAnsi" w:hAnsiTheme="minorHAnsi"/>
        </w:rPr>
        <w:fldChar w:fldCharType="begin"/>
      </w:r>
      <w:r w:rsidR="00FB48EC" w:rsidRPr="006224FE">
        <w:rPr>
          <w:rFonts w:asciiTheme="minorHAnsi" w:hAnsiTheme="minorHAnsi"/>
        </w:rPr>
        <w:instrText>ADDIN RW.CITE{{647 Thaler, R.H. 2008}}</w:instrText>
      </w:r>
      <w:r w:rsidR="00AD036C" w:rsidRPr="006224FE">
        <w:rPr>
          <w:rFonts w:asciiTheme="minorHAnsi" w:hAnsiTheme="minorHAnsi"/>
        </w:rPr>
        <w:fldChar w:fldCharType="separate"/>
      </w:r>
      <w:r w:rsidR="00446CFB" w:rsidRPr="006224FE">
        <w:rPr>
          <w:rFonts w:asciiTheme="minorHAnsi" w:hAnsiTheme="minorHAnsi"/>
        </w:rPr>
        <w:t>(Thaler &amp; Sunstein, 2008)</w:t>
      </w:r>
      <w:r w:rsidR="00AD036C" w:rsidRPr="006224FE">
        <w:rPr>
          <w:rFonts w:asciiTheme="minorHAnsi" w:hAnsiTheme="minorHAnsi"/>
        </w:rPr>
        <w:fldChar w:fldCharType="end"/>
      </w:r>
      <w:r w:rsidR="00FB48EC" w:rsidRPr="006224FE">
        <w:rPr>
          <w:rFonts w:asciiTheme="minorHAnsi" w:hAnsiTheme="minorHAnsi"/>
        </w:rPr>
        <w:t>. A</w:t>
      </w:r>
      <w:r w:rsidR="009E2E6A" w:rsidRPr="006224FE">
        <w:rPr>
          <w:rFonts w:asciiTheme="minorHAnsi" w:hAnsiTheme="minorHAnsi"/>
        </w:rPr>
        <w:t>n</w:t>
      </w:r>
      <w:r w:rsidR="00FB48EC" w:rsidRPr="006224FE">
        <w:rPr>
          <w:rFonts w:asciiTheme="minorHAnsi" w:hAnsiTheme="minorHAnsi"/>
        </w:rPr>
        <w:t xml:space="preserve"> example may be a change </w:t>
      </w:r>
      <w:r w:rsidR="002864FC" w:rsidRPr="006224FE">
        <w:rPr>
          <w:rFonts w:asciiTheme="minorHAnsi" w:hAnsiTheme="minorHAnsi"/>
        </w:rPr>
        <w:t>to</w:t>
      </w:r>
      <w:r w:rsidR="00FB48EC" w:rsidRPr="006224FE">
        <w:rPr>
          <w:rFonts w:asciiTheme="minorHAnsi" w:hAnsiTheme="minorHAnsi"/>
        </w:rPr>
        <w:t xml:space="preserve"> the organ donation procedure from </w:t>
      </w:r>
      <w:r w:rsidRPr="006224FE">
        <w:rPr>
          <w:rFonts w:asciiTheme="minorHAnsi" w:hAnsiTheme="minorHAnsi"/>
        </w:rPr>
        <w:t>‘</w:t>
      </w:r>
      <w:r w:rsidR="00FB48EC" w:rsidRPr="006224FE">
        <w:rPr>
          <w:rFonts w:asciiTheme="minorHAnsi" w:hAnsiTheme="minorHAnsi"/>
        </w:rPr>
        <w:t>opt in</w:t>
      </w:r>
      <w:r w:rsidRPr="006224FE">
        <w:rPr>
          <w:rFonts w:asciiTheme="minorHAnsi" w:hAnsiTheme="minorHAnsi"/>
        </w:rPr>
        <w:t>’</w:t>
      </w:r>
      <w:r w:rsidR="00FB48EC" w:rsidRPr="006224FE">
        <w:rPr>
          <w:rFonts w:asciiTheme="minorHAnsi" w:hAnsiTheme="minorHAnsi"/>
        </w:rPr>
        <w:t xml:space="preserve"> to </w:t>
      </w:r>
      <w:r w:rsidRPr="006224FE">
        <w:rPr>
          <w:rFonts w:asciiTheme="minorHAnsi" w:hAnsiTheme="minorHAnsi"/>
        </w:rPr>
        <w:t>‘</w:t>
      </w:r>
      <w:r w:rsidR="00FB48EC" w:rsidRPr="006224FE">
        <w:rPr>
          <w:rFonts w:asciiTheme="minorHAnsi" w:hAnsiTheme="minorHAnsi"/>
        </w:rPr>
        <w:t>opt out</w:t>
      </w:r>
      <w:r w:rsidRPr="006224FE">
        <w:rPr>
          <w:rFonts w:asciiTheme="minorHAnsi" w:hAnsiTheme="minorHAnsi"/>
        </w:rPr>
        <w:t>’</w:t>
      </w:r>
      <w:r w:rsidR="00FB48EC" w:rsidRPr="006224FE">
        <w:rPr>
          <w:rFonts w:asciiTheme="minorHAnsi" w:hAnsiTheme="minorHAnsi"/>
        </w:rPr>
        <w:t xml:space="preserve"> to </w:t>
      </w:r>
      <w:r w:rsidR="009E2E6A" w:rsidRPr="006224FE">
        <w:rPr>
          <w:rFonts w:asciiTheme="minorHAnsi" w:hAnsiTheme="minorHAnsi"/>
        </w:rPr>
        <w:t xml:space="preserve">increase </w:t>
      </w:r>
      <w:r w:rsidR="00FB48EC" w:rsidRPr="006224FE">
        <w:rPr>
          <w:rFonts w:asciiTheme="minorHAnsi" w:hAnsiTheme="minorHAnsi"/>
        </w:rPr>
        <w:t>donor card</w:t>
      </w:r>
      <w:r w:rsidR="009E2E6A" w:rsidRPr="006224FE">
        <w:rPr>
          <w:rFonts w:asciiTheme="minorHAnsi" w:hAnsiTheme="minorHAnsi"/>
        </w:rPr>
        <w:t xml:space="preserve"> holder</w:t>
      </w:r>
      <w:r w:rsidR="00FB48EC" w:rsidRPr="006224FE">
        <w:rPr>
          <w:rFonts w:asciiTheme="minorHAnsi" w:hAnsiTheme="minorHAnsi"/>
        </w:rPr>
        <w:t xml:space="preserve">s. </w:t>
      </w:r>
      <w:r w:rsidRPr="006224FE">
        <w:rPr>
          <w:rFonts w:asciiTheme="minorHAnsi" w:hAnsiTheme="minorHAnsi"/>
        </w:rPr>
        <w:t>In t</w:t>
      </w:r>
      <w:r w:rsidR="00FB48EC" w:rsidRPr="006224FE">
        <w:rPr>
          <w:rFonts w:asciiTheme="minorHAnsi" w:hAnsiTheme="minorHAnsi"/>
        </w:rPr>
        <w:t xml:space="preserve">his scenario </w:t>
      </w:r>
      <w:r w:rsidRPr="006224FE">
        <w:rPr>
          <w:rFonts w:asciiTheme="minorHAnsi" w:hAnsiTheme="minorHAnsi"/>
        </w:rPr>
        <w:t xml:space="preserve">the pre-loading of the proposition is largely invisible to the citizen, </w:t>
      </w:r>
      <w:r w:rsidR="00D7616D" w:rsidRPr="006224FE">
        <w:rPr>
          <w:rFonts w:asciiTheme="minorHAnsi" w:hAnsiTheme="minorHAnsi"/>
        </w:rPr>
        <w:t xml:space="preserve">and this ‘invisibility’ introduces an element of </w:t>
      </w:r>
      <w:r w:rsidR="00FB48EC" w:rsidRPr="006224FE">
        <w:rPr>
          <w:rFonts w:asciiTheme="minorHAnsi" w:hAnsiTheme="minorHAnsi"/>
        </w:rPr>
        <w:t xml:space="preserve"> subtlety into </w:t>
      </w:r>
      <w:r w:rsidRPr="006224FE">
        <w:rPr>
          <w:rFonts w:asciiTheme="minorHAnsi" w:hAnsiTheme="minorHAnsi"/>
        </w:rPr>
        <w:t xml:space="preserve">the </w:t>
      </w:r>
      <w:r w:rsidRPr="006224FE">
        <w:rPr>
          <w:rFonts w:asciiTheme="minorHAnsi" w:hAnsiTheme="minorHAnsi"/>
          <w:i/>
        </w:rPr>
        <w:t>scop</w:t>
      </w:r>
      <w:r w:rsidR="00D7616D" w:rsidRPr="006224FE">
        <w:rPr>
          <w:rFonts w:asciiTheme="minorHAnsi" w:hAnsiTheme="minorHAnsi"/>
          <w:i/>
        </w:rPr>
        <w:t>e</w:t>
      </w:r>
      <w:r w:rsidRPr="006224FE">
        <w:rPr>
          <w:rFonts w:asciiTheme="minorHAnsi" w:hAnsiTheme="minorHAnsi"/>
        </w:rPr>
        <w:t xml:space="preserve"> of social marketing.</w:t>
      </w:r>
      <w:r w:rsidR="00FB48EC" w:rsidRPr="006224FE">
        <w:rPr>
          <w:rFonts w:asciiTheme="minorHAnsi" w:hAnsiTheme="minorHAnsi"/>
        </w:rPr>
        <w:t xml:space="preserve"> </w:t>
      </w:r>
    </w:p>
    <w:p w:rsidR="00FB48EC" w:rsidRPr="006224FE" w:rsidRDefault="00FB48EC" w:rsidP="000F600A">
      <w:pPr>
        <w:spacing w:line="480" w:lineRule="auto"/>
        <w:rPr>
          <w:rFonts w:asciiTheme="minorHAnsi" w:hAnsiTheme="minorHAnsi"/>
        </w:rPr>
      </w:pPr>
      <w:r w:rsidRPr="006224FE">
        <w:rPr>
          <w:rFonts w:asciiTheme="minorHAnsi" w:hAnsiTheme="minorHAnsi"/>
        </w:rPr>
        <w:t xml:space="preserve">In between these extremes lie a </w:t>
      </w:r>
      <w:r w:rsidR="00FC1128" w:rsidRPr="006224FE">
        <w:rPr>
          <w:rFonts w:asciiTheme="minorHAnsi" w:hAnsiTheme="minorHAnsi"/>
        </w:rPr>
        <w:t>variety of</w:t>
      </w:r>
      <w:r w:rsidRPr="006224FE">
        <w:rPr>
          <w:rFonts w:asciiTheme="minorHAnsi" w:hAnsiTheme="minorHAnsi"/>
        </w:rPr>
        <w:t xml:space="preserve"> behaviour change ‘mechanisms’. Examples are campaigns that ar</w:t>
      </w:r>
      <w:r w:rsidR="00FC1128" w:rsidRPr="006224FE">
        <w:rPr>
          <w:rFonts w:asciiTheme="minorHAnsi" w:hAnsiTheme="minorHAnsi"/>
        </w:rPr>
        <w:t>ouse emotions</w:t>
      </w:r>
      <w:r w:rsidR="002403CC" w:rsidRPr="006224FE">
        <w:rPr>
          <w:rFonts w:asciiTheme="minorHAnsi" w:hAnsiTheme="minorHAnsi"/>
        </w:rPr>
        <w:t xml:space="preserve"> (</w:t>
      </w:r>
      <w:r w:rsidR="00D7616D" w:rsidRPr="006224FE">
        <w:rPr>
          <w:rFonts w:asciiTheme="minorHAnsi" w:hAnsiTheme="minorHAnsi"/>
        </w:rPr>
        <w:t>an example may be the ‘B</w:t>
      </w:r>
      <w:r w:rsidR="00F54EFA" w:rsidRPr="006224FE">
        <w:rPr>
          <w:rFonts w:asciiTheme="minorHAnsi" w:hAnsiTheme="minorHAnsi"/>
        </w:rPr>
        <w:t xml:space="preserve">e a </w:t>
      </w:r>
      <w:r w:rsidR="00D7616D" w:rsidRPr="006224FE">
        <w:rPr>
          <w:rFonts w:asciiTheme="minorHAnsi" w:hAnsiTheme="minorHAnsi"/>
        </w:rPr>
        <w:t>S</w:t>
      </w:r>
      <w:r w:rsidR="00F54EFA" w:rsidRPr="006224FE">
        <w:rPr>
          <w:rFonts w:asciiTheme="minorHAnsi" w:hAnsiTheme="minorHAnsi"/>
        </w:rPr>
        <w:t>tar</w:t>
      </w:r>
      <w:r w:rsidR="00D7616D" w:rsidRPr="006224FE">
        <w:rPr>
          <w:rFonts w:asciiTheme="minorHAnsi" w:hAnsiTheme="minorHAnsi"/>
        </w:rPr>
        <w:t xml:space="preserve">’ breastfeeding campaign in the UK (see </w:t>
      </w:r>
      <w:hyperlink r:id="rId9" w:history="1">
        <w:r w:rsidR="00D7616D" w:rsidRPr="006224FE">
          <w:rPr>
            <w:rStyle w:val="Hyperlink"/>
            <w:rFonts w:ascii="Arial" w:hAnsi="Arial" w:cs="Arial"/>
          </w:rPr>
          <w:t>http://www.beastar.org.uk/</w:t>
        </w:r>
      </w:hyperlink>
      <w:r w:rsidR="00D7616D" w:rsidRPr="006224FE">
        <w:rPr>
          <w:rFonts w:ascii="Arial" w:hAnsi="Arial" w:cs="Arial"/>
        </w:rPr>
        <w:t xml:space="preserve">)) </w:t>
      </w:r>
      <w:r w:rsidR="00FC1128" w:rsidRPr="006224FE">
        <w:rPr>
          <w:rFonts w:asciiTheme="minorHAnsi" w:hAnsiTheme="minorHAnsi"/>
        </w:rPr>
        <w:t xml:space="preserve">, activities that take advantage </w:t>
      </w:r>
      <w:r w:rsidRPr="006224FE">
        <w:rPr>
          <w:rFonts w:asciiTheme="minorHAnsi" w:hAnsiTheme="minorHAnsi"/>
        </w:rPr>
        <w:t xml:space="preserve"> of </w:t>
      </w:r>
      <w:r w:rsidR="00FC1128" w:rsidRPr="006224FE">
        <w:rPr>
          <w:rFonts w:asciiTheme="minorHAnsi" w:hAnsiTheme="minorHAnsi"/>
        </w:rPr>
        <w:t xml:space="preserve"> </w:t>
      </w:r>
      <w:r w:rsidRPr="006224FE">
        <w:rPr>
          <w:rFonts w:asciiTheme="minorHAnsi" w:hAnsiTheme="minorHAnsi"/>
        </w:rPr>
        <w:t xml:space="preserve">‘fixed action patterns’ </w:t>
      </w:r>
      <w:r w:rsidR="00FC1128" w:rsidRPr="006224FE">
        <w:rPr>
          <w:rFonts w:asciiTheme="minorHAnsi" w:hAnsiTheme="minorHAnsi"/>
        </w:rPr>
        <w:t>(</w:t>
      </w:r>
      <w:proofErr w:type="spellStart"/>
      <w:r w:rsidR="00A979D7" w:rsidRPr="006224FE">
        <w:rPr>
          <w:rFonts w:asciiTheme="minorHAnsi" w:hAnsiTheme="minorHAnsi"/>
        </w:rPr>
        <w:t>Cialdini</w:t>
      </w:r>
      <w:proofErr w:type="spellEnd"/>
      <w:r w:rsidR="00A979D7" w:rsidRPr="006224FE">
        <w:rPr>
          <w:rFonts w:asciiTheme="minorHAnsi" w:hAnsiTheme="minorHAnsi"/>
        </w:rPr>
        <w:t xml:space="preserve"> 2007</w:t>
      </w:r>
      <w:r w:rsidR="00FC1128" w:rsidRPr="006224FE">
        <w:rPr>
          <w:rFonts w:asciiTheme="minorHAnsi" w:hAnsiTheme="minorHAnsi"/>
        </w:rPr>
        <w:t>) and</w:t>
      </w:r>
      <w:r w:rsidRPr="006224FE">
        <w:rPr>
          <w:rFonts w:asciiTheme="minorHAnsi" w:hAnsiTheme="minorHAnsi"/>
        </w:rPr>
        <w:t xml:space="preserve"> progra</w:t>
      </w:r>
      <w:r w:rsidR="009E2E6A" w:rsidRPr="006224FE">
        <w:rPr>
          <w:rFonts w:asciiTheme="minorHAnsi" w:hAnsiTheme="minorHAnsi"/>
        </w:rPr>
        <w:t xml:space="preserve">mmes </w:t>
      </w:r>
      <w:r w:rsidR="00FC1128" w:rsidRPr="006224FE">
        <w:rPr>
          <w:rFonts w:asciiTheme="minorHAnsi" w:hAnsiTheme="minorHAnsi"/>
        </w:rPr>
        <w:t xml:space="preserve">that reform habits. </w:t>
      </w:r>
      <w:r w:rsidR="002403CC" w:rsidRPr="006224FE">
        <w:rPr>
          <w:rFonts w:asciiTheme="minorHAnsi" w:hAnsiTheme="minorHAnsi"/>
        </w:rPr>
        <w:t>A</w:t>
      </w:r>
      <w:r w:rsidR="009E2E6A" w:rsidRPr="006224FE">
        <w:rPr>
          <w:rFonts w:asciiTheme="minorHAnsi" w:hAnsiTheme="minorHAnsi"/>
        </w:rPr>
        <w:t>n</w:t>
      </w:r>
      <w:r w:rsidRPr="006224FE">
        <w:rPr>
          <w:rFonts w:asciiTheme="minorHAnsi" w:hAnsiTheme="minorHAnsi"/>
        </w:rPr>
        <w:t xml:space="preserve"> example </w:t>
      </w:r>
      <w:r w:rsidR="002403CC" w:rsidRPr="006224FE">
        <w:rPr>
          <w:rFonts w:asciiTheme="minorHAnsi" w:hAnsiTheme="minorHAnsi"/>
        </w:rPr>
        <w:t xml:space="preserve">is </w:t>
      </w:r>
      <w:r w:rsidR="00FC1128" w:rsidRPr="006224FE">
        <w:rPr>
          <w:rFonts w:asciiTheme="minorHAnsi" w:hAnsiTheme="minorHAnsi"/>
        </w:rPr>
        <w:t xml:space="preserve">a </w:t>
      </w:r>
      <w:r w:rsidRPr="006224FE">
        <w:rPr>
          <w:rFonts w:asciiTheme="minorHAnsi" w:hAnsiTheme="minorHAnsi"/>
        </w:rPr>
        <w:t xml:space="preserve">road safety </w:t>
      </w:r>
      <w:r w:rsidR="00FC1128" w:rsidRPr="006224FE">
        <w:rPr>
          <w:rFonts w:asciiTheme="minorHAnsi" w:hAnsiTheme="minorHAnsi"/>
        </w:rPr>
        <w:t xml:space="preserve">intervention </w:t>
      </w:r>
      <w:r w:rsidR="00A979D7" w:rsidRPr="006224FE">
        <w:rPr>
          <w:rFonts w:asciiTheme="minorHAnsi" w:hAnsiTheme="minorHAnsi"/>
        </w:rPr>
        <w:t>(positioned in diagram 1)</w:t>
      </w:r>
      <w:r w:rsidRPr="006224FE">
        <w:rPr>
          <w:rFonts w:asciiTheme="minorHAnsi" w:hAnsiTheme="minorHAnsi"/>
        </w:rPr>
        <w:t xml:space="preserve"> </w:t>
      </w:r>
      <w:r w:rsidR="00FC1128" w:rsidRPr="006224FE">
        <w:rPr>
          <w:rFonts w:asciiTheme="minorHAnsi" w:hAnsiTheme="minorHAnsi"/>
        </w:rPr>
        <w:t>in which o</w:t>
      </w:r>
      <w:r w:rsidRPr="006224FE">
        <w:rPr>
          <w:rFonts w:asciiTheme="minorHAnsi" w:hAnsiTheme="minorHAnsi"/>
        </w:rPr>
        <w:t xml:space="preserve">ne component involves the fitting of in-vehicle data recorders (IVDRs) that signal to the target group of aggressive </w:t>
      </w:r>
      <w:r w:rsidR="00A979D7" w:rsidRPr="006224FE">
        <w:rPr>
          <w:rFonts w:asciiTheme="minorHAnsi" w:hAnsiTheme="minorHAnsi"/>
        </w:rPr>
        <w:t xml:space="preserve">young </w:t>
      </w:r>
      <w:r w:rsidRPr="006224FE">
        <w:rPr>
          <w:rFonts w:asciiTheme="minorHAnsi" w:hAnsiTheme="minorHAnsi"/>
        </w:rPr>
        <w:t xml:space="preserve">male drivers </w:t>
      </w:r>
      <w:r w:rsidR="002403CC" w:rsidRPr="006224FE">
        <w:rPr>
          <w:rFonts w:asciiTheme="minorHAnsi" w:hAnsiTheme="minorHAnsi"/>
        </w:rPr>
        <w:t xml:space="preserve">(and records) </w:t>
      </w:r>
      <w:r w:rsidRPr="006224FE">
        <w:rPr>
          <w:rFonts w:asciiTheme="minorHAnsi" w:hAnsiTheme="minorHAnsi"/>
        </w:rPr>
        <w:t>if they swerve or brake too heavily</w:t>
      </w:r>
      <w:r w:rsidR="002403CC" w:rsidRPr="006224FE">
        <w:rPr>
          <w:rFonts w:asciiTheme="minorHAnsi" w:hAnsiTheme="minorHAnsi"/>
        </w:rPr>
        <w:t>.</w:t>
      </w:r>
      <w:r w:rsidR="00FC1128" w:rsidRPr="006224FE">
        <w:rPr>
          <w:rFonts w:asciiTheme="minorHAnsi" w:hAnsiTheme="minorHAnsi"/>
        </w:rPr>
        <w:t xml:space="preserve"> </w:t>
      </w:r>
      <w:r w:rsidRPr="006224FE">
        <w:rPr>
          <w:rFonts w:asciiTheme="minorHAnsi" w:hAnsiTheme="minorHAnsi"/>
        </w:rPr>
        <w:t xml:space="preserve">They are aware that their aim is to drive ‘skilfully’ in exchange for incentives, but the subtleties of the use of the IVDR </w:t>
      </w:r>
      <w:r w:rsidRPr="006224FE">
        <w:rPr>
          <w:rFonts w:asciiTheme="minorHAnsi" w:hAnsiTheme="minorHAnsi"/>
          <w:i/>
        </w:rPr>
        <w:t>to break habits</w:t>
      </w:r>
      <w:r w:rsidRPr="006224FE">
        <w:rPr>
          <w:rFonts w:asciiTheme="minorHAnsi" w:hAnsiTheme="minorHAnsi"/>
        </w:rPr>
        <w:t xml:space="preserve"> will </w:t>
      </w:r>
      <w:r w:rsidRPr="006224FE">
        <w:rPr>
          <w:rFonts w:asciiTheme="minorHAnsi" w:hAnsiTheme="minorHAnsi"/>
          <w:i/>
        </w:rPr>
        <w:t>not</w:t>
      </w:r>
      <w:r w:rsidRPr="006224FE">
        <w:rPr>
          <w:rFonts w:asciiTheme="minorHAnsi" w:hAnsiTheme="minorHAnsi"/>
        </w:rPr>
        <w:t xml:space="preserve"> be clear to the </w:t>
      </w:r>
      <w:r w:rsidR="00A979D7" w:rsidRPr="006224FE">
        <w:rPr>
          <w:rFonts w:asciiTheme="minorHAnsi" w:hAnsiTheme="minorHAnsi"/>
        </w:rPr>
        <w:t xml:space="preserve">young </w:t>
      </w:r>
      <w:r w:rsidR="009E2E6A" w:rsidRPr="006224FE">
        <w:rPr>
          <w:rFonts w:asciiTheme="minorHAnsi" w:hAnsiTheme="minorHAnsi"/>
        </w:rPr>
        <w:t>men</w:t>
      </w:r>
      <w:r w:rsidR="00A05EC7" w:rsidRPr="006224FE">
        <w:rPr>
          <w:rFonts w:asciiTheme="minorHAnsi" w:hAnsiTheme="minorHAnsi"/>
        </w:rPr>
        <w:t xml:space="preserve"> </w:t>
      </w:r>
      <w:r w:rsidR="00AD036C" w:rsidRPr="006224FE">
        <w:rPr>
          <w:rFonts w:asciiTheme="minorHAnsi" w:hAnsiTheme="minorHAnsi"/>
        </w:rPr>
        <w:fldChar w:fldCharType="begin"/>
      </w:r>
      <w:r w:rsidR="00A05EC7" w:rsidRPr="006224FE">
        <w:rPr>
          <w:rFonts w:asciiTheme="minorHAnsi" w:hAnsiTheme="minorHAnsi"/>
        </w:rPr>
        <w:instrText>ADDIN RW.CITE{{659 Pressley, A. Unpublished}}</w:instrText>
      </w:r>
      <w:r w:rsidR="00AD036C" w:rsidRPr="006224FE">
        <w:rPr>
          <w:rFonts w:asciiTheme="minorHAnsi" w:hAnsiTheme="minorHAnsi"/>
        </w:rPr>
        <w:fldChar w:fldCharType="separate"/>
      </w:r>
      <w:r w:rsidR="00446CFB" w:rsidRPr="006224FE">
        <w:rPr>
          <w:rFonts w:asciiTheme="minorHAnsi" w:hAnsiTheme="minorHAnsi"/>
        </w:rPr>
        <w:t>(Pressley, Collins, Tapp, &amp; Ellson, unpublished)</w:t>
      </w:r>
      <w:r w:rsidR="00AD036C" w:rsidRPr="006224FE">
        <w:rPr>
          <w:rFonts w:asciiTheme="minorHAnsi" w:hAnsiTheme="minorHAnsi"/>
        </w:rPr>
        <w:fldChar w:fldCharType="end"/>
      </w:r>
      <w:r w:rsidR="002403CC" w:rsidRPr="006224FE">
        <w:rPr>
          <w:rFonts w:asciiTheme="minorHAnsi" w:hAnsiTheme="minorHAnsi"/>
        </w:rPr>
        <w:t>.</w:t>
      </w:r>
      <w:r w:rsidRPr="006224FE">
        <w:rPr>
          <w:rFonts w:asciiTheme="minorHAnsi" w:hAnsiTheme="minorHAnsi"/>
        </w:rPr>
        <w:t xml:space="preserve"> </w:t>
      </w:r>
      <w:r w:rsidR="009E2E6A" w:rsidRPr="006224FE">
        <w:rPr>
          <w:rFonts w:asciiTheme="minorHAnsi" w:hAnsiTheme="minorHAnsi"/>
        </w:rPr>
        <w:t>Diagram 1 illustrates the concept of a spectrum of social marketing activity, from ‘marketer-consumer transparency’ to ‘marketer-consumer invisibility’</w:t>
      </w:r>
      <w:r w:rsidR="00FC1128" w:rsidRPr="006224FE">
        <w:rPr>
          <w:rFonts w:asciiTheme="minorHAnsi" w:hAnsiTheme="minorHAnsi"/>
        </w:rPr>
        <w:t xml:space="preserve">. </w:t>
      </w:r>
    </w:p>
    <w:p w:rsidR="00FB48EC" w:rsidRPr="006224FE" w:rsidRDefault="00FB48EC" w:rsidP="000F600A">
      <w:pPr>
        <w:spacing w:line="480" w:lineRule="auto"/>
        <w:rPr>
          <w:rFonts w:asciiTheme="minorHAnsi" w:hAnsiTheme="minorHAnsi"/>
          <w:u w:val="single"/>
        </w:rPr>
      </w:pPr>
      <w:r w:rsidRPr="006224FE">
        <w:rPr>
          <w:rFonts w:asciiTheme="minorHAnsi" w:hAnsiTheme="minorHAnsi"/>
          <w:u w:val="single"/>
        </w:rPr>
        <w:t xml:space="preserve">Diagram 1 </w:t>
      </w:r>
    </w:p>
    <w:p w:rsidR="00FB48EC" w:rsidRPr="006224FE" w:rsidRDefault="00AD036C" w:rsidP="000F600A">
      <w:pPr>
        <w:spacing w:line="480" w:lineRule="auto"/>
        <w:rPr>
          <w:rFonts w:asciiTheme="minorHAnsi" w:hAnsiTheme="minorHAnsi"/>
          <w:u w:val="single"/>
        </w:rPr>
      </w:pPr>
      <w:r w:rsidRPr="00AD036C">
        <w:rPr>
          <w:rFonts w:asciiTheme="minorHAnsi" w:hAnsiTheme="minorHAnsi"/>
          <w:noProof/>
        </w:rPr>
        <w:pict>
          <v:group id="_x0000_s1040" style="position:absolute;margin-left:.9pt;margin-top:.1pt;width:450.8pt;height:107.7pt;z-index:251664384" coordorigin="1458,11736" coordsize="9016,2154">
            <v:group id="_x0000_s1026" style="position:absolute;left:1458;top:11736;width:9016;height:2154" coordorigin="1377,13536" coordsize="9016,2154">
              <v:rect id="_x0000_s1027" style="position:absolute;left:1377;top:13536;width:9016;height:2154" strokeweight="1.5pt">
                <v:fill opacity="0"/>
              </v:rect>
              <v:shapetype id="_x0000_t202" coordsize="21600,21600" o:spt="202" path="m,l,21600r21600,l21600,xe">
                <v:stroke joinstyle="miter"/>
                <v:path gradientshapeok="t" o:connecttype="rect"/>
              </v:shapetype>
              <v:shape id="_x0000_s1028" type="#_x0000_t202" style="position:absolute;left:1466;top:13658;width:1485;height:711;mso-width-relative:margin;mso-height-relative:margin" fillcolor="white [3212]" strokecolor="white [3212]">
                <v:fill opacity="46531f"/>
                <v:textbox style="mso-fit-shape-to-text:t">
                  <w:txbxContent>
                    <w:p w:rsidR="00DF245A" w:rsidRDefault="00DF245A" w:rsidP="00FB48EC">
                      <w:r>
                        <w:t xml:space="preserve">Transparent </w:t>
                      </w:r>
                    </w:p>
                    <w:p w:rsidR="00DF245A" w:rsidRDefault="00DF245A" w:rsidP="00FB48EC">
                      <w:r>
                        <w:t>Marketing</w:t>
                      </w:r>
                    </w:p>
                  </w:txbxContent>
                </v:textbox>
              </v:shape>
              <v:shape id="_x0000_s1029" type="#_x0000_t202" style="position:absolute;left:8966;top:13626;width:1357;height:743;mso-width-relative:margin;mso-height-relative:margin" fillcolor="#f2f2f2 [3052]" strokecolor="white [3212]">
                <v:fill opacity="46531f"/>
                <v:textbox>
                  <w:txbxContent>
                    <w:p w:rsidR="00DF245A" w:rsidRDefault="00DF245A" w:rsidP="00FB48EC">
                      <w:r>
                        <w:t xml:space="preserve">Invisible </w:t>
                      </w:r>
                    </w:p>
                    <w:p w:rsidR="00DF245A" w:rsidRDefault="00DF245A" w:rsidP="00FB48EC">
                      <w:r>
                        <w:t>Marketing</w:t>
                      </w:r>
                    </w:p>
                  </w:txbxContent>
                </v:textbox>
              </v:shape>
              <v:shape id="_x0000_s1030" type="#_x0000_t202" style="position:absolute;left:1458;top:14777;width:1061;height:706;mso-width-relative:margin;mso-height-relative:margin" strokecolor="white [3212]">
                <v:textbox>
                  <w:txbxContent>
                    <w:p w:rsidR="00DF245A" w:rsidRPr="00161094" w:rsidRDefault="00DF245A" w:rsidP="00FB48EC">
                      <w:pPr>
                        <w:rPr>
                          <w:sz w:val="16"/>
                          <w:szCs w:val="16"/>
                        </w:rPr>
                      </w:pPr>
                      <w:r w:rsidRPr="00161094">
                        <w:rPr>
                          <w:sz w:val="16"/>
                          <w:szCs w:val="16"/>
                        </w:rPr>
                        <w:t>Simple cognitive exchange</w:t>
                      </w:r>
                    </w:p>
                  </w:txbxContent>
                </v:textbox>
              </v:shape>
              <v:shape id="_x0000_s1031" type="#_x0000_t202" style="position:absolute;left:3038;top:14777;width:894;height:561;mso-width-relative:margin;mso-height-relative:margin" strokecolor="white [3212]">
                <v:textbox>
                  <w:txbxContent>
                    <w:p w:rsidR="00DF245A" w:rsidRPr="00161094" w:rsidRDefault="00DF245A" w:rsidP="00FB48EC">
                      <w:pPr>
                        <w:rPr>
                          <w:sz w:val="16"/>
                          <w:szCs w:val="16"/>
                        </w:rPr>
                      </w:pPr>
                      <w:r>
                        <w:rPr>
                          <w:sz w:val="16"/>
                          <w:szCs w:val="16"/>
                        </w:rPr>
                        <w:t>Emotion arousal</w:t>
                      </w:r>
                    </w:p>
                  </w:txbxContent>
                </v:textbox>
              </v:shape>
              <v:shape id="_x0000_s1032" type="#_x0000_t202" style="position:absolute;left:4508;top:14777;width:1061;height:706;mso-width-relative:margin;mso-height-relative:margin" strokecolor="white [3212]">
                <v:textbox>
                  <w:txbxContent>
                    <w:p w:rsidR="00DF245A" w:rsidRPr="00161094" w:rsidRDefault="00DF245A" w:rsidP="00FB48EC">
                      <w:pPr>
                        <w:rPr>
                          <w:sz w:val="16"/>
                          <w:szCs w:val="16"/>
                        </w:rPr>
                      </w:pPr>
                      <w:proofErr w:type="spellStart"/>
                      <w:r>
                        <w:rPr>
                          <w:sz w:val="16"/>
                          <w:szCs w:val="16"/>
                        </w:rPr>
                        <w:t>Stim</w:t>
                      </w:r>
                      <w:proofErr w:type="spellEnd"/>
                      <w:r>
                        <w:rPr>
                          <w:sz w:val="16"/>
                          <w:szCs w:val="16"/>
                        </w:rPr>
                        <w:t>-response techniques</w:t>
                      </w:r>
                    </w:p>
                  </w:txbxContent>
                </v:textbox>
              </v:shape>
              <v:shape id="_x0000_s1033" type="#_x0000_t202" style="position:absolute;left:6096;top:14777;width:896;height:561;mso-width-relative:margin;mso-height-relative:margin" strokecolor="white [3212]">
                <v:textbox>
                  <w:txbxContent>
                    <w:p w:rsidR="00DF245A" w:rsidRPr="00161094" w:rsidRDefault="00DF245A" w:rsidP="00FB48EC">
                      <w:pPr>
                        <w:rPr>
                          <w:sz w:val="16"/>
                          <w:szCs w:val="16"/>
                        </w:rPr>
                      </w:pPr>
                      <w:r>
                        <w:rPr>
                          <w:sz w:val="16"/>
                          <w:szCs w:val="16"/>
                        </w:rPr>
                        <w:t>Social mimicry</w:t>
                      </w:r>
                    </w:p>
                  </w:txbxContent>
                </v:textbox>
              </v:shape>
              <v:shape id="_x0000_s1034" type="#_x0000_t202" style="position:absolute;left:7629;top:14777;width:906;height:706;mso-width-relative:margin;mso-height-relative:margin" strokecolor="white [3212]">
                <v:textbox>
                  <w:txbxContent>
                    <w:p w:rsidR="00DF245A" w:rsidRPr="00161094" w:rsidRDefault="00DF245A" w:rsidP="00FB48EC">
                      <w:pPr>
                        <w:rPr>
                          <w:sz w:val="16"/>
                          <w:szCs w:val="16"/>
                        </w:rPr>
                      </w:pPr>
                      <w:r w:rsidRPr="00A979D7">
                        <w:rPr>
                          <w:sz w:val="16"/>
                          <w:szCs w:val="16"/>
                        </w:rPr>
                        <w:t>Fixed action</w:t>
                      </w:r>
                      <w:r>
                        <w:rPr>
                          <w:sz w:val="12"/>
                          <w:szCs w:val="12"/>
                        </w:rPr>
                        <w:t xml:space="preserve"> </w:t>
                      </w:r>
                      <w:r>
                        <w:rPr>
                          <w:sz w:val="16"/>
                          <w:szCs w:val="16"/>
                        </w:rPr>
                        <w:t xml:space="preserve"> patterns</w:t>
                      </w:r>
                    </w:p>
                  </w:txbxContent>
                </v:textbox>
              </v:shape>
              <v:shape id="_x0000_s1035" type="#_x0000_t202" style="position:absolute;left:9109;top:14777;width:1061;height:561;mso-width-relative:margin;mso-height-relative:margin" strokecolor="white [3212]">
                <v:textbox>
                  <w:txbxContent>
                    <w:p w:rsidR="00DF245A" w:rsidRPr="00161094" w:rsidRDefault="00DF245A" w:rsidP="00FB48EC">
                      <w:pPr>
                        <w:rPr>
                          <w:sz w:val="16"/>
                          <w:szCs w:val="16"/>
                        </w:rPr>
                      </w:pPr>
                      <w:r>
                        <w:rPr>
                          <w:sz w:val="16"/>
                          <w:szCs w:val="16"/>
                        </w:rPr>
                        <w:t>Choice architecture</w:t>
                      </w:r>
                    </w:p>
                  </w:txbxContent>
                </v:textbox>
              </v:shape>
              <v:shapetype id="_x0000_t32" coordsize="21600,21600" o:spt="32" o:oned="t" path="m,l21600,21600e" filled="f">
                <v:path arrowok="t" fillok="f" o:connecttype="none"/>
                <o:lock v:ext="edit" shapetype="t"/>
              </v:shapetype>
              <v:shape id="_x0000_s1036" type="#_x0000_t32" style="position:absolute;left:1466;top:14460;width:8857;height:0" o:connectortype="straight" strokecolor="#938953 [1614]" strokeweight="5.5pt">
                <v:stroke startarrow="open" endarrow="open"/>
              </v:shape>
            </v:group>
            <v:oval id="_x0000_s1037" style="position:absolute;left:8491;top:13049;width:325;height:299" fillcolor="red"/>
            <v:shape id="_x0000_s1038" type="#_x0000_t32" style="position:absolute;left:7629;top:12398;width:888;height:718" o:connectortype="straight">
              <v:stroke endarrow="block"/>
            </v:shape>
            <v:shape id="_x0000_s1039" type="#_x0000_t202" style="position:absolute;left:5846;top:12066;width:2103;height:366;mso-height-percent:200;mso-height-percent:200;mso-width-relative:margin;mso-height-relative:margin">
              <v:textbox style="mso-fit-shape-to-text:t">
                <w:txbxContent>
                  <w:p w:rsidR="00DF245A" w:rsidRPr="008A0B39" w:rsidRDefault="00DF245A" w:rsidP="00FB48EC">
                    <w:pPr>
                      <w:jc w:val="center"/>
                      <w:rPr>
                        <w:sz w:val="18"/>
                        <w:szCs w:val="18"/>
                      </w:rPr>
                    </w:pPr>
                    <w:r w:rsidRPr="008A0B39">
                      <w:rPr>
                        <w:sz w:val="18"/>
                        <w:szCs w:val="18"/>
                      </w:rPr>
                      <w:t>Road safety example</w:t>
                    </w:r>
                  </w:p>
                </w:txbxContent>
              </v:textbox>
            </v:shape>
          </v:group>
        </w:pict>
      </w:r>
    </w:p>
    <w:p w:rsidR="00FB48EC" w:rsidRPr="006224FE" w:rsidRDefault="00FB48EC" w:rsidP="000F600A">
      <w:pPr>
        <w:spacing w:line="480" w:lineRule="auto"/>
        <w:rPr>
          <w:rFonts w:asciiTheme="minorHAnsi" w:hAnsiTheme="minorHAnsi"/>
          <w:u w:val="single"/>
        </w:rPr>
      </w:pPr>
    </w:p>
    <w:p w:rsidR="00FB48EC" w:rsidRPr="006224FE" w:rsidRDefault="00FB48EC" w:rsidP="000F600A">
      <w:pPr>
        <w:spacing w:line="480" w:lineRule="auto"/>
        <w:rPr>
          <w:rFonts w:asciiTheme="minorHAnsi" w:hAnsiTheme="minorHAnsi"/>
          <w:u w:val="single"/>
        </w:rPr>
      </w:pPr>
    </w:p>
    <w:p w:rsidR="00FB48EC" w:rsidRPr="006224FE" w:rsidRDefault="00FB48EC" w:rsidP="000F600A">
      <w:pPr>
        <w:spacing w:line="480" w:lineRule="auto"/>
        <w:rPr>
          <w:rFonts w:asciiTheme="minorHAnsi" w:hAnsiTheme="minorHAnsi"/>
        </w:rPr>
      </w:pPr>
    </w:p>
    <w:p w:rsidR="002864FC" w:rsidRPr="006224FE" w:rsidRDefault="002403CC" w:rsidP="000F600A">
      <w:pPr>
        <w:spacing w:line="480" w:lineRule="auto"/>
        <w:rPr>
          <w:rFonts w:asciiTheme="minorHAnsi" w:hAnsiTheme="minorHAnsi"/>
        </w:rPr>
      </w:pPr>
      <w:r w:rsidRPr="006224FE">
        <w:rPr>
          <w:rFonts w:asciiTheme="minorHAnsi" w:hAnsiTheme="minorHAnsi"/>
        </w:rPr>
        <w:t>We</w:t>
      </w:r>
      <w:r w:rsidR="002864FC" w:rsidRPr="006224FE">
        <w:rPr>
          <w:rFonts w:asciiTheme="minorHAnsi" w:hAnsiTheme="minorHAnsi"/>
        </w:rPr>
        <w:t xml:space="preserve"> introduce two </w:t>
      </w:r>
      <w:r w:rsidR="00C763BC" w:rsidRPr="006224FE">
        <w:rPr>
          <w:rFonts w:asciiTheme="minorHAnsi" w:hAnsiTheme="minorHAnsi"/>
        </w:rPr>
        <w:t xml:space="preserve">pivotal </w:t>
      </w:r>
      <w:r w:rsidR="002864FC" w:rsidRPr="006224FE">
        <w:rPr>
          <w:rFonts w:asciiTheme="minorHAnsi" w:hAnsiTheme="minorHAnsi"/>
        </w:rPr>
        <w:t>concepts which have emerged</w:t>
      </w:r>
      <w:r w:rsidR="00C763BC" w:rsidRPr="006224FE">
        <w:rPr>
          <w:rFonts w:asciiTheme="minorHAnsi" w:hAnsiTheme="minorHAnsi"/>
        </w:rPr>
        <w:t xml:space="preserve"> from the transparency-</w:t>
      </w:r>
      <w:r w:rsidR="002864FC" w:rsidRPr="006224FE">
        <w:rPr>
          <w:rFonts w:asciiTheme="minorHAnsi" w:hAnsiTheme="minorHAnsi"/>
        </w:rPr>
        <w:t xml:space="preserve">invisibility spectrum; the potential </w:t>
      </w:r>
      <w:r w:rsidR="00B82463" w:rsidRPr="006224FE">
        <w:rPr>
          <w:rFonts w:asciiTheme="minorHAnsi" w:hAnsiTheme="minorHAnsi"/>
        </w:rPr>
        <w:t>impact of</w:t>
      </w:r>
      <w:r w:rsidR="002864FC" w:rsidRPr="006224FE">
        <w:rPr>
          <w:rFonts w:asciiTheme="minorHAnsi" w:hAnsiTheme="minorHAnsi"/>
        </w:rPr>
        <w:t xml:space="preserve"> behaviour change interv</w:t>
      </w:r>
      <w:r w:rsidR="00B82463" w:rsidRPr="006224FE">
        <w:rPr>
          <w:rFonts w:asciiTheme="minorHAnsi" w:hAnsiTheme="minorHAnsi"/>
        </w:rPr>
        <w:t xml:space="preserve">entions </w:t>
      </w:r>
      <w:r w:rsidR="00B82463" w:rsidRPr="006224FE">
        <w:rPr>
          <w:rFonts w:asciiTheme="minorHAnsi" w:hAnsiTheme="minorHAnsi"/>
          <w:i/>
        </w:rPr>
        <w:t>targeting</w:t>
      </w:r>
      <w:r w:rsidR="002864FC" w:rsidRPr="006224FE">
        <w:rPr>
          <w:rFonts w:asciiTheme="minorHAnsi" w:hAnsiTheme="minorHAnsi"/>
          <w:i/>
        </w:rPr>
        <w:t xml:space="preserve"> groups</w:t>
      </w:r>
      <w:r w:rsidR="002864FC" w:rsidRPr="006224FE">
        <w:rPr>
          <w:rFonts w:asciiTheme="minorHAnsi" w:hAnsiTheme="minorHAnsi"/>
        </w:rPr>
        <w:t xml:space="preserve"> </w:t>
      </w:r>
      <w:r w:rsidR="002864FC" w:rsidRPr="006224FE">
        <w:rPr>
          <w:rFonts w:asciiTheme="minorHAnsi" w:hAnsiTheme="minorHAnsi"/>
          <w:i/>
        </w:rPr>
        <w:t xml:space="preserve">resistant </w:t>
      </w:r>
      <w:r w:rsidR="002864FC" w:rsidRPr="006224FE">
        <w:rPr>
          <w:rFonts w:asciiTheme="minorHAnsi" w:hAnsiTheme="minorHAnsi"/>
          <w:i/>
        </w:rPr>
        <w:lastRenderedPageBreak/>
        <w:t>to change</w:t>
      </w:r>
      <w:r w:rsidR="00B82463" w:rsidRPr="006224FE">
        <w:rPr>
          <w:rFonts w:asciiTheme="minorHAnsi" w:hAnsiTheme="minorHAnsi"/>
        </w:rPr>
        <w:t>,</w:t>
      </w:r>
      <w:r w:rsidR="002864FC" w:rsidRPr="006224FE">
        <w:rPr>
          <w:rFonts w:asciiTheme="minorHAnsi" w:hAnsiTheme="minorHAnsi"/>
        </w:rPr>
        <w:t xml:space="preserve"> and the proposition that using approaches along the whole spectrum will </w:t>
      </w:r>
      <w:r w:rsidR="002864FC" w:rsidRPr="006224FE">
        <w:rPr>
          <w:rFonts w:asciiTheme="minorHAnsi" w:hAnsiTheme="minorHAnsi"/>
          <w:i/>
        </w:rPr>
        <w:t>improve social marketing’s ROI</w:t>
      </w:r>
      <w:r w:rsidR="002864FC" w:rsidRPr="006224FE">
        <w:rPr>
          <w:rFonts w:asciiTheme="minorHAnsi" w:hAnsiTheme="minorHAnsi"/>
        </w:rPr>
        <w:t xml:space="preserve">. </w:t>
      </w:r>
    </w:p>
    <w:p w:rsidR="002864FC" w:rsidRPr="006224FE" w:rsidRDefault="002864FC" w:rsidP="005426C5">
      <w:pPr>
        <w:rPr>
          <w:rFonts w:asciiTheme="minorHAnsi" w:hAnsiTheme="minorHAnsi"/>
        </w:rPr>
      </w:pPr>
    </w:p>
    <w:p w:rsidR="002864FC" w:rsidRPr="006224FE" w:rsidRDefault="002864FC" w:rsidP="005426C5">
      <w:pPr>
        <w:spacing w:line="480" w:lineRule="auto"/>
        <w:rPr>
          <w:rFonts w:asciiTheme="minorHAnsi" w:hAnsiTheme="minorHAnsi"/>
        </w:rPr>
      </w:pPr>
      <w:r w:rsidRPr="006224FE">
        <w:rPr>
          <w:rFonts w:asciiTheme="minorHAnsi" w:hAnsiTheme="minorHAnsi"/>
        </w:rPr>
        <w:t xml:space="preserve">Many behaviours </w:t>
      </w:r>
      <w:r w:rsidR="00FC1128" w:rsidRPr="006224FE">
        <w:rPr>
          <w:rFonts w:asciiTheme="minorHAnsi" w:hAnsiTheme="minorHAnsi"/>
        </w:rPr>
        <w:t>consider</w:t>
      </w:r>
      <w:r w:rsidR="00C306A7" w:rsidRPr="006224FE">
        <w:rPr>
          <w:rFonts w:asciiTheme="minorHAnsi" w:hAnsiTheme="minorHAnsi"/>
        </w:rPr>
        <w:t>ed</w:t>
      </w:r>
      <w:r w:rsidR="00FC1128" w:rsidRPr="006224FE">
        <w:rPr>
          <w:rFonts w:asciiTheme="minorHAnsi" w:hAnsiTheme="minorHAnsi"/>
        </w:rPr>
        <w:t xml:space="preserve"> ‘health-endangering</w:t>
      </w:r>
      <w:r w:rsidRPr="006224FE">
        <w:rPr>
          <w:rFonts w:asciiTheme="minorHAnsi" w:hAnsiTheme="minorHAnsi"/>
        </w:rPr>
        <w:t>’</w:t>
      </w:r>
      <w:r w:rsidR="00FC1128" w:rsidRPr="006224FE">
        <w:rPr>
          <w:rFonts w:asciiTheme="minorHAnsi" w:hAnsiTheme="minorHAnsi"/>
        </w:rPr>
        <w:t xml:space="preserve"> </w:t>
      </w:r>
      <w:r w:rsidRPr="006224FE">
        <w:rPr>
          <w:rFonts w:asciiTheme="minorHAnsi" w:hAnsiTheme="minorHAnsi"/>
        </w:rPr>
        <w:t xml:space="preserve">are seen as positive by </w:t>
      </w:r>
      <w:r w:rsidR="00FC1128" w:rsidRPr="006224FE">
        <w:rPr>
          <w:rFonts w:asciiTheme="minorHAnsi" w:hAnsiTheme="minorHAnsi"/>
        </w:rPr>
        <w:t xml:space="preserve">our </w:t>
      </w:r>
      <w:r w:rsidR="009E2E6A" w:rsidRPr="006224FE">
        <w:rPr>
          <w:rFonts w:asciiTheme="minorHAnsi" w:hAnsiTheme="minorHAnsi"/>
        </w:rPr>
        <w:t>target groups</w:t>
      </w:r>
      <w:r w:rsidRPr="006224FE">
        <w:rPr>
          <w:rFonts w:asciiTheme="minorHAnsi" w:hAnsiTheme="minorHAnsi"/>
        </w:rPr>
        <w:t>. Binge drinking</w:t>
      </w:r>
      <w:r w:rsidR="00FC1128" w:rsidRPr="006224FE">
        <w:rPr>
          <w:rFonts w:asciiTheme="minorHAnsi" w:hAnsiTheme="minorHAnsi"/>
        </w:rPr>
        <w:t xml:space="preserve">, for example, </w:t>
      </w:r>
      <w:r w:rsidR="00A05EC7" w:rsidRPr="006224FE">
        <w:rPr>
          <w:rFonts w:asciiTheme="minorHAnsi" w:hAnsiTheme="minorHAnsi"/>
        </w:rPr>
        <w:t xml:space="preserve">is mostly </w:t>
      </w:r>
      <w:r w:rsidR="00FC1128" w:rsidRPr="006224FE">
        <w:rPr>
          <w:rFonts w:asciiTheme="minorHAnsi" w:hAnsiTheme="minorHAnsi"/>
        </w:rPr>
        <w:t xml:space="preserve">considered </w:t>
      </w:r>
      <w:r w:rsidRPr="006224FE">
        <w:rPr>
          <w:rFonts w:asciiTheme="minorHAnsi" w:hAnsiTheme="minorHAnsi"/>
        </w:rPr>
        <w:t>fun and sociable</w:t>
      </w:r>
      <w:r w:rsidR="00A05EC7" w:rsidRPr="006224FE">
        <w:rPr>
          <w:rFonts w:asciiTheme="minorHAnsi" w:hAnsiTheme="minorHAnsi"/>
        </w:rPr>
        <w:t xml:space="preserve"> </w:t>
      </w:r>
      <w:r w:rsidR="00AD036C" w:rsidRPr="006224FE">
        <w:rPr>
          <w:rFonts w:asciiTheme="minorHAnsi" w:hAnsiTheme="minorHAnsi"/>
        </w:rPr>
        <w:fldChar w:fldCharType="begin"/>
      </w:r>
      <w:r w:rsidR="00A05EC7" w:rsidRPr="006224FE">
        <w:rPr>
          <w:rFonts w:asciiTheme="minorHAnsi" w:hAnsiTheme="minorHAnsi"/>
        </w:rPr>
        <w:instrText>ADDIN RW.CITE{{661 Spotswood, F. 2010}}</w:instrText>
      </w:r>
      <w:r w:rsidR="00AD036C" w:rsidRPr="006224FE">
        <w:rPr>
          <w:rFonts w:asciiTheme="minorHAnsi" w:hAnsiTheme="minorHAnsi"/>
        </w:rPr>
        <w:fldChar w:fldCharType="separate"/>
      </w:r>
      <w:r w:rsidR="00446CFB" w:rsidRPr="006224FE">
        <w:rPr>
          <w:rFonts w:asciiTheme="minorHAnsi" w:hAnsiTheme="minorHAnsi"/>
        </w:rPr>
        <w:t>(Spotswood &amp; Tapp, 2010)</w:t>
      </w:r>
      <w:r w:rsidR="00AD036C" w:rsidRPr="006224FE">
        <w:rPr>
          <w:rFonts w:asciiTheme="minorHAnsi" w:hAnsiTheme="minorHAnsi"/>
        </w:rPr>
        <w:fldChar w:fldCharType="end"/>
      </w:r>
      <w:r w:rsidRPr="006224FE">
        <w:rPr>
          <w:rFonts w:asciiTheme="minorHAnsi" w:hAnsiTheme="minorHAnsi"/>
        </w:rPr>
        <w:t xml:space="preserve">, so it becomes clear that </w:t>
      </w:r>
      <w:r w:rsidR="00FC1128" w:rsidRPr="006224FE">
        <w:rPr>
          <w:rFonts w:asciiTheme="minorHAnsi" w:hAnsiTheme="minorHAnsi"/>
        </w:rPr>
        <w:t xml:space="preserve">a </w:t>
      </w:r>
      <w:r w:rsidRPr="006224FE">
        <w:rPr>
          <w:rFonts w:asciiTheme="minorHAnsi" w:hAnsiTheme="minorHAnsi"/>
        </w:rPr>
        <w:t>cognitive of</w:t>
      </w:r>
      <w:r w:rsidR="00B82463" w:rsidRPr="006224FE">
        <w:rPr>
          <w:rFonts w:asciiTheme="minorHAnsi" w:hAnsiTheme="minorHAnsi"/>
        </w:rPr>
        <w:t xml:space="preserve">fer based on the benefits of </w:t>
      </w:r>
      <w:r w:rsidR="00FC1128" w:rsidRPr="006224FE">
        <w:rPr>
          <w:rFonts w:asciiTheme="minorHAnsi" w:hAnsiTheme="minorHAnsi"/>
        </w:rPr>
        <w:t>sobriety</w:t>
      </w:r>
      <w:r w:rsidR="00B82463" w:rsidRPr="006224FE">
        <w:rPr>
          <w:rFonts w:asciiTheme="minorHAnsi" w:hAnsiTheme="minorHAnsi"/>
        </w:rPr>
        <w:t xml:space="preserve"> </w:t>
      </w:r>
      <w:r w:rsidR="00FC1128" w:rsidRPr="006224FE">
        <w:rPr>
          <w:rFonts w:asciiTheme="minorHAnsi" w:hAnsiTheme="minorHAnsi"/>
        </w:rPr>
        <w:t>will</w:t>
      </w:r>
      <w:r w:rsidRPr="006224FE">
        <w:rPr>
          <w:rFonts w:asciiTheme="minorHAnsi" w:hAnsiTheme="minorHAnsi"/>
        </w:rPr>
        <w:t xml:space="preserve"> struggle to have impact</w:t>
      </w:r>
      <w:r w:rsidR="00B82463" w:rsidRPr="006224FE">
        <w:rPr>
          <w:rFonts w:asciiTheme="minorHAnsi" w:hAnsiTheme="minorHAnsi"/>
        </w:rPr>
        <w:t xml:space="preserve">. </w:t>
      </w:r>
      <w:r w:rsidR="009E2E6A" w:rsidRPr="006224FE">
        <w:rPr>
          <w:rFonts w:asciiTheme="minorHAnsi" w:hAnsiTheme="minorHAnsi"/>
        </w:rPr>
        <w:t>It is proposed that f</w:t>
      </w:r>
      <w:r w:rsidR="00B82463" w:rsidRPr="006224FE">
        <w:rPr>
          <w:rFonts w:asciiTheme="minorHAnsi" w:hAnsiTheme="minorHAnsi"/>
        </w:rPr>
        <w:t xml:space="preserve">or </w:t>
      </w:r>
      <w:r w:rsidR="00FC1128" w:rsidRPr="006224FE">
        <w:rPr>
          <w:rFonts w:asciiTheme="minorHAnsi" w:hAnsiTheme="minorHAnsi"/>
        </w:rPr>
        <w:t xml:space="preserve">these </w:t>
      </w:r>
      <w:r w:rsidR="00B82463" w:rsidRPr="006224FE">
        <w:rPr>
          <w:rFonts w:asciiTheme="minorHAnsi" w:hAnsiTheme="minorHAnsi"/>
        </w:rPr>
        <w:t xml:space="preserve">groups most resistant to change, </w:t>
      </w:r>
      <w:r w:rsidRPr="006224FE">
        <w:rPr>
          <w:rFonts w:asciiTheme="minorHAnsi" w:hAnsiTheme="minorHAnsi"/>
        </w:rPr>
        <w:t>interventions tend</w:t>
      </w:r>
      <w:r w:rsidR="00FC1128" w:rsidRPr="006224FE">
        <w:rPr>
          <w:rFonts w:asciiTheme="minorHAnsi" w:hAnsiTheme="minorHAnsi"/>
        </w:rPr>
        <w:t>ing towards the ‘invisible’</w:t>
      </w:r>
      <w:r w:rsidRPr="006224FE">
        <w:rPr>
          <w:rFonts w:asciiTheme="minorHAnsi" w:hAnsiTheme="minorHAnsi"/>
        </w:rPr>
        <w:t xml:space="preserve"> </w:t>
      </w:r>
      <w:r w:rsidR="00FC1128" w:rsidRPr="006224FE">
        <w:rPr>
          <w:rFonts w:asciiTheme="minorHAnsi" w:hAnsiTheme="minorHAnsi"/>
        </w:rPr>
        <w:t>may be</w:t>
      </w:r>
      <w:r w:rsidRPr="006224FE">
        <w:rPr>
          <w:rFonts w:asciiTheme="minorHAnsi" w:hAnsiTheme="minorHAnsi"/>
        </w:rPr>
        <w:t xml:space="preserve"> most effective</w:t>
      </w:r>
      <w:r w:rsidR="00B82463" w:rsidRPr="006224FE">
        <w:rPr>
          <w:rFonts w:asciiTheme="minorHAnsi" w:hAnsiTheme="minorHAnsi"/>
        </w:rPr>
        <w:t xml:space="preserve">. An </w:t>
      </w:r>
      <w:r w:rsidR="002403CC" w:rsidRPr="006224FE">
        <w:rPr>
          <w:rFonts w:asciiTheme="minorHAnsi" w:hAnsiTheme="minorHAnsi"/>
        </w:rPr>
        <w:t xml:space="preserve">‘invisible’ </w:t>
      </w:r>
      <w:r w:rsidR="00B82463" w:rsidRPr="006224FE">
        <w:rPr>
          <w:rFonts w:asciiTheme="minorHAnsi" w:hAnsiTheme="minorHAnsi"/>
        </w:rPr>
        <w:t>interve</w:t>
      </w:r>
      <w:r w:rsidR="00FC1128" w:rsidRPr="006224FE">
        <w:rPr>
          <w:rFonts w:asciiTheme="minorHAnsi" w:hAnsiTheme="minorHAnsi"/>
        </w:rPr>
        <w:t xml:space="preserve">ntion to reduce binge drinking </w:t>
      </w:r>
      <w:r w:rsidR="00B82463" w:rsidRPr="006224FE">
        <w:rPr>
          <w:rFonts w:asciiTheme="minorHAnsi" w:hAnsiTheme="minorHAnsi"/>
        </w:rPr>
        <w:t xml:space="preserve">would not </w:t>
      </w:r>
      <w:r w:rsidR="00FC1128" w:rsidRPr="006224FE">
        <w:rPr>
          <w:rFonts w:asciiTheme="minorHAnsi" w:hAnsiTheme="minorHAnsi"/>
        </w:rPr>
        <w:t xml:space="preserve">likely </w:t>
      </w:r>
      <w:r w:rsidR="00B82463" w:rsidRPr="006224FE">
        <w:rPr>
          <w:rFonts w:asciiTheme="minorHAnsi" w:hAnsiTheme="minorHAnsi"/>
        </w:rPr>
        <w:t>menti</w:t>
      </w:r>
      <w:r w:rsidR="009E2E6A" w:rsidRPr="006224FE">
        <w:rPr>
          <w:rFonts w:asciiTheme="minorHAnsi" w:hAnsiTheme="minorHAnsi"/>
        </w:rPr>
        <w:t>on</w:t>
      </w:r>
      <w:r w:rsidR="00B82463" w:rsidRPr="006224FE">
        <w:rPr>
          <w:rFonts w:asciiTheme="minorHAnsi" w:hAnsiTheme="minorHAnsi"/>
        </w:rPr>
        <w:t xml:space="preserve"> alcohol, rather</w:t>
      </w:r>
      <w:r w:rsidR="00C306A7" w:rsidRPr="006224FE">
        <w:rPr>
          <w:rFonts w:asciiTheme="minorHAnsi" w:hAnsiTheme="minorHAnsi"/>
        </w:rPr>
        <w:t>,</w:t>
      </w:r>
      <w:r w:rsidR="00B82463" w:rsidRPr="006224FE">
        <w:rPr>
          <w:rFonts w:asciiTheme="minorHAnsi" w:hAnsiTheme="minorHAnsi"/>
        </w:rPr>
        <w:t xml:space="preserve"> offer</w:t>
      </w:r>
      <w:r w:rsidR="00FC1128" w:rsidRPr="006224FE">
        <w:rPr>
          <w:rFonts w:asciiTheme="minorHAnsi" w:hAnsiTheme="minorHAnsi"/>
        </w:rPr>
        <w:t>ing</w:t>
      </w:r>
      <w:r w:rsidR="00B82463" w:rsidRPr="006224FE">
        <w:rPr>
          <w:rFonts w:asciiTheme="minorHAnsi" w:hAnsiTheme="minorHAnsi"/>
        </w:rPr>
        <w:t xml:space="preserve"> diversionary activities with immediate perceived benefits</w:t>
      </w:r>
      <w:r w:rsidR="00A05EC7" w:rsidRPr="006224FE">
        <w:rPr>
          <w:rFonts w:asciiTheme="minorHAnsi" w:hAnsiTheme="minorHAnsi"/>
        </w:rPr>
        <w:t xml:space="preserve"> </w:t>
      </w:r>
      <w:r w:rsidR="00AD036C" w:rsidRPr="006224FE">
        <w:rPr>
          <w:rFonts w:asciiTheme="minorHAnsi" w:hAnsiTheme="minorHAnsi"/>
        </w:rPr>
        <w:fldChar w:fldCharType="begin"/>
      </w:r>
      <w:r w:rsidR="003F272E" w:rsidRPr="006224FE">
        <w:rPr>
          <w:rFonts w:asciiTheme="minorHAnsi" w:hAnsiTheme="minorHAnsi"/>
        </w:rPr>
        <w:instrText>ADDIN RW.CITE{{649 Hughes, K. 2003}}</w:instrText>
      </w:r>
      <w:r w:rsidR="00AD036C" w:rsidRPr="006224FE">
        <w:rPr>
          <w:rFonts w:asciiTheme="minorHAnsi" w:hAnsiTheme="minorHAnsi"/>
        </w:rPr>
        <w:fldChar w:fldCharType="separate"/>
      </w:r>
      <w:r w:rsidR="00446CFB" w:rsidRPr="006224FE">
        <w:rPr>
          <w:rFonts w:asciiTheme="minorHAnsi" w:hAnsiTheme="minorHAnsi"/>
        </w:rPr>
        <w:t>(Hughes &amp; Bellis, 2003)</w:t>
      </w:r>
      <w:r w:rsidR="00AD036C" w:rsidRPr="006224FE">
        <w:rPr>
          <w:rFonts w:asciiTheme="minorHAnsi" w:hAnsiTheme="minorHAnsi"/>
        </w:rPr>
        <w:fldChar w:fldCharType="end"/>
      </w:r>
      <w:r w:rsidR="00B82463" w:rsidRPr="006224FE">
        <w:rPr>
          <w:rFonts w:asciiTheme="minorHAnsi" w:hAnsiTheme="minorHAnsi"/>
        </w:rPr>
        <w:t xml:space="preserve"> or aim to </w:t>
      </w:r>
      <w:r w:rsidR="00FC1128" w:rsidRPr="006224FE">
        <w:rPr>
          <w:rFonts w:asciiTheme="minorHAnsi" w:hAnsiTheme="minorHAnsi"/>
        </w:rPr>
        <w:t>increase</w:t>
      </w:r>
      <w:r w:rsidR="00B82463" w:rsidRPr="006224FE">
        <w:rPr>
          <w:rFonts w:asciiTheme="minorHAnsi" w:hAnsiTheme="minorHAnsi"/>
        </w:rPr>
        <w:t xml:space="preserve"> its financial cost (</w:t>
      </w:r>
      <w:r w:rsidR="00C306A7" w:rsidRPr="006224FE">
        <w:rPr>
          <w:rFonts w:asciiTheme="minorHAnsi" w:hAnsiTheme="minorHAnsi"/>
        </w:rPr>
        <w:t>in the case of alcohol, as argued by Plant and Plant 2006</w:t>
      </w:r>
      <w:r w:rsidR="00CF05BD" w:rsidRPr="006224FE">
        <w:rPr>
          <w:rFonts w:asciiTheme="minorHAnsi" w:hAnsiTheme="minorHAnsi"/>
        </w:rPr>
        <w:t>)</w:t>
      </w:r>
      <w:r w:rsidR="00D935E0" w:rsidRPr="006224FE">
        <w:rPr>
          <w:rFonts w:asciiTheme="minorHAnsi" w:hAnsiTheme="minorHAnsi"/>
        </w:rPr>
        <w:t>. This is illustrated in Diagram 2:</w:t>
      </w:r>
    </w:p>
    <w:p w:rsidR="005426C5" w:rsidRPr="006224FE" w:rsidRDefault="00AD036C" w:rsidP="000F600A">
      <w:pPr>
        <w:spacing w:line="480" w:lineRule="auto"/>
        <w:rPr>
          <w:rFonts w:asciiTheme="minorHAnsi" w:hAnsiTheme="minorHAnsi"/>
          <w:u w:val="single"/>
        </w:rPr>
      </w:pPr>
      <w:r w:rsidRPr="00AD036C">
        <w:rPr>
          <w:rFonts w:asciiTheme="minorHAnsi" w:hAnsiTheme="minorHAnsi"/>
          <w:noProof/>
        </w:rPr>
        <w:pict>
          <v:group id="_x0000_s1041" style="position:absolute;margin-left:1.35pt;margin-top:27.2pt;width:450.8pt;height:135.85pt;z-index:251666432" coordorigin="1467,7776" coordsize="9016,2717">
            <v:rect id="_x0000_s1042" style="position:absolute;left:1467;top:7776;width:9016;height:2717" strokeweight="1.5pt">
              <v:fill opacity="0"/>
            </v:rect>
            <v:shape id="_x0000_s1043" type="#_x0000_t202" style="position:absolute;left:1553;top:7898;width:1485;height:711;mso-width-relative:margin;mso-height-relative:margin" fillcolor="white [3212]" strokecolor="white [3212]">
              <v:textbox style="mso-fit-shape-to-text:t">
                <w:txbxContent>
                  <w:p w:rsidR="00DF245A" w:rsidRDefault="00DF245A" w:rsidP="002864FC">
                    <w:r>
                      <w:t xml:space="preserve">Transparent </w:t>
                    </w:r>
                  </w:p>
                  <w:p w:rsidR="00DF245A" w:rsidRDefault="00DF245A" w:rsidP="002864FC">
                    <w:r>
                      <w:t>Marketing</w:t>
                    </w:r>
                  </w:p>
                </w:txbxContent>
              </v:textbox>
            </v:shape>
            <v:shape id="_x0000_s1044" type="#_x0000_t202" style="position:absolute;left:9056;top:7866;width:1357;height:743;mso-width-relative:margin;mso-height-relative:margin" fillcolor="white [3212]" strokecolor="white [3212]">
              <v:textbox>
                <w:txbxContent>
                  <w:p w:rsidR="00DF245A" w:rsidRDefault="00DF245A" w:rsidP="002864FC">
                    <w:r>
                      <w:t xml:space="preserve">Invisible </w:t>
                    </w:r>
                  </w:p>
                  <w:p w:rsidR="00DF245A" w:rsidRDefault="00DF245A" w:rsidP="002864FC">
                    <w:r>
                      <w:t>Marketing</w:t>
                    </w:r>
                  </w:p>
                </w:txbxContent>
              </v:textbox>
            </v:shape>
            <v:shape id="_x0000_s1045" type="#_x0000_t202" style="position:absolute;left:1548;top:9017;width:1061;height:706;mso-width-relative:margin;mso-height-relative:margin" strokecolor="white [3212]">
              <v:textbox>
                <w:txbxContent>
                  <w:p w:rsidR="00DF245A" w:rsidRPr="00161094" w:rsidRDefault="00DF245A" w:rsidP="002864FC">
                    <w:pPr>
                      <w:rPr>
                        <w:sz w:val="16"/>
                        <w:szCs w:val="16"/>
                      </w:rPr>
                    </w:pPr>
                    <w:r w:rsidRPr="00161094">
                      <w:rPr>
                        <w:sz w:val="16"/>
                        <w:szCs w:val="16"/>
                      </w:rPr>
                      <w:t>Simple cognitive exchange</w:t>
                    </w:r>
                  </w:p>
                </w:txbxContent>
              </v:textbox>
            </v:shape>
            <v:shape id="_x0000_s1046" type="#_x0000_t202" style="position:absolute;left:3128;top:9017;width:894;height:561;mso-width-relative:margin;mso-height-relative:margin" strokecolor="white [3212]">
              <v:textbox>
                <w:txbxContent>
                  <w:p w:rsidR="00DF245A" w:rsidRPr="00161094" w:rsidRDefault="00DF245A" w:rsidP="002864FC">
                    <w:pPr>
                      <w:rPr>
                        <w:sz w:val="16"/>
                        <w:szCs w:val="16"/>
                      </w:rPr>
                    </w:pPr>
                    <w:r>
                      <w:rPr>
                        <w:sz w:val="16"/>
                        <w:szCs w:val="16"/>
                      </w:rPr>
                      <w:t>Emotion arousal</w:t>
                    </w:r>
                  </w:p>
                </w:txbxContent>
              </v:textbox>
            </v:shape>
            <v:shape id="_x0000_s1047" type="#_x0000_t202" style="position:absolute;left:4598;top:9017;width:1061;height:706;mso-width-relative:margin;mso-height-relative:margin" strokecolor="white [3212]">
              <v:textbox>
                <w:txbxContent>
                  <w:p w:rsidR="00DF245A" w:rsidRPr="00161094" w:rsidRDefault="00DF245A" w:rsidP="002864FC">
                    <w:pPr>
                      <w:rPr>
                        <w:sz w:val="16"/>
                        <w:szCs w:val="16"/>
                      </w:rPr>
                    </w:pPr>
                    <w:proofErr w:type="spellStart"/>
                    <w:r>
                      <w:rPr>
                        <w:sz w:val="16"/>
                        <w:szCs w:val="16"/>
                      </w:rPr>
                      <w:t>Stim</w:t>
                    </w:r>
                    <w:proofErr w:type="spellEnd"/>
                    <w:r>
                      <w:rPr>
                        <w:sz w:val="16"/>
                        <w:szCs w:val="16"/>
                      </w:rPr>
                      <w:t>-response techniques</w:t>
                    </w:r>
                  </w:p>
                </w:txbxContent>
              </v:textbox>
            </v:shape>
            <v:shape id="_x0000_s1048" type="#_x0000_t202" style="position:absolute;left:6186;top:9017;width:896;height:561;mso-width-relative:margin;mso-height-relative:margin" strokecolor="white [3212]">
              <v:textbox>
                <w:txbxContent>
                  <w:p w:rsidR="00DF245A" w:rsidRPr="00161094" w:rsidRDefault="00DF245A" w:rsidP="002864FC">
                    <w:pPr>
                      <w:rPr>
                        <w:sz w:val="16"/>
                        <w:szCs w:val="16"/>
                      </w:rPr>
                    </w:pPr>
                    <w:r>
                      <w:rPr>
                        <w:sz w:val="16"/>
                        <w:szCs w:val="16"/>
                      </w:rPr>
                      <w:t>Social mimicry</w:t>
                    </w:r>
                  </w:p>
                </w:txbxContent>
              </v:textbox>
            </v:shape>
            <v:shape id="_x0000_s1049" type="#_x0000_t202" style="position:absolute;left:7719;top:9017;width:906;height:706;mso-width-relative:margin;mso-height-relative:margin" strokecolor="white [3212]">
              <v:textbox>
                <w:txbxContent>
                  <w:p w:rsidR="00DF245A" w:rsidRPr="00161094" w:rsidRDefault="00DF245A" w:rsidP="002864FC">
                    <w:pPr>
                      <w:rPr>
                        <w:sz w:val="16"/>
                        <w:szCs w:val="16"/>
                      </w:rPr>
                    </w:pPr>
                    <w:r>
                      <w:rPr>
                        <w:sz w:val="16"/>
                        <w:szCs w:val="16"/>
                      </w:rPr>
                      <w:t>Fixed action patterns</w:t>
                    </w:r>
                  </w:p>
                </w:txbxContent>
              </v:textbox>
            </v:shape>
            <v:shape id="_x0000_s1050" type="#_x0000_t202" style="position:absolute;left:9199;top:9017;width:1061;height:561;mso-width-relative:margin;mso-height-relative:margin" strokecolor="white [3212]">
              <v:textbox>
                <w:txbxContent>
                  <w:p w:rsidR="00DF245A" w:rsidRPr="00161094" w:rsidRDefault="00DF245A" w:rsidP="002864FC">
                    <w:pPr>
                      <w:rPr>
                        <w:sz w:val="16"/>
                        <w:szCs w:val="16"/>
                      </w:rPr>
                    </w:pPr>
                    <w:r>
                      <w:rPr>
                        <w:sz w:val="16"/>
                        <w:szCs w:val="16"/>
                      </w:rPr>
                      <w:t>Choice architecture</w:t>
                    </w:r>
                  </w:p>
                </w:txbxContent>
              </v:textbox>
            </v:shape>
            <v:shape id="_x0000_s1051" type="#_x0000_t32" style="position:absolute;left:1553;top:8700;width:8857;height:0" o:connectortype="straight" strokecolor="#938953 [1614]" strokeweight="5.5pt">
              <v:stroke startarrow="open" endarrow="open"/>
            </v:shape>
            <v:shape id="_x0000_s1052" type="#_x0000_t202" style="position:absolute;left:1560;top:9719;width:1955;height:699;mso-width-relative:margin;mso-height-relative:margin" fillcolor="#960">
              <v:fill opacity="28836f"/>
              <v:textbox>
                <w:txbxContent>
                  <w:p w:rsidR="00DF245A" w:rsidRPr="006B4A46" w:rsidRDefault="00DF245A" w:rsidP="002864FC">
                    <w:pPr>
                      <w:rPr>
                        <w:sz w:val="20"/>
                        <w:szCs w:val="20"/>
                      </w:rPr>
                    </w:pPr>
                    <w:r w:rsidRPr="006B4A46">
                      <w:rPr>
                        <w:sz w:val="20"/>
                        <w:szCs w:val="20"/>
                      </w:rPr>
                      <w:t>Better for low resistance audiences</w:t>
                    </w:r>
                  </w:p>
                </w:txbxContent>
              </v:textbox>
            </v:shape>
            <v:shape id="_x0000_s1053" type="#_x0000_t202" style="position:absolute;left:8451;top:9719;width:1955;height:699;mso-width-relative:margin;mso-height-relative:margin" fillcolor="#960">
              <v:fill opacity="28836f"/>
              <v:textbox>
                <w:txbxContent>
                  <w:p w:rsidR="00DF245A" w:rsidRPr="006B4A46" w:rsidRDefault="00DF245A" w:rsidP="002864FC">
                    <w:pPr>
                      <w:rPr>
                        <w:sz w:val="20"/>
                        <w:szCs w:val="20"/>
                      </w:rPr>
                    </w:pPr>
                    <w:r w:rsidRPr="006B4A46">
                      <w:rPr>
                        <w:sz w:val="20"/>
                        <w:szCs w:val="20"/>
                      </w:rPr>
                      <w:t xml:space="preserve">Better for </w:t>
                    </w:r>
                    <w:r>
                      <w:rPr>
                        <w:sz w:val="20"/>
                        <w:szCs w:val="20"/>
                      </w:rPr>
                      <w:t xml:space="preserve">high </w:t>
                    </w:r>
                    <w:r w:rsidRPr="006B4A46">
                      <w:rPr>
                        <w:sz w:val="20"/>
                        <w:szCs w:val="20"/>
                      </w:rPr>
                      <w:t>resistance audiences</w:t>
                    </w:r>
                  </w:p>
                </w:txbxContent>
              </v:textbox>
            </v:shape>
          </v:group>
        </w:pict>
      </w:r>
      <w:r w:rsidR="002864FC" w:rsidRPr="006224FE">
        <w:rPr>
          <w:rFonts w:asciiTheme="minorHAnsi" w:hAnsiTheme="minorHAnsi"/>
          <w:u w:val="single"/>
        </w:rPr>
        <w:t>Diagram 2: Transparency, invisibility and resistance</w:t>
      </w:r>
    </w:p>
    <w:p w:rsidR="002864FC" w:rsidRPr="006224FE" w:rsidRDefault="002864FC" w:rsidP="000F600A">
      <w:pPr>
        <w:spacing w:line="480" w:lineRule="auto"/>
        <w:rPr>
          <w:rFonts w:asciiTheme="minorHAnsi" w:hAnsiTheme="minorHAnsi"/>
        </w:rPr>
      </w:pPr>
    </w:p>
    <w:p w:rsidR="005426C5" w:rsidRPr="006224FE" w:rsidRDefault="005426C5" w:rsidP="000F600A">
      <w:pPr>
        <w:spacing w:line="480" w:lineRule="auto"/>
        <w:rPr>
          <w:rFonts w:asciiTheme="minorHAnsi" w:hAnsiTheme="minorHAnsi"/>
        </w:rPr>
      </w:pPr>
    </w:p>
    <w:p w:rsidR="002864FC" w:rsidRPr="006224FE" w:rsidRDefault="002864FC" w:rsidP="000F600A">
      <w:pPr>
        <w:spacing w:line="480" w:lineRule="auto"/>
        <w:rPr>
          <w:rFonts w:asciiTheme="minorHAnsi" w:hAnsiTheme="minorHAnsi"/>
        </w:rPr>
      </w:pPr>
    </w:p>
    <w:p w:rsidR="002864FC" w:rsidRPr="006224FE" w:rsidRDefault="002864FC" w:rsidP="000F600A">
      <w:pPr>
        <w:spacing w:line="480" w:lineRule="auto"/>
        <w:rPr>
          <w:rFonts w:asciiTheme="minorHAnsi" w:hAnsiTheme="minorHAnsi"/>
        </w:rPr>
      </w:pPr>
    </w:p>
    <w:p w:rsidR="002864FC" w:rsidRPr="006224FE" w:rsidRDefault="002864FC" w:rsidP="000F600A">
      <w:pPr>
        <w:spacing w:line="480" w:lineRule="auto"/>
        <w:rPr>
          <w:rFonts w:asciiTheme="minorHAnsi" w:hAnsiTheme="minorHAnsi"/>
        </w:rPr>
      </w:pPr>
    </w:p>
    <w:p w:rsidR="00B74206" w:rsidRPr="006224FE" w:rsidRDefault="00D935E0" w:rsidP="00B74206">
      <w:pPr>
        <w:spacing w:line="480" w:lineRule="auto"/>
        <w:rPr>
          <w:rFonts w:asciiTheme="minorHAnsi" w:hAnsiTheme="minorHAnsi"/>
        </w:rPr>
      </w:pPr>
      <w:r w:rsidRPr="006224FE">
        <w:rPr>
          <w:rFonts w:asciiTheme="minorHAnsi" w:hAnsiTheme="minorHAnsi"/>
        </w:rPr>
        <w:t xml:space="preserve">Secondly, </w:t>
      </w:r>
      <w:r w:rsidR="00FC1128" w:rsidRPr="006224FE">
        <w:rPr>
          <w:rFonts w:asciiTheme="minorHAnsi" w:hAnsiTheme="minorHAnsi"/>
        </w:rPr>
        <w:t>we propose that applying ‘transparent’ approaches will</w:t>
      </w:r>
      <w:r w:rsidRPr="006224FE">
        <w:rPr>
          <w:rFonts w:asciiTheme="minorHAnsi" w:hAnsiTheme="minorHAnsi"/>
        </w:rPr>
        <w:t xml:space="preserve"> increase social marketing’s ROI</w:t>
      </w:r>
      <w:r w:rsidR="00B71D50" w:rsidRPr="006224FE">
        <w:rPr>
          <w:rFonts w:asciiTheme="minorHAnsi" w:hAnsiTheme="minorHAnsi"/>
        </w:rPr>
        <w:t xml:space="preserve"> because of the sustainable behaviour change it can potentially create</w:t>
      </w:r>
      <w:r w:rsidR="002864FC" w:rsidRPr="006224FE">
        <w:rPr>
          <w:rFonts w:asciiTheme="minorHAnsi" w:hAnsiTheme="minorHAnsi"/>
        </w:rPr>
        <w:t xml:space="preserve">. </w:t>
      </w:r>
      <w:r w:rsidR="007D2C6F" w:rsidRPr="006224FE">
        <w:rPr>
          <w:rFonts w:asciiTheme="minorHAnsi" w:hAnsiTheme="minorHAnsi"/>
        </w:rPr>
        <w:t>A</w:t>
      </w:r>
      <w:r w:rsidRPr="006224FE">
        <w:rPr>
          <w:rFonts w:asciiTheme="minorHAnsi" w:hAnsiTheme="minorHAnsi"/>
        </w:rPr>
        <w:t xml:space="preserve"> major limitation of co</w:t>
      </w:r>
      <w:r w:rsidR="00FC1128" w:rsidRPr="006224FE">
        <w:rPr>
          <w:rFonts w:asciiTheme="minorHAnsi" w:hAnsiTheme="minorHAnsi"/>
        </w:rPr>
        <w:t xml:space="preserve">gnitive exchange is the short lifespan of the new </w:t>
      </w:r>
      <w:r w:rsidRPr="006224FE">
        <w:rPr>
          <w:rFonts w:asciiTheme="minorHAnsi" w:hAnsiTheme="minorHAnsi"/>
        </w:rPr>
        <w:t>behaviour,</w:t>
      </w:r>
      <w:r w:rsidR="00B71D50" w:rsidRPr="006224FE">
        <w:rPr>
          <w:rFonts w:asciiTheme="minorHAnsi" w:hAnsiTheme="minorHAnsi"/>
        </w:rPr>
        <w:t xml:space="preserve"> creating a need for</w:t>
      </w:r>
      <w:r w:rsidR="007D2C6F" w:rsidRPr="006224FE">
        <w:rPr>
          <w:rFonts w:asciiTheme="minorHAnsi" w:hAnsiTheme="minorHAnsi"/>
        </w:rPr>
        <w:t xml:space="preserve"> </w:t>
      </w:r>
      <w:r w:rsidR="00A66854" w:rsidRPr="006224FE">
        <w:rPr>
          <w:rFonts w:asciiTheme="minorHAnsi" w:hAnsiTheme="minorHAnsi"/>
        </w:rPr>
        <w:t>expensive ‘</w:t>
      </w:r>
      <w:r w:rsidR="007D2C6F" w:rsidRPr="006224FE">
        <w:rPr>
          <w:rFonts w:asciiTheme="minorHAnsi" w:hAnsiTheme="minorHAnsi"/>
        </w:rPr>
        <w:t>ongoing</w:t>
      </w:r>
      <w:r w:rsidR="00A66854" w:rsidRPr="006224FE">
        <w:rPr>
          <w:rFonts w:asciiTheme="minorHAnsi" w:hAnsiTheme="minorHAnsi"/>
        </w:rPr>
        <w:t>’</w:t>
      </w:r>
      <w:r w:rsidR="007D2C6F" w:rsidRPr="006224FE">
        <w:rPr>
          <w:rFonts w:asciiTheme="minorHAnsi" w:hAnsiTheme="minorHAnsi"/>
        </w:rPr>
        <w:t xml:space="preserve"> marketing to</w:t>
      </w:r>
      <w:r w:rsidR="00FC1128" w:rsidRPr="006224FE">
        <w:rPr>
          <w:rFonts w:asciiTheme="minorHAnsi" w:hAnsiTheme="minorHAnsi"/>
        </w:rPr>
        <w:t xml:space="preserve"> remind and coax</w:t>
      </w:r>
      <w:r w:rsidR="00B71D50" w:rsidRPr="006224FE">
        <w:rPr>
          <w:rFonts w:asciiTheme="minorHAnsi" w:hAnsiTheme="minorHAnsi"/>
        </w:rPr>
        <w:t xml:space="preserve"> once emotions, cultural norms and habits once again take over the decision making domain.</w:t>
      </w:r>
      <w:r w:rsidR="00B74206" w:rsidRPr="006224FE">
        <w:rPr>
          <w:rFonts w:asciiTheme="minorHAnsi" w:hAnsiTheme="minorHAnsi"/>
        </w:rPr>
        <w:t xml:space="preserve"> </w:t>
      </w:r>
    </w:p>
    <w:p w:rsidR="00B71D50" w:rsidRPr="006224FE" w:rsidRDefault="00B71D50" w:rsidP="00B71D50">
      <w:pPr>
        <w:rPr>
          <w:rFonts w:asciiTheme="minorHAnsi" w:hAnsiTheme="minorHAnsi"/>
        </w:rPr>
      </w:pPr>
    </w:p>
    <w:p w:rsidR="00C763BC" w:rsidRPr="006224FE" w:rsidRDefault="00B71D50" w:rsidP="00C763BC">
      <w:pPr>
        <w:spacing w:line="480" w:lineRule="auto"/>
        <w:rPr>
          <w:rFonts w:asciiTheme="minorHAnsi" w:hAnsiTheme="minorHAnsi"/>
        </w:rPr>
      </w:pPr>
      <w:r w:rsidRPr="006224FE">
        <w:rPr>
          <w:rFonts w:asciiTheme="minorHAnsi" w:hAnsiTheme="minorHAnsi"/>
        </w:rPr>
        <w:lastRenderedPageBreak/>
        <w:t>In contrast,</w:t>
      </w:r>
      <w:r w:rsidR="00C763BC" w:rsidRPr="006224FE">
        <w:rPr>
          <w:rFonts w:asciiTheme="minorHAnsi" w:hAnsiTheme="minorHAnsi"/>
        </w:rPr>
        <w:t xml:space="preserve"> behaviour change instigated using the relatively ‘invisible’ </w:t>
      </w:r>
      <w:r w:rsidRPr="006224FE">
        <w:rPr>
          <w:rFonts w:asciiTheme="minorHAnsi" w:hAnsiTheme="minorHAnsi"/>
        </w:rPr>
        <w:t xml:space="preserve">techniques such as </w:t>
      </w:r>
      <w:r w:rsidR="00C763BC" w:rsidRPr="006224FE">
        <w:rPr>
          <w:rFonts w:asciiTheme="minorHAnsi" w:hAnsiTheme="minorHAnsi"/>
        </w:rPr>
        <w:t xml:space="preserve">social </w:t>
      </w:r>
      <w:proofErr w:type="spellStart"/>
      <w:r w:rsidR="00C763BC" w:rsidRPr="006224FE">
        <w:rPr>
          <w:rFonts w:asciiTheme="minorHAnsi" w:hAnsiTheme="minorHAnsi"/>
        </w:rPr>
        <w:t>norming</w:t>
      </w:r>
      <w:proofErr w:type="spellEnd"/>
      <w:r w:rsidR="00C763BC" w:rsidRPr="006224FE">
        <w:rPr>
          <w:rFonts w:asciiTheme="minorHAnsi" w:hAnsiTheme="minorHAnsi"/>
        </w:rPr>
        <w:t xml:space="preserve"> may </w:t>
      </w:r>
      <w:r w:rsidRPr="006224FE">
        <w:rPr>
          <w:rFonts w:asciiTheme="minorHAnsi" w:hAnsiTheme="minorHAnsi"/>
        </w:rPr>
        <w:t xml:space="preserve">require up-front investment </w:t>
      </w:r>
      <w:r w:rsidR="00A66854" w:rsidRPr="006224FE">
        <w:rPr>
          <w:rFonts w:asciiTheme="minorHAnsi" w:hAnsiTheme="minorHAnsi"/>
        </w:rPr>
        <w:t xml:space="preserve">but this </w:t>
      </w:r>
      <w:r w:rsidRPr="006224FE">
        <w:rPr>
          <w:rFonts w:asciiTheme="minorHAnsi" w:hAnsiTheme="minorHAnsi"/>
        </w:rPr>
        <w:t xml:space="preserve"> pays off through ‘back-end’ retention of behaviour change over time.</w:t>
      </w:r>
      <w:r w:rsidR="00C763BC" w:rsidRPr="006224FE">
        <w:rPr>
          <w:rFonts w:asciiTheme="minorHAnsi" w:hAnsiTheme="minorHAnsi"/>
        </w:rPr>
        <w:t xml:space="preserve"> </w:t>
      </w:r>
      <w:r w:rsidRPr="006224FE">
        <w:rPr>
          <w:rFonts w:asciiTheme="minorHAnsi" w:hAnsiTheme="minorHAnsi"/>
        </w:rPr>
        <w:t xml:space="preserve">Social norm campaigns vary between simple education campaigns </w:t>
      </w:r>
      <w:r w:rsidR="00A66854" w:rsidRPr="006224FE">
        <w:rPr>
          <w:rFonts w:asciiTheme="minorHAnsi" w:hAnsiTheme="minorHAnsi"/>
        </w:rPr>
        <w:t>(</w:t>
      </w:r>
      <w:r w:rsidRPr="006224FE">
        <w:rPr>
          <w:rFonts w:asciiTheme="minorHAnsi" w:hAnsiTheme="minorHAnsi"/>
        </w:rPr>
        <w:t>advising that ‘</w:t>
      </w:r>
      <w:r w:rsidR="00C763BC" w:rsidRPr="006224FE">
        <w:rPr>
          <w:rFonts w:asciiTheme="minorHAnsi" w:hAnsiTheme="minorHAnsi"/>
        </w:rPr>
        <w:t>90% of your fel</w:t>
      </w:r>
      <w:r w:rsidRPr="006224FE">
        <w:rPr>
          <w:rFonts w:asciiTheme="minorHAnsi" w:hAnsiTheme="minorHAnsi"/>
        </w:rPr>
        <w:t xml:space="preserve">low students do not binge drink’ </w:t>
      </w:r>
      <w:r w:rsidR="00AD036C" w:rsidRPr="006224FE">
        <w:rPr>
          <w:rFonts w:asciiTheme="minorHAnsi" w:hAnsiTheme="minorHAnsi"/>
        </w:rPr>
        <w:fldChar w:fldCharType="begin"/>
      </w:r>
      <w:r w:rsidRPr="006224FE">
        <w:rPr>
          <w:rFonts w:asciiTheme="minorHAnsi" w:hAnsiTheme="minorHAnsi"/>
        </w:rPr>
        <w:instrText>ADDIN RW.CITE{{657 Berkowitz, A. 2005}}</w:instrText>
      </w:r>
      <w:r w:rsidR="00AD036C" w:rsidRPr="006224FE">
        <w:rPr>
          <w:rFonts w:asciiTheme="minorHAnsi" w:hAnsiTheme="minorHAnsi"/>
        </w:rPr>
        <w:fldChar w:fldCharType="separate"/>
      </w:r>
      <w:r w:rsidR="00446CFB" w:rsidRPr="006224FE">
        <w:rPr>
          <w:rFonts w:asciiTheme="minorHAnsi" w:hAnsiTheme="minorHAnsi"/>
        </w:rPr>
        <w:t>(Berkowitz, 2005)</w:t>
      </w:r>
      <w:r w:rsidR="00AD036C" w:rsidRPr="006224FE">
        <w:rPr>
          <w:rFonts w:asciiTheme="minorHAnsi" w:hAnsiTheme="minorHAnsi"/>
        </w:rPr>
        <w:fldChar w:fldCharType="end"/>
      </w:r>
      <w:r w:rsidR="00A66854" w:rsidRPr="006224FE">
        <w:rPr>
          <w:rFonts w:asciiTheme="minorHAnsi" w:hAnsiTheme="minorHAnsi"/>
        </w:rPr>
        <w:t>)</w:t>
      </w:r>
      <w:r w:rsidR="00C763BC" w:rsidRPr="006224FE">
        <w:rPr>
          <w:rFonts w:asciiTheme="minorHAnsi" w:hAnsiTheme="minorHAnsi"/>
        </w:rPr>
        <w:t xml:space="preserve">; through to the use of </w:t>
      </w:r>
      <w:r w:rsidRPr="006224FE">
        <w:rPr>
          <w:rFonts w:asciiTheme="minorHAnsi" w:hAnsiTheme="minorHAnsi"/>
        </w:rPr>
        <w:t>‘</w:t>
      </w:r>
      <w:r w:rsidR="00C763BC" w:rsidRPr="006224FE">
        <w:rPr>
          <w:rFonts w:asciiTheme="minorHAnsi" w:hAnsiTheme="minorHAnsi"/>
        </w:rPr>
        <w:t>Connectors</w:t>
      </w:r>
      <w:r w:rsidRPr="006224FE">
        <w:rPr>
          <w:rFonts w:asciiTheme="minorHAnsi" w:hAnsiTheme="minorHAnsi"/>
        </w:rPr>
        <w:t>’</w:t>
      </w:r>
      <w:r w:rsidR="00C763BC" w:rsidRPr="006224FE">
        <w:rPr>
          <w:rFonts w:asciiTheme="minorHAnsi" w:hAnsiTheme="minorHAnsi"/>
        </w:rPr>
        <w:t xml:space="preserve">, </w:t>
      </w:r>
      <w:r w:rsidRPr="006224FE">
        <w:rPr>
          <w:rFonts w:asciiTheme="minorHAnsi" w:hAnsiTheme="minorHAnsi"/>
        </w:rPr>
        <w:t>‘</w:t>
      </w:r>
      <w:r w:rsidR="00C763BC" w:rsidRPr="006224FE">
        <w:rPr>
          <w:rFonts w:asciiTheme="minorHAnsi" w:hAnsiTheme="minorHAnsi"/>
        </w:rPr>
        <w:t>Salesmen</w:t>
      </w:r>
      <w:r w:rsidRPr="006224FE">
        <w:rPr>
          <w:rFonts w:asciiTheme="minorHAnsi" w:hAnsiTheme="minorHAnsi"/>
        </w:rPr>
        <w:t>’</w:t>
      </w:r>
      <w:r w:rsidR="00C763BC" w:rsidRPr="006224FE">
        <w:rPr>
          <w:rFonts w:asciiTheme="minorHAnsi" w:hAnsiTheme="minorHAnsi"/>
        </w:rPr>
        <w:t xml:space="preserve"> and </w:t>
      </w:r>
      <w:r w:rsidRPr="006224FE">
        <w:rPr>
          <w:rFonts w:asciiTheme="minorHAnsi" w:hAnsiTheme="minorHAnsi"/>
        </w:rPr>
        <w:t>‘</w:t>
      </w:r>
      <w:r w:rsidR="00C763BC" w:rsidRPr="006224FE">
        <w:rPr>
          <w:rFonts w:asciiTheme="minorHAnsi" w:hAnsiTheme="minorHAnsi"/>
        </w:rPr>
        <w:t>Mavens</w:t>
      </w:r>
      <w:r w:rsidRPr="006224FE">
        <w:rPr>
          <w:rFonts w:asciiTheme="minorHAnsi" w:hAnsiTheme="minorHAnsi"/>
        </w:rPr>
        <w:t>’</w:t>
      </w:r>
      <w:r w:rsidR="00C763BC" w:rsidRPr="006224FE">
        <w:rPr>
          <w:rFonts w:asciiTheme="minorHAnsi" w:hAnsiTheme="minorHAnsi"/>
        </w:rPr>
        <w:t xml:space="preserve"> as conduits t</w:t>
      </w:r>
      <w:r w:rsidRPr="006224FE">
        <w:rPr>
          <w:rFonts w:asciiTheme="minorHAnsi" w:hAnsiTheme="minorHAnsi"/>
        </w:rPr>
        <w:t>hrough which to reach the ‘tipping point</w:t>
      </w:r>
      <w:r w:rsidR="00C763BC" w:rsidRPr="006224FE">
        <w:rPr>
          <w:rFonts w:asciiTheme="minorHAnsi" w:hAnsiTheme="minorHAnsi"/>
        </w:rPr>
        <w:t>’</w:t>
      </w:r>
      <w:r w:rsidRPr="006224FE">
        <w:rPr>
          <w:rFonts w:asciiTheme="minorHAnsi" w:hAnsiTheme="minorHAnsi"/>
        </w:rPr>
        <w:t xml:space="preserve"> of cultural acceptance </w:t>
      </w:r>
      <w:r w:rsidR="00AD036C" w:rsidRPr="006224FE">
        <w:rPr>
          <w:rFonts w:asciiTheme="minorHAnsi" w:hAnsiTheme="minorHAnsi"/>
        </w:rPr>
        <w:fldChar w:fldCharType="begin"/>
      </w:r>
      <w:r w:rsidRPr="006224FE">
        <w:rPr>
          <w:rFonts w:asciiTheme="minorHAnsi" w:hAnsiTheme="minorHAnsi"/>
        </w:rPr>
        <w:instrText>ADDIN RW.CITE{{648 Gladwell, M. 2000}}</w:instrText>
      </w:r>
      <w:r w:rsidR="00AD036C" w:rsidRPr="006224FE">
        <w:rPr>
          <w:rFonts w:asciiTheme="minorHAnsi" w:hAnsiTheme="minorHAnsi"/>
        </w:rPr>
        <w:fldChar w:fldCharType="separate"/>
      </w:r>
      <w:r w:rsidR="00446CFB" w:rsidRPr="006224FE">
        <w:rPr>
          <w:rFonts w:asciiTheme="minorHAnsi" w:hAnsiTheme="minorHAnsi"/>
        </w:rPr>
        <w:t>(Gladwell, 2000)</w:t>
      </w:r>
      <w:r w:rsidR="00AD036C" w:rsidRPr="006224FE">
        <w:rPr>
          <w:rFonts w:asciiTheme="minorHAnsi" w:hAnsiTheme="minorHAnsi"/>
        </w:rPr>
        <w:fldChar w:fldCharType="end"/>
      </w:r>
      <w:r w:rsidRPr="006224FE">
        <w:rPr>
          <w:rFonts w:asciiTheme="minorHAnsi" w:hAnsiTheme="minorHAnsi"/>
        </w:rPr>
        <w:t xml:space="preserve">. These strategies create longer term, sustainable behaviour change </w:t>
      </w:r>
      <w:r w:rsidR="00B74206" w:rsidRPr="006224FE">
        <w:rPr>
          <w:rFonts w:asciiTheme="minorHAnsi" w:hAnsiTheme="minorHAnsi"/>
        </w:rPr>
        <w:t>because they</w:t>
      </w:r>
      <w:r w:rsidRPr="006224FE">
        <w:rPr>
          <w:rFonts w:asciiTheme="minorHAnsi" w:hAnsiTheme="minorHAnsi"/>
        </w:rPr>
        <w:t xml:space="preserve"> focus on habit or emotion-based </w:t>
      </w:r>
      <w:r w:rsidR="00B74206" w:rsidRPr="006224FE">
        <w:rPr>
          <w:rFonts w:asciiTheme="minorHAnsi" w:hAnsiTheme="minorHAnsi"/>
        </w:rPr>
        <w:t xml:space="preserve">behavioural </w:t>
      </w:r>
      <w:r w:rsidRPr="006224FE">
        <w:rPr>
          <w:rFonts w:asciiTheme="minorHAnsi" w:hAnsiTheme="minorHAnsi"/>
        </w:rPr>
        <w:t>loyalty</w:t>
      </w:r>
      <w:r w:rsidR="00B74206" w:rsidRPr="006224FE">
        <w:rPr>
          <w:rFonts w:asciiTheme="minorHAnsi" w:hAnsiTheme="minorHAnsi"/>
        </w:rPr>
        <w:t xml:space="preserve"> which can then lead to social mimicry and reinforcement of the behaviour. In this sense this approach draws parallels with the well documented differences between relationship-marketing and </w:t>
      </w:r>
      <w:r w:rsidRPr="006224FE">
        <w:rPr>
          <w:rFonts w:asciiTheme="minorHAnsi" w:hAnsiTheme="minorHAnsi"/>
        </w:rPr>
        <w:t>transaction</w:t>
      </w:r>
      <w:r w:rsidR="00B74206" w:rsidRPr="006224FE">
        <w:rPr>
          <w:rFonts w:asciiTheme="minorHAnsi" w:hAnsiTheme="minorHAnsi"/>
        </w:rPr>
        <w:t>-</w:t>
      </w:r>
      <w:r w:rsidRPr="006224FE">
        <w:rPr>
          <w:rFonts w:asciiTheme="minorHAnsi" w:hAnsiTheme="minorHAnsi"/>
        </w:rPr>
        <w:t xml:space="preserve">marketing </w:t>
      </w:r>
      <w:r w:rsidR="00B74206" w:rsidRPr="006224FE">
        <w:rPr>
          <w:rFonts w:asciiTheme="minorHAnsi" w:hAnsiTheme="minorHAnsi"/>
        </w:rPr>
        <w:t>approaches</w:t>
      </w:r>
      <w:r w:rsidRPr="006224FE">
        <w:rPr>
          <w:rFonts w:asciiTheme="minorHAnsi" w:hAnsiTheme="minorHAnsi"/>
        </w:rPr>
        <w:t xml:space="preserve">.  </w:t>
      </w:r>
    </w:p>
    <w:p w:rsidR="00B74206" w:rsidRPr="006224FE" w:rsidRDefault="00B74206" w:rsidP="00B74206">
      <w:pPr>
        <w:rPr>
          <w:rFonts w:asciiTheme="minorHAnsi" w:hAnsiTheme="minorHAnsi"/>
        </w:rPr>
      </w:pPr>
    </w:p>
    <w:p w:rsidR="00C763BC" w:rsidRPr="006224FE" w:rsidRDefault="00C763BC" w:rsidP="000F600A">
      <w:pPr>
        <w:spacing w:line="480" w:lineRule="auto"/>
        <w:rPr>
          <w:rFonts w:asciiTheme="minorHAnsi" w:hAnsiTheme="minorHAnsi"/>
        </w:rPr>
      </w:pPr>
      <w:r w:rsidRPr="006224FE">
        <w:rPr>
          <w:rFonts w:asciiTheme="minorHAnsi" w:hAnsiTheme="minorHAnsi"/>
        </w:rPr>
        <w:t xml:space="preserve">Diagram </w:t>
      </w:r>
      <w:r w:rsidR="003907E7" w:rsidRPr="006224FE">
        <w:rPr>
          <w:rFonts w:asciiTheme="minorHAnsi" w:hAnsiTheme="minorHAnsi"/>
        </w:rPr>
        <w:t>3</w:t>
      </w:r>
      <w:r w:rsidRPr="006224FE">
        <w:rPr>
          <w:rFonts w:asciiTheme="minorHAnsi" w:hAnsiTheme="minorHAnsi"/>
        </w:rPr>
        <w:t xml:space="preserve"> shows that ‘invisible’ approaches have the advantage of being rooted in automatic, habitual change, which will be more cost-effective because they produce </w:t>
      </w:r>
      <w:r w:rsidR="003907E7" w:rsidRPr="006224FE">
        <w:rPr>
          <w:rFonts w:asciiTheme="minorHAnsi" w:hAnsiTheme="minorHAnsi"/>
        </w:rPr>
        <w:t>deeply- rooted</w:t>
      </w:r>
      <w:r w:rsidRPr="006224FE">
        <w:rPr>
          <w:rFonts w:asciiTheme="minorHAnsi" w:hAnsiTheme="minorHAnsi"/>
        </w:rPr>
        <w:t xml:space="preserve"> rather than considered behaviours without the need for </w:t>
      </w:r>
      <w:r w:rsidR="003907E7" w:rsidRPr="006224FE">
        <w:rPr>
          <w:rFonts w:asciiTheme="minorHAnsi" w:hAnsiTheme="minorHAnsi"/>
        </w:rPr>
        <w:t xml:space="preserve">as much </w:t>
      </w:r>
      <w:r w:rsidRPr="006224FE">
        <w:rPr>
          <w:rFonts w:asciiTheme="minorHAnsi" w:hAnsiTheme="minorHAnsi"/>
        </w:rPr>
        <w:t>post-intervention marketing investment.</w:t>
      </w:r>
    </w:p>
    <w:p w:rsidR="00F41131" w:rsidRPr="006224FE" w:rsidRDefault="00F41131" w:rsidP="000F600A">
      <w:pPr>
        <w:spacing w:line="480" w:lineRule="auto"/>
        <w:rPr>
          <w:rFonts w:asciiTheme="minorHAnsi" w:hAnsiTheme="minorHAnsi"/>
          <w:b/>
          <w:u w:val="single"/>
        </w:rPr>
      </w:pPr>
      <w:r w:rsidRPr="006224FE">
        <w:rPr>
          <w:rFonts w:asciiTheme="minorHAnsi" w:hAnsiTheme="minorHAnsi"/>
          <w:b/>
          <w:u w:val="single"/>
        </w:rPr>
        <w:t>Diagram 3: Transparency, invisibility and economic effectiveness</w:t>
      </w:r>
    </w:p>
    <w:p w:rsidR="00F41131" w:rsidRPr="006224FE" w:rsidRDefault="00F41131" w:rsidP="005426C5">
      <w:pPr>
        <w:rPr>
          <w:rFonts w:asciiTheme="minorHAnsi" w:hAnsiTheme="minorHAnsi"/>
        </w:rPr>
      </w:pPr>
    </w:p>
    <w:p w:rsidR="00F41131" w:rsidRPr="006224FE" w:rsidRDefault="00AD036C" w:rsidP="000F600A">
      <w:pPr>
        <w:spacing w:line="480" w:lineRule="auto"/>
        <w:rPr>
          <w:rFonts w:asciiTheme="minorHAnsi" w:hAnsiTheme="minorHAnsi"/>
        </w:rPr>
      </w:pPr>
      <w:r>
        <w:rPr>
          <w:rFonts w:asciiTheme="minorHAnsi" w:hAnsiTheme="minorHAnsi"/>
          <w:noProof/>
        </w:rPr>
        <w:pict>
          <v:group id="_x0000_s1054" style="position:absolute;margin-left:-2.15pt;margin-top:-10.7pt;width:450.8pt;height:195.95pt;z-index:251668480" coordorigin="1467,2041" coordsize="9016,3919">
            <v:rect id="_x0000_s1055" style="position:absolute;left:1467;top:2041;width:9016;height:3919" strokeweight="1.5pt">
              <v:fill opacity="0"/>
            </v:rect>
            <v:shape id="_x0000_s1056" type="#_x0000_t202" style="position:absolute;left:1553;top:2163;width:1485;height:711;mso-width-relative:margin;mso-height-relative:margin" fillcolor="white [3212]" strokecolor="white [3212]">
              <v:textbox style="mso-fit-shape-to-text:t">
                <w:txbxContent>
                  <w:p w:rsidR="00DF245A" w:rsidRDefault="00DF245A" w:rsidP="00F41131">
                    <w:r>
                      <w:t xml:space="preserve">Transparent </w:t>
                    </w:r>
                  </w:p>
                  <w:p w:rsidR="00DF245A" w:rsidRDefault="00DF245A" w:rsidP="00F41131">
                    <w:r>
                      <w:t>Marketing</w:t>
                    </w:r>
                  </w:p>
                </w:txbxContent>
              </v:textbox>
            </v:shape>
            <v:shape id="_x0000_s1057" type="#_x0000_t202" style="position:absolute;left:9056;top:2131;width:1357;height:743;mso-width-relative:margin;mso-height-relative:margin" fillcolor="white [3212]" strokecolor="white [3212]">
              <v:textbox>
                <w:txbxContent>
                  <w:p w:rsidR="00DF245A" w:rsidRDefault="00DF245A" w:rsidP="00F41131">
                    <w:r>
                      <w:t xml:space="preserve">Invisible </w:t>
                    </w:r>
                  </w:p>
                  <w:p w:rsidR="00DF245A" w:rsidRDefault="00DF245A" w:rsidP="00F41131">
                    <w:r>
                      <w:t>Marketing</w:t>
                    </w:r>
                  </w:p>
                </w:txbxContent>
              </v:textbox>
            </v:shape>
            <v:shape id="_x0000_s1058" type="#_x0000_t202" style="position:absolute;left:1548;top:3282;width:1061;height:706;mso-width-relative:margin;mso-height-relative:margin" strokecolor="white [3212]">
              <v:textbox>
                <w:txbxContent>
                  <w:p w:rsidR="00DF245A" w:rsidRPr="00161094" w:rsidRDefault="00DF245A" w:rsidP="00F41131">
                    <w:pPr>
                      <w:rPr>
                        <w:sz w:val="16"/>
                        <w:szCs w:val="16"/>
                      </w:rPr>
                    </w:pPr>
                    <w:r w:rsidRPr="00161094">
                      <w:rPr>
                        <w:sz w:val="16"/>
                        <w:szCs w:val="16"/>
                      </w:rPr>
                      <w:t>Simple cognitive exchange</w:t>
                    </w:r>
                  </w:p>
                </w:txbxContent>
              </v:textbox>
            </v:shape>
            <v:shape id="_x0000_s1059" type="#_x0000_t202" style="position:absolute;left:3128;top:3282;width:894;height:561;mso-width-relative:margin;mso-height-relative:margin" strokecolor="white [3212]">
              <v:textbox>
                <w:txbxContent>
                  <w:p w:rsidR="00DF245A" w:rsidRPr="00161094" w:rsidRDefault="00DF245A" w:rsidP="00F41131">
                    <w:pPr>
                      <w:rPr>
                        <w:sz w:val="16"/>
                        <w:szCs w:val="16"/>
                      </w:rPr>
                    </w:pPr>
                    <w:r>
                      <w:rPr>
                        <w:sz w:val="16"/>
                        <w:szCs w:val="16"/>
                      </w:rPr>
                      <w:t>Emotion arousal</w:t>
                    </w:r>
                  </w:p>
                </w:txbxContent>
              </v:textbox>
            </v:shape>
            <v:shape id="_x0000_s1060" type="#_x0000_t202" style="position:absolute;left:4598;top:3282;width:1061;height:706;mso-width-relative:margin;mso-height-relative:margin" strokecolor="white [3212]">
              <v:textbox>
                <w:txbxContent>
                  <w:p w:rsidR="00DF245A" w:rsidRPr="00161094" w:rsidRDefault="00DF245A" w:rsidP="00F41131">
                    <w:pPr>
                      <w:rPr>
                        <w:sz w:val="16"/>
                        <w:szCs w:val="16"/>
                      </w:rPr>
                    </w:pPr>
                    <w:proofErr w:type="spellStart"/>
                    <w:r>
                      <w:rPr>
                        <w:sz w:val="16"/>
                        <w:szCs w:val="16"/>
                      </w:rPr>
                      <w:t>Stim</w:t>
                    </w:r>
                    <w:proofErr w:type="spellEnd"/>
                    <w:r>
                      <w:rPr>
                        <w:sz w:val="16"/>
                        <w:szCs w:val="16"/>
                      </w:rPr>
                      <w:t>-response techniques</w:t>
                    </w:r>
                  </w:p>
                </w:txbxContent>
              </v:textbox>
            </v:shape>
            <v:shape id="_x0000_s1061" type="#_x0000_t202" style="position:absolute;left:6186;top:3282;width:896;height:561;mso-width-relative:margin;mso-height-relative:margin" strokecolor="white [3212]">
              <v:textbox>
                <w:txbxContent>
                  <w:p w:rsidR="00DF245A" w:rsidRPr="00161094" w:rsidRDefault="00DF245A" w:rsidP="00F41131">
                    <w:pPr>
                      <w:rPr>
                        <w:sz w:val="16"/>
                        <w:szCs w:val="16"/>
                      </w:rPr>
                    </w:pPr>
                    <w:r>
                      <w:rPr>
                        <w:sz w:val="16"/>
                        <w:szCs w:val="16"/>
                      </w:rPr>
                      <w:t>Social mimicry</w:t>
                    </w:r>
                  </w:p>
                </w:txbxContent>
              </v:textbox>
            </v:shape>
            <v:shape id="_x0000_s1062" type="#_x0000_t202" style="position:absolute;left:7719;top:3282;width:906;height:706;mso-width-relative:margin;mso-height-relative:margin" strokecolor="white [3212]">
              <v:textbox>
                <w:txbxContent>
                  <w:p w:rsidR="00DF245A" w:rsidRPr="00161094" w:rsidRDefault="00DF245A" w:rsidP="00F41131">
                    <w:pPr>
                      <w:rPr>
                        <w:sz w:val="16"/>
                        <w:szCs w:val="16"/>
                      </w:rPr>
                    </w:pPr>
                    <w:r>
                      <w:rPr>
                        <w:sz w:val="16"/>
                        <w:szCs w:val="16"/>
                      </w:rPr>
                      <w:t>Fixed action patterns</w:t>
                    </w:r>
                  </w:p>
                </w:txbxContent>
              </v:textbox>
            </v:shape>
            <v:shape id="_x0000_s1063" type="#_x0000_t202" style="position:absolute;left:9199;top:3282;width:1061;height:561;mso-width-relative:margin;mso-height-relative:margin" strokecolor="white [3212]">
              <v:textbox>
                <w:txbxContent>
                  <w:p w:rsidR="00DF245A" w:rsidRPr="00161094" w:rsidRDefault="00DF245A" w:rsidP="00F41131">
                    <w:pPr>
                      <w:rPr>
                        <w:sz w:val="16"/>
                        <w:szCs w:val="16"/>
                      </w:rPr>
                    </w:pPr>
                    <w:r>
                      <w:rPr>
                        <w:sz w:val="16"/>
                        <w:szCs w:val="16"/>
                      </w:rPr>
                      <w:t>Choice architecture</w:t>
                    </w:r>
                  </w:p>
                </w:txbxContent>
              </v:textbox>
            </v:shape>
            <v:shape id="_x0000_s1064" type="#_x0000_t32" style="position:absolute;left:1553;top:2965;width:8857;height:0" o:connectortype="straight" strokecolor="#938953 [1614]" strokeweight="5.5pt">
              <v:stroke startarrow="open" endarrow="open"/>
            </v:shape>
            <v:shape id="_x0000_s1065" type="#_x0000_t202" style="position:absolute;left:1560;top:3984;width:1955;height:699;mso-width-relative:margin;mso-height-relative:margin" fillcolor="#960">
              <v:fill opacity="28836f"/>
              <v:textbox>
                <w:txbxContent>
                  <w:p w:rsidR="00DF245A" w:rsidRPr="006B4A46" w:rsidRDefault="00DF245A" w:rsidP="00F41131">
                    <w:pPr>
                      <w:rPr>
                        <w:sz w:val="20"/>
                        <w:szCs w:val="20"/>
                      </w:rPr>
                    </w:pPr>
                    <w:r w:rsidRPr="006B4A46">
                      <w:rPr>
                        <w:sz w:val="20"/>
                        <w:szCs w:val="20"/>
                      </w:rPr>
                      <w:t>Better for low resistance audiences</w:t>
                    </w:r>
                  </w:p>
                </w:txbxContent>
              </v:textbox>
            </v:shape>
            <v:shape id="_x0000_s1066" type="#_x0000_t202" style="position:absolute;left:8451;top:3984;width:1955;height:699;mso-width-relative:margin;mso-height-relative:margin" fillcolor="#960">
              <v:fill opacity="28836f"/>
              <v:textbox>
                <w:txbxContent>
                  <w:p w:rsidR="00DF245A" w:rsidRPr="006B4A46" w:rsidRDefault="00DF245A" w:rsidP="00F41131">
                    <w:pPr>
                      <w:rPr>
                        <w:sz w:val="20"/>
                        <w:szCs w:val="20"/>
                      </w:rPr>
                    </w:pPr>
                    <w:r w:rsidRPr="006B4A46">
                      <w:rPr>
                        <w:sz w:val="20"/>
                        <w:szCs w:val="20"/>
                      </w:rPr>
                      <w:t xml:space="preserve">Better for </w:t>
                    </w:r>
                    <w:r>
                      <w:rPr>
                        <w:sz w:val="20"/>
                        <w:szCs w:val="20"/>
                      </w:rPr>
                      <w:t xml:space="preserve">high </w:t>
                    </w:r>
                    <w:r w:rsidRPr="006B4A46">
                      <w:rPr>
                        <w:sz w:val="20"/>
                        <w:szCs w:val="20"/>
                      </w:rPr>
                      <w:t>resistance audiences</w:t>
                    </w:r>
                  </w:p>
                </w:txbxContent>
              </v:textbox>
            </v:shape>
            <v:shape id="_x0000_s1067" type="#_x0000_t202" style="position:absolute;left:1560;top:4770;width:1955;height:927;mso-width-relative:margin;mso-height-relative:margin" fillcolor="#960">
              <v:fill opacity="28836f"/>
              <v:textbox>
                <w:txbxContent>
                  <w:p w:rsidR="00DF245A" w:rsidRPr="006B4A46" w:rsidRDefault="00DF245A" w:rsidP="00F41131">
                    <w:pPr>
                      <w:rPr>
                        <w:sz w:val="20"/>
                        <w:szCs w:val="20"/>
                      </w:rPr>
                    </w:pPr>
                    <w:r w:rsidRPr="006B4A46">
                      <w:rPr>
                        <w:sz w:val="20"/>
                        <w:szCs w:val="20"/>
                      </w:rPr>
                      <w:t xml:space="preserve">Better for </w:t>
                    </w:r>
                    <w:r>
                      <w:rPr>
                        <w:sz w:val="20"/>
                        <w:szCs w:val="20"/>
                      </w:rPr>
                      <w:t>initiating first time difficult changes</w:t>
                    </w:r>
                  </w:p>
                </w:txbxContent>
              </v:textbox>
            </v:shape>
            <v:shape id="_x0000_s1068" type="#_x0000_t202" style="position:absolute;left:8444;top:4770;width:1955;height:1090;mso-width-relative:margin;mso-height-relative:margin" fillcolor="#960">
              <v:fill opacity="28836f"/>
              <v:textbox>
                <w:txbxContent>
                  <w:p w:rsidR="00DF245A" w:rsidRPr="006B4A46" w:rsidRDefault="00DF245A" w:rsidP="00F41131">
                    <w:pPr>
                      <w:rPr>
                        <w:sz w:val="20"/>
                        <w:szCs w:val="20"/>
                      </w:rPr>
                    </w:pPr>
                    <w:r w:rsidRPr="006B4A46">
                      <w:rPr>
                        <w:sz w:val="20"/>
                        <w:szCs w:val="20"/>
                      </w:rPr>
                      <w:t xml:space="preserve">Better for </w:t>
                    </w:r>
                    <w:r>
                      <w:rPr>
                        <w:sz w:val="20"/>
                        <w:szCs w:val="20"/>
                      </w:rPr>
                      <w:t>habit change over time and higher overall ROI</w:t>
                    </w:r>
                  </w:p>
                </w:txbxContent>
              </v:textbox>
            </v:shape>
          </v:group>
        </w:pict>
      </w:r>
    </w:p>
    <w:p w:rsidR="00F41131" w:rsidRPr="006224FE" w:rsidRDefault="00F41131" w:rsidP="000F600A">
      <w:pPr>
        <w:spacing w:line="480" w:lineRule="auto"/>
        <w:rPr>
          <w:rFonts w:asciiTheme="minorHAnsi" w:hAnsiTheme="minorHAnsi"/>
        </w:rPr>
      </w:pPr>
    </w:p>
    <w:p w:rsidR="00F41131" w:rsidRPr="006224FE" w:rsidRDefault="00F41131" w:rsidP="000F600A">
      <w:pPr>
        <w:spacing w:line="480" w:lineRule="auto"/>
        <w:rPr>
          <w:rFonts w:asciiTheme="minorHAnsi" w:hAnsiTheme="minorHAnsi"/>
        </w:rPr>
      </w:pPr>
    </w:p>
    <w:p w:rsidR="00F41131" w:rsidRPr="006224FE" w:rsidRDefault="00F41131" w:rsidP="000F600A">
      <w:pPr>
        <w:spacing w:line="480" w:lineRule="auto"/>
        <w:rPr>
          <w:rFonts w:asciiTheme="minorHAnsi" w:hAnsiTheme="minorHAnsi"/>
        </w:rPr>
      </w:pPr>
    </w:p>
    <w:p w:rsidR="00F41131" w:rsidRPr="006224FE" w:rsidRDefault="00F41131" w:rsidP="000F600A">
      <w:pPr>
        <w:spacing w:line="480" w:lineRule="auto"/>
        <w:rPr>
          <w:rFonts w:asciiTheme="minorHAnsi" w:hAnsiTheme="minorHAnsi"/>
        </w:rPr>
      </w:pPr>
    </w:p>
    <w:p w:rsidR="00F41131" w:rsidRPr="006224FE" w:rsidRDefault="00F41131" w:rsidP="000F600A">
      <w:pPr>
        <w:spacing w:line="480" w:lineRule="auto"/>
        <w:rPr>
          <w:rFonts w:asciiTheme="minorHAnsi" w:hAnsiTheme="minorHAnsi"/>
        </w:rPr>
      </w:pPr>
    </w:p>
    <w:p w:rsidR="00F41131" w:rsidRPr="006224FE" w:rsidRDefault="00F41131" w:rsidP="000F600A">
      <w:pPr>
        <w:spacing w:line="480" w:lineRule="auto"/>
        <w:rPr>
          <w:rFonts w:asciiTheme="minorHAnsi" w:hAnsiTheme="minorHAnsi"/>
        </w:rPr>
      </w:pPr>
    </w:p>
    <w:p w:rsidR="000834C9" w:rsidRPr="006224FE" w:rsidRDefault="005F76B5" w:rsidP="005F76B5">
      <w:pPr>
        <w:spacing w:line="480" w:lineRule="auto"/>
        <w:rPr>
          <w:rFonts w:asciiTheme="minorHAnsi" w:hAnsiTheme="minorHAnsi"/>
        </w:rPr>
      </w:pPr>
      <w:r w:rsidRPr="006224FE">
        <w:rPr>
          <w:rFonts w:asciiTheme="minorHAnsi" w:hAnsiTheme="minorHAnsi"/>
        </w:rPr>
        <w:lastRenderedPageBreak/>
        <w:t xml:space="preserve">The final consideration that we raise is that of </w:t>
      </w:r>
      <w:r w:rsidRPr="006224FE">
        <w:rPr>
          <w:rFonts w:asciiTheme="minorHAnsi" w:hAnsiTheme="minorHAnsi"/>
          <w:i/>
        </w:rPr>
        <w:t>ethical issues</w:t>
      </w:r>
      <w:r w:rsidRPr="006224FE">
        <w:rPr>
          <w:rFonts w:asciiTheme="minorHAnsi" w:hAnsiTheme="minorHAnsi"/>
        </w:rPr>
        <w:t xml:space="preserve"> pertaining to ‘invisible’ marketing</w:t>
      </w:r>
      <w:r w:rsidR="000834C9" w:rsidRPr="006224FE">
        <w:rPr>
          <w:rFonts w:asciiTheme="minorHAnsi" w:hAnsiTheme="minorHAnsi"/>
        </w:rPr>
        <w:t>, which could be viewed as manipulative</w:t>
      </w:r>
      <w:r w:rsidR="005426C5" w:rsidRPr="006224FE">
        <w:rPr>
          <w:rFonts w:asciiTheme="minorHAnsi" w:hAnsiTheme="minorHAnsi"/>
        </w:rPr>
        <w:t xml:space="preserve"> marketing</w:t>
      </w:r>
      <w:r w:rsidR="000834C9" w:rsidRPr="006224FE">
        <w:rPr>
          <w:rFonts w:asciiTheme="minorHAnsi" w:hAnsiTheme="minorHAnsi"/>
        </w:rPr>
        <w:t xml:space="preserve"> (</w:t>
      </w:r>
      <w:r w:rsidR="00A66854" w:rsidRPr="006224FE">
        <w:rPr>
          <w:rFonts w:asciiTheme="minorHAnsi" w:hAnsiTheme="minorHAnsi"/>
        </w:rPr>
        <w:t xml:space="preserve">see for example </w:t>
      </w:r>
      <w:r w:rsidR="000834C9" w:rsidRPr="006224FE">
        <w:rPr>
          <w:rFonts w:asciiTheme="minorHAnsi" w:hAnsiTheme="minorHAnsi"/>
        </w:rPr>
        <w:t>Brown</w:t>
      </w:r>
      <w:r w:rsidR="00A66854" w:rsidRPr="006224FE">
        <w:rPr>
          <w:rFonts w:asciiTheme="minorHAnsi" w:hAnsiTheme="minorHAnsi"/>
        </w:rPr>
        <w:t xml:space="preserve"> 2003 for an insightfully argued book on the commercial exploitation of customers</w:t>
      </w:r>
      <w:r w:rsidR="000834C9" w:rsidRPr="006224FE">
        <w:rPr>
          <w:rFonts w:asciiTheme="minorHAnsi" w:hAnsiTheme="minorHAnsi"/>
        </w:rPr>
        <w:t>).</w:t>
      </w:r>
      <w:r w:rsidRPr="006224FE">
        <w:rPr>
          <w:rFonts w:asciiTheme="minorHAnsi" w:hAnsiTheme="minorHAnsi"/>
        </w:rPr>
        <w:t xml:space="preserve"> Arguabl</w:t>
      </w:r>
      <w:r w:rsidR="005426C5" w:rsidRPr="006224FE">
        <w:rPr>
          <w:rFonts w:asciiTheme="minorHAnsi" w:hAnsiTheme="minorHAnsi"/>
        </w:rPr>
        <w:t>y</w:t>
      </w:r>
      <w:r w:rsidRPr="006224FE">
        <w:rPr>
          <w:rFonts w:asciiTheme="minorHAnsi" w:hAnsiTheme="minorHAnsi"/>
        </w:rPr>
        <w:t xml:space="preserve">, a </w:t>
      </w:r>
      <w:r w:rsidR="000834C9" w:rsidRPr="006224FE">
        <w:rPr>
          <w:rFonts w:asciiTheme="minorHAnsi" w:hAnsiTheme="minorHAnsi"/>
        </w:rPr>
        <w:t>‘</w:t>
      </w:r>
      <w:r w:rsidRPr="006224FE">
        <w:rPr>
          <w:rFonts w:asciiTheme="minorHAnsi" w:hAnsiTheme="minorHAnsi"/>
        </w:rPr>
        <w:t>transparent</w:t>
      </w:r>
      <w:r w:rsidR="000834C9" w:rsidRPr="006224FE">
        <w:rPr>
          <w:rFonts w:asciiTheme="minorHAnsi" w:hAnsiTheme="minorHAnsi"/>
        </w:rPr>
        <w:t>’</w:t>
      </w:r>
      <w:r w:rsidRPr="006224FE">
        <w:rPr>
          <w:rFonts w:asciiTheme="minorHAnsi" w:hAnsiTheme="minorHAnsi"/>
        </w:rPr>
        <w:t xml:space="preserve"> offer of which the recipient is fully cognisant is more </w:t>
      </w:r>
      <w:r w:rsidR="007F0D27" w:rsidRPr="006224FE">
        <w:rPr>
          <w:rFonts w:asciiTheme="minorHAnsi" w:hAnsiTheme="minorHAnsi"/>
        </w:rPr>
        <w:t>ethically</w:t>
      </w:r>
      <w:r w:rsidRPr="006224FE">
        <w:rPr>
          <w:rFonts w:asciiTheme="minorHAnsi" w:hAnsiTheme="minorHAnsi"/>
        </w:rPr>
        <w:t xml:space="preserve"> defendable than a subtle (more </w:t>
      </w:r>
      <w:r w:rsidR="000834C9" w:rsidRPr="006224FE">
        <w:rPr>
          <w:rFonts w:asciiTheme="minorHAnsi" w:hAnsiTheme="minorHAnsi"/>
        </w:rPr>
        <w:t>‘</w:t>
      </w:r>
      <w:r w:rsidRPr="006224FE">
        <w:rPr>
          <w:rFonts w:asciiTheme="minorHAnsi" w:hAnsiTheme="minorHAnsi"/>
        </w:rPr>
        <w:t>invisible</w:t>
      </w:r>
      <w:r w:rsidR="000834C9" w:rsidRPr="006224FE">
        <w:rPr>
          <w:rFonts w:asciiTheme="minorHAnsi" w:hAnsiTheme="minorHAnsi"/>
        </w:rPr>
        <w:t>’</w:t>
      </w:r>
      <w:r w:rsidRPr="006224FE">
        <w:rPr>
          <w:rFonts w:asciiTheme="minorHAnsi" w:hAnsiTheme="minorHAnsi"/>
        </w:rPr>
        <w:t xml:space="preserve">) process in which behaviour change is quietly nudged, while attention </w:t>
      </w:r>
      <w:r w:rsidR="007F0D27" w:rsidRPr="006224FE">
        <w:rPr>
          <w:rFonts w:asciiTheme="minorHAnsi" w:hAnsiTheme="minorHAnsi"/>
        </w:rPr>
        <w:t>is</w:t>
      </w:r>
      <w:r w:rsidRPr="006224FE">
        <w:rPr>
          <w:rFonts w:asciiTheme="minorHAnsi" w:hAnsiTheme="minorHAnsi"/>
        </w:rPr>
        <w:t xml:space="preserve"> diverted else</w:t>
      </w:r>
      <w:r w:rsidR="007F0D27" w:rsidRPr="006224FE">
        <w:rPr>
          <w:rFonts w:asciiTheme="minorHAnsi" w:hAnsiTheme="minorHAnsi"/>
        </w:rPr>
        <w:t>where</w:t>
      </w:r>
      <w:r w:rsidRPr="006224FE">
        <w:rPr>
          <w:rFonts w:asciiTheme="minorHAnsi" w:hAnsiTheme="minorHAnsi"/>
        </w:rPr>
        <w:t xml:space="preserve">. </w:t>
      </w:r>
    </w:p>
    <w:p w:rsidR="000834C9" w:rsidRPr="006224FE" w:rsidRDefault="000834C9" w:rsidP="005426C5">
      <w:pPr>
        <w:rPr>
          <w:rFonts w:asciiTheme="minorHAnsi" w:hAnsiTheme="minorHAnsi"/>
        </w:rPr>
      </w:pPr>
    </w:p>
    <w:p w:rsidR="005F76B5" w:rsidRPr="006224FE" w:rsidRDefault="00E35229" w:rsidP="005F76B5">
      <w:pPr>
        <w:spacing w:line="480" w:lineRule="auto"/>
        <w:rPr>
          <w:rFonts w:asciiTheme="minorHAnsi" w:hAnsiTheme="minorHAnsi"/>
        </w:rPr>
      </w:pPr>
      <w:r w:rsidRPr="006224FE">
        <w:rPr>
          <w:rFonts w:asciiTheme="minorHAnsi" w:hAnsiTheme="minorHAnsi"/>
        </w:rPr>
        <w:t>The authors note the complexity of any moral debate but would wish to make t</w:t>
      </w:r>
      <w:r w:rsidR="000834C9" w:rsidRPr="006224FE">
        <w:rPr>
          <w:rFonts w:asciiTheme="minorHAnsi" w:hAnsiTheme="minorHAnsi"/>
        </w:rPr>
        <w:t>wo points .</w:t>
      </w:r>
      <w:r w:rsidR="005F76B5" w:rsidRPr="006224FE">
        <w:rPr>
          <w:rFonts w:asciiTheme="minorHAnsi" w:hAnsiTheme="minorHAnsi"/>
        </w:rPr>
        <w:t xml:space="preserve"> One is that ‘free, informed choice’ may </w:t>
      </w:r>
      <w:r w:rsidR="000834C9" w:rsidRPr="006224FE">
        <w:rPr>
          <w:rFonts w:asciiTheme="minorHAnsi" w:hAnsiTheme="minorHAnsi"/>
        </w:rPr>
        <w:t>itself</w:t>
      </w:r>
      <w:r w:rsidR="005F76B5" w:rsidRPr="006224FE">
        <w:rPr>
          <w:rFonts w:asciiTheme="minorHAnsi" w:hAnsiTheme="minorHAnsi"/>
        </w:rPr>
        <w:t xml:space="preserve"> not be morally defendable if applied to, for example, a young driver’s freedom to drive </w:t>
      </w:r>
      <w:r w:rsidR="000834C9" w:rsidRPr="006224FE">
        <w:rPr>
          <w:rFonts w:asciiTheme="minorHAnsi" w:hAnsiTheme="minorHAnsi"/>
        </w:rPr>
        <w:t>aggressively</w:t>
      </w:r>
      <w:r w:rsidR="005F76B5" w:rsidRPr="006224FE">
        <w:rPr>
          <w:rFonts w:asciiTheme="minorHAnsi" w:hAnsiTheme="minorHAnsi"/>
        </w:rPr>
        <w:t xml:space="preserve">. </w:t>
      </w:r>
      <w:r w:rsidR="00DF245A" w:rsidRPr="006224FE">
        <w:t xml:space="preserve">In this instance, moral defence could be made of the decision to ‘invisibly’ change behaviour, albeit ensuring that ultimately what is proposed has a voluntary component at the heart of it. This is the contention of </w:t>
      </w:r>
      <w:proofErr w:type="spellStart"/>
      <w:r w:rsidR="00DF245A" w:rsidRPr="006224FE">
        <w:t>Thaler</w:t>
      </w:r>
      <w:proofErr w:type="spellEnd"/>
      <w:r w:rsidR="00DF245A" w:rsidRPr="006224FE">
        <w:t xml:space="preserve"> and </w:t>
      </w:r>
      <w:proofErr w:type="spellStart"/>
      <w:r w:rsidR="00DF245A" w:rsidRPr="006224FE">
        <w:t>Sunstein</w:t>
      </w:r>
      <w:proofErr w:type="spellEnd"/>
      <w:r w:rsidR="00DF245A" w:rsidRPr="006224FE">
        <w:t xml:space="preserve"> (2008) in their discussion about choice architecture. </w:t>
      </w:r>
    </w:p>
    <w:p w:rsidR="005F76B5" w:rsidRPr="006224FE" w:rsidRDefault="005F76B5" w:rsidP="005426C5">
      <w:pPr>
        <w:rPr>
          <w:rFonts w:asciiTheme="minorHAnsi" w:hAnsiTheme="minorHAnsi"/>
        </w:rPr>
      </w:pPr>
    </w:p>
    <w:p w:rsidR="00BA04FB" w:rsidRPr="006224FE" w:rsidRDefault="00DF245A" w:rsidP="000F600A">
      <w:pPr>
        <w:spacing w:line="480" w:lineRule="auto"/>
        <w:rPr>
          <w:rFonts w:asciiTheme="minorHAnsi" w:hAnsiTheme="minorHAnsi"/>
        </w:rPr>
      </w:pPr>
      <w:r w:rsidRPr="006224FE">
        <w:rPr>
          <w:rFonts w:asciiTheme="minorHAnsi" w:hAnsiTheme="minorHAnsi"/>
        </w:rPr>
        <w:t>Second</w:t>
      </w:r>
      <w:r w:rsidR="005F76B5" w:rsidRPr="006224FE">
        <w:rPr>
          <w:rFonts w:asciiTheme="minorHAnsi" w:hAnsiTheme="minorHAnsi"/>
        </w:rPr>
        <w:t xml:space="preserve">, individuals </w:t>
      </w:r>
      <w:r w:rsidR="005F76B5" w:rsidRPr="006224FE">
        <w:rPr>
          <w:rFonts w:asciiTheme="minorHAnsi" w:hAnsiTheme="minorHAnsi"/>
          <w:i/>
        </w:rPr>
        <w:t>may themselves wish</w:t>
      </w:r>
      <w:r w:rsidR="005F76B5" w:rsidRPr="006224FE">
        <w:rPr>
          <w:rFonts w:asciiTheme="minorHAnsi" w:hAnsiTheme="minorHAnsi"/>
        </w:rPr>
        <w:t xml:space="preserve"> to be led through a habitual, social or emotive route</w:t>
      </w:r>
      <w:r w:rsidR="000834C9" w:rsidRPr="006224FE">
        <w:rPr>
          <w:rFonts w:asciiTheme="minorHAnsi" w:hAnsiTheme="minorHAnsi"/>
        </w:rPr>
        <w:t xml:space="preserve"> to behaviour change</w:t>
      </w:r>
      <w:r w:rsidR="005F76B5" w:rsidRPr="006224FE">
        <w:rPr>
          <w:rFonts w:asciiTheme="minorHAnsi" w:hAnsiTheme="minorHAnsi"/>
        </w:rPr>
        <w:t xml:space="preserve">. </w:t>
      </w:r>
      <w:r w:rsidR="001B3247" w:rsidRPr="006224FE">
        <w:rPr>
          <w:rFonts w:asciiTheme="minorHAnsi" w:hAnsiTheme="minorHAnsi"/>
        </w:rPr>
        <w:t xml:space="preserve">The authors have conducted </w:t>
      </w:r>
      <w:r w:rsidRPr="006224FE">
        <w:rPr>
          <w:rFonts w:asciiTheme="minorHAnsi" w:hAnsiTheme="minorHAnsi"/>
        </w:rPr>
        <w:t xml:space="preserve">yet to be </w:t>
      </w:r>
      <w:r w:rsidR="001B3247" w:rsidRPr="006224FE">
        <w:rPr>
          <w:rFonts w:asciiTheme="minorHAnsi" w:hAnsiTheme="minorHAnsi"/>
        </w:rPr>
        <w:t>published)</w:t>
      </w:r>
      <w:r w:rsidR="000834C9" w:rsidRPr="006224FE">
        <w:rPr>
          <w:rFonts w:asciiTheme="minorHAnsi" w:hAnsiTheme="minorHAnsi"/>
        </w:rPr>
        <w:t xml:space="preserve"> research </w:t>
      </w:r>
      <w:r w:rsidR="001B3247" w:rsidRPr="006224FE">
        <w:rPr>
          <w:rFonts w:asciiTheme="minorHAnsi" w:hAnsiTheme="minorHAnsi"/>
        </w:rPr>
        <w:t xml:space="preserve">which </w:t>
      </w:r>
      <w:r w:rsidR="000834C9" w:rsidRPr="006224FE">
        <w:rPr>
          <w:rFonts w:asciiTheme="minorHAnsi" w:hAnsiTheme="minorHAnsi"/>
        </w:rPr>
        <w:t>indicates that people desperate to achieve a healthier weight but who have a distaste for physical activity and balanced eating are keen</w:t>
      </w:r>
      <w:r w:rsidR="005F76B5" w:rsidRPr="006224FE">
        <w:rPr>
          <w:rFonts w:asciiTheme="minorHAnsi" w:hAnsiTheme="minorHAnsi"/>
        </w:rPr>
        <w:t xml:space="preserve"> to </w:t>
      </w:r>
      <w:r w:rsidR="000834C9" w:rsidRPr="006224FE">
        <w:rPr>
          <w:rFonts w:asciiTheme="minorHAnsi" w:hAnsiTheme="minorHAnsi"/>
        </w:rPr>
        <w:t>be ‘invisibly’ nudged towards behaviour change</w:t>
      </w:r>
      <w:r w:rsidR="005F76B5" w:rsidRPr="006224FE">
        <w:rPr>
          <w:rFonts w:asciiTheme="minorHAnsi" w:hAnsiTheme="minorHAnsi"/>
        </w:rPr>
        <w:t xml:space="preserve">. </w:t>
      </w:r>
      <w:r w:rsidRPr="006224FE">
        <w:t>Smokers desperate to quit will likewise presumably be quite happy to be assisted to change through a non-cognitive route.</w:t>
      </w:r>
    </w:p>
    <w:p w:rsidR="001B3247" w:rsidRPr="006224FE" w:rsidRDefault="001B3247" w:rsidP="002E7AEC">
      <w:pPr>
        <w:rPr>
          <w:rFonts w:asciiTheme="minorHAnsi" w:hAnsiTheme="minorHAnsi"/>
        </w:rPr>
      </w:pPr>
    </w:p>
    <w:p w:rsidR="004E7FB9" w:rsidRPr="006224FE" w:rsidRDefault="00A210F2" w:rsidP="000F600A">
      <w:pPr>
        <w:spacing w:line="480" w:lineRule="auto"/>
        <w:rPr>
          <w:rFonts w:asciiTheme="minorHAnsi" w:hAnsiTheme="minorHAnsi"/>
        </w:rPr>
      </w:pPr>
      <w:r w:rsidRPr="006224FE">
        <w:rPr>
          <w:rFonts w:asciiTheme="minorHAnsi" w:hAnsiTheme="minorHAnsi"/>
        </w:rPr>
        <w:t>To conclude, t</w:t>
      </w:r>
      <w:r w:rsidR="00BA04FB" w:rsidRPr="006224FE">
        <w:rPr>
          <w:rFonts w:asciiTheme="minorHAnsi" w:hAnsiTheme="minorHAnsi"/>
        </w:rPr>
        <w:t>he academic history of social marketing is loc</w:t>
      </w:r>
      <w:r w:rsidRPr="006224FE">
        <w:rPr>
          <w:rFonts w:asciiTheme="minorHAnsi" w:hAnsiTheme="minorHAnsi"/>
        </w:rPr>
        <w:t>ated in the concept of exchange</w:t>
      </w:r>
      <w:r w:rsidR="00BA04FB" w:rsidRPr="006224FE">
        <w:rPr>
          <w:rFonts w:asciiTheme="minorHAnsi" w:hAnsiTheme="minorHAnsi"/>
        </w:rPr>
        <w:t xml:space="preserve"> </w:t>
      </w:r>
      <w:r w:rsidRPr="006224FE">
        <w:rPr>
          <w:rFonts w:asciiTheme="minorHAnsi" w:hAnsiTheme="minorHAnsi"/>
        </w:rPr>
        <w:t>as a</w:t>
      </w:r>
      <w:r w:rsidR="00BA04FB" w:rsidRPr="006224FE">
        <w:rPr>
          <w:rFonts w:asciiTheme="minorHAnsi" w:hAnsiTheme="minorHAnsi"/>
        </w:rPr>
        <w:t xml:space="preserve"> cognitive, rational process</w:t>
      </w:r>
      <w:r w:rsidR="00D776EE" w:rsidRPr="006224FE">
        <w:rPr>
          <w:rFonts w:asciiTheme="minorHAnsi" w:hAnsiTheme="minorHAnsi"/>
        </w:rPr>
        <w:t xml:space="preserve"> </w:t>
      </w:r>
      <w:r w:rsidR="00AD036C" w:rsidRPr="006224FE">
        <w:rPr>
          <w:rFonts w:asciiTheme="minorHAnsi" w:hAnsiTheme="minorHAnsi"/>
        </w:rPr>
        <w:fldChar w:fldCharType="begin"/>
      </w:r>
      <w:r w:rsidR="00814E66" w:rsidRPr="006224FE">
        <w:rPr>
          <w:rFonts w:asciiTheme="minorHAnsi" w:hAnsiTheme="minorHAnsi"/>
        </w:rPr>
        <w:instrText>ADDIN RW.CITE{{650 Schwartz, B. 1996}}</w:instrText>
      </w:r>
      <w:r w:rsidR="00AD036C" w:rsidRPr="006224FE">
        <w:rPr>
          <w:rFonts w:asciiTheme="minorHAnsi" w:hAnsiTheme="minorHAnsi"/>
        </w:rPr>
        <w:fldChar w:fldCharType="separate"/>
      </w:r>
      <w:r w:rsidR="00446CFB" w:rsidRPr="006224FE">
        <w:rPr>
          <w:rFonts w:asciiTheme="minorHAnsi" w:hAnsiTheme="minorHAnsi"/>
        </w:rPr>
        <w:t>(Schwartz, 1996)</w:t>
      </w:r>
      <w:r w:rsidR="00AD036C" w:rsidRPr="006224FE">
        <w:rPr>
          <w:rFonts w:asciiTheme="minorHAnsi" w:hAnsiTheme="minorHAnsi"/>
        </w:rPr>
        <w:fldChar w:fldCharType="end"/>
      </w:r>
      <w:r w:rsidR="00BA04FB" w:rsidRPr="006224FE">
        <w:rPr>
          <w:rFonts w:asciiTheme="minorHAnsi" w:hAnsiTheme="minorHAnsi"/>
        </w:rPr>
        <w:t>. Other mechanisms of human behaviour change s</w:t>
      </w:r>
      <w:r w:rsidR="002403CC" w:rsidRPr="006224FE">
        <w:rPr>
          <w:rFonts w:asciiTheme="minorHAnsi" w:hAnsiTheme="minorHAnsi"/>
        </w:rPr>
        <w:t>uch as social copying, emotions and</w:t>
      </w:r>
      <w:r w:rsidR="00BA04FB" w:rsidRPr="006224FE">
        <w:rPr>
          <w:rFonts w:asciiTheme="minorHAnsi" w:hAnsiTheme="minorHAnsi"/>
        </w:rPr>
        <w:t xml:space="preserve"> habit</w:t>
      </w:r>
      <w:r w:rsidRPr="006224FE">
        <w:rPr>
          <w:rFonts w:asciiTheme="minorHAnsi" w:hAnsiTheme="minorHAnsi"/>
        </w:rPr>
        <w:t xml:space="preserve"> change </w:t>
      </w:r>
      <w:r w:rsidR="00BA04FB" w:rsidRPr="006224FE">
        <w:rPr>
          <w:rFonts w:asciiTheme="minorHAnsi" w:hAnsiTheme="minorHAnsi"/>
        </w:rPr>
        <w:t>have</w:t>
      </w:r>
      <w:r w:rsidRPr="006224FE">
        <w:rPr>
          <w:rFonts w:asciiTheme="minorHAnsi" w:hAnsiTheme="minorHAnsi"/>
        </w:rPr>
        <w:t xml:space="preserve"> received</w:t>
      </w:r>
      <w:r w:rsidR="00BA04FB" w:rsidRPr="006224FE">
        <w:rPr>
          <w:rFonts w:asciiTheme="minorHAnsi" w:hAnsiTheme="minorHAnsi"/>
        </w:rPr>
        <w:t xml:space="preserve"> less attention</w:t>
      </w:r>
      <w:r w:rsidRPr="006224FE">
        <w:rPr>
          <w:rFonts w:asciiTheme="minorHAnsi" w:hAnsiTheme="minorHAnsi"/>
        </w:rPr>
        <w:t xml:space="preserve"> by social marketer</w:t>
      </w:r>
      <w:r w:rsidR="00DF245A" w:rsidRPr="006224FE">
        <w:rPr>
          <w:rFonts w:asciiTheme="minorHAnsi" w:hAnsiTheme="minorHAnsi"/>
        </w:rPr>
        <w:t>, amounting to missed opportunities</w:t>
      </w:r>
      <w:r w:rsidR="00BA04FB" w:rsidRPr="006224FE">
        <w:rPr>
          <w:rFonts w:asciiTheme="minorHAnsi" w:hAnsiTheme="minorHAnsi"/>
        </w:rPr>
        <w:t xml:space="preserve">. </w:t>
      </w:r>
      <w:r w:rsidR="00DF245A" w:rsidRPr="006224FE">
        <w:rPr>
          <w:rFonts w:asciiTheme="minorHAnsi" w:hAnsiTheme="minorHAnsi"/>
        </w:rPr>
        <w:t>S</w:t>
      </w:r>
      <w:r w:rsidR="004E7FB9" w:rsidRPr="006224FE">
        <w:rPr>
          <w:rFonts w:asciiTheme="minorHAnsi" w:hAnsiTheme="minorHAnsi"/>
        </w:rPr>
        <w:t xml:space="preserve">ocial marketers </w:t>
      </w:r>
      <w:r w:rsidR="00DF245A" w:rsidRPr="006224FE">
        <w:rPr>
          <w:rFonts w:asciiTheme="minorHAnsi" w:hAnsiTheme="minorHAnsi"/>
        </w:rPr>
        <w:t xml:space="preserve">can </w:t>
      </w:r>
      <w:r w:rsidR="004E7FB9" w:rsidRPr="006224FE">
        <w:rPr>
          <w:rFonts w:asciiTheme="minorHAnsi" w:hAnsiTheme="minorHAnsi"/>
        </w:rPr>
        <w:t xml:space="preserve"> </w:t>
      </w:r>
      <w:r w:rsidR="00DF245A" w:rsidRPr="006224FE">
        <w:rPr>
          <w:rFonts w:asciiTheme="minorHAnsi" w:hAnsiTheme="minorHAnsi"/>
        </w:rPr>
        <w:t xml:space="preserve">  </w:t>
      </w:r>
      <w:r w:rsidR="002403CC" w:rsidRPr="006224FE">
        <w:rPr>
          <w:rFonts w:asciiTheme="minorHAnsi" w:hAnsiTheme="minorHAnsi"/>
        </w:rPr>
        <w:t xml:space="preserve"> </w:t>
      </w:r>
      <w:r w:rsidR="00DF245A" w:rsidRPr="006224FE">
        <w:rPr>
          <w:rFonts w:asciiTheme="minorHAnsi" w:hAnsiTheme="minorHAnsi"/>
        </w:rPr>
        <w:t xml:space="preserve">utilise these </w:t>
      </w:r>
      <w:r w:rsidR="002403CC" w:rsidRPr="006224FE">
        <w:rPr>
          <w:rFonts w:asciiTheme="minorHAnsi" w:hAnsiTheme="minorHAnsi"/>
        </w:rPr>
        <w:t>behaviour change</w:t>
      </w:r>
      <w:r w:rsidR="00DF245A" w:rsidRPr="006224FE">
        <w:rPr>
          <w:rFonts w:asciiTheme="minorHAnsi" w:hAnsiTheme="minorHAnsi"/>
        </w:rPr>
        <w:t xml:space="preserve"> mechanisms</w:t>
      </w:r>
      <w:r w:rsidR="002403CC" w:rsidRPr="006224FE">
        <w:rPr>
          <w:rFonts w:asciiTheme="minorHAnsi" w:hAnsiTheme="minorHAnsi"/>
        </w:rPr>
        <w:t xml:space="preserve"> </w:t>
      </w:r>
      <w:r w:rsidR="004E7FB9" w:rsidRPr="006224FE">
        <w:rPr>
          <w:rFonts w:asciiTheme="minorHAnsi" w:hAnsiTheme="minorHAnsi"/>
        </w:rPr>
        <w:t xml:space="preserve">to </w:t>
      </w:r>
      <w:r w:rsidR="00DF245A" w:rsidRPr="006224FE">
        <w:rPr>
          <w:rFonts w:asciiTheme="minorHAnsi" w:hAnsiTheme="minorHAnsi"/>
        </w:rPr>
        <w:t xml:space="preserve">overcome strong resistance, and </w:t>
      </w:r>
      <w:r w:rsidR="004E7FB9" w:rsidRPr="006224FE">
        <w:rPr>
          <w:rFonts w:asciiTheme="minorHAnsi" w:hAnsiTheme="minorHAnsi"/>
        </w:rPr>
        <w:t>maxim</w:t>
      </w:r>
      <w:r w:rsidR="00DF245A" w:rsidRPr="006224FE">
        <w:rPr>
          <w:rFonts w:asciiTheme="minorHAnsi" w:hAnsiTheme="minorHAnsi"/>
        </w:rPr>
        <w:t>ise</w:t>
      </w:r>
      <w:r w:rsidR="004E7FB9" w:rsidRPr="006224FE">
        <w:rPr>
          <w:rFonts w:asciiTheme="minorHAnsi" w:hAnsiTheme="minorHAnsi"/>
        </w:rPr>
        <w:t xml:space="preserve"> </w:t>
      </w:r>
      <w:r w:rsidR="00DF245A" w:rsidRPr="006224FE">
        <w:rPr>
          <w:rFonts w:asciiTheme="minorHAnsi" w:hAnsiTheme="minorHAnsi"/>
        </w:rPr>
        <w:t xml:space="preserve">returns on </w:t>
      </w:r>
      <w:r w:rsidR="00DF245A" w:rsidRPr="006224FE">
        <w:rPr>
          <w:rFonts w:asciiTheme="minorHAnsi" w:hAnsiTheme="minorHAnsi"/>
        </w:rPr>
        <w:lastRenderedPageBreak/>
        <w:t xml:space="preserve">investments, </w:t>
      </w:r>
      <w:r w:rsidR="004E7FB9" w:rsidRPr="006224FE">
        <w:rPr>
          <w:rFonts w:asciiTheme="minorHAnsi" w:hAnsiTheme="minorHAnsi"/>
        </w:rPr>
        <w:t>.</w:t>
      </w:r>
      <w:r w:rsidR="00DF245A" w:rsidRPr="006224FE">
        <w:rPr>
          <w:rFonts w:asciiTheme="minorHAnsi" w:hAnsiTheme="minorHAnsi"/>
        </w:rPr>
        <w:t xml:space="preserve"> However, </w:t>
      </w:r>
      <w:r w:rsidR="00827031" w:rsidRPr="006224FE">
        <w:rPr>
          <w:rFonts w:asciiTheme="minorHAnsi" w:hAnsiTheme="minorHAnsi"/>
        </w:rPr>
        <w:t xml:space="preserve">given the social rather than commercial context, </w:t>
      </w:r>
      <w:r w:rsidR="00DF245A" w:rsidRPr="006224FE">
        <w:rPr>
          <w:rFonts w:asciiTheme="minorHAnsi" w:hAnsiTheme="minorHAnsi"/>
        </w:rPr>
        <w:t xml:space="preserve">ethical considerations must be </w:t>
      </w:r>
      <w:r w:rsidR="00827031" w:rsidRPr="006224FE">
        <w:rPr>
          <w:rFonts w:asciiTheme="minorHAnsi" w:hAnsiTheme="minorHAnsi"/>
        </w:rPr>
        <w:t>strongly taken into account.</w:t>
      </w:r>
    </w:p>
    <w:p w:rsidR="00BA04FB" w:rsidRPr="006224FE" w:rsidRDefault="007D2C6F" w:rsidP="00C763BC">
      <w:pPr>
        <w:spacing w:after="200" w:line="480" w:lineRule="auto"/>
        <w:rPr>
          <w:rFonts w:asciiTheme="minorHAnsi" w:hAnsiTheme="minorHAnsi"/>
          <w:b/>
        </w:rPr>
      </w:pPr>
      <w:r w:rsidRPr="006224FE">
        <w:rPr>
          <w:rFonts w:asciiTheme="minorHAnsi" w:hAnsiTheme="minorHAnsi"/>
        </w:rPr>
        <w:br w:type="page"/>
      </w:r>
    </w:p>
    <w:p w:rsidR="00446CFB" w:rsidRPr="006224FE" w:rsidRDefault="00AD036C" w:rsidP="00446CFB">
      <w:pPr>
        <w:pStyle w:val="NormalWeb"/>
        <w:divId w:val="1855729782"/>
        <w:rPr>
          <w:rFonts w:ascii="Calibri" w:hAnsi="Calibri"/>
          <w:b/>
        </w:rPr>
      </w:pPr>
      <w:r w:rsidRPr="00AD036C">
        <w:rPr>
          <w:rFonts w:asciiTheme="minorHAnsi" w:hAnsiTheme="minorHAnsi"/>
        </w:rPr>
        <w:lastRenderedPageBreak/>
        <w:fldChar w:fldCharType="begin"/>
      </w:r>
      <w:r w:rsidR="00446CFB" w:rsidRPr="006224FE">
        <w:rPr>
          <w:rFonts w:asciiTheme="minorHAnsi" w:hAnsiTheme="minorHAnsi"/>
        </w:rPr>
        <w:instrText>ADDIN RW.BIB</w:instrText>
      </w:r>
      <w:r w:rsidRPr="00AD036C">
        <w:rPr>
          <w:rFonts w:asciiTheme="minorHAnsi" w:hAnsiTheme="minorHAnsi"/>
        </w:rPr>
        <w:fldChar w:fldCharType="separate"/>
      </w:r>
      <w:r w:rsidR="00446CFB" w:rsidRPr="006224FE">
        <w:rPr>
          <w:rFonts w:ascii="Calibri" w:hAnsi="Calibri"/>
          <w:b/>
        </w:rPr>
        <w:t xml:space="preserve">References </w:t>
      </w:r>
    </w:p>
    <w:p w:rsidR="00446CFB" w:rsidRPr="006224FE" w:rsidRDefault="00446CFB" w:rsidP="00446CFB">
      <w:pPr>
        <w:pStyle w:val="NormalWeb"/>
        <w:ind w:left="284" w:hanging="284"/>
        <w:divId w:val="1855729782"/>
        <w:rPr>
          <w:rFonts w:ascii="Calibri" w:hAnsi="Calibri"/>
        </w:rPr>
      </w:pPr>
      <w:r w:rsidRPr="006224FE">
        <w:rPr>
          <w:rFonts w:ascii="Calibri" w:hAnsi="Calibri"/>
        </w:rPr>
        <w:t xml:space="preserve">Berkowitz, A. (2005). An overview of the social norms approach. In L. Lederman, L. Stewart, F. Goodhart &amp; L. Laitman (Eds.), </w:t>
      </w:r>
      <w:r w:rsidRPr="006224FE">
        <w:rPr>
          <w:rFonts w:ascii="Calibri" w:hAnsi="Calibri"/>
          <w:i/>
          <w:iCs/>
        </w:rPr>
        <w:t>Changing the culture of college drinking: A socially situated prevention campaign</w:t>
      </w:r>
      <w:r w:rsidRPr="006224FE">
        <w:rPr>
          <w:rFonts w:ascii="Calibri" w:hAnsi="Calibri"/>
        </w:rPr>
        <w:t xml:space="preserve"> (). Cresskill, NJ: Hampton Press. </w:t>
      </w:r>
    </w:p>
    <w:p w:rsidR="00446CFB" w:rsidRPr="006224FE" w:rsidRDefault="00446CFB" w:rsidP="00446CFB">
      <w:pPr>
        <w:pStyle w:val="NormalWeb"/>
        <w:ind w:left="284" w:hanging="284"/>
        <w:divId w:val="1855729782"/>
        <w:rPr>
          <w:rFonts w:ascii="Calibri" w:hAnsi="Calibri"/>
        </w:rPr>
      </w:pPr>
      <w:r w:rsidRPr="006224FE">
        <w:rPr>
          <w:rFonts w:ascii="Calibri" w:hAnsi="Calibri"/>
        </w:rPr>
        <w:t xml:space="preserve">Bourdieu, P. (1984). </w:t>
      </w:r>
      <w:r w:rsidRPr="006224FE">
        <w:rPr>
          <w:rFonts w:ascii="Calibri" w:hAnsi="Calibri"/>
          <w:i/>
          <w:iCs/>
        </w:rPr>
        <w:t>Distinction</w:t>
      </w:r>
      <w:r w:rsidRPr="006224FE">
        <w:rPr>
          <w:rFonts w:ascii="Calibri" w:hAnsi="Calibri"/>
        </w:rPr>
        <w:t xml:space="preserve">. London: Routledge. </w:t>
      </w:r>
    </w:p>
    <w:p w:rsidR="00446CFB" w:rsidRPr="006224FE" w:rsidRDefault="00446CFB" w:rsidP="00446CFB">
      <w:pPr>
        <w:pStyle w:val="NormalWeb"/>
        <w:ind w:left="284" w:hanging="284"/>
        <w:divId w:val="1855729782"/>
        <w:rPr>
          <w:rFonts w:ascii="Calibri" w:hAnsi="Calibri"/>
        </w:rPr>
      </w:pPr>
      <w:r w:rsidRPr="006224FE">
        <w:rPr>
          <w:rFonts w:ascii="Calibri" w:hAnsi="Calibri"/>
        </w:rPr>
        <w:t xml:space="preserve">Bourdieu, P. (1985). The genesis of the concepts of </w:t>
      </w:r>
      <w:r w:rsidRPr="006224FE">
        <w:rPr>
          <w:rFonts w:ascii="Calibri" w:hAnsi="Calibri"/>
          <w:i/>
          <w:iCs/>
        </w:rPr>
        <w:t>habitus</w:t>
      </w:r>
      <w:r w:rsidRPr="006224FE">
        <w:rPr>
          <w:rFonts w:ascii="Calibri" w:hAnsi="Calibri"/>
        </w:rPr>
        <w:t xml:space="preserve"> and of </w:t>
      </w:r>
      <w:r w:rsidRPr="006224FE">
        <w:rPr>
          <w:rFonts w:ascii="Calibri" w:hAnsi="Calibri"/>
          <w:i/>
          <w:iCs/>
        </w:rPr>
        <w:t>field</w:t>
      </w:r>
      <w:r w:rsidRPr="006224FE">
        <w:rPr>
          <w:rFonts w:ascii="Calibri" w:hAnsi="Calibri"/>
        </w:rPr>
        <w:t>.</w:t>
      </w:r>
      <w:r w:rsidRPr="006224FE">
        <w:rPr>
          <w:rFonts w:ascii="Calibri" w:hAnsi="Calibri"/>
          <w:i/>
          <w:iCs/>
        </w:rPr>
        <w:t xml:space="preserve"> Sociocriticism, 2</w:t>
      </w:r>
      <w:r w:rsidRPr="006224FE">
        <w:rPr>
          <w:rFonts w:ascii="Calibri" w:hAnsi="Calibri"/>
        </w:rPr>
        <w:t xml:space="preserve">(2), 11-24. </w:t>
      </w:r>
    </w:p>
    <w:p w:rsidR="00A66854" w:rsidRPr="006224FE" w:rsidRDefault="00A66854" w:rsidP="007B0A30">
      <w:pPr>
        <w:divId w:val="1855729782"/>
      </w:pPr>
      <w:r w:rsidRPr="006224FE">
        <w:t xml:space="preserve">Brown, S., 2003. </w:t>
      </w:r>
      <w:r w:rsidRPr="006224FE">
        <w:rPr>
          <w:i/>
        </w:rPr>
        <w:t>Free Gift Inside!</w:t>
      </w:r>
      <w:r w:rsidRPr="006224FE">
        <w:t xml:space="preserve"> Capstone Publishing; Wiley, England.</w:t>
      </w:r>
    </w:p>
    <w:p w:rsidR="00A66854" w:rsidRPr="006224FE" w:rsidRDefault="00A66854" w:rsidP="007B0A30">
      <w:pPr>
        <w:divId w:val="1855729782"/>
      </w:pPr>
    </w:p>
    <w:p w:rsidR="007B0A30" w:rsidRPr="006224FE" w:rsidRDefault="007B0A30" w:rsidP="007B0A30">
      <w:pPr>
        <w:divId w:val="1855729782"/>
      </w:pPr>
      <w:r w:rsidRPr="006224FE">
        <w:t xml:space="preserve">Cialdini, R., 2007 </w:t>
      </w:r>
      <w:r w:rsidRPr="006224FE">
        <w:rPr>
          <w:i/>
        </w:rPr>
        <w:t>The Psychology of Influence</w:t>
      </w:r>
      <w:r w:rsidRPr="006224FE">
        <w:t>, Revised ed, Harper Collins, NY</w:t>
      </w:r>
    </w:p>
    <w:p w:rsidR="00446CFB" w:rsidRPr="006224FE" w:rsidRDefault="00446CFB" w:rsidP="007B0A30">
      <w:pPr>
        <w:pStyle w:val="NormalWeb"/>
        <w:divId w:val="1855729782"/>
        <w:rPr>
          <w:rFonts w:ascii="Calibri" w:hAnsi="Calibri"/>
        </w:rPr>
      </w:pPr>
      <w:r w:rsidRPr="006224FE">
        <w:rPr>
          <w:rFonts w:ascii="Calibri" w:hAnsi="Calibri"/>
        </w:rPr>
        <w:t xml:space="preserve">French, J., Blair-Stevens, C., McVey, D., &amp; Merritt, R. (2010). </w:t>
      </w:r>
      <w:r w:rsidRPr="006224FE">
        <w:rPr>
          <w:rFonts w:ascii="Calibri" w:hAnsi="Calibri"/>
          <w:i/>
          <w:iCs/>
        </w:rPr>
        <w:t>Social marketing and public health. theory and practice</w:t>
      </w:r>
      <w:r w:rsidRPr="006224FE">
        <w:rPr>
          <w:rFonts w:ascii="Calibri" w:hAnsi="Calibri"/>
        </w:rPr>
        <w:t xml:space="preserve">. Oxford: Oxford University Press. </w:t>
      </w:r>
    </w:p>
    <w:p w:rsidR="00446CFB" w:rsidRPr="006224FE" w:rsidRDefault="00446CFB" w:rsidP="00446CFB">
      <w:pPr>
        <w:pStyle w:val="NormalWeb"/>
        <w:ind w:left="284" w:hanging="284"/>
        <w:divId w:val="1855729782"/>
        <w:rPr>
          <w:rFonts w:ascii="Calibri" w:hAnsi="Calibri"/>
        </w:rPr>
      </w:pPr>
      <w:r w:rsidRPr="006224FE">
        <w:rPr>
          <w:rFonts w:ascii="Calibri" w:hAnsi="Calibri"/>
        </w:rPr>
        <w:t xml:space="preserve">Gladwell, M. (2000). </w:t>
      </w:r>
      <w:r w:rsidRPr="006224FE">
        <w:rPr>
          <w:rFonts w:ascii="Calibri" w:hAnsi="Calibri"/>
          <w:i/>
          <w:iCs/>
        </w:rPr>
        <w:t>The tipping point: How little things can make A difference</w:t>
      </w:r>
      <w:r w:rsidRPr="006224FE">
        <w:rPr>
          <w:rFonts w:ascii="Calibri" w:hAnsi="Calibri"/>
        </w:rPr>
        <w:t xml:space="preserve">. New York: Little, Brown and Company. </w:t>
      </w:r>
    </w:p>
    <w:p w:rsidR="00446CFB" w:rsidRPr="006224FE" w:rsidRDefault="00446CFB" w:rsidP="00446CFB">
      <w:pPr>
        <w:pStyle w:val="NormalWeb"/>
        <w:ind w:left="284" w:hanging="284"/>
        <w:divId w:val="1855729782"/>
        <w:rPr>
          <w:rFonts w:ascii="Calibri" w:hAnsi="Calibri"/>
        </w:rPr>
      </w:pPr>
      <w:r w:rsidRPr="006224FE">
        <w:rPr>
          <w:rFonts w:ascii="Calibri" w:hAnsi="Calibri"/>
        </w:rPr>
        <w:t xml:space="preserve">Hughes, K., &amp; Bellis, M. A. (2003). </w:t>
      </w:r>
      <w:r w:rsidRPr="006224FE">
        <w:rPr>
          <w:rFonts w:ascii="Calibri" w:hAnsi="Calibri"/>
          <w:i/>
          <w:iCs/>
        </w:rPr>
        <w:t xml:space="preserve">Safer nightlife in the north west of </w:t>
      </w:r>
      <w:r w:rsidR="002E4CA8" w:rsidRPr="006224FE">
        <w:rPr>
          <w:rFonts w:ascii="Calibri" w:hAnsi="Calibri"/>
          <w:i/>
          <w:iCs/>
        </w:rPr>
        <w:t>E</w:t>
      </w:r>
      <w:r w:rsidRPr="006224FE">
        <w:rPr>
          <w:rFonts w:ascii="Calibri" w:hAnsi="Calibri"/>
          <w:i/>
          <w:iCs/>
        </w:rPr>
        <w:t>ngland: A report by the</w:t>
      </w:r>
      <w:r w:rsidRPr="006224FE">
        <w:rPr>
          <w:rFonts w:ascii="Calibri" w:hAnsi="Calibri"/>
          <w:i/>
          <w:iCs/>
        </w:rPr>
        <w:br/>
        <w:t>north west safer nightlife group</w:t>
      </w:r>
      <w:r w:rsidRPr="006224FE">
        <w:rPr>
          <w:rFonts w:ascii="Calibri" w:hAnsi="Calibri"/>
        </w:rPr>
        <w:t xml:space="preserve">. Centre for Public Health: Liverpool John Moores University. </w:t>
      </w:r>
    </w:p>
    <w:p w:rsidR="00891A41" w:rsidRPr="006224FE" w:rsidRDefault="00891A41" w:rsidP="00446CFB">
      <w:pPr>
        <w:pStyle w:val="NormalWeb"/>
        <w:ind w:left="284" w:hanging="284"/>
        <w:divId w:val="1855729782"/>
        <w:rPr>
          <w:rFonts w:ascii="Calibri" w:hAnsi="Calibri"/>
        </w:rPr>
      </w:pPr>
      <w:r w:rsidRPr="006224FE">
        <w:rPr>
          <w:rFonts w:ascii="Calibri" w:hAnsi="Calibri"/>
        </w:rPr>
        <w:t xml:space="preserve">Plant, M., and Plant, M. (2006). </w:t>
      </w:r>
      <w:r w:rsidRPr="006224FE">
        <w:rPr>
          <w:rFonts w:ascii="Calibri" w:hAnsi="Calibri"/>
          <w:i/>
        </w:rPr>
        <w:t>Binge Britain: Alcohol and the national response</w:t>
      </w:r>
      <w:r w:rsidRPr="006224FE">
        <w:rPr>
          <w:rFonts w:ascii="Calibri" w:hAnsi="Calibri"/>
        </w:rPr>
        <w:t>, Oxford University Press, UK.</w:t>
      </w:r>
    </w:p>
    <w:p w:rsidR="00446CFB" w:rsidRPr="006224FE" w:rsidRDefault="00446CFB" w:rsidP="00446CFB">
      <w:pPr>
        <w:pStyle w:val="NormalWeb"/>
        <w:ind w:left="284" w:hanging="284"/>
        <w:divId w:val="1855729782"/>
        <w:rPr>
          <w:rFonts w:ascii="Calibri" w:hAnsi="Calibri"/>
        </w:rPr>
      </w:pPr>
      <w:r w:rsidRPr="006224FE">
        <w:rPr>
          <w:rFonts w:ascii="Calibri" w:hAnsi="Calibri"/>
        </w:rPr>
        <w:t xml:space="preserve">Pressley, A., Collins, K., Tapp, A., &amp; Ellson, T. (unpublished). Boy racers and bourdieu: Social capital theory and its implications for social marketers. </w:t>
      </w:r>
    </w:p>
    <w:p w:rsidR="00446CFB" w:rsidRPr="006224FE" w:rsidRDefault="00446CFB" w:rsidP="00446CFB">
      <w:pPr>
        <w:pStyle w:val="NormalWeb"/>
        <w:ind w:left="284" w:hanging="284"/>
        <w:divId w:val="1855729782"/>
        <w:rPr>
          <w:rFonts w:ascii="Calibri" w:hAnsi="Calibri"/>
        </w:rPr>
      </w:pPr>
      <w:r w:rsidRPr="006224FE">
        <w:rPr>
          <w:rFonts w:ascii="Calibri" w:hAnsi="Calibri"/>
        </w:rPr>
        <w:t>Schwartz, B. (1996). Working within the system: Adapting the social marketing approach to the implementation of state and federal health programs.</w:t>
      </w:r>
      <w:r w:rsidRPr="006224FE">
        <w:rPr>
          <w:rFonts w:ascii="Calibri" w:hAnsi="Calibri"/>
          <w:i/>
          <w:iCs/>
        </w:rPr>
        <w:t xml:space="preserve"> Social Marketing Quarterly, </w:t>
      </w:r>
      <w:r w:rsidRPr="006224FE">
        <w:rPr>
          <w:rFonts w:ascii="Calibri" w:hAnsi="Calibri"/>
        </w:rPr>
        <w:t xml:space="preserve">(Winter), 64-70. </w:t>
      </w:r>
    </w:p>
    <w:p w:rsidR="00446CFB" w:rsidRPr="006224FE" w:rsidRDefault="00446CFB" w:rsidP="00446CFB">
      <w:pPr>
        <w:pStyle w:val="NormalWeb"/>
        <w:ind w:left="284" w:hanging="284"/>
        <w:divId w:val="1855729782"/>
        <w:rPr>
          <w:rFonts w:ascii="Calibri" w:hAnsi="Calibri"/>
        </w:rPr>
      </w:pPr>
      <w:r w:rsidRPr="006224FE">
        <w:rPr>
          <w:rFonts w:ascii="Calibri" w:hAnsi="Calibri"/>
        </w:rPr>
        <w:t xml:space="preserve">Spotswood, F., &amp; Tapp, A. (2010). Rethinking how to tackle binge drinking: A neo-tribal analysis. </w:t>
      </w:r>
      <w:r w:rsidRPr="006224FE">
        <w:rPr>
          <w:rFonts w:ascii="Calibri" w:hAnsi="Calibri"/>
          <w:i/>
          <w:iCs/>
        </w:rPr>
        <w:t xml:space="preserve">Brand New Territory: Brand Leadership, Relevancy and Practice in Dynamic Environment. 6th International Conference of the AM's Brand, Identity and Corporate Reputation Special Interest Group, </w:t>
      </w:r>
      <w:r w:rsidRPr="006224FE">
        <w:rPr>
          <w:rFonts w:ascii="Calibri" w:hAnsi="Calibri"/>
        </w:rPr>
        <w:t xml:space="preserve">ESADE Business School, Barcelona. </w:t>
      </w:r>
    </w:p>
    <w:p w:rsidR="00446CFB" w:rsidRPr="006224FE" w:rsidRDefault="00446CFB" w:rsidP="00446CFB">
      <w:pPr>
        <w:pStyle w:val="NormalWeb"/>
        <w:ind w:left="284" w:hanging="284"/>
        <w:divId w:val="1855729782"/>
        <w:rPr>
          <w:rFonts w:ascii="Calibri" w:hAnsi="Calibri"/>
        </w:rPr>
      </w:pPr>
      <w:r w:rsidRPr="006224FE">
        <w:rPr>
          <w:rFonts w:ascii="Calibri" w:hAnsi="Calibri"/>
        </w:rPr>
        <w:t xml:space="preserve">Thaler, R. H., &amp; Sunstein, C. R. (2008). </w:t>
      </w:r>
      <w:r w:rsidRPr="006224FE">
        <w:rPr>
          <w:rFonts w:ascii="Calibri" w:hAnsi="Calibri"/>
          <w:bCs/>
          <w:i/>
          <w:iCs/>
        </w:rPr>
        <w:t>Nudge. improving decisions about health, wealth, and happiness</w:t>
      </w:r>
      <w:r w:rsidRPr="006224FE">
        <w:rPr>
          <w:rFonts w:ascii="Calibri" w:hAnsi="Calibri"/>
        </w:rPr>
        <w:t xml:space="preserve">. Yale: Yale University Press. </w:t>
      </w:r>
    </w:p>
    <w:p w:rsidR="007D2C6F" w:rsidRPr="005426C5" w:rsidRDefault="00AD036C" w:rsidP="00446CFB">
      <w:pPr>
        <w:rPr>
          <w:rFonts w:asciiTheme="minorHAnsi" w:hAnsiTheme="minorHAnsi"/>
        </w:rPr>
      </w:pPr>
      <w:r w:rsidRPr="006224FE">
        <w:rPr>
          <w:rFonts w:asciiTheme="minorHAnsi" w:hAnsiTheme="minorHAnsi"/>
        </w:rPr>
        <w:fldChar w:fldCharType="end"/>
      </w:r>
    </w:p>
    <w:sectPr w:rsidR="007D2C6F" w:rsidRPr="005426C5" w:rsidSect="002E7AE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7A7" w:rsidRDefault="00AA27A7" w:rsidP="00C763BC">
      <w:r>
        <w:separator/>
      </w:r>
    </w:p>
  </w:endnote>
  <w:endnote w:type="continuationSeparator" w:id="0">
    <w:p w:rsidR="00AA27A7" w:rsidRDefault="00AA27A7" w:rsidP="00C76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5A" w:rsidRDefault="00DF2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8157"/>
      <w:docPartObj>
        <w:docPartGallery w:val="Page Numbers (Bottom of Page)"/>
        <w:docPartUnique/>
      </w:docPartObj>
    </w:sdtPr>
    <w:sdtContent>
      <w:p w:rsidR="00DF245A" w:rsidRDefault="00AD036C">
        <w:pPr>
          <w:pStyle w:val="Footer"/>
          <w:jc w:val="right"/>
        </w:pPr>
        <w:r w:rsidRPr="00C763BC">
          <w:rPr>
            <w:rFonts w:asciiTheme="minorHAnsi" w:hAnsiTheme="minorHAnsi"/>
          </w:rPr>
          <w:fldChar w:fldCharType="begin"/>
        </w:r>
        <w:r w:rsidR="00DF245A" w:rsidRPr="00C763BC">
          <w:rPr>
            <w:rFonts w:asciiTheme="minorHAnsi" w:hAnsiTheme="minorHAnsi"/>
          </w:rPr>
          <w:instrText xml:space="preserve"> PAGE   \* MERGEFORMAT </w:instrText>
        </w:r>
        <w:r w:rsidRPr="00C763BC">
          <w:rPr>
            <w:rFonts w:asciiTheme="minorHAnsi" w:hAnsiTheme="minorHAnsi"/>
          </w:rPr>
          <w:fldChar w:fldCharType="separate"/>
        </w:r>
        <w:r w:rsidR="00766DDC">
          <w:rPr>
            <w:rFonts w:asciiTheme="minorHAnsi" w:hAnsiTheme="minorHAnsi"/>
            <w:noProof/>
          </w:rPr>
          <w:t>1</w:t>
        </w:r>
        <w:r w:rsidRPr="00C763BC">
          <w:rPr>
            <w:rFonts w:asciiTheme="minorHAnsi" w:hAnsiTheme="minorHAnsi"/>
          </w:rPr>
          <w:fldChar w:fldCharType="end"/>
        </w:r>
      </w:p>
    </w:sdtContent>
  </w:sdt>
  <w:p w:rsidR="00DF245A" w:rsidRDefault="00DF24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5A" w:rsidRDefault="00DF2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7A7" w:rsidRDefault="00AA27A7" w:rsidP="00C763BC">
      <w:r>
        <w:separator/>
      </w:r>
    </w:p>
  </w:footnote>
  <w:footnote w:type="continuationSeparator" w:id="0">
    <w:p w:rsidR="00AA27A7" w:rsidRDefault="00AA27A7" w:rsidP="00C76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5A" w:rsidRDefault="00DF24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5A" w:rsidRDefault="00DF24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5A" w:rsidRDefault="00DF24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20"/>
  <w:characterSpacingControl w:val="doNotCompress"/>
  <w:footnotePr>
    <w:footnote w:id="-1"/>
    <w:footnote w:id="0"/>
  </w:footnotePr>
  <w:endnotePr>
    <w:endnote w:id="-1"/>
    <w:endnote w:id="0"/>
  </w:endnotePr>
  <w:compat/>
  <w:rsids>
    <w:rsidRoot w:val="00FB48EC"/>
    <w:rsid w:val="00024594"/>
    <w:rsid w:val="000834C9"/>
    <w:rsid w:val="000F600A"/>
    <w:rsid w:val="0012626C"/>
    <w:rsid w:val="001B3247"/>
    <w:rsid w:val="002403CC"/>
    <w:rsid w:val="002864FC"/>
    <w:rsid w:val="002E4CA8"/>
    <w:rsid w:val="002E7AEC"/>
    <w:rsid w:val="003907E7"/>
    <w:rsid w:val="003F272E"/>
    <w:rsid w:val="0041295D"/>
    <w:rsid w:val="00446CFB"/>
    <w:rsid w:val="00473B23"/>
    <w:rsid w:val="004E7FB9"/>
    <w:rsid w:val="005426C5"/>
    <w:rsid w:val="005F76B5"/>
    <w:rsid w:val="006224FE"/>
    <w:rsid w:val="006C4322"/>
    <w:rsid w:val="0075468A"/>
    <w:rsid w:val="00757D5E"/>
    <w:rsid w:val="00766DDC"/>
    <w:rsid w:val="007A79D4"/>
    <w:rsid w:val="007B0A30"/>
    <w:rsid w:val="007D2C6F"/>
    <w:rsid w:val="007F0D27"/>
    <w:rsid w:val="00814E66"/>
    <w:rsid w:val="00827031"/>
    <w:rsid w:val="00882B55"/>
    <w:rsid w:val="00891A41"/>
    <w:rsid w:val="0099016B"/>
    <w:rsid w:val="009E2E6A"/>
    <w:rsid w:val="009F4C72"/>
    <w:rsid w:val="00A05EC7"/>
    <w:rsid w:val="00A210F2"/>
    <w:rsid w:val="00A646B5"/>
    <w:rsid w:val="00A66854"/>
    <w:rsid w:val="00A979D7"/>
    <w:rsid w:val="00AA27A7"/>
    <w:rsid w:val="00AD036C"/>
    <w:rsid w:val="00B71D50"/>
    <w:rsid w:val="00B74206"/>
    <w:rsid w:val="00B82463"/>
    <w:rsid w:val="00BA04FB"/>
    <w:rsid w:val="00C306A7"/>
    <w:rsid w:val="00C763BC"/>
    <w:rsid w:val="00CD2B71"/>
    <w:rsid w:val="00CF05BD"/>
    <w:rsid w:val="00D7616D"/>
    <w:rsid w:val="00D776EE"/>
    <w:rsid w:val="00D81A39"/>
    <w:rsid w:val="00D935E0"/>
    <w:rsid w:val="00DE3081"/>
    <w:rsid w:val="00DF245A"/>
    <w:rsid w:val="00DF6316"/>
    <w:rsid w:val="00E35229"/>
    <w:rsid w:val="00E51577"/>
    <w:rsid w:val="00F41131"/>
    <w:rsid w:val="00F54EFA"/>
    <w:rsid w:val="00FB48EC"/>
    <w:rsid w:val="00FC11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8"/>
        <o:r id="V:Rule6" type="connector" idref="#_x0000_s1051"/>
        <o:r id="V:Rule7" type="connector" idref="#_x0000_s1036"/>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E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2864F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473B23"/>
    <w:pPr>
      <w:spacing w:after="200" w:line="276" w:lineRule="auto"/>
    </w:pPr>
    <w:rPr>
      <w:rFonts w:ascii="Arial" w:hAnsi="Arial"/>
      <w:szCs w:val="22"/>
      <w:lang w:val="en-US" w:eastAsia="en-US" w:bidi="en-US"/>
    </w:rPr>
  </w:style>
  <w:style w:type="character" w:customStyle="1" w:styleId="Heading1Char">
    <w:name w:val="Heading 1 Char"/>
    <w:basedOn w:val="DefaultParagraphFont"/>
    <w:link w:val="Heading1"/>
    <w:uiPriority w:val="9"/>
    <w:rsid w:val="002864FC"/>
    <w:rPr>
      <w:rFonts w:ascii="Arial" w:eastAsia="Times New Roman" w:hAnsi="Arial" w:cs="Arial"/>
      <w:b/>
      <w:bCs/>
      <w:kern w:val="32"/>
      <w:sz w:val="32"/>
      <w:szCs w:val="32"/>
      <w:lang w:eastAsia="en-GB"/>
    </w:rPr>
  </w:style>
  <w:style w:type="character" w:styleId="Hyperlink">
    <w:name w:val="Hyperlink"/>
    <w:basedOn w:val="DefaultParagraphFont"/>
    <w:uiPriority w:val="99"/>
    <w:unhideWhenUsed/>
    <w:rsid w:val="002864FC"/>
    <w:rPr>
      <w:color w:val="0000FF"/>
      <w:u w:val="single"/>
    </w:rPr>
  </w:style>
  <w:style w:type="paragraph" w:styleId="NormalWeb">
    <w:name w:val="Normal (Web)"/>
    <w:basedOn w:val="Normal"/>
    <w:uiPriority w:val="99"/>
    <w:unhideWhenUsed/>
    <w:rsid w:val="004E7FB9"/>
    <w:pPr>
      <w:spacing w:before="100" w:beforeAutospacing="1" w:after="100" w:afterAutospacing="1"/>
    </w:pPr>
    <w:rPr>
      <w:rFonts w:eastAsiaTheme="minorEastAsia"/>
    </w:rPr>
  </w:style>
  <w:style w:type="paragraph" w:styleId="Header">
    <w:name w:val="header"/>
    <w:basedOn w:val="Normal"/>
    <w:link w:val="HeaderChar"/>
    <w:uiPriority w:val="99"/>
    <w:semiHidden/>
    <w:unhideWhenUsed/>
    <w:rsid w:val="00C763BC"/>
    <w:pPr>
      <w:tabs>
        <w:tab w:val="center" w:pos="4513"/>
        <w:tab w:val="right" w:pos="9026"/>
      </w:tabs>
    </w:pPr>
  </w:style>
  <w:style w:type="character" w:customStyle="1" w:styleId="HeaderChar">
    <w:name w:val="Header Char"/>
    <w:basedOn w:val="DefaultParagraphFont"/>
    <w:link w:val="Header"/>
    <w:uiPriority w:val="99"/>
    <w:semiHidden/>
    <w:rsid w:val="00C763B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763BC"/>
    <w:pPr>
      <w:tabs>
        <w:tab w:val="center" w:pos="4513"/>
        <w:tab w:val="right" w:pos="9026"/>
      </w:tabs>
    </w:pPr>
  </w:style>
  <w:style w:type="character" w:customStyle="1" w:styleId="FooterChar">
    <w:name w:val="Footer Char"/>
    <w:basedOn w:val="DefaultParagraphFont"/>
    <w:link w:val="Footer"/>
    <w:uiPriority w:val="99"/>
    <w:rsid w:val="00C763B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0A30"/>
    <w:rPr>
      <w:rFonts w:ascii="Tahoma" w:hAnsi="Tahoma" w:cs="Tahoma"/>
      <w:sz w:val="16"/>
      <w:szCs w:val="16"/>
    </w:rPr>
  </w:style>
  <w:style w:type="character" w:customStyle="1" w:styleId="BalloonTextChar">
    <w:name w:val="Balloon Text Char"/>
    <w:basedOn w:val="DefaultParagraphFont"/>
    <w:link w:val="BalloonText"/>
    <w:uiPriority w:val="99"/>
    <w:semiHidden/>
    <w:rsid w:val="007B0A30"/>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F05BD"/>
    <w:rPr>
      <w:sz w:val="16"/>
      <w:szCs w:val="16"/>
    </w:rPr>
  </w:style>
  <w:style w:type="paragraph" w:styleId="CommentText">
    <w:name w:val="annotation text"/>
    <w:basedOn w:val="Normal"/>
    <w:link w:val="CommentTextChar"/>
    <w:uiPriority w:val="99"/>
    <w:semiHidden/>
    <w:unhideWhenUsed/>
    <w:rsid w:val="00CF05BD"/>
    <w:rPr>
      <w:sz w:val="20"/>
      <w:szCs w:val="20"/>
    </w:rPr>
  </w:style>
  <w:style w:type="character" w:customStyle="1" w:styleId="CommentTextChar">
    <w:name w:val="Comment Text Char"/>
    <w:basedOn w:val="DefaultParagraphFont"/>
    <w:link w:val="CommentText"/>
    <w:uiPriority w:val="99"/>
    <w:semiHidden/>
    <w:rsid w:val="00CF05B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F05BD"/>
    <w:rPr>
      <w:b/>
      <w:bCs/>
    </w:rPr>
  </w:style>
  <w:style w:type="character" w:customStyle="1" w:styleId="CommentSubjectChar">
    <w:name w:val="Comment Subject Char"/>
    <w:basedOn w:val="CommentTextChar"/>
    <w:link w:val="CommentSubject"/>
    <w:uiPriority w:val="99"/>
    <w:semiHidden/>
    <w:rsid w:val="00CF05BD"/>
    <w:rPr>
      <w:b/>
      <w:bCs/>
    </w:rPr>
  </w:style>
  <w:style w:type="character" w:styleId="FollowedHyperlink">
    <w:name w:val="FollowedHyperlink"/>
    <w:basedOn w:val="DefaultParagraphFont"/>
    <w:uiPriority w:val="99"/>
    <w:semiHidden/>
    <w:unhideWhenUsed/>
    <w:rsid w:val="006224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712101">
      <w:bodyDiv w:val="1"/>
      <w:marLeft w:val="0"/>
      <w:marRight w:val="0"/>
      <w:marTop w:val="0"/>
      <w:marBottom w:val="0"/>
      <w:divBdr>
        <w:top w:val="none" w:sz="0" w:space="0" w:color="auto"/>
        <w:left w:val="none" w:sz="0" w:space="0" w:color="auto"/>
        <w:bottom w:val="none" w:sz="0" w:space="0" w:color="auto"/>
        <w:right w:val="none" w:sz="0" w:space="0" w:color="auto"/>
      </w:divBdr>
    </w:div>
    <w:div w:id="117572452">
      <w:bodyDiv w:val="1"/>
      <w:marLeft w:val="0"/>
      <w:marRight w:val="0"/>
      <w:marTop w:val="0"/>
      <w:marBottom w:val="0"/>
      <w:divBdr>
        <w:top w:val="none" w:sz="0" w:space="0" w:color="auto"/>
        <w:left w:val="none" w:sz="0" w:space="0" w:color="auto"/>
        <w:bottom w:val="none" w:sz="0" w:space="0" w:color="auto"/>
        <w:right w:val="none" w:sz="0" w:space="0" w:color="auto"/>
      </w:divBdr>
    </w:div>
    <w:div w:id="187641655">
      <w:bodyDiv w:val="1"/>
      <w:marLeft w:val="0"/>
      <w:marRight w:val="0"/>
      <w:marTop w:val="0"/>
      <w:marBottom w:val="0"/>
      <w:divBdr>
        <w:top w:val="none" w:sz="0" w:space="0" w:color="auto"/>
        <w:left w:val="none" w:sz="0" w:space="0" w:color="auto"/>
        <w:bottom w:val="none" w:sz="0" w:space="0" w:color="auto"/>
        <w:right w:val="none" w:sz="0" w:space="0" w:color="auto"/>
      </w:divBdr>
    </w:div>
    <w:div w:id="953243514">
      <w:bodyDiv w:val="1"/>
      <w:marLeft w:val="0"/>
      <w:marRight w:val="0"/>
      <w:marTop w:val="0"/>
      <w:marBottom w:val="0"/>
      <w:divBdr>
        <w:top w:val="none" w:sz="0" w:space="0" w:color="auto"/>
        <w:left w:val="none" w:sz="0" w:space="0" w:color="auto"/>
        <w:bottom w:val="none" w:sz="0" w:space="0" w:color="auto"/>
        <w:right w:val="none" w:sz="0" w:space="0" w:color="auto"/>
      </w:divBdr>
    </w:div>
    <w:div w:id="1512833898">
      <w:bodyDiv w:val="1"/>
      <w:marLeft w:val="0"/>
      <w:marRight w:val="0"/>
      <w:marTop w:val="0"/>
      <w:marBottom w:val="0"/>
      <w:divBdr>
        <w:top w:val="none" w:sz="0" w:space="0" w:color="auto"/>
        <w:left w:val="none" w:sz="0" w:space="0" w:color="auto"/>
        <w:bottom w:val="none" w:sz="0" w:space="0" w:color="auto"/>
        <w:right w:val="none" w:sz="0" w:space="0" w:color="auto"/>
      </w:divBdr>
    </w:div>
    <w:div w:id="1644196567">
      <w:bodyDiv w:val="1"/>
      <w:marLeft w:val="0"/>
      <w:marRight w:val="0"/>
      <w:marTop w:val="0"/>
      <w:marBottom w:val="0"/>
      <w:divBdr>
        <w:top w:val="none" w:sz="0" w:space="0" w:color="auto"/>
        <w:left w:val="none" w:sz="0" w:space="0" w:color="auto"/>
        <w:bottom w:val="none" w:sz="0" w:space="0" w:color="auto"/>
        <w:right w:val="none" w:sz="0" w:space="0" w:color="auto"/>
      </w:divBdr>
    </w:div>
    <w:div w:id="1774134290">
      <w:bodyDiv w:val="1"/>
      <w:marLeft w:val="0"/>
      <w:marRight w:val="0"/>
      <w:marTop w:val="0"/>
      <w:marBottom w:val="0"/>
      <w:divBdr>
        <w:top w:val="none" w:sz="0" w:space="0" w:color="auto"/>
        <w:left w:val="none" w:sz="0" w:space="0" w:color="auto"/>
        <w:bottom w:val="none" w:sz="0" w:space="0" w:color="auto"/>
        <w:right w:val="none" w:sz="0" w:space="0" w:color="auto"/>
      </w:divBdr>
    </w:div>
    <w:div w:id="1855729782">
      <w:bodyDiv w:val="1"/>
      <w:marLeft w:val="0"/>
      <w:marRight w:val="0"/>
      <w:marTop w:val="0"/>
      <w:marBottom w:val="0"/>
      <w:divBdr>
        <w:top w:val="none" w:sz="0" w:space="0" w:color="auto"/>
        <w:left w:val="none" w:sz="0" w:space="0" w:color="auto"/>
        <w:bottom w:val="none" w:sz="0" w:space="0" w:color="auto"/>
        <w:right w:val="none" w:sz="0" w:space="0" w:color="auto"/>
      </w:divBdr>
    </w:div>
    <w:div w:id="19144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ona2.Spotswood@uwe.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an.Tapp@uwe.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astar.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21C8-7E5F-43EE-94E3-FC5D48EE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t:lpstr>
    </vt:vector>
  </TitlesOfParts>
  <Company>University of the West of England</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Fiona Spotswood</dc:creator>
  <cp:keywords/>
  <dc:description/>
  <cp:lastModifiedBy>Anna Lawson</cp:lastModifiedBy>
  <cp:revision>2</cp:revision>
  <dcterms:created xsi:type="dcterms:W3CDTF">2011-05-23T10:27:00Z</dcterms:created>
  <dcterms:modified xsi:type="dcterms:W3CDTF">2011-05-23T10:27:00Z</dcterms:modified>
</cp:coreProperties>
</file>