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11" w:rsidRPr="006E1C42" w:rsidRDefault="00994911" w:rsidP="00C853D7">
      <w:pPr>
        <w:spacing w:line="480" w:lineRule="auto"/>
        <w:jc w:val="center"/>
        <w:rPr>
          <w:rFonts w:ascii="Times New Roman" w:hAnsi="Times New Roman" w:cs="Times New Roman"/>
          <w:lang w:val="en-GB"/>
        </w:rPr>
      </w:pPr>
    </w:p>
    <w:p w:rsidR="00994911" w:rsidRPr="006E1C42" w:rsidRDefault="00994911" w:rsidP="00C853D7">
      <w:pPr>
        <w:spacing w:line="480" w:lineRule="auto"/>
        <w:jc w:val="center"/>
        <w:rPr>
          <w:rFonts w:ascii="Times New Roman" w:hAnsi="Times New Roman" w:cs="Times New Roman"/>
          <w:lang w:val="en-GB"/>
        </w:rPr>
      </w:pPr>
    </w:p>
    <w:p w:rsidR="006E1C42" w:rsidRDefault="006E1C42" w:rsidP="00C853D7">
      <w:pPr>
        <w:spacing w:line="480" w:lineRule="auto"/>
        <w:jc w:val="center"/>
        <w:rPr>
          <w:rFonts w:ascii="Times New Roman" w:hAnsi="Times New Roman" w:cs="Times New Roman"/>
          <w:lang w:val="en-GB"/>
        </w:rPr>
      </w:pPr>
    </w:p>
    <w:p w:rsidR="006E1C42" w:rsidRDefault="006E1C42" w:rsidP="00C853D7">
      <w:pPr>
        <w:spacing w:line="480" w:lineRule="auto"/>
        <w:jc w:val="center"/>
        <w:rPr>
          <w:rFonts w:ascii="Times New Roman" w:hAnsi="Times New Roman" w:cs="Times New Roman"/>
          <w:lang w:val="en-GB"/>
        </w:rPr>
      </w:pPr>
    </w:p>
    <w:p w:rsidR="00994911" w:rsidRPr="006E1C42" w:rsidRDefault="00B00A44" w:rsidP="00C853D7">
      <w:pPr>
        <w:spacing w:line="480" w:lineRule="auto"/>
        <w:jc w:val="center"/>
        <w:rPr>
          <w:rFonts w:ascii="Times New Roman" w:hAnsi="Times New Roman" w:cs="Times New Roman"/>
          <w:lang w:val="en-GB"/>
        </w:rPr>
      </w:pPr>
      <w:r>
        <w:rPr>
          <w:rFonts w:ascii="Times New Roman" w:hAnsi="Times New Roman" w:cs="Times New Roman"/>
          <w:lang w:val="en-GB"/>
        </w:rPr>
        <w:t xml:space="preserve">Professor Lynne Eagle, Ray McDowell &amp; </w:t>
      </w:r>
      <w:r w:rsidR="009D5275" w:rsidRPr="006E1C42">
        <w:rPr>
          <w:rFonts w:ascii="Times New Roman" w:hAnsi="Times New Roman" w:cs="Times New Roman"/>
          <w:lang w:val="en-GB"/>
        </w:rPr>
        <w:t>Sara Bird M.A.*</w:t>
      </w:r>
      <w:r w:rsidR="00587251">
        <w:rPr>
          <w:rFonts w:ascii="Times New Roman" w:hAnsi="Times New Roman" w:cs="Times New Roman"/>
          <w:lang w:val="en-GB"/>
        </w:rPr>
        <w:t xml:space="preserve"> </w:t>
      </w:r>
      <w:r>
        <w:rPr>
          <w:rFonts w:ascii="Times New Roman" w:hAnsi="Times New Roman" w:cs="Times New Roman"/>
          <w:lang w:val="en-GB"/>
        </w:rPr>
        <w:br/>
      </w:r>
      <w:r w:rsidR="00994911" w:rsidRPr="006E1C42">
        <w:rPr>
          <w:rFonts w:ascii="Times New Roman" w:hAnsi="Times New Roman" w:cs="Times New Roman"/>
          <w:lang w:val="en-GB"/>
        </w:rPr>
        <w:t>(University of the West of England)</w:t>
      </w:r>
    </w:p>
    <w:p w:rsidR="009D5275" w:rsidRPr="006E1C42" w:rsidRDefault="009D5275" w:rsidP="00C853D7">
      <w:pPr>
        <w:spacing w:line="480" w:lineRule="auto"/>
        <w:jc w:val="center"/>
        <w:rPr>
          <w:rFonts w:ascii="Times New Roman" w:hAnsi="Times New Roman" w:cs="Times New Roman"/>
          <w:lang w:val="en-GB"/>
        </w:rPr>
      </w:pPr>
    </w:p>
    <w:p w:rsidR="009D5275" w:rsidRPr="006E1C42" w:rsidRDefault="009D5275" w:rsidP="00C853D7">
      <w:pPr>
        <w:spacing w:line="480" w:lineRule="auto"/>
        <w:jc w:val="center"/>
        <w:rPr>
          <w:rFonts w:ascii="Times New Roman" w:hAnsi="Times New Roman" w:cs="Times New Roman"/>
          <w:lang w:val="en-GB"/>
        </w:rPr>
      </w:pPr>
      <w:r w:rsidRPr="006E1C42">
        <w:rPr>
          <w:rFonts w:ascii="Times New Roman" w:hAnsi="Times New Roman" w:cs="Times New Roman"/>
          <w:lang w:val="en-GB"/>
        </w:rPr>
        <w:t>*</w:t>
      </w:r>
      <w:r w:rsidR="00994911" w:rsidRPr="006E1C42">
        <w:rPr>
          <w:rFonts w:ascii="Times New Roman" w:hAnsi="Times New Roman" w:cs="Times New Roman"/>
          <w:lang w:val="en-GB"/>
        </w:rPr>
        <w:t xml:space="preserve"> Corresponding Author: </w:t>
      </w:r>
      <w:r w:rsidRPr="006E1C42">
        <w:rPr>
          <w:rFonts w:ascii="Times New Roman" w:hAnsi="Times New Roman" w:cs="Times New Roman"/>
          <w:lang w:val="en-GB"/>
        </w:rPr>
        <w:t xml:space="preserve">Bristol </w:t>
      </w:r>
      <w:r w:rsidR="00B00A44">
        <w:rPr>
          <w:rFonts w:ascii="Times New Roman" w:hAnsi="Times New Roman" w:cs="Times New Roman"/>
          <w:lang w:val="en-GB"/>
        </w:rPr>
        <w:t>Social Marketing Centre</w:t>
      </w:r>
      <w:r w:rsidRPr="006E1C42">
        <w:rPr>
          <w:rFonts w:ascii="Times New Roman" w:hAnsi="Times New Roman" w:cs="Times New Roman"/>
          <w:lang w:val="en-GB"/>
        </w:rPr>
        <w:t>, University of the West of England, Frenchay Campus, Coldharbour Lane, Bristol, BS16 1QY, UK</w:t>
      </w:r>
    </w:p>
    <w:p w:rsidR="009D5275" w:rsidRPr="006E1C42" w:rsidRDefault="009D5275" w:rsidP="00C853D7">
      <w:pPr>
        <w:spacing w:line="480" w:lineRule="auto"/>
        <w:jc w:val="center"/>
        <w:rPr>
          <w:rFonts w:ascii="Times New Roman" w:hAnsi="Times New Roman" w:cs="Times New Roman"/>
          <w:lang w:val="en-GB"/>
        </w:rPr>
      </w:pPr>
      <w:r w:rsidRPr="006E1C42">
        <w:rPr>
          <w:rFonts w:ascii="Times New Roman" w:hAnsi="Times New Roman" w:cs="Times New Roman"/>
          <w:lang w:val="en-GB"/>
        </w:rPr>
        <w:t>Tel: +44 117 3281538</w:t>
      </w:r>
    </w:p>
    <w:p w:rsidR="009D5275" w:rsidRPr="006E1C42" w:rsidRDefault="009D5275" w:rsidP="00C853D7">
      <w:pPr>
        <w:spacing w:line="480" w:lineRule="auto"/>
        <w:jc w:val="center"/>
        <w:rPr>
          <w:rFonts w:ascii="Times New Roman" w:hAnsi="Times New Roman" w:cs="Times New Roman"/>
          <w:lang w:val="en-GB"/>
        </w:rPr>
      </w:pPr>
      <w:r w:rsidRPr="006E1C42">
        <w:rPr>
          <w:rFonts w:ascii="Times New Roman" w:hAnsi="Times New Roman" w:cs="Times New Roman"/>
          <w:lang w:val="en-GB"/>
        </w:rPr>
        <w:t>Fax:</w:t>
      </w:r>
      <w:r w:rsidR="006E1C42" w:rsidRPr="006E1C42">
        <w:rPr>
          <w:rFonts w:ascii="Times New Roman" w:hAnsi="Times New Roman" w:cs="Times New Roman"/>
          <w:lang w:val="en-GB"/>
        </w:rPr>
        <w:t xml:space="preserve"> </w:t>
      </w:r>
      <w:r w:rsidR="006E1C42" w:rsidRPr="006E1C42">
        <w:rPr>
          <w:rFonts w:ascii="Times New Roman" w:eastAsiaTheme="majorEastAsia" w:hAnsi="Times New Roman" w:cs="Times New Roman"/>
        </w:rPr>
        <w:t>+44 117 3282289</w:t>
      </w:r>
    </w:p>
    <w:p w:rsidR="009D5275" w:rsidRPr="006E1C42" w:rsidRDefault="009D5275" w:rsidP="00C853D7">
      <w:pPr>
        <w:spacing w:line="480" w:lineRule="auto"/>
        <w:jc w:val="center"/>
        <w:rPr>
          <w:rFonts w:ascii="Times New Roman" w:hAnsi="Times New Roman" w:cs="Times New Roman"/>
          <w:lang w:val="en-GB"/>
        </w:rPr>
      </w:pPr>
      <w:r w:rsidRPr="006E1C42">
        <w:rPr>
          <w:rFonts w:ascii="Times New Roman" w:hAnsi="Times New Roman" w:cs="Times New Roman"/>
          <w:lang w:val="en-GB"/>
        </w:rPr>
        <w:t>Email: sara2.bird@uwe.ac.uk</w:t>
      </w:r>
    </w:p>
    <w:p w:rsidR="009D5275" w:rsidRPr="006E1C42" w:rsidRDefault="009D5275" w:rsidP="00C853D7">
      <w:pPr>
        <w:spacing w:line="480" w:lineRule="auto"/>
        <w:jc w:val="center"/>
        <w:rPr>
          <w:rFonts w:ascii="Times New Roman" w:hAnsi="Times New Roman" w:cs="Times New Roman"/>
          <w:lang w:val="en-GB"/>
        </w:rPr>
      </w:pPr>
    </w:p>
    <w:p w:rsidR="009D5275" w:rsidRPr="00B00A44" w:rsidRDefault="009D5275" w:rsidP="00C853D7">
      <w:pPr>
        <w:spacing w:line="480" w:lineRule="auto"/>
        <w:jc w:val="center"/>
        <w:rPr>
          <w:rFonts w:ascii="Times New Roman" w:hAnsi="Times New Roman" w:cs="Times New Roman"/>
          <w:lang w:val="en-GB"/>
        </w:rPr>
      </w:pPr>
      <w:r w:rsidRPr="00B00A44">
        <w:rPr>
          <w:rFonts w:ascii="Times New Roman" w:hAnsi="Times New Roman" w:cs="Times New Roman"/>
          <w:lang w:val="en-GB"/>
        </w:rPr>
        <w:t xml:space="preserve">Title: </w:t>
      </w:r>
    </w:p>
    <w:p w:rsidR="00B00A44" w:rsidRPr="00B00A44" w:rsidRDefault="00B00A44" w:rsidP="00C853D7">
      <w:pPr>
        <w:spacing w:line="480" w:lineRule="auto"/>
        <w:jc w:val="center"/>
        <w:rPr>
          <w:rFonts w:ascii="Times New Roman" w:hAnsi="Times New Roman" w:cs="Times New Roman"/>
          <w:b/>
        </w:rPr>
      </w:pPr>
      <w:r w:rsidRPr="00B00A44">
        <w:rPr>
          <w:rFonts w:ascii="Times New Roman" w:hAnsi="Times New Roman" w:cs="Times New Roman"/>
          <w:b/>
        </w:rPr>
        <w:t>Examining Policy Assumptions Regarding Public-Private Partnerships in contested social marketing domains: the Case of Alcohol Moderation</w:t>
      </w:r>
    </w:p>
    <w:p w:rsidR="006E1C42" w:rsidRPr="00B00A44" w:rsidRDefault="006E1C42" w:rsidP="00C853D7">
      <w:pPr>
        <w:spacing w:line="480" w:lineRule="auto"/>
        <w:jc w:val="center"/>
        <w:rPr>
          <w:rFonts w:ascii="Times New Roman" w:hAnsi="Times New Roman" w:cs="Times New Roman"/>
          <w:lang w:val="en-GB"/>
        </w:rPr>
      </w:pPr>
    </w:p>
    <w:p w:rsidR="009D5275" w:rsidRPr="006E1C42" w:rsidRDefault="009D5275" w:rsidP="00C853D7">
      <w:pPr>
        <w:spacing w:line="480" w:lineRule="auto"/>
        <w:jc w:val="center"/>
        <w:rPr>
          <w:rFonts w:ascii="Times New Roman" w:hAnsi="Times New Roman" w:cs="Times New Roman"/>
          <w:lang w:val="en-GB"/>
        </w:rPr>
      </w:pPr>
      <w:r w:rsidRPr="006E1C42">
        <w:rPr>
          <w:rFonts w:ascii="Times New Roman" w:hAnsi="Times New Roman" w:cs="Times New Roman"/>
          <w:lang w:val="en-GB"/>
        </w:rPr>
        <w:t>Seminar Presentation</w:t>
      </w:r>
    </w:p>
    <w:p w:rsidR="009D5275" w:rsidRPr="006E1C42" w:rsidRDefault="009D5275" w:rsidP="00C853D7">
      <w:pPr>
        <w:spacing w:line="480" w:lineRule="auto"/>
        <w:rPr>
          <w:rFonts w:ascii="Times New Roman" w:hAnsi="Times New Roman" w:cs="Times New Roman"/>
          <w:lang w:val="en-GB"/>
        </w:rPr>
      </w:pPr>
    </w:p>
    <w:p w:rsidR="009D5275" w:rsidRPr="006E1C42" w:rsidRDefault="009D5275" w:rsidP="00C853D7">
      <w:pPr>
        <w:spacing w:line="480" w:lineRule="auto"/>
        <w:rPr>
          <w:rFonts w:ascii="Times New Roman" w:hAnsi="Times New Roman" w:cs="Times New Roman"/>
          <w:lang w:val="en-GB"/>
        </w:rPr>
      </w:pPr>
      <w:r w:rsidRPr="006E1C42">
        <w:rPr>
          <w:rFonts w:ascii="Times New Roman" w:hAnsi="Times New Roman" w:cs="Times New Roman"/>
          <w:lang w:val="en-GB"/>
        </w:rPr>
        <w:t xml:space="preserve">Topic: </w:t>
      </w:r>
      <w:r w:rsidR="00B00A44">
        <w:rPr>
          <w:rFonts w:ascii="Times New Roman" w:hAnsi="Times New Roman" w:cs="Times New Roman"/>
          <w:lang w:val="en-GB"/>
        </w:rPr>
        <w:t>Alcohol moderation</w:t>
      </w:r>
    </w:p>
    <w:p w:rsidR="009D5275" w:rsidRPr="006E1C42" w:rsidRDefault="009D5275" w:rsidP="00C853D7">
      <w:pPr>
        <w:spacing w:line="480" w:lineRule="auto"/>
        <w:rPr>
          <w:rFonts w:ascii="Times New Roman" w:hAnsi="Times New Roman" w:cs="Times New Roman"/>
          <w:lang w:val="en-GB"/>
        </w:rPr>
      </w:pPr>
    </w:p>
    <w:p w:rsidR="009D5275" w:rsidRPr="006E1C42" w:rsidRDefault="009D5275" w:rsidP="00C853D7">
      <w:pPr>
        <w:spacing w:line="480" w:lineRule="auto"/>
        <w:rPr>
          <w:rFonts w:ascii="Times New Roman" w:hAnsi="Times New Roman" w:cs="Times New Roman"/>
          <w:lang w:val="en-GB"/>
        </w:rPr>
      </w:pPr>
      <w:r w:rsidRPr="006E1C42">
        <w:rPr>
          <w:rFonts w:ascii="Times New Roman" w:hAnsi="Times New Roman" w:cs="Times New Roman"/>
          <w:lang w:val="en-GB"/>
        </w:rPr>
        <w:t xml:space="preserve">Method: </w:t>
      </w:r>
      <w:r w:rsidR="00B00A44">
        <w:rPr>
          <w:rFonts w:ascii="Times New Roman" w:hAnsi="Times New Roman" w:cs="Times New Roman"/>
          <w:lang w:val="en-GB"/>
        </w:rPr>
        <w:t>Theoretical work</w:t>
      </w:r>
    </w:p>
    <w:p w:rsidR="009D5275" w:rsidRPr="006E1C42" w:rsidRDefault="009D5275" w:rsidP="00C853D7">
      <w:pPr>
        <w:spacing w:line="480" w:lineRule="auto"/>
        <w:rPr>
          <w:rFonts w:ascii="Times New Roman" w:hAnsi="Times New Roman" w:cs="Times New Roman"/>
          <w:lang w:val="en-GB"/>
        </w:rPr>
      </w:pPr>
    </w:p>
    <w:p w:rsidR="009D5275" w:rsidRPr="006E1C42" w:rsidRDefault="009D5275" w:rsidP="00C853D7">
      <w:pPr>
        <w:spacing w:line="480" w:lineRule="auto"/>
        <w:rPr>
          <w:rFonts w:ascii="Times New Roman" w:hAnsi="Times New Roman" w:cs="Times New Roman"/>
          <w:lang w:val="en-GB"/>
        </w:rPr>
      </w:pPr>
      <w:r w:rsidRPr="006E1C42">
        <w:rPr>
          <w:rFonts w:ascii="Times New Roman" w:hAnsi="Times New Roman" w:cs="Times New Roman"/>
          <w:lang w:val="en-GB"/>
        </w:rPr>
        <w:t>Willing to act as reviewer</w:t>
      </w:r>
      <w:r w:rsidR="00B00A44">
        <w:rPr>
          <w:rFonts w:ascii="Times New Roman" w:hAnsi="Times New Roman" w:cs="Times New Roman"/>
          <w:lang w:val="en-GB"/>
        </w:rPr>
        <w:t>s</w:t>
      </w:r>
      <w:r w:rsidRPr="006E1C42">
        <w:rPr>
          <w:rFonts w:ascii="Times New Roman" w:hAnsi="Times New Roman" w:cs="Times New Roman"/>
          <w:lang w:val="en-GB"/>
        </w:rPr>
        <w:t>: yes</w:t>
      </w:r>
    </w:p>
    <w:p w:rsidR="009D5275" w:rsidRDefault="009D5275" w:rsidP="008B02BD">
      <w:pPr>
        <w:pStyle w:val="Heading1"/>
      </w:pPr>
      <w:r w:rsidRPr="006E1C42">
        <w:lastRenderedPageBreak/>
        <w:t>Abstract</w:t>
      </w:r>
    </w:p>
    <w:p w:rsidR="00B00A44" w:rsidRPr="00B00A44" w:rsidRDefault="00B00A44" w:rsidP="00C853D7">
      <w:pPr>
        <w:spacing w:line="480" w:lineRule="auto"/>
        <w:rPr>
          <w:lang w:val="en-GB"/>
        </w:rPr>
      </w:pPr>
    </w:p>
    <w:p w:rsidR="00E37DFE" w:rsidRDefault="00B00A44" w:rsidP="003904A9">
      <w:pPr>
        <w:pStyle w:val="Doublespacedtimes"/>
      </w:pPr>
      <w:r w:rsidRPr="00B00A44">
        <w:t>Recent government policy documents treat public-private partnerships aimed at addressing behaviours seen as contrary to individ</w:t>
      </w:r>
      <w:r>
        <w:t>ual or societal health and well-</w:t>
      </w:r>
      <w:r w:rsidRPr="00B00A44">
        <w:t xml:space="preserve">being as not only central to </w:t>
      </w:r>
      <w:r w:rsidR="00E37DFE">
        <w:t>achieving</w:t>
      </w:r>
      <w:r w:rsidRPr="00B00A44">
        <w:t xml:space="preserve"> government policy, but also as </w:t>
      </w:r>
      <w:r>
        <w:t xml:space="preserve">unproblematic. </w:t>
      </w:r>
      <w:r w:rsidRPr="00B00A44">
        <w:t>Using the example of alcohol moderation promotion, we review the assumptions underlying these policies and suggest that greater clarification is needed in terms of roles and responsibilities for all stakeholders involved in partnerships</w:t>
      </w:r>
      <w:r w:rsidR="003904A9">
        <w:t xml:space="preserve">. </w:t>
      </w:r>
      <w:r w:rsidRPr="00B00A44">
        <w:t>Assumptions regarding key communications strategies</w:t>
      </w:r>
      <w:r w:rsidR="003904A9">
        <w:t>,</w:t>
      </w:r>
      <w:r w:rsidRPr="00B00A44">
        <w:t xml:space="preserve"> signalled as ‘social marketing’</w:t>
      </w:r>
      <w:r w:rsidR="003904A9">
        <w:t>,</w:t>
      </w:r>
      <w:r w:rsidRPr="00B00A44">
        <w:t xml:space="preserve"> </w:t>
      </w:r>
      <w:r w:rsidR="003904A9">
        <w:t>resulting from such</w:t>
      </w:r>
      <w:r w:rsidRPr="00B00A44">
        <w:t xml:space="preserve"> policies are also </w:t>
      </w:r>
      <w:r>
        <w:t xml:space="preserve">examined. </w:t>
      </w:r>
      <w:r w:rsidRPr="00B00A44">
        <w:t xml:space="preserve">Not only is there evidence to challenge the assumed effectiveness of these strategies, but ‘boomerang’ effects suggest that this activity may </w:t>
      </w:r>
      <w:r>
        <w:t xml:space="preserve">be counter-productive. </w:t>
      </w:r>
      <w:r w:rsidRPr="00B00A44">
        <w:t>We conclude with a recommended research programme that may guide the refinement of public policy in this area.</w:t>
      </w:r>
    </w:p>
    <w:p w:rsidR="002107E3" w:rsidRDefault="002107E3" w:rsidP="00511A72">
      <w:pPr>
        <w:pStyle w:val="Heading1"/>
        <w:spacing w:before="0"/>
      </w:pPr>
      <w:r>
        <w:t>Introduction</w:t>
      </w:r>
    </w:p>
    <w:p w:rsidR="002107E3" w:rsidRPr="002107E3" w:rsidRDefault="002107E3" w:rsidP="002107E3"/>
    <w:p w:rsidR="002107E3" w:rsidRDefault="002107E3" w:rsidP="007B4D82">
      <w:pPr>
        <w:pStyle w:val="Doublespacedtimes"/>
      </w:pPr>
      <w:r>
        <w:t>Pa</w:t>
      </w:r>
      <w:r w:rsidR="007B4D82">
        <w:t>rtnerships, including public-pri</w:t>
      </w:r>
      <w:r>
        <w:t>vate part</w:t>
      </w:r>
      <w:r w:rsidR="008B02BD">
        <w:t xml:space="preserve">nerships </w:t>
      </w:r>
      <w:r>
        <w:t>(PPPs), have been c</w:t>
      </w:r>
      <w:r w:rsidR="00AF21BE">
        <w:t xml:space="preserve">entral to UK Government policy since the </w:t>
      </w:r>
      <w:r>
        <w:t>1990s. The Department of Health has released major strategy documents predicated on the development of partnersh</w:t>
      </w:r>
      <w:r w:rsidR="008B02BD">
        <w:t xml:space="preserve">ips. These include </w:t>
      </w:r>
      <w:r>
        <w:t>“Partnerships for Better Health” (2007)</w:t>
      </w:r>
      <w:r w:rsidR="008B02BD">
        <w:t xml:space="preserve"> and</w:t>
      </w:r>
      <w:r>
        <w:t xml:space="preserve"> “Ambitions for Health” (2008) which describes how </w:t>
      </w:r>
      <w:r>
        <w:rPr>
          <w:i/>
        </w:rPr>
        <w:t>“…</w:t>
      </w:r>
      <w:r w:rsidRPr="00200B10">
        <w:rPr>
          <w:i/>
        </w:rPr>
        <w:t>partners play an essential role in influencing an</w:t>
      </w:r>
      <w:r>
        <w:rPr>
          <w:i/>
        </w:rPr>
        <w:t xml:space="preserve">d shaping people’s behaviour. </w:t>
      </w:r>
      <w:r w:rsidRPr="00200B10">
        <w:rPr>
          <w:i/>
        </w:rPr>
        <w:t xml:space="preserve">Action by individuals and by the government must be aligned with that led by communities, third sector organisations and business” </w:t>
      </w:r>
      <w:r w:rsidR="009E075B">
        <w:t>(p.</w:t>
      </w:r>
      <w:r>
        <w:t xml:space="preserve">45). </w:t>
      </w:r>
      <w:r w:rsidR="00AF21BE">
        <w:t>PPPs are</w:t>
      </w:r>
      <w:r>
        <w:t xml:space="preserve"> frequently used in internatio</w:t>
      </w:r>
      <w:r w:rsidR="008B02BD">
        <w:t xml:space="preserve">nal public health (e.g. Ridley, </w:t>
      </w:r>
      <w:r>
        <w:t xml:space="preserve">2001a), and </w:t>
      </w:r>
      <w:r w:rsidRPr="00B00A44">
        <w:t>the WHO h</w:t>
      </w:r>
      <w:r w:rsidR="00AF21BE">
        <w:t>as advocated private sector involvement</w:t>
      </w:r>
      <w:r w:rsidRPr="00B00A44">
        <w:t xml:space="preserve"> in health-related partnerships for over two decades (Buse and Waxman, 2001).</w:t>
      </w:r>
      <w:r>
        <w:t xml:space="preserve"> </w:t>
      </w:r>
      <w:r w:rsidRPr="002437A6">
        <w:t xml:space="preserve">In the area of alcohol moderation, </w:t>
      </w:r>
      <w:r>
        <w:t xml:space="preserve">the policy documents </w:t>
      </w:r>
      <w:r w:rsidRPr="007B4D82">
        <w:rPr>
          <w:rFonts w:cs="Times New Roman"/>
        </w:rPr>
        <w:t>“Alcohol Harm Reduction Strategy” (Prime Minister’s Strategy Unit, 2004) and “Safe. Sensible. Social. The Next Steps in the National Alcohol Strategy” (Department of He</w:t>
      </w:r>
      <w:r w:rsidRPr="002437A6">
        <w:rPr>
          <w:rFonts w:cs="Times New Roman"/>
        </w:rPr>
        <w:t>alth, 2007)</w:t>
      </w:r>
      <w:r w:rsidR="00E37DFE">
        <w:rPr>
          <w:rFonts w:cs="Times New Roman"/>
        </w:rPr>
        <w:t xml:space="preserve"> both detail</w:t>
      </w:r>
      <w:r>
        <w:rPr>
          <w:rFonts w:cs="Times New Roman"/>
        </w:rPr>
        <w:t xml:space="preserve"> role</w:t>
      </w:r>
      <w:r w:rsidR="00E37DFE">
        <w:rPr>
          <w:rFonts w:cs="Times New Roman"/>
        </w:rPr>
        <w:t>s</w:t>
      </w:r>
      <w:r w:rsidR="00AF21BE">
        <w:rPr>
          <w:rFonts w:cs="Times New Roman"/>
        </w:rPr>
        <w:t xml:space="preserve"> for PPPs; </w:t>
      </w:r>
      <w:r>
        <w:rPr>
          <w:rFonts w:cs="Times New Roman"/>
        </w:rPr>
        <w:t xml:space="preserve">the latter </w:t>
      </w:r>
      <w:r>
        <w:t xml:space="preserve">referring to partnerships on 70 occasions </w:t>
      </w:r>
      <w:r w:rsidRPr="000C0B30">
        <w:t>(Mastache et al., 2008)</w:t>
      </w:r>
      <w:r>
        <w:rPr>
          <w:rFonts w:ascii="Arial" w:hAnsi="Arial"/>
        </w:rPr>
        <w:t xml:space="preserve">. </w:t>
      </w:r>
      <w:r>
        <w:t>According to the PMSU (</w:t>
      </w:r>
      <w:r w:rsidRPr="000C0B30">
        <w:t>2004</w:t>
      </w:r>
      <w:r>
        <w:t>)</w:t>
      </w:r>
      <w:r w:rsidRPr="000C0B30">
        <w:t xml:space="preserve">, </w:t>
      </w:r>
      <w:r>
        <w:t>alcohol reduction strategy “</w:t>
      </w:r>
      <w:r w:rsidRPr="008B02BD">
        <w:rPr>
          <w:i/>
        </w:rPr>
        <w:t>relies on creating partnership at both national and local levels between government, the drinks industry, health and policy service, and individuals and communities to tackle alcohol misuse</w:t>
      </w:r>
      <w:r>
        <w:t>”</w:t>
      </w:r>
      <w:r w:rsidRPr="000C0B30">
        <w:t xml:space="preserve"> </w:t>
      </w:r>
      <w:r>
        <w:t>(p.5).</w:t>
      </w:r>
      <w:r w:rsidR="00E37DFE">
        <w:t xml:space="preserve"> </w:t>
      </w:r>
      <w:r w:rsidR="003904A9">
        <w:t>However t</w:t>
      </w:r>
      <w:r w:rsidR="003904A9" w:rsidRPr="00B00A44">
        <w:t xml:space="preserve">he process by </w:t>
      </w:r>
      <w:r w:rsidR="003904A9">
        <w:t xml:space="preserve">which policy evolves is unclear. </w:t>
      </w:r>
      <w:r w:rsidR="007B4D82" w:rsidRPr="00B00A44">
        <w:t xml:space="preserve">Marmot (2004) notes that The Academy of Medical Sciences </w:t>
      </w:r>
      <w:r w:rsidR="007B4D82">
        <w:t>used</w:t>
      </w:r>
      <w:r w:rsidR="007B4D82" w:rsidRPr="00B00A44">
        <w:t xml:space="preserve"> the same evidence as the Prime Minister’s Strategy Unit (PMSU), yet the former recommended increasing price and limiting availability, whereas the latter declared </w:t>
      </w:r>
      <w:r w:rsidR="00E37DFE">
        <w:t>such</w:t>
      </w:r>
      <w:r w:rsidR="007B4D82" w:rsidRPr="00B00A44">
        <w:t xml:space="preserve"> strategies would have “unwanted side effects”</w:t>
      </w:r>
      <w:r w:rsidR="007B4D82">
        <w:t>.</w:t>
      </w:r>
      <w:r w:rsidR="007B4D82" w:rsidRPr="00B00A44">
        <w:t xml:space="preserve"> </w:t>
      </w:r>
    </w:p>
    <w:p w:rsidR="007B4D82" w:rsidRPr="00AF21BE" w:rsidRDefault="007B4D82" w:rsidP="007B4D82">
      <w:pPr>
        <w:pStyle w:val="Doublespacedtimes"/>
      </w:pPr>
      <w:r>
        <w:t>S</w:t>
      </w:r>
      <w:r w:rsidR="002107E3">
        <w:t xml:space="preserve">uch documents </w:t>
      </w:r>
      <w:r>
        <w:t xml:space="preserve">also </w:t>
      </w:r>
      <w:r w:rsidR="002107E3">
        <w:t>provide little detail about how such partnerships will be operationalised, through the stag</w:t>
      </w:r>
      <w:r w:rsidR="00AF21BE">
        <w:t>es of formation, implementation</w:t>
      </w:r>
      <w:r w:rsidR="002107E3">
        <w:t xml:space="preserve"> and evaluation, especially with respect to oversight and regulation. They </w:t>
      </w:r>
      <w:r w:rsidR="009E075B">
        <w:t xml:space="preserve">avoid critical analysis of PPPs. </w:t>
      </w:r>
      <w:r>
        <w:t xml:space="preserve">As </w:t>
      </w:r>
      <w:r w:rsidRPr="006D3FB9">
        <w:t>Lefebvre</w:t>
      </w:r>
      <w:r>
        <w:t xml:space="preserve"> (2006: 41) notes, such activity is “much copied but poorly researched”. </w:t>
      </w:r>
      <w:r w:rsidRPr="00B00A44">
        <w:t xml:space="preserve">Using the example of alcohol moderation, </w:t>
      </w:r>
      <w:r>
        <w:t>we</w:t>
      </w:r>
      <w:r w:rsidRPr="00B00A44">
        <w:t xml:space="preserve"> examine the assumptions underpinning</w:t>
      </w:r>
      <w:r>
        <w:t xml:space="preserve"> such policy documents and consider the practical and ethical implications of such approaches for alcohol moderation, and goes on to suggest areas for further research.</w:t>
      </w:r>
    </w:p>
    <w:p w:rsidR="00A8605D" w:rsidRPr="008B02BD" w:rsidRDefault="00A8605D" w:rsidP="008B02BD">
      <w:pPr>
        <w:pStyle w:val="Heading1"/>
      </w:pPr>
      <w:r w:rsidRPr="008B02BD">
        <w:t>The Pros and Cons of Public-Private Partnerships</w:t>
      </w:r>
    </w:p>
    <w:p w:rsidR="00A8605D" w:rsidRPr="00A8605D" w:rsidRDefault="00A8605D" w:rsidP="00A8605D"/>
    <w:p w:rsidR="0097195E" w:rsidRDefault="0097195E" w:rsidP="0097195E">
      <w:pPr>
        <w:pStyle w:val="Heading2"/>
      </w:pPr>
      <w:r>
        <w:t xml:space="preserve">Advantages of </w:t>
      </w:r>
      <w:r w:rsidRPr="008B02BD">
        <w:t>Public-Private Partnerships</w:t>
      </w:r>
    </w:p>
    <w:p w:rsidR="00A8605D" w:rsidRDefault="007B4D82" w:rsidP="008B02BD">
      <w:pPr>
        <w:pStyle w:val="Doublespacedtimes"/>
      </w:pPr>
      <w:r>
        <w:t xml:space="preserve">For the public partner, </w:t>
      </w:r>
      <w:r w:rsidR="00A8605D">
        <w:t>PPPs</w:t>
      </w:r>
      <w:r>
        <w:t xml:space="preserve"> </w:t>
      </w:r>
      <w:r w:rsidR="00A8605D">
        <w:t>provide</w:t>
      </w:r>
      <w:r>
        <w:t xml:space="preserve"> access to skills, expertise and resources lacking in the</w:t>
      </w:r>
      <w:r w:rsidR="00A8605D">
        <w:t xml:space="preserve"> public sector (Widdus, 2001). </w:t>
      </w:r>
      <w:r w:rsidR="00AF21BE">
        <w:t xml:space="preserve">‘Partnerships for Better Health’ (2007) added that partnerships also contributed to better access to hard-to-reach audiences. </w:t>
      </w:r>
      <w:r>
        <w:t xml:space="preserve">The private partner </w:t>
      </w:r>
      <w:r w:rsidR="00A8605D">
        <w:t>benefits</w:t>
      </w:r>
      <w:r>
        <w:t xml:space="preserve"> </w:t>
      </w:r>
      <w:r w:rsidR="00A8605D">
        <w:t>from</w:t>
      </w:r>
      <w:r>
        <w:t xml:space="preserve"> </w:t>
      </w:r>
      <w:r w:rsidR="00AF21BE">
        <w:t xml:space="preserve">enhanced </w:t>
      </w:r>
      <w:r>
        <w:t xml:space="preserve">credibility, access to market intelligence and </w:t>
      </w:r>
      <w:r w:rsidR="00A8605D">
        <w:t>association</w:t>
      </w:r>
      <w:r>
        <w:t xml:space="preserve"> with ethical bus</w:t>
      </w:r>
      <w:r w:rsidR="00A8605D">
        <w:t xml:space="preserve">iness practice (Thomas, 2008). </w:t>
      </w:r>
      <w:r w:rsidR="00AF21BE">
        <w:t>P</w:t>
      </w:r>
      <w:r w:rsidR="00A8605D">
        <w:t xml:space="preserve">artnerships that support popular </w:t>
      </w:r>
      <w:r w:rsidR="00AF21BE">
        <w:t>or</w:t>
      </w:r>
      <w:r w:rsidR="00A8605D">
        <w:t xml:space="preserve"> media-attractive causes </w:t>
      </w:r>
      <w:r w:rsidR="00AF21BE">
        <w:t xml:space="preserve">also </w:t>
      </w:r>
      <w:r w:rsidR="00A8605D">
        <w:t xml:space="preserve">provide positive </w:t>
      </w:r>
      <w:r w:rsidR="003904A9">
        <w:t xml:space="preserve">public relations opportunities. </w:t>
      </w:r>
      <w:r w:rsidR="00A8605D">
        <w:t xml:space="preserve">For example, Andreasen and Drumwright (2001) conclude that breast cancer has attracted over 70 commercial organizations, which they suggest attracts favourable publicity not associated with controversial behaviour such as alcohol abuse or drug addiction. </w:t>
      </w:r>
    </w:p>
    <w:p w:rsidR="00A8605D" w:rsidRPr="008B02BD" w:rsidRDefault="00A8605D" w:rsidP="008B02BD">
      <w:pPr>
        <w:pStyle w:val="Heading2"/>
      </w:pPr>
      <w:r w:rsidRPr="008B02BD">
        <w:t>Ethical and Practical Disadvantages of Public-Private Partnerships</w:t>
      </w:r>
    </w:p>
    <w:p w:rsidR="0097195E" w:rsidRDefault="008B02BD" w:rsidP="0097195E">
      <w:pPr>
        <w:pStyle w:val="Doublespacedtimes"/>
      </w:pPr>
      <w:r>
        <w:t xml:space="preserve">Some commentators </w:t>
      </w:r>
      <w:r w:rsidR="004D3D19">
        <w:t xml:space="preserve">philosophically </w:t>
      </w:r>
      <w:r w:rsidR="00462318">
        <w:t>oppose</w:t>
      </w:r>
      <w:r>
        <w:t xml:space="preserve"> any involvement of the commercial sector in social marketing (e.g. Hastings, 2007)</w:t>
      </w:r>
      <w:r w:rsidR="00462318">
        <w:t xml:space="preserve">. Others consider there to be an ethical </w:t>
      </w:r>
      <w:r>
        <w:t>spectrum</w:t>
      </w:r>
      <w:r w:rsidR="00462318">
        <w:t xml:space="preserve"> </w:t>
      </w:r>
      <w:r>
        <w:t>of acceptability acro</w:t>
      </w:r>
      <w:r w:rsidR="00462318">
        <w:t xml:space="preserve">ss different industry sectors. </w:t>
      </w:r>
      <w:r>
        <w:t>For example, there is less controversy regarding insurance companies promoting changing fire alarm batteries than a pharmaceutical company promoting immun</w:t>
      </w:r>
      <w:r w:rsidR="00AF21BE">
        <w:t>is</w:t>
      </w:r>
      <w:r w:rsidR="00462318">
        <w:t xml:space="preserve">ation (Kotler et al., 2002). </w:t>
      </w:r>
      <w:r>
        <w:t xml:space="preserve">Tobacco industry partnerships with any aspect of health appear universally </w:t>
      </w:r>
      <w:r w:rsidR="00462318">
        <w:t xml:space="preserve">unacceptable (Thomas, 2008). </w:t>
      </w:r>
      <w:r w:rsidR="00AF21BE">
        <w:t>The alcohol industry’s</w:t>
      </w:r>
      <w:r>
        <w:t xml:space="preserve"> involvement in respo</w:t>
      </w:r>
      <w:r w:rsidR="00462318">
        <w:t xml:space="preserve">nsible drinking promotion </w:t>
      </w:r>
      <w:r w:rsidR="00AF21BE">
        <w:t xml:space="preserve">is </w:t>
      </w:r>
      <w:r>
        <w:t>controversial</w:t>
      </w:r>
      <w:r w:rsidRPr="004E2DE8">
        <w:t xml:space="preserve"> </w:t>
      </w:r>
      <w:r>
        <w:t>(</w:t>
      </w:r>
      <w:r w:rsidRPr="004E2DE8">
        <w:t>Bhattacharya &amp; Elsbach, 2002)</w:t>
      </w:r>
      <w:r>
        <w:t xml:space="preserve">, being </w:t>
      </w:r>
      <w:r w:rsidR="00AF21BE">
        <w:t>considered</w:t>
      </w:r>
      <w:r>
        <w:t xml:space="preserve"> by some as “</w:t>
      </w:r>
      <w:r w:rsidRPr="00462318">
        <w:rPr>
          <w:i/>
        </w:rPr>
        <w:t>fraternising with the enemy</w:t>
      </w:r>
      <w:r>
        <w:t>” (Thomas, 2008: 72)</w:t>
      </w:r>
      <w:r w:rsidRPr="004E2DE8">
        <w:t>.</w:t>
      </w:r>
      <w:r w:rsidR="00AF21BE">
        <w:t xml:space="preserve"> </w:t>
      </w:r>
      <w:r w:rsidR="003904A9">
        <w:t>C</w:t>
      </w:r>
      <w:r w:rsidR="00462318">
        <w:t xml:space="preserve">ritics suggest that </w:t>
      </w:r>
      <w:r w:rsidR="00462318" w:rsidRPr="00480585">
        <w:t xml:space="preserve">the alcohol industry </w:t>
      </w:r>
      <w:r w:rsidR="004D3D19">
        <w:t>uses PPPs</w:t>
      </w:r>
      <w:r w:rsidR="00462318" w:rsidRPr="00480585">
        <w:t xml:space="preserve"> to ward off </w:t>
      </w:r>
      <w:r w:rsidR="00462318">
        <w:t xml:space="preserve">criticism and possible </w:t>
      </w:r>
      <w:r w:rsidR="000B08D0">
        <w:t xml:space="preserve">regulation (Atkins et al. 2008), </w:t>
      </w:r>
      <w:r w:rsidR="003904A9">
        <w:t>possibly distracting or compensating for other, more dubious, practices. T</w:t>
      </w:r>
      <w:r w:rsidR="000B08D0">
        <w:t>here remains deep scepticism regarding the</w:t>
      </w:r>
      <w:r w:rsidR="0097195E">
        <w:t>ir</w:t>
      </w:r>
      <w:r w:rsidR="000B08D0">
        <w:t xml:space="preserve"> motives (Majestic, 2009).</w:t>
      </w:r>
      <w:r w:rsidR="00AF21BE">
        <w:t xml:space="preserve"> </w:t>
      </w:r>
      <w:r w:rsidR="000B08D0">
        <w:t xml:space="preserve">Baggott (2008) </w:t>
      </w:r>
      <w:r w:rsidR="009E075B">
        <w:t>highlights the</w:t>
      </w:r>
      <w:r w:rsidR="000B08D0">
        <w:t xml:space="preserve"> conflict between the industry’s lobbying</w:t>
      </w:r>
      <w:r w:rsidR="00AF21BE">
        <w:t>,</w:t>
      </w:r>
      <w:r w:rsidR="000B08D0">
        <w:t xml:space="preserve"> </w:t>
      </w:r>
      <w:r w:rsidR="009E075B">
        <w:t xml:space="preserve">resisting policies to control alcohol, </w:t>
      </w:r>
      <w:r w:rsidR="00AF21BE">
        <w:t>and</w:t>
      </w:r>
      <w:r w:rsidR="000B08D0">
        <w:t xml:space="preserve"> their role in PPPs. Baggott also</w:t>
      </w:r>
      <w:r w:rsidR="004D3D19">
        <w:t xml:space="preserve"> highlighted</w:t>
      </w:r>
      <w:r w:rsidR="000B08D0">
        <w:t xml:space="preserve"> the weak enforcement of the i</w:t>
      </w:r>
      <w:r w:rsidR="009E075B">
        <w:t>ndustry self-regulatory system</w:t>
      </w:r>
      <w:r w:rsidR="004D3D19">
        <w:t>, e.g</w:t>
      </w:r>
      <w:r w:rsidR="000B08D0">
        <w:t xml:space="preserve"> </w:t>
      </w:r>
      <w:r w:rsidR="009E075B">
        <w:t xml:space="preserve">the </w:t>
      </w:r>
      <w:r w:rsidR="00AF21BE">
        <w:t>slow</w:t>
      </w:r>
      <w:r w:rsidR="000B08D0">
        <w:t xml:space="preserve"> voluntary addition of warn</w:t>
      </w:r>
      <w:r w:rsidR="004D3D19">
        <w:t>ing labels</w:t>
      </w:r>
      <w:r w:rsidR="000B08D0">
        <w:t xml:space="preserve">, </w:t>
      </w:r>
      <w:r w:rsidR="009E075B">
        <w:t>agreed</w:t>
      </w:r>
      <w:r w:rsidR="000B08D0">
        <w:t xml:space="preserve"> in 2007 </w:t>
      </w:r>
      <w:r w:rsidR="004D3D19">
        <w:t>yet</w:t>
      </w:r>
      <w:r w:rsidR="000B08D0">
        <w:t xml:space="preserve"> enacted on </w:t>
      </w:r>
      <w:r w:rsidR="004D3D19">
        <w:t xml:space="preserve">under </w:t>
      </w:r>
      <w:r w:rsidR="000B08D0">
        <w:t xml:space="preserve">15% of drink </w:t>
      </w:r>
      <w:r w:rsidR="004D3D19">
        <w:t>packaging</w:t>
      </w:r>
      <w:r w:rsidR="000B08D0">
        <w:t xml:space="preserve">. </w:t>
      </w:r>
    </w:p>
    <w:p w:rsidR="000B08D0" w:rsidRDefault="000B08D0" w:rsidP="000B08D0">
      <w:pPr>
        <w:pStyle w:val="Heading2"/>
      </w:pPr>
      <w:r>
        <w:t xml:space="preserve">Credibility of </w:t>
      </w:r>
      <w:r w:rsidRPr="00954C44">
        <w:t xml:space="preserve">Industry Responsibility </w:t>
      </w:r>
      <w:r>
        <w:t>Claims</w:t>
      </w:r>
    </w:p>
    <w:p w:rsidR="000B08D0" w:rsidRPr="009E075B" w:rsidRDefault="000B08D0" w:rsidP="00637528">
      <w:pPr>
        <w:pStyle w:val="Doublespacedtimes"/>
        <w:rPr>
          <w:szCs w:val="20"/>
        </w:rPr>
      </w:pPr>
      <w:r>
        <w:t>In order to be perceived as a credible partner in alcohol misuse reduction strategies, industry’s behaviour should reflect the resp</w:t>
      </w:r>
      <w:r w:rsidR="00924570">
        <w:t>onsibility stance they project.</w:t>
      </w:r>
      <w:r>
        <w:t xml:space="preserve"> This is problematic, given reports that almost 1 in 12 UK alcohol ad</w:t>
      </w:r>
      <w:r w:rsidR="0097195E">
        <w:t>vertisement</w:t>
      </w:r>
      <w:r>
        <w:t>s were found to be in breach of advertising guidelines during 2006 (Marketing Week, 2007)</w:t>
      </w:r>
      <w:r w:rsidR="009E075B">
        <w:t xml:space="preserve">. </w:t>
      </w:r>
      <w:r>
        <w:t xml:space="preserve">Review of </w:t>
      </w:r>
      <w:r w:rsidR="00637528">
        <w:t xml:space="preserve">22 complaints upheld by the </w:t>
      </w:r>
      <w:r>
        <w:t>UK Advertising Standards Authorit</w:t>
      </w:r>
      <w:r w:rsidR="0097195E">
        <w:t xml:space="preserve">y </w:t>
      </w:r>
      <w:r>
        <w:t xml:space="preserve">for </w:t>
      </w:r>
      <w:r w:rsidR="00637528">
        <w:t xml:space="preserve">2007, </w:t>
      </w:r>
      <w:r w:rsidR="0097195E">
        <w:t xml:space="preserve">2008 and 2009) </w:t>
      </w:r>
      <w:r w:rsidRPr="00637528">
        <w:t>to the end of August</w:t>
      </w:r>
      <w:r w:rsidR="0097195E">
        <w:t>)</w:t>
      </w:r>
      <w:r w:rsidR="00637528">
        <w:t xml:space="preserve"> for alcohol products,</w:t>
      </w:r>
      <w:r w:rsidRPr="00637528">
        <w:t xml:space="preserve"> shows breaches of the code </w:t>
      </w:r>
      <w:r w:rsidR="00637528">
        <w:t>including</w:t>
      </w:r>
      <w:r w:rsidRPr="00637528">
        <w:t xml:space="preserve"> </w:t>
      </w:r>
      <w:r w:rsidR="0097195E">
        <w:rPr>
          <w:szCs w:val="20"/>
        </w:rPr>
        <w:t>portraying irresponsible/</w:t>
      </w:r>
      <w:r w:rsidRPr="00637528">
        <w:rPr>
          <w:szCs w:val="20"/>
        </w:rPr>
        <w:t>dangerous consumption behaviour</w:t>
      </w:r>
      <w:r w:rsidR="00637528" w:rsidRPr="00637528">
        <w:rPr>
          <w:szCs w:val="20"/>
        </w:rPr>
        <w:t xml:space="preserve"> and</w:t>
      </w:r>
      <w:r w:rsidR="0097195E">
        <w:rPr>
          <w:szCs w:val="20"/>
        </w:rPr>
        <w:t xml:space="preserve"> appeals</w:t>
      </w:r>
      <w:r w:rsidR="00637528">
        <w:rPr>
          <w:szCs w:val="20"/>
        </w:rPr>
        <w:t xml:space="preserve"> to underage drinkers (</w:t>
      </w:r>
      <w:r w:rsidR="00FD07E6">
        <w:rPr>
          <w:szCs w:val="20"/>
        </w:rPr>
        <w:fldChar w:fldCharType="begin"/>
      </w:r>
      <w:r w:rsidR="00637528">
        <w:rPr>
          <w:szCs w:val="20"/>
        </w:rPr>
        <w:instrText xml:space="preserve"> REF _Ref254038728 \h </w:instrText>
      </w:r>
      <w:r w:rsidR="00FD07E6">
        <w:rPr>
          <w:szCs w:val="20"/>
        </w:rPr>
      </w:r>
      <w:r w:rsidR="00FD07E6">
        <w:rPr>
          <w:szCs w:val="20"/>
        </w:rPr>
        <w:fldChar w:fldCharType="separate"/>
      </w:r>
      <w:r w:rsidR="003E32BF" w:rsidRPr="00221D69">
        <w:t xml:space="preserve">Table </w:t>
      </w:r>
      <w:r w:rsidR="003E32BF">
        <w:rPr>
          <w:noProof/>
        </w:rPr>
        <w:t>1</w:t>
      </w:r>
      <w:r w:rsidR="00FD07E6">
        <w:rPr>
          <w:szCs w:val="20"/>
        </w:rPr>
        <w:fldChar w:fldCharType="end"/>
      </w:r>
      <w:r w:rsidR="00637528">
        <w:rPr>
          <w:szCs w:val="20"/>
        </w:rPr>
        <w:t>).</w:t>
      </w:r>
      <w:r w:rsidR="009E075B">
        <w:rPr>
          <w:szCs w:val="20"/>
        </w:rPr>
        <w:t xml:space="preserve"> </w:t>
      </w:r>
      <w:r w:rsidR="00637528">
        <w:t>T</w:t>
      </w:r>
      <w:r>
        <w:t xml:space="preserve">here is also concern regarding the growing popularity of alcohol websites containing games and other material </w:t>
      </w:r>
      <w:r w:rsidR="0097195E">
        <w:t>with</w:t>
      </w:r>
      <w:r>
        <w:t xml:space="preserve"> high appeal to young people, coupled with evidence that, in the USA at least, underage people use these sites (CAMY, 2</w:t>
      </w:r>
      <w:r w:rsidR="00637528">
        <w:t>004).</w:t>
      </w:r>
      <w:r w:rsidR="0097195E">
        <w:t xml:space="preserve"> Applying the Australian </w:t>
      </w:r>
      <w:r>
        <w:t xml:space="preserve">voluntary advertising code for alcohol to Australian websites identified several that would be in breach of the code if it applied to the Internet (Carroll &amp; Donovan, 2002).  </w:t>
      </w:r>
    </w:p>
    <w:p w:rsidR="008B02BD" w:rsidRDefault="008B02BD" w:rsidP="008B02BD">
      <w:pPr>
        <w:pStyle w:val="Heading2"/>
      </w:pPr>
      <w:r>
        <w:t>Rules and Regulations for Public-Private Partnership</w:t>
      </w:r>
      <w:r w:rsidRPr="002118C9">
        <w:t>s</w:t>
      </w:r>
    </w:p>
    <w:p w:rsidR="007B4D82" w:rsidRDefault="000B317C" w:rsidP="000B317C">
      <w:pPr>
        <w:pStyle w:val="Doublespacedtimes"/>
      </w:pPr>
      <w:r>
        <w:t>W</w:t>
      </w:r>
      <w:r w:rsidR="00462318">
        <w:t xml:space="preserve">e </w:t>
      </w:r>
      <w:r w:rsidR="009E075B">
        <w:t>find</w:t>
      </w:r>
      <w:r w:rsidR="003904A9">
        <w:t xml:space="preserve"> no</w:t>
      </w:r>
      <w:r w:rsidR="00462318">
        <w:t xml:space="preserve"> reference to ethical factors in any of the governm</w:t>
      </w:r>
      <w:r>
        <w:t xml:space="preserve">ent policy documents reviewed. </w:t>
      </w:r>
      <w:r w:rsidR="008B02BD">
        <w:t xml:space="preserve">Attempts have been made to provide some kind of ethical guidelines for PPPs, for example the Department for International Development cautiously endorses private sector involvement in activity such as health promotion through a range of rules. They include a caveat that the specific nature of private sector involvement must be clarified before an intervention is implemented (Meadley et al., 2003). </w:t>
      </w:r>
      <w:r>
        <w:t>Guidelines tend to be focused upon developing successful part</w:t>
      </w:r>
      <w:r w:rsidR="003904A9">
        <w:t xml:space="preserve">nerships rather than regulation </w:t>
      </w:r>
      <w:r>
        <w:t xml:space="preserve">e.g. ‘Partnerships for Better Health’ (2007) outlines </w:t>
      </w:r>
      <w:r w:rsidR="007B4D82">
        <w:t>“Top ten t</w:t>
      </w:r>
      <w:r>
        <w:t>ips for working in partnership”</w:t>
      </w:r>
      <w:r w:rsidR="009E075B">
        <w:t xml:space="preserve"> </w:t>
      </w:r>
      <w:r>
        <w:t>(2007: 30), calling for transparency, equality, and trust, but for no specific ethical code</w:t>
      </w:r>
      <w:r w:rsidR="009E075B">
        <w:t>.</w:t>
      </w:r>
    </w:p>
    <w:p w:rsidR="009E075B" w:rsidRDefault="00637528" w:rsidP="009E075B">
      <w:pPr>
        <w:pStyle w:val="Heading1"/>
      </w:pPr>
      <w:r>
        <w:t xml:space="preserve">Effectiveness of </w:t>
      </w:r>
      <w:r w:rsidR="0097195E">
        <w:t>Current Strategies</w:t>
      </w:r>
    </w:p>
    <w:p w:rsidR="00637528" w:rsidRPr="009E075B" w:rsidRDefault="00637528" w:rsidP="009E075B"/>
    <w:p w:rsidR="00637528" w:rsidRDefault="00637528" w:rsidP="0097195E">
      <w:pPr>
        <w:pStyle w:val="Doublespacedtimes"/>
      </w:pPr>
      <w:r>
        <w:t xml:space="preserve">PPPs are likely to result in brand-specific messages </w:t>
      </w:r>
      <w:r w:rsidR="00E96A04">
        <w:t>referring to</w:t>
      </w:r>
      <w:r>
        <w:t xml:space="preserve"> moderation, however </w:t>
      </w:r>
      <w:r w:rsidR="0097195E">
        <w:t xml:space="preserve">the </w:t>
      </w:r>
      <w:r>
        <w:t xml:space="preserve">conflict </w:t>
      </w:r>
      <w:r w:rsidR="009E075B">
        <w:t xml:space="preserve">of interest </w:t>
      </w:r>
      <w:r w:rsidR="0097195E">
        <w:t xml:space="preserve">is </w:t>
      </w:r>
      <w:r w:rsidR="004D3D19">
        <w:t xml:space="preserve">already </w:t>
      </w:r>
      <w:r w:rsidR="009E075B">
        <w:t>noted by consumers</w:t>
      </w:r>
      <w:r>
        <w:t xml:space="preserve">. </w:t>
      </w:r>
      <w:r w:rsidR="004D3D19">
        <w:t>M</w:t>
      </w:r>
      <w:r>
        <w:t xml:space="preserve">any US ‘responsible drinking’ messages have </w:t>
      </w:r>
      <w:r w:rsidR="004D3D19">
        <w:t xml:space="preserve">also </w:t>
      </w:r>
      <w:r>
        <w:t xml:space="preserve">been criticised for </w:t>
      </w:r>
      <w:r w:rsidR="0097195E">
        <w:t>portraying</w:t>
      </w:r>
      <w:r>
        <w:t xml:space="preserve"> non-drinkers as less fun than the norm, and </w:t>
      </w:r>
      <w:r w:rsidR="003904A9">
        <w:t>as</w:t>
      </w:r>
      <w:r>
        <w:t xml:space="preserve"> inconsistent with mainstream brand promotio</w:t>
      </w:r>
      <w:r w:rsidR="0097195E">
        <w:t>ns (DeJong et al., 1992).</w:t>
      </w:r>
      <w:r>
        <w:t xml:space="preserve"> Baggott (2008) </w:t>
      </w:r>
      <w:r w:rsidR="003904A9">
        <w:t>is also scepticak</w:t>
      </w:r>
      <w:r>
        <w:t xml:space="preserve"> about the use of warning labels, given </w:t>
      </w:r>
      <w:r w:rsidR="0097195E">
        <w:t xml:space="preserve">the lack of </w:t>
      </w:r>
      <w:r>
        <w:t>substantive amendment to</w:t>
      </w:r>
      <w:r w:rsidR="003904A9">
        <w:t xml:space="preserve"> overall marketing strategies. </w:t>
      </w:r>
      <w:r w:rsidR="004D3D19">
        <w:t>Despite endorsement of warning labels by Gordon Brown, t</w:t>
      </w:r>
      <w:r>
        <w:t xml:space="preserve">hen </w:t>
      </w:r>
      <w:r w:rsidR="0097195E">
        <w:t xml:space="preserve">UK </w:t>
      </w:r>
      <w:r>
        <w:t>Prime Minister</w:t>
      </w:r>
      <w:r w:rsidR="00E37DFE">
        <w:t xml:space="preserve"> (Campaign, 2008), </w:t>
      </w:r>
      <w:r>
        <w:t xml:space="preserve">Barbor (2004) </w:t>
      </w:r>
      <w:r w:rsidR="00E37DFE">
        <w:t xml:space="preserve">warns that there is </w:t>
      </w:r>
      <w:r w:rsidR="008F67D0">
        <w:t xml:space="preserve">no evidence of </w:t>
      </w:r>
      <w:r w:rsidR="003904A9">
        <w:t xml:space="preserve">their </w:t>
      </w:r>
      <w:r w:rsidR="0097195E">
        <w:t xml:space="preserve">effectiveness. </w:t>
      </w:r>
      <w:r w:rsidR="003904A9">
        <w:t>It is</w:t>
      </w:r>
      <w:r>
        <w:t xml:space="preserve"> suggest</w:t>
      </w:r>
      <w:r w:rsidR="003904A9">
        <w:t>ed</w:t>
      </w:r>
      <w:r>
        <w:t xml:space="preserve"> that this is a largely symbolic strategy, </w:t>
      </w:r>
      <w:r w:rsidR="0097195E">
        <w:t>with minimal impact on</w:t>
      </w:r>
      <w:r>
        <w:t xml:space="preserve"> marketing activity in return for positive public relations value in claiming responsiveness to societal concerns (Jessop &amp; Wade, 2008;</w:t>
      </w:r>
      <w:r w:rsidR="00E96A04">
        <w:t xml:space="preserve"> Wolburg, 2005; Ringold, 2002). </w:t>
      </w:r>
      <w:r>
        <w:t>At best, it is suggested that warning messages raise awareness but have minimal effect on beh</w:t>
      </w:r>
      <w:r w:rsidR="008F67D0">
        <w:t>aviour (Jamoulle, 2006).</w:t>
      </w:r>
      <w:r w:rsidR="00E96A04">
        <w:t xml:space="preserve"> </w:t>
      </w:r>
      <w:r w:rsidR="003904A9">
        <w:t>At worst</w:t>
      </w:r>
      <w:r>
        <w:t>, warnings may</w:t>
      </w:r>
      <w:r w:rsidR="0097195E">
        <w:t xml:space="preserve"> produce</w:t>
      </w:r>
      <w:r>
        <w:t xml:space="preserve"> ‘boomerang’ effects, i.e. the opposite of what was intended (Ringold, </w:t>
      </w:r>
      <w:r w:rsidR="0097195E">
        <w:t xml:space="preserve">2002; Stewart &amp; Martin, 1994). </w:t>
      </w:r>
      <w:r>
        <w:t xml:space="preserve">The theory of psychological reactance </w:t>
      </w:r>
      <w:r w:rsidR="004D3D19">
        <w:t xml:space="preserve">suggests that direct or </w:t>
      </w:r>
      <w:r>
        <w:t xml:space="preserve">potential perceived threats to personal freedom, such as limiting consumption of products, </w:t>
      </w:r>
      <w:r w:rsidR="003904A9">
        <w:t>will meet</w:t>
      </w:r>
      <w:r>
        <w:t xml:space="preserve"> </w:t>
      </w:r>
      <w:r w:rsidR="003904A9">
        <w:t>resistance</w:t>
      </w:r>
      <w:r>
        <w:t xml:space="preserve"> </w:t>
      </w:r>
      <w:r w:rsidR="003904A9">
        <w:t>in order to</w:t>
      </w:r>
      <w:r>
        <w:t xml:space="preserve"> regain control of freedom (Bushman, 1998; Rummel et al., 2000).</w:t>
      </w:r>
      <w:r w:rsidR="004D3D19">
        <w:t xml:space="preserve"> </w:t>
      </w:r>
    </w:p>
    <w:p w:rsidR="00E96A04" w:rsidRDefault="00637528" w:rsidP="0097195E">
      <w:pPr>
        <w:pStyle w:val="Doublespacedtimes"/>
      </w:pPr>
      <w:r>
        <w:t>It</w:t>
      </w:r>
      <w:r w:rsidR="00511A72">
        <w:t xml:space="preserve"> is </w:t>
      </w:r>
      <w:r w:rsidR="004D3D19">
        <w:t xml:space="preserve">also </w:t>
      </w:r>
      <w:r w:rsidR="00511A72">
        <w:t>suggested</w:t>
      </w:r>
      <w:r>
        <w:t xml:space="preserve"> that expenditure on alcohol moderation communications </w:t>
      </w:r>
      <w:r w:rsidR="00E96A04">
        <w:t xml:space="preserve">is wasted while </w:t>
      </w:r>
      <w:r>
        <w:t xml:space="preserve">policies </w:t>
      </w:r>
      <w:r w:rsidR="00E96A04">
        <w:t>regarding</w:t>
      </w:r>
      <w:r>
        <w:t xml:space="preserve"> the number of outlets selling alcohol and </w:t>
      </w:r>
      <w:r w:rsidR="004D3D19">
        <w:t>longer</w:t>
      </w:r>
      <w:r>
        <w:t xml:space="preserve"> </w:t>
      </w:r>
      <w:r w:rsidR="00E96A04">
        <w:t xml:space="preserve">opening hours directly counter any positive </w:t>
      </w:r>
      <w:r w:rsidR="00AF21BE">
        <w:t xml:space="preserve">effects. </w:t>
      </w:r>
      <w:r>
        <w:t xml:space="preserve">Further, </w:t>
      </w:r>
      <w:r w:rsidR="00E96A04">
        <w:t>pricing strategies</w:t>
      </w:r>
      <w:r>
        <w:t xml:space="preserve">, either </w:t>
      </w:r>
      <w:r w:rsidR="00E96A04">
        <w:t xml:space="preserve">as </w:t>
      </w:r>
      <w:r>
        <w:t>direc</w:t>
      </w:r>
      <w:r w:rsidR="00E96A04">
        <w:t>t increase or via increased taxation, have</w:t>
      </w:r>
      <w:r>
        <w:t xml:space="preserve"> not be</w:t>
      </w:r>
      <w:r w:rsidR="00AF21BE">
        <w:t xml:space="preserve">en used (Wall, 2007): </w:t>
      </w:r>
      <w:r>
        <w:t xml:space="preserve">alcohol is now 40% </w:t>
      </w:r>
      <w:r w:rsidR="00AF21BE">
        <w:t>che</w:t>
      </w:r>
      <w:r w:rsidR="004D3D19">
        <w:t>a</w:t>
      </w:r>
      <w:r w:rsidR="00AF21BE">
        <w:t>per</w:t>
      </w:r>
      <w:r>
        <w:t xml:space="preserve"> than in the mid 1990s </w:t>
      </w:r>
      <w:r w:rsidR="003904A9">
        <w:t>while</w:t>
      </w:r>
      <w:r>
        <w:t xml:space="preserve"> average alcohol strength has increased (Anderson, 2007). </w:t>
      </w:r>
    </w:p>
    <w:p w:rsidR="00462318" w:rsidRDefault="002118C9" w:rsidP="008B02BD">
      <w:pPr>
        <w:pStyle w:val="Heading2"/>
      </w:pPr>
      <w:r>
        <w:t>The Future for Public-Private Partnership</w:t>
      </w:r>
      <w:r w:rsidRPr="002118C9">
        <w:t>s</w:t>
      </w:r>
    </w:p>
    <w:p w:rsidR="00C853D7" w:rsidRPr="00E96A04" w:rsidRDefault="00E96A04" w:rsidP="00E96A04">
      <w:pPr>
        <w:pStyle w:val="Doublespacedtimes"/>
      </w:pPr>
      <w:r w:rsidRPr="00E96A04">
        <w:t>We conclude that research remains to be done on the value and management of PPPs. For instance, d</w:t>
      </w:r>
      <w:r w:rsidR="00462318" w:rsidRPr="00E96A04">
        <w:t>oes the public sector need to become more ‘savvy’ in its dealings with the private sector, realising the potential monetary value of the credibility and information they provide?</w:t>
      </w:r>
      <w:r w:rsidRPr="00E96A04">
        <w:t xml:space="preserve"> Content analysis of new policy documents can help chart the progress of PPPs, with evaluation of such strategies being followed up. A</w:t>
      </w:r>
      <w:r w:rsidR="008F67D0" w:rsidRPr="00E96A04">
        <w:t>ttitudes towards price and promotions amongst particular groups (</w:t>
      </w:r>
      <w:r w:rsidRPr="00E96A04">
        <w:t xml:space="preserve">e.g. </w:t>
      </w:r>
      <w:r>
        <w:t xml:space="preserve">young drinkers, aged </w:t>
      </w:r>
      <w:r w:rsidRPr="00E96A04">
        <w:t>16-24) may reveal promising alternative routes for policy.</w:t>
      </w:r>
      <w:r>
        <w:t xml:space="preserve"> Meanwhile, the value of social</w:t>
      </w:r>
      <w:r w:rsidRPr="00E96A04">
        <w:t xml:space="preserve"> marketing communications with and without clear industry endorsement need to be evaluated, to assess the impact of commercial companies upon effectiveness of such interventions. </w:t>
      </w:r>
    </w:p>
    <w:p w:rsidR="00637528" w:rsidRPr="00E96A04" w:rsidRDefault="00511A72" w:rsidP="00E96A04">
      <w:pPr>
        <w:pStyle w:val="Doublespacedtimes"/>
      </w:pPr>
      <w:r w:rsidRPr="00E96A0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992"/>
        <w:gridCol w:w="851"/>
        <w:gridCol w:w="759"/>
      </w:tblGrid>
      <w:tr w:rsidR="00637528">
        <w:trPr>
          <w:trHeight w:val="230"/>
        </w:trPr>
        <w:tc>
          <w:tcPr>
            <w:tcW w:w="5920" w:type="dxa"/>
          </w:tcPr>
          <w:p w:rsidR="00637528" w:rsidRPr="00244C01" w:rsidRDefault="00637528" w:rsidP="00C853D7">
            <w:pPr>
              <w:spacing w:line="480" w:lineRule="auto"/>
              <w:rPr>
                <w:b/>
                <w:sz w:val="20"/>
                <w:szCs w:val="20"/>
              </w:rPr>
            </w:pPr>
            <w:r w:rsidRPr="00244C01">
              <w:rPr>
                <w:b/>
                <w:sz w:val="20"/>
                <w:szCs w:val="20"/>
              </w:rPr>
              <w:t>Category</w:t>
            </w:r>
          </w:p>
        </w:tc>
        <w:tc>
          <w:tcPr>
            <w:tcW w:w="992" w:type="dxa"/>
          </w:tcPr>
          <w:p w:rsidR="00637528" w:rsidRPr="00244C01" w:rsidRDefault="00637528" w:rsidP="00C853D7">
            <w:pPr>
              <w:spacing w:line="480" w:lineRule="auto"/>
              <w:jc w:val="center"/>
              <w:rPr>
                <w:b/>
                <w:sz w:val="20"/>
                <w:szCs w:val="20"/>
              </w:rPr>
            </w:pPr>
            <w:r w:rsidRPr="00244C01">
              <w:rPr>
                <w:b/>
                <w:sz w:val="20"/>
                <w:szCs w:val="20"/>
              </w:rPr>
              <w:t>2009</w:t>
            </w:r>
          </w:p>
        </w:tc>
        <w:tc>
          <w:tcPr>
            <w:tcW w:w="851" w:type="dxa"/>
          </w:tcPr>
          <w:p w:rsidR="00637528" w:rsidRPr="00244C01" w:rsidRDefault="00637528" w:rsidP="00C853D7">
            <w:pPr>
              <w:spacing w:line="480" w:lineRule="auto"/>
              <w:jc w:val="center"/>
              <w:rPr>
                <w:b/>
                <w:sz w:val="20"/>
                <w:szCs w:val="20"/>
              </w:rPr>
            </w:pPr>
            <w:r w:rsidRPr="00244C01">
              <w:rPr>
                <w:b/>
                <w:sz w:val="20"/>
                <w:szCs w:val="20"/>
              </w:rPr>
              <w:t>2008</w:t>
            </w:r>
          </w:p>
        </w:tc>
        <w:tc>
          <w:tcPr>
            <w:tcW w:w="759" w:type="dxa"/>
          </w:tcPr>
          <w:p w:rsidR="00637528" w:rsidRPr="00244C01" w:rsidRDefault="00637528" w:rsidP="00C853D7">
            <w:pPr>
              <w:spacing w:line="480" w:lineRule="auto"/>
              <w:jc w:val="center"/>
              <w:rPr>
                <w:b/>
                <w:sz w:val="20"/>
                <w:szCs w:val="20"/>
              </w:rPr>
            </w:pPr>
            <w:r w:rsidRPr="00244C01">
              <w:rPr>
                <w:b/>
                <w:sz w:val="20"/>
                <w:szCs w:val="20"/>
              </w:rPr>
              <w:t>2007</w:t>
            </w:r>
          </w:p>
        </w:tc>
      </w:tr>
      <w:tr w:rsidR="00637528">
        <w:trPr>
          <w:trHeight w:val="230"/>
        </w:trPr>
        <w:tc>
          <w:tcPr>
            <w:tcW w:w="5920" w:type="dxa"/>
          </w:tcPr>
          <w:p w:rsidR="00637528" w:rsidRPr="00244C01" w:rsidRDefault="00637528" w:rsidP="00C853D7">
            <w:pPr>
              <w:spacing w:line="480" w:lineRule="auto"/>
              <w:rPr>
                <w:sz w:val="20"/>
                <w:szCs w:val="20"/>
              </w:rPr>
            </w:pPr>
            <w:r>
              <w:rPr>
                <w:sz w:val="20"/>
                <w:szCs w:val="20"/>
              </w:rPr>
              <w:t xml:space="preserve">Sex </w:t>
            </w:r>
            <w:r w:rsidRPr="00244C01">
              <w:rPr>
                <w:sz w:val="20"/>
                <w:szCs w:val="20"/>
              </w:rPr>
              <w:t>(linking alcohol to seduction / sexual activity or sexual success)</w:t>
            </w:r>
          </w:p>
        </w:tc>
        <w:tc>
          <w:tcPr>
            <w:tcW w:w="992" w:type="dxa"/>
          </w:tcPr>
          <w:p w:rsidR="00637528" w:rsidRPr="00244C01" w:rsidRDefault="00637528" w:rsidP="00C853D7">
            <w:pPr>
              <w:spacing w:line="480" w:lineRule="auto"/>
              <w:jc w:val="center"/>
              <w:rPr>
                <w:sz w:val="20"/>
                <w:szCs w:val="20"/>
              </w:rPr>
            </w:pPr>
            <w:r w:rsidRPr="00244C01">
              <w:rPr>
                <w:sz w:val="20"/>
                <w:szCs w:val="20"/>
              </w:rPr>
              <w:t>1</w:t>
            </w:r>
          </w:p>
        </w:tc>
        <w:tc>
          <w:tcPr>
            <w:tcW w:w="851" w:type="dxa"/>
          </w:tcPr>
          <w:p w:rsidR="00637528" w:rsidRPr="00244C01" w:rsidRDefault="00637528" w:rsidP="00C853D7">
            <w:pPr>
              <w:spacing w:line="480" w:lineRule="auto"/>
              <w:jc w:val="center"/>
              <w:rPr>
                <w:sz w:val="20"/>
                <w:szCs w:val="20"/>
              </w:rPr>
            </w:pPr>
            <w:r w:rsidRPr="00244C01">
              <w:rPr>
                <w:sz w:val="20"/>
                <w:szCs w:val="20"/>
              </w:rPr>
              <w:t>3</w:t>
            </w:r>
          </w:p>
        </w:tc>
        <w:tc>
          <w:tcPr>
            <w:tcW w:w="759" w:type="dxa"/>
          </w:tcPr>
          <w:p w:rsidR="00637528" w:rsidRPr="00244C01" w:rsidRDefault="00637528" w:rsidP="00C853D7">
            <w:pPr>
              <w:spacing w:line="480" w:lineRule="auto"/>
              <w:jc w:val="center"/>
              <w:rPr>
                <w:sz w:val="20"/>
                <w:szCs w:val="20"/>
              </w:rPr>
            </w:pP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Breach of decency / offensive</w:t>
            </w:r>
          </w:p>
        </w:tc>
        <w:tc>
          <w:tcPr>
            <w:tcW w:w="992" w:type="dxa"/>
          </w:tcPr>
          <w:p w:rsidR="00637528" w:rsidRPr="00244C01" w:rsidRDefault="00637528" w:rsidP="00C853D7">
            <w:pPr>
              <w:spacing w:line="480" w:lineRule="auto"/>
              <w:jc w:val="center"/>
              <w:rPr>
                <w:sz w:val="20"/>
                <w:szCs w:val="20"/>
              </w:rPr>
            </w:pPr>
          </w:p>
        </w:tc>
        <w:tc>
          <w:tcPr>
            <w:tcW w:w="851" w:type="dxa"/>
          </w:tcPr>
          <w:p w:rsidR="00637528" w:rsidRPr="00244C01" w:rsidRDefault="00637528" w:rsidP="00C853D7">
            <w:pPr>
              <w:spacing w:line="480" w:lineRule="auto"/>
              <w:jc w:val="center"/>
              <w:rPr>
                <w:sz w:val="20"/>
                <w:szCs w:val="20"/>
              </w:rPr>
            </w:pPr>
            <w:r w:rsidRPr="00244C01">
              <w:rPr>
                <w:sz w:val="20"/>
                <w:szCs w:val="20"/>
              </w:rPr>
              <w:t>1</w:t>
            </w:r>
          </w:p>
        </w:tc>
        <w:tc>
          <w:tcPr>
            <w:tcW w:w="759" w:type="dxa"/>
          </w:tcPr>
          <w:p w:rsidR="00637528" w:rsidRPr="00244C01" w:rsidRDefault="00637528" w:rsidP="00C853D7">
            <w:pPr>
              <w:spacing w:line="480" w:lineRule="auto"/>
              <w:jc w:val="center"/>
              <w:rPr>
                <w:sz w:val="20"/>
                <w:szCs w:val="20"/>
              </w:rPr>
            </w:pP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Linking alcohol to confidence / social success</w:t>
            </w:r>
          </w:p>
        </w:tc>
        <w:tc>
          <w:tcPr>
            <w:tcW w:w="992" w:type="dxa"/>
          </w:tcPr>
          <w:p w:rsidR="00637528" w:rsidRPr="00244C01" w:rsidRDefault="00637528" w:rsidP="00C853D7">
            <w:pPr>
              <w:spacing w:line="480" w:lineRule="auto"/>
              <w:jc w:val="center"/>
              <w:rPr>
                <w:sz w:val="20"/>
                <w:szCs w:val="20"/>
              </w:rPr>
            </w:pPr>
            <w:r w:rsidRPr="00244C01">
              <w:rPr>
                <w:sz w:val="20"/>
                <w:szCs w:val="20"/>
              </w:rPr>
              <w:t>2</w:t>
            </w:r>
          </w:p>
        </w:tc>
        <w:tc>
          <w:tcPr>
            <w:tcW w:w="851" w:type="dxa"/>
          </w:tcPr>
          <w:p w:rsidR="00637528" w:rsidRPr="00244C01" w:rsidRDefault="00637528" w:rsidP="00C853D7">
            <w:pPr>
              <w:spacing w:line="480" w:lineRule="auto"/>
              <w:jc w:val="center"/>
              <w:rPr>
                <w:sz w:val="20"/>
                <w:szCs w:val="20"/>
              </w:rPr>
            </w:pPr>
            <w:r w:rsidRPr="00244C01">
              <w:rPr>
                <w:sz w:val="20"/>
                <w:szCs w:val="20"/>
              </w:rPr>
              <w:t>1</w:t>
            </w:r>
          </w:p>
        </w:tc>
        <w:tc>
          <w:tcPr>
            <w:tcW w:w="759" w:type="dxa"/>
          </w:tcPr>
          <w:p w:rsidR="00637528" w:rsidRPr="00244C01" w:rsidRDefault="00637528" w:rsidP="00C853D7">
            <w:pPr>
              <w:spacing w:line="480" w:lineRule="auto"/>
              <w:jc w:val="center"/>
              <w:rPr>
                <w:sz w:val="20"/>
                <w:szCs w:val="20"/>
              </w:rPr>
            </w:pPr>
            <w:r w:rsidRPr="00244C01">
              <w:rPr>
                <w:sz w:val="20"/>
                <w:szCs w:val="20"/>
              </w:rPr>
              <w:t>1</w:t>
            </w: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Portraying irresponsible or dangerous consumption behaviour</w:t>
            </w:r>
          </w:p>
        </w:tc>
        <w:tc>
          <w:tcPr>
            <w:tcW w:w="992" w:type="dxa"/>
          </w:tcPr>
          <w:p w:rsidR="00637528" w:rsidRPr="00244C01" w:rsidRDefault="00637528" w:rsidP="00C853D7">
            <w:pPr>
              <w:spacing w:line="480" w:lineRule="auto"/>
              <w:jc w:val="center"/>
              <w:rPr>
                <w:sz w:val="20"/>
                <w:szCs w:val="20"/>
              </w:rPr>
            </w:pPr>
            <w:r w:rsidRPr="00244C01">
              <w:rPr>
                <w:sz w:val="20"/>
                <w:szCs w:val="20"/>
              </w:rPr>
              <w:t>1</w:t>
            </w:r>
          </w:p>
        </w:tc>
        <w:tc>
          <w:tcPr>
            <w:tcW w:w="851" w:type="dxa"/>
          </w:tcPr>
          <w:p w:rsidR="00637528" w:rsidRPr="00244C01" w:rsidRDefault="00637528" w:rsidP="00C853D7">
            <w:pPr>
              <w:spacing w:line="480" w:lineRule="auto"/>
              <w:jc w:val="center"/>
              <w:rPr>
                <w:sz w:val="20"/>
                <w:szCs w:val="20"/>
              </w:rPr>
            </w:pPr>
            <w:r w:rsidRPr="00244C01">
              <w:rPr>
                <w:sz w:val="20"/>
                <w:szCs w:val="20"/>
              </w:rPr>
              <w:t>2</w:t>
            </w:r>
          </w:p>
        </w:tc>
        <w:tc>
          <w:tcPr>
            <w:tcW w:w="759" w:type="dxa"/>
          </w:tcPr>
          <w:p w:rsidR="00637528" w:rsidRPr="00244C01" w:rsidRDefault="00637528" w:rsidP="00C853D7">
            <w:pPr>
              <w:spacing w:line="480" w:lineRule="auto"/>
              <w:jc w:val="center"/>
              <w:rPr>
                <w:sz w:val="20"/>
                <w:szCs w:val="20"/>
              </w:rPr>
            </w:pPr>
            <w:r w:rsidRPr="00244C01">
              <w:rPr>
                <w:sz w:val="20"/>
                <w:szCs w:val="20"/>
              </w:rPr>
              <w:t>2</w:t>
            </w: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Advertising appealed to young / under age drinkers</w:t>
            </w:r>
          </w:p>
        </w:tc>
        <w:tc>
          <w:tcPr>
            <w:tcW w:w="992" w:type="dxa"/>
          </w:tcPr>
          <w:p w:rsidR="00637528" w:rsidRPr="00244C01" w:rsidRDefault="00637528" w:rsidP="00C853D7">
            <w:pPr>
              <w:spacing w:line="480" w:lineRule="auto"/>
              <w:jc w:val="center"/>
              <w:rPr>
                <w:sz w:val="20"/>
                <w:szCs w:val="20"/>
              </w:rPr>
            </w:pPr>
          </w:p>
        </w:tc>
        <w:tc>
          <w:tcPr>
            <w:tcW w:w="851" w:type="dxa"/>
          </w:tcPr>
          <w:p w:rsidR="00637528" w:rsidRPr="00244C01" w:rsidRDefault="00637528" w:rsidP="00C853D7">
            <w:pPr>
              <w:spacing w:line="480" w:lineRule="auto"/>
              <w:jc w:val="center"/>
              <w:rPr>
                <w:sz w:val="20"/>
                <w:szCs w:val="20"/>
              </w:rPr>
            </w:pPr>
            <w:r w:rsidRPr="00244C01">
              <w:rPr>
                <w:sz w:val="20"/>
                <w:szCs w:val="20"/>
              </w:rPr>
              <w:t>2</w:t>
            </w:r>
          </w:p>
        </w:tc>
        <w:tc>
          <w:tcPr>
            <w:tcW w:w="759" w:type="dxa"/>
          </w:tcPr>
          <w:p w:rsidR="00637528" w:rsidRPr="00244C01" w:rsidRDefault="00637528" w:rsidP="00C853D7">
            <w:pPr>
              <w:spacing w:line="480" w:lineRule="auto"/>
              <w:jc w:val="center"/>
              <w:rPr>
                <w:sz w:val="20"/>
                <w:szCs w:val="20"/>
              </w:rPr>
            </w:pPr>
            <w:r w:rsidRPr="00244C01">
              <w:rPr>
                <w:sz w:val="20"/>
                <w:szCs w:val="20"/>
              </w:rPr>
              <w:t>1</w:t>
            </w: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Failure to make marketing communications clearly recognisable</w:t>
            </w:r>
          </w:p>
        </w:tc>
        <w:tc>
          <w:tcPr>
            <w:tcW w:w="992" w:type="dxa"/>
          </w:tcPr>
          <w:p w:rsidR="00637528" w:rsidRPr="00244C01" w:rsidRDefault="00637528" w:rsidP="00C853D7">
            <w:pPr>
              <w:spacing w:line="480" w:lineRule="auto"/>
              <w:jc w:val="center"/>
              <w:rPr>
                <w:sz w:val="20"/>
                <w:szCs w:val="20"/>
              </w:rPr>
            </w:pPr>
          </w:p>
        </w:tc>
        <w:tc>
          <w:tcPr>
            <w:tcW w:w="851" w:type="dxa"/>
          </w:tcPr>
          <w:p w:rsidR="00637528" w:rsidRPr="00244C01" w:rsidRDefault="00637528" w:rsidP="00C853D7">
            <w:pPr>
              <w:spacing w:line="480" w:lineRule="auto"/>
              <w:jc w:val="center"/>
              <w:rPr>
                <w:sz w:val="20"/>
                <w:szCs w:val="20"/>
              </w:rPr>
            </w:pPr>
            <w:r w:rsidRPr="00244C01">
              <w:rPr>
                <w:sz w:val="20"/>
                <w:szCs w:val="20"/>
              </w:rPr>
              <w:t>1</w:t>
            </w:r>
          </w:p>
        </w:tc>
        <w:tc>
          <w:tcPr>
            <w:tcW w:w="759" w:type="dxa"/>
          </w:tcPr>
          <w:p w:rsidR="00637528" w:rsidRPr="00244C01" w:rsidRDefault="00637528" w:rsidP="00C853D7">
            <w:pPr>
              <w:spacing w:line="480" w:lineRule="auto"/>
              <w:jc w:val="center"/>
              <w:rPr>
                <w:sz w:val="20"/>
                <w:szCs w:val="20"/>
              </w:rPr>
            </w:pP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Mis</w:t>
            </w:r>
            <w:r>
              <w:rPr>
                <w:sz w:val="20"/>
                <w:szCs w:val="20"/>
              </w:rPr>
              <w:t xml:space="preserve">leading (e.g., sales promotions </w:t>
            </w:r>
            <w:r w:rsidRPr="00244C01">
              <w:rPr>
                <w:sz w:val="20"/>
                <w:szCs w:val="20"/>
              </w:rPr>
              <w:t>/ amount of calories in drinks etc)</w:t>
            </w:r>
          </w:p>
        </w:tc>
        <w:tc>
          <w:tcPr>
            <w:tcW w:w="992" w:type="dxa"/>
          </w:tcPr>
          <w:p w:rsidR="00637528" w:rsidRPr="00244C01" w:rsidRDefault="00637528" w:rsidP="00C853D7">
            <w:pPr>
              <w:spacing w:line="480" w:lineRule="auto"/>
              <w:jc w:val="center"/>
              <w:rPr>
                <w:sz w:val="20"/>
                <w:szCs w:val="20"/>
              </w:rPr>
            </w:pPr>
            <w:r w:rsidRPr="00244C01">
              <w:rPr>
                <w:sz w:val="20"/>
                <w:szCs w:val="20"/>
              </w:rPr>
              <w:t>2</w:t>
            </w:r>
          </w:p>
        </w:tc>
        <w:tc>
          <w:tcPr>
            <w:tcW w:w="851" w:type="dxa"/>
          </w:tcPr>
          <w:p w:rsidR="00637528" w:rsidRPr="00244C01" w:rsidRDefault="00637528" w:rsidP="00C853D7">
            <w:pPr>
              <w:spacing w:line="480" w:lineRule="auto"/>
              <w:jc w:val="center"/>
              <w:rPr>
                <w:sz w:val="20"/>
                <w:szCs w:val="20"/>
              </w:rPr>
            </w:pPr>
            <w:r w:rsidRPr="00244C01">
              <w:rPr>
                <w:sz w:val="20"/>
                <w:szCs w:val="20"/>
              </w:rPr>
              <w:t>4</w:t>
            </w:r>
          </w:p>
        </w:tc>
        <w:tc>
          <w:tcPr>
            <w:tcW w:w="759" w:type="dxa"/>
          </w:tcPr>
          <w:p w:rsidR="00637528" w:rsidRPr="00244C01" w:rsidRDefault="00637528" w:rsidP="00C853D7">
            <w:pPr>
              <w:spacing w:line="480" w:lineRule="auto"/>
              <w:jc w:val="center"/>
              <w:rPr>
                <w:sz w:val="20"/>
                <w:szCs w:val="20"/>
              </w:rPr>
            </w:pPr>
          </w:p>
        </w:tc>
      </w:tr>
      <w:tr w:rsidR="00637528">
        <w:trPr>
          <w:trHeight w:val="230"/>
        </w:trPr>
        <w:tc>
          <w:tcPr>
            <w:tcW w:w="5920" w:type="dxa"/>
          </w:tcPr>
          <w:p w:rsidR="00637528" w:rsidRPr="00244C01" w:rsidRDefault="00637528" w:rsidP="00C853D7">
            <w:pPr>
              <w:spacing w:line="480" w:lineRule="auto"/>
              <w:rPr>
                <w:sz w:val="20"/>
                <w:szCs w:val="20"/>
              </w:rPr>
            </w:pPr>
            <w:r w:rsidRPr="00244C01">
              <w:rPr>
                <w:sz w:val="20"/>
                <w:szCs w:val="20"/>
              </w:rPr>
              <w:t xml:space="preserve">Total (sums to more than 22 </w:t>
            </w:r>
            <w:r>
              <w:rPr>
                <w:sz w:val="20"/>
                <w:szCs w:val="20"/>
              </w:rPr>
              <w:t>—</w:t>
            </w:r>
            <w:r w:rsidRPr="00244C01">
              <w:rPr>
                <w:sz w:val="20"/>
                <w:szCs w:val="20"/>
              </w:rPr>
              <w:t xml:space="preserve"> see below)</w:t>
            </w:r>
          </w:p>
        </w:tc>
        <w:tc>
          <w:tcPr>
            <w:tcW w:w="992" w:type="dxa"/>
          </w:tcPr>
          <w:p w:rsidR="00637528" w:rsidRPr="00244C01" w:rsidRDefault="00637528" w:rsidP="00C853D7">
            <w:pPr>
              <w:spacing w:line="480" w:lineRule="auto"/>
              <w:jc w:val="center"/>
              <w:rPr>
                <w:sz w:val="20"/>
                <w:szCs w:val="20"/>
              </w:rPr>
            </w:pPr>
            <w:r w:rsidRPr="00244C01">
              <w:rPr>
                <w:sz w:val="20"/>
                <w:szCs w:val="20"/>
              </w:rPr>
              <w:t>6</w:t>
            </w:r>
          </w:p>
        </w:tc>
        <w:tc>
          <w:tcPr>
            <w:tcW w:w="851" w:type="dxa"/>
          </w:tcPr>
          <w:p w:rsidR="00637528" w:rsidRPr="00244C01" w:rsidRDefault="00637528" w:rsidP="00C853D7">
            <w:pPr>
              <w:spacing w:line="480" w:lineRule="auto"/>
              <w:jc w:val="center"/>
              <w:rPr>
                <w:sz w:val="20"/>
                <w:szCs w:val="20"/>
              </w:rPr>
            </w:pPr>
            <w:r w:rsidRPr="00244C01">
              <w:rPr>
                <w:sz w:val="20"/>
                <w:szCs w:val="20"/>
              </w:rPr>
              <w:t>14*</w:t>
            </w:r>
          </w:p>
        </w:tc>
        <w:tc>
          <w:tcPr>
            <w:tcW w:w="759" w:type="dxa"/>
          </w:tcPr>
          <w:p w:rsidR="00637528" w:rsidRPr="00244C01" w:rsidRDefault="00637528" w:rsidP="00C853D7">
            <w:pPr>
              <w:spacing w:line="480" w:lineRule="auto"/>
              <w:jc w:val="center"/>
              <w:rPr>
                <w:sz w:val="20"/>
                <w:szCs w:val="20"/>
              </w:rPr>
            </w:pPr>
            <w:r w:rsidRPr="00244C01">
              <w:rPr>
                <w:sz w:val="20"/>
                <w:szCs w:val="20"/>
              </w:rPr>
              <w:t>5#</w:t>
            </w:r>
          </w:p>
        </w:tc>
      </w:tr>
      <w:tr w:rsidR="00637528">
        <w:tc>
          <w:tcPr>
            <w:tcW w:w="8522" w:type="dxa"/>
            <w:gridSpan w:val="4"/>
          </w:tcPr>
          <w:p w:rsidR="00637528" w:rsidRDefault="00637528" w:rsidP="00C853D7">
            <w:pPr>
              <w:spacing w:line="480" w:lineRule="auto"/>
              <w:ind w:left="142" w:hanging="142"/>
              <w:rPr>
                <w:sz w:val="20"/>
                <w:szCs w:val="20"/>
              </w:rPr>
            </w:pPr>
            <w:r>
              <w:rPr>
                <w:sz w:val="20"/>
                <w:szCs w:val="20"/>
              </w:rPr>
              <w:t xml:space="preserve">* 1 </w:t>
            </w:r>
            <w:r w:rsidRPr="00244C01">
              <w:rPr>
                <w:sz w:val="20"/>
                <w:szCs w:val="20"/>
              </w:rPr>
              <w:t>ad in breach for linking alcohol to social success and to irresponsible consumption (i.e.</w:t>
            </w:r>
            <w:r>
              <w:rPr>
                <w:sz w:val="20"/>
                <w:szCs w:val="20"/>
              </w:rPr>
              <w:t>,</w:t>
            </w:r>
            <w:r w:rsidRPr="00244C01">
              <w:rPr>
                <w:sz w:val="20"/>
                <w:szCs w:val="20"/>
              </w:rPr>
              <w:t xml:space="preserve"> in breach of two parts of Code</w:t>
            </w:r>
            <w:r>
              <w:rPr>
                <w:sz w:val="20"/>
                <w:szCs w:val="20"/>
              </w:rPr>
              <w:br/>
            </w:r>
            <w:r w:rsidRPr="00244C01">
              <w:rPr>
                <w:sz w:val="20"/>
                <w:szCs w:val="20"/>
              </w:rPr>
              <w:t>1 ad in breach for appealing to under age drinkers and for lack of social responsibility</w:t>
            </w:r>
          </w:p>
          <w:p w:rsidR="00637528" w:rsidRPr="00244C01" w:rsidRDefault="00637528" w:rsidP="00C853D7">
            <w:pPr>
              <w:spacing w:line="480" w:lineRule="auto"/>
              <w:rPr>
                <w:sz w:val="20"/>
                <w:szCs w:val="20"/>
              </w:rPr>
            </w:pPr>
          </w:p>
          <w:p w:rsidR="00637528" w:rsidRPr="00244C01" w:rsidRDefault="00637528" w:rsidP="00C853D7">
            <w:pPr>
              <w:spacing w:line="480" w:lineRule="auto"/>
              <w:ind w:left="142" w:hanging="142"/>
              <w:rPr>
                <w:sz w:val="20"/>
                <w:szCs w:val="20"/>
              </w:rPr>
            </w:pPr>
            <w:r w:rsidRPr="00244C01">
              <w:rPr>
                <w:sz w:val="20"/>
                <w:szCs w:val="20"/>
              </w:rPr>
              <w:t># 1 ad in breach for linking alcohol to social confidence, appealing to under age drinkers and promoting irresponsible behaviour (i.e.</w:t>
            </w:r>
            <w:r>
              <w:rPr>
                <w:sz w:val="20"/>
                <w:szCs w:val="20"/>
              </w:rPr>
              <w:t>,</w:t>
            </w:r>
            <w:r w:rsidRPr="00244C01">
              <w:rPr>
                <w:sz w:val="20"/>
                <w:szCs w:val="20"/>
              </w:rPr>
              <w:t xml:space="preserve"> in breach of two parts of the Code.</w:t>
            </w:r>
          </w:p>
        </w:tc>
      </w:tr>
    </w:tbl>
    <w:p w:rsidR="00C853D7" w:rsidRDefault="00637528" w:rsidP="00511A72">
      <w:pPr>
        <w:pStyle w:val="Caption"/>
        <w:spacing w:line="480" w:lineRule="auto"/>
      </w:pPr>
      <w:bookmarkStart w:id="0" w:name="_Ref254038728"/>
      <w:r w:rsidRPr="00221D69">
        <w:t xml:space="preserve">Table </w:t>
      </w:r>
      <w:fldSimple w:instr=" SEQ Table \* ARABIC ">
        <w:r w:rsidR="003E32BF">
          <w:rPr>
            <w:noProof/>
          </w:rPr>
          <w:t>1</w:t>
        </w:r>
      </w:fldSimple>
      <w:bookmarkEnd w:id="0"/>
      <w:r w:rsidRPr="00221D69">
        <w:t>:</w:t>
      </w:r>
      <w:r w:rsidRPr="00221D69">
        <w:tab/>
        <w:t xml:space="preserve">Categories of Alcohol Advertising Code under which the 22 Upheld Complaints </w:t>
      </w:r>
      <w:r>
        <w:t xml:space="preserve">between </w:t>
      </w:r>
      <w:r w:rsidRPr="00221D69">
        <w:t>2007</w:t>
      </w:r>
      <w:r>
        <w:t xml:space="preserve"> and </w:t>
      </w:r>
      <w:r w:rsidRPr="00221D69">
        <w:t>2009</w:t>
      </w:r>
      <w:r w:rsidR="00511A72">
        <w:t xml:space="preserve"> fa</w:t>
      </w:r>
      <w:r>
        <w:t xml:space="preserve">ll (source: </w:t>
      </w:r>
      <w:hyperlink r:id="rId8" w:history="1">
        <w:r w:rsidRPr="00030E55">
          <w:rPr>
            <w:rStyle w:val="Hyperlink"/>
          </w:rPr>
          <w:t>http://www.asa.org.uk/asa/codes/</w:t>
        </w:r>
      </w:hyperlink>
      <w:r>
        <w:t>)</w:t>
      </w:r>
      <w:r w:rsidR="00C853D7">
        <w:rPr>
          <w:b w:val="0"/>
          <w:lang w:val="pt-PT"/>
        </w:rPr>
        <w:br w:type="page"/>
      </w:r>
      <w:r w:rsidR="00C853D7">
        <w:t xml:space="preserve"> </w:t>
      </w:r>
    </w:p>
    <w:p w:rsidR="00924570" w:rsidRDefault="00C853D7" w:rsidP="008F67D0">
      <w:pPr>
        <w:pStyle w:val="Heading2"/>
        <w:rPr>
          <w:lang w:val="pt-PT"/>
        </w:rPr>
      </w:pPr>
      <w:r w:rsidRPr="00817CBF">
        <w:rPr>
          <w:lang w:val="pt-PT"/>
        </w:rPr>
        <w:t>References</w:t>
      </w:r>
    </w:p>
    <w:p w:rsidR="00511A72" w:rsidRDefault="00511A72" w:rsidP="009E075B">
      <w:pPr>
        <w:spacing w:line="480" w:lineRule="auto"/>
        <w:ind w:left="567" w:hanging="567"/>
      </w:pPr>
      <w:r w:rsidRPr="001B6489">
        <w:t xml:space="preserve">Anderson, P. (2007). A safe, sensible and social AHRSE: New Labour and alcohol policy. </w:t>
      </w:r>
      <w:r w:rsidRPr="001B6489">
        <w:rPr>
          <w:i/>
          <w:iCs/>
        </w:rPr>
        <w:t>Addiction, 102</w:t>
      </w:r>
      <w:r w:rsidRPr="001B6489">
        <w:t>(10), 1515-1521.</w:t>
      </w:r>
    </w:p>
    <w:p w:rsidR="008F67D0" w:rsidRDefault="008F67D0" w:rsidP="009E075B">
      <w:pPr>
        <w:autoSpaceDE w:val="0"/>
        <w:autoSpaceDN w:val="0"/>
        <w:adjustRightInd w:val="0"/>
        <w:spacing w:line="480" w:lineRule="auto"/>
        <w:ind w:left="567" w:hanging="567"/>
      </w:pPr>
      <w:r w:rsidRPr="00EC35CA">
        <w:t xml:space="preserve">Andreasen, A.R. &amp; Drumwright, M. E. (2001)  </w:t>
      </w:r>
      <w:r>
        <w:t>A</w:t>
      </w:r>
      <w:r w:rsidRPr="00EC35CA">
        <w:t xml:space="preserve">lliances and Ethics in Social Marketing, in Andreasen, A. R. (Ed.). (2001). </w:t>
      </w:r>
      <w:r w:rsidRPr="00EC35CA">
        <w:rPr>
          <w:i/>
          <w:iCs/>
        </w:rPr>
        <w:t>Ethics in Social Marketing</w:t>
      </w:r>
      <w:r w:rsidRPr="00EC35CA">
        <w:t>. Washington DC: Georgetown University Press.</w:t>
      </w:r>
    </w:p>
    <w:p w:rsidR="00924570" w:rsidRDefault="00924570" w:rsidP="009E075B">
      <w:pPr>
        <w:autoSpaceDE w:val="0"/>
        <w:autoSpaceDN w:val="0"/>
        <w:adjustRightInd w:val="0"/>
        <w:spacing w:line="480" w:lineRule="auto"/>
        <w:ind w:left="567" w:hanging="567"/>
      </w:pPr>
      <w:r>
        <w:t>Baggott, R. (2008).  Alcohol and  the Drinks Industry:  A Partnership for Prevention?  London:  Joseph Rowntree Foundation.</w:t>
      </w:r>
    </w:p>
    <w:p w:rsidR="00924570" w:rsidRDefault="00924570" w:rsidP="00511A72">
      <w:pPr>
        <w:autoSpaceDE w:val="0"/>
        <w:autoSpaceDN w:val="0"/>
        <w:adjustRightInd w:val="0"/>
        <w:spacing w:line="480" w:lineRule="auto"/>
        <w:ind w:left="567" w:hanging="567"/>
      </w:pPr>
      <w:r w:rsidRPr="000145AE">
        <w:t xml:space="preserve">Barbor, T. F. (2004). Admirable Ends, Ineffective Means:  Comments on the Alcohol Harm Reduction Strategy for England. </w:t>
      </w:r>
      <w:r w:rsidRPr="000145AE">
        <w:rPr>
          <w:i/>
          <w:iCs/>
        </w:rPr>
        <w:t>Drugs:  education, prevention and policy, 11</w:t>
      </w:r>
      <w:r w:rsidRPr="000145AE">
        <w:t>(5), 361 - 365</w:t>
      </w:r>
      <w:r w:rsidRPr="004E2DE8">
        <w:t>.</w:t>
      </w:r>
    </w:p>
    <w:p w:rsidR="00924570" w:rsidRDefault="00924570" w:rsidP="00511A72">
      <w:pPr>
        <w:autoSpaceDE w:val="0"/>
        <w:autoSpaceDN w:val="0"/>
        <w:adjustRightInd w:val="0"/>
        <w:spacing w:line="480" w:lineRule="auto"/>
        <w:ind w:left="567" w:hanging="567"/>
      </w:pPr>
      <w:r w:rsidRPr="004E2DE8">
        <w:t xml:space="preserve">Bhattacharya, C. B., &amp; Elsbach, K. D. (2002). Us Versus Them: The Roles of Organizational Identification and Disidentification in Social Marketing Initiatives. </w:t>
      </w:r>
      <w:r w:rsidRPr="004E2DE8">
        <w:rPr>
          <w:i/>
          <w:iCs/>
        </w:rPr>
        <w:t>Journal of Public Policy &amp; Marketing, 21</w:t>
      </w:r>
      <w:r w:rsidRPr="004E2DE8">
        <w:t>(1), 26-36</w:t>
      </w:r>
    </w:p>
    <w:p w:rsidR="008F67D0" w:rsidRPr="000145AE" w:rsidRDefault="008F67D0" w:rsidP="00511A72">
      <w:pPr>
        <w:autoSpaceDE w:val="0"/>
        <w:autoSpaceDN w:val="0"/>
        <w:adjustRightInd w:val="0"/>
        <w:spacing w:line="480" w:lineRule="auto"/>
        <w:ind w:left="567" w:hanging="567"/>
      </w:pPr>
      <w:r w:rsidRPr="000145AE">
        <w:t xml:space="preserve">Buse, K., &amp; Waxman, A. (2001). Public-Private Health Partnerships:  A Strategy for WHO. </w:t>
      </w:r>
      <w:r w:rsidRPr="000145AE">
        <w:rPr>
          <w:i/>
          <w:iCs/>
        </w:rPr>
        <w:t>Bulletin of the World Health Organization, 79</w:t>
      </w:r>
      <w:r w:rsidRPr="000145AE">
        <w:t>(8), 748 - 754.</w:t>
      </w:r>
    </w:p>
    <w:p w:rsidR="00511A72" w:rsidRDefault="00511A72" w:rsidP="00511A72">
      <w:pPr>
        <w:autoSpaceDE w:val="0"/>
        <w:autoSpaceDN w:val="0"/>
        <w:adjustRightInd w:val="0"/>
        <w:spacing w:line="480" w:lineRule="auto"/>
        <w:ind w:left="567" w:hanging="567"/>
      </w:pPr>
      <w:r w:rsidRPr="00B064A1">
        <w:t xml:space="preserve">Bushman, B. J. (1998). Effects of Warning and Information Labels on Consumption of Full-Fat, Reduced-Fat, and No-Fat Products. </w:t>
      </w:r>
      <w:r w:rsidRPr="00B064A1">
        <w:rPr>
          <w:i/>
          <w:iCs/>
        </w:rPr>
        <w:t>Journal of Applied Psychology, 83</w:t>
      </w:r>
      <w:r w:rsidRPr="00B064A1">
        <w:t>(1), 97 - 101.</w:t>
      </w:r>
    </w:p>
    <w:p w:rsidR="00924570" w:rsidRDefault="00924570" w:rsidP="00511A72">
      <w:pPr>
        <w:autoSpaceDE w:val="0"/>
        <w:autoSpaceDN w:val="0"/>
        <w:adjustRightInd w:val="0"/>
        <w:spacing w:line="480" w:lineRule="auto"/>
        <w:ind w:left="567" w:hanging="567"/>
      </w:pPr>
      <w:r>
        <w:t>Campaign (2008).  Brown backs ad endframes (The Week section) 14 March, p. 5</w:t>
      </w:r>
    </w:p>
    <w:p w:rsidR="00924570" w:rsidRDefault="00924570" w:rsidP="00511A72">
      <w:pPr>
        <w:autoSpaceDE w:val="0"/>
        <w:autoSpaceDN w:val="0"/>
        <w:adjustRightInd w:val="0"/>
        <w:spacing w:line="480" w:lineRule="auto"/>
        <w:ind w:left="567" w:hanging="567"/>
      </w:pPr>
      <w:r w:rsidRPr="000145AE">
        <w:t xml:space="preserve">Carroll, T. E., &amp; Donovan, R. A. (2002). Alcohol Marketing on the Internet: New Challenges for Harm Reduction. </w:t>
      </w:r>
      <w:r w:rsidRPr="000145AE">
        <w:rPr>
          <w:i/>
          <w:iCs/>
        </w:rPr>
        <w:t>Drug and Alcohol Review, 21</w:t>
      </w:r>
      <w:r w:rsidRPr="000145AE">
        <w:t>(1), 83 - 91.</w:t>
      </w:r>
    </w:p>
    <w:p w:rsidR="00924570" w:rsidRPr="000145AE" w:rsidRDefault="00924570" w:rsidP="00511A72">
      <w:pPr>
        <w:autoSpaceDE w:val="0"/>
        <w:autoSpaceDN w:val="0"/>
        <w:adjustRightInd w:val="0"/>
        <w:spacing w:line="480" w:lineRule="auto"/>
        <w:ind w:left="567" w:hanging="567"/>
      </w:pPr>
      <w:r w:rsidRPr="00F26223">
        <w:t xml:space="preserve">Centre on Alcohol Marketing and Youth. (2004). </w:t>
      </w:r>
      <w:r w:rsidRPr="00F26223">
        <w:rPr>
          <w:i/>
          <w:iCs/>
        </w:rPr>
        <w:t>Clicking with Kids:  Alcohol Marketing &amp; Kids on the Internet</w:t>
      </w:r>
      <w:r w:rsidRPr="00F26223">
        <w:t>. Washington DC: Centre on Alcohol Marketing and Youth</w:t>
      </w:r>
    </w:p>
    <w:p w:rsidR="00924570" w:rsidRPr="00511A72" w:rsidRDefault="00924570" w:rsidP="00511A72">
      <w:pPr>
        <w:autoSpaceDE w:val="0"/>
        <w:autoSpaceDN w:val="0"/>
        <w:adjustRightInd w:val="0"/>
        <w:spacing w:line="480" w:lineRule="auto"/>
        <w:ind w:left="567" w:hanging="567"/>
      </w:pPr>
      <w:r w:rsidRPr="000145AE">
        <w:t xml:space="preserve">DeJong, W., Atkin, C. K., &amp; Wallack, L. (1992). A Critical Analysis of "Moderation" Advertising Sponsored by the Beer Industry: Are "Responsible Drinking" Commercials Done Responsibly? </w:t>
      </w:r>
      <w:r w:rsidRPr="000145AE">
        <w:rPr>
          <w:i/>
          <w:iCs/>
        </w:rPr>
        <w:t>The Milbank Quarterly, 70</w:t>
      </w:r>
      <w:r w:rsidRPr="000145AE">
        <w:t>(4), 661-678.</w:t>
      </w:r>
    </w:p>
    <w:p w:rsidR="008F67D0" w:rsidRPr="00511A72" w:rsidRDefault="008F67D0" w:rsidP="00511A72">
      <w:pPr>
        <w:autoSpaceDE w:val="0"/>
        <w:autoSpaceDN w:val="0"/>
        <w:adjustRightInd w:val="0"/>
        <w:spacing w:line="480" w:lineRule="auto"/>
        <w:ind w:left="567" w:hanging="567"/>
        <w:rPr>
          <w:rFonts w:cs="Arial"/>
        </w:rPr>
      </w:pPr>
      <w:r w:rsidRPr="003B2338">
        <w:rPr>
          <w:rFonts w:cs="Arial"/>
        </w:rPr>
        <w:t xml:space="preserve">Department of Health. (2008). </w:t>
      </w:r>
      <w:r w:rsidRPr="003B2338">
        <w:rPr>
          <w:rFonts w:cs="Arial"/>
          <w:i/>
          <w:iCs/>
        </w:rPr>
        <w:t>Ambitions for health: a strategic framework for maximising the potential of social marketing and health-related behaviour</w:t>
      </w:r>
      <w:r w:rsidRPr="003B2338">
        <w:rPr>
          <w:rFonts w:cs="Arial"/>
        </w:rPr>
        <w:t xml:space="preserve"> (No. 288118). London: Department of Health. </w:t>
      </w:r>
      <w:hyperlink r:id="rId9" w:history="1">
        <w:r w:rsidRPr="00056481">
          <w:rPr>
            <w:rStyle w:val="Hyperlink"/>
            <w:rFonts w:cs="Arial"/>
          </w:rPr>
          <w:t>http://www.dh.gov.uk/en/Publicationsandstatistics/Publications/PublicationsPolicyAndGuidance/DH_090348</w:t>
        </w:r>
      </w:hyperlink>
      <w:r>
        <w:rPr>
          <w:rFonts w:cs="Arial"/>
        </w:rPr>
        <w:t xml:space="preserve"> </w:t>
      </w:r>
    </w:p>
    <w:p w:rsidR="008F67D0" w:rsidRPr="00252B6E" w:rsidRDefault="008F67D0" w:rsidP="00511A72">
      <w:pPr>
        <w:autoSpaceDE w:val="0"/>
        <w:autoSpaceDN w:val="0"/>
        <w:adjustRightInd w:val="0"/>
        <w:spacing w:line="480" w:lineRule="auto"/>
        <w:ind w:left="567" w:hanging="567"/>
        <w:rPr>
          <w:i/>
          <w:iCs/>
        </w:rPr>
      </w:pPr>
      <w:r w:rsidRPr="00252B6E">
        <w:t xml:space="preserve">Department of Health. (2007). </w:t>
      </w:r>
      <w:r w:rsidRPr="00252B6E">
        <w:rPr>
          <w:i/>
          <w:iCs/>
        </w:rPr>
        <w:t>Partnerships for Better Health</w:t>
      </w:r>
    </w:p>
    <w:p w:rsidR="008F67D0" w:rsidRPr="00252B6E" w:rsidRDefault="008F67D0" w:rsidP="00511A72">
      <w:pPr>
        <w:autoSpaceDE w:val="0"/>
        <w:autoSpaceDN w:val="0"/>
        <w:adjustRightInd w:val="0"/>
        <w:spacing w:line="480" w:lineRule="auto"/>
        <w:ind w:left="567" w:hanging="567"/>
      </w:pPr>
      <w:r w:rsidRPr="00252B6E">
        <w:rPr>
          <w:i/>
          <w:iCs/>
        </w:rPr>
        <w:t>Small Change, Big Difference: healthier choices for life</w:t>
      </w:r>
      <w:r w:rsidRPr="00252B6E">
        <w:t>. London: Department of Health</w:t>
      </w:r>
      <w:r>
        <w:t xml:space="preserve"> </w:t>
      </w:r>
      <w:hyperlink r:id="rId10" w:history="1">
        <w:r w:rsidRPr="00056481">
          <w:rPr>
            <w:rStyle w:val="Hyperlink"/>
          </w:rPr>
          <w:t>http://www.dh.gov.uk/en/Publicationsandstatistics/Publications/PublicationsPolicyAndGuidance/DH_075758</w:t>
        </w:r>
      </w:hyperlink>
      <w:r>
        <w:rPr>
          <w:rStyle w:val="HTMLCite"/>
          <w:color w:val="000000"/>
        </w:rPr>
        <w:t xml:space="preserve"> </w:t>
      </w:r>
    </w:p>
    <w:p w:rsidR="008F67D0" w:rsidRDefault="008F67D0" w:rsidP="00511A72">
      <w:pPr>
        <w:autoSpaceDE w:val="0"/>
        <w:autoSpaceDN w:val="0"/>
        <w:adjustRightInd w:val="0"/>
        <w:spacing w:line="480" w:lineRule="auto"/>
        <w:ind w:left="567" w:hanging="567"/>
      </w:pPr>
      <w:r w:rsidRPr="000145AE">
        <w:t xml:space="preserve">Department of Health. (2007). </w:t>
      </w:r>
      <w:r w:rsidRPr="000145AE">
        <w:rPr>
          <w:i/>
          <w:iCs/>
        </w:rPr>
        <w:t>Safe.  Sensible. Social.  The Next Steps in the National Alcohol Strategy</w:t>
      </w:r>
      <w:r w:rsidRPr="000145AE">
        <w:t>. London: Department of Health.</w:t>
      </w:r>
      <w:r>
        <w:t xml:space="preserve"> </w:t>
      </w:r>
      <w:hyperlink r:id="rId11" w:history="1">
        <w:r w:rsidRPr="00056481">
          <w:rPr>
            <w:rStyle w:val="Hyperlink"/>
          </w:rPr>
          <w:t>http://www.dh.gov.uk/en/Publicationsandstatistics/Publications/PublicationsPolicyandGuidance/DH_075218</w:t>
        </w:r>
      </w:hyperlink>
      <w:r>
        <w:rPr>
          <w:rStyle w:val="HTMLCite"/>
          <w:color w:val="000000"/>
        </w:rPr>
        <w:t xml:space="preserve"> </w:t>
      </w:r>
    </w:p>
    <w:p w:rsidR="00924570" w:rsidRDefault="00924570" w:rsidP="00511A72">
      <w:pPr>
        <w:autoSpaceDE w:val="0"/>
        <w:autoSpaceDN w:val="0"/>
        <w:adjustRightInd w:val="0"/>
        <w:spacing w:line="480" w:lineRule="auto"/>
        <w:ind w:left="567" w:hanging="567"/>
      </w:pPr>
      <w:r w:rsidRPr="009447FB">
        <w:t xml:space="preserve">Hastings, G. (2007). </w:t>
      </w:r>
      <w:r w:rsidRPr="009447FB">
        <w:rPr>
          <w:i/>
          <w:iCs/>
        </w:rPr>
        <w:t>Socia</w:t>
      </w:r>
      <w:r>
        <w:rPr>
          <w:i/>
          <w:iCs/>
        </w:rPr>
        <w:t>l Marketing: Why Should the Dev</w:t>
      </w:r>
      <w:r w:rsidRPr="009447FB">
        <w:rPr>
          <w:i/>
          <w:iCs/>
        </w:rPr>
        <w:t>il Have All The Best Tunes?</w:t>
      </w:r>
      <w:r w:rsidRPr="009447FB">
        <w:t xml:space="preserve"> Oxford: Elsevier / Butterworth Heinemann.</w:t>
      </w:r>
    </w:p>
    <w:p w:rsidR="00511A72" w:rsidRDefault="00511A72" w:rsidP="00511A72">
      <w:pPr>
        <w:autoSpaceDE w:val="0"/>
        <w:autoSpaceDN w:val="0"/>
        <w:adjustRightInd w:val="0"/>
        <w:spacing w:line="480" w:lineRule="auto"/>
        <w:ind w:left="567" w:hanging="567"/>
      </w:pPr>
      <w:r w:rsidRPr="000145AE">
        <w:t>Jamoulle, S. (2006). Do Health Warnings Prevent Alcohol Ab</w:t>
      </w:r>
      <w:r>
        <w:t>u</w:t>
      </w:r>
      <w:r w:rsidRPr="000145AE">
        <w:t xml:space="preserve">se? </w:t>
      </w:r>
      <w:r w:rsidRPr="000145AE">
        <w:rPr>
          <w:i/>
          <w:iCs/>
        </w:rPr>
        <w:t>Finweek</w:t>
      </w:r>
      <w:r w:rsidRPr="000145AE">
        <w:t>(24 August), 60.</w:t>
      </w:r>
    </w:p>
    <w:p w:rsidR="00924570" w:rsidRPr="00511A72" w:rsidRDefault="00924570" w:rsidP="00511A72">
      <w:pPr>
        <w:autoSpaceDE w:val="0"/>
        <w:autoSpaceDN w:val="0"/>
        <w:adjustRightInd w:val="0"/>
        <w:spacing w:line="480" w:lineRule="auto"/>
        <w:ind w:left="567" w:hanging="567"/>
      </w:pPr>
      <w:r w:rsidRPr="00C73AD3">
        <w:t xml:space="preserve">Jessop, D. C., &amp; Wade, J. (2008). Fear appeals and binge drinking: a terror management theory perspective. </w:t>
      </w:r>
      <w:r w:rsidRPr="00C73AD3">
        <w:rPr>
          <w:i/>
          <w:iCs/>
        </w:rPr>
        <w:t>British Journal of Health Psychology, 13</w:t>
      </w:r>
      <w:r w:rsidRPr="00C73AD3">
        <w:t>(Pt 4), 773-788.</w:t>
      </w:r>
    </w:p>
    <w:p w:rsidR="00924570" w:rsidRDefault="00924570" w:rsidP="00511A72">
      <w:pPr>
        <w:autoSpaceDE w:val="0"/>
        <w:autoSpaceDN w:val="0"/>
        <w:adjustRightInd w:val="0"/>
        <w:spacing w:line="480" w:lineRule="auto"/>
        <w:ind w:left="567" w:hanging="567"/>
      </w:pPr>
      <w:r w:rsidRPr="004E2DE8">
        <w:rPr>
          <w:lang w:val="pt-PT"/>
        </w:rPr>
        <w:t xml:space="preserve">Kotler, P., Roberto, N., &amp; Lee, N. (2002). </w:t>
      </w:r>
      <w:r w:rsidRPr="004E2DE8">
        <w:rPr>
          <w:i/>
          <w:iCs/>
        </w:rPr>
        <w:t>Social Marketing.  Improving the Quality of Life</w:t>
      </w:r>
      <w:r w:rsidRPr="004E2DE8">
        <w:t>. Thous</w:t>
      </w:r>
      <w:r w:rsidR="00511A72">
        <w:t>and Oaks, CA: Sage Publications</w:t>
      </w:r>
    </w:p>
    <w:p w:rsidR="008F67D0" w:rsidRDefault="008F67D0" w:rsidP="00511A72">
      <w:pPr>
        <w:autoSpaceDE w:val="0"/>
        <w:autoSpaceDN w:val="0"/>
        <w:adjustRightInd w:val="0"/>
        <w:spacing w:line="480" w:lineRule="auto"/>
        <w:ind w:left="567" w:hanging="567"/>
      </w:pPr>
      <w:r w:rsidRPr="006D3FB9">
        <w:t xml:space="preserve">Lefebvre, C. R. (2006). Partnerships for Social Marketing Programs: An Example from the National Bone Health Campaign. </w:t>
      </w:r>
      <w:r w:rsidRPr="006D3FB9">
        <w:rPr>
          <w:i/>
          <w:iCs/>
        </w:rPr>
        <w:t>Social Marketing Quarterly, 12</w:t>
      </w:r>
      <w:r w:rsidR="00511A72">
        <w:t>(1), 41-54</w:t>
      </w:r>
    </w:p>
    <w:p w:rsidR="00924570" w:rsidRDefault="00924570" w:rsidP="00511A72">
      <w:pPr>
        <w:autoSpaceDE w:val="0"/>
        <w:autoSpaceDN w:val="0"/>
        <w:adjustRightInd w:val="0"/>
        <w:spacing w:line="480" w:lineRule="auto"/>
        <w:ind w:left="567" w:hanging="567"/>
      </w:pPr>
      <w:r w:rsidRPr="00DC0B76">
        <w:t xml:space="preserve">Majestic, E. (2009). Public health's inconvenient truth: the need to create partnerships with the business sector. </w:t>
      </w:r>
      <w:r w:rsidRPr="00DC0B76">
        <w:rPr>
          <w:i/>
          <w:iCs/>
        </w:rPr>
        <w:t>Preventing Chronic Disease, 6</w:t>
      </w:r>
      <w:r w:rsidRPr="00DC0B76">
        <w:t>(2), A39-</w:t>
      </w:r>
      <w:r w:rsidR="00511A72">
        <w:t>A39</w:t>
      </w:r>
    </w:p>
    <w:p w:rsidR="00924570" w:rsidRDefault="00924570" w:rsidP="00511A72">
      <w:pPr>
        <w:autoSpaceDE w:val="0"/>
        <w:autoSpaceDN w:val="0"/>
        <w:adjustRightInd w:val="0"/>
        <w:spacing w:line="480" w:lineRule="auto"/>
        <w:ind w:left="567" w:hanging="567"/>
      </w:pPr>
      <w:r w:rsidRPr="00F26223">
        <w:t xml:space="preserve">Marketing Week (2007). One in 12 UK alcohol ads 'non compliant' with EFRD guidelines. </w:t>
      </w:r>
      <w:r w:rsidRPr="00F26223">
        <w:rPr>
          <w:i/>
          <w:iCs/>
        </w:rPr>
        <w:t>Marketing Week (01419285), 30</w:t>
      </w:r>
      <w:r w:rsidR="00511A72">
        <w:t>(15), 4-4</w:t>
      </w:r>
    </w:p>
    <w:p w:rsidR="008F67D0" w:rsidRPr="00924570" w:rsidRDefault="008F67D0" w:rsidP="00511A72">
      <w:pPr>
        <w:autoSpaceDE w:val="0"/>
        <w:autoSpaceDN w:val="0"/>
        <w:adjustRightInd w:val="0"/>
        <w:spacing w:line="480" w:lineRule="auto"/>
        <w:ind w:left="567" w:hanging="567"/>
      </w:pPr>
      <w:r w:rsidRPr="000145AE">
        <w:t xml:space="preserve">Marmot, M. G. (2004). Evidence Based Policy or Policy Based Evidence. </w:t>
      </w:r>
      <w:r w:rsidRPr="000145AE">
        <w:rPr>
          <w:i/>
          <w:iCs/>
        </w:rPr>
        <w:t>British Medical Journal (BMJ), 328</w:t>
      </w:r>
      <w:r w:rsidR="00511A72">
        <w:t>(7445), 906 - 907</w:t>
      </w:r>
    </w:p>
    <w:p w:rsidR="008F67D0" w:rsidRDefault="008F67D0" w:rsidP="00511A72">
      <w:pPr>
        <w:autoSpaceDE w:val="0"/>
        <w:autoSpaceDN w:val="0"/>
        <w:adjustRightInd w:val="0"/>
        <w:spacing w:line="480" w:lineRule="auto"/>
        <w:ind w:left="567" w:hanging="567"/>
      </w:pPr>
      <w:r w:rsidRPr="00252B6E">
        <w:t xml:space="preserve">Mastache, C., Mistral, W., Velleman, R., &amp; Templeton, L. (2008). Partnership working in community alcohol prevention programmes. </w:t>
      </w:r>
      <w:r w:rsidRPr="00252B6E">
        <w:rPr>
          <w:i/>
          <w:iCs/>
        </w:rPr>
        <w:t>Drugs: Education, Prevention &amp; Policy, 15</w:t>
      </w:r>
      <w:r w:rsidR="00511A72">
        <w:t>, 4-14</w:t>
      </w:r>
    </w:p>
    <w:p w:rsidR="00924570" w:rsidRPr="00511A72" w:rsidRDefault="00924570" w:rsidP="00511A72">
      <w:pPr>
        <w:autoSpaceDE w:val="0"/>
        <w:autoSpaceDN w:val="0"/>
        <w:adjustRightInd w:val="0"/>
        <w:spacing w:line="480" w:lineRule="auto"/>
        <w:ind w:left="567" w:hanging="567"/>
        <w:rPr>
          <w:rFonts w:ascii="Arial" w:hAnsi="Arial" w:cs="Arial"/>
        </w:rPr>
      </w:pPr>
      <w:r w:rsidRPr="009447FB">
        <w:t xml:space="preserve">Meadley, J., Pollard, R., &amp; Wheeler, M. (2003). </w:t>
      </w:r>
      <w:r w:rsidRPr="009447FB">
        <w:rPr>
          <w:i/>
          <w:iCs/>
        </w:rPr>
        <w:t>Review of DFID Approach to Social Marketing</w:t>
      </w:r>
      <w:r w:rsidRPr="009447FB">
        <w:t>. London: Department for International Development:  Health Systems Resource Centre</w:t>
      </w:r>
    </w:p>
    <w:p w:rsidR="008F67D0" w:rsidRPr="000145AE" w:rsidRDefault="008F67D0" w:rsidP="00511A72">
      <w:pPr>
        <w:autoSpaceDE w:val="0"/>
        <w:autoSpaceDN w:val="0"/>
        <w:adjustRightInd w:val="0"/>
        <w:spacing w:line="480" w:lineRule="auto"/>
        <w:ind w:left="567" w:hanging="567"/>
      </w:pPr>
      <w:r w:rsidRPr="000145AE">
        <w:t xml:space="preserve">Prime Minister's Strategy Unit. (2004). </w:t>
      </w:r>
      <w:r w:rsidRPr="000145AE">
        <w:rPr>
          <w:i/>
          <w:iCs/>
        </w:rPr>
        <w:t>Alcohol Harm Reduction Strategy for England</w:t>
      </w:r>
      <w:r w:rsidR="00511A72">
        <w:t>. London: Cabinet Office</w:t>
      </w:r>
      <w:r w:rsidRPr="000145AE">
        <w:t xml:space="preserve"> </w:t>
      </w:r>
    </w:p>
    <w:p w:rsidR="008F67D0" w:rsidRDefault="008F67D0" w:rsidP="00511A72">
      <w:pPr>
        <w:autoSpaceDE w:val="0"/>
        <w:autoSpaceDN w:val="0"/>
        <w:adjustRightInd w:val="0"/>
        <w:spacing w:line="480" w:lineRule="auto"/>
        <w:ind w:left="567" w:hanging="567"/>
      </w:pPr>
      <w:r w:rsidRPr="002167AD">
        <w:t>Ridley, R. G. (2001</w:t>
      </w:r>
      <w:r>
        <w:t>a</w:t>
      </w:r>
      <w:r w:rsidRPr="002167AD">
        <w:t xml:space="preserve">). Putting the Partnership into Public-Private Partnerships. </w:t>
      </w:r>
      <w:r w:rsidRPr="002167AD">
        <w:rPr>
          <w:i/>
          <w:iCs/>
        </w:rPr>
        <w:t>Bulletin of the World Health Organization, 79</w:t>
      </w:r>
      <w:r w:rsidR="00511A72">
        <w:t>(8), 694</w:t>
      </w:r>
    </w:p>
    <w:p w:rsidR="008F67D0" w:rsidRPr="002167AD" w:rsidRDefault="008F67D0" w:rsidP="00511A72">
      <w:pPr>
        <w:autoSpaceDE w:val="0"/>
        <w:autoSpaceDN w:val="0"/>
        <w:adjustRightInd w:val="0"/>
        <w:spacing w:line="480" w:lineRule="auto"/>
        <w:ind w:left="567" w:hanging="567"/>
      </w:pPr>
      <w:r w:rsidRPr="008F67D0">
        <w:t xml:space="preserve">Ridley, R. G. (2001b). </w:t>
      </w:r>
      <w:r w:rsidRPr="008F67D0">
        <w:rPr>
          <w:rStyle w:val="w1"/>
          <w:color w:val="auto"/>
        </w:rPr>
        <w:t>A Role for P</w:t>
      </w:r>
      <w:r>
        <w:rPr>
          <w:rStyle w:val="w1"/>
          <w:color w:val="auto"/>
        </w:rPr>
        <w:t>ublic-P</w:t>
      </w:r>
      <w:r w:rsidRPr="008F67D0">
        <w:rPr>
          <w:rStyle w:val="w1"/>
          <w:color w:val="auto"/>
        </w:rPr>
        <w:t>rivate Partnerships in Controlling Neglected diseases?</w:t>
      </w:r>
      <w:r w:rsidRPr="008F67D0">
        <w:rPr>
          <w:i/>
          <w:iCs/>
        </w:rPr>
        <w:t xml:space="preserve"> Bulletin of the World Health Organization, 79</w:t>
      </w:r>
      <w:r w:rsidR="00511A72">
        <w:t>(8), pp. 771 – 777</w:t>
      </w:r>
    </w:p>
    <w:p w:rsidR="00924570" w:rsidRDefault="00924570" w:rsidP="00511A72">
      <w:pPr>
        <w:autoSpaceDE w:val="0"/>
        <w:autoSpaceDN w:val="0"/>
        <w:adjustRightInd w:val="0"/>
        <w:spacing w:line="480" w:lineRule="auto"/>
        <w:ind w:left="567" w:hanging="567"/>
      </w:pPr>
      <w:r w:rsidRPr="000145AE">
        <w:t xml:space="preserve">Ringold, D. J. (2002). Boomerang Effect: In Response to Public Health Interventions: Some Unintended Consequences in the Alcoholic Beverage Market. </w:t>
      </w:r>
      <w:r w:rsidRPr="000145AE">
        <w:rPr>
          <w:i/>
          <w:iCs/>
        </w:rPr>
        <w:t>Journal of Consumer Policy, 25</w:t>
      </w:r>
      <w:r w:rsidR="00511A72">
        <w:t>(1), 27-63</w:t>
      </w:r>
    </w:p>
    <w:p w:rsidR="00511A72" w:rsidRDefault="00511A72" w:rsidP="00511A72">
      <w:pPr>
        <w:autoSpaceDE w:val="0"/>
        <w:autoSpaceDN w:val="0"/>
        <w:adjustRightInd w:val="0"/>
        <w:spacing w:line="480" w:lineRule="auto"/>
        <w:ind w:left="567" w:hanging="567"/>
      </w:pPr>
      <w:r w:rsidRPr="00B064A1">
        <w:t xml:space="preserve">Rummel, A., Howard, J., Swinton, J. M., &amp; Seymour, D. B. (2000). You Can't Have That! A Study of Reactance Effects &amp; Children's Consumer Behavior. </w:t>
      </w:r>
      <w:r w:rsidRPr="00B064A1">
        <w:rPr>
          <w:i/>
          <w:iCs/>
        </w:rPr>
        <w:t>Journal of Marketing Theory and Practice, 8</w:t>
      </w:r>
      <w:r>
        <w:t>(1), 38-44</w:t>
      </w:r>
    </w:p>
    <w:p w:rsidR="00511A72" w:rsidRDefault="00511A72" w:rsidP="00511A72">
      <w:pPr>
        <w:autoSpaceDE w:val="0"/>
        <w:autoSpaceDN w:val="0"/>
        <w:adjustRightInd w:val="0"/>
        <w:spacing w:line="480" w:lineRule="auto"/>
        <w:ind w:left="567" w:hanging="567"/>
      </w:pPr>
      <w:r w:rsidRPr="000145AE">
        <w:t xml:space="preserve">Stewart, D. W., &amp; Martin, I. M. (1994). Intended and Unintended Consequences of Warning Messages:  A Review and Synthesis of Empirical Research. </w:t>
      </w:r>
      <w:r w:rsidRPr="000145AE">
        <w:rPr>
          <w:i/>
          <w:iCs/>
        </w:rPr>
        <w:t>Journal of Public Policy &amp; Marketing, 13</w:t>
      </w:r>
      <w:r>
        <w:t>(1), 1 - 19</w:t>
      </w:r>
    </w:p>
    <w:p w:rsidR="008F67D0" w:rsidRDefault="008F67D0" w:rsidP="00511A72">
      <w:pPr>
        <w:autoSpaceDE w:val="0"/>
        <w:autoSpaceDN w:val="0"/>
        <w:adjustRightInd w:val="0"/>
        <w:spacing w:line="480" w:lineRule="auto"/>
        <w:ind w:left="567" w:hanging="567"/>
      </w:pPr>
      <w:r>
        <w:t>T</w:t>
      </w:r>
      <w:r w:rsidRPr="009D40CE">
        <w:t xml:space="preserve">homas, J. (2008). Happily Ever After...? Partnerships in Social Marketing. </w:t>
      </w:r>
      <w:r w:rsidRPr="009D40CE">
        <w:rPr>
          <w:i/>
          <w:iCs/>
        </w:rPr>
        <w:t>Social Marketing Quarterly, 14</w:t>
      </w:r>
      <w:r w:rsidR="00511A72">
        <w:t>(1), 72 - 75</w:t>
      </w:r>
    </w:p>
    <w:p w:rsidR="00511A72" w:rsidRDefault="00511A72" w:rsidP="00511A72">
      <w:pPr>
        <w:autoSpaceDE w:val="0"/>
        <w:autoSpaceDN w:val="0"/>
        <w:adjustRightInd w:val="0"/>
        <w:spacing w:line="480" w:lineRule="auto"/>
        <w:ind w:left="567" w:hanging="567"/>
      </w:pPr>
      <w:r w:rsidRPr="001B6489">
        <w:t xml:space="preserve">Wall, A. P. (2007). Government "demarketing" as viewed by its target audience. </w:t>
      </w:r>
      <w:r w:rsidRPr="001B6489">
        <w:rPr>
          <w:i/>
          <w:iCs/>
        </w:rPr>
        <w:t>Marketing Intelligence &amp; Planning, 25</w:t>
      </w:r>
      <w:r w:rsidRPr="001B6489">
        <w:t>(2), 123-135</w:t>
      </w:r>
    </w:p>
    <w:p w:rsidR="00924570" w:rsidRDefault="008F67D0" w:rsidP="00511A72">
      <w:pPr>
        <w:autoSpaceDE w:val="0"/>
        <w:autoSpaceDN w:val="0"/>
        <w:adjustRightInd w:val="0"/>
        <w:spacing w:line="480" w:lineRule="auto"/>
        <w:ind w:left="567" w:hanging="567"/>
      </w:pPr>
      <w:r w:rsidRPr="00817CBF">
        <w:t>Widdus, R. (2001). Public-Private Partnerships for Hea</w:t>
      </w:r>
      <w:r>
        <w:t>l</w:t>
      </w:r>
      <w:r w:rsidRPr="00817CBF">
        <w:t xml:space="preserve">th:  Their Main Targets, Their Diversity, and Their Future Directions. </w:t>
      </w:r>
      <w:r w:rsidRPr="00817CBF">
        <w:rPr>
          <w:i/>
          <w:iCs/>
        </w:rPr>
        <w:t>Bulletin of the World Health Organization, 79</w:t>
      </w:r>
      <w:r w:rsidR="00924570">
        <w:t>(8), 713 – 734</w:t>
      </w:r>
    </w:p>
    <w:p w:rsidR="00C853D7" w:rsidRPr="00817CBF" w:rsidRDefault="00924570" w:rsidP="00511A72">
      <w:pPr>
        <w:autoSpaceDE w:val="0"/>
        <w:autoSpaceDN w:val="0"/>
        <w:adjustRightInd w:val="0"/>
        <w:spacing w:line="480" w:lineRule="auto"/>
        <w:ind w:left="567" w:hanging="567"/>
      </w:pPr>
      <w:r w:rsidRPr="000145AE">
        <w:t xml:space="preserve">Wolburg, J. M. (2005). How Responsible are "Responsible" Drinking Campaigns for Preventing Alcohol Abuse? </w:t>
      </w:r>
      <w:r w:rsidRPr="000145AE">
        <w:rPr>
          <w:i/>
          <w:iCs/>
        </w:rPr>
        <w:t>Journal of Consumer Marketing, 22</w:t>
      </w:r>
      <w:r>
        <w:t>(4), 176-177</w:t>
      </w:r>
    </w:p>
    <w:sectPr w:rsidR="00C853D7" w:rsidRPr="00817CBF" w:rsidSect="006E1C42">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2E" w:rsidRDefault="004E0E2E" w:rsidP="00C853D7">
      <w:r>
        <w:separator/>
      </w:r>
    </w:p>
  </w:endnote>
  <w:endnote w:type="continuationSeparator" w:id="0">
    <w:p w:rsidR="004E0E2E" w:rsidRDefault="004E0E2E" w:rsidP="00C85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2E" w:rsidRDefault="004E0E2E" w:rsidP="00C853D7">
      <w:r>
        <w:separator/>
      </w:r>
    </w:p>
  </w:footnote>
  <w:footnote w:type="continuationSeparator" w:id="0">
    <w:p w:rsidR="004E0E2E" w:rsidRDefault="004E0E2E" w:rsidP="00C85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DC1610"/>
    <w:lvl w:ilvl="0">
      <w:start w:val="1"/>
      <w:numFmt w:val="bullet"/>
      <w:lvlText w:val=""/>
      <w:lvlJc w:val="left"/>
      <w:pPr>
        <w:tabs>
          <w:tab w:val="num" w:pos="360"/>
        </w:tabs>
        <w:ind w:left="360" w:hanging="360"/>
      </w:pPr>
      <w:rPr>
        <w:rFonts w:ascii="Symbol" w:hAnsi="Symbol" w:hint="default"/>
      </w:rPr>
    </w:lvl>
  </w:abstractNum>
  <w:abstractNum w:abstractNumId="1">
    <w:nsid w:val="0800164C"/>
    <w:multiLevelType w:val="hybridMultilevel"/>
    <w:tmpl w:val="0CBCF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E52FA3"/>
    <w:multiLevelType w:val="hybridMultilevel"/>
    <w:tmpl w:val="5F3866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852C3C"/>
    <w:multiLevelType w:val="hybridMultilevel"/>
    <w:tmpl w:val="89CCDEB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0449F6"/>
    <w:multiLevelType w:val="hybridMultilevel"/>
    <w:tmpl w:val="AD24B6A0"/>
    <w:lvl w:ilvl="0" w:tplc="D9C641C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B6589"/>
    <w:multiLevelType w:val="hybridMultilevel"/>
    <w:tmpl w:val="D006F130"/>
    <w:lvl w:ilvl="0" w:tplc="272AE3E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46217"/>
    <w:multiLevelType w:val="hybridMultilevel"/>
    <w:tmpl w:val="9C9C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975D7"/>
    <w:multiLevelType w:val="hybridMultilevel"/>
    <w:tmpl w:val="E752DB24"/>
    <w:lvl w:ilvl="0" w:tplc="A2B6B3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E4B7E"/>
    <w:multiLevelType w:val="hybridMultilevel"/>
    <w:tmpl w:val="D1486DE2"/>
    <w:lvl w:ilvl="0" w:tplc="66924AFA">
      <w:start w:val="200"/>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F1666"/>
    <w:multiLevelType w:val="hybridMultilevel"/>
    <w:tmpl w:val="00AE8CE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F2F4241"/>
    <w:multiLevelType w:val="hybridMultilevel"/>
    <w:tmpl w:val="E9F6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CB1792"/>
    <w:multiLevelType w:val="hybridMultilevel"/>
    <w:tmpl w:val="BE38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241F5"/>
    <w:multiLevelType w:val="hybridMultilevel"/>
    <w:tmpl w:val="21DAE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C51C49"/>
    <w:multiLevelType w:val="hybridMultilevel"/>
    <w:tmpl w:val="9C12F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4"/>
  </w:num>
  <w:num w:numId="6">
    <w:abstractNumId w:val="7"/>
  </w:num>
  <w:num w:numId="7">
    <w:abstractNumId w:val="11"/>
  </w:num>
  <w:num w:numId="8">
    <w:abstractNumId w:val="2"/>
  </w:num>
  <w:num w:numId="9">
    <w:abstractNumId w:val="13"/>
  </w:num>
  <w:num w:numId="10">
    <w:abstractNumId w:val="3"/>
  </w:num>
  <w:num w:numId="11">
    <w:abstractNumId w:val="10"/>
  </w:num>
  <w:num w:numId="12">
    <w:abstractNumId w:val="12"/>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4" w:dllVersion="131078" w:nlCheck="1" w:checkStyle="1"/>
  <w:activeWritingStyle w:appName="MSWord" w:lang="en-GB"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D5275"/>
    <w:rsid w:val="00020681"/>
    <w:rsid w:val="000615A0"/>
    <w:rsid w:val="000B08D0"/>
    <w:rsid w:val="000B317C"/>
    <w:rsid w:val="000C1AEE"/>
    <w:rsid w:val="00151F34"/>
    <w:rsid w:val="002107E3"/>
    <w:rsid w:val="002118C9"/>
    <w:rsid w:val="00236733"/>
    <w:rsid w:val="002437A6"/>
    <w:rsid w:val="002A172E"/>
    <w:rsid w:val="0030507D"/>
    <w:rsid w:val="003320E2"/>
    <w:rsid w:val="003904A9"/>
    <w:rsid w:val="003E32BF"/>
    <w:rsid w:val="00420334"/>
    <w:rsid w:val="00432713"/>
    <w:rsid w:val="00462318"/>
    <w:rsid w:val="004D3D19"/>
    <w:rsid w:val="004E0E2E"/>
    <w:rsid w:val="00511A72"/>
    <w:rsid w:val="00527F4A"/>
    <w:rsid w:val="00540E2D"/>
    <w:rsid w:val="00587251"/>
    <w:rsid w:val="005B65B3"/>
    <w:rsid w:val="00637528"/>
    <w:rsid w:val="006E1C42"/>
    <w:rsid w:val="007070EF"/>
    <w:rsid w:val="00743933"/>
    <w:rsid w:val="007663B2"/>
    <w:rsid w:val="007B4D82"/>
    <w:rsid w:val="007F43E0"/>
    <w:rsid w:val="00810E7B"/>
    <w:rsid w:val="0087274A"/>
    <w:rsid w:val="008B02BD"/>
    <w:rsid w:val="008F426A"/>
    <w:rsid w:val="008F67D0"/>
    <w:rsid w:val="00924570"/>
    <w:rsid w:val="0097195E"/>
    <w:rsid w:val="00994911"/>
    <w:rsid w:val="009C72DF"/>
    <w:rsid w:val="009D5275"/>
    <w:rsid w:val="009E075B"/>
    <w:rsid w:val="009F756E"/>
    <w:rsid w:val="00A8605D"/>
    <w:rsid w:val="00AF21BE"/>
    <w:rsid w:val="00B00A44"/>
    <w:rsid w:val="00B03D23"/>
    <w:rsid w:val="00C853D7"/>
    <w:rsid w:val="00D07722"/>
    <w:rsid w:val="00D57573"/>
    <w:rsid w:val="00E37DFE"/>
    <w:rsid w:val="00E96A04"/>
    <w:rsid w:val="00EE1AA2"/>
    <w:rsid w:val="00F768D3"/>
    <w:rsid w:val="00FD07E6"/>
    <w:rsid w:val="00FD247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D617C"/>
  </w:style>
  <w:style w:type="paragraph" w:styleId="Heading1">
    <w:name w:val="heading 1"/>
    <w:basedOn w:val="Normal"/>
    <w:next w:val="Normal"/>
    <w:link w:val="Heading1Char"/>
    <w:uiPriority w:val="9"/>
    <w:qFormat/>
    <w:rsid w:val="008B02BD"/>
    <w:pPr>
      <w:keepNext/>
      <w:keepLines/>
      <w:spacing w:before="480"/>
      <w:jc w:val="center"/>
      <w:outlineLvl w:val="0"/>
    </w:pPr>
    <w:rPr>
      <w:rFonts w:ascii="Times New Roman" w:eastAsiaTheme="majorEastAsia" w:hAnsi="Times New Roman" w:cstheme="majorBidi"/>
      <w:b/>
      <w:bCs/>
      <w:szCs w:val="32"/>
      <w:lang w:val="en-GB"/>
    </w:rPr>
  </w:style>
  <w:style w:type="paragraph" w:styleId="Heading2">
    <w:name w:val="heading 2"/>
    <w:basedOn w:val="Normal"/>
    <w:next w:val="Normal"/>
    <w:link w:val="Heading2Char"/>
    <w:uiPriority w:val="9"/>
    <w:unhideWhenUsed/>
    <w:qFormat/>
    <w:rsid w:val="008B02BD"/>
    <w:pPr>
      <w:spacing w:line="480" w:lineRule="auto"/>
      <w:jc w:val="both"/>
      <w:outlineLvl w:val="1"/>
    </w:pPr>
    <w:rPr>
      <w:rFonts w:ascii="Times New Roman" w:hAnsi="Times New Roman"/>
      <w:b/>
    </w:rPr>
  </w:style>
  <w:style w:type="paragraph" w:styleId="Heading3">
    <w:name w:val="heading 3"/>
    <w:basedOn w:val="Normal"/>
    <w:next w:val="Normal"/>
    <w:link w:val="Heading3Char"/>
    <w:uiPriority w:val="9"/>
    <w:unhideWhenUsed/>
    <w:qFormat/>
    <w:rsid w:val="009D5275"/>
    <w:pPr>
      <w:keepNext/>
      <w:keepLines/>
      <w:spacing w:before="200"/>
      <w:outlineLvl w:val="2"/>
    </w:pPr>
    <w:rPr>
      <w:rFonts w:eastAsiaTheme="majorEastAsia" w:cstheme="majorBidi"/>
      <w:bCs/>
      <w:i/>
    </w:rPr>
  </w:style>
  <w:style w:type="paragraph" w:styleId="Heading4">
    <w:name w:val="heading 4"/>
    <w:basedOn w:val="Normal"/>
    <w:next w:val="Normal"/>
    <w:link w:val="Heading4Char"/>
    <w:uiPriority w:val="9"/>
    <w:unhideWhenUsed/>
    <w:qFormat/>
    <w:rsid w:val="009D5275"/>
    <w:pPr>
      <w:keepNext/>
      <w:keepLines/>
      <w:spacing w:before="200"/>
      <w:ind w:firstLine="284"/>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275"/>
    <w:rPr>
      <w:color w:val="0000FF" w:themeColor="hyperlink"/>
      <w:u w:val="single"/>
    </w:rPr>
  </w:style>
  <w:style w:type="character" w:customStyle="1" w:styleId="Heading1Char">
    <w:name w:val="Heading 1 Char"/>
    <w:basedOn w:val="DefaultParagraphFont"/>
    <w:link w:val="Heading1"/>
    <w:uiPriority w:val="9"/>
    <w:rsid w:val="008B02BD"/>
    <w:rPr>
      <w:rFonts w:ascii="Times New Roman" w:eastAsiaTheme="majorEastAsia" w:hAnsi="Times New Roman" w:cstheme="majorBidi"/>
      <w:b/>
      <w:bCs/>
      <w:szCs w:val="32"/>
      <w:lang w:val="en-GB"/>
    </w:rPr>
  </w:style>
  <w:style w:type="character" w:customStyle="1" w:styleId="Heading2Char">
    <w:name w:val="Heading 2 Char"/>
    <w:basedOn w:val="DefaultParagraphFont"/>
    <w:link w:val="Heading2"/>
    <w:uiPriority w:val="9"/>
    <w:rsid w:val="008B02BD"/>
    <w:rPr>
      <w:rFonts w:ascii="Times New Roman" w:hAnsi="Times New Roman"/>
      <w:b/>
    </w:rPr>
  </w:style>
  <w:style w:type="character" w:customStyle="1" w:styleId="Heading3Char">
    <w:name w:val="Heading 3 Char"/>
    <w:basedOn w:val="DefaultParagraphFont"/>
    <w:link w:val="Heading3"/>
    <w:uiPriority w:val="9"/>
    <w:rsid w:val="009D5275"/>
    <w:rPr>
      <w:rFonts w:eastAsiaTheme="majorEastAsia" w:cstheme="majorBidi"/>
      <w:bCs/>
      <w:i/>
    </w:rPr>
  </w:style>
  <w:style w:type="character" w:customStyle="1" w:styleId="Heading4Char">
    <w:name w:val="Heading 4 Char"/>
    <w:basedOn w:val="DefaultParagraphFont"/>
    <w:link w:val="Heading4"/>
    <w:uiPriority w:val="9"/>
    <w:rsid w:val="009D5275"/>
    <w:rPr>
      <w:rFonts w:eastAsiaTheme="majorEastAsia" w:cstheme="majorBidi"/>
      <w:bCs/>
      <w:iCs/>
    </w:rPr>
  </w:style>
  <w:style w:type="paragraph" w:styleId="ListParagraph">
    <w:name w:val="List Paragraph"/>
    <w:basedOn w:val="Normal"/>
    <w:uiPriority w:val="34"/>
    <w:qFormat/>
    <w:rsid w:val="00540E2D"/>
    <w:pPr>
      <w:spacing w:after="200" w:line="276" w:lineRule="auto"/>
      <w:ind w:left="720"/>
      <w:contextualSpacing/>
    </w:pPr>
    <w:rPr>
      <w:sz w:val="22"/>
      <w:szCs w:val="22"/>
      <w:lang w:val="en-GB"/>
    </w:rPr>
  </w:style>
  <w:style w:type="table" w:styleId="TableGrid">
    <w:name w:val="Table Grid"/>
    <w:basedOn w:val="TableNormal"/>
    <w:rsid w:val="009F75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9F756E"/>
    <w:pPr>
      <w:spacing w:after="200"/>
    </w:pPr>
    <w:rPr>
      <w:b/>
      <w:bCs/>
      <w:color w:val="4F81BD" w:themeColor="accent1"/>
      <w:sz w:val="18"/>
      <w:szCs w:val="18"/>
    </w:rPr>
  </w:style>
  <w:style w:type="paragraph" w:styleId="DocumentMap">
    <w:name w:val="Document Map"/>
    <w:basedOn w:val="Normal"/>
    <w:link w:val="DocumentMapChar"/>
    <w:uiPriority w:val="99"/>
    <w:semiHidden/>
    <w:unhideWhenUsed/>
    <w:rsid w:val="00D57573"/>
    <w:rPr>
      <w:rFonts w:ascii="Tahoma" w:hAnsi="Tahoma" w:cs="Tahoma"/>
      <w:sz w:val="16"/>
      <w:szCs w:val="16"/>
    </w:rPr>
  </w:style>
  <w:style w:type="character" w:customStyle="1" w:styleId="DocumentMapChar">
    <w:name w:val="Document Map Char"/>
    <w:basedOn w:val="DefaultParagraphFont"/>
    <w:link w:val="DocumentMap"/>
    <w:uiPriority w:val="99"/>
    <w:semiHidden/>
    <w:rsid w:val="00D57573"/>
    <w:rPr>
      <w:rFonts w:ascii="Tahoma" w:hAnsi="Tahoma" w:cs="Tahoma"/>
      <w:sz w:val="16"/>
      <w:szCs w:val="16"/>
    </w:rPr>
  </w:style>
  <w:style w:type="paragraph" w:styleId="BalloonText">
    <w:name w:val="Balloon Text"/>
    <w:basedOn w:val="Normal"/>
    <w:link w:val="BalloonTextChar"/>
    <w:uiPriority w:val="99"/>
    <w:semiHidden/>
    <w:unhideWhenUsed/>
    <w:rsid w:val="00810E7B"/>
    <w:rPr>
      <w:rFonts w:ascii="Tahoma" w:hAnsi="Tahoma" w:cs="Tahoma"/>
      <w:sz w:val="16"/>
      <w:szCs w:val="16"/>
    </w:rPr>
  </w:style>
  <w:style w:type="character" w:customStyle="1" w:styleId="BalloonTextChar">
    <w:name w:val="Balloon Text Char"/>
    <w:basedOn w:val="DefaultParagraphFont"/>
    <w:link w:val="BalloonText"/>
    <w:uiPriority w:val="99"/>
    <w:semiHidden/>
    <w:rsid w:val="00810E7B"/>
    <w:rPr>
      <w:rFonts w:ascii="Tahoma" w:hAnsi="Tahoma" w:cs="Tahoma"/>
      <w:sz w:val="16"/>
      <w:szCs w:val="16"/>
    </w:rPr>
  </w:style>
  <w:style w:type="character" w:customStyle="1" w:styleId="name">
    <w:name w:val="name"/>
    <w:basedOn w:val="DefaultParagraphFont"/>
    <w:rsid w:val="00810E7B"/>
  </w:style>
  <w:style w:type="character" w:customStyle="1" w:styleId="forenames">
    <w:name w:val="forenames"/>
    <w:basedOn w:val="DefaultParagraphFont"/>
    <w:rsid w:val="00810E7B"/>
  </w:style>
  <w:style w:type="character" w:customStyle="1" w:styleId="smallcapitals3">
    <w:name w:val="smallcapitals3"/>
    <w:basedOn w:val="DefaultParagraphFont"/>
    <w:rsid w:val="00810E7B"/>
    <w:rPr>
      <w:smallCaps/>
    </w:rPr>
  </w:style>
  <w:style w:type="character" w:customStyle="1" w:styleId="surname">
    <w:name w:val="surname"/>
    <w:basedOn w:val="DefaultParagraphFont"/>
    <w:rsid w:val="00810E7B"/>
  </w:style>
  <w:style w:type="character" w:customStyle="1" w:styleId="surnameprefix">
    <w:name w:val="surnameprefix"/>
    <w:basedOn w:val="DefaultParagraphFont"/>
    <w:rsid w:val="00810E7B"/>
  </w:style>
  <w:style w:type="character" w:customStyle="1" w:styleId="address">
    <w:name w:val="address"/>
    <w:basedOn w:val="DefaultParagraphFont"/>
    <w:rsid w:val="00810E7B"/>
  </w:style>
  <w:style w:type="character" w:customStyle="1" w:styleId="number3">
    <w:name w:val="number3"/>
    <w:basedOn w:val="DefaultParagraphFont"/>
    <w:rsid w:val="00810E7B"/>
  </w:style>
  <w:style w:type="character" w:styleId="Strong">
    <w:name w:val="Strong"/>
    <w:basedOn w:val="DefaultParagraphFont"/>
    <w:uiPriority w:val="22"/>
    <w:qFormat/>
    <w:rsid w:val="00810E7B"/>
    <w:rPr>
      <w:b/>
      <w:bCs/>
    </w:rPr>
  </w:style>
  <w:style w:type="paragraph" w:styleId="BodyText3">
    <w:name w:val="Body Text 3"/>
    <w:basedOn w:val="Normal"/>
    <w:link w:val="BodyText3Char"/>
    <w:rsid w:val="006E1C42"/>
    <w:pPr>
      <w:jc w:val="center"/>
    </w:pPr>
    <w:rPr>
      <w:rFonts w:ascii="Arial" w:eastAsia="Times" w:hAnsi="Arial" w:cs="Times New Roman"/>
      <w:b/>
      <w:color w:val="008080"/>
      <w:sz w:val="22"/>
      <w:szCs w:val="20"/>
      <w:lang w:val="en-GB" w:eastAsia="en-GB"/>
    </w:rPr>
  </w:style>
  <w:style w:type="character" w:customStyle="1" w:styleId="BodyText3Char">
    <w:name w:val="Body Text 3 Char"/>
    <w:basedOn w:val="DefaultParagraphFont"/>
    <w:link w:val="BodyText3"/>
    <w:rsid w:val="006E1C42"/>
    <w:rPr>
      <w:rFonts w:ascii="Arial" w:eastAsia="Times" w:hAnsi="Arial" w:cs="Times New Roman"/>
      <w:b/>
      <w:color w:val="008080"/>
      <w:sz w:val="22"/>
      <w:szCs w:val="20"/>
      <w:lang w:val="en-GB" w:eastAsia="en-GB"/>
    </w:rPr>
  </w:style>
  <w:style w:type="paragraph" w:styleId="FootnoteText">
    <w:name w:val="footnote text"/>
    <w:basedOn w:val="Normal"/>
    <w:link w:val="FootnoteTextChar"/>
    <w:semiHidden/>
    <w:rsid w:val="006E1C42"/>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6E1C42"/>
    <w:rPr>
      <w:rFonts w:ascii="Times New Roman" w:eastAsia="Times New Roman" w:hAnsi="Times New Roman" w:cs="Times New Roman"/>
      <w:sz w:val="20"/>
      <w:szCs w:val="20"/>
      <w:lang w:val="en-GB" w:eastAsia="en-GB"/>
    </w:rPr>
  </w:style>
  <w:style w:type="character" w:styleId="PageNumber">
    <w:name w:val="page number"/>
    <w:basedOn w:val="DefaultParagraphFont"/>
    <w:rsid w:val="006E1C42"/>
  </w:style>
  <w:style w:type="character" w:customStyle="1" w:styleId="w1">
    <w:name w:val="w1"/>
    <w:basedOn w:val="DefaultParagraphFont"/>
    <w:rsid w:val="00C853D7"/>
    <w:rPr>
      <w:color w:val="0000CC"/>
    </w:rPr>
  </w:style>
  <w:style w:type="character" w:styleId="HTMLCite">
    <w:name w:val="HTML Cite"/>
    <w:basedOn w:val="DefaultParagraphFont"/>
    <w:rsid w:val="00C853D7"/>
    <w:rPr>
      <w:i/>
      <w:iCs/>
    </w:rPr>
  </w:style>
  <w:style w:type="paragraph" w:styleId="EndnoteText">
    <w:name w:val="endnote text"/>
    <w:basedOn w:val="Normal"/>
    <w:link w:val="EndnoteTextChar"/>
    <w:semiHidden/>
    <w:rsid w:val="00C853D7"/>
    <w:pPr>
      <w:spacing w:after="200"/>
    </w:pPr>
    <w:rPr>
      <w:rFonts w:ascii="Cambria" w:eastAsia="Cambria" w:hAnsi="Cambria" w:cs="Times New Roman"/>
      <w:sz w:val="20"/>
      <w:szCs w:val="20"/>
      <w:lang w:val="en-GB"/>
    </w:rPr>
  </w:style>
  <w:style w:type="character" w:customStyle="1" w:styleId="EndnoteTextChar">
    <w:name w:val="Endnote Text Char"/>
    <w:basedOn w:val="DefaultParagraphFont"/>
    <w:link w:val="EndnoteText"/>
    <w:semiHidden/>
    <w:rsid w:val="00C853D7"/>
    <w:rPr>
      <w:rFonts w:ascii="Cambria" w:eastAsia="Cambria" w:hAnsi="Cambria" w:cs="Times New Roman"/>
      <w:sz w:val="20"/>
      <w:szCs w:val="20"/>
      <w:lang w:val="en-GB"/>
    </w:rPr>
  </w:style>
  <w:style w:type="character" w:styleId="EndnoteReference">
    <w:name w:val="endnote reference"/>
    <w:basedOn w:val="DefaultParagraphFont"/>
    <w:semiHidden/>
    <w:rsid w:val="00C853D7"/>
    <w:rPr>
      <w:vertAlign w:val="superscript"/>
    </w:rPr>
  </w:style>
  <w:style w:type="paragraph" w:customStyle="1" w:styleId="Doublespacedtimes">
    <w:name w:val="Double spaced times"/>
    <w:basedOn w:val="Normal"/>
    <w:qFormat/>
    <w:rsid w:val="002437A6"/>
    <w:pPr>
      <w:spacing w:line="480" w:lineRule="auto"/>
      <w:ind w:right="284"/>
      <w:jc w:val="both"/>
    </w:pPr>
    <w:rPr>
      <w:rFonts w:ascii="Times New Roman" w:hAnsi="Times New Roman" w:cs="Arial"/>
    </w:rPr>
  </w:style>
</w:styles>
</file>

<file path=word/webSettings.xml><?xml version="1.0" encoding="utf-8"?>
<w:webSettings xmlns:r="http://schemas.openxmlformats.org/officeDocument/2006/relationships" xmlns:w="http://schemas.openxmlformats.org/wordprocessingml/2006/main">
  <w:divs>
    <w:div w:id="885993217">
      <w:bodyDiv w:val="1"/>
      <w:marLeft w:val="3"/>
      <w:marRight w:val="3"/>
      <w:marTop w:val="0"/>
      <w:marBottom w:val="0"/>
      <w:divBdr>
        <w:top w:val="none" w:sz="0" w:space="0" w:color="auto"/>
        <w:left w:val="none" w:sz="0" w:space="0" w:color="auto"/>
        <w:bottom w:val="none" w:sz="0" w:space="0" w:color="auto"/>
        <w:right w:val="none" w:sz="0" w:space="0" w:color="auto"/>
      </w:divBdr>
      <w:divsChild>
        <w:div w:id="1546404706">
          <w:marLeft w:val="0"/>
          <w:marRight w:val="0"/>
          <w:marTop w:val="96"/>
          <w:marBottom w:val="0"/>
          <w:divBdr>
            <w:top w:val="none" w:sz="0" w:space="0" w:color="auto"/>
            <w:left w:val="none" w:sz="0" w:space="0" w:color="auto"/>
            <w:bottom w:val="none" w:sz="0" w:space="0" w:color="auto"/>
            <w:right w:val="none" w:sz="0" w:space="0" w:color="auto"/>
          </w:divBdr>
          <w:divsChild>
            <w:div w:id="1673987161">
              <w:marLeft w:val="0"/>
              <w:marRight w:val="0"/>
              <w:marTop w:val="0"/>
              <w:marBottom w:val="0"/>
              <w:divBdr>
                <w:top w:val="none" w:sz="0" w:space="0" w:color="auto"/>
                <w:left w:val="none" w:sz="0" w:space="0" w:color="auto"/>
                <w:bottom w:val="none" w:sz="0" w:space="0" w:color="auto"/>
                <w:right w:val="none" w:sz="0" w:space="0" w:color="auto"/>
              </w:divBdr>
              <w:divsChild>
                <w:div w:id="1406149680">
                  <w:marLeft w:val="0"/>
                  <w:marRight w:val="0"/>
                  <w:marTop w:val="0"/>
                  <w:marBottom w:val="0"/>
                  <w:divBdr>
                    <w:top w:val="none" w:sz="0" w:space="0" w:color="auto"/>
                    <w:left w:val="none" w:sz="0" w:space="0" w:color="auto"/>
                    <w:bottom w:val="none" w:sz="0" w:space="0" w:color="auto"/>
                    <w:right w:val="none" w:sz="0" w:space="0" w:color="auto"/>
                  </w:divBdr>
                  <w:divsChild>
                    <w:div w:id="484972735">
                      <w:marLeft w:val="0"/>
                      <w:marRight w:val="0"/>
                      <w:marTop w:val="0"/>
                      <w:marBottom w:val="0"/>
                      <w:divBdr>
                        <w:top w:val="none" w:sz="0" w:space="0" w:color="auto"/>
                        <w:left w:val="none" w:sz="0" w:space="0" w:color="auto"/>
                        <w:bottom w:val="none" w:sz="0" w:space="0" w:color="auto"/>
                        <w:right w:val="none" w:sz="0" w:space="0" w:color="auto"/>
                      </w:divBdr>
                      <w:divsChild>
                        <w:div w:id="1296981139">
                          <w:marLeft w:val="0"/>
                          <w:marRight w:val="0"/>
                          <w:marTop w:val="0"/>
                          <w:marBottom w:val="0"/>
                          <w:divBdr>
                            <w:top w:val="none" w:sz="0" w:space="0" w:color="auto"/>
                            <w:left w:val="none" w:sz="0" w:space="0" w:color="auto"/>
                            <w:bottom w:val="none" w:sz="0" w:space="0" w:color="auto"/>
                            <w:right w:val="none" w:sz="0" w:space="0" w:color="auto"/>
                          </w:divBdr>
                          <w:divsChild>
                            <w:div w:id="1251352049">
                              <w:marLeft w:val="0"/>
                              <w:marRight w:val="0"/>
                              <w:marTop w:val="0"/>
                              <w:marBottom w:val="240"/>
                              <w:divBdr>
                                <w:top w:val="none" w:sz="0" w:space="0" w:color="auto"/>
                                <w:left w:val="none" w:sz="0" w:space="0" w:color="auto"/>
                                <w:bottom w:val="none" w:sz="0" w:space="0" w:color="auto"/>
                                <w:right w:val="none" w:sz="0" w:space="0" w:color="auto"/>
                              </w:divBdr>
                              <w:divsChild>
                                <w:div w:id="736437349">
                                  <w:marLeft w:val="0"/>
                                  <w:marRight w:val="0"/>
                                  <w:marTop w:val="0"/>
                                  <w:marBottom w:val="0"/>
                                  <w:divBdr>
                                    <w:top w:val="none" w:sz="0" w:space="0" w:color="auto"/>
                                    <w:left w:val="none" w:sz="0" w:space="0" w:color="auto"/>
                                    <w:bottom w:val="none" w:sz="0" w:space="0" w:color="auto"/>
                                    <w:right w:val="none" w:sz="0" w:space="0" w:color="auto"/>
                                  </w:divBdr>
                                </w:div>
                              </w:divsChild>
                            </w:div>
                            <w:div w:id="1592467410">
                              <w:marLeft w:val="0"/>
                              <w:marRight w:val="0"/>
                              <w:marTop w:val="120"/>
                              <w:marBottom w:val="0"/>
                              <w:divBdr>
                                <w:top w:val="none" w:sz="0" w:space="0" w:color="auto"/>
                                <w:left w:val="none" w:sz="0" w:space="0" w:color="auto"/>
                                <w:bottom w:val="none" w:sz="0" w:space="0" w:color="auto"/>
                                <w:right w:val="none" w:sz="0" w:space="0" w:color="auto"/>
                              </w:divBdr>
                              <w:divsChild>
                                <w:div w:id="6396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841244">
      <w:bodyDiv w:val="1"/>
      <w:marLeft w:val="3"/>
      <w:marRight w:val="3"/>
      <w:marTop w:val="0"/>
      <w:marBottom w:val="0"/>
      <w:divBdr>
        <w:top w:val="none" w:sz="0" w:space="0" w:color="auto"/>
        <w:left w:val="none" w:sz="0" w:space="0" w:color="auto"/>
        <w:bottom w:val="none" w:sz="0" w:space="0" w:color="auto"/>
        <w:right w:val="none" w:sz="0" w:space="0" w:color="auto"/>
      </w:divBdr>
      <w:divsChild>
        <w:div w:id="1700546737">
          <w:marLeft w:val="0"/>
          <w:marRight w:val="0"/>
          <w:marTop w:val="96"/>
          <w:marBottom w:val="0"/>
          <w:divBdr>
            <w:top w:val="none" w:sz="0" w:space="0" w:color="auto"/>
            <w:left w:val="none" w:sz="0" w:space="0" w:color="auto"/>
            <w:bottom w:val="none" w:sz="0" w:space="0" w:color="auto"/>
            <w:right w:val="none" w:sz="0" w:space="0" w:color="auto"/>
          </w:divBdr>
          <w:divsChild>
            <w:div w:id="288320652">
              <w:marLeft w:val="0"/>
              <w:marRight w:val="0"/>
              <w:marTop w:val="0"/>
              <w:marBottom w:val="0"/>
              <w:divBdr>
                <w:top w:val="none" w:sz="0" w:space="0" w:color="auto"/>
                <w:left w:val="none" w:sz="0" w:space="0" w:color="auto"/>
                <w:bottom w:val="none" w:sz="0" w:space="0" w:color="auto"/>
                <w:right w:val="none" w:sz="0" w:space="0" w:color="auto"/>
              </w:divBdr>
              <w:divsChild>
                <w:div w:id="2079669830">
                  <w:marLeft w:val="0"/>
                  <w:marRight w:val="0"/>
                  <w:marTop w:val="0"/>
                  <w:marBottom w:val="0"/>
                  <w:divBdr>
                    <w:top w:val="none" w:sz="0" w:space="0" w:color="auto"/>
                    <w:left w:val="none" w:sz="0" w:space="0" w:color="auto"/>
                    <w:bottom w:val="none" w:sz="0" w:space="0" w:color="auto"/>
                    <w:right w:val="none" w:sz="0" w:space="0" w:color="auto"/>
                  </w:divBdr>
                  <w:divsChild>
                    <w:div w:id="564533963">
                      <w:marLeft w:val="0"/>
                      <w:marRight w:val="0"/>
                      <w:marTop w:val="0"/>
                      <w:marBottom w:val="0"/>
                      <w:divBdr>
                        <w:top w:val="none" w:sz="0" w:space="0" w:color="auto"/>
                        <w:left w:val="none" w:sz="0" w:space="0" w:color="auto"/>
                        <w:bottom w:val="none" w:sz="0" w:space="0" w:color="auto"/>
                        <w:right w:val="none" w:sz="0" w:space="0" w:color="auto"/>
                      </w:divBdr>
                      <w:divsChild>
                        <w:div w:id="1053887163">
                          <w:marLeft w:val="0"/>
                          <w:marRight w:val="0"/>
                          <w:marTop w:val="0"/>
                          <w:marBottom w:val="0"/>
                          <w:divBdr>
                            <w:top w:val="none" w:sz="0" w:space="0" w:color="auto"/>
                            <w:left w:val="none" w:sz="0" w:space="0" w:color="auto"/>
                            <w:bottom w:val="none" w:sz="0" w:space="0" w:color="auto"/>
                            <w:right w:val="none" w:sz="0" w:space="0" w:color="auto"/>
                          </w:divBdr>
                          <w:divsChild>
                            <w:div w:id="101193661">
                              <w:marLeft w:val="1760"/>
                              <w:marRight w:val="0"/>
                              <w:marTop w:val="0"/>
                              <w:marBottom w:val="0"/>
                              <w:divBdr>
                                <w:top w:val="none" w:sz="0" w:space="0" w:color="auto"/>
                                <w:left w:val="none" w:sz="0" w:space="0" w:color="auto"/>
                                <w:bottom w:val="none" w:sz="0" w:space="0" w:color="auto"/>
                                <w:right w:val="none" w:sz="0" w:space="0" w:color="auto"/>
                              </w:divBdr>
                              <w:divsChild>
                                <w:div w:id="6514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sa.org.uk/asa/co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gov.uk/en/Publicationsandstatistics/Publications/PublicationsPolicyandGuidance/DH_075218" TargetMode="External"/><Relationship Id="rId5" Type="http://schemas.openxmlformats.org/officeDocument/2006/relationships/webSettings" Target="webSettings.xml"/><Relationship Id="rId10" Type="http://schemas.openxmlformats.org/officeDocument/2006/relationships/hyperlink" Target="http://www.dh.gov.uk/en/Publicationsandstatistics/Publications/PublicationsPolicyAndGuidance/DH_075758" TargetMode="External"/><Relationship Id="rId4" Type="http://schemas.openxmlformats.org/officeDocument/2006/relationships/settings" Target="settings.xml"/><Relationship Id="rId9" Type="http://schemas.openxmlformats.org/officeDocument/2006/relationships/hyperlink" Target="http://www.dh.gov.uk/en/Publicationsandstatistics/Publications/PublicationsPolicyAndGuidance/DH_090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FEAE-CACB-49EB-BA63-543CCDC8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UWE</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Bird</dc:creator>
  <cp:keywords/>
  <dc:description/>
  <cp:lastModifiedBy>Alexander Clarke</cp:lastModifiedBy>
  <cp:revision>2</cp:revision>
  <cp:lastPrinted>2010-06-21T10:45:00Z</cp:lastPrinted>
  <dcterms:created xsi:type="dcterms:W3CDTF">2011-05-19T11:07:00Z</dcterms:created>
  <dcterms:modified xsi:type="dcterms:W3CDTF">2011-05-19T11:07:00Z</dcterms:modified>
</cp:coreProperties>
</file>