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4277" w14:textId="3B3FE9BC" w:rsidR="00B07C60" w:rsidRPr="00F23B84" w:rsidRDefault="00156D13" w:rsidP="00C11B7C">
      <w:pPr>
        <w:rPr>
          <w:rFonts w:ascii="Arial" w:hAnsi="Arial" w:cs="Arial"/>
          <w:b/>
          <w:bCs/>
        </w:rPr>
      </w:pPr>
      <w:r w:rsidRPr="00F23B84">
        <w:rPr>
          <w:rFonts w:ascii="Arial" w:hAnsi="Arial" w:cs="Arial"/>
          <w:b/>
          <w:bCs/>
        </w:rPr>
        <w:t>Cementless</w:t>
      </w:r>
      <w:r w:rsidR="00B07C60" w:rsidRPr="00F23B84">
        <w:rPr>
          <w:rFonts w:ascii="Arial" w:hAnsi="Arial" w:cs="Arial"/>
          <w:b/>
          <w:bCs/>
        </w:rPr>
        <w:t xml:space="preserve"> Oxford </w:t>
      </w:r>
      <w:r w:rsidR="007C1964" w:rsidRPr="00F23B84">
        <w:rPr>
          <w:rFonts w:ascii="Arial" w:hAnsi="Arial" w:cs="Arial"/>
          <w:b/>
          <w:bCs/>
        </w:rPr>
        <w:t xml:space="preserve">Mobile Bearing </w:t>
      </w:r>
      <w:r w:rsidR="00B07C60" w:rsidRPr="00F23B84">
        <w:rPr>
          <w:rFonts w:ascii="Arial" w:hAnsi="Arial" w:cs="Arial"/>
          <w:b/>
          <w:bCs/>
        </w:rPr>
        <w:t>Medial Unicompartmental Knee Replacement</w:t>
      </w:r>
      <w:r w:rsidR="007E45E1" w:rsidRPr="00F23B84">
        <w:rPr>
          <w:rFonts w:ascii="Arial" w:hAnsi="Arial" w:cs="Arial"/>
          <w:b/>
          <w:bCs/>
        </w:rPr>
        <w:t>:</w:t>
      </w:r>
      <w:r w:rsidRPr="00F23B84">
        <w:rPr>
          <w:rFonts w:ascii="Arial" w:hAnsi="Arial" w:cs="Arial"/>
          <w:b/>
          <w:bCs/>
        </w:rPr>
        <w:t xml:space="preserve"> A</w:t>
      </w:r>
      <w:r w:rsidR="007E45E1" w:rsidRPr="00F23B84">
        <w:rPr>
          <w:rFonts w:ascii="Arial" w:hAnsi="Arial" w:cs="Arial"/>
          <w:b/>
          <w:bCs/>
        </w:rPr>
        <w:t xml:space="preserve"> Minimum </w:t>
      </w:r>
      <w:r w:rsidR="00CB15DA" w:rsidRPr="00F23B84">
        <w:rPr>
          <w:rFonts w:ascii="Arial" w:hAnsi="Arial" w:cs="Arial"/>
          <w:b/>
          <w:bCs/>
        </w:rPr>
        <w:t>Five</w:t>
      </w:r>
      <w:r w:rsidR="007E45E1" w:rsidRPr="00F23B84">
        <w:rPr>
          <w:rFonts w:ascii="Arial" w:hAnsi="Arial" w:cs="Arial"/>
          <w:b/>
          <w:bCs/>
        </w:rPr>
        <w:t xml:space="preserve"> Year Follow-Up </w:t>
      </w:r>
      <w:r w:rsidRPr="00F23B84">
        <w:rPr>
          <w:rFonts w:ascii="Arial" w:hAnsi="Arial" w:cs="Arial"/>
          <w:b/>
          <w:bCs/>
        </w:rPr>
        <w:t xml:space="preserve">from a </w:t>
      </w:r>
      <w:r w:rsidR="006418AC" w:rsidRPr="00F23B84">
        <w:rPr>
          <w:rFonts w:ascii="Arial" w:hAnsi="Arial" w:cs="Arial"/>
          <w:b/>
          <w:bCs/>
        </w:rPr>
        <w:t>N</w:t>
      </w:r>
      <w:r w:rsidRPr="00F23B84">
        <w:rPr>
          <w:rFonts w:ascii="Arial" w:hAnsi="Arial" w:cs="Arial"/>
          <w:b/>
          <w:bCs/>
        </w:rPr>
        <w:t>on-</w:t>
      </w:r>
      <w:r w:rsidR="006418AC" w:rsidRPr="00F23B84">
        <w:rPr>
          <w:rFonts w:ascii="Arial" w:hAnsi="Arial" w:cs="Arial"/>
          <w:b/>
          <w:bCs/>
        </w:rPr>
        <w:t>D</w:t>
      </w:r>
      <w:r w:rsidRPr="00F23B84">
        <w:rPr>
          <w:rFonts w:ascii="Arial" w:hAnsi="Arial" w:cs="Arial"/>
          <w:b/>
          <w:bCs/>
        </w:rPr>
        <w:t xml:space="preserve">esign </w:t>
      </w:r>
      <w:r w:rsidR="006418AC" w:rsidRPr="00F23B84">
        <w:rPr>
          <w:rFonts w:ascii="Arial" w:hAnsi="Arial" w:cs="Arial"/>
          <w:b/>
          <w:bCs/>
        </w:rPr>
        <w:t>C</w:t>
      </w:r>
      <w:r w:rsidRPr="00F23B84">
        <w:rPr>
          <w:rFonts w:ascii="Arial" w:hAnsi="Arial" w:cs="Arial"/>
          <w:b/>
          <w:bCs/>
        </w:rPr>
        <w:t>entre</w:t>
      </w:r>
    </w:p>
    <w:p w14:paraId="50ED2BE7" w14:textId="77777777" w:rsidR="00B07C60" w:rsidRPr="00F23B84" w:rsidRDefault="00B07C60" w:rsidP="00C11B7C">
      <w:pPr>
        <w:rPr>
          <w:rFonts w:ascii="Arial" w:hAnsi="Arial" w:cs="Arial"/>
        </w:rPr>
      </w:pPr>
    </w:p>
    <w:p w14:paraId="7893CD0A" w14:textId="77777777" w:rsidR="00627785" w:rsidRPr="00F23B84" w:rsidRDefault="00627785" w:rsidP="00C11B7C">
      <w:pPr>
        <w:rPr>
          <w:rFonts w:ascii="Arial" w:hAnsi="Arial" w:cs="Arial"/>
          <w:b/>
          <w:bCs/>
        </w:rPr>
      </w:pPr>
      <w:r w:rsidRPr="00F23B84">
        <w:rPr>
          <w:rFonts w:ascii="Arial" w:hAnsi="Arial" w:cs="Arial"/>
          <w:b/>
          <w:bCs/>
        </w:rPr>
        <w:t xml:space="preserve">Authors: </w:t>
      </w:r>
    </w:p>
    <w:p w14:paraId="0E32C82D" w14:textId="3015E1E4" w:rsidR="00627785" w:rsidRPr="00F23B84" w:rsidRDefault="00B07C60" w:rsidP="00F23B84">
      <w:pPr>
        <w:rPr>
          <w:rFonts w:ascii="Arial" w:hAnsi="Arial" w:cs="Arial"/>
        </w:rPr>
      </w:pPr>
      <w:r w:rsidRPr="00F23B84">
        <w:rPr>
          <w:rFonts w:ascii="Arial" w:hAnsi="Arial" w:cs="Arial"/>
        </w:rPr>
        <w:t>Manara JR</w:t>
      </w:r>
      <w:r w:rsidR="00C100F5" w:rsidRPr="00F23B84">
        <w:rPr>
          <w:rFonts w:ascii="Arial" w:hAnsi="Arial" w:cs="Arial"/>
          <w:vertAlign w:val="superscript"/>
        </w:rPr>
        <w:t>1</w:t>
      </w:r>
      <w:r w:rsidRPr="00F23B84">
        <w:rPr>
          <w:rFonts w:ascii="Arial" w:hAnsi="Arial" w:cs="Arial"/>
        </w:rPr>
        <w:t xml:space="preserve"> </w:t>
      </w:r>
    </w:p>
    <w:p w14:paraId="32218773" w14:textId="30253F97" w:rsidR="00627785" w:rsidRPr="00F23B84" w:rsidRDefault="007E45E1" w:rsidP="00F23B84">
      <w:pPr>
        <w:rPr>
          <w:rFonts w:ascii="Arial" w:eastAsia="Times New Roman" w:hAnsi="Arial" w:cs="Arial"/>
          <w:lang w:eastAsia="en-GB"/>
        </w:rPr>
      </w:pPr>
      <w:r w:rsidRPr="00F23B84">
        <w:rPr>
          <w:rFonts w:ascii="Arial" w:hAnsi="Arial" w:cs="Arial"/>
        </w:rPr>
        <w:t>White P</w:t>
      </w:r>
      <w:r w:rsidR="00C100F5" w:rsidRPr="00F23B84">
        <w:rPr>
          <w:rFonts w:ascii="Arial" w:hAnsi="Arial" w:cs="Arial"/>
          <w:vertAlign w:val="superscript"/>
        </w:rPr>
        <w:t>2</w:t>
      </w:r>
      <w:r w:rsidR="004E6286" w:rsidRPr="00F23B84">
        <w:rPr>
          <w:rFonts w:ascii="Arial" w:hAnsi="Arial" w:cs="Arial"/>
        </w:rPr>
        <w:t xml:space="preserve"> </w:t>
      </w:r>
    </w:p>
    <w:p w14:paraId="7B1B9A5F" w14:textId="3580F4E1" w:rsidR="00F23B84" w:rsidRDefault="00C100F5" w:rsidP="00F23B84">
      <w:pPr>
        <w:rPr>
          <w:rFonts w:ascii="Arial" w:hAnsi="Arial" w:cs="Arial"/>
        </w:rPr>
      </w:pPr>
      <w:r w:rsidRPr="00F23B84">
        <w:rPr>
          <w:rFonts w:ascii="Arial" w:hAnsi="Arial" w:cs="Arial"/>
        </w:rPr>
        <w:t>Bray R</w:t>
      </w:r>
      <w:r w:rsidR="00627785" w:rsidRPr="00F23B84">
        <w:rPr>
          <w:rFonts w:ascii="Arial" w:hAnsi="Arial" w:cs="Arial"/>
          <w:vertAlign w:val="superscript"/>
        </w:rPr>
        <w:t>3</w:t>
      </w:r>
    </w:p>
    <w:p w14:paraId="5F889548" w14:textId="64B19194" w:rsidR="00661576" w:rsidRPr="00F64F59" w:rsidRDefault="003B5B35" w:rsidP="00F23B84">
      <w:pPr>
        <w:rPr>
          <w:rFonts w:ascii="Arial" w:hAnsi="Arial" w:cs="Arial"/>
          <w:vertAlign w:val="superscript"/>
        </w:rPr>
      </w:pPr>
      <w:r>
        <w:rPr>
          <w:rFonts w:ascii="Arial" w:hAnsi="Arial" w:cs="Arial"/>
        </w:rPr>
        <w:t>The Bristol Knee Group</w:t>
      </w:r>
      <w:r w:rsidRPr="00F23B84">
        <w:rPr>
          <w:rFonts w:ascii="Arial" w:hAnsi="Arial" w:cs="Arial"/>
          <w:vertAlign w:val="superscript"/>
        </w:rPr>
        <w:t>1</w:t>
      </w:r>
      <w:r>
        <w:rPr>
          <w:rFonts w:ascii="Arial" w:hAnsi="Arial" w:cs="Arial"/>
          <w:vertAlign w:val="superscript"/>
        </w:rPr>
        <w:t>,4</w:t>
      </w:r>
    </w:p>
    <w:p w14:paraId="12711BD0" w14:textId="5180DB44" w:rsidR="00661576" w:rsidRPr="00F64F59" w:rsidRDefault="00661576" w:rsidP="00F23B84">
      <w:pPr>
        <w:rPr>
          <w:rFonts w:ascii="Arial" w:hAnsi="Arial" w:cs="Arial"/>
          <w:vertAlign w:val="superscript"/>
        </w:rPr>
      </w:pPr>
      <w:r>
        <w:rPr>
          <w:rFonts w:ascii="Arial" w:hAnsi="Arial" w:cs="Arial"/>
        </w:rPr>
        <w:t>Hywel Davies</w:t>
      </w:r>
      <w:r>
        <w:rPr>
          <w:rFonts w:ascii="Arial" w:hAnsi="Arial" w:cs="Arial"/>
          <w:vertAlign w:val="superscript"/>
        </w:rPr>
        <w:t>1,4</w:t>
      </w:r>
    </w:p>
    <w:p w14:paraId="75E4934E" w14:textId="6922EEA4" w:rsidR="00661576" w:rsidRPr="00F64F59" w:rsidRDefault="00661576" w:rsidP="00F23B84">
      <w:pPr>
        <w:rPr>
          <w:rFonts w:ascii="Arial" w:hAnsi="Arial" w:cs="Arial"/>
          <w:vertAlign w:val="superscript"/>
        </w:rPr>
      </w:pPr>
      <w:r>
        <w:rPr>
          <w:rFonts w:ascii="Arial" w:hAnsi="Arial" w:cs="Arial"/>
        </w:rPr>
        <w:t>Jonathan Eldridge</w:t>
      </w:r>
      <w:r>
        <w:rPr>
          <w:rFonts w:ascii="Arial" w:hAnsi="Arial" w:cs="Arial"/>
          <w:vertAlign w:val="superscript"/>
        </w:rPr>
        <w:t>1,4</w:t>
      </w:r>
    </w:p>
    <w:p w14:paraId="02A70701" w14:textId="0568916E" w:rsidR="00661576" w:rsidRPr="00F64F59" w:rsidRDefault="00661576" w:rsidP="00F23B84">
      <w:pPr>
        <w:rPr>
          <w:rFonts w:ascii="Arial" w:hAnsi="Arial" w:cs="Arial"/>
          <w:vertAlign w:val="superscript"/>
        </w:rPr>
      </w:pPr>
      <w:r>
        <w:rPr>
          <w:rFonts w:ascii="Arial" w:hAnsi="Arial" w:cs="Arial"/>
        </w:rPr>
        <w:t>Andrew Porteous</w:t>
      </w:r>
      <w:r>
        <w:rPr>
          <w:rFonts w:ascii="Arial" w:hAnsi="Arial" w:cs="Arial"/>
          <w:vertAlign w:val="superscript"/>
        </w:rPr>
        <w:t>1,4</w:t>
      </w:r>
    </w:p>
    <w:p w14:paraId="6FA6A254" w14:textId="6DBABDAF" w:rsidR="00B07C60" w:rsidRPr="00F23B84" w:rsidRDefault="00B07C60" w:rsidP="00F23B84">
      <w:pPr>
        <w:rPr>
          <w:rFonts w:ascii="Arial" w:hAnsi="Arial" w:cs="Arial"/>
        </w:rPr>
      </w:pPr>
      <w:r w:rsidRPr="00F23B84">
        <w:rPr>
          <w:rFonts w:ascii="Arial" w:hAnsi="Arial" w:cs="Arial"/>
        </w:rPr>
        <w:t>Murray JR</w:t>
      </w:r>
      <w:r w:rsidR="00C100F5" w:rsidRPr="00F23B84">
        <w:rPr>
          <w:rFonts w:ascii="Arial" w:hAnsi="Arial" w:cs="Arial"/>
          <w:vertAlign w:val="superscript"/>
        </w:rPr>
        <w:t>1</w:t>
      </w:r>
      <w:r w:rsidR="003B5B35">
        <w:rPr>
          <w:rFonts w:ascii="Arial" w:hAnsi="Arial" w:cs="Arial"/>
          <w:vertAlign w:val="superscript"/>
        </w:rPr>
        <w:t>,4,5</w:t>
      </w:r>
    </w:p>
    <w:p w14:paraId="081930BC" w14:textId="77777777" w:rsidR="00627785" w:rsidRPr="00F23B84" w:rsidRDefault="00627785" w:rsidP="00C11B7C">
      <w:pPr>
        <w:rPr>
          <w:rFonts w:ascii="Arial" w:hAnsi="Arial" w:cs="Arial"/>
          <w:vertAlign w:val="superscript"/>
        </w:rPr>
      </w:pPr>
    </w:p>
    <w:p w14:paraId="418045B2" w14:textId="7D9E8404" w:rsidR="00B07C60" w:rsidRPr="00F23B84" w:rsidRDefault="00C100F5" w:rsidP="00C11B7C">
      <w:pPr>
        <w:rPr>
          <w:rFonts w:ascii="Arial" w:hAnsi="Arial" w:cs="Arial"/>
        </w:rPr>
      </w:pPr>
      <w:r w:rsidRPr="00F23B84">
        <w:rPr>
          <w:rFonts w:ascii="Arial" w:hAnsi="Arial" w:cs="Arial"/>
          <w:vertAlign w:val="superscript"/>
        </w:rPr>
        <w:t>1</w:t>
      </w:r>
      <w:r w:rsidR="00B07C60" w:rsidRPr="00F23B84">
        <w:rPr>
          <w:rFonts w:ascii="Arial" w:hAnsi="Arial" w:cs="Arial"/>
        </w:rPr>
        <w:t xml:space="preserve">Avon Orthopaedic Centre, </w:t>
      </w:r>
      <w:r w:rsidR="00156D13" w:rsidRPr="00F23B84">
        <w:rPr>
          <w:rFonts w:ascii="Arial" w:hAnsi="Arial" w:cs="Arial"/>
        </w:rPr>
        <w:t>Southmead Hospital, Westbury-on-</w:t>
      </w:r>
      <w:r w:rsidR="00C92C15" w:rsidRPr="00F23B84">
        <w:rPr>
          <w:rFonts w:ascii="Arial" w:hAnsi="Arial" w:cs="Arial"/>
        </w:rPr>
        <w:t>T</w:t>
      </w:r>
      <w:r w:rsidR="00156D13" w:rsidRPr="00F23B84">
        <w:rPr>
          <w:rFonts w:ascii="Arial" w:hAnsi="Arial" w:cs="Arial"/>
        </w:rPr>
        <w:t xml:space="preserve">rym, </w:t>
      </w:r>
      <w:r w:rsidR="00B07C60" w:rsidRPr="00F23B84">
        <w:rPr>
          <w:rFonts w:ascii="Arial" w:hAnsi="Arial" w:cs="Arial"/>
        </w:rPr>
        <w:t>Bristol</w:t>
      </w:r>
      <w:r w:rsidR="003B5B35">
        <w:rPr>
          <w:rFonts w:ascii="Arial" w:hAnsi="Arial" w:cs="Arial"/>
        </w:rPr>
        <w:t>, UK</w:t>
      </w:r>
    </w:p>
    <w:p w14:paraId="53BD1FFE" w14:textId="4C79CCB1" w:rsidR="00156D13" w:rsidRPr="00F23B84" w:rsidRDefault="00C64609" w:rsidP="00C11B7C">
      <w:pPr>
        <w:rPr>
          <w:rFonts w:ascii="Arial" w:hAnsi="Arial" w:cs="Arial"/>
        </w:rPr>
      </w:pPr>
      <w:r w:rsidRPr="00F23B84">
        <w:rPr>
          <w:rFonts w:ascii="Arial" w:hAnsi="Arial" w:cs="Arial"/>
          <w:vertAlign w:val="superscript"/>
        </w:rPr>
        <w:t>2</w:t>
      </w:r>
      <w:r w:rsidR="00627785" w:rsidRPr="00F23B84">
        <w:rPr>
          <w:rFonts w:ascii="Arial" w:hAnsi="Arial" w:cs="Arial"/>
        </w:rPr>
        <w:t xml:space="preserve"> </w:t>
      </w:r>
      <w:r w:rsidR="00156D13" w:rsidRPr="00F23B84">
        <w:rPr>
          <w:rFonts w:ascii="Arial" w:hAnsi="Arial" w:cs="Arial"/>
        </w:rPr>
        <w:t>University of the West of England, Frenchay Campus, Coldharbour Lane, Bristol,</w:t>
      </w:r>
      <w:r w:rsidR="003B5B35">
        <w:rPr>
          <w:rFonts w:ascii="Arial" w:hAnsi="Arial" w:cs="Arial"/>
        </w:rPr>
        <w:t xml:space="preserve"> UK</w:t>
      </w:r>
    </w:p>
    <w:p w14:paraId="74969743" w14:textId="0AFB3BBB" w:rsidR="00627785" w:rsidRDefault="00627785" w:rsidP="00C11B7C">
      <w:pPr>
        <w:rPr>
          <w:rFonts w:ascii="Arial" w:hAnsi="Arial" w:cs="Arial"/>
        </w:rPr>
      </w:pPr>
      <w:r w:rsidRPr="00F23B84">
        <w:rPr>
          <w:rFonts w:ascii="Arial" w:hAnsi="Arial" w:cs="Arial"/>
          <w:vertAlign w:val="superscript"/>
        </w:rPr>
        <w:t>3</w:t>
      </w:r>
      <w:r w:rsidRPr="00F23B84">
        <w:rPr>
          <w:rFonts w:ascii="Arial" w:hAnsi="Arial" w:cs="Arial"/>
        </w:rPr>
        <w:t xml:space="preserve"> Knee Research Team</w:t>
      </w:r>
      <w:r w:rsidR="003B5B35">
        <w:rPr>
          <w:rFonts w:ascii="Arial" w:hAnsi="Arial" w:cs="Arial"/>
        </w:rPr>
        <w:t>,</w:t>
      </w:r>
      <w:r w:rsidRPr="00F23B84">
        <w:rPr>
          <w:rFonts w:ascii="Arial" w:hAnsi="Arial" w:cs="Arial"/>
        </w:rPr>
        <w:t xml:space="preserve"> North Bristol NHS Trust</w:t>
      </w:r>
      <w:r w:rsidR="003B5B35">
        <w:rPr>
          <w:rFonts w:ascii="Arial" w:hAnsi="Arial" w:cs="Arial"/>
        </w:rPr>
        <w:t>, Bristol. UK</w:t>
      </w:r>
    </w:p>
    <w:p w14:paraId="07F9E806" w14:textId="3CBC8867" w:rsidR="003B5B35" w:rsidRPr="003B5B35" w:rsidRDefault="003B5B35" w:rsidP="00C11B7C">
      <w:pPr>
        <w:rPr>
          <w:rFonts w:ascii="Arial" w:hAnsi="Arial" w:cs="Arial"/>
        </w:rPr>
      </w:pPr>
      <w:r>
        <w:rPr>
          <w:rFonts w:ascii="Arial" w:hAnsi="Arial" w:cs="Arial"/>
          <w:vertAlign w:val="superscript"/>
        </w:rPr>
        <w:t xml:space="preserve">4 </w:t>
      </w:r>
      <w:r>
        <w:rPr>
          <w:rFonts w:ascii="Arial" w:hAnsi="Arial" w:cs="Arial"/>
        </w:rPr>
        <w:t xml:space="preserve">The Bristol Knee Group, AOC, Southmead Hospital, </w:t>
      </w:r>
      <w:r w:rsidRPr="00F23B84">
        <w:rPr>
          <w:rFonts w:ascii="Arial" w:hAnsi="Arial" w:cs="Arial"/>
        </w:rPr>
        <w:t>Westbury-on-Trym, Bristol</w:t>
      </w:r>
    </w:p>
    <w:p w14:paraId="56D16251" w14:textId="57D37A22" w:rsidR="003B5B35" w:rsidRPr="00F23B84" w:rsidRDefault="003B5B35" w:rsidP="00C11B7C">
      <w:pPr>
        <w:rPr>
          <w:rFonts w:ascii="Arial" w:hAnsi="Arial" w:cs="Arial"/>
        </w:rPr>
      </w:pPr>
      <w:r>
        <w:rPr>
          <w:rFonts w:ascii="Arial" w:hAnsi="Arial" w:cs="Arial"/>
          <w:vertAlign w:val="superscript"/>
        </w:rPr>
        <w:t xml:space="preserve">5 </w:t>
      </w:r>
      <w:r>
        <w:rPr>
          <w:rFonts w:ascii="Arial" w:hAnsi="Arial" w:cs="Arial"/>
        </w:rPr>
        <w:t>University of Bristol, UK</w:t>
      </w:r>
    </w:p>
    <w:p w14:paraId="0A270B48" w14:textId="5A86C878" w:rsidR="00C100F5" w:rsidRPr="00F23B84" w:rsidRDefault="00C100F5" w:rsidP="00C11B7C">
      <w:pPr>
        <w:rPr>
          <w:rFonts w:ascii="Arial" w:hAnsi="Arial" w:cs="Arial"/>
        </w:rPr>
      </w:pPr>
    </w:p>
    <w:p w14:paraId="3D54812B" w14:textId="77777777" w:rsidR="00627785" w:rsidRPr="00F23B84" w:rsidRDefault="00826518" w:rsidP="00C11B7C">
      <w:pPr>
        <w:rPr>
          <w:rFonts w:ascii="Arial" w:hAnsi="Arial" w:cs="Arial"/>
          <w:b/>
          <w:bCs/>
        </w:rPr>
      </w:pPr>
      <w:r w:rsidRPr="00F23B84">
        <w:rPr>
          <w:rFonts w:ascii="Arial" w:hAnsi="Arial" w:cs="Arial"/>
          <w:b/>
          <w:bCs/>
        </w:rPr>
        <w:t xml:space="preserve">Corresponding Author: </w:t>
      </w:r>
    </w:p>
    <w:p w14:paraId="42E7182F" w14:textId="16389CBF" w:rsidR="00627785" w:rsidRPr="00F23B84" w:rsidRDefault="00826518" w:rsidP="00C11B7C">
      <w:pPr>
        <w:rPr>
          <w:rFonts w:ascii="Arial" w:hAnsi="Arial" w:cs="Arial"/>
        </w:rPr>
      </w:pPr>
      <w:r w:rsidRPr="00F23B84">
        <w:rPr>
          <w:rFonts w:ascii="Arial" w:hAnsi="Arial" w:cs="Arial"/>
        </w:rPr>
        <w:t>JR Manara</w:t>
      </w:r>
    </w:p>
    <w:p w14:paraId="14E21A4A" w14:textId="28326416" w:rsidR="00627785" w:rsidRPr="00F23B84" w:rsidRDefault="009A367C" w:rsidP="00C11B7C">
      <w:pPr>
        <w:rPr>
          <w:rFonts w:ascii="Arial" w:hAnsi="Arial" w:cs="Arial"/>
        </w:rPr>
      </w:pPr>
      <w:r w:rsidRPr="00F23B84">
        <w:rPr>
          <w:rFonts w:ascii="Arial" w:hAnsi="Arial" w:cs="Arial"/>
        </w:rPr>
        <w:t>Department of Trauma and Orthopaedics</w:t>
      </w:r>
    </w:p>
    <w:p w14:paraId="5E6B15A4" w14:textId="1F00E04C" w:rsidR="009A367C" w:rsidRPr="00F23B84" w:rsidRDefault="009A367C" w:rsidP="00C11B7C">
      <w:pPr>
        <w:rPr>
          <w:rFonts w:ascii="Arial" w:hAnsi="Arial" w:cs="Arial"/>
        </w:rPr>
      </w:pPr>
      <w:r w:rsidRPr="00F23B84">
        <w:rPr>
          <w:rFonts w:ascii="Arial" w:hAnsi="Arial" w:cs="Arial"/>
        </w:rPr>
        <w:t>Southmead Hospital,</w:t>
      </w:r>
    </w:p>
    <w:p w14:paraId="05AF20FF" w14:textId="6FC92670" w:rsidR="003B5B35" w:rsidRPr="00F23B84" w:rsidRDefault="009A367C" w:rsidP="00C11B7C">
      <w:pPr>
        <w:rPr>
          <w:rFonts w:ascii="Arial" w:hAnsi="Arial" w:cs="Arial"/>
        </w:rPr>
      </w:pPr>
      <w:r w:rsidRPr="00F23B84">
        <w:rPr>
          <w:rFonts w:ascii="Arial" w:hAnsi="Arial" w:cs="Arial"/>
        </w:rPr>
        <w:t>Westbury-on-</w:t>
      </w:r>
      <w:r w:rsidR="00C92C15" w:rsidRPr="00F23B84">
        <w:rPr>
          <w:rFonts w:ascii="Arial" w:hAnsi="Arial" w:cs="Arial"/>
        </w:rPr>
        <w:t>Tr</w:t>
      </w:r>
      <w:r w:rsidRPr="00F23B84">
        <w:rPr>
          <w:rFonts w:ascii="Arial" w:hAnsi="Arial" w:cs="Arial"/>
        </w:rPr>
        <w:t>ym,</w:t>
      </w:r>
    </w:p>
    <w:p w14:paraId="02C7ED8B" w14:textId="42895886" w:rsidR="009A367C" w:rsidRDefault="009A367C" w:rsidP="00C11B7C">
      <w:pPr>
        <w:rPr>
          <w:rFonts w:ascii="Arial" w:hAnsi="Arial" w:cs="Arial"/>
        </w:rPr>
      </w:pPr>
      <w:r w:rsidRPr="00F23B84">
        <w:rPr>
          <w:rFonts w:ascii="Arial" w:hAnsi="Arial" w:cs="Arial"/>
        </w:rPr>
        <w:t>Bristol</w:t>
      </w:r>
    </w:p>
    <w:p w14:paraId="2A15E193" w14:textId="0CAD78CC" w:rsidR="003B5B35" w:rsidRPr="00F23B84" w:rsidRDefault="003B5B35" w:rsidP="00C11B7C">
      <w:pPr>
        <w:rPr>
          <w:rFonts w:ascii="Arial" w:hAnsi="Arial" w:cs="Arial"/>
        </w:rPr>
      </w:pPr>
      <w:r>
        <w:rPr>
          <w:rFonts w:ascii="Arial" w:hAnsi="Arial" w:cs="Arial"/>
        </w:rPr>
        <w:t>BS10 5NB</w:t>
      </w:r>
    </w:p>
    <w:p w14:paraId="57247283" w14:textId="72F28EE8" w:rsidR="00826518" w:rsidRPr="00F23B84" w:rsidRDefault="00B06013" w:rsidP="00C11B7C">
      <w:pPr>
        <w:rPr>
          <w:rFonts w:ascii="Arial" w:hAnsi="Arial" w:cs="Arial"/>
        </w:rPr>
      </w:pPr>
      <w:r>
        <w:fldChar w:fldCharType="begin"/>
      </w:r>
      <w:r>
        <w:instrText xml:space="preserve"> HYPERLINK "mailto:jonathanmanara@doctors.org.uk" </w:instrText>
      </w:r>
      <w:r>
        <w:fldChar w:fldCharType="separate"/>
      </w:r>
      <w:r w:rsidR="009A367C" w:rsidRPr="00F23B84">
        <w:rPr>
          <w:rStyle w:val="Hyperlink"/>
          <w:rFonts w:ascii="Arial" w:hAnsi="Arial" w:cs="Arial"/>
        </w:rPr>
        <w:t>jonathanmanara@doctors.org.uk</w:t>
      </w:r>
      <w:r>
        <w:rPr>
          <w:rStyle w:val="Hyperlink"/>
          <w:rFonts w:ascii="Arial" w:hAnsi="Arial" w:cs="Arial"/>
        </w:rPr>
        <w:fldChar w:fldCharType="end"/>
      </w:r>
    </w:p>
    <w:p w14:paraId="1922A9ED" w14:textId="34B586BF" w:rsidR="00826518" w:rsidRPr="00F23B84" w:rsidRDefault="00826518" w:rsidP="00C11B7C">
      <w:pPr>
        <w:rPr>
          <w:rFonts w:ascii="Arial" w:hAnsi="Arial" w:cs="Arial"/>
        </w:rPr>
      </w:pPr>
    </w:p>
    <w:p w14:paraId="1801FEE6" w14:textId="32C4552B" w:rsidR="00D87219" w:rsidRPr="00F23B84" w:rsidRDefault="00D87219" w:rsidP="00C11B7C">
      <w:pPr>
        <w:rPr>
          <w:rFonts w:ascii="Arial" w:hAnsi="Arial" w:cs="Arial"/>
          <w:b/>
          <w:bCs/>
        </w:rPr>
      </w:pPr>
      <w:r w:rsidRPr="00F23B84">
        <w:rPr>
          <w:rFonts w:ascii="Arial" w:hAnsi="Arial" w:cs="Arial"/>
          <w:b/>
          <w:bCs/>
        </w:rPr>
        <w:t>Bristol Knee Group</w:t>
      </w:r>
      <w:r w:rsidR="003B5B35">
        <w:rPr>
          <w:rFonts w:ascii="Arial" w:hAnsi="Arial" w:cs="Arial"/>
          <w:b/>
          <w:bCs/>
        </w:rPr>
        <w:t xml:space="preserve"> contributing authors for citation</w:t>
      </w:r>
      <w:r w:rsidRPr="00F23B84">
        <w:rPr>
          <w:rFonts w:ascii="Arial" w:hAnsi="Arial" w:cs="Arial"/>
          <w:b/>
          <w:bCs/>
        </w:rPr>
        <w:t>:</w:t>
      </w:r>
    </w:p>
    <w:p w14:paraId="3726D88B" w14:textId="77777777" w:rsidR="0053437C" w:rsidRPr="00F23B84" w:rsidRDefault="0053437C" w:rsidP="00C11B7C">
      <w:pPr>
        <w:rPr>
          <w:rFonts w:ascii="Arial" w:hAnsi="Arial" w:cs="Arial"/>
        </w:rPr>
      </w:pPr>
      <w:r w:rsidRPr="00F23B84">
        <w:rPr>
          <w:rFonts w:ascii="Arial" w:hAnsi="Arial" w:cs="Arial"/>
        </w:rPr>
        <w:t>R Baker</w:t>
      </w:r>
    </w:p>
    <w:p w14:paraId="242F5054" w14:textId="3F5190A5" w:rsidR="00C92C15" w:rsidRPr="00F23B84" w:rsidRDefault="00C92C15" w:rsidP="00C11B7C">
      <w:pPr>
        <w:rPr>
          <w:rFonts w:ascii="Arial" w:hAnsi="Arial" w:cs="Arial"/>
        </w:rPr>
      </w:pPr>
      <w:r w:rsidRPr="00F23B84">
        <w:rPr>
          <w:rFonts w:ascii="Arial" w:hAnsi="Arial" w:cs="Arial"/>
        </w:rPr>
        <w:t>D Clark</w:t>
      </w:r>
    </w:p>
    <w:p w14:paraId="1AEBAE05" w14:textId="3E879340" w:rsidR="00C92C15" w:rsidRPr="00DF4900" w:rsidRDefault="00C92C15" w:rsidP="00C11B7C">
      <w:pPr>
        <w:rPr>
          <w:rFonts w:ascii="Arial" w:hAnsi="Arial" w:cs="Arial"/>
        </w:rPr>
      </w:pPr>
      <w:r w:rsidRPr="00DF4900">
        <w:rPr>
          <w:rFonts w:ascii="Arial" w:hAnsi="Arial" w:cs="Arial"/>
        </w:rPr>
        <w:t xml:space="preserve">H Davies </w:t>
      </w:r>
    </w:p>
    <w:p w14:paraId="41CB14C9" w14:textId="6BFFC145" w:rsidR="00D87219" w:rsidRPr="00DF4900" w:rsidRDefault="00D87219" w:rsidP="00C11B7C">
      <w:pPr>
        <w:rPr>
          <w:rFonts w:ascii="Arial" w:hAnsi="Arial" w:cs="Arial"/>
        </w:rPr>
      </w:pPr>
      <w:r w:rsidRPr="00DF4900">
        <w:rPr>
          <w:rFonts w:ascii="Arial" w:hAnsi="Arial" w:cs="Arial"/>
        </w:rPr>
        <w:t>J</w:t>
      </w:r>
      <w:r w:rsidR="00C11B7C" w:rsidRPr="00DF4900">
        <w:rPr>
          <w:rFonts w:ascii="Arial" w:hAnsi="Arial" w:cs="Arial"/>
        </w:rPr>
        <w:t>D</w:t>
      </w:r>
      <w:r w:rsidRPr="00DF4900">
        <w:rPr>
          <w:rFonts w:ascii="Arial" w:hAnsi="Arial" w:cs="Arial"/>
        </w:rPr>
        <w:t xml:space="preserve"> Eldridge</w:t>
      </w:r>
    </w:p>
    <w:p w14:paraId="4DA672B2" w14:textId="0BBE6791" w:rsidR="00DF4900" w:rsidRDefault="00DF4900" w:rsidP="00C11B7C">
      <w:pPr>
        <w:rPr>
          <w:rFonts w:ascii="Arial" w:eastAsia="Times New Roman" w:hAnsi="Arial" w:cs="Arial"/>
          <w:color w:val="000000"/>
          <w:lang w:eastAsia="en-GB"/>
        </w:rPr>
      </w:pPr>
      <w:r w:rsidRPr="00DF4900">
        <w:rPr>
          <w:rFonts w:ascii="Arial" w:eastAsia="Times New Roman" w:hAnsi="Arial" w:cs="Arial"/>
          <w:color w:val="000000"/>
          <w:lang w:eastAsia="en-GB"/>
        </w:rPr>
        <w:t>Samuel Hart, Medical Student attachment with the BKG 2016</w:t>
      </w:r>
    </w:p>
    <w:p w14:paraId="2297D781" w14:textId="630BBA81" w:rsidR="00AB2924" w:rsidRPr="00DF4900" w:rsidRDefault="00AB2924" w:rsidP="00C11B7C">
      <w:pPr>
        <w:rPr>
          <w:rFonts w:ascii="Arial" w:eastAsia="Times New Roman" w:hAnsi="Arial" w:cs="Arial"/>
          <w:lang w:eastAsia="en-GB"/>
        </w:rPr>
      </w:pPr>
      <w:r>
        <w:rPr>
          <w:rFonts w:ascii="Arial" w:eastAsia="Times New Roman" w:hAnsi="Arial" w:cs="Arial"/>
          <w:color w:val="000000"/>
          <w:lang w:eastAsia="en-GB"/>
        </w:rPr>
        <w:t xml:space="preserve">M </w:t>
      </w:r>
      <w:proofErr w:type="spellStart"/>
      <w:r>
        <w:rPr>
          <w:rFonts w:ascii="Arial" w:eastAsia="Times New Roman" w:hAnsi="Arial" w:cs="Arial"/>
          <w:color w:val="000000"/>
          <w:lang w:eastAsia="en-GB"/>
        </w:rPr>
        <w:t>Hassaballa</w:t>
      </w:r>
      <w:proofErr w:type="spellEnd"/>
    </w:p>
    <w:p w14:paraId="23487767" w14:textId="62D3FE2D" w:rsidR="00D87219" w:rsidRPr="00DF4900" w:rsidRDefault="00D87219" w:rsidP="00C11B7C">
      <w:pPr>
        <w:rPr>
          <w:rFonts w:ascii="Arial" w:hAnsi="Arial" w:cs="Arial"/>
        </w:rPr>
      </w:pPr>
      <w:r w:rsidRPr="00DF4900">
        <w:rPr>
          <w:rFonts w:ascii="Arial" w:hAnsi="Arial" w:cs="Arial"/>
        </w:rPr>
        <w:t>N Howells</w:t>
      </w:r>
    </w:p>
    <w:p w14:paraId="79CB0273" w14:textId="6F16A3CA" w:rsidR="00C92C15" w:rsidRPr="00DF4900" w:rsidRDefault="00C92C15" w:rsidP="00C11B7C">
      <w:pPr>
        <w:rPr>
          <w:rFonts w:ascii="Arial" w:hAnsi="Arial" w:cs="Arial"/>
        </w:rPr>
      </w:pPr>
      <w:r w:rsidRPr="00DF4900">
        <w:rPr>
          <w:rFonts w:ascii="Arial" w:hAnsi="Arial" w:cs="Arial"/>
        </w:rPr>
        <w:t>JR Murray</w:t>
      </w:r>
    </w:p>
    <w:p w14:paraId="4C18EF62" w14:textId="6ED4F757" w:rsidR="00C92C15" w:rsidRDefault="00C92C15" w:rsidP="00C92C15">
      <w:pPr>
        <w:rPr>
          <w:rFonts w:ascii="Arial" w:hAnsi="Arial" w:cs="Arial"/>
        </w:rPr>
      </w:pPr>
      <w:r w:rsidRPr="00F23B84">
        <w:rPr>
          <w:rFonts w:ascii="Arial" w:hAnsi="Arial" w:cs="Arial"/>
        </w:rPr>
        <w:t>AJ Porteous</w:t>
      </w:r>
    </w:p>
    <w:p w14:paraId="73A47371" w14:textId="77777777" w:rsidR="00C92C15" w:rsidRPr="00F23B84" w:rsidRDefault="00C92C15" w:rsidP="00C92C15">
      <w:pPr>
        <w:rPr>
          <w:rFonts w:ascii="Arial" w:hAnsi="Arial" w:cs="Arial"/>
        </w:rPr>
      </w:pPr>
      <w:r w:rsidRPr="00F23B84">
        <w:rPr>
          <w:rFonts w:ascii="Arial" w:hAnsi="Arial" w:cs="Arial"/>
        </w:rPr>
        <w:t>JR Robinson</w:t>
      </w:r>
    </w:p>
    <w:p w14:paraId="5E35E4C5" w14:textId="77777777" w:rsidR="00943D7C" w:rsidRDefault="00943D7C" w:rsidP="00943D7C">
      <w:pPr>
        <w:rPr>
          <w:rFonts w:ascii="Arial" w:hAnsi="Arial" w:cs="Arial"/>
          <w:b/>
          <w:bCs/>
        </w:rPr>
      </w:pPr>
    </w:p>
    <w:p w14:paraId="69BC28E9" w14:textId="256A06DB" w:rsidR="00943D7C" w:rsidRPr="00F23B84" w:rsidRDefault="00943D7C" w:rsidP="00943D7C">
      <w:pPr>
        <w:rPr>
          <w:rFonts w:ascii="Arial" w:hAnsi="Arial" w:cs="Arial"/>
          <w:b/>
          <w:bCs/>
        </w:rPr>
      </w:pPr>
      <w:r w:rsidRPr="00F23B84">
        <w:rPr>
          <w:rFonts w:ascii="Arial" w:hAnsi="Arial" w:cs="Arial"/>
          <w:b/>
          <w:bCs/>
        </w:rPr>
        <w:t xml:space="preserve">Bristol Knee </w:t>
      </w:r>
      <w:r>
        <w:rPr>
          <w:rFonts w:ascii="Arial" w:hAnsi="Arial" w:cs="Arial"/>
          <w:b/>
          <w:bCs/>
        </w:rPr>
        <w:t>Research Team</w:t>
      </w:r>
      <w:r w:rsidRPr="00F23B84">
        <w:rPr>
          <w:rFonts w:ascii="Arial" w:hAnsi="Arial" w:cs="Arial"/>
          <w:b/>
          <w:bCs/>
        </w:rPr>
        <w:t>:</w:t>
      </w:r>
    </w:p>
    <w:p w14:paraId="6A5A571F" w14:textId="466BDFDC" w:rsidR="00F433C6" w:rsidRDefault="00271C55" w:rsidP="00C11B7C">
      <w:pPr>
        <w:rPr>
          <w:rFonts w:ascii="Arial" w:hAnsi="Arial" w:cs="Arial"/>
        </w:rPr>
      </w:pPr>
      <w:r>
        <w:rPr>
          <w:rFonts w:ascii="Arial" w:hAnsi="Arial" w:cs="Arial"/>
        </w:rPr>
        <w:t>R Bray</w:t>
      </w:r>
    </w:p>
    <w:p w14:paraId="3377E792" w14:textId="71D56C80" w:rsidR="00271C55" w:rsidRDefault="00271C55" w:rsidP="00C11B7C">
      <w:pPr>
        <w:rPr>
          <w:rFonts w:ascii="Arial" w:hAnsi="Arial" w:cs="Arial"/>
        </w:rPr>
      </w:pPr>
      <w:r>
        <w:rPr>
          <w:rFonts w:ascii="Arial" w:hAnsi="Arial" w:cs="Arial"/>
        </w:rPr>
        <w:t>K Macdonald-Taylor</w:t>
      </w:r>
    </w:p>
    <w:p w14:paraId="66BD2794" w14:textId="05596887" w:rsidR="00271C55" w:rsidRDefault="00271C55" w:rsidP="00C11B7C">
      <w:pPr>
        <w:rPr>
          <w:rFonts w:ascii="Arial" w:hAnsi="Arial" w:cs="Arial"/>
        </w:rPr>
      </w:pPr>
      <w:r>
        <w:rPr>
          <w:rFonts w:ascii="Arial" w:hAnsi="Arial" w:cs="Arial"/>
        </w:rPr>
        <w:t>S Miller</w:t>
      </w:r>
    </w:p>
    <w:p w14:paraId="6E0193EE" w14:textId="01A43D06" w:rsidR="00271C55" w:rsidRDefault="00271C55" w:rsidP="00C11B7C">
      <w:pPr>
        <w:rPr>
          <w:rFonts w:ascii="Arial" w:hAnsi="Arial" w:cs="Arial"/>
        </w:rPr>
      </w:pPr>
      <w:r>
        <w:rPr>
          <w:rFonts w:ascii="Arial" w:hAnsi="Arial" w:cs="Arial"/>
        </w:rPr>
        <w:t>C Nugent</w:t>
      </w:r>
    </w:p>
    <w:p w14:paraId="27465327" w14:textId="77777777" w:rsidR="00F6480E" w:rsidRPr="00F23B84" w:rsidRDefault="00F6480E" w:rsidP="00C11B7C">
      <w:pPr>
        <w:rPr>
          <w:rFonts w:ascii="Arial" w:hAnsi="Arial" w:cs="Arial"/>
        </w:rPr>
      </w:pPr>
    </w:p>
    <w:p w14:paraId="3CDD19D5" w14:textId="7309A2CC" w:rsidR="00F6480E" w:rsidRPr="00F23B84" w:rsidRDefault="00F6480E" w:rsidP="00C11B7C">
      <w:pPr>
        <w:rPr>
          <w:rFonts w:ascii="Arial" w:hAnsi="Arial" w:cs="Arial"/>
          <w:b/>
          <w:bCs/>
        </w:rPr>
      </w:pPr>
      <w:r w:rsidRPr="00F23B84">
        <w:rPr>
          <w:rFonts w:ascii="Arial" w:hAnsi="Arial" w:cs="Arial"/>
          <w:b/>
          <w:bCs/>
        </w:rPr>
        <w:t>Highlights</w:t>
      </w:r>
    </w:p>
    <w:p w14:paraId="731351DE" w14:textId="087A3BF9" w:rsidR="00F6480E" w:rsidRPr="00F64F59" w:rsidRDefault="00F6480E" w:rsidP="00F64F59">
      <w:pPr>
        <w:pStyle w:val="ListParagraph"/>
        <w:numPr>
          <w:ilvl w:val="0"/>
          <w:numId w:val="4"/>
        </w:numPr>
        <w:rPr>
          <w:rFonts w:ascii="Arial" w:hAnsi="Arial" w:cs="Arial"/>
        </w:rPr>
      </w:pPr>
      <w:r w:rsidRPr="00F64F59">
        <w:rPr>
          <w:rFonts w:ascii="Arial" w:hAnsi="Arial" w:cs="Arial"/>
        </w:rPr>
        <w:t>Survival at a mean follow-up of eight years i</w:t>
      </w:r>
      <w:r w:rsidR="00CE051D" w:rsidRPr="00F64F59">
        <w:rPr>
          <w:rFonts w:ascii="Arial" w:hAnsi="Arial" w:cs="Arial"/>
        </w:rPr>
        <w:t>s 94.5%</w:t>
      </w:r>
    </w:p>
    <w:p w14:paraId="42597361" w14:textId="6591BECF" w:rsidR="00F6480E" w:rsidRPr="00F64F59" w:rsidRDefault="00F6480E" w:rsidP="00F64F59">
      <w:pPr>
        <w:pStyle w:val="ListParagraph"/>
        <w:numPr>
          <w:ilvl w:val="0"/>
          <w:numId w:val="4"/>
        </w:numPr>
        <w:rPr>
          <w:rFonts w:ascii="Arial" w:hAnsi="Arial" w:cs="Arial"/>
        </w:rPr>
      </w:pPr>
      <w:r w:rsidRPr="00F64F59">
        <w:rPr>
          <w:rFonts w:ascii="Arial" w:hAnsi="Arial" w:cs="Arial"/>
        </w:rPr>
        <w:lastRenderedPageBreak/>
        <w:t>Median Oxford Knee Score at eight years</w:t>
      </w:r>
      <w:r w:rsidR="00C03B5E" w:rsidRPr="00F64F59">
        <w:rPr>
          <w:rFonts w:ascii="Arial" w:hAnsi="Arial" w:cs="Arial"/>
        </w:rPr>
        <w:t xml:space="preserve"> was 42</w:t>
      </w:r>
      <w:r w:rsidR="003B5B35" w:rsidRPr="00F64F59">
        <w:rPr>
          <w:rFonts w:ascii="Arial" w:hAnsi="Arial" w:cs="Arial"/>
        </w:rPr>
        <w:t xml:space="preserve"> (where 48 is the best score, equivalent 87.5%)</w:t>
      </w:r>
    </w:p>
    <w:p w14:paraId="312220AD" w14:textId="394E89B4" w:rsidR="00F6480E" w:rsidRPr="00F64F59" w:rsidRDefault="000D72FE" w:rsidP="00F64F59">
      <w:pPr>
        <w:pStyle w:val="ListParagraph"/>
        <w:numPr>
          <w:ilvl w:val="0"/>
          <w:numId w:val="4"/>
        </w:numPr>
        <w:rPr>
          <w:rFonts w:ascii="Arial" w:hAnsi="Arial" w:cs="Arial"/>
        </w:rPr>
      </w:pPr>
      <w:r>
        <w:rPr>
          <w:rFonts w:ascii="Arial" w:hAnsi="Arial" w:cs="Arial"/>
        </w:rPr>
        <w:t>The m</w:t>
      </w:r>
      <w:r w:rsidR="00F6480E" w:rsidRPr="00F64F59">
        <w:rPr>
          <w:rFonts w:ascii="Arial" w:hAnsi="Arial" w:cs="Arial"/>
        </w:rPr>
        <w:t>ost common reason for early failure was</w:t>
      </w:r>
      <w:r w:rsidR="00CE051D" w:rsidRPr="00F64F59">
        <w:rPr>
          <w:rFonts w:ascii="Arial" w:hAnsi="Arial" w:cs="Arial"/>
        </w:rPr>
        <w:t xml:space="preserve"> tibial </w:t>
      </w:r>
      <w:r w:rsidR="00C92C15" w:rsidRPr="00F64F59">
        <w:rPr>
          <w:rFonts w:ascii="Arial" w:hAnsi="Arial" w:cs="Arial"/>
        </w:rPr>
        <w:t>in origin – subsidence, fracture and malalignment</w:t>
      </w:r>
      <w:r w:rsidR="00561D22" w:rsidRPr="00F64F59">
        <w:rPr>
          <w:rFonts w:ascii="Arial" w:hAnsi="Arial" w:cs="Arial"/>
        </w:rPr>
        <w:t>.</w:t>
      </w:r>
    </w:p>
    <w:p w14:paraId="699ED628" w14:textId="77777777" w:rsidR="003B5B35" w:rsidRDefault="003B5B35">
      <w:pPr>
        <w:rPr>
          <w:rFonts w:ascii="Arial" w:hAnsi="Arial" w:cs="Arial"/>
        </w:rPr>
      </w:pPr>
      <w:r>
        <w:rPr>
          <w:rFonts w:ascii="Arial" w:hAnsi="Arial" w:cs="Arial"/>
        </w:rPr>
        <w:br w:type="page"/>
      </w:r>
    </w:p>
    <w:p w14:paraId="7046E730" w14:textId="0FFCA050" w:rsidR="007C1964" w:rsidRPr="00271C55" w:rsidRDefault="007C1964" w:rsidP="00C11B7C">
      <w:pPr>
        <w:rPr>
          <w:rFonts w:ascii="Arial" w:hAnsi="Arial" w:cs="Arial"/>
        </w:rPr>
      </w:pPr>
      <w:r w:rsidRPr="00F23B84">
        <w:rPr>
          <w:rFonts w:ascii="Arial" w:hAnsi="Arial" w:cs="Arial"/>
          <w:b/>
          <w:bCs/>
        </w:rPr>
        <w:lastRenderedPageBreak/>
        <w:t>Abstract</w:t>
      </w:r>
    </w:p>
    <w:p w14:paraId="196AEDFF" w14:textId="36391180" w:rsidR="007C1964" w:rsidRPr="00F23B84" w:rsidRDefault="007C1964" w:rsidP="00C11B7C">
      <w:pPr>
        <w:rPr>
          <w:rFonts w:ascii="Arial" w:hAnsi="Arial" w:cs="Arial"/>
        </w:rPr>
      </w:pPr>
    </w:p>
    <w:p w14:paraId="17370A55" w14:textId="77777777" w:rsidR="00543690" w:rsidRPr="00F23B84" w:rsidRDefault="00543690" w:rsidP="00C11B7C">
      <w:pPr>
        <w:rPr>
          <w:rFonts w:ascii="Arial" w:hAnsi="Arial" w:cs="Arial"/>
        </w:rPr>
      </w:pPr>
    </w:p>
    <w:p w14:paraId="78B201F3" w14:textId="6F499EEC" w:rsidR="00AC2CD4" w:rsidRPr="00F23B84" w:rsidRDefault="00AC2CD4" w:rsidP="00C11B7C">
      <w:pPr>
        <w:rPr>
          <w:rFonts w:ascii="Arial" w:hAnsi="Arial" w:cs="Arial"/>
        </w:rPr>
      </w:pPr>
      <w:r w:rsidRPr="00F23B84">
        <w:rPr>
          <w:rFonts w:ascii="Arial" w:hAnsi="Arial" w:cs="Arial"/>
          <w:b/>
          <w:bCs/>
        </w:rPr>
        <w:t>Purpose</w:t>
      </w:r>
      <w:r w:rsidRPr="00F23B84">
        <w:rPr>
          <w:rFonts w:ascii="Arial" w:hAnsi="Arial" w:cs="Arial"/>
        </w:rPr>
        <w:t xml:space="preserve">: Unicompartmental knee replacement (UKR) has </w:t>
      </w:r>
      <w:r w:rsidR="00C03B5E" w:rsidRPr="00F23B84">
        <w:rPr>
          <w:rFonts w:ascii="Arial" w:hAnsi="Arial" w:cs="Arial"/>
        </w:rPr>
        <w:t>well documented benefits</w:t>
      </w:r>
      <w:r w:rsidRPr="00F23B84">
        <w:rPr>
          <w:rFonts w:ascii="Arial" w:hAnsi="Arial" w:cs="Arial"/>
        </w:rPr>
        <w:t xml:space="preserve"> over Total Knee Replacement (TKR)</w:t>
      </w:r>
      <w:r w:rsidR="00C03B5E" w:rsidRPr="00F23B84">
        <w:rPr>
          <w:rFonts w:ascii="Arial" w:hAnsi="Arial" w:cs="Arial"/>
        </w:rPr>
        <w:t xml:space="preserve"> in the treatment of anteromedial osteoarthritis of the knee. </w:t>
      </w:r>
      <w:r w:rsidRPr="00F23B84">
        <w:rPr>
          <w:rFonts w:ascii="Arial" w:hAnsi="Arial" w:cs="Arial"/>
        </w:rPr>
        <w:t>There has been a</w:t>
      </w:r>
      <w:r w:rsidR="00C03B5E" w:rsidRPr="00F23B84">
        <w:rPr>
          <w:rFonts w:ascii="Arial" w:hAnsi="Arial" w:cs="Arial"/>
        </w:rPr>
        <w:t>n increasing</w:t>
      </w:r>
      <w:r w:rsidRPr="00F23B84">
        <w:rPr>
          <w:rFonts w:ascii="Arial" w:hAnsi="Arial" w:cs="Arial"/>
        </w:rPr>
        <w:t xml:space="preserve"> move from cemented to cementless UKR over the last decade. This non-design centre study looks at our </w:t>
      </w:r>
      <w:r w:rsidR="00C03B5E" w:rsidRPr="00F23B84">
        <w:rPr>
          <w:rFonts w:ascii="Arial" w:hAnsi="Arial" w:cs="Arial"/>
        </w:rPr>
        <w:t xml:space="preserve">early </w:t>
      </w:r>
      <w:r w:rsidRPr="00F23B84">
        <w:rPr>
          <w:rFonts w:ascii="Arial" w:hAnsi="Arial" w:cs="Arial"/>
        </w:rPr>
        <w:t xml:space="preserve">experience with the cementless </w:t>
      </w:r>
      <w:r w:rsidR="00C92C15" w:rsidRPr="00F23B84">
        <w:rPr>
          <w:rFonts w:ascii="Arial" w:hAnsi="Arial" w:cs="Arial"/>
        </w:rPr>
        <w:t>O</w:t>
      </w:r>
      <w:r w:rsidRPr="00F23B84">
        <w:rPr>
          <w:rFonts w:ascii="Arial" w:hAnsi="Arial" w:cs="Arial"/>
        </w:rPr>
        <w:t>xford medial partial knee replacement and provide</w:t>
      </w:r>
      <w:r w:rsidR="00C03B5E" w:rsidRPr="00F23B84">
        <w:rPr>
          <w:rFonts w:ascii="Arial" w:hAnsi="Arial" w:cs="Arial"/>
        </w:rPr>
        <w:t>s</w:t>
      </w:r>
      <w:r w:rsidRPr="00F23B84">
        <w:rPr>
          <w:rFonts w:ascii="Arial" w:hAnsi="Arial" w:cs="Arial"/>
        </w:rPr>
        <w:t xml:space="preserve"> medium term </w:t>
      </w:r>
      <w:r w:rsidR="00283B92">
        <w:rPr>
          <w:rFonts w:ascii="Arial" w:hAnsi="Arial" w:cs="Arial"/>
        </w:rPr>
        <w:t>revision</w:t>
      </w:r>
      <w:r w:rsidRPr="00F23B84">
        <w:rPr>
          <w:rFonts w:ascii="Arial" w:hAnsi="Arial" w:cs="Arial"/>
        </w:rPr>
        <w:t xml:space="preserve"> data as well as Patient </w:t>
      </w:r>
      <w:r w:rsidR="003B5B35">
        <w:rPr>
          <w:rFonts w:ascii="Arial" w:hAnsi="Arial" w:cs="Arial"/>
        </w:rPr>
        <w:t>R</w:t>
      </w:r>
      <w:r w:rsidRPr="00F23B84">
        <w:rPr>
          <w:rFonts w:ascii="Arial" w:hAnsi="Arial" w:cs="Arial"/>
        </w:rPr>
        <w:t>eported Outcome Measures (PROM</w:t>
      </w:r>
      <w:r w:rsidR="003B5B35">
        <w:rPr>
          <w:rFonts w:ascii="Arial" w:hAnsi="Arial" w:cs="Arial"/>
        </w:rPr>
        <w:t>s</w:t>
      </w:r>
      <w:r w:rsidRPr="00F23B84">
        <w:rPr>
          <w:rFonts w:ascii="Arial" w:hAnsi="Arial" w:cs="Arial"/>
        </w:rPr>
        <w:t>).</w:t>
      </w:r>
    </w:p>
    <w:p w14:paraId="3C90F277" w14:textId="4FC5767A" w:rsidR="00AC2CD4" w:rsidRPr="00F23B84" w:rsidRDefault="00AC2CD4" w:rsidP="00C11B7C">
      <w:pPr>
        <w:rPr>
          <w:rFonts w:ascii="Arial" w:hAnsi="Arial" w:cs="Arial"/>
        </w:rPr>
      </w:pPr>
      <w:r w:rsidRPr="00F23B84">
        <w:rPr>
          <w:rFonts w:ascii="Arial" w:hAnsi="Arial" w:cs="Arial"/>
          <w:b/>
          <w:bCs/>
        </w:rPr>
        <w:t>Methods</w:t>
      </w:r>
      <w:r w:rsidRPr="00F23B84">
        <w:rPr>
          <w:rFonts w:ascii="Arial" w:hAnsi="Arial" w:cs="Arial"/>
        </w:rPr>
        <w:t>: A</w:t>
      </w:r>
      <w:r w:rsidR="007C5B6F" w:rsidRPr="00F23B84">
        <w:rPr>
          <w:rFonts w:ascii="Arial" w:hAnsi="Arial" w:cs="Arial"/>
        </w:rPr>
        <w:t xml:space="preserve"> </w:t>
      </w:r>
      <w:r w:rsidRPr="00F23B84">
        <w:rPr>
          <w:rFonts w:ascii="Arial" w:hAnsi="Arial" w:cs="Arial"/>
        </w:rPr>
        <w:t xml:space="preserve">cohort of 200 </w:t>
      </w:r>
      <w:r w:rsidR="007C5B6F" w:rsidRPr="00F23B84">
        <w:rPr>
          <w:rFonts w:ascii="Arial" w:hAnsi="Arial" w:cs="Arial"/>
        </w:rPr>
        <w:t xml:space="preserve">consecutive </w:t>
      </w:r>
      <w:r w:rsidRPr="00F23B84">
        <w:rPr>
          <w:rFonts w:ascii="Arial" w:hAnsi="Arial" w:cs="Arial"/>
        </w:rPr>
        <w:t>patients</w:t>
      </w:r>
      <w:r w:rsidR="007C5B6F" w:rsidRPr="00F23B84">
        <w:rPr>
          <w:rFonts w:ascii="Arial" w:hAnsi="Arial" w:cs="Arial"/>
        </w:rPr>
        <w:t xml:space="preserve"> undergoing </w:t>
      </w:r>
      <w:r w:rsidR="00C92C15" w:rsidRPr="00F23B84">
        <w:rPr>
          <w:rFonts w:ascii="Arial" w:hAnsi="Arial" w:cs="Arial"/>
        </w:rPr>
        <w:t>m</w:t>
      </w:r>
      <w:r w:rsidR="007C5B6F" w:rsidRPr="00F23B84">
        <w:rPr>
          <w:rFonts w:ascii="Arial" w:hAnsi="Arial" w:cs="Arial"/>
        </w:rPr>
        <w:t xml:space="preserve">edial UKR using the cementless </w:t>
      </w:r>
      <w:r w:rsidR="00C92C15" w:rsidRPr="00F23B84">
        <w:rPr>
          <w:rFonts w:ascii="Arial" w:hAnsi="Arial" w:cs="Arial"/>
        </w:rPr>
        <w:t>O</w:t>
      </w:r>
      <w:r w:rsidR="007C5B6F" w:rsidRPr="00F23B84">
        <w:rPr>
          <w:rFonts w:ascii="Arial" w:hAnsi="Arial" w:cs="Arial"/>
        </w:rPr>
        <w:t xml:space="preserve">xford </w:t>
      </w:r>
      <w:r w:rsidR="000D72FE">
        <w:rPr>
          <w:rFonts w:ascii="Arial" w:hAnsi="Arial" w:cs="Arial"/>
        </w:rPr>
        <w:t>were</w:t>
      </w:r>
      <w:r w:rsidR="003B5B35">
        <w:rPr>
          <w:rFonts w:ascii="Arial" w:hAnsi="Arial" w:cs="Arial"/>
        </w:rPr>
        <w:t xml:space="preserve"> identified</w:t>
      </w:r>
      <w:r w:rsidR="007C5B6F" w:rsidRPr="00F23B84">
        <w:rPr>
          <w:rFonts w:ascii="Arial" w:hAnsi="Arial" w:cs="Arial"/>
        </w:rPr>
        <w:t>.</w:t>
      </w:r>
      <w:r w:rsidR="00C03B5E" w:rsidRPr="00F23B84">
        <w:rPr>
          <w:rFonts w:ascii="Arial" w:hAnsi="Arial" w:cs="Arial"/>
        </w:rPr>
        <w:t xml:space="preserve"> </w:t>
      </w:r>
      <w:r w:rsidR="007C5B6F" w:rsidRPr="00F23B84">
        <w:rPr>
          <w:rFonts w:ascii="Arial" w:hAnsi="Arial" w:cs="Arial"/>
        </w:rPr>
        <w:t xml:space="preserve">Cases were </w:t>
      </w:r>
      <w:r w:rsidR="00C03B5E" w:rsidRPr="00F23B84">
        <w:rPr>
          <w:rFonts w:ascii="Arial" w:hAnsi="Arial" w:cs="Arial"/>
        </w:rPr>
        <w:t>performed in a single centre</w:t>
      </w:r>
      <w:r w:rsidRPr="00F23B84">
        <w:rPr>
          <w:rFonts w:ascii="Arial" w:hAnsi="Arial" w:cs="Arial"/>
        </w:rPr>
        <w:t xml:space="preserve"> </w:t>
      </w:r>
      <w:r w:rsidR="003307F5" w:rsidRPr="00F23B84">
        <w:rPr>
          <w:rFonts w:ascii="Arial" w:hAnsi="Arial" w:cs="Arial"/>
        </w:rPr>
        <w:t xml:space="preserve">under the care of one of four </w:t>
      </w:r>
      <w:r w:rsidR="003B5B35">
        <w:rPr>
          <w:rFonts w:ascii="Arial" w:hAnsi="Arial" w:cs="Arial"/>
        </w:rPr>
        <w:t>c</w:t>
      </w:r>
      <w:r w:rsidR="003307F5" w:rsidRPr="00F23B84">
        <w:rPr>
          <w:rFonts w:ascii="Arial" w:hAnsi="Arial" w:cs="Arial"/>
        </w:rPr>
        <w:t>onsultant knee surgeons</w:t>
      </w:r>
      <w:r w:rsidR="00171356" w:rsidRPr="00F23B84">
        <w:rPr>
          <w:rFonts w:ascii="Arial" w:hAnsi="Arial" w:cs="Arial"/>
        </w:rPr>
        <w:t>.</w:t>
      </w:r>
      <w:r w:rsidR="00C03B5E" w:rsidRPr="00F23B84">
        <w:rPr>
          <w:rFonts w:ascii="Arial" w:hAnsi="Arial" w:cs="Arial"/>
        </w:rPr>
        <w:t xml:space="preserve"> </w:t>
      </w:r>
      <w:r w:rsidR="008F23F1" w:rsidRPr="00F23B84">
        <w:rPr>
          <w:rFonts w:ascii="Arial" w:hAnsi="Arial" w:cs="Arial"/>
        </w:rPr>
        <w:t xml:space="preserve">All patients </w:t>
      </w:r>
      <w:r w:rsidR="007C5B6F" w:rsidRPr="00F23B84">
        <w:rPr>
          <w:rFonts w:ascii="Arial" w:hAnsi="Arial" w:cs="Arial"/>
        </w:rPr>
        <w:t>were</w:t>
      </w:r>
      <w:r w:rsidRPr="00F23B84">
        <w:rPr>
          <w:rFonts w:ascii="Arial" w:hAnsi="Arial" w:cs="Arial"/>
        </w:rPr>
        <w:t xml:space="preserve"> </w:t>
      </w:r>
      <w:r w:rsidR="003B5B35">
        <w:rPr>
          <w:rFonts w:ascii="Arial" w:hAnsi="Arial" w:cs="Arial"/>
        </w:rPr>
        <w:t xml:space="preserve">beyond the </w:t>
      </w:r>
      <w:r w:rsidRPr="00F23B84">
        <w:rPr>
          <w:rFonts w:ascii="Arial" w:hAnsi="Arial" w:cs="Arial"/>
        </w:rPr>
        <w:t>five year</w:t>
      </w:r>
      <w:r w:rsidR="003B5B35">
        <w:rPr>
          <w:rFonts w:ascii="Arial" w:hAnsi="Arial" w:cs="Arial"/>
        </w:rPr>
        <w:t xml:space="preserve"> minimum timepoint</w:t>
      </w:r>
      <w:r w:rsidR="007C5B6F" w:rsidRPr="00F23B84">
        <w:rPr>
          <w:rFonts w:ascii="Arial" w:hAnsi="Arial" w:cs="Arial"/>
        </w:rPr>
        <w:t xml:space="preserve"> following UKR surgery in order to produce medium term</w:t>
      </w:r>
      <w:r w:rsidR="003B5B35">
        <w:rPr>
          <w:rFonts w:ascii="Arial" w:hAnsi="Arial" w:cs="Arial"/>
        </w:rPr>
        <w:t xml:space="preserve"> results at a mean of 7.9 years</w:t>
      </w:r>
      <w:r w:rsidR="00C03B5E" w:rsidRPr="00F23B84">
        <w:rPr>
          <w:rFonts w:ascii="Arial" w:hAnsi="Arial" w:cs="Arial"/>
        </w:rPr>
        <w:t>. Patie</w:t>
      </w:r>
      <w:r w:rsidR="00CB432B" w:rsidRPr="00F23B84">
        <w:rPr>
          <w:rFonts w:ascii="Arial" w:hAnsi="Arial" w:cs="Arial"/>
        </w:rPr>
        <w:t>n</w:t>
      </w:r>
      <w:r w:rsidR="00C03B5E" w:rsidRPr="00F23B84">
        <w:rPr>
          <w:rFonts w:ascii="Arial" w:hAnsi="Arial" w:cs="Arial"/>
        </w:rPr>
        <w:t>ts</w:t>
      </w:r>
      <w:r w:rsidRPr="00F23B84">
        <w:rPr>
          <w:rFonts w:ascii="Arial" w:hAnsi="Arial" w:cs="Arial"/>
        </w:rPr>
        <w:t xml:space="preserve"> were</w:t>
      </w:r>
      <w:r w:rsidR="00C03B5E" w:rsidRPr="00F23B84">
        <w:rPr>
          <w:rFonts w:ascii="Arial" w:hAnsi="Arial" w:cs="Arial"/>
        </w:rPr>
        <w:t xml:space="preserve"> identified </w:t>
      </w:r>
      <w:r w:rsidR="003B5B35">
        <w:rPr>
          <w:rFonts w:ascii="Arial" w:hAnsi="Arial" w:cs="Arial"/>
        </w:rPr>
        <w:t xml:space="preserve">from our knee group prospectively collected </w:t>
      </w:r>
      <w:r w:rsidR="00C03B5E" w:rsidRPr="00F23B84">
        <w:rPr>
          <w:rFonts w:ascii="Arial" w:hAnsi="Arial" w:cs="Arial"/>
        </w:rPr>
        <w:t>database</w:t>
      </w:r>
      <w:r w:rsidR="003B5B35">
        <w:rPr>
          <w:rFonts w:ascii="Arial" w:hAnsi="Arial" w:cs="Arial"/>
        </w:rPr>
        <w:t xml:space="preserve"> following clinical governance approval for this study</w:t>
      </w:r>
      <w:r w:rsidR="00C7716B">
        <w:rPr>
          <w:rFonts w:ascii="Arial" w:hAnsi="Arial" w:cs="Arial"/>
        </w:rPr>
        <w:t>.</w:t>
      </w:r>
      <w:r w:rsidR="007C5B6F" w:rsidRPr="00F23B84">
        <w:rPr>
          <w:rFonts w:ascii="Arial" w:hAnsi="Arial" w:cs="Arial"/>
        </w:rPr>
        <w:t xml:space="preserve"> </w:t>
      </w:r>
      <w:r w:rsidR="00C7716B">
        <w:rPr>
          <w:rFonts w:ascii="Arial" w:hAnsi="Arial" w:cs="Arial"/>
        </w:rPr>
        <w:t xml:space="preserve">Patients </w:t>
      </w:r>
      <w:r w:rsidR="003B5B35">
        <w:rPr>
          <w:rFonts w:ascii="Arial" w:hAnsi="Arial" w:cs="Arial"/>
        </w:rPr>
        <w:t xml:space="preserve">with </w:t>
      </w:r>
      <w:r w:rsidR="00C7716B">
        <w:rPr>
          <w:rFonts w:ascii="Arial" w:hAnsi="Arial" w:cs="Arial"/>
        </w:rPr>
        <w:t>less than five years post-operative</w:t>
      </w:r>
      <w:r w:rsidR="003B5B35">
        <w:rPr>
          <w:rFonts w:ascii="Arial" w:hAnsi="Arial" w:cs="Arial"/>
        </w:rPr>
        <w:t xml:space="preserve"> follow-up were excluded. </w:t>
      </w:r>
      <w:r w:rsidR="007C5B6F" w:rsidRPr="00F23B84">
        <w:rPr>
          <w:rFonts w:ascii="Arial" w:hAnsi="Arial" w:cs="Arial"/>
        </w:rPr>
        <w:t xml:space="preserve">Eligible patients </w:t>
      </w:r>
      <w:r w:rsidR="00EE469C" w:rsidRPr="00F23B84">
        <w:rPr>
          <w:rFonts w:ascii="Arial" w:hAnsi="Arial" w:cs="Arial"/>
        </w:rPr>
        <w:t>complet</w:t>
      </w:r>
      <w:r w:rsidR="007C5B6F" w:rsidRPr="00F23B84">
        <w:rPr>
          <w:rFonts w:ascii="Arial" w:hAnsi="Arial" w:cs="Arial"/>
        </w:rPr>
        <w:t>ed</w:t>
      </w:r>
      <w:r w:rsidR="00EE469C" w:rsidRPr="00F23B84">
        <w:rPr>
          <w:rFonts w:ascii="Arial" w:hAnsi="Arial" w:cs="Arial"/>
        </w:rPr>
        <w:t xml:space="preserve"> a postal questionnaire</w:t>
      </w:r>
      <w:r w:rsidR="0056459D" w:rsidRPr="00F23B84">
        <w:rPr>
          <w:rFonts w:ascii="Arial" w:hAnsi="Arial" w:cs="Arial"/>
        </w:rPr>
        <w:t xml:space="preserve"> to collect PROM</w:t>
      </w:r>
      <w:r w:rsidR="003B5B35">
        <w:rPr>
          <w:rFonts w:ascii="Arial" w:hAnsi="Arial" w:cs="Arial"/>
        </w:rPr>
        <w:t>s</w:t>
      </w:r>
      <w:r w:rsidR="00283B92">
        <w:rPr>
          <w:rFonts w:ascii="Arial" w:hAnsi="Arial" w:cs="Arial"/>
        </w:rPr>
        <w:t>:</w:t>
      </w:r>
      <w:r w:rsidR="00C03B5E" w:rsidRPr="00F23B84">
        <w:rPr>
          <w:rFonts w:ascii="Arial" w:hAnsi="Arial" w:cs="Arial"/>
        </w:rPr>
        <w:t xml:space="preserve"> Oxford Knee Score, WOMAC and modified American Knee Society Score questionnaires in January 2020</w:t>
      </w:r>
      <w:r w:rsidR="000D72FE">
        <w:rPr>
          <w:rFonts w:ascii="Arial" w:hAnsi="Arial" w:cs="Arial"/>
        </w:rPr>
        <w:t xml:space="preserve"> and had t</w:t>
      </w:r>
      <w:r w:rsidR="003B5B35">
        <w:rPr>
          <w:rFonts w:ascii="Arial" w:hAnsi="Arial" w:cs="Arial"/>
        </w:rPr>
        <w:t>he</w:t>
      </w:r>
      <w:r w:rsidR="000D72FE">
        <w:rPr>
          <w:rFonts w:ascii="Arial" w:hAnsi="Arial" w:cs="Arial"/>
        </w:rPr>
        <w:t>ir</w:t>
      </w:r>
      <w:r w:rsidR="003B5B35" w:rsidRPr="00F23B84">
        <w:rPr>
          <w:rFonts w:ascii="Arial" w:hAnsi="Arial" w:cs="Arial"/>
        </w:rPr>
        <w:t xml:space="preserve"> clinic</w:t>
      </w:r>
      <w:r w:rsidR="003B5B35">
        <w:rPr>
          <w:rFonts w:ascii="Arial" w:hAnsi="Arial" w:cs="Arial"/>
        </w:rPr>
        <w:t>al record</w:t>
      </w:r>
      <w:r w:rsidR="000D72FE">
        <w:rPr>
          <w:rFonts w:ascii="Arial" w:hAnsi="Arial" w:cs="Arial"/>
        </w:rPr>
        <w:t>s</w:t>
      </w:r>
      <w:r w:rsidR="003B5B35">
        <w:rPr>
          <w:rFonts w:ascii="Arial" w:hAnsi="Arial" w:cs="Arial"/>
        </w:rPr>
        <w:t xml:space="preserve"> reviewed.</w:t>
      </w:r>
      <w:r w:rsidR="003B5B35" w:rsidRPr="00F23B84">
        <w:rPr>
          <w:rFonts w:ascii="Arial" w:hAnsi="Arial" w:cs="Arial"/>
        </w:rPr>
        <w:t xml:space="preserve"> </w:t>
      </w:r>
    </w:p>
    <w:p w14:paraId="5B15C5BD" w14:textId="2446C68A" w:rsidR="00AC2CD4" w:rsidRPr="00F23B84" w:rsidRDefault="00AC2CD4" w:rsidP="00C11B7C">
      <w:pPr>
        <w:rPr>
          <w:rFonts w:ascii="Arial" w:hAnsi="Arial" w:cs="Arial"/>
        </w:rPr>
      </w:pPr>
      <w:r w:rsidRPr="00F23B84">
        <w:rPr>
          <w:rFonts w:ascii="Arial" w:hAnsi="Arial" w:cs="Arial"/>
          <w:b/>
          <w:bCs/>
        </w:rPr>
        <w:t>Results</w:t>
      </w:r>
      <w:r w:rsidRPr="00F23B84">
        <w:rPr>
          <w:rFonts w:ascii="Arial" w:hAnsi="Arial" w:cs="Arial"/>
        </w:rPr>
        <w:t>: Our study shows survivorship</w:t>
      </w:r>
      <w:r w:rsidR="0056459D" w:rsidRPr="00F23B84">
        <w:rPr>
          <w:rFonts w:ascii="Arial" w:hAnsi="Arial" w:cs="Arial"/>
        </w:rPr>
        <w:t xml:space="preserve"> of</w:t>
      </w:r>
      <w:r w:rsidRPr="00F23B84">
        <w:rPr>
          <w:rFonts w:ascii="Arial" w:hAnsi="Arial" w:cs="Arial"/>
        </w:rPr>
        <w:t xml:space="preserve"> 94.5% at a mean follow up of 7.9 years following surgery. </w:t>
      </w:r>
      <w:r w:rsidR="000D79B2" w:rsidRPr="00F23B84">
        <w:rPr>
          <w:rFonts w:ascii="Arial" w:hAnsi="Arial" w:cs="Arial"/>
        </w:rPr>
        <w:t>There were 11 failures in total with a three percent risk of re-operation within the first 18 months following surgery.</w:t>
      </w:r>
      <w:r w:rsidR="00CC5CFA">
        <w:rPr>
          <w:rFonts w:ascii="Arial" w:hAnsi="Arial" w:cs="Arial"/>
        </w:rPr>
        <w:t xml:space="preserve"> </w:t>
      </w:r>
      <w:r w:rsidRPr="00F23B84">
        <w:rPr>
          <w:rFonts w:ascii="Arial" w:hAnsi="Arial" w:cs="Arial"/>
        </w:rPr>
        <w:t xml:space="preserve">There was a sustained improvement in </w:t>
      </w:r>
      <w:r w:rsidR="007B5303" w:rsidRPr="00F23B84">
        <w:rPr>
          <w:rFonts w:ascii="Arial" w:hAnsi="Arial" w:cs="Arial"/>
        </w:rPr>
        <w:t>O</w:t>
      </w:r>
      <w:r w:rsidRPr="00F23B84">
        <w:rPr>
          <w:rFonts w:ascii="Arial" w:hAnsi="Arial" w:cs="Arial"/>
        </w:rPr>
        <w:t xml:space="preserve">xford </w:t>
      </w:r>
      <w:r w:rsidR="007B5303" w:rsidRPr="00F23B84">
        <w:rPr>
          <w:rFonts w:ascii="Arial" w:hAnsi="Arial" w:cs="Arial"/>
        </w:rPr>
        <w:t>K</w:t>
      </w:r>
      <w:r w:rsidRPr="00F23B84">
        <w:rPr>
          <w:rFonts w:ascii="Arial" w:hAnsi="Arial" w:cs="Arial"/>
        </w:rPr>
        <w:t xml:space="preserve">nee </w:t>
      </w:r>
      <w:r w:rsidR="007B5303" w:rsidRPr="00F23B84">
        <w:rPr>
          <w:rFonts w:ascii="Arial" w:hAnsi="Arial" w:cs="Arial"/>
        </w:rPr>
        <w:t>S</w:t>
      </w:r>
      <w:r w:rsidRPr="00F23B84">
        <w:rPr>
          <w:rFonts w:ascii="Arial" w:hAnsi="Arial" w:cs="Arial"/>
        </w:rPr>
        <w:t xml:space="preserve">core being nearly 20 points higher than pre-op scores.  </w:t>
      </w:r>
    </w:p>
    <w:p w14:paraId="44A21471" w14:textId="6BE2F455" w:rsidR="00543690" w:rsidRPr="00F23B84" w:rsidRDefault="00AC2CD4" w:rsidP="00C11B7C">
      <w:pPr>
        <w:rPr>
          <w:rFonts w:ascii="Arial" w:hAnsi="Arial" w:cs="Arial"/>
        </w:rPr>
      </w:pPr>
      <w:r w:rsidRPr="00F23B84">
        <w:rPr>
          <w:rFonts w:ascii="Arial" w:hAnsi="Arial" w:cs="Arial"/>
          <w:b/>
          <w:bCs/>
        </w:rPr>
        <w:t>Conclusions</w:t>
      </w:r>
      <w:r w:rsidRPr="00F23B84">
        <w:rPr>
          <w:rFonts w:ascii="Arial" w:hAnsi="Arial" w:cs="Arial"/>
        </w:rPr>
        <w:t>:</w:t>
      </w:r>
      <w:r w:rsidR="00B340F5" w:rsidRPr="00F23B84">
        <w:rPr>
          <w:rFonts w:ascii="Arial" w:hAnsi="Arial" w:cs="Arial"/>
        </w:rPr>
        <w:t xml:space="preserve"> </w:t>
      </w:r>
      <w:r w:rsidR="00C32C60" w:rsidRPr="00F23B84">
        <w:rPr>
          <w:rFonts w:ascii="Arial" w:hAnsi="Arial" w:cs="Arial"/>
        </w:rPr>
        <w:t xml:space="preserve">Our results </w:t>
      </w:r>
      <w:r w:rsidR="00F6480E" w:rsidRPr="00F23B84">
        <w:rPr>
          <w:rFonts w:ascii="Arial" w:hAnsi="Arial" w:cs="Arial"/>
        </w:rPr>
        <w:t>provide</w:t>
      </w:r>
      <w:r w:rsidR="00C32C60" w:rsidRPr="00F23B84">
        <w:rPr>
          <w:rFonts w:ascii="Arial" w:hAnsi="Arial" w:cs="Arial"/>
        </w:rPr>
        <w:t xml:space="preserve"> </w:t>
      </w:r>
      <w:r w:rsidR="00F6480E" w:rsidRPr="00F23B84">
        <w:rPr>
          <w:rFonts w:ascii="Arial" w:hAnsi="Arial" w:cs="Arial"/>
        </w:rPr>
        <w:t xml:space="preserve">further evidence that partial knee replacements </w:t>
      </w:r>
      <w:r w:rsidR="00353364" w:rsidRPr="00F23B84">
        <w:rPr>
          <w:rFonts w:ascii="Arial" w:hAnsi="Arial" w:cs="Arial"/>
        </w:rPr>
        <w:t xml:space="preserve">using the cementless </w:t>
      </w:r>
      <w:r w:rsidR="007B5303" w:rsidRPr="00F23B84">
        <w:rPr>
          <w:rFonts w:ascii="Arial" w:hAnsi="Arial" w:cs="Arial"/>
        </w:rPr>
        <w:t>Ox</w:t>
      </w:r>
      <w:r w:rsidR="00353364" w:rsidRPr="00F23B84">
        <w:rPr>
          <w:rFonts w:ascii="Arial" w:hAnsi="Arial" w:cs="Arial"/>
        </w:rPr>
        <w:t>ford provide good subjective outcome</w:t>
      </w:r>
      <w:r w:rsidR="00350918">
        <w:rPr>
          <w:rFonts w:ascii="Arial" w:hAnsi="Arial" w:cs="Arial"/>
        </w:rPr>
        <w:t>s</w:t>
      </w:r>
      <w:r w:rsidR="0056459D" w:rsidRPr="00F23B84">
        <w:rPr>
          <w:rFonts w:ascii="Arial" w:hAnsi="Arial" w:cs="Arial"/>
        </w:rPr>
        <w:t xml:space="preserve"> a</w:t>
      </w:r>
      <w:r w:rsidR="00350918">
        <w:rPr>
          <w:rFonts w:ascii="Arial" w:hAnsi="Arial" w:cs="Arial"/>
        </w:rPr>
        <w:t>s well as</w:t>
      </w:r>
      <w:r w:rsidR="0056459D" w:rsidRPr="00F23B84">
        <w:rPr>
          <w:rFonts w:ascii="Arial" w:hAnsi="Arial" w:cs="Arial"/>
        </w:rPr>
        <w:t xml:space="preserve"> survivorship</w:t>
      </w:r>
      <w:r w:rsidR="00B10263">
        <w:rPr>
          <w:rFonts w:ascii="Arial" w:hAnsi="Arial" w:cs="Arial"/>
        </w:rPr>
        <w:t>. W</w:t>
      </w:r>
      <w:r w:rsidR="00353364" w:rsidRPr="00F23B84">
        <w:rPr>
          <w:rFonts w:ascii="Arial" w:hAnsi="Arial" w:cs="Arial"/>
        </w:rPr>
        <w:t>hilst there may be a learning curve associated with learning new instrumentation</w:t>
      </w:r>
      <w:r w:rsidR="00B10263">
        <w:rPr>
          <w:rFonts w:ascii="Arial" w:hAnsi="Arial" w:cs="Arial"/>
        </w:rPr>
        <w:t>, our</w:t>
      </w:r>
      <w:r w:rsidR="00353364" w:rsidRPr="00F23B84">
        <w:rPr>
          <w:rFonts w:ascii="Arial" w:hAnsi="Arial" w:cs="Arial"/>
        </w:rPr>
        <w:t xml:space="preserve"> </w:t>
      </w:r>
      <w:r w:rsidR="00B10263">
        <w:rPr>
          <w:rFonts w:ascii="Arial" w:hAnsi="Arial" w:cs="Arial"/>
        </w:rPr>
        <w:t>r</w:t>
      </w:r>
      <w:r w:rsidR="00353364" w:rsidRPr="00F23B84">
        <w:rPr>
          <w:rFonts w:ascii="Arial" w:hAnsi="Arial" w:cs="Arial"/>
        </w:rPr>
        <w:t>evision rates are similar to th</w:t>
      </w:r>
      <w:r w:rsidR="006E01ED" w:rsidRPr="00F23B84">
        <w:rPr>
          <w:rFonts w:ascii="Arial" w:hAnsi="Arial" w:cs="Arial"/>
        </w:rPr>
        <w:t xml:space="preserve">ose published in the </w:t>
      </w:r>
      <w:r w:rsidR="007B5303" w:rsidRPr="00F23B84">
        <w:rPr>
          <w:rFonts w:ascii="Arial" w:hAnsi="Arial" w:cs="Arial"/>
        </w:rPr>
        <w:t>N</w:t>
      </w:r>
      <w:r w:rsidR="006E01ED" w:rsidRPr="00F23B84">
        <w:rPr>
          <w:rFonts w:ascii="Arial" w:hAnsi="Arial" w:cs="Arial"/>
        </w:rPr>
        <w:t xml:space="preserve">ational </w:t>
      </w:r>
      <w:r w:rsidR="007B5303" w:rsidRPr="00F23B84">
        <w:rPr>
          <w:rFonts w:ascii="Arial" w:hAnsi="Arial" w:cs="Arial"/>
        </w:rPr>
        <w:t>J</w:t>
      </w:r>
      <w:r w:rsidR="006E01ED" w:rsidRPr="00F23B84">
        <w:rPr>
          <w:rFonts w:ascii="Arial" w:hAnsi="Arial" w:cs="Arial"/>
        </w:rPr>
        <w:t xml:space="preserve">oint </w:t>
      </w:r>
      <w:r w:rsidR="007B5303" w:rsidRPr="00F23B84">
        <w:rPr>
          <w:rFonts w:ascii="Arial" w:hAnsi="Arial" w:cs="Arial"/>
        </w:rPr>
        <w:t>R</w:t>
      </w:r>
      <w:r w:rsidR="006E01ED" w:rsidRPr="00F23B84">
        <w:rPr>
          <w:rFonts w:ascii="Arial" w:hAnsi="Arial" w:cs="Arial"/>
        </w:rPr>
        <w:t>egistry</w:t>
      </w:r>
      <w:r w:rsidR="004428AF" w:rsidRPr="00F23B84">
        <w:rPr>
          <w:rFonts w:ascii="Arial" w:hAnsi="Arial" w:cs="Arial"/>
        </w:rPr>
        <w:t>. This</w:t>
      </w:r>
      <w:r w:rsidR="0056459D" w:rsidRPr="00F23B84">
        <w:rPr>
          <w:rFonts w:ascii="Arial" w:hAnsi="Arial" w:cs="Arial"/>
        </w:rPr>
        <w:t xml:space="preserve"> provides evidence of good clinical and survivorship outcome</w:t>
      </w:r>
      <w:r w:rsidR="004E2EB0">
        <w:rPr>
          <w:rFonts w:ascii="Arial" w:hAnsi="Arial" w:cs="Arial"/>
        </w:rPr>
        <w:t xml:space="preserve"> with partial knee replacement</w:t>
      </w:r>
      <w:r w:rsidR="003B5B35">
        <w:rPr>
          <w:rFonts w:ascii="Arial" w:hAnsi="Arial" w:cs="Arial"/>
        </w:rPr>
        <w:t xml:space="preserve"> of the medial tibiofemoral joint using the Oxford uncemented mobile bearing implant</w:t>
      </w:r>
      <w:r w:rsidR="006E01ED" w:rsidRPr="00F23B84">
        <w:rPr>
          <w:rFonts w:ascii="Arial" w:hAnsi="Arial" w:cs="Arial"/>
        </w:rPr>
        <w:t>.</w:t>
      </w:r>
    </w:p>
    <w:p w14:paraId="40B22D94" w14:textId="7BD753FD" w:rsidR="0022534B" w:rsidRPr="00F23B84" w:rsidRDefault="00132317" w:rsidP="00C11B7C">
      <w:pPr>
        <w:rPr>
          <w:rFonts w:ascii="Arial" w:hAnsi="Arial" w:cs="Arial"/>
        </w:rPr>
      </w:pPr>
      <w:r w:rsidRPr="00F23B84">
        <w:rPr>
          <w:rFonts w:ascii="Arial" w:hAnsi="Arial" w:cs="Arial"/>
          <w:b/>
          <w:bCs/>
        </w:rPr>
        <w:t>Level of Evidence</w:t>
      </w:r>
      <w:r w:rsidRPr="00F23B84">
        <w:rPr>
          <w:rFonts w:ascii="Arial" w:hAnsi="Arial" w:cs="Arial"/>
        </w:rPr>
        <w:t>: III</w:t>
      </w:r>
    </w:p>
    <w:p w14:paraId="70499D48" w14:textId="5323D083" w:rsidR="0022534B" w:rsidRPr="00F23B84" w:rsidRDefault="0022534B" w:rsidP="00C11B7C">
      <w:pPr>
        <w:rPr>
          <w:rFonts w:ascii="Arial" w:hAnsi="Arial" w:cs="Arial"/>
        </w:rPr>
      </w:pPr>
    </w:p>
    <w:p w14:paraId="20030716" w14:textId="2F339423" w:rsidR="0022534B" w:rsidRPr="00F23B84" w:rsidRDefault="0022534B" w:rsidP="00C11B7C">
      <w:pPr>
        <w:rPr>
          <w:rFonts w:ascii="Arial" w:hAnsi="Arial" w:cs="Arial"/>
        </w:rPr>
      </w:pPr>
    </w:p>
    <w:p w14:paraId="68C6BE95" w14:textId="5F2B0FF1" w:rsidR="0022534B" w:rsidRPr="00F23B84" w:rsidRDefault="0022534B" w:rsidP="00C11B7C">
      <w:pPr>
        <w:rPr>
          <w:rFonts w:ascii="Arial" w:hAnsi="Arial" w:cs="Arial"/>
        </w:rPr>
      </w:pPr>
      <w:r w:rsidRPr="00F23B84">
        <w:rPr>
          <w:rFonts w:ascii="Arial" w:hAnsi="Arial" w:cs="Arial"/>
          <w:b/>
          <w:bCs/>
        </w:rPr>
        <w:t>Keywords</w:t>
      </w:r>
      <w:r w:rsidRPr="00F23B84">
        <w:rPr>
          <w:rFonts w:ascii="Arial" w:hAnsi="Arial" w:cs="Arial"/>
        </w:rPr>
        <w:t xml:space="preserve">: Unicompartmental Knee Replacement, </w:t>
      </w:r>
      <w:r w:rsidR="003B5B35">
        <w:rPr>
          <w:rFonts w:ascii="Arial" w:hAnsi="Arial" w:cs="Arial"/>
        </w:rPr>
        <w:t xml:space="preserve">Medial Mobile Bearing </w:t>
      </w:r>
      <w:r w:rsidRPr="00F23B84">
        <w:rPr>
          <w:rFonts w:ascii="Arial" w:hAnsi="Arial" w:cs="Arial"/>
        </w:rPr>
        <w:t>Cementless</w:t>
      </w:r>
      <w:r w:rsidR="003B5B35">
        <w:rPr>
          <w:rFonts w:ascii="Arial" w:hAnsi="Arial" w:cs="Arial"/>
        </w:rPr>
        <w:t>,</w:t>
      </w:r>
      <w:r w:rsidRPr="00F23B84">
        <w:rPr>
          <w:rFonts w:ascii="Arial" w:hAnsi="Arial" w:cs="Arial"/>
        </w:rPr>
        <w:t xml:space="preserve"> Partial Knee, Oxford Microplasty,</w:t>
      </w:r>
    </w:p>
    <w:p w14:paraId="0ED78D30" w14:textId="61259C5C" w:rsidR="00543690" w:rsidRPr="00F23B84" w:rsidRDefault="00543690" w:rsidP="00C11B7C">
      <w:pPr>
        <w:rPr>
          <w:rFonts w:ascii="Arial" w:eastAsiaTheme="majorEastAsia" w:hAnsi="Arial" w:cs="Arial"/>
          <w:color w:val="2F5496" w:themeColor="accent1" w:themeShade="BF"/>
        </w:rPr>
      </w:pPr>
      <w:r w:rsidRPr="00F23B84">
        <w:rPr>
          <w:rFonts w:ascii="Arial" w:hAnsi="Arial" w:cs="Arial"/>
        </w:rPr>
        <w:br w:type="page"/>
      </w:r>
    </w:p>
    <w:p w14:paraId="46612860" w14:textId="36E1C88D" w:rsidR="007C1964" w:rsidRPr="00F23B84" w:rsidRDefault="007C1964" w:rsidP="00C11B7C">
      <w:pPr>
        <w:rPr>
          <w:rFonts w:ascii="Arial" w:hAnsi="Arial" w:cs="Arial"/>
          <w:b/>
          <w:bCs/>
        </w:rPr>
      </w:pPr>
      <w:r w:rsidRPr="00F23B84">
        <w:rPr>
          <w:rFonts w:ascii="Arial" w:hAnsi="Arial" w:cs="Arial"/>
          <w:b/>
          <w:bCs/>
        </w:rPr>
        <w:lastRenderedPageBreak/>
        <w:t xml:space="preserve">Introduction </w:t>
      </w:r>
    </w:p>
    <w:p w14:paraId="5286B5DC" w14:textId="77777777" w:rsidR="00436DE2" w:rsidRPr="00F23B84" w:rsidRDefault="00436DE2" w:rsidP="00C11B7C">
      <w:pPr>
        <w:rPr>
          <w:rFonts w:ascii="Arial" w:hAnsi="Arial" w:cs="Arial"/>
        </w:rPr>
      </w:pPr>
    </w:p>
    <w:p w14:paraId="5E7F9236" w14:textId="470430C5" w:rsidR="00B10263" w:rsidRDefault="00F85472" w:rsidP="00C11B7C">
      <w:pPr>
        <w:rPr>
          <w:rFonts w:ascii="Arial" w:hAnsi="Arial" w:cs="Arial"/>
          <w:color w:val="000000" w:themeColor="text1"/>
        </w:rPr>
      </w:pPr>
      <w:r w:rsidRPr="00F23B84">
        <w:rPr>
          <w:rFonts w:ascii="Arial" w:hAnsi="Arial" w:cs="Arial"/>
        </w:rPr>
        <w:t>E</w:t>
      </w:r>
      <w:r w:rsidR="0014796D" w:rsidRPr="00F23B84">
        <w:rPr>
          <w:rFonts w:ascii="Arial" w:hAnsi="Arial" w:cs="Arial"/>
        </w:rPr>
        <w:t>nd stage anteromedial arthritis of the medial compartment of the knee</w:t>
      </w:r>
      <w:r w:rsidRPr="00F23B84">
        <w:rPr>
          <w:rFonts w:ascii="Arial" w:hAnsi="Arial" w:cs="Arial"/>
        </w:rPr>
        <w:t xml:space="preserve"> can be treated with either </w:t>
      </w:r>
      <w:r w:rsidR="00EE3AC7" w:rsidRPr="00F23B84">
        <w:rPr>
          <w:rFonts w:ascii="Arial" w:hAnsi="Arial" w:cs="Arial"/>
        </w:rPr>
        <w:t xml:space="preserve">unicompartmental knee replacement </w:t>
      </w:r>
      <w:r w:rsidR="00B10263">
        <w:rPr>
          <w:rFonts w:ascii="Arial" w:hAnsi="Arial" w:cs="Arial"/>
        </w:rPr>
        <w:t>(</w:t>
      </w:r>
      <w:r w:rsidRPr="00F23B84">
        <w:rPr>
          <w:rFonts w:ascii="Arial" w:hAnsi="Arial" w:cs="Arial"/>
        </w:rPr>
        <w:t>UKR</w:t>
      </w:r>
      <w:r w:rsidR="00B10263">
        <w:rPr>
          <w:rFonts w:ascii="Arial" w:hAnsi="Arial" w:cs="Arial"/>
        </w:rPr>
        <w:t>)</w:t>
      </w:r>
      <w:r w:rsidRPr="00F23B84">
        <w:rPr>
          <w:rFonts w:ascii="Arial" w:hAnsi="Arial" w:cs="Arial"/>
        </w:rPr>
        <w:t xml:space="preserve"> or </w:t>
      </w:r>
      <w:r w:rsidR="00EE3AC7">
        <w:rPr>
          <w:rFonts w:ascii="Arial" w:hAnsi="Arial" w:cs="Arial"/>
        </w:rPr>
        <w:t>Total Knee Replacement (</w:t>
      </w:r>
      <w:r w:rsidRPr="00F23B84">
        <w:rPr>
          <w:rFonts w:ascii="Arial" w:hAnsi="Arial" w:cs="Arial"/>
        </w:rPr>
        <w:t>TKR</w:t>
      </w:r>
      <w:r w:rsidR="00EE3AC7">
        <w:rPr>
          <w:rFonts w:ascii="Arial" w:hAnsi="Arial" w:cs="Arial"/>
        </w:rPr>
        <w:t>)</w:t>
      </w:r>
      <w:r w:rsidR="0014796D" w:rsidRPr="00F23B84">
        <w:rPr>
          <w:rFonts w:ascii="Arial" w:hAnsi="Arial" w:cs="Arial"/>
        </w:rPr>
        <w:t xml:space="preserve">, </w:t>
      </w:r>
      <w:r w:rsidRPr="00F23B84">
        <w:rPr>
          <w:rFonts w:ascii="Arial" w:hAnsi="Arial" w:cs="Arial"/>
        </w:rPr>
        <w:t>with</w:t>
      </w:r>
      <w:r w:rsidR="003B5B35">
        <w:rPr>
          <w:rFonts w:ascii="Arial" w:hAnsi="Arial" w:cs="Arial"/>
        </w:rPr>
        <w:t xml:space="preserve"> increasing numbers of </w:t>
      </w:r>
      <w:r w:rsidRPr="00F23B84">
        <w:rPr>
          <w:rFonts w:ascii="Arial" w:hAnsi="Arial" w:cs="Arial"/>
        </w:rPr>
        <w:t xml:space="preserve">surgeons opting for </w:t>
      </w:r>
      <w:r w:rsidR="0014796D" w:rsidRPr="00F23B84">
        <w:rPr>
          <w:rFonts w:ascii="Arial" w:hAnsi="Arial" w:cs="Arial"/>
        </w:rPr>
        <w:t xml:space="preserve">UKR </w:t>
      </w:r>
      <w:r w:rsidRPr="00F23B84">
        <w:rPr>
          <w:rFonts w:ascii="Arial" w:hAnsi="Arial" w:cs="Arial"/>
        </w:rPr>
        <w:t>due to the improved functional outcomes, lower morbidity</w:t>
      </w:r>
      <w:r w:rsidR="003B5B35">
        <w:rPr>
          <w:rFonts w:ascii="Arial" w:hAnsi="Arial" w:cs="Arial"/>
        </w:rPr>
        <w:t>, mortality</w:t>
      </w:r>
      <w:r w:rsidRPr="00F23B84">
        <w:rPr>
          <w:rFonts w:ascii="Arial" w:hAnsi="Arial" w:cs="Arial"/>
        </w:rPr>
        <w:t xml:space="preserve"> and shorter length of stay</w:t>
      </w:r>
      <w:r w:rsidR="0014796D" w:rsidRPr="00F23B84">
        <w:rPr>
          <w:rFonts w:ascii="Arial" w:hAnsi="Arial" w:cs="Arial"/>
        </w:rPr>
        <w:t xml:space="preserve"> </w:t>
      </w:r>
      <w:r w:rsidR="0014796D" w:rsidRPr="00F23B84">
        <w:rPr>
          <w:rFonts w:ascii="Arial" w:hAnsi="Arial" w:cs="Arial"/>
        </w:rPr>
        <w:fldChar w:fldCharType="begin"/>
      </w:r>
      <w:r w:rsidR="00670C29" w:rsidRPr="00F23B84">
        <w:rPr>
          <w:rFonts w:ascii="Arial" w:hAnsi="Arial" w:cs="Arial"/>
        </w:rPr>
        <w:instrText xml:space="preserve"> ADDIN ZOTERO_ITEM CSL_CITATION {"citationID":"UtYQY2gq","properties":{"formattedCitation":"(1\\uc0\\u8211{}4)","plainCitation":"(1–4)","noteIndex":0},"citationItems":[{"id":85,"uris":["http://zotero.org/users/local/vnmeHScW/items/R5PIRLNG"],"uri":["http://zotero.org/users/local/vnmeHScW/items/R5PIRLNG"],"itemData":{"id":85,"type":"article-journal","abstract":"BACKGROUND: Late-stage isolated medial knee osteoarthritis can be treated with total knee replacement (TKR) or partial knee replacement (PKR). There is high variation in treatment choice and little robust evidence to guide selection. The Total or Partial Knee Arthroplasty Trial (TOPKAT) therefore aims to assess the clinical effectiveness and cost-effectiveness of TKR versus PKR in patients with medial compartment osteoarthritis of the knee, and this represents an analysis of the main endpoints at 5 years.\nMETHODS: Our multicentre, pragmatic randomised controlled trial was done at 27 UK sites. We used a combined expertise-based and equipoise-based approach, in which patients with isolated osteoarthritis of the medial compartment of the knee and who satisfied general requirements for a medial PKR were randomly assigned (1:1) to receive PKR or TKR by surgeons who were either expert in and willing to perform both surgeries or by a surgeon with particular expertise in the allocated procedure. The primary endpoint was the Oxford Knee Score (OKS) 5 years after randomisation in all patients assigned to groups. Health-care costs (in UK 2017 prices) and cost-effectiveness were also assessed. This trial is registered with ISRCTN (ISRCTN03013488) and ClinicalTrials.gov (NCT01352247).\nFINDINGS: Between Jan 18, 2010, and Sept 30, 2013, we assessed 962 patients for their eligibility, of whom 431 (45%) patients were excluded (121 [13%] patients did not meet the inclusion criteria and 310 [32%] patients declined to participate) and 528 (55%) patients were randomly assigned to groups. 94% of participants responded to the follow-up survey 5 years after their operation. At the 5-year follow-up, we found no difference in OKS between groups (mean difference 1·04, 95% CI -0·42 to 2·50; p=0·159). In our within-trial cost-effectiveness analysis, we found that PKR was more effective (0·240 additional quality-adjusted life-years, 95% CI 0·046 to 0·434) and less expensive (-£910, 95% CI -1503 to -317) than TKR during the 5 years of follow-up. This finding was a result of slightly better outcomes, lower costs of surgery, and lower follow-up health-care costs with PKR than TKR.\nINTERPRETATION: Both TKR and PKR are effective, offer similar clinical outcomes, and result in a similar incidence of re-operations and complications. Based on our clinical findings, and results regarding the lower costs and better cost-effectiveness with PKR during the 5-year study period, we suggest that PKR should be considered the first choice for patients with late-stage isolated medial compartment osteoarthritis.\nFUNDING: National Institute for Health Research Health Technology Assessment Programme.","container-title":"Lancet (London, England)","DOI":"10.1016/S0140-6736(19)31281-4","ISSN":"1474-547X","issue":"10200","journalAbbreviation":"Lancet","language":"eng","note":"PMID: 31326135\nPMCID: PMC6727069","page":"746-756","source":"PubMed","title":"The clinical and cost-effectiveness of total versus partial knee replacement in patients with medial compartment osteoarthritis (TOPKAT): 5-year outcomes of a randomised controlled trial","title-short":"The clinical and cost-effectiveness of total versus partial knee replacement in patients with medial compartment osteoarthritis (TOPKAT)","volume":"394","author":[{"family":"Beard","given":"David J."},{"family":"Davies","given":"Loretta J."},{"family":"Cook","given":"Jonathan A."},{"family":"MacLennan","given":"Graeme"},{"family":"Price","given":"Andrew"},{"family":"Kent","given":"Seamus"},{"family":"Hudson","given":"Jemma"},{"family":"Carr","given":"Andrew"},{"family":"Leal","given":"Jose"},{"family":"Campbell","given":"Helen"},{"family":"Fitzpatrick","given":"Ray"},{"family":"Arden","given":"Nigel"},{"family":"Murray","given":"David"},{"family":"Campbell","given":"Marion K."},{"literal":"TOPKAT Study Group"}],"issued":{"date-parts":[["2019"]],"season":"31"}}},{"id":127,"uris":["http://zotero.org/users/local/vnmeHScW/items/745IBYJG"],"uri":["http://zotero.org/users/local/vnmeHScW/items/745IBYJG"],"itemData":{"id":127,"type":"article-journal","abstract":"OBJECTIVE: To present a clear and comprehensive summary of the published data on unicompartmental knee replacement (UKA) or total knee replacement (TKA), comparing domains of outcome that have been shown to be important to patients and clinicians to allow informed decision making.\nDESIGN: Systematic review using data from randomised controlled trials, nationwide databases or joint registries, and large cohort studies.\nDATA SOURCES: Medline, Embase, Cochrane Controlled Register of Trials (CENTRAL), and Clinical Trials.gov, searched between 1 January 1997 and 31 December 2018.\nELIGIBILITY CRITERIA FOR SELECTING STUDIES: Studies published in the past 20 years, comparing outcomes of primary UKA with TKA in adult patients. Studies were excluded if they involved fewer than 50 participants, or if translation into English was not available.\nRESULTS: 60 eligible studies were separated into three methodological groups: seven publications from six randomised controlled trials, 17 national joint registries and national database studies, and 36 cohort studies. Results for each domain of outcome varied depending on the level of data, and findings were not always significant. Analysis of the three groups of studies showed significantly shorter hospital stays after UKA than after TKA (-1.20 days (95% confidence interval -1.67 to -0.73), -1.43 (-1.53 to -1.33), and -1.73 (-2.30 to -1.16), respectively). There was no significant difference in pain, based on patient reported outcome measures (PROMs), but significantly better functional PROM scores for UKA than for TKA in both non-trial groups (mean difference -0.58 (-0.88 to -0.27) and -0.32 (-0.48 to -0.15), respectively). Regarding major complications, trials and cohort studies had non-significant results, but mortality after TKA was significantly higher in registry and large database studies (risk ratio 0.27 (0.16 to 0.45)), as were venous thromboembolic events (0.39 (0.27 to 0.57)) and major cardiac events (0.22 (0.06 to 0.86)). Early reoperation for any reason was higher after TKA than after UKA, but revision rates at five years remained higher for UKA in all three study groups (risk ratio 5.95 (1.29 to 27.59), 2.50 (1.77 to 3.54), and 3.13 (1.89 to 5.17), respectively).\nCONCLUSIONS: TKA and UKA are both viable options for the treatment of isolated unicompartmental osteoarthritis. By directly comparing the two treatments, this study demonstrates better results for UKA in several outcome domains. However, the risk of revision surgery was lower for TKA. This information should be available to patients as part of the shared decision making process in choosing treatment options.\nSYSTEMATIC REVIEW REGISTRATION: PROSPERO number CRD42018089972.","container-title":"BMJ (Clinical research ed.)","DOI":"10.1136/bmj.l352","ISSN":"1756-1833","journalAbbreviation":"BMJ","language":"eng","note":"PMID: 30792179\nPMCID: PMC6383371","page":"l352","source":"PubMed","title":"Patient relevant outcomes of unicompartmental versus total knee replacement: systematic review and meta-analysis","title-short":"Patient relevant outcomes of unicompartmental versus total knee replacement","volume":"364","author":[{"family":"Wilson","given":"Hannah A."},{"family":"Middleton","given":"Rob"},{"family":"Abram","given":"Simon G. F."},{"family":"Smith","given":"Stephanie"},{"family":"Alvand","given":"Abtin"},{"family":"Jackson","given":"William F."},{"family":"Bottomley","given":"Nicholas"},{"family":"Hopewell","given":"Sally"},{"family":"Price","given":"Andrew J."}],"issued":{"date-parts":[["2019",2,21]]}}},{"id":130,"uris":["http://zotero.org/users/local/vnmeHScW/items/XQWTFAIV"],"uri":["http://zotero.org/users/local/vnmeHScW/items/XQWTFAIV"],"itemData":{"id":130,"type":"article-journal","abstract":"A total of 2235 primary total knee arthroplasties (TKAs) and 605 unicompartmental knee arthroplasties performed at 3 institutions over 5 years were reviewed to compare the incidence of postoperative complications between these groups. The overall risk of complications for patients undergoing TKA was 11.0%, compared with 4.3% for patients undergoing unicompartmental knee arthroplasty (P &lt; .0001). Total knee arthroplasty was associated with increased rates of manipulation (odds ratio [OR], 13.0; P &lt; .0001), transfusion (OR, 8.5; P = .036), intensive care unit admission (OR, 7.4; P = .049), discharge to a rehabilitation facility (OR, 5.2; P &lt; .0001) and had longer hospital stays (mean, 3.3 vs 2.0 days; P &lt; .0001). There was a trend toward an increased risk of deep infection (0.8% vs 0.2%, P = .13), readmission (4.2% vs 2.7%, P = .0795), thromboembolic events (1.0% vs 0.64%, P = .398), and any reoperation (1.4% vs 0.6%; P = .064). The increased risk of perioperative complications after TKA should be considered when counseling patients if they are an appropriate candidate for either procedure.","container-title":"The Journal of Arthroplasty","DOI":"10.1016/j.arth.2012.03.022","ISSN":"1532-8406","issue":"8 Suppl","journalAbbreviation":"J Arthroplasty","language":"eng","note":"PMID: 22560653","page":"86-90","source":"PubMed","title":"Total knee arthroplasty has higher postoperative morbidity than unicompartmental knee arthroplasty: a multicenter analysis","title-short":"Total knee arthroplasty has higher postoperative morbidity than unicompartmental knee arthroplasty","volume":"27","author":[{"family":"Brown","given":"Nicholas M."},{"family":"Sheth","given":"Neil P."},{"family":"Davis","given":"Kenneth"},{"family":"Berend","given":"Mike E."},{"family":"Lombardi","given":"Adolph V."},{"family":"Berend","given":"Keith R."},{"family":"Della Valle","given":"Craig J."}],"issued":{"date-parts":[["2012",9]]}}},{"id":116,"uris":["http://zotero.org/users/local/vnmeHScW/items/B7D8BP3K"],"uri":["http://zotero.org/users/local/vnmeHScW/items/B7D8BP3K"],"itemData":{"id":116,"type":"article-journal","abstract":"BACKGROUND: Total knee replacement (TKR) or unicompartmental knee replacement (UKR) are options for end-stage osteoarthritis. However, comparisons between the two procedures are confounded by differences in baseline characteristics of patients undergoing either procedure and by insufficient reporting of endpoints other than revision. We aimed to compare adverse outcomes for each procedure in matched patients.\nMETHODS: With propensity score techniques, we compared matched patients undergoing TKR and UKR in the National Joint Registry for England and Wales. The National Joint Registry started collecting data in April 1, 2003, and is continuing. The last operation date in the extract of data used in our study was Aug 28, 2012. We linked data for multiple potential confounders from the National Health Service Hospital Episode Statistics database. We used regression models to compare outcomes including rates of revision, revision/reoperation, complications, readmission, mortality, and length of stay.\nFINDINGS: 25,334 UKRs were matched to 75,996 TKRs on the basis of propensity score. UKRs had worse implant survival both for revision (subhazard ratio [SHR] 2·12, 95% CI 1·99–2·26) and for revision/reoperation (1·38, 1·31–1·44) than TKRs at 8 years. Mortality was significantly higher for TKR at all timepoints than for UKR (30 day: hazard ratio 0·23, 95% CI 0·11–0·50; 8 year: 0·85, 0·79–0·92). Length of stay, complications (including thromboembolism, myocardial infarction, and stroke), and rate of readmission were all higher for TKR than for UKR.\nINTERPRETATION: In decisions about which procedure to offer, the higher revision/reoperation rate of UKR than of TKR should be balanced against a lower occurrence of complications, readmission, and mortality, together with known benefits for UKR in terms of postoperative function. If 100 patients receiving TKR received UKR instead, the result would be around one fewer death and three more reoperations in the first 4 years after surgery.\nFUNDING: Royal College of Surgeons of England and Arthritis Research UK.","container-title":"Lancet (London, England)","DOI":"10.1016/S0140-6736(14)60419-0","ISSN":"1474-547X","issue":"9952","journalAbbreviation":"Lancet","language":"eng","note":"PMID: 25012116","page":"1437-1445","source":"PubMed","title":"Adverse outcomes after total and unicompartmental knee replacement in 101,330 matched patients: a study of data from the National Joint Registry for England and Wales","title-short":"Adverse outcomes after total and unicompartmental knee replacement in 101,330 matched patients","volume":"384","author":[{"family":"Liddle","given":"Alexander D."},{"family":"Judge","given":"Andrew"},{"family":"Pandit","given":"Hemant"},{"family":"Murray","given":"David W."}],"issued":{"date-parts":[["2014",10,18]]}}}],"schema":"https://github.com/citation-style-language/schema/raw/master/csl-citation.json"} </w:instrText>
      </w:r>
      <w:r w:rsidR="0014796D" w:rsidRPr="00F23B84">
        <w:rPr>
          <w:rFonts w:ascii="Arial" w:hAnsi="Arial" w:cs="Arial"/>
        </w:rPr>
        <w:fldChar w:fldCharType="separate"/>
      </w:r>
      <w:r w:rsidR="00670C29" w:rsidRPr="00F23B84">
        <w:rPr>
          <w:rFonts w:ascii="Arial" w:hAnsi="Arial" w:cs="Arial"/>
        </w:rPr>
        <w:t>(1–4)</w:t>
      </w:r>
      <w:r w:rsidR="0014796D" w:rsidRPr="00F23B84">
        <w:rPr>
          <w:rFonts w:ascii="Arial" w:hAnsi="Arial" w:cs="Arial"/>
        </w:rPr>
        <w:fldChar w:fldCharType="end"/>
      </w:r>
      <w:r w:rsidR="0014796D" w:rsidRPr="00F23B84">
        <w:rPr>
          <w:rFonts w:ascii="Arial" w:hAnsi="Arial" w:cs="Arial"/>
        </w:rPr>
        <w:t xml:space="preserve">. </w:t>
      </w:r>
      <w:r w:rsidR="00A63087" w:rsidRPr="00F23B84">
        <w:rPr>
          <w:rFonts w:ascii="Arial" w:hAnsi="Arial" w:cs="Arial"/>
        </w:rPr>
        <w:t>Whilst UKR has been shown to result</w:t>
      </w:r>
      <w:r w:rsidR="007B5303" w:rsidRPr="00F23B84">
        <w:rPr>
          <w:rFonts w:ascii="Arial" w:hAnsi="Arial" w:cs="Arial"/>
        </w:rPr>
        <w:t xml:space="preserve"> </w:t>
      </w:r>
      <w:r w:rsidR="00A63087" w:rsidRPr="00F23B84">
        <w:rPr>
          <w:rFonts w:ascii="Arial" w:hAnsi="Arial" w:cs="Arial"/>
        </w:rPr>
        <w:t xml:space="preserve">in a higher revision rate than </w:t>
      </w:r>
      <w:r w:rsidR="0085450D">
        <w:rPr>
          <w:rFonts w:ascii="Arial" w:hAnsi="Arial" w:cs="Arial"/>
        </w:rPr>
        <w:t>TKR</w:t>
      </w:r>
      <w:r w:rsidR="00A63087" w:rsidRPr="00F23B84">
        <w:rPr>
          <w:rFonts w:ascii="Arial" w:hAnsi="Arial" w:cs="Arial"/>
        </w:rPr>
        <w:t xml:space="preserve"> </w:t>
      </w:r>
      <w:r w:rsidR="00A63087" w:rsidRPr="00F23B84">
        <w:rPr>
          <w:rFonts w:ascii="Arial" w:hAnsi="Arial" w:cs="Arial"/>
        </w:rPr>
        <w:fldChar w:fldCharType="begin"/>
      </w:r>
      <w:r w:rsidR="00670C29" w:rsidRPr="00F23B84">
        <w:rPr>
          <w:rFonts w:ascii="Arial" w:hAnsi="Arial" w:cs="Arial"/>
        </w:rPr>
        <w:instrText xml:space="preserve"> ADDIN ZOTERO_ITEM CSL_CITATION {"citationID":"tSjZbhZC","properties":{"formattedCitation":"(5,6)","plainCitation":"(5,6)","noteIndex":0},"citationItems":[{"id":115,"uris":["http://zotero.org/users/local/vnmeHScW/items/HMU6Q56X"],"uri":["http://zotero.org/users/local/vnmeHScW/items/HMU6Q56X"],"itemData":{"id":115,"type":"report","title":"National Joint Registry Annual report 2020, www.njrcentre.org.uk (accessed January 2021)"}},{"id":122,"uris":["http://zotero.org/users/local/vnmeHScW/items/68XEMNJ9"],"uri":["http://zotero.org/users/local/vnmeHScW/items/68XEMNJ9"],"itemData":{"id":122,"type":"article-journal","abstract":"BACKGROUND: Utilization of unicompartmental knee arthroplasty (UKA) and patellofemoral arthroplasty (PFA) as alternatives to total knee arthroplasty (TKA) for unicompartmental knee osteoarthritis (OA) has increased. However, no single resource consolidates survivorship data between TKA and partial resurfacing options for each variant of unicompartmental OA. This meta-analysis compared survivorship between TKA and medial UKA (MUKA), lateral UKA (LUKA) and PFA using annual revision rate as a standardized metric.\nMETHODS: A systematic literature search was performed for studies quantifying TKA, MUKA, LUKA and/or PFA implant survivorship. Studies were classified by evidence level and assessed for bias using the MINORS and PEDro instruments. Annual revision rates were calculated for each arthroplasty procedure as percentages/observed component-year, based on a Poisson-normal model with random effects using the R-statistical software package.\nRESULTS: One hundred and twenty-four studies (113 cohort and 11 registry-based studies) met inclusion/exclusion criteria, providing data for 374,934 arthroplasties and 14,991 revisions. The overall evidence level was low, with 96.7% of studies classified as level III-IV. Annual revision rates were lowest for TKA (0.49%, CI 0.41 to 0.58), followed by MUKA (1.07%, CI 0.87 to 1.31), LUKA (1.13%, CI 0.69 to 1.83) and PFA (1.75%, CI 1.19 to 2.57). No difference was detected between revision rates for MUKA and LUKA (p=0.222).\nCONCLUSIONS: Revisions of MUKA, LUKA and PFA occur at an annual rate of 2.18, 2.31 and 3.57-fold that of TKA, respectively. These estimates may be used to inform clinical decision-making, guide patient expectations and evaluate the cost-effectiveness of total versus partial knee replacement in the setting of unicompartmental OA.","container-title":"The Knee","DOI":"10.1016/j.knee.2016.11.006","ISSN":"1873-5800","issue":"2","journalAbbreviation":"Knee","language":"eng","note":"PMID: 27916580","page":"179-190","source":"PubMed","title":"Annual revision rates of partial versus total knee arthroplasty: A comparative meta-analysis","title-short":"Annual revision rates of partial versus total knee arthroplasty","volume":"24","author":[{"family":"Chawla","given":"Harshvardhan"},{"family":"List","given":"Jelle P.","non-dropping-particle":"van der"},{"family":"Christ","given":"Alexander B."},{"family":"Sobrero","given":"Maximiliano R."},{"family":"Zuiderbaan","given":"Hendrik A."},{"family":"Pearle","given":"Andrew D."}],"issued":{"date-parts":[["2017",3]]}}}],"schema":"https://github.com/citation-style-language/schema/raw/master/csl-citation.json"} </w:instrText>
      </w:r>
      <w:r w:rsidR="00A63087" w:rsidRPr="00F23B84">
        <w:rPr>
          <w:rFonts w:ascii="Arial" w:hAnsi="Arial" w:cs="Arial"/>
        </w:rPr>
        <w:fldChar w:fldCharType="separate"/>
      </w:r>
      <w:r w:rsidR="00670C29" w:rsidRPr="00F23B84">
        <w:rPr>
          <w:rFonts w:ascii="Arial" w:hAnsi="Arial" w:cs="Arial"/>
        </w:rPr>
        <w:t>(5,6)</w:t>
      </w:r>
      <w:r w:rsidR="00A63087" w:rsidRPr="00F23B84">
        <w:rPr>
          <w:rFonts w:ascii="Arial" w:hAnsi="Arial" w:cs="Arial"/>
        </w:rPr>
        <w:fldChar w:fldCharType="end"/>
      </w:r>
      <w:r w:rsidR="00A63087" w:rsidRPr="00F23B84">
        <w:rPr>
          <w:rFonts w:ascii="Arial" w:hAnsi="Arial" w:cs="Arial"/>
        </w:rPr>
        <w:t xml:space="preserve">, </w:t>
      </w:r>
      <w:r w:rsidR="001610B5" w:rsidRPr="00F23B84">
        <w:rPr>
          <w:rFonts w:ascii="Arial" w:hAnsi="Arial" w:cs="Arial"/>
        </w:rPr>
        <w:t>UKR</w:t>
      </w:r>
      <w:r w:rsidR="00A63087" w:rsidRPr="00F23B84">
        <w:rPr>
          <w:rFonts w:ascii="Arial" w:hAnsi="Arial" w:cs="Arial"/>
        </w:rPr>
        <w:t xml:space="preserve"> has</w:t>
      </w:r>
      <w:r w:rsidR="00FD745A">
        <w:rPr>
          <w:rFonts w:ascii="Arial" w:hAnsi="Arial" w:cs="Arial"/>
        </w:rPr>
        <w:t xml:space="preserve">  demonstrated</w:t>
      </w:r>
      <w:r w:rsidR="00A63087" w:rsidRPr="00F23B84">
        <w:rPr>
          <w:rFonts w:ascii="Arial" w:hAnsi="Arial" w:cs="Arial"/>
        </w:rPr>
        <w:t xml:space="preserve"> superior </w:t>
      </w:r>
      <w:r w:rsidR="00A63087" w:rsidRPr="00F23B84">
        <w:rPr>
          <w:rFonts w:ascii="Arial" w:hAnsi="Arial" w:cs="Arial"/>
          <w:color w:val="000000" w:themeColor="text1"/>
        </w:rPr>
        <w:t>Patient Report Outcome Measure</w:t>
      </w:r>
      <w:r w:rsidR="00FD745A">
        <w:rPr>
          <w:rFonts w:ascii="Arial" w:hAnsi="Arial" w:cs="Arial"/>
          <w:color w:val="000000" w:themeColor="text1"/>
        </w:rPr>
        <w:t>s</w:t>
      </w:r>
      <w:r w:rsidR="00A63087" w:rsidRPr="00F23B84">
        <w:rPr>
          <w:rFonts w:ascii="Arial" w:hAnsi="Arial" w:cs="Arial"/>
          <w:color w:val="000000" w:themeColor="text1"/>
        </w:rPr>
        <w:t xml:space="preserve"> (PROM</w:t>
      </w:r>
      <w:r w:rsidR="00FD745A">
        <w:rPr>
          <w:rFonts w:ascii="Arial" w:hAnsi="Arial" w:cs="Arial"/>
          <w:color w:val="000000" w:themeColor="text1"/>
        </w:rPr>
        <w:t>s</w:t>
      </w:r>
      <w:r w:rsidR="00A63087" w:rsidRPr="00F23B84">
        <w:rPr>
          <w:rFonts w:ascii="Arial" w:hAnsi="Arial" w:cs="Arial"/>
          <w:color w:val="000000" w:themeColor="text1"/>
        </w:rPr>
        <w:t xml:space="preserve">) </w:t>
      </w:r>
      <w:r w:rsidR="001610B5" w:rsidRPr="00F23B84">
        <w:rPr>
          <w:rFonts w:ascii="Arial" w:hAnsi="Arial" w:cs="Arial"/>
          <w:color w:val="000000" w:themeColor="text1"/>
        </w:rPr>
        <w:t>when compared to TKR</w:t>
      </w:r>
      <w:r w:rsidR="00A63087" w:rsidRPr="00F23B84">
        <w:rPr>
          <w:rFonts w:ascii="Arial" w:hAnsi="Arial" w:cs="Arial"/>
          <w:color w:val="000000" w:themeColor="text1"/>
        </w:rPr>
        <w:t xml:space="preserve"> </w:t>
      </w:r>
      <w:r w:rsidR="00A63087" w:rsidRPr="00F23B84">
        <w:rPr>
          <w:rFonts w:ascii="Arial" w:hAnsi="Arial" w:cs="Arial"/>
          <w:color w:val="000000" w:themeColor="text1"/>
        </w:rPr>
        <w:fldChar w:fldCharType="begin"/>
      </w:r>
      <w:r w:rsidR="00670C29" w:rsidRPr="00F23B84">
        <w:rPr>
          <w:rFonts w:ascii="Arial" w:hAnsi="Arial" w:cs="Arial"/>
          <w:color w:val="000000" w:themeColor="text1"/>
        </w:rPr>
        <w:instrText xml:space="preserve"> ADDIN ZOTERO_ITEM CSL_CITATION {"citationID":"eWx00n9g","properties":{"formattedCitation":"(2,7)","plainCitation":"(2,7)","noteIndex":0},"citationItems":[{"id":127,"uris":["http://zotero.org/users/local/vnmeHScW/items/745IBYJG"],"uri":["http://zotero.org/users/local/vnmeHScW/items/745IBYJG"],"itemData":{"id":127,"type":"article-journal","abstract":"OBJECTIVE: To present a clear and comprehensive summary of the published data on unicompartmental knee replacement (UKA) or total knee replacement (TKA), comparing domains of outcome that have been shown to be important to patients and clinicians to allow informed decision making.\nDESIGN: Systematic review using data from randomised controlled trials, nationwide databases or joint registries, and large cohort studies.\nDATA SOURCES: Medline, Embase, Cochrane Controlled Register of Trials (CENTRAL), and Clinical Trials.gov, searched between 1 January 1997 and 31 December 2018.\nELIGIBILITY CRITERIA FOR SELECTING STUDIES: Studies published in the past 20 years, comparing outcomes of primary UKA with TKA in adult patients. Studies were excluded if they involved fewer than 50 participants, or if translation into English was not available.\nRESULTS: 60 eligible studies were separated into three methodological groups: seven publications from six randomised controlled trials, 17 national joint registries and national database studies, and 36 cohort studies. Results for each domain of outcome varied depending on the level of data, and findings were not always significant. Analysis of the three groups of studies showed significantly shorter hospital stays after UKA than after TKA (-1.20 days (95% confidence interval -1.67 to -0.73), -1.43 (-1.53 to -1.33), and -1.73 (-2.30 to -1.16), respectively). There was no significant difference in pain, based on patient reported outcome measures (PROMs), but significantly better functional PROM scores for UKA than for TKA in both non-trial groups (mean difference -0.58 (-0.88 to -0.27) and -0.32 (-0.48 to -0.15), respectively). Regarding major complications, trials and cohort studies had non-significant results, but mortality after TKA was significantly higher in registry and large database studies (risk ratio 0.27 (0.16 to 0.45)), as were venous thromboembolic events (0.39 (0.27 to 0.57)) and major cardiac events (0.22 (0.06 to 0.86)). Early reoperation for any reason was higher after TKA than after UKA, but revision rates at five years remained higher for UKA in all three study groups (risk ratio 5.95 (1.29 to 27.59), 2.50 (1.77 to 3.54), and 3.13 (1.89 to 5.17), respectively).\nCONCLUSIONS: TKA and UKA are both viable options for the treatment of isolated unicompartmental osteoarthritis. By directly comparing the two treatments, this study demonstrates better results for UKA in several outcome domains. However, the risk of revision surgery was lower for TKA. This information should be available to patients as part of the shared decision making process in choosing treatment options.\nSYSTEMATIC REVIEW REGISTRATION: PROSPERO number CRD42018089972.","container-title":"BMJ (Clinical research ed.)","DOI":"10.1136/bmj.l352","ISSN":"1756-1833","journalAbbreviation":"BMJ","language":"eng","note":"PMID: 30792179\nPMCID: PMC6383371","page":"l352","source":"PubMed","title":"Patient relevant outcomes of unicompartmental versus total knee replacement: systematic review and meta-analysis","title-short":"Patient relevant outcomes of unicompartmental versus total knee replacement","volume":"364","author":[{"family":"Wilson","given":"Hannah A."},{"family":"Middleton","given":"Rob"},{"family":"Abram","given":"Simon G. F."},{"family":"Smith","given":"Stephanie"},{"family":"Alvand","given":"Abtin"},{"family":"Jackson","given":"William F."},{"family":"Bottomley","given":"Nicholas"},{"family":"Hopewell","given":"Sally"},{"family":"Price","given":"Andrew J."}],"issued":{"date-parts":[["2019",2,21]]}}},{"id":119,"uris":["http://zotero.org/users/local/vnmeHScW/items/7INNRKWS"],"uri":["http://zotero.org/users/local/vnmeHScW/items/7INNRKWS"],"itemData":{"id":119,"type":"article-journal","abstract":"Whether to use total or unicompartmental knee replacement (TKA/UKA) for end-stage knee osteoarthritis remains controversial. Although UKA results in a faster recovery, lower rates of morbidity and mortality and fewer complications, the long-term revision rate is substantially higher than that for TKA. The effect of each intervention on patient-reported outcome remains unclear. The aim of this study was to determine whether six-month patient-reported outcome measures (PROMs) are better in patients after TKA or UKA, using data from a large national joint registry (NJR). We carried out a propensity score-matched cohort study which compared six-month PROMs after TKA and UKA in patients enrolled in the NJR for England and Wales, and the English national PROM collection programme. A total of 3519 UKA patients were matched to 10 557 TKAs. The mean six-month PROMs favoured UKA: the Oxford Knee Score was 37.7 (95% confidence interval (CI) 37.4 to 38.0) for UKA and 36.1 (95% CI 35.9 to 36.3) for TKA; the mean EuroQol EQ-5D index was 0.772 (95% CI 0.764 to 0.780) for UKA and 0.751 (95% CI 0.747 to 0.756) for TKA. UKA patients were more likely to achieve excellent results (odds ratio (OR) 1.59, 95% CI 1.47 to 1.72, p &lt; 0.001) and to be highly satisfied (OR 1.27, 95% CI 1.17 to 1.39, p &lt; 0.001), and were less likely to report complications than those who had undergone TKA. UKA gives better early patient-reported outcomes than TKA; these differences are most marked for the very best outcomes. Complications and readmission are more likely after TKA. Although the data presented reflect the short-term outcome, they suggest that the high revision rate for UKA may not be because of poorer clinical outcomes. These factors should inform decision-making in patients eligible for either procedure.","container-title":"The Bone &amp; Joint Journal","DOI":"10.1302/0301-620X.97B6.35155","ISSN":"2049-4408","issue":"6","journalAbbreviation":"Bone Joint J","language":"eng","note":"PMID: 26033059","page":"793-801","source":"PubMed","title":"Patient-reported outcomes after total and unicompartmental knee arthroplasty: a study of 14,076 matched patients from the National Joint Registry for England and Wales","title-short":"Patient-reported outcomes after total and unicompartmental knee arthroplasty","volume":"97-B","author":[{"family":"Liddle","given":"A. D."},{"family":"Pandit","given":"H."},{"family":"Judge","given":"A."},{"family":"Murray","given":"D. W."}],"issued":{"date-parts":[["2015",6]]}}}],"schema":"https://github.com/citation-style-language/schema/raw/master/csl-citation.json"} </w:instrText>
      </w:r>
      <w:r w:rsidR="00A63087" w:rsidRPr="00F23B84">
        <w:rPr>
          <w:rFonts w:ascii="Arial" w:hAnsi="Arial" w:cs="Arial"/>
          <w:color w:val="000000" w:themeColor="text1"/>
        </w:rPr>
        <w:fldChar w:fldCharType="separate"/>
      </w:r>
      <w:r w:rsidR="00670C29" w:rsidRPr="00F23B84">
        <w:rPr>
          <w:rFonts w:ascii="Arial" w:hAnsi="Arial" w:cs="Arial"/>
          <w:color w:val="000000"/>
        </w:rPr>
        <w:t>(2,7)</w:t>
      </w:r>
      <w:r w:rsidR="00A63087" w:rsidRPr="00F23B84">
        <w:rPr>
          <w:rFonts w:ascii="Arial" w:hAnsi="Arial" w:cs="Arial"/>
          <w:color w:val="000000" w:themeColor="text1"/>
        </w:rPr>
        <w:fldChar w:fldCharType="end"/>
      </w:r>
      <w:r w:rsidR="00A63087" w:rsidRPr="00F23B84">
        <w:rPr>
          <w:rFonts w:ascii="Arial" w:hAnsi="Arial" w:cs="Arial"/>
          <w:color w:val="000000" w:themeColor="text1"/>
        </w:rPr>
        <w:t>.</w:t>
      </w:r>
      <w:r w:rsidR="00DE56B5" w:rsidRPr="00F23B84">
        <w:rPr>
          <w:rFonts w:ascii="Arial" w:hAnsi="Arial" w:cs="Arial"/>
          <w:color w:val="000000" w:themeColor="text1"/>
        </w:rPr>
        <w:t xml:space="preserve"> In addition</w:t>
      </w:r>
      <w:r w:rsidR="0071527F">
        <w:rPr>
          <w:rFonts w:ascii="Arial" w:hAnsi="Arial" w:cs="Arial"/>
          <w:color w:val="000000" w:themeColor="text1"/>
        </w:rPr>
        <w:t>,</w:t>
      </w:r>
      <w:r w:rsidR="00DE56B5" w:rsidRPr="00F23B84">
        <w:rPr>
          <w:rFonts w:ascii="Arial" w:hAnsi="Arial" w:cs="Arial"/>
          <w:color w:val="000000" w:themeColor="text1"/>
        </w:rPr>
        <w:t xml:space="preserve"> from a health economics p</w:t>
      </w:r>
      <w:r w:rsidR="00FD745A">
        <w:rPr>
          <w:rFonts w:ascii="Arial" w:hAnsi="Arial" w:cs="Arial"/>
          <w:color w:val="000000" w:themeColor="text1"/>
        </w:rPr>
        <w:t>ers</w:t>
      </w:r>
      <w:r w:rsidR="00DE56B5" w:rsidRPr="00F23B84">
        <w:rPr>
          <w:rFonts w:ascii="Arial" w:hAnsi="Arial" w:cs="Arial"/>
          <w:color w:val="000000" w:themeColor="text1"/>
        </w:rPr>
        <w:t>pective, UKR is cheaper and represents a more cost-effective treatment option when compared to TKR</w:t>
      </w:r>
      <w:r w:rsidR="00F7180C" w:rsidRPr="00F23B84">
        <w:rPr>
          <w:rFonts w:ascii="Arial" w:hAnsi="Arial" w:cs="Arial"/>
          <w:color w:val="000000" w:themeColor="text1"/>
        </w:rPr>
        <w:t xml:space="preserve"> </w:t>
      </w:r>
      <w:r w:rsidR="00DE56B5" w:rsidRPr="00F23B84">
        <w:rPr>
          <w:rFonts w:ascii="Arial" w:hAnsi="Arial" w:cs="Arial"/>
          <w:color w:val="000000" w:themeColor="text1"/>
        </w:rPr>
        <w:fldChar w:fldCharType="begin"/>
      </w:r>
      <w:r w:rsidR="00670C29" w:rsidRPr="00F23B84">
        <w:rPr>
          <w:rFonts w:ascii="Arial" w:hAnsi="Arial" w:cs="Arial"/>
          <w:color w:val="000000" w:themeColor="text1"/>
        </w:rPr>
        <w:instrText xml:space="preserve"> ADDIN ZOTERO_ITEM CSL_CITATION {"citationID":"09BU6rPe","properties":{"formattedCitation":"(1)","plainCitation":"(1)","noteIndex":0},"citationItems":[{"id":85,"uris":["http://zotero.org/users/local/vnmeHScW/items/R5PIRLNG"],"uri":["http://zotero.org/users/local/vnmeHScW/items/R5PIRLNG"],"itemData":{"id":85,"type":"article-journal","abstract":"BACKGROUND: Late-stage isolated medial knee osteoarthritis can be treated with total knee replacement (TKR) or partial knee replacement (PKR). There is high variation in treatment choice and little robust evidence to guide selection. The Total or Partial Knee Arthroplasty Trial (TOPKAT) therefore aims to assess the clinical effectiveness and cost-effectiveness of TKR versus PKR in patients with medial compartment osteoarthritis of the knee, and this represents an analysis of the main endpoints at 5 years.\nMETHODS: Our multicentre, pragmatic randomised controlled trial was done at 27 UK sites. We used a combined expertise-based and equipoise-based approach, in which patients with isolated osteoarthritis of the medial compartment of the knee and who satisfied general requirements for a medial PKR were randomly assigned (1:1) to receive PKR or TKR by surgeons who were either expert in and willing to perform both surgeries or by a surgeon with particular expertise in the allocated procedure. The primary endpoint was the Oxford Knee Score (OKS) 5 years after randomisation in all patients assigned to groups. Health-care costs (in UK 2017 prices) and cost-effectiveness were also assessed. This trial is registered with ISRCTN (ISRCTN03013488) and ClinicalTrials.gov (NCT01352247).\nFINDINGS: Between Jan 18, 2010, and Sept 30, 2013, we assessed 962 patients for their eligibility, of whom 431 (45%) patients were excluded (121 [13%] patients did not meet the inclusion criteria and 310 [32%] patients declined to participate) and 528 (55%) patients were randomly assigned to groups. 94% of participants responded to the follow-up survey 5 years after their operation. At the 5-year follow-up, we found no difference in OKS between groups (mean difference 1·04, 95% CI -0·42 to 2·50; p=0·159). In our within-trial cost-effectiveness analysis, we found that PKR was more effective (0·240 additional quality-adjusted life-years, 95% CI 0·046 to 0·434) and less expensive (-£910, 95% CI -1503 to -317) than TKR during the 5 years of follow-up. This finding was a result of slightly better outcomes, lower costs of surgery, and lower follow-up health-care costs with PKR than TKR.\nINTERPRETATION: Both TKR and PKR are effective, offer similar clinical outcomes, and result in a similar incidence of re-operations and complications. Based on our clinical findings, and results regarding the lower costs and better cost-effectiveness with PKR during the 5-year study period, we suggest that PKR should be considered the first choice for patients with late-stage isolated medial compartment osteoarthritis.\nFUNDING: National Institute for Health Research Health Technology Assessment Programme.","container-title":"Lancet (London, England)","DOI":"10.1016/S0140-6736(19)31281-4","ISSN":"1474-547X","issue":"10200","journalAbbreviation":"Lancet","language":"eng","note":"PMID: 31326135\nPMCID: PMC6727069","page":"746-756","source":"PubMed","title":"The clinical and cost-effectiveness of total versus partial knee replacement in patients with medial compartment osteoarthritis (TOPKAT): 5-year outcomes of a randomised controlled trial","title-short":"The clinical and cost-effectiveness of total versus partial knee replacement in patients with medial compartment osteoarthritis (TOPKAT)","volume":"394","author":[{"family":"Beard","given":"David J."},{"family":"Davies","given":"Loretta J."},{"family":"Cook","given":"Jonathan A."},{"family":"MacLennan","given":"Graeme"},{"family":"Price","given":"Andrew"},{"family":"Kent","given":"Seamus"},{"family":"Hudson","given":"Jemma"},{"family":"Carr","given":"Andrew"},{"family":"Leal","given":"Jose"},{"family":"Campbell","given":"Helen"},{"family":"Fitzpatrick","given":"Ray"},{"family":"Arden","given":"Nigel"},{"family":"Murray","given":"David"},{"family":"Campbell","given":"Marion K."},{"literal":"TOPKAT Study Group"}],"issued":{"date-parts":[["2019"]],"season":"31"}}}],"schema":"https://github.com/citation-style-language/schema/raw/master/csl-citation.json"} </w:instrText>
      </w:r>
      <w:r w:rsidR="00DE56B5" w:rsidRPr="00F23B84">
        <w:rPr>
          <w:rFonts w:ascii="Arial" w:hAnsi="Arial" w:cs="Arial"/>
          <w:color w:val="000000" w:themeColor="text1"/>
        </w:rPr>
        <w:fldChar w:fldCharType="separate"/>
      </w:r>
      <w:r w:rsidR="00670C29" w:rsidRPr="00F23B84">
        <w:rPr>
          <w:rFonts w:ascii="Arial" w:hAnsi="Arial" w:cs="Arial"/>
          <w:color w:val="000000"/>
        </w:rPr>
        <w:t>(1)</w:t>
      </w:r>
      <w:r w:rsidR="00DE56B5" w:rsidRPr="00F23B84">
        <w:rPr>
          <w:rFonts w:ascii="Arial" w:hAnsi="Arial" w:cs="Arial"/>
          <w:color w:val="000000" w:themeColor="text1"/>
        </w:rPr>
        <w:fldChar w:fldCharType="end"/>
      </w:r>
      <w:r w:rsidR="00DE56B5" w:rsidRPr="00F23B84">
        <w:rPr>
          <w:rFonts w:ascii="Arial" w:hAnsi="Arial" w:cs="Arial"/>
          <w:color w:val="000000" w:themeColor="text1"/>
        </w:rPr>
        <w:t xml:space="preserve">. </w:t>
      </w:r>
    </w:p>
    <w:p w14:paraId="579E1853" w14:textId="77777777" w:rsidR="00B10263" w:rsidRDefault="00B10263" w:rsidP="00C11B7C">
      <w:pPr>
        <w:rPr>
          <w:rFonts w:ascii="Arial" w:hAnsi="Arial" w:cs="Arial"/>
          <w:color w:val="000000" w:themeColor="text1"/>
        </w:rPr>
      </w:pPr>
    </w:p>
    <w:p w14:paraId="467663B6" w14:textId="54DCEE32" w:rsidR="00F7180C" w:rsidRPr="00F23B84" w:rsidRDefault="00B10263" w:rsidP="00C11B7C">
      <w:pPr>
        <w:rPr>
          <w:rFonts w:ascii="Arial" w:hAnsi="Arial" w:cs="Arial"/>
          <w:color w:val="000000" w:themeColor="text1"/>
        </w:rPr>
      </w:pPr>
      <w:r>
        <w:rPr>
          <w:rFonts w:ascii="Arial" w:hAnsi="Arial" w:cs="Arial"/>
          <w:color w:val="000000" w:themeColor="text1"/>
        </w:rPr>
        <w:t>The</w:t>
      </w:r>
      <w:r w:rsidR="00F7180C" w:rsidRPr="00F23B84">
        <w:rPr>
          <w:rFonts w:ascii="Arial" w:hAnsi="Arial" w:cs="Arial"/>
          <w:color w:val="000000" w:themeColor="text1"/>
        </w:rPr>
        <w:t xml:space="preserve"> New Zealand registry </w:t>
      </w:r>
      <w:r w:rsidR="0085450D">
        <w:rPr>
          <w:rFonts w:ascii="Arial" w:hAnsi="Arial" w:cs="Arial"/>
          <w:color w:val="000000" w:themeColor="text1"/>
        </w:rPr>
        <w:t>(</w:t>
      </w:r>
      <w:r w:rsidR="00F7180C" w:rsidRPr="00F23B84">
        <w:rPr>
          <w:rFonts w:ascii="Arial" w:hAnsi="Arial" w:cs="Arial"/>
          <w:color w:val="000000" w:themeColor="text1"/>
        </w:rPr>
        <w:t xml:space="preserve">where PROM scores are </w:t>
      </w:r>
      <w:r w:rsidR="0085450D">
        <w:rPr>
          <w:rFonts w:ascii="Arial" w:hAnsi="Arial" w:cs="Arial"/>
          <w:color w:val="000000" w:themeColor="text1"/>
        </w:rPr>
        <w:t>recorded in addition to revision data)</w:t>
      </w:r>
      <w:r w:rsidR="00F7180C" w:rsidRPr="00F23B84">
        <w:rPr>
          <w:rFonts w:ascii="Arial" w:hAnsi="Arial" w:cs="Arial"/>
          <w:color w:val="000000" w:themeColor="text1"/>
        </w:rPr>
        <w:t xml:space="preserve"> </w:t>
      </w:r>
      <w:r>
        <w:rPr>
          <w:rFonts w:ascii="Arial" w:hAnsi="Arial" w:cs="Arial"/>
          <w:color w:val="000000" w:themeColor="text1"/>
        </w:rPr>
        <w:t>shows that</w:t>
      </w:r>
      <w:r w:rsidR="00F7180C" w:rsidRPr="00F23B84">
        <w:rPr>
          <w:rFonts w:ascii="Arial" w:hAnsi="Arial" w:cs="Arial"/>
          <w:color w:val="000000" w:themeColor="text1"/>
        </w:rPr>
        <w:t xml:space="preserve"> a patient with a very low Oxford Knee Score (OKS) (&lt;20) was more likely to be revised early </w:t>
      </w:r>
      <w:r w:rsidR="0085450D">
        <w:rPr>
          <w:rFonts w:ascii="Arial" w:hAnsi="Arial" w:cs="Arial"/>
          <w:color w:val="000000" w:themeColor="text1"/>
        </w:rPr>
        <w:t>(less than six months</w:t>
      </w:r>
      <w:r>
        <w:rPr>
          <w:rFonts w:ascii="Arial" w:hAnsi="Arial" w:cs="Arial"/>
          <w:color w:val="000000" w:themeColor="text1"/>
        </w:rPr>
        <w:t xml:space="preserve"> post-oper</w:t>
      </w:r>
      <w:r w:rsidR="00FD745A">
        <w:rPr>
          <w:rFonts w:ascii="Arial" w:hAnsi="Arial" w:cs="Arial"/>
          <w:color w:val="000000" w:themeColor="text1"/>
        </w:rPr>
        <w:t>a</w:t>
      </w:r>
      <w:r>
        <w:rPr>
          <w:rFonts w:ascii="Arial" w:hAnsi="Arial" w:cs="Arial"/>
          <w:color w:val="000000" w:themeColor="text1"/>
        </w:rPr>
        <w:t>tively</w:t>
      </w:r>
      <w:r w:rsidR="0085450D">
        <w:rPr>
          <w:rFonts w:ascii="Arial" w:hAnsi="Arial" w:cs="Arial"/>
          <w:color w:val="000000" w:themeColor="text1"/>
        </w:rPr>
        <w:t xml:space="preserve">) </w:t>
      </w:r>
      <w:r w:rsidR="00F7180C" w:rsidRPr="00F23B84">
        <w:rPr>
          <w:rFonts w:ascii="Arial" w:hAnsi="Arial" w:cs="Arial"/>
          <w:color w:val="000000" w:themeColor="text1"/>
        </w:rPr>
        <w:t xml:space="preserve">than a TKR with the same </w:t>
      </w:r>
      <w:r>
        <w:rPr>
          <w:rFonts w:ascii="Arial" w:hAnsi="Arial" w:cs="Arial"/>
          <w:color w:val="000000" w:themeColor="text1"/>
        </w:rPr>
        <w:t>OKS</w:t>
      </w:r>
      <w:r w:rsidR="00F7180C" w:rsidRPr="00F23B84">
        <w:rPr>
          <w:rFonts w:ascii="Arial" w:hAnsi="Arial" w:cs="Arial"/>
          <w:color w:val="000000" w:themeColor="text1"/>
        </w:rPr>
        <w:t xml:space="preserve"> (63% revision rate</w:t>
      </w:r>
      <w:r w:rsidR="0085450D">
        <w:rPr>
          <w:rFonts w:ascii="Arial" w:hAnsi="Arial" w:cs="Arial"/>
          <w:color w:val="000000" w:themeColor="text1"/>
        </w:rPr>
        <w:t xml:space="preserve"> in UKR</w:t>
      </w:r>
      <w:r w:rsidR="00F7180C" w:rsidRPr="00F23B84">
        <w:rPr>
          <w:rFonts w:ascii="Arial" w:hAnsi="Arial" w:cs="Arial"/>
          <w:color w:val="000000" w:themeColor="text1"/>
        </w:rPr>
        <w:t xml:space="preserve"> vs 12% in TKR)</w:t>
      </w:r>
      <w:r w:rsidR="0085450D">
        <w:rPr>
          <w:rFonts w:ascii="Arial" w:hAnsi="Arial" w:cs="Arial"/>
          <w:color w:val="000000" w:themeColor="text1"/>
        </w:rPr>
        <w:t>.</w:t>
      </w:r>
      <w:r w:rsidR="00F7180C" w:rsidRPr="00F23B84">
        <w:rPr>
          <w:rFonts w:ascii="Arial" w:hAnsi="Arial" w:cs="Arial"/>
          <w:color w:val="000000" w:themeColor="text1"/>
        </w:rPr>
        <w:t xml:space="preserve"> </w:t>
      </w:r>
      <w:r w:rsidR="0085450D">
        <w:rPr>
          <w:rFonts w:ascii="Arial" w:hAnsi="Arial" w:cs="Arial"/>
          <w:color w:val="000000" w:themeColor="text1"/>
        </w:rPr>
        <w:t>T</w:t>
      </w:r>
      <w:r w:rsidR="00F7180C" w:rsidRPr="00F23B84">
        <w:rPr>
          <w:rFonts w:ascii="Arial" w:hAnsi="Arial" w:cs="Arial"/>
          <w:color w:val="000000" w:themeColor="text1"/>
        </w:rPr>
        <w:t xml:space="preserve">his difference </w:t>
      </w:r>
      <w:r w:rsidR="00FD745A">
        <w:rPr>
          <w:rFonts w:ascii="Arial" w:hAnsi="Arial" w:cs="Arial"/>
          <w:color w:val="000000" w:themeColor="text1"/>
        </w:rPr>
        <w:t xml:space="preserve">is believed to come from </w:t>
      </w:r>
      <w:r w:rsidR="00F7180C" w:rsidRPr="00F23B84">
        <w:rPr>
          <w:rFonts w:ascii="Arial" w:hAnsi="Arial" w:cs="Arial"/>
          <w:color w:val="000000" w:themeColor="text1"/>
        </w:rPr>
        <w:t>surgeons</w:t>
      </w:r>
      <w:r w:rsidR="00FD745A">
        <w:rPr>
          <w:rFonts w:ascii="Arial" w:hAnsi="Arial" w:cs="Arial"/>
          <w:color w:val="000000" w:themeColor="text1"/>
        </w:rPr>
        <w:t>’</w:t>
      </w:r>
      <w:r w:rsidR="00F7180C" w:rsidRPr="00F23B84">
        <w:rPr>
          <w:rFonts w:ascii="Arial" w:hAnsi="Arial" w:cs="Arial"/>
          <w:color w:val="000000" w:themeColor="text1"/>
        </w:rPr>
        <w:t xml:space="preserve"> </w:t>
      </w:r>
      <w:r w:rsidR="00FD745A">
        <w:rPr>
          <w:rFonts w:ascii="Arial" w:hAnsi="Arial" w:cs="Arial"/>
          <w:color w:val="000000" w:themeColor="text1"/>
        </w:rPr>
        <w:t>perception of the ease of revision of a UKR to TKR or a concern regarding incorrect patient selection at the primary arthroplasty</w:t>
      </w:r>
      <w:r w:rsidR="00F7180C" w:rsidRPr="00F23B84">
        <w:rPr>
          <w:rFonts w:ascii="Arial" w:hAnsi="Arial" w:cs="Arial"/>
          <w:color w:val="000000" w:themeColor="text1"/>
        </w:rPr>
        <w:fldChar w:fldCharType="begin"/>
      </w:r>
      <w:r w:rsidR="00F7180C" w:rsidRPr="00F23B84">
        <w:rPr>
          <w:rFonts w:ascii="Arial" w:hAnsi="Arial" w:cs="Arial"/>
          <w:color w:val="000000" w:themeColor="text1"/>
        </w:rPr>
        <w:instrText xml:space="preserve"> ADDIN ZOTERO_ITEM CSL_CITATION {"citationID":"mchK9Qc2","properties":{"formattedCitation":"(8)","plainCitation":"(8)","noteIndex":0},"citationItems":[{"id":134,"uris":["http://zotero.org/users/local/vnmeHScW/items/6HWG93XN"],"uri":["http://zotero.org/users/local/vnmeHScW/items/6HWG93XN"],"itemData":{"id":134,"type":"article-journal","abstract":"National registers compare implants by their revision rates, but the validity of the method has never been assessed. The New Zealand Joint Registry publishes clinical outcomes (Oxford knee scores, OKS) alongside revision rates, allowing comparison of the two measurements. In the two types of knee replacement, unicompartmental (UKR) had a better knee score than total replacement (TKR), but the revision rate of the former was nearly three times higher than that of the latter. This was because the sensitivity of the revision rate to clinical failure was different for the two implants. For example, of knees with a very poor outcome (OKS &lt; 20 points), only about 12% of TKRs were revised compared with about 63% of UKRs with similar scores. Revision therefore is not an objective measurement and should not be used to compare these two types of implant. Furthermore, revision is much less sensitive than the OKS to clinical failure in both types and therefore exaggerates the success of knee replacements, particularly of TKR.","container-title":"The Journal of Bone and Joint Surgery. British Volume","DOI":"10.1302/0301-620X.92B12.25193","ISSN":"2044-5377","issue":"12","journalAbbreviation":"J Bone Joint Surg Br","language":"eng","note":"PMID: 21119165","page":"1628-1631","source":"PubMed","title":"A critique of revision rate as an outcome measure: re-interpretation of knee joint registry data","title-short":"A critique of revision rate as an outcome measure","volume":"92","author":[{"family":"Goodfellow","given":"J. W."},{"family":"O'Connor","given":"J. J."},{"family":"Murray","given":"D. W."}],"issued":{"date-parts":[["2010",12]]}}}],"schema":"https://github.com/citation-style-language/schema/raw/master/csl-citation.json"} </w:instrText>
      </w:r>
      <w:r w:rsidR="00F7180C" w:rsidRPr="00F23B84">
        <w:rPr>
          <w:rFonts w:ascii="Arial" w:hAnsi="Arial" w:cs="Arial"/>
          <w:color w:val="000000" w:themeColor="text1"/>
        </w:rPr>
        <w:fldChar w:fldCharType="separate"/>
      </w:r>
      <w:r w:rsidR="00F7180C" w:rsidRPr="00F23B84">
        <w:rPr>
          <w:rFonts w:ascii="Arial" w:hAnsi="Arial" w:cs="Arial"/>
          <w:noProof/>
          <w:color w:val="000000" w:themeColor="text1"/>
        </w:rPr>
        <w:t>(8)</w:t>
      </w:r>
      <w:r w:rsidR="00F7180C" w:rsidRPr="00F23B84">
        <w:rPr>
          <w:rFonts w:ascii="Arial" w:hAnsi="Arial" w:cs="Arial"/>
          <w:color w:val="000000" w:themeColor="text1"/>
        </w:rPr>
        <w:fldChar w:fldCharType="end"/>
      </w:r>
      <w:r w:rsidR="0085450D">
        <w:rPr>
          <w:rFonts w:ascii="Arial" w:hAnsi="Arial" w:cs="Arial"/>
          <w:color w:val="000000" w:themeColor="text1"/>
        </w:rPr>
        <w:t>.</w:t>
      </w:r>
      <w:r w:rsidR="00F7180C" w:rsidRPr="00F23B84">
        <w:rPr>
          <w:rFonts w:ascii="Arial" w:hAnsi="Arial" w:cs="Arial"/>
          <w:color w:val="000000" w:themeColor="text1"/>
        </w:rPr>
        <w:t xml:space="preserve"> </w:t>
      </w:r>
    </w:p>
    <w:p w14:paraId="04DC8182" w14:textId="77777777" w:rsidR="00F7180C" w:rsidRPr="00F23B84" w:rsidRDefault="00F7180C" w:rsidP="00C11B7C">
      <w:pPr>
        <w:rPr>
          <w:rFonts w:ascii="Arial" w:hAnsi="Arial" w:cs="Arial"/>
          <w:color w:val="000000" w:themeColor="text1"/>
        </w:rPr>
      </w:pPr>
    </w:p>
    <w:p w14:paraId="444A5D99" w14:textId="1B4D6E93" w:rsidR="0014796D" w:rsidRPr="00F23B84" w:rsidRDefault="00DE56B5" w:rsidP="00C11B7C">
      <w:pPr>
        <w:rPr>
          <w:rFonts w:ascii="Arial" w:hAnsi="Arial" w:cs="Arial"/>
          <w:color w:val="000000" w:themeColor="text1"/>
        </w:rPr>
      </w:pPr>
      <w:r w:rsidRPr="00F23B84">
        <w:rPr>
          <w:rFonts w:ascii="Arial" w:hAnsi="Arial" w:cs="Arial"/>
          <w:color w:val="000000" w:themeColor="text1"/>
        </w:rPr>
        <w:t xml:space="preserve">UKR </w:t>
      </w:r>
      <w:r w:rsidR="00A63087" w:rsidRPr="00F23B84">
        <w:rPr>
          <w:rFonts w:ascii="Arial" w:hAnsi="Arial" w:cs="Arial"/>
        </w:rPr>
        <w:t>surgery has become increasingly common in the United Kingdom, representing 10% of all knee arthroplasties in 2017</w:t>
      </w:r>
      <w:r w:rsidR="007B5303" w:rsidRPr="00F23B84">
        <w:rPr>
          <w:rFonts w:ascii="Arial" w:hAnsi="Arial" w:cs="Arial"/>
        </w:rPr>
        <w:t>, the first time in double figures,</w:t>
      </w:r>
      <w:r w:rsidR="00A63087" w:rsidRPr="00F23B84">
        <w:rPr>
          <w:rFonts w:ascii="Arial" w:hAnsi="Arial" w:cs="Arial"/>
        </w:rPr>
        <w:t xml:space="preserve"> and has continued to increase</w:t>
      </w:r>
      <w:r w:rsidR="00C11B7C" w:rsidRPr="00F23B84">
        <w:rPr>
          <w:rFonts w:ascii="Arial" w:hAnsi="Arial" w:cs="Arial"/>
        </w:rPr>
        <w:t xml:space="preserve">, representing </w:t>
      </w:r>
      <w:r w:rsidR="00A63087" w:rsidRPr="00F23B84">
        <w:rPr>
          <w:rFonts w:ascii="Arial" w:hAnsi="Arial" w:cs="Arial"/>
        </w:rPr>
        <w:t xml:space="preserve">11.5% of all arthroplasties in 2019 </w:t>
      </w:r>
      <w:r w:rsidR="00A63087" w:rsidRPr="00F23B84">
        <w:rPr>
          <w:rFonts w:ascii="Arial" w:hAnsi="Arial" w:cs="Arial"/>
        </w:rPr>
        <w:fldChar w:fldCharType="begin"/>
      </w:r>
      <w:r w:rsidR="00670C29" w:rsidRPr="00F23B84">
        <w:rPr>
          <w:rFonts w:ascii="Arial" w:hAnsi="Arial" w:cs="Arial"/>
        </w:rPr>
        <w:instrText xml:space="preserve"> ADDIN ZOTERO_ITEM CSL_CITATION {"citationID":"tJnvsRLS","properties":{"formattedCitation":"(5)","plainCitation":"(5)","noteIndex":0},"citationItems":[{"id":115,"uris":["http://zotero.org/users/local/vnmeHScW/items/HMU6Q56X"],"uri":["http://zotero.org/users/local/vnmeHScW/items/HMU6Q56X"],"itemData":{"id":115,"type":"report","title":"National Joint Registry Annual report 2020, www.njrcentre.org.uk (accessed January 2021)"}}],"schema":"https://github.com/citation-style-language/schema/raw/master/csl-citation.json"} </w:instrText>
      </w:r>
      <w:r w:rsidR="00A63087" w:rsidRPr="00F23B84">
        <w:rPr>
          <w:rFonts w:ascii="Arial" w:hAnsi="Arial" w:cs="Arial"/>
        </w:rPr>
        <w:fldChar w:fldCharType="separate"/>
      </w:r>
      <w:r w:rsidR="00670C29" w:rsidRPr="00F23B84">
        <w:rPr>
          <w:rFonts w:ascii="Arial" w:hAnsi="Arial" w:cs="Arial"/>
        </w:rPr>
        <w:t>(5)</w:t>
      </w:r>
      <w:r w:rsidR="00A63087" w:rsidRPr="00F23B84">
        <w:rPr>
          <w:rFonts w:ascii="Arial" w:hAnsi="Arial" w:cs="Arial"/>
        </w:rPr>
        <w:fldChar w:fldCharType="end"/>
      </w:r>
      <w:r w:rsidR="00A63087" w:rsidRPr="00F23B84">
        <w:rPr>
          <w:rFonts w:ascii="Arial" w:hAnsi="Arial" w:cs="Arial"/>
        </w:rPr>
        <w:t xml:space="preserve">. </w:t>
      </w:r>
      <w:r w:rsidR="0014796D" w:rsidRPr="00F23B84">
        <w:rPr>
          <w:rFonts w:ascii="Arial" w:hAnsi="Arial" w:cs="Arial"/>
        </w:rPr>
        <w:t xml:space="preserve">This </w:t>
      </w:r>
      <w:r w:rsidR="00F85472" w:rsidRPr="00F23B84">
        <w:rPr>
          <w:rFonts w:ascii="Arial" w:hAnsi="Arial" w:cs="Arial"/>
        </w:rPr>
        <w:t xml:space="preserve">increase in </w:t>
      </w:r>
      <w:r w:rsidR="0014796D" w:rsidRPr="00F23B84">
        <w:rPr>
          <w:rFonts w:ascii="Arial" w:hAnsi="Arial" w:cs="Arial"/>
        </w:rPr>
        <w:t xml:space="preserve">trend </w:t>
      </w:r>
      <w:r w:rsidR="00F85472" w:rsidRPr="00F23B84">
        <w:rPr>
          <w:rFonts w:ascii="Arial" w:hAnsi="Arial" w:cs="Arial"/>
        </w:rPr>
        <w:t xml:space="preserve">of UKR </w:t>
      </w:r>
      <w:r w:rsidR="0014796D" w:rsidRPr="00F23B84">
        <w:rPr>
          <w:rFonts w:ascii="Arial" w:hAnsi="Arial" w:cs="Arial"/>
        </w:rPr>
        <w:t>has</w:t>
      </w:r>
      <w:r w:rsidR="00FC0732" w:rsidRPr="00F23B84">
        <w:rPr>
          <w:rFonts w:ascii="Arial" w:hAnsi="Arial" w:cs="Arial"/>
        </w:rPr>
        <w:t xml:space="preserve"> also</w:t>
      </w:r>
      <w:r w:rsidR="0014796D" w:rsidRPr="00F23B84">
        <w:rPr>
          <w:rFonts w:ascii="Arial" w:hAnsi="Arial" w:cs="Arial"/>
        </w:rPr>
        <w:t xml:space="preserve"> been reflected in other countries, with a rapid rise in many countries such as Denmark </w:t>
      </w:r>
      <w:r w:rsidR="00153CC8" w:rsidRPr="00F23B84">
        <w:rPr>
          <w:rFonts w:ascii="Arial" w:hAnsi="Arial" w:cs="Arial"/>
        </w:rPr>
        <w:t xml:space="preserve">where 1317 </w:t>
      </w:r>
      <w:r w:rsidR="00B340F5" w:rsidRPr="00F23B84">
        <w:rPr>
          <w:rFonts w:ascii="Arial" w:hAnsi="Arial" w:cs="Arial"/>
        </w:rPr>
        <w:t xml:space="preserve">UKRs were performed </w:t>
      </w:r>
      <w:r w:rsidR="00153CC8" w:rsidRPr="00F23B84">
        <w:rPr>
          <w:rFonts w:ascii="Arial" w:hAnsi="Arial" w:cs="Arial"/>
        </w:rPr>
        <w:t>in 2016</w:t>
      </w:r>
      <w:r w:rsidRPr="00F23B84">
        <w:rPr>
          <w:rFonts w:ascii="Arial" w:hAnsi="Arial" w:cs="Arial"/>
        </w:rPr>
        <w:t xml:space="preserve"> (approximately 20% of all knee arthroplasties)</w:t>
      </w:r>
      <w:r w:rsidR="00B340F5" w:rsidRPr="00F23B84">
        <w:rPr>
          <w:rFonts w:ascii="Arial" w:hAnsi="Arial" w:cs="Arial"/>
        </w:rPr>
        <w:t xml:space="preserve"> compared to a total of</w:t>
      </w:r>
      <w:r w:rsidR="0083665D" w:rsidRPr="00F23B84">
        <w:rPr>
          <w:rFonts w:ascii="Arial" w:hAnsi="Arial" w:cs="Arial"/>
        </w:rPr>
        <w:t xml:space="preserve"> just</w:t>
      </w:r>
      <w:r w:rsidR="00B340F5" w:rsidRPr="00F23B84">
        <w:rPr>
          <w:rFonts w:ascii="Arial" w:hAnsi="Arial" w:cs="Arial"/>
        </w:rPr>
        <w:t xml:space="preserve"> 81 UKRs in 2000</w:t>
      </w:r>
      <w:r w:rsidRPr="00F23B84">
        <w:rPr>
          <w:rFonts w:ascii="Arial" w:hAnsi="Arial" w:cs="Arial"/>
        </w:rPr>
        <w:t xml:space="preserve"> (approximately 3% of all knee arthroplasties)</w:t>
      </w:r>
      <w:r w:rsidR="00B340F5" w:rsidRPr="00F23B84">
        <w:rPr>
          <w:rFonts w:ascii="Arial" w:hAnsi="Arial" w:cs="Arial"/>
        </w:rPr>
        <w:t xml:space="preserve"> </w:t>
      </w:r>
      <w:r w:rsidR="00153CC8" w:rsidRPr="00F23B84">
        <w:rPr>
          <w:rFonts w:ascii="Arial" w:hAnsi="Arial" w:cs="Arial"/>
        </w:rPr>
        <w:fldChar w:fldCharType="begin"/>
      </w:r>
      <w:r w:rsidR="00F7180C" w:rsidRPr="00F23B84">
        <w:rPr>
          <w:rFonts w:ascii="Arial" w:hAnsi="Arial" w:cs="Arial"/>
        </w:rPr>
        <w:instrText xml:space="preserve"> ADDIN ZOTERO_ITEM CSL_CITATION {"citationID":"kvrBS0Vj","properties":{"formattedCitation":"(9)","plainCitation":"(9)","noteIndex":0},"citationItems":[{"id":124,"uris":["http://zotero.org/users/local/vnmeHScW/items/SRTYKCBJ"],"uri":["http://zotero.org/users/local/vnmeHScW/items/SRTYKCBJ"],"itemData":{"id":124,"type":"article-journal","abstract":"Background and purpose - Using contemporary indications, up to 50% of patients undergoing knee arthroplasty are eligible for unicompartmental knee arthroplasty (UKA), and lower UKA use likely reflects a restrictive approach to patient selection. Since broader indications have been successfully introduced, and low surgical volume and UKA percentage (usage) are associated with higher revision rates, it is of interest whether the actual use of UKA has changed accordingly. We explored this by assessing time trends in patient demographics and whether these are associated with center UKA volume and usage. Patients and methods - From the Danish Knee Arthroplasty Registry, we included 8,501 medial UKAs performed for primary osteoarthritis during 2002-2016. Using locally weighted regression, we examined changes-both overall and by center volume and usage (low vs high)-in sex distribution, age, weight, and preoperative American Knee Society Score (AKSS-O). Results - Over the last 20 years, UKA use in Denmark has been increasing steadily. Age, weight, and proportion of men all increased regardless of volume and usage. AKSS-O showed an initial increase followed by a decrease. In low-usage and low-volume centers, the proportion of women was higher, patients were younger, weighed less, and had higher AKSS-O scores; however, for age and AKSS-O, the groups were converging during the last part of the period. Interpretation - Characteristics of UKA patients have changed in the last 15 years irrespective of center volume and usage. We found between-group differences for both volume and usage, though with convergence for age and AKSS-O, which suggests an increasingly uniform approach to patient selection.","container-title":"Acta Orthopaedica","DOI":"10.1080/17453674.2019.1601834","ISSN":"1745-3682","issue":"4","journalAbbreviation":"Acta Orthop","language":"eng","note":"PMID: 30973052\nPMCID: PMC6718175","page":"354-359","source":"PubMed","title":"Medial unicompartmental knee arthroplasty: increasingly uniform patient demographics despite differences in surgical volume and usage-a descriptive study of 8,501 cases from the Danish Knee Arthroplasty Registry","title-short":"Medial unicompartmental knee arthroplasty","volume":"90","author":[{"family":"Henkel","given":"Cecilie"},{"family":"Mikkelsen","given":"Mette"},{"family":"Pedersen","given":"Alma B."},{"family":"Rasmussen","given":"Lasse E."},{"family":"Gromov","given":"Kirill"},{"family":"Price","given":"Andrew"},{"family":"Troelsen","given":"Anders"}],"issued":{"date-parts":[["2019",8]]}}}],"schema":"https://github.com/citation-style-language/schema/raw/master/csl-citation.json"} </w:instrText>
      </w:r>
      <w:r w:rsidR="00153CC8" w:rsidRPr="00F23B84">
        <w:rPr>
          <w:rFonts w:ascii="Arial" w:hAnsi="Arial" w:cs="Arial"/>
        </w:rPr>
        <w:fldChar w:fldCharType="separate"/>
      </w:r>
      <w:r w:rsidR="00F7180C" w:rsidRPr="00F23B84">
        <w:rPr>
          <w:rFonts w:ascii="Arial" w:hAnsi="Arial" w:cs="Arial"/>
        </w:rPr>
        <w:t>(9)</w:t>
      </w:r>
      <w:r w:rsidR="00153CC8" w:rsidRPr="00F23B84">
        <w:rPr>
          <w:rFonts w:ascii="Arial" w:hAnsi="Arial" w:cs="Arial"/>
        </w:rPr>
        <w:fldChar w:fldCharType="end"/>
      </w:r>
      <w:r w:rsidR="00153CC8" w:rsidRPr="00F23B84">
        <w:rPr>
          <w:rFonts w:ascii="Arial" w:hAnsi="Arial" w:cs="Arial"/>
        </w:rPr>
        <w:t>.</w:t>
      </w:r>
      <w:r w:rsidR="007B5303" w:rsidRPr="00F23B84">
        <w:rPr>
          <w:rFonts w:ascii="Arial" w:hAnsi="Arial" w:cs="Arial"/>
        </w:rPr>
        <w:t xml:space="preserve"> </w:t>
      </w:r>
    </w:p>
    <w:p w14:paraId="2CC9A6E5" w14:textId="77777777" w:rsidR="0014796D" w:rsidRPr="00F23B84" w:rsidRDefault="0014796D" w:rsidP="00C11B7C">
      <w:pPr>
        <w:rPr>
          <w:rFonts w:ascii="Arial" w:hAnsi="Arial" w:cs="Arial"/>
        </w:rPr>
      </w:pPr>
    </w:p>
    <w:p w14:paraId="529C1346" w14:textId="7A5069DC" w:rsidR="00AC2EEC" w:rsidRPr="00F23B84" w:rsidRDefault="00AC2EEC" w:rsidP="00C11B7C">
      <w:pPr>
        <w:rPr>
          <w:rFonts w:ascii="Arial" w:hAnsi="Arial" w:cs="Arial"/>
        </w:rPr>
      </w:pPr>
      <w:r w:rsidRPr="00F23B84">
        <w:rPr>
          <w:rFonts w:ascii="Arial" w:hAnsi="Arial" w:cs="Arial"/>
        </w:rPr>
        <w:t>The</w:t>
      </w:r>
      <w:r w:rsidR="00AC2CD4" w:rsidRPr="00F23B84">
        <w:rPr>
          <w:rFonts w:ascii="Arial" w:hAnsi="Arial" w:cs="Arial"/>
        </w:rPr>
        <w:t>re</w:t>
      </w:r>
      <w:r w:rsidRPr="00F23B84">
        <w:rPr>
          <w:rFonts w:ascii="Arial" w:hAnsi="Arial" w:cs="Arial"/>
        </w:rPr>
        <w:t xml:space="preserve"> has</w:t>
      </w:r>
      <w:r w:rsidR="00F7180C" w:rsidRPr="00F23B84">
        <w:rPr>
          <w:rFonts w:ascii="Arial" w:hAnsi="Arial" w:cs="Arial"/>
        </w:rPr>
        <w:t xml:space="preserve"> also</w:t>
      </w:r>
      <w:r w:rsidR="00436DE2" w:rsidRPr="00F23B84">
        <w:rPr>
          <w:rFonts w:ascii="Arial" w:hAnsi="Arial" w:cs="Arial"/>
        </w:rPr>
        <w:t xml:space="preserve"> </w:t>
      </w:r>
      <w:r w:rsidRPr="00F23B84">
        <w:rPr>
          <w:rFonts w:ascii="Arial" w:hAnsi="Arial" w:cs="Arial"/>
        </w:rPr>
        <w:t xml:space="preserve">been a growing level of interest </w:t>
      </w:r>
      <w:r w:rsidR="0014796D" w:rsidRPr="00F23B84">
        <w:rPr>
          <w:rFonts w:ascii="Arial" w:hAnsi="Arial" w:cs="Arial"/>
        </w:rPr>
        <w:t>in</w:t>
      </w:r>
      <w:r w:rsidR="00EB18DD" w:rsidRPr="00F23B84">
        <w:rPr>
          <w:rFonts w:ascii="Arial" w:hAnsi="Arial" w:cs="Arial"/>
        </w:rPr>
        <w:t xml:space="preserve"> cementless </w:t>
      </w:r>
      <w:r w:rsidR="00AC2CD4" w:rsidRPr="00F23B84">
        <w:rPr>
          <w:rFonts w:ascii="Arial" w:hAnsi="Arial" w:cs="Arial"/>
        </w:rPr>
        <w:t>implants</w:t>
      </w:r>
      <w:r w:rsidR="00EB18DD" w:rsidRPr="00F23B84">
        <w:rPr>
          <w:rFonts w:ascii="Arial" w:hAnsi="Arial" w:cs="Arial"/>
        </w:rPr>
        <w:t xml:space="preserve"> </w:t>
      </w:r>
      <w:r w:rsidR="00F06579">
        <w:rPr>
          <w:rFonts w:ascii="Arial" w:hAnsi="Arial" w:cs="Arial"/>
        </w:rPr>
        <w:t>amongst</w:t>
      </w:r>
      <w:r w:rsidR="00AC2CD4" w:rsidRPr="00F23B84">
        <w:rPr>
          <w:rFonts w:ascii="Arial" w:hAnsi="Arial" w:cs="Arial"/>
        </w:rPr>
        <w:t xml:space="preserve"> </w:t>
      </w:r>
      <w:r w:rsidR="00F06579">
        <w:rPr>
          <w:rFonts w:ascii="Arial" w:hAnsi="Arial" w:cs="Arial"/>
        </w:rPr>
        <w:t>UKR</w:t>
      </w:r>
      <w:r w:rsidR="000A0BFB" w:rsidRPr="00F23B84">
        <w:rPr>
          <w:rFonts w:ascii="Arial" w:hAnsi="Arial" w:cs="Arial"/>
        </w:rPr>
        <w:t xml:space="preserve"> surgeons</w:t>
      </w:r>
      <w:r w:rsidR="0014796D" w:rsidRPr="00F23B84">
        <w:rPr>
          <w:rFonts w:ascii="Arial" w:hAnsi="Arial" w:cs="Arial"/>
        </w:rPr>
        <w:t>.</w:t>
      </w:r>
      <w:r w:rsidRPr="00F23B84">
        <w:rPr>
          <w:rFonts w:ascii="Arial" w:hAnsi="Arial" w:cs="Arial"/>
        </w:rPr>
        <w:t xml:space="preserve"> </w:t>
      </w:r>
      <w:r w:rsidR="00132317" w:rsidRPr="00F23B84">
        <w:rPr>
          <w:rFonts w:ascii="Arial" w:hAnsi="Arial" w:cs="Arial"/>
        </w:rPr>
        <w:t>Cementless implants were introduced in order to</w:t>
      </w:r>
      <w:r w:rsidR="003D3F78" w:rsidRPr="00F23B84">
        <w:rPr>
          <w:rFonts w:ascii="Arial" w:hAnsi="Arial" w:cs="Arial"/>
        </w:rPr>
        <w:t xml:space="preserve"> improve fixation</w:t>
      </w:r>
      <w:r w:rsidR="00F06579">
        <w:rPr>
          <w:rFonts w:ascii="Arial" w:hAnsi="Arial" w:cs="Arial"/>
        </w:rPr>
        <w:t>,</w:t>
      </w:r>
      <w:r w:rsidR="003D3F78" w:rsidRPr="00F23B84">
        <w:rPr>
          <w:rFonts w:ascii="Arial" w:hAnsi="Arial" w:cs="Arial"/>
        </w:rPr>
        <w:t xml:space="preserve"> </w:t>
      </w:r>
      <w:r w:rsidR="00F06579">
        <w:rPr>
          <w:rFonts w:ascii="Arial" w:hAnsi="Arial" w:cs="Arial"/>
        </w:rPr>
        <w:t>as</w:t>
      </w:r>
      <w:r w:rsidR="00F85472" w:rsidRPr="00F23B84">
        <w:rPr>
          <w:rFonts w:ascii="Arial" w:hAnsi="Arial" w:cs="Arial"/>
        </w:rPr>
        <w:t xml:space="preserve"> aseptic loosening</w:t>
      </w:r>
      <w:r w:rsidR="00F06579">
        <w:rPr>
          <w:rFonts w:ascii="Arial" w:hAnsi="Arial" w:cs="Arial"/>
        </w:rPr>
        <w:t xml:space="preserve"> and pain</w:t>
      </w:r>
      <w:r w:rsidR="00F85472" w:rsidRPr="00F23B84">
        <w:rPr>
          <w:rFonts w:ascii="Arial" w:hAnsi="Arial" w:cs="Arial"/>
        </w:rPr>
        <w:t xml:space="preserve"> </w:t>
      </w:r>
      <w:r w:rsidR="00350918">
        <w:rPr>
          <w:rFonts w:ascii="Arial" w:hAnsi="Arial" w:cs="Arial"/>
        </w:rPr>
        <w:t>are</w:t>
      </w:r>
      <w:r w:rsidR="00F06579">
        <w:rPr>
          <w:rFonts w:ascii="Arial" w:hAnsi="Arial" w:cs="Arial"/>
        </w:rPr>
        <w:t xml:space="preserve"> </w:t>
      </w:r>
      <w:r w:rsidR="00F85472" w:rsidRPr="00F23B84">
        <w:rPr>
          <w:rFonts w:ascii="Arial" w:hAnsi="Arial" w:cs="Arial"/>
        </w:rPr>
        <w:t xml:space="preserve">the most common indication for revision </w:t>
      </w:r>
      <w:r w:rsidR="00CF6056">
        <w:rPr>
          <w:rFonts w:ascii="Arial" w:hAnsi="Arial" w:cs="Arial"/>
        </w:rPr>
        <w:t xml:space="preserve">of a UKR </w:t>
      </w:r>
      <w:r w:rsidR="00F85472" w:rsidRPr="00F23B84">
        <w:rPr>
          <w:rFonts w:ascii="Arial" w:hAnsi="Arial" w:cs="Arial"/>
        </w:rPr>
        <w:t xml:space="preserve">in the </w:t>
      </w:r>
      <w:r w:rsidR="00B10263">
        <w:rPr>
          <w:rFonts w:ascii="Arial" w:hAnsi="Arial" w:cs="Arial"/>
        </w:rPr>
        <w:t>National Joint Registry (</w:t>
      </w:r>
      <w:r w:rsidR="00F85472" w:rsidRPr="00F23B84">
        <w:rPr>
          <w:rFonts w:ascii="Arial" w:hAnsi="Arial" w:cs="Arial"/>
        </w:rPr>
        <w:t>NJR</w:t>
      </w:r>
      <w:r w:rsidR="00B10263">
        <w:rPr>
          <w:rFonts w:ascii="Arial" w:hAnsi="Arial" w:cs="Arial"/>
        </w:rPr>
        <w:t>)</w:t>
      </w:r>
      <w:r w:rsidR="00F85472" w:rsidRPr="00F23B84">
        <w:rPr>
          <w:rFonts w:ascii="Arial" w:hAnsi="Arial" w:cs="Arial"/>
        </w:rPr>
        <w:t xml:space="preserve"> </w:t>
      </w:r>
      <w:r w:rsidR="00F85472" w:rsidRPr="00F23B84">
        <w:rPr>
          <w:rFonts w:ascii="Arial" w:hAnsi="Arial" w:cs="Arial"/>
        </w:rPr>
        <w:fldChar w:fldCharType="begin"/>
      </w:r>
      <w:r w:rsidR="00670C29" w:rsidRPr="00F23B84">
        <w:rPr>
          <w:rFonts w:ascii="Arial" w:hAnsi="Arial" w:cs="Arial"/>
        </w:rPr>
        <w:instrText xml:space="preserve"> ADDIN ZOTERO_ITEM CSL_CITATION {"citationID":"IAQr7zDm","properties":{"formattedCitation":"(5)","plainCitation":"(5)","noteIndex":0},"citationItems":[{"id":115,"uris":["http://zotero.org/users/local/vnmeHScW/items/HMU6Q56X"],"uri":["http://zotero.org/users/local/vnmeHScW/items/HMU6Q56X"],"itemData":{"id":115,"type":"report","title":"National Joint Registry Annual report 2020, www.njrcentre.org.uk (accessed January 2021)"}}],"schema":"https://github.com/citation-style-language/schema/raw/master/csl-citation.json"} </w:instrText>
      </w:r>
      <w:r w:rsidR="00F85472" w:rsidRPr="00F23B84">
        <w:rPr>
          <w:rFonts w:ascii="Arial" w:hAnsi="Arial" w:cs="Arial"/>
        </w:rPr>
        <w:fldChar w:fldCharType="separate"/>
      </w:r>
      <w:r w:rsidR="00670C29" w:rsidRPr="00F23B84">
        <w:rPr>
          <w:rFonts w:ascii="Arial" w:hAnsi="Arial" w:cs="Arial"/>
        </w:rPr>
        <w:t>(5)</w:t>
      </w:r>
      <w:r w:rsidR="00F85472" w:rsidRPr="00F23B84">
        <w:rPr>
          <w:rFonts w:ascii="Arial" w:hAnsi="Arial" w:cs="Arial"/>
        </w:rPr>
        <w:fldChar w:fldCharType="end"/>
      </w:r>
      <w:r w:rsidR="00F85472" w:rsidRPr="00F23B84">
        <w:rPr>
          <w:rFonts w:ascii="Arial" w:hAnsi="Arial" w:cs="Arial"/>
        </w:rPr>
        <w:t>.</w:t>
      </w:r>
      <w:r w:rsidR="003D3F78" w:rsidRPr="00F23B84">
        <w:rPr>
          <w:rFonts w:ascii="Arial" w:hAnsi="Arial" w:cs="Arial"/>
        </w:rPr>
        <w:t xml:space="preserve"> </w:t>
      </w:r>
      <w:r w:rsidR="000A0BFB" w:rsidRPr="00F23B84">
        <w:rPr>
          <w:rFonts w:ascii="Arial" w:hAnsi="Arial" w:cs="Arial"/>
        </w:rPr>
        <w:t>C</w:t>
      </w:r>
      <w:r w:rsidR="003D3F78" w:rsidRPr="00F23B84">
        <w:rPr>
          <w:rFonts w:ascii="Arial" w:hAnsi="Arial" w:cs="Arial"/>
        </w:rPr>
        <w:t>ementless implants</w:t>
      </w:r>
      <w:r w:rsidR="0014796D" w:rsidRPr="00F23B84">
        <w:rPr>
          <w:rFonts w:ascii="Arial" w:hAnsi="Arial" w:cs="Arial"/>
        </w:rPr>
        <w:t xml:space="preserve"> </w:t>
      </w:r>
      <w:r w:rsidR="000A0BFB" w:rsidRPr="00F23B84">
        <w:rPr>
          <w:rFonts w:ascii="Arial" w:hAnsi="Arial" w:cs="Arial"/>
        </w:rPr>
        <w:t>help overcome this issue due to the</w:t>
      </w:r>
      <w:r w:rsidR="00FD745A">
        <w:rPr>
          <w:rFonts w:ascii="Arial" w:hAnsi="Arial" w:cs="Arial"/>
        </w:rPr>
        <w:t>ir</w:t>
      </w:r>
      <w:r w:rsidR="000A0BFB" w:rsidRPr="00F23B84">
        <w:rPr>
          <w:rFonts w:ascii="Arial" w:hAnsi="Arial" w:cs="Arial"/>
        </w:rPr>
        <w:t xml:space="preserve"> </w:t>
      </w:r>
      <w:r w:rsidR="00F06579">
        <w:rPr>
          <w:rFonts w:ascii="Arial" w:hAnsi="Arial" w:cs="Arial"/>
        </w:rPr>
        <w:t>osteo</w:t>
      </w:r>
      <w:r w:rsidR="000A0BFB" w:rsidRPr="00F23B84">
        <w:rPr>
          <w:rFonts w:ascii="Arial" w:hAnsi="Arial" w:cs="Arial"/>
        </w:rPr>
        <w:t>integration,</w:t>
      </w:r>
      <w:r w:rsidR="00F06579">
        <w:rPr>
          <w:rFonts w:ascii="Arial" w:hAnsi="Arial" w:cs="Arial"/>
        </w:rPr>
        <w:t xml:space="preserve"> </w:t>
      </w:r>
      <w:r w:rsidR="00FD745A">
        <w:rPr>
          <w:rFonts w:ascii="Arial" w:hAnsi="Arial" w:cs="Arial"/>
        </w:rPr>
        <w:t xml:space="preserve">perhaps accounting for the </w:t>
      </w:r>
      <w:r w:rsidRPr="00F23B84">
        <w:rPr>
          <w:rFonts w:ascii="Arial" w:hAnsi="Arial" w:cs="Arial"/>
        </w:rPr>
        <w:t xml:space="preserve">superior survivorship compared to </w:t>
      </w:r>
      <w:r w:rsidR="0014796D" w:rsidRPr="00F23B84">
        <w:rPr>
          <w:rFonts w:ascii="Arial" w:hAnsi="Arial" w:cs="Arial"/>
        </w:rPr>
        <w:t xml:space="preserve">their </w:t>
      </w:r>
      <w:r w:rsidRPr="00F23B84">
        <w:rPr>
          <w:rFonts w:ascii="Arial" w:hAnsi="Arial" w:cs="Arial"/>
        </w:rPr>
        <w:t>cemented counterparts</w:t>
      </w:r>
      <w:r w:rsidR="0014796D" w:rsidRPr="00F23B84">
        <w:rPr>
          <w:rFonts w:ascii="Arial" w:hAnsi="Arial" w:cs="Arial"/>
        </w:rPr>
        <w:t xml:space="preserve"> in many series</w:t>
      </w:r>
      <w:r w:rsidRPr="00F23B84">
        <w:rPr>
          <w:rFonts w:ascii="Arial" w:hAnsi="Arial" w:cs="Arial"/>
        </w:rPr>
        <w:t xml:space="preserve"> </w:t>
      </w:r>
      <w:r w:rsidRPr="00F23B84">
        <w:rPr>
          <w:rFonts w:ascii="Arial" w:hAnsi="Arial" w:cs="Arial"/>
        </w:rPr>
        <w:fldChar w:fldCharType="begin"/>
      </w:r>
      <w:r w:rsidR="00F7180C" w:rsidRPr="00F23B84">
        <w:rPr>
          <w:rFonts w:ascii="Arial" w:hAnsi="Arial" w:cs="Arial"/>
        </w:rPr>
        <w:instrText xml:space="preserve"> ADDIN ZOTERO_ITEM CSL_CITATION {"citationID":"b6xSZMd3","properties":{"formattedCitation":"(10\\uc0\\u8211{}12)","plainCitation":"(10–12)","noteIndex":0},"citationItems":[{"id":95,"uris":["http://zotero.org/users/local/vnmeHScW/items/A8CAZABE"],"uri":["http://zotero.org/users/local/vnmeHScW/items/A8CAZABE"],"itemData":{"id":95,"type":"article-journal","abstract":"BACKGROUND: Oxford-III unicompartmental knee replacements (UKRs) are among the most commonly used prostheses to treat isolated medial compartment osteoarthritis (OA). However, the best mode of implant fixation for primary UKRs remains a source of debate. The hypothesis of this study was that the biologically superior fixation of uncemented Oxford-III primary UKRs would translate into a lower revision rate when compared with cemented Oxford-III primary UKRs used to treat isolated medial compartment OA.\nMETHODS: Data on all Oxford-III primary UKRs (n = 8,733) completed for isolated medial compartment OA from January 2000 to December 2018 were obtained from the New Zealand Joint Registry (NZJR). Revision rates were documented for each fixation type and analyzed for associations with patient sex and age at surgery. A multivariate Cox proportional-hazards analysis was completed to determine if type of fixation was an independent risk factor for revision of Oxford-III UKRs.\nRESULTS: Statistical analysis revealed a &gt;1.8-fold greater revision risk for cemented Oxford-III UKRs compared with uncemented Oxford-III UKRs (p = 0.001) when considered independently of other risk factors. Furthermore, compared with uncemented fixation, cemented fixation was associated with a 2.9-fold (p &lt; 0.001) increase in revision risk for women &lt;65 years old and a 1.7-fold (p = 0.008) increase in revision risk for men 55 to 74 years old. There was no significant difference in the risk of revision between fixation methods for women ≥65 years old and men ≥75 years old.\nCONCLUSIONS: We found that the type of fixation was an independent risk factor for revision of Oxford-III UKRs used in the treatment of isolated medial compartment OA. Uncemented Oxford-III primary UKRs had superior implant survivorship in women &lt;65 years old and men 55 to 74 years old. Age and sex are important factors to consider when determining the type of fixation for Oxford-III primary UKRs used to treat isolated medial compartment OA.\nLEVEL OF EVIDENCE: Therapeutic Level III. See Instructions for Authors for a complete description of levels of evidence.","container-title":"The Journal of Bone and Joint Surgery. American Volume","DOI":"10.2106/JBJS.19.01443","ISSN":"1535-1386","journalAbbreviation":"J Bone Joint Surg Am","language":"eng","note":"PMID: 32826556","source":"PubMed","title":"Revision Following Cemented and Uncemented Oxford-III Primary Medial Unicompartmental Knee Replacements: A 19-Year Analysis from the New Zealand Joint Registry","title-short":"Revision Following Cemented and Uncemented Oxford-III Primary Medial Unicompartmental Knee Replacements","author":[{"family":"Gupta","given":"Vikesh"},{"family":"Kejriwal","given":"Ritwik"},{"family":"Frampton","given":"Chris"}],"issued":{"date-parts":[["2020",8,20]]}}},{"id":99,"uris":["http://zotero.org/users/local/vnmeHScW/items/EINPTIKD"],"uri":["http://zotero.org/users/local/vnmeHScW/items/EINPTIKD"],"itemData":{"id":99,"type":"article-journal","abstract":"Background and purpose - Unicompartmental knee replacement (UKR) offers advantages over total replacement but has higher revision rates, particularly for aseptic loosening. The cementless Oxford UKR was introduced to address this. We undertook a registry-based matched comparison of cementless and cemented UKRs.Patients and methods - From 40,552 Oxford UKRs identified by the National Joint Registry for England, Wales, Northern Ireland and Isle of Man (NJR) we propensity score matched, based on patient, surgical, and implant factors, 7,407 cemented and 7,407 cementless UKRs (total = 14,814).Results - The 10-year cumulative implant survival rates for cementless and cemented UKRs was 93% (95% CI 90-96) and 90% (CI 88-92) respectively, with this difference being significant (HR 0.76; p = 0.002). The risk of revision for aseptic loosening was less than half (p &lt; 0.001) in the cementless (0.42%) compared with the cemented group (1.00%), and the risk of revision also decreased for unexplained pain (to 0.46% from 0.74%; p = 0.03) and lysis (to 0.04% from 0.15%; p = 0.03). However, the risk of revision for periprosthetic fracture increased significantly (p = 0.01) in the cementless (0.26%) compared with the cemented group (0.09%). 10-year patient survival rates were similar (HR 1.2; p = 0.1).Interpretation - The cementless UKR has improved 10-year implant survival compared with the cemented UKR, independent of patient, implant, and surgical factors. This improved survival in the cementless group was primarily the result of lower revision rate for aseptic loosening, unexplained pain, and lysis, suggesting the fixation of the cementless was superior. However, there was a small increased risk of revision for periprosthetic fracture with the cementless implant.","container-title":"Acta Orthopaedica","DOI":"10.1080/17453674.2019.1680924","ISSN":"1745-3682","issue":"1","journalAbbreviation":"Acta Orthop","language":"eng","note":"PMID: 31635503\nPMCID: PMC7006803","page":"76-81","source":"PubMed","title":"Comparison of the 10-year outcomes of cemented and cementless unicompartmental knee replacements: data from the National Joint Registry for England, Wales, Northern Ireland and the Isle of Man","title-short":"Comparison of the 10-year outcomes of cemented and cementless unicompartmental knee replacements","volume":"91","author":[{"family":"Mohammad","given":"Hasan R."},{"family":"Matharu","given":"Gulraj S."},{"family":"Judge","given":"Andrew"},{"family":"Murray","given":"David W."}],"issued":{"date-parts":[["2020"]]}}},{"id":102,"uris":["http://zotero.org/users/local/vnmeHScW/items/XRIG5KL9"],"uri":["http://zotero.org/users/local/vnmeHScW/items/XRIG5KL9"],"itemData":{"id":102,"type":"article-journal","abstract":"BACKGROUND: Unicompartmental knee replacement (UKR) offers substantial benefits compared with total knee replacement (TKR) but is associated with higher revision rates. Data from registries suggest that revision rates for cementless UKR implants are lower than those for cemented implants. It is not known how much of this difference is due to the implant or to other factors, such as a greater proportion of high-volume surgeons using cementless implants. We aimed to determine the effect of surgeon caseload on the revision rate of matched cemented and cementless UKRs.\nMETHODS: From a group of 40,522 Oxford (Zimmer Biomet) UKR implants (30,814 cemented, 9,708 cementless) recorded in the National Joint Registry, 14,814 (7,407 cemented, 7,407 cementless) were propensity-score matched. Surgeons were categorized into 3 groups: low volume (&lt;10 cases/year), medium volume (10 to &lt;30 cases/year), and high volume (≥30 cases/year). The effect of caseload on the relative risk of revision was assessed with use of Cox regression.\nRESULTS: The 10-year survival rates for unmatched cementless and cemented UKR implants were 93.3% (95% confidence interval [CI] = 89.8% to 95.7%) and 89.1% (95% CI = 88.6% to 89.6%), respectively, with the difference being significant (hazard ratio [HR] = 0.59; p &lt; 0.001). Cementless UKR implants had a greater proportion of high-volume surgeon users than cemented implants (30.4% compared with 15.1%). Following matching, the 10-year survival rates were 93.2% (95% CI = 89.7% to 95.6%) and 90.2% (95% CI = 87.5% to 92.3%), which were still significantly different (HR = 0.76; p = 0.002). The 10-year survival rates for matched cementless and cemented UKR implants were 86.8% (95% CI = 73.6% to 93.7%) and 81.8% (95% CI = 73.0% to 88.0%) for low-volume surgeons, 94.3% (95% CI = 92.2% to 95.9%) and 92.5% (95% CI = 89.9% to 94.5%) for medium-volume surgeons, and 97.5% (95% CI = 96.5% to 98.2%) and 94.2% (95% CI = 90.8% to 96.4%) for high-volume surgeons. The revision rate for cementless implants was lower for surgeons in all 3 caseload groups (HR = 0.74, 0.79, 0.80, respectively).\nCONCLUSIONS: Cementless fixation decreased the revision rate by about a quarter, whatever the surgeon caseload. Caseload had a profound effect on implant survival. Low-volume surgeons had a high revision rate with cemented or cementless fixation and therefore should consider either stopping or doing more UKR procedures. High-volume surgeons performing cementless UKR demonstrated a 10-year survival rate of 97.5%, which was similar to that reported in registries for the best-performing TKRs.\nLEVEL OF EVIDENCE: Therapeutic Level III. See Instructions for Authors for a complete description of levels of evidence.","container-title":"The Journal of Bone and Joint Surgery. American Volume","DOI":"10.2106/JBJS.19.01060","ISSN":"1535-1386","issue":"8","journalAbbreviation":"J Bone Joint Surg Am","language":"eng","note":"PMID: 32004190","page":"644-653","source":"PubMed","title":"The Effect of Surgeon Caseload on the Relative Revision Rate of Cemented and Cementless Unicompartmental Knee Replacements: An Analysis from the National Joint Registry for England, Wales, Northern Ireland and the Isle of Man","title-short":"The Effect of Surgeon Caseload on the Relative Revision Rate of Cemented and Cementless Unicompartmental Knee Replacements","volume":"102","author":[{"family":"Mohammad","given":"Hasan R."},{"family":"Matharu","given":"Gulraj S."},{"family":"Judge","given":"Andrew"},{"family":"Murray","given":"David W."}],"issued":{"date-parts":[["2020",4,15]]}}}],"schema":"https://github.com/citation-style-language/schema/raw/master/csl-citation.json"} </w:instrText>
      </w:r>
      <w:r w:rsidRPr="00F23B84">
        <w:rPr>
          <w:rFonts w:ascii="Arial" w:hAnsi="Arial" w:cs="Arial"/>
        </w:rPr>
        <w:fldChar w:fldCharType="separate"/>
      </w:r>
      <w:r w:rsidR="00F7180C" w:rsidRPr="00F23B84">
        <w:rPr>
          <w:rFonts w:ascii="Arial" w:hAnsi="Arial" w:cs="Arial"/>
        </w:rPr>
        <w:t>(10–12)</w:t>
      </w:r>
      <w:r w:rsidRPr="00F23B84">
        <w:rPr>
          <w:rFonts w:ascii="Arial" w:hAnsi="Arial" w:cs="Arial"/>
        </w:rPr>
        <w:fldChar w:fldCharType="end"/>
      </w:r>
      <w:r w:rsidRPr="00F23B84">
        <w:rPr>
          <w:rFonts w:ascii="Arial" w:hAnsi="Arial" w:cs="Arial"/>
        </w:rPr>
        <w:t xml:space="preserve">. </w:t>
      </w:r>
      <w:r w:rsidR="00D55C1E" w:rsidRPr="00F23B84">
        <w:rPr>
          <w:rFonts w:ascii="Arial" w:hAnsi="Arial" w:cs="Arial"/>
        </w:rPr>
        <w:t>C</w:t>
      </w:r>
      <w:r w:rsidR="008808AE" w:rsidRPr="00F23B84">
        <w:rPr>
          <w:rFonts w:ascii="Arial" w:hAnsi="Arial" w:cs="Arial"/>
        </w:rPr>
        <w:t>ementless</w:t>
      </w:r>
      <w:r w:rsidR="000A0BFB" w:rsidRPr="00F23B84">
        <w:rPr>
          <w:rFonts w:ascii="Arial" w:hAnsi="Arial" w:cs="Arial"/>
        </w:rPr>
        <w:t xml:space="preserve"> or </w:t>
      </w:r>
      <w:r w:rsidR="008808AE" w:rsidRPr="00F23B84">
        <w:rPr>
          <w:rFonts w:ascii="Arial" w:hAnsi="Arial" w:cs="Arial"/>
        </w:rPr>
        <w:t xml:space="preserve">hybrid </w:t>
      </w:r>
      <w:r w:rsidR="006869EC" w:rsidRPr="00F23B84">
        <w:rPr>
          <w:rFonts w:ascii="Arial" w:hAnsi="Arial" w:cs="Arial"/>
        </w:rPr>
        <w:t xml:space="preserve">tibiofemoral UKRs </w:t>
      </w:r>
      <w:r w:rsidR="003D3F78" w:rsidRPr="00F23B84">
        <w:rPr>
          <w:rFonts w:ascii="Arial" w:hAnsi="Arial" w:cs="Arial"/>
        </w:rPr>
        <w:t xml:space="preserve">now </w:t>
      </w:r>
      <w:r w:rsidR="008808AE" w:rsidRPr="00F23B84">
        <w:rPr>
          <w:rFonts w:ascii="Arial" w:hAnsi="Arial" w:cs="Arial"/>
        </w:rPr>
        <w:t>represent 2.0%</w:t>
      </w:r>
      <w:r w:rsidR="003D3F78" w:rsidRPr="00F23B84">
        <w:rPr>
          <w:rFonts w:ascii="Arial" w:hAnsi="Arial" w:cs="Arial"/>
        </w:rPr>
        <w:t xml:space="preserve"> of all knee arthroplasties</w:t>
      </w:r>
      <w:r w:rsidR="00D55C1E" w:rsidRPr="00F23B84">
        <w:rPr>
          <w:rFonts w:ascii="Arial" w:hAnsi="Arial" w:cs="Arial"/>
        </w:rPr>
        <w:t xml:space="preserve"> in the NJR</w:t>
      </w:r>
      <w:r w:rsidR="006869EC" w:rsidRPr="00F23B84">
        <w:rPr>
          <w:rFonts w:ascii="Arial" w:hAnsi="Arial" w:cs="Arial"/>
        </w:rPr>
        <w:t xml:space="preserve"> </w:t>
      </w:r>
      <w:r w:rsidR="006869EC" w:rsidRPr="00F23B84">
        <w:rPr>
          <w:rFonts w:ascii="Arial" w:hAnsi="Arial" w:cs="Arial"/>
        </w:rPr>
        <w:fldChar w:fldCharType="begin"/>
      </w:r>
      <w:r w:rsidR="00670C29" w:rsidRPr="00F23B84">
        <w:rPr>
          <w:rFonts w:ascii="Arial" w:hAnsi="Arial" w:cs="Arial"/>
        </w:rPr>
        <w:instrText xml:space="preserve"> ADDIN ZOTERO_ITEM CSL_CITATION {"citationID":"H5C6HKDg","properties":{"formattedCitation":"(5)","plainCitation":"(5)","noteIndex":0},"citationItems":[{"id":115,"uris":["http://zotero.org/users/local/vnmeHScW/items/HMU6Q56X"],"uri":["http://zotero.org/users/local/vnmeHScW/items/HMU6Q56X"],"itemData":{"id":115,"type":"report","title":"National Joint Registry Annual report 2020, www.njrcentre.org.uk (accessed January 2021)"}}],"schema":"https://github.com/citation-style-language/schema/raw/master/csl-citation.json"} </w:instrText>
      </w:r>
      <w:r w:rsidR="006869EC" w:rsidRPr="00F23B84">
        <w:rPr>
          <w:rFonts w:ascii="Arial" w:hAnsi="Arial" w:cs="Arial"/>
        </w:rPr>
        <w:fldChar w:fldCharType="separate"/>
      </w:r>
      <w:r w:rsidR="00670C29" w:rsidRPr="00F23B84">
        <w:rPr>
          <w:rFonts w:ascii="Arial" w:hAnsi="Arial" w:cs="Arial"/>
        </w:rPr>
        <w:t>(5)</w:t>
      </w:r>
      <w:r w:rsidR="006869EC" w:rsidRPr="00F23B84">
        <w:rPr>
          <w:rFonts w:ascii="Arial" w:hAnsi="Arial" w:cs="Arial"/>
        </w:rPr>
        <w:fldChar w:fldCharType="end"/>
      </w:r>
      <w:r w:rsidR="008808AE" w:rsidRPr="00F23B84">
        <w:rPr>
          <w:rFonts w:ascii="Arial" w:hAnsi="Arial" w:cs="Arial"/>
        </w:rPr>
        <w:t>.</w:t>
      </w:r>
      <w:r w:rsidR="00832C90" w:rsidRPr="00F23B84">
        <w:rPr>
          <w:rFonts w:ascii="Arial" w:hAnsi="Arial" w:cs="Arial"/>
        </w:rPr>
        <w:t xml:space="preserve"> </w:t>
      </w:r>
    </w:p>
    <w:p w14:paraId="7B159470" w14:textId="05EC8A0C" w:rsidR="00312FEF" w:rsidRPr="00F23B84" w:rsidRDefault="00312FEF" w:rsidP="00C11B7C">
      <w:pPr>
        <w:rPr>
          <w:rFonts w:ascii="Arial" w:hAnsi="Arial" w:cs="Arial"/>
        </w:rPr>
      </w:pPr>
    </w:p>
    <w:p w14:paraId="5E789D7D" w14:textId="69F8745D" w:rsidR="00312FEF" w:rsidRPr="00F23B84" w:rsidRDefault="00794E68" w:rsidP="00C11B7C">
      <w:pPr>
        <w:rPr>
          <w:rFonts w:ascii="Arial" w:hAnsi="Arial" w:cs="Arial"/>
        </w:rPr>
      </w:pPr>
      <w:r w:rsidRPr="00F23B84">
        <w:rPr>
          <w:rFonts w:ascii="Arial" w:hAnsi="Arial" w:cs="Arial"/>
        </w:rPr>
        <w:t>C</w:t>
      </w:r>
      <w:r w:rsidR="00BA32D4" w:rsidRPr="00F23B84">
        <w:rPr>
          <w:rFonts w:ascii="Arial" w:hAnsi="Arial" w:cs="Arial"/>
        </w:rPr>
        <w:t xml:space="preserve">emented implants have long been seen as the gold standard in knee arthroplasty, </w:t>
      </w:r>
      <w:r w:rsidRPr="00F23B84">
        <w:rPr>
          <w:rFonts w:ascii="Arial" w:hAnsi="Arial" w:cs="Arial"/>
        </w:rPr>
        <w:t xml:space="preserve">with less tibial component migration in cemented TKR implants found in a Cochrane review when compared to cementless implants </w:t>
      </w:r>
      <w:r w:rsidRPr="00F23B84">
        <w:rPr>
          <w:rFonts w:ascii="Arial" w:hAnsi="Arial" w:cs="Arial"/>
        </w:rPr>
        <w:fldChar w:fldCharType="begin"/>
      </w:r>
      <w:r w:rsidRPr="00F23B84">
        <w:rPr>
          <w:rFonts w:ascii="Arial" w:hAnsi="Arial" w:cs="Arial"/>
        </w:rPr>
        <w:instrText xml:space="preserve"> ADDIN ZOTERO_ITEM CSL_CITATION {"citationID":"VzNU0ajO","properties":{"formattedCitation":"(13)","plainCitation":"(13)","noteIndex":0},"citationItems":[{"id":140,"uris":["http://zotero.org/users/local/vnmeHScW/items/4AZAWB2Z"],"uri":["http://zotero.org/users/local/vnmeHScW/items/4AZAWB2Z"],"itemData":{"id":140,"type":"article-journal","abstract":"BACKGROUND: It is not clear which fixation of total knee arthroplasty obtains the best clinical, functional and radiographic results in people with osteoarthritis and other non-traumatic diseases, such as rheumatoid arthritis.\nOBJECTIVES: To assess the benefits and harms of cemented, cementless and hybrid knee prostheses fixation techniques in participants with primary osteoarthritis (osteoarthritis following trauma was not included) and other non-traumatic diseases, such as rheumatoid arthritis.\nSEARCH METHODS: We searched CENTRAL (2011, issue 10), MEDLINE via PubMed, EMBASE, Current Controlled Trials, LILACS, The Cumulative Index to Nursing and Allied Health Literature, SPORTDiscus, Health Technology Assessment Database and the Database of Abstracts of Reviews of Effectiveness, all from implementation to October 2011, along with handsearches of high-yield journals and reference lists of articles. No language restrictions were applied.\nSELECTION CRITERIA: Randomized controlled trials (RCTs) evaluating cemented, cementless and hybrid fixation. Participants included patients that were 18 years or older with osteoarthritis and other non-traumatic diseases who were undergoing primary total knee arthroplasty.\nDATA COLLECTION AND ANALYSIS: Three authors independently selected the eligible trials, assessed the trial quality, risk of bias and extracted data. Researchers were contacted to obtain missing information.\nMAIN RESULTS: Five RCTs and 297 participants were included in this review. Using meta-analysis on roentgen stereophotogrammetric analysis (RSA) we observed that cemented fixation of the tibial components demonstrated smaller displacement in relation to cementless fixation (with and without hydroxyapatite) after a follow-up of two years (maximum total point-motion, N = 167, two RCTs, mean difference (MD) = 0.52 mm, 95% confidence interval (CI) 0.31 to 0.74). However, the risk of future aseptic loosening with uncemented fixation was approximately half that of cemented fixation according to the arthroplasty instability classification (moderate quality as assessed by GRADE) inferred from RSA (N = 216, three RCTs, risk ratio (RR) = 0.47, 95% CI 0.24 to 0.92) with a 16% absolute risk difference between groups. The number needed to treat for an additional beneficial outcome (NNTB) to prevent future aseptic loosening was 7 (95% CI 5 to 44). There was a low risk of bias for RSA among the studies included. It was not possible to perform meta-analysis on patient-important outcomes, such as the survival rate of the implant (any change of a component), patient global assessments, functional measures, pain, health-related quality of life measures and adverse events. Almost all included studies recorded functional measures of Knee Society and Hospital for Special Surgery knee scores, but the authors of each study found no significant difference between the groups.\nAUTHORS' CONCLUSIONS: There was a smaller displacement of the cemented tibial component in relation to the cementless fixation in studies with osteoarthritis and rheumatoid arthritis participants who underwent primary total knee prosthesis with a follow-up of two years; however, the cemented fixation presented a greater risk of future aseptic loosening than cementless fixation.","container-title":"The Cochrane Database of Systematic Reviews","DOI":"10.1002/14651858.CD006193.pub2","ISSN":"1469-493X","journalAbbreviation":"Cochrane Database Syst Rev","language":"eng","note":"PMID: 23076921","page":"CD006193","source":"PubMed","title":"Cemented, cementless or hybrid fixation options in total knee arthroplasty for osteoarthritis and other non-traumatic diseases","volume":"10","author":[{"family":"Nakama","given":"Gilberto Yoshinobu"},{"family":"Peccin","given":"Maria Stella"},{"family":"Almeida","given":"Gustavo J. M."},{"family":"Lira Neto","given":"Ozório de Almeida"},{"family":"Queiroz","given":"Antônio A. B."},{"family":"Navarro","given":"Ricardo Dizioli"}],"issued":{"date-parts":[["2012",10,17]]}}}],"schema":"https://github.com/citation-style-language/schema/raw/master/csl-citation.json"} </w:instrText>
      </w:r>
      <w:r w:rsidRPr="00F23B84">
        <w:rPr>
          <w:rFonts w:ascii="Arial" w:hAnsi="Arial" w:cs="Arial"/>
        </w:rPr>
        <w:fldChar w:fldCharType="separate"/>
      </w:r>
      <w:r w:rsidRPr="00F23B84">
        <w:rPr>
          <w:rFonts w:ascii="Arial" w:hAnsi="Arial" w:cs="Arial"/>
          <w:noProof/>
        </w:rPr>
        <w:t>(13)</w:t>
      </w:r>
      <w:r w:rsidRPr="00F23B84">
        <w:rPr>
          <w:rFonts w:ascii="Arial" w:hAnsi="Arial" w:cs="Arial"/>
        </w:rPr>
        <w:fldChar w:fldCharType="end"/>
      </w:r>
      <w:r w:rsidRPr="00F23B84">
        <w:rPr>
          <w:rFonts w:ascii="Arial" w:hAnsi="Arial" w:cs="Arial"/>
        </w:rPr>
        <w:t>. However</w:t>
      </w:r>
      <w:r w:rsidR="0071527F">
        <w:rPr>
          <w:rFonts w:ascii="Arial" w:hAnsi="Arial" w:cs="Arial"/>
        </w:rPr>
        <w:t>,</w:t>
      </w:r>
      <w:r w:rsidRPr="00F23B84">
        <w:rPr>
          <w:rFonts w:ascii="Arial" w:hAnsi="Arial" w:cs="Arial"/>
        </w:rPr>
        <w:t xml:space="preserve"> </w:t>
      </w:r>
      <w:r w:rsidR="00BA32D4" w:rsidRPr="00F23B84">
        <w:rPr>
          <w:rFonts w:ascii="Arial" w:hAnsi="Arial" w:cs="Arial"/>
        </w:rPr>
        <w:t xml:space="preserve">the tibial component of a mobile-bearing UKR is subject to virtually exclusively compressive forces, unlike TKRs which </w:t>
      </w:r>
      <w:r w:rsidR="00A30F51" w:rsidRPr="00F23B84">
        <w:rPr>
          <w:rFonts w:ascii="Arial" w:hAnsi="Arial" w:cs="Arial"/>
        </w:rPr>
        <w:t>are subject to</w:t>
      </w:r>
      <w:r w:rsidR="00BA32D4" w:rsidRPr="00F23B84">
        <w:rPr>
          <w:rFonts w:ascii="Arial" w:hAnsi="Arial" w:cs="Arial"/>
        </w:rPr>
        <w:t xml:space="preserve"> rocking and shear forces</w:t>
      </w:r>
      <w:r w:rsidR="00CF6056">
        <w:rPr>
          <w:rFonts w:ascii="Arial" w:hAnsi="Arial" w:cs="Arial"/>
        </w:rPr>
        <w:t>.</w:t>
      </w:r>
      <w:r w:rsidR="00BA32D4" w:rsidRPr="00F23B84">
        <w:rPr>
          <w:rFonts w:ascii="Arial" w:hAnsi="Arial" w:cs="Arial"/>
        </w:rPr>
        <w:t xml:space="preserve"> </w:t>
      </w:r>
      <w:r w:rsidR="00CF6056">
        <w:rPr>
          <w:rFonts w:ascii="Arial" w:hAnsi="Arial" w:cs="Arial"/>
        </w:rPr>
        <w:t>This</w:t>
      </w:r>
      <w:r w:rsidR="00BA32D4" w:rsidRPr="00F23B84">
        <w:rPr>
          <w:rFonts w:ascii="Arial" w:hAnsi="Arial" w:cs="Arial"/>
        </w:rPr>
        <w:t xml:space="preserve"> mak</w:t>
      </w:r>
      <w:r w:rsidR="00CF6056">
        <w:rPr>
          <w:rFonts w:ascii="Arial" w:hAnsi="Arial" w:cs="Arial"/>
        </w:rPr>
        <w:t>es</w:t>
      </w:r>
      <w:r w:rsidR="00BA32D4" w:rsidRPr="00F23B84">
        <w:rPr>
          <w:rFonts w:ascii="Arial" w:hAnsi="Arial" w:cs="Arial"/>
        </w:rPr>
        <w:t xml:space="preserve"> cementless implants more attractive in mobile bearing UKRs in terms of osteointegration </w:t>
      </w:r>
      <w:r w:rsidR="00BA32D4" w:rsidRPr="00F23B84">
        <w:rPr>
          <w:rFonts w:ascii="Arial" w:hAnsi="Arial" w:cs="Arial"/>
        </w:rPr>
        <w:fldChar w:fldCharType="begin"/>
      </w:r>
      <w:r w:rsidRPr="00F23B84">
        <w:rPr>
          <w:rFonts w:ascii="Arial" w:hAnsi="Arial" w:cs="Arial"/>
        </w:rPr>
        <w:instrText xml:space="preserve"> ADDIN ZOTERO_ITEM CSL_CITATION {"citationID":"TfS77Brl","properties":{"formattedCitation":"(14)","plainCitation":"(14)","noteIndex":0},"citationItems":[{"id":137,"uris":["http://zotero.org/users/local/vnmeHScW/items/RGSGQ4YF"],"uri":["http://zotero.org/users/local/vnmeHScW/items/RGSGQ4YF"],"itemData":{"id":137,"type":"article-journal","abstract":"The most common reasons for revision of unicompartmental knee arthroplasty (UKA) are loosening and pain. Cementless components may reduce the revision rate. The aim of this study was to compare the fixation and clinical outcome of cementless and cemented Oxford UKAs. A total of 43 patients were randomised to receive either a cemented or a cementless Oxford UKA and were followed for two years with radiostereometric analysis (RSA), radiographs aligned with the bone-implant interfaces and clinical scores. The femoral components migrated significantly during the first year (mean 0.2 mm) but not during the second. There was no significant difference in the extent of migration between cemented and cementless femoral components in either the first or the second year. In the first year the cementless tibial components subsided significantly more than the cemented components (mean 0.28 mm (sd 0.17) vs. 0.09 mm (sd 0.19 mm)). In the second year, although there was a small amount of subsidence (mean 0.05 mm) there was no significant difference (p = 0.92) between cemented and cementless tibial components. There were no femoral radiolucencies. Tibial radiolucencies were narrow (&lt; 1 mm) and were significantly (p = 0.02) less common with cementless (6 of 21) than cemented (13 of 21) components at two years. There were no complete radiolucencies with cementless components, whereas five of 21 (24%) cemented components had complete radiolucencies. The clinical scores at two years were not significantly different (p = 0.20). As second-year migration is predictive of subsequent loosening, and as radiolucency is suggestive of reduced implant-bone contact, these data suggest that fixation of the cementless components is at least as good as, if not better than, that of cemented devices.","container-title":"The Bone &amp; Joint Journal","DOI":"10.1302/0301-620X.97B2.34331","ISSN":"2049-4408","issue":"2","journalAbbreviation":"Bone Joint J","language":"eng","note":"PMID: 25628280","page":"185-191","source":"PubMed","title":"Cemented versus cementless Oxford unicompartmental knee arthroplasty using radiostereometric analysis: a randomised controlled trial","title-short":"Cemented versus cementless Oxford unicompartmental knee arthroplasty using radiostereometric analysis","volume":"97-B","author":[{"family":"Kendrick","given":"B. J. L."},{"family":"Kaptein","given":"B. L."},{"family":"Valstar","given":"E. R."},{"family":"Gill","given":"H. S."},{"family":"Jackson","given":"W. F. M."},{"family":"Dodd","given":"C. a. F."},{"family":"Price","given":"A. J."},{"family":"Murray","given":"D. W."}],"issued":{"date-parts":[["2015",2]]}}}],"schema":"https://github.com/citation-style-language/schema/raw/master/csl-citation.json"} </w:instrText>
      </w:r>
      <w:r w:rsidR="00BA32D4" w:rsidRPr="00F23B84">
        <w:rPr>
          <w:rFonts w:ascii="Arial" w:hAnsi="Arial" w:cs="Arial"/>
        </w:rPr>
        <w:fldChar w:fldCharType="separate"/>
      </w:r>
      <w:r w:rsidRPr="00F23B84">
        <w:rPr>
          <w:rFonts w:ascii="Arial" w:hAnsi="Arial" w:cs="Arial"/>
          <w:noProof/>
        </w:rPr>
        <w:t>(14)</w:t>
      </w:r>
      <w:r w:rsidR="00BA32D4" w:rsidRPr="00F23B84">
        <w:rPr>
          <w:rFonts w:ascii="Arial" w:hAnsi="Arial" w:cs="Arial"/>
        </w:rPr>
        <w:fldChar w:fldCharType="end"/>
      </w:r>
      <w:r w:rsidR="00BA32D4" w:rsidRPr="00F23B84">
        <w:rPr>
          <w:rFonts w:ascii="Arial" w:hAnsi="Arial" w:cs="Arial"/>
        </w:rPr>
        <w:t xml:space="preserve">. </w:t>
      </w:r>
      <w:r w:rsidR="00312FEF" w:rsidRPr="00F23B84">
        <w:rPr>
          <w:rFonts w:ascii="Arial" w:hAnsi="Arial" w:cs="Arial"/>
        </w:rPr>
        <w:t xml:space="preserve">In </w:t>
      </w:r>
      <w:r w:rsidR="00C92096" w:rsidRPr="00F23B84">
        <w:rPr>
          <w:rFonts w:ascii="Arial" w:hAnsi="Arial" w:cs="Arial"/>
        </w:rPr>
        <w:t>addition,</w:t>
      </w:r>
      <w:r w:rsidR="00312FEF" w:rsidRPr="00F23B84">
        <w:rPr>
          <w:rFonts w:ascii="Arial" w:hAnsi="Arial" w:cs="Arial"/>
        </w:rPr>
        <w:t xml:space="preserve"> the other theoretical benefit of cementless fixation is the reduction in the potential for third body wear due to loose cement.</w:t>
      </w:r>
    </w:p>
    <w:p w14:paraId="2F0D57B8" w14:textId="77777777" w:rsidR="00AC2EEC" w:rsidRPr="00F23B84" w:rsidRDefault="00AC2EEC" w:rsidP="00C11B7C">
      <w:pPr>
        <w:rPr>
          <w:rFonts w:ascii="Arial" w:hAnsi="Arial" w:cs="Arial"/>
        </w:rPr>
      </w:pPr>
    </w:p>
    <w:p w14:paraId="30A3C545" w14:textId="32C01F09" w:rsidR="007C1964" w:rsidRPr="00F23B84" w:rsidRDefault="00D709B5" w:rsidP="00C11B7C">
      <w:pPr>
        <w:rPr>
          <w:rFonts w:ascii="Arial" w:hAnsi="Arial" w:cs="Arial"/>
        </w:rPr>
      </w:pPr>
      <w:r w:rsidRPr="00F23B84">
        <w:rPr>
          <w:rFonts w:ascii="Arial" w:hAnsi="Arial" w:cs="Arial"/>
        </w:rPr>
        <w:t>Our unit</w:t>
      </w:r>
      <w:r w:rsidR="003B5E7B" w:rsidRPr="00F23B84">
        <w:rPr>
          <w:rFonts w:ascii="Arial" w:hAnsi="Arial" w:cs="Arial"/>
        </w:rPr>
        <w:t xml:space="preserve"> is a high volume centre for UKRs and</w:t>
      </w:r>
      <w:r w:rsidRPr="00F23B84">
        <w:rPr>
          <w:rFonts w:ascii="Arial" w:hAnsi="Arial" w:cs="Arial"/>
        </w:rPr>
        <w:t xml:space="preserve"> first started using cementless Oxford </w:t>
      </w:r>
      <w:r w:rsidR="00081F4A" w:rsidRPr="00F23B84">
        <w:rPr>
          <w:rFonts w:ascii="Arial" w:hAnsi="Arial" w:cs="Arial"/>
        </w:rPr>
        <w:t xml:space="preserve">mobile bearing </w:t>
      </w:r>
      <w:r w:rsidRPr="00F23B84">
        <w:rPr>
          <w:rFonts w:ascii="Arial" w:hAnsi="Arial" w:cs="Arial"/>
        </w:rPr>
        <w:t xml:space="preserve">UKR (Zimmer Biomet, </w:t>
      </w:r>
      <w:r w:rsidR="006D6A37" w:rsidRPr="00F23B84">
        <w:rPr>
          <w:rFonts w:ascii="Arial" w:hAnsi="Arial" w:cs="Arial"/>
        </w:rPr>
        <w:t>Bridgend</w:t>
      </w:r>
      <w:r w:rsidRPr="00F23B84">
        <w:rPr>
          <w:rFonts w:ascii="Arial" w:hAnsi="Arial" w:cs="Arial"/>
        </w:rPr>
        <w:t xml:space="preserve">, UK) in 2009. </w:t>
      </w:r>
      <w:r w:rsidR="00194BB5" w:rsidRPr="00F23B84">
        <w:rPr>
          <w:rFonts w:ascii="Arial" w:hAnsi="Arial" w:cs="Arial"/>
        </w:rPr>
        <w:t xml:space="preserve">We </w:t>
      </w:r>
      <w:r w:rsidR="00312FEF" w:rsidRPr="00F23B84">
        <w:rPr>
          <w:rFonts w:ascii="Arial" w:hAnsi="Arial" w:cs="Arial"/>
        </w:rPr>
        <w:t>investigated</w:t>
      </w:r>
      <w:r w:rsidRPr="00F23B84">
        <w:rPr>
          <w:rFonts w:ascii="Arial" w:hAnsi="Arial" w:cs="Arial"/>
        </w:rPr>
        <w:t xml:space="preserve"> our </w:t>
      </w:r>
      <w:r w:rsidR="00F06579">
        <w:rPr>
          <w:rFonts w:ascii="Arial" w:hAnsi="Arial" w:cs="Arial"/>
        </w:rPr>
        <w:t>initial</w:t>
      </w:r>
      <w:r w:rsidRPr="00F23B84">
        <w:rPr>
          <w:rFonts w:ascii="Arial" w:hAnsi="Arial" w:cs="Arial"/>
        </w:rPr>
        <w:t xml:space="preserve"> experience</w:t>
      </w:r>
      <w:r w:rsidR="00194BB5" w:rsidRPr="00F23B84">
        <w:rPr>
          <w:rFonts w:ascii="Arial" w:hAnsi="Arial" w:cs="Arial"/>
        </w:rPr>
        <w:t xml:space="preserve"> </w:t>
      </w:r>
      <w:r w:rsidR="00081F4A" w:rsidRPr="00F23B84">
        <w:rPr>
          <w:rFonts w:ascii="Arial" w:hAnsi="Arial" w:cs="Arial"/>
        </w:rPr>
        <w:t>w</w:t>
      </w:r>
      <w:r w:rsidR="00F92C8D" w:rsidRPr="00F23B84">
        <w:rPr>
          <w:rFonts w:ascii="Arial" w:hAnsi="Arial" w:cs="Arial"/>
        </w:rPr>
        <w:t>i</w:t>
      </w:r>
      <w:r w:rsidR="00081F4A" w:rsidRPr="00F23B84">
        <w:rPr>
          <w:rFonts w:ascii="Arial" w:hAnsi="Arial" w:cs="Arial"/>
        </w:rPr>
        <w:t xml:space="preserve">th the cementless </w:t>
      </w:r>
      <w:r w:rsidR="00312FEF" w:rsidRPr="00F23B84">
        <w:rPr>
          <w:rFonts w:ascii="Arial" w:hAnsi="Arial" w:cs="Arial"/>
        </w:rPr>
        <w:t>O</w:t>
      </w:r>
      <w:r w:rsidR="00081F4A" w:rsidRPr="00F23B84">
        <w:rPr>
          <w:rFonts w:ascii="Arial" w:hAnsi="Arial" w:cs="Arial"/>
        </w:rPr>
        <w:t xml:space="preserve">xford </w:t>
      </w:r>
      <w:r w:rsidR="003B5E7B" w:rsidRPr="00F23B84">
        <w:rPr>
          <w:rFonts w:ascii="Arial" w:hAnsi="Arial" w:cs="Arial"/>
        </w:rPr>
        <w:t xml:space="preserve">including </w:t>
      </w:r>
      <w:r w:rsidR="00312FEF" w:rsidRPr="00F23B84">
        <w:rPr>
          <w:rFonts w:ascii="Arial" w:hAnsi="Arial" w:cs="Arial"/>
        </w:rPr>
        <w:t>our</w:t>
      </w:r>
      <w:r w:rsidR="003B5E7B" w:rsidRPr="00F23B84">
        <w:rPr>
          <w:rFonts w:ascii="Arial" w:hAnsi="Arial" w:cs="Arial"/>
        </w:rPr>
        <w:t xml:space="preserve"> learning curve</w:t>
      </w:r>
      <w:r w:rsidR="00F06579">
        <w:rPr>
          <w:rFonts w:ascii="Arial" w:hAnsi="Arial" w:cs="Arial"/>
        </w:rPr>
        <w:t>,</w:t>
      </w:r>
      <w:r w:rsidR="003B5E7B" w:rsidRPr="00F23B84">
        <w:rPr>
          <w:rFonts w:ascii="Arial" w:hAnsi="Arial" w:cs="Arial"/>
        </w:rPr>
        <w:t xml:space="preserve"> </w:t>
      </w:r>
      <w:r w:rsidR="00312FEF" w:rsidRPr="00F23B84">
        <w:rPr>
          <w:rFonts w:ascii="Arial" w:hAnsi="Arial" w:cs="Arial"/>
        </w:rPr>
        <w:t xml:space="preserve">moving over from the cemented phase </w:t>
      </w:r>
      <w:r w:rsidR="00F06579">
        <w:rPr>
          <w:rFonts w:ascii="Arial" w:hAnsi="Arial" w:cs="Arial"/>
        </w:rPr>
        <w:t>III</w:t>
      </w:r>
      <w:r w:rsidR="00312FEF" w:rsidRPr="00F23B84">
        <w:rPr>
          <w:rFonts w:ascii="Arial" w:hAnsi="Arial" w:cs="Arial"/>
        </w:rPr>
        <w:t xml:space="preserve"> Oxford</w:t>
      </w:r>
      <w:r w:rsidR="003B5E7B" w:rsidRPr="00F23B84">
        <w:rPr>
          <w:rFonts w:ascii="Arial" w:hAnsi="Arial" w:cs="Arial"/>
        </w:rPr>
        <w:t>. S</w:t>
      </w:r>
      <w:r w:rsidR="00CB15DA" w:rsidRPr="00F23B84">
        <w:rPr>
          <w:rFonts w:ascii="Arial" w:hAnsi="Arial" w:cs="Arial"/>
        </w:rPr>
        <w:t>urvivorship</w:t>
      </w:r>
      <w:r w:rsidR="003B3E62" w:rsidRPr="00F23B84">
        <w:rPr>
          <w:rFonts w:ascii="Arial" w:hAnsi="Arial" w:cs="Arial"/>
        </w:rPr>
        <w:t xml:space="preserve"> </w:t>
      </w:r>
      <w:r w:rsidR="003B5E7B" w:rsidRPr="00F23B84">
        <w:rPr>
          <w:rFonts w:ascii="Arial" w:hAnsi="Arial" w:cs="Arial"/>
        </w:rPr>
        <w:t>w</w:t>
      </w:r>
      <w:r w:rsidR="003B3E62" w:rsidRPr="00F23B84">
        <w:rPr>
          <w:rFonts w:ascii="Arial" w:hAnsi="Arial" w:cs="Arial"/>
        </w:rPr>
        <w:t xml:space="preserve">as our primary outcome </w:t>
      </w:r>
      <w:r w:rsidR="003B3E62" w:rsidRPr="00F23B84">
        <w:rPr>
          <w:rFonts w:ascii="Arial" w:hAnsi="Arial" w:cs="Arial"/>
        </w:rPr>
        <w:lastRenderedPageBreak/>
        <w:t>measure</w:t>
      </w:r>
      <w:r w:rsidRPr="00F23B84">
        <w:rPr>
          <w:rFonts w:ascii="Arial" w:hAnsi="Arial" w:cs="Arial"/>
        </w:rPr>
        <w:t xml:space="preserve"> </w:t>
      </w:r>
      <w:r w:rsidR="00194BB5" w:rsidRPr="00F23B84">
        <w:rPr>
          <w:rFonts w:ascii="Arial" w:hAnsi="Arial" w:cs="Arial"/>
        </w:rPr>
        <w:t xml:space="preserve">and </w:t>
      </w:r>
      <w:r w:rsidR="003B3E62" w:rsidRPr="00F23B84">
        <w:rPr>
          <w:rFonts w:ascii="Arial" w:hAnsi="Arial" w:cs="Arial"/>
        </w:rPr>
        <w:t>PROM data</w:t>
      </w:r>
      <w:r w:rsidR="00194BB5" w:rsidRPr="00F23B84">
        <w:rPr>
          <w:rFonts w:ascii="Arial" w:hAnsi="Arial" w:cs="Arial"/>
        </w:rPr>
        <w:t xml:space="preserve"> </w:t>
      </w:r>
      <w:r w:rsidR="00CB15DA" w:rsidRPr="00F23B84">
        <w:rPr>
          <w:rFonts w:ascii="Arial" w:hAnsi="Arial" w:cs="Arial"/>
        </w:rPr>
        <w:t xml:space="preserve">at a minimum of five years follow-up </w:t>
      </w:r>
      <w:r w:rsidR="003B3E62" w:rsidRPr="00F23B84">
        <w:rPr>
          <w:rFonts w:ascii="Arial" w:hAnsi="Arial" w:cs="Arial"/>
        </w:rPr>
        <w:t>as secondary outcome measure</w:t>
      </w:r>
      <w:r w:rsidR="003B5E7B" w:rsidRPr="00F23B84">
        <w:rPr>
          <w:rFonts w:ascii="Arial" w:hAnsi="Arial" w:cs="Arial"/>
        </w:rPr>
        <w:t>s</w:t>
      </w:r>
      <w:r w:rsidR="003B3E62" w:rsidRPr="00F23B84">
        <w:rPr>
          <w:rFonts w:ascii="Arial" w:hAnsi="Arial" w:cs="Arial"/>
        </w:rPr>
        <w:t xml:space="preserve">. </w:t>
      </w:r>
    </w:p>
    <w:p w14:paraId="5A501E23" w14:textId="4EA107FF" w:rsidR="007C1964" w:rsidRPr="00F23B84" w:rsidRDefault="007C1964" w:rsidP="00C11B7C">
      <w:pPr>
        <w:rPr>
          <w:rFonts w:ascii="Arial" w:hAnsi="Arial" w:cs="Arial"/>
        </w:rPr>
      </w:pPr>
    </w:p>
    <w:p w14:paraId="12BC8EF7" w14:textId="66C55E96" w:rsidR="007C1964" w:rsidRPr="00F23B84" w:rsidRDefault="007C1964" w:rsidP="00C11B7C">
      <w:pPr>
        <w:rPr>
          <w:rFonts w:ascii="Arial" w:hAnsi="Arial" w:cs="Arial"/>
        </w:rPr>
      </w:pPr>
    </w:p>
    <w:p w14:paraId="3CCA9DEC" w14:textId="55DBBA9E" w:rsidR="007C1964" w:rsidRPr="00F23B84" w:rsidRDefault="00F9768B" w:rsidP="00C11B7C">
      <w:pPr>
        <w:rPr>
          <w:rFonts w:ascii="Arial" w:hAnsi="Arial" w:cs="Arial"/>
          <w:b/>
          <w:bCs/>
        </w:rPr>
      </w:pPr>
      <w:r w:rsidRPr="00F23B84">
        <w:rPr>
          <w:rFonts w:ascii="Arial" w:hAnsi="Arial" w:cs="Arial"/>
          <w:b/>
          <w:bCs/>
        </w:rPr>
        <w:t xml:space="preserve">Patients and </w:t>
      </w:r>
      <w:r w:rsidR="007C1964" w:rsidRPr="00F23B84">
        <w:rPr>
          <w:rFonts w:ascii="Arial" w:hAnsi="Arial" w:cs="Arial"/>
          <w:b/>
          <w:bCs/>
        </w:rPr>
        <w:t>Methods</w:t>
      </w:r>
    </w:p>
    <w:p w14:paraId="29228E00" w14:textId="77777777" w:rsidR="003B3E62" w:rsidRPr="00F23B84" w:rsidRDefault="003B3E62" w:rsidP="00C11B7C">
      <w:pPr>
        <w:rPr>
          <w:rFonts w:ascii="Arial" w:hAnsi="Arial" w:cs="Arial"/>
        </w:rPr>
      </w:pPr>
    </w:p>
    <w:p w14:paraId="55D395BE" w14:textId="798BC88A" w:rsidR="00FD745A" w:rsidRDefault="00D34944" w:rsidP="00C11B7C">
      <w:pPr>
        <w:rPr>
          <w:rFonts w:ascii="Arial" w:hAnsi="Arial" w:cs="Arial"/>
          <w:lang w:eastAsia="en-GB"/>
        </w:rPr>
      </w:pPr>
      <w:r w:rsidRPr="00F23B84">
        <w:rPr>
          <w:rFonts w:ascii="Arial" w:hAnsi="Arial" w:cs="Arial"/>
        </w:rPr>
        <w:t>All</w:t>
      </w:r>
      <w:r w:rsidR="00755448" w:rsidRPr="00F23B84">
        <w:rPr>
          <w:rFonts w:ascii="Arial" w:hAnsi="Arial" w:cs="Arial"/>
        </w:rPr>
        <w:t xml:space="preserve"> </w:t>
      </w:r>
      <w:r w:rsidR="00411003" w:rsidRPr="00F23B84">
        <w:rPr>
          <w:rFonts w:ascii="Arial" w:hAnsi="Arial" w:cs="Arial"/>
        </w:rPr>
        <w:t xml:space="preserve">patients who had a </w:t>
      </w:r>
      <w:r w:rsidR="00755448" w:rsidRPr="00F23B84">
        <w:rPr>
          <w:rFonts w:ascii="Arial" w:hAnsi="Arial" w:cs="Arial"/>
        </w:rPr>
        <w:t>UKR</w:t>
      </w:r>
      <w:r w:rsidRPr="00F23B84">
        <w:rPr>
          <w:rFonts w:ascii="Arial" w:hAnsi="Arial" w:cs="Arial"/>
        </w:rPr>
        <w:t xml:space="preserve"> using</w:t>
      </w:r>
      <w:r w:rsidR="00755448" w:rsidRPr="00F23B84">
        <w:rPr>
          <w:rFonts w:ascii="Arial" w:hAnsi="Arial" w:cs="Arial"/>
        </w:rPr>
        <w:t xml:space="preserve"> </w:t>
      </w:r>
      <w:r w:rsidRPr="00F23B84">
        <w:rPr>
          <w:rFonts w:ascii="Arial" w:hAnsi="Arial" w:cs="Arial"/>
        </w:rPr>
        <w:t xml:space="preserve">the Cementless Medial Oxford that </w:t>
      </w:r>
      <w:r w:rsidR="00755448" w:rsidRPr="00F23B84">
        <w:rPr>
          <w:rFonts w:ascii="Arial" w:hAnsi="Arial" w:cs="Arial"/>
        </w:rPr>
        <w:t>were</w:t>
      </w:r>
      <w:r w:rsidRPr="00F23B84">
        <w:rPr>
          <w:rFonts w:ascii="Arial" w:hAnsi="Arial" w:cs="Arial"/>
        </w:rPr>
        <w:t xml:space="preserve"> a minimum of five years following</w:t>
      </w:r>
      <w:r w:rsidR="00411003" w:rsidRPr="00F23B84">
        <w:rPr>
          <w:rFonts w:ascii="Arial" w:hAnsi="Arial" w:cs="Arial"/>
        </w:rPr>
        <w:t xml:space="preserve"> their</w:t>
      </w:r>
      <w:r w:rsidRPr="00F23B84">
        <w:rPr>
          <w:rFonts w:ascii="Arial" w:hAnsi="Arial" w:cs="Arial"/>
        </w:rPr>
        <w:t xml:space="preserve"> surgery were included in this study. Data collection started when the implant was first introduced in our department in 2009</w:t>
      </w:r>
      <w:r w:rsidR="007E4EFA" w:rsidRPr="00F23B84">
        <w:rPr>
          <w:rFonts w:ascii="Arial" w:hAnsi="Arial" w:cs="Arial"/>
        </w:rPr>
        <w:t xml:space="preserve"> and data </w:t>
      </w:r>
      <w:r w:rsidR="00FD745A">
        <w:rPr>
          <w:rFonts w:ascii="Arial" w:hAnsi="Arial" w:cs="Arial"/>
        </w:rPr>
        <w:t xml:space="preserve">was </w:t>
      </w:r>
      <w:r w:rsidR="007E4EFA" w:rsidRPr="00F23B84">
        <w:rPr>
          <w:rFonts w:ascii="Arial" w:hAnsi="Arial" w:cs="Arial"/>
        </w:rPr>
        <w:t>collected prospectively</w:t>
      </w:r>
      <w:r w:rsidR="00FD745A">
        <w:rPr>
          <w:rFonts w:ascii="Arial" w:hAnsi="Arial" w:cs="Arial"/>
        </w:rPr>
        <w:t>. The project was registered</w:t>
      </w:r>
      <w:r w:rsidR="00E029AA" w:rsidRPr="00F23B84">
        <w:rPr>
          <w:rFonts w:ascii="Arial" w:hAnsi="Arial" w:cs="Arial"/>
        </w:rPr>
        <w:t xml:space="preserve"> as a Service Evaluation with our Clinical Governance Department (</w:t>
      </w:r>
      <w:r w:rsidR="00E029AA" w:rsidRPr="00F23B84">
        <w:rPr>
          <w:rFonts w:ascii="Arial" w:hAnsi="Arial" w:cs="Arial"/>
          <w:lang w:eastAsia="en-GB"/>
        </w:rPr>
        <w:t>CE84683</w:t>
      </w:r>
      <w:r w:rsidR="00E029AA" w:rsidRPr="00F23B84">
        <w:rPr>
          <w:rFonts w:ascii="Arial" w:hAnsi="Arial" w:cs="Arial"/>
        </w:rPr>
        <w:t>)</w:t>
      </w:r>
      <w:r w:rsidR="00FD745A">
        <w:rPr>
          <w:rFonts w:ascii="Arial" w:hAnsi="Arial" w:cs="Arial"/>
        </w:rPr>
        <w:t>.</w:t>
      </w:r>
    </w:p>
    <w:p w14:paraId="6050FC0C" w14:textId="77777777" w:rsidR="00350918" w:rsidRDefault="00350918" w:rsidP="00C11B7C">
      <w:pPr>
        <w:rPr>
          <w:rFonts w:ascii="Arial" w:hAnsi="Arial" w:cs="Arial"/>
          <w:lang w:eastAsia="en-GB"/>
        </w:rPr>
      </w:pPr>
    </w:p>
    <w:p w14:paraId="0468DEE6" w14:textId="64B71FEF" w:rsidR="00A66DD1" w:rsidRPr="00F23B84" w:rsidRDefault="00FD745A" w:rsidP="00C11B7C">
      <w:pPr>
        <w:rPr>
          <w:rFonts w:ascii="Arial" w:hAnsi="Arial" w:cs="Arial"/>
        </w:rPr>
      </w:pPr>
      <w:r>
        <w:rPr>
          <w:rFonts w:ascii="Arial" w:hAnsi="Arial" w:cs="Arial"/>
          <w:lang w:eastAsia="en-GB"/>
        </w:rPr>
        <w:t>P</w:t>
      </w:r>
      <w:r w:rsidR="00630066">
        <w:rPr>
          <w:rFonts w:ascii="Arial" w:hAnsi="Arial" w:cs="Arial"/>
          <w:lang w:eastAsia="en-GB"/>
        </w:rPr>
        <w:t>atients who had surgery after December 2014 were excluded to ensure a minimum of five years of follow-up.</w:t>
      </w:r>
      <w:r w:rsidR="00D34944" w:rsidRPr="00F23B84">
        <w:rPr>
          <w:rFonts w:ascii="Arial" w:hAnsi="Arial" w:cs="Arial"/>
        </w:rPr>
        <w:t xml:space="preserve">  All</w:t>
      </w:r>
      <w:r w:rsidR="00755448" w:rsidRPr="00F23B84">
        <w:rPr>
          <w:rFonts w:ascii="Arial" w:hAnsi="Arial" w:cs="Arial"/>
        </w:rPr>
        <w:t xml:space="preserve"> </w:t>
      </w:r>
      <w:r w:rsidR="00081F4A" w:rsidRPr="00F23B84">
        <w:rPr>
          <w:rFonts w:ascii="Arial" w:hAnsi="Arial" w:cs="Arial"/>
        </w:rPr>
        <w:t xml:space="preserve">procedures were performed under the care of one of four Consultant knee surgeons by </w:t>
      </w:r>
      <w:r w:rsidR="00CF6056">
        <w:rPr>
          <w:rFonts w:ascii="Arial" w:hAnsi="Arial" w:cs="Arial"/>
        </w:rPr>
        <w:t>either</w:t>
      </w:r>
      <w:r w:rsidR="00081F4A" w:rsidRPr="00F23B84">
        <w:rPr>
          <w:rFonts w:ascii="Arial" w:hAnsi="Arial" w:cs="Arial"/>
        </w:rPr>
        <w:t xml:space="preserve"> Consultant </w:t>
      </w:r>
      <w:r w:rsidR="00CF6056">
        <w:rPr>
          <w:rFonts w:ascii="Arial" w:hAnsi="Arial" w:cs="Arial"/>
        </w:rPr>
        <w:t>or</w:t>
      </w:r>
      <w:r w:rsidR="00081F4A" w:rsidRPr="00F23B84">
        <w:rPr>
          <w:rFonts w:ascii="Arial" w:hAnsi="Arial" w:cs="Arial"/>
        </w:rPr>
        <w:t xml:space="preserve"> trainee surgeons. </w:t>
      </w:r>
      <w:r w:rsidR="00A352DC" w:rsidRPr="00F23B84">
        <w:rPr>
          <w:rFonts w:ascii="Arial" w:hAnsi="Arial" w:cs="Arial"/>
        </w:rPr>
        <w:t>A</w:t>
      </w:r>
      <w:r w:rsidR="00DD6213">
        <w:rPr>
          <w:rFonts w:ascii="Arial" w:hAnsi="Arial" w:cs="Arial"/>
        </w:rPr>
        <w:t>t the time of the study not a</w:t>
      </w:r>
      <w:r w:rsidR="00A352DC" w:rsidRPr="00F23B84">
        <w:rPr>
          <w:rFonts w:ascii="Arial" w:hAnsi="Arial" w:cs="Arial"/>
        </w:rPr>
        <w:t xml:space="preserve">ll surgeons were using the </w:t>
      </w:r>
      <w:r w:rsidR="00A352DC" w:rsidRPr="00F23B84">
        <w:rPr>
          <w:rFonts w:ascii="Arial" w:hAnsi="Arial" w:cs="Arial"/>
          <w:color w:val="000000" w:themeColor="text1"/>
        </w:rPr>
        <w:t xml:space="preserve">cementless </w:t>
      </w:r>
      <w:r w:rsidR="00312FEF" w:rsidRPr="00F23B84">
        <w:rPr>
          <w:rFonts w:ascii="Arial" w:hAnsi="Arial" w:cs="Arial"/>
          <w:color w:val="000000" w:themeColor="text1"/>
        </w:rPr>
        <w:t>O</w:t>
      </w:r>
      <w:r w:rsidR="00A352DC" w:rsidRPr="00F23B84">
        <w:rPr>
          <w:rFonts w:ascii="Arial" w:hAnsi="Arial" w:cs="Arial"/>
          <w:color w:val="000000" w:themeColor="text1"/>
        </w:rPr>
        <w:t xml:space="preserve">xford exclusively for their partial knee replacements. </w:t>
      </w:r>
      <w:r w:rsidR="007E4EFA" w:rsidRPr="00F23B84">
        <w:rPr>
          <w:rFonts w:ascii="Arial" w:hAnsi="Arial" w:cs="Arial"/>
        </w:rPr>
        <w:t>No patients were excluded who had an uncemented Oxford implanted</w:t>
      </w:r>
      <w:r w:rsidR="005E1DE4">
        <w:rPr>
          <w:rFonts w:ascii="Arial" w:hAnsi="Arial" w:cs="Arial"/>
        </w:rPr>
        <w:t xml:space="preserve"> between April 2009 and the end of December 2014</w:t>
      </w:r>
      <w:r w:rsidR="007E4EFA" w:rsidRPr="00F23B84">
        <w:rPr>
          <w:rFonts w:ascii="Arial" w:hAnsi="Arial" w:cs="Arial"/>
        </w:rPr>
        <w:t>.</w:t>
      </w:r>
    </w:p>
    <w:p w14:paraId="7D92EB4F" w14:textId="6858C310" w:rsidR="00A66DD1" w:rsidRPr="00F23B84" w:rsidRDefault="00A66DD1" w:rsidP="00C11B7C">
      <w:pPr>
        <w:rPr>
          <w:rFonts w:ascii="Arial" w:hAnsi="Arial" w:cs="Arial"/>
        </w:rPr>
      </w:pPr>
    </w:p>
    <w:p w14:paraId="3CB0C125" w14:textId="0FBE966A" w:rsidR="00A66DD1" w:rsidRPr="00F23B84" w:rsidRDefault="00194BB5" w:rsidP="00C11B7C">
      <w:pPr>
        <w:rPr>
          <w:rFonts w:ascii="Arial" w:hAnsi="Arial" w:cs="Arial"/>
          <w:lang w:eastAsia="en-GB"/>
        </w:rPr>
      </w:pPr>
      <w:r w:rsidRPr="00F23B84">
        <w:rPr>
          <w:rFonts w:ascii="Arial" w:hAnsi="Arial" w:cs="Arial"/>
          <w:color w:val="000000" w:themeColor="text1"/>
        </w:rPr>
        <w:t>The primary outcome measure</w:t>
      </w:r>
      <w:r w:rsidR="003B7C3B" w:rsidRPr="00F23B84">
        <w:rPr>
          <w:rFonts w:ascii="Arial" w:hAnsi="Arial" w:cs="Arial"/>
          <w:color w:val="000000" w:themeColor="text1"/>
        </w:rPr>
        <w:t xml:space="preserve"> </w:t>
      </w:r>
      <w:r w:rsidRPr="00F23B84">
        <w:rPr>
          <w:rFonts w:ascii="Arial" w:hAnsi="Arial" w:cs="Arial"/>
          <w:color w:val="000000" w:themeColor="text1"/>
        </w:rPr>
        <w:t xml:space="preserve">was </w:t>
      </w:r>
      <w:r w:rsidR="00CF10EC">
        <w:rPr>
          <w:rFonts w:ascii="Arial" w:hAnsi="Arial" w:cs="Arial"/>
          <w:color w:val="000000" w:themeColor="text1"/>
        </w:rPr>
        <w:t xml:space="preserve">implant </w:t>
      </w:r>
      <w:r w:rsidRPr="00F23B84">
        <w:rPr>
          <w:rFonts w:ascii="Arial" w:hAnsi="Arial" w:cs="Arial"/>
          <w:color w:val="000000" w:themeColor="text1"/>
        </w:rPr>
        <w:t>survivorship</w:t>
      </w:r>
      <w:r w:rsidR="00D34944" w:rsidRPr="00F23B84">
        <w:rPr>
          <w:rFonts w:ascii="Arial" w:hAnsi="Arial" w:cs="Arial"/>
          <w:color w:val="000000" w:themeColor="text1"/>
        </w:rPr>
        <w:t xml:space="preserve"> and s</w:t>
      </w:r>
      <w:r w:rsidRPr="00F23B84">
        <w:rPr>
          <w:rFonts w:ascii="Arial" w:hAnsi="Arial" w:cs="Arial"/>
          <w:color w:val="000000" w:themeColor="text1"/>
        </w:rPr>
        <w:t>econdary outcome measures were PROM</w:t>
      </w:r>
      <w:r w:rsidR="00411003" w:rsidRPr="00F23B84">
        <w:rPr>
          <w:rFonts w:ascii="Arial" w:hAnsi="Arial" w:cs="Arial"/>
          <w:color w:val="000000" w:themeColor="text1"/>
        </w:rPr>
        <w:t xml:space="preserve"> scores</w:t>
      </w:r>
      <w:r w:rsidRPr="00F23B84">
        <w:rPr>
          <w:rFonts w:ascii="Arial" w:hAnsi="Arial" w:cs="Arial"/>
          <w:color w:val="000000" w:themeColor="text1"/>
        </w:rPr>
        <w:t xml:space="preserve"> in the form of Oxford Knee Score (OKS), </w:t>
      </w:r>
      <w:r w:rsidR="003B7C3B" w:rsidRPr="00F23B84">
        <w:rPr>
          <w:rFonts w:ascii="Arial" w:eastAsia="Times New Roman" w:hAnsi="Arial" w:cs="Arial"/>
          <w:color w:val="000000" w:themeColor="text1"/>
          <w:shd w:val="clear" w:color="auto" w:fill="FFFFFF"/>
          <w:lang w:eastAsia="en-GB"/>
        </w:rPr>
        <w:t>Western Ontario and McMaster Universities Osteoarthritis Index</w:t>
      </w:r>
      <w:r w:rsidR="003B7C3B" w:rsidRPr="00F23B84">
        <w:rPr>
          <w:rFonts w:ascii="Arial" w:eastAsia="Times New Roman" w:hAnsi="Arial" w:cs="Arial"/>
          <w:color w:val="000000" w:themeColor="text1"/>
          <w:lang w:eastAsia="en-GB"/>
        </w:rPr>
        <w:t xml:space="preserve"> </w:t>
      </w:r>
      <w:r w:rsidR="003B7C3B" w:rsidRPr="00F23B84">
        <w:rPr>
          <w:rFonts w:ascii="Arial" w:eastAsia="Times New Roman" w:hAnsi="Arial" w:cs="Arial"/>
          <w:lang w:eastAsia="en-GB"/>
        </w:rPr>
        <w:t>(</w:t>
      </w:r>
      <w:r w:rsidR="003B7C3B" w:rsidRPr="00F23B84">
        <w:rPr>
          <w:rFonts w:ascii="Arial" w:hAnsi="Arial" w:cs="Arial"/>
        </w:rPr>
        <w:t>WOMAC)</w:t>
      </w:r>
      <w:r w:rsidRPr="00F23B84">
        <w:rPr>
          <w:rFonts w:ascii="Arial" w:hAnsi="Arial" w:cs="Arial"/>
        </w:rPr>
        <w:t xml:space="preserve"> and</w:t>
      </w:r>
      <w:r w:rsidR="00016CE8" w:rsidRPr="00F23B84">
        <w:rPr>
          <w:rFonts w:ascii="Arial" w:hAnsi="Arial" w:cs="Arial"/>
        </w:rPr>
        <w:t xml:space="preserve"> a</w:t>
      </w:r>
      <w:r w:rsidRPr="00F23B84">
        <w:rPr>
          <w:rFonts w:ascii="Arial" w:hAnsi="Arial" w:cs="Arial"/>
        </w:rPr>
        <w:t xml:space="preserve"> </w:t>
      </w:r>
      <w:r w:rsidR="003B7C3B" w:rsidRPr="00F23B84">
        <w:rPr>
          <w:rFonts w:ascii="Arial" w:hAnsi="Arial" w:cs="Arial"/>
        </w:rPr>
        <w:t>modified American Knee Society Score (mAKSS)</w:t>
      </w:r>
      <w:r w:rsidRPr="00F23B84">
        <w:rPr>
          <w:rFonts w:ascii="Arial" w:hAnsi="Arial" w:cs="Arial"/>
        </w:rPr>
        <w:t xml:space="preserve">. </w:t>
      </w:r>
      <w:r w:rsidR="00037895" w:rsidRPr="00F23B84">
        <w:rPr>
          <w:rFonts w:ascii="Arial" w:hAnsi="Arial" w:cs="Arial"/>
        </w:rPr>
        <w:t>The American Knee Society Score is</w:t>
      </w:r>
      <w:r w:rsidR="005509A3" w:rsidRPr="00F23B84">
        <w:rPr>
          <w:rFonts w:ascii="Arial" w:hAnsi="Arial" w:cs="Arial"/>
        </w:rPr>
        <w:t xml:space="preserve"> modified in our unit to exclude some of the clinical scores in order to allow the score to be completed virtually by the patients. </w:t>
      </w:r>
      <w:r w:rsidR="00FD745A">
        <w:rPr>
          <w:rFonts w:ascii="Arial" w:hAnsi="Arial" w:cs="Arial"/>
        </w:rPr>
        <w:t xml:space="preserve">Postal questionnaires of </w:t>
      </w:r>
      <w:r w:rsidR="00A66DD1" w:rsidRPr="00F23B84">
        <w:rPr>
          <w:rFonts w:ascii="Arial" w:hAnsi="Arial" w:cs="Arial"/>
        </w:rPr>
        <w:t xml:space="preserve">PROM scores were </w:t>
      </w:r>
      <w:r w:rsidR="00FD745A">
        <w:rPr>
          <w:rFonts w:ascii="Arial" w:hAnsi="Arial" w:cs="Arial"/>
        </w:rPr>
        <w:t xml:space="preserve">sent out and </w:t>
      </w:r>
      <w:r w:rsidR="00A66DD1" w:rsidRPr="00F23B84">
        <w:rPr>
          <w:rFonts w:ascii="Arial" w:hAnsi="Arial" w:cs="Arial"/>
        </w:rPr>
        <w:t xml:space="preserve">collected </w:t>
      </w:r>
      <w:r w:rsidR="004419E3" w:rsidRPr="00F23B84">
        <w:rPr>
          <w:rFonts w:ascii="Arial" w:hAnsi="Arial" w:cs="Arial"/>
        </w:rPr>
        <w:t>between January and October</w:t>
      </w:r>
      <w:r w:rsidR="00A66DD1" w:rsidRPr="00F23B84">
        <w:rPr>
          <w:rFonts w:ascii="Arial" w:hAnsi="Arial" w:cs="Arial"/>
        </w:rPr>
        <w:t xml:space="preserve"> 2020 giving a range of follow-ups, with all</w:t>
      </w:r>
      <w:r w:rsidR="00090565" w:rsidRPr="00F23B84">
        <w:rPr>
          <w:rFonts w:ascii="Arial" w:hAnsi="Arial" w:cs="Arial"/>
        </w:rPr>
        <w:t xml:space="preserve"> patients being</w:t>
      </w:r>
      <w:r w:rsidR="00A66DD1" w:rsidRPr="00F23B84">
        <w:rPr>
          <w:rFonts w:ascii="Arial" w:hAnsi="Arial" w:cs="Arial"/>
        </w:rPr>
        <w:t xml:space="preserve"> at least five years </w:t>
      </w:r>
      <w:r w:rsidR="00016CE8" w:rsidRPr="00F23B84">
        <w:rPr>
          <w:rFonts w:ascii="Arial" w:hAnsi="Arial" w:cs="Arial"/>
        </w:rPr>
        <w:t>post-surgery</w:t>
      </w:r>
      <w:r w:rsidR="00F9768B" w:rsidRPr="00F23B84">
        <w:rPr>
          <w:rFonts w:ascii="Arial" w:hAnsi="Arial" w:cs="Arial"/>
        </w:rPr>
        <w:t xml:space="preserve"> providing medium term results</w:t>
      </w:r>
      <w:r w:rsidR="00FD745A">
        <w:rPr>
          <w:rFonts w:ascii="Arial" w:hAnsi="Arial" w:cs="Arial"/>
        </w:rPr>
        <w:t xml:space="preserve">. Non-responders received one telephone call to maximise data collection. Patient demographics and their most recent clinical review letter relating to their knee replacement were recorded. </w:t>
      </w:r>
    </w:p>
    <w:p w14:paraId="414EF4B7" w14:textId="77777777" w:rsidR="00F9768B" w:rsidRPr="00F23B84" w:rsidRDefault="00F9768B" w:rsidP="00C11B7C">
      <w:pPr>
        <w:rPr>
          <w:rFonts w:ascii="Arial" w:hAnsi="Arial" w:cs="Arial"/>
        </w:rPr>
      </w:pPr>
    </w:p>
    <w:p w14:paraId="38569769" w14:textId="7E51E0F0" w:rsidR="007C1964" w:rsidRPr="00F23B84" w:rsidRDefault="00F9768B" w:rsidP="00C11B7C">
      <w:pPr>
        <w:rPr>
          <w:rFonts w:ascii="Arial" w:hAnsi="Arial" w:cs="Arial"/>
        </w:rPr>
      </w:pPr>
      <w:r w:rsidRPr="00F23B84">
        <w:rPr>
          <w:rFonts w:ascii="Arial" w:hAnsi="Arial" w:cs="Arial"/>
        </w:rPr>
        <w:t>Any patient who</w:t>
      </w:r>
      <w:r w:rsidR="004B4FD3" w:rsidRPr="00F23B84">
        <w:rPr>
          <w:rFonts w:ascii="Arial" w:hAnsi="Arial" w:cs="Arial"/>
        </w:rPr>
        <w:t xml:space="preserve"> </w:t>
      </w:r>
      <w:r w:rsidR="00E52B1A" w:rsidRPr="00F23B84">
        <w:rPr>
          <w:rFonts w:ascii="Arial" w:hAnsi="Arial" w:cs="Arial"/>
        </w:rPr>
        <w:t xml:space="preserve">underwent </w:t>
      </w:r>
      <w:r w:rsidR="004B4FD3" w:rsidRPr="00F23B84">
        <w:rPr>
          <w:rFonts w:ascii="Arial" w:hAnsi="Arial" w:cs="Arial"/>
        </w:rPr>
        <w:t>re-opera</w:t>
      </w:r>
      <w:r w:rsidR="00B53503" w:rsidRPr="00F23B84">
        <w:rPr>
          <w:rFonts w:ascii="Arial" w:hAnsi="Arial" w:cs="Arial"/>
        </w:rPr>
        <w:t>t</w:t>
      </w:r>
      <w:r w:rsidR="004B4FD3" w:rsidRPr="00F23B84">
        <w:rPr>
          <w:rFonts w:ascii="Arial" w:hAnsi="Arial" w:cs="Arial"/>
        </w:rPr>
        <w:t>ion</w:t>
      </w:r>
      <w:r w:rsidR="00E52B1A" w:rsidRPr="00F23B84">
        <w:rPr>
          <w:rFonts w:ascii="Arial" w:hAnsi="Arial" w:cs="Arial"/>
        </w:rPr>
        <w:t xml:space="preserve"> was considered a failure </w:t>
      </w:r>
      <w:r w:rsidR="00312FEF" w:rsidRPr="00F23B84">
        <w:rPr>
          <w:rFonts w:ascii="Arial" w:hAnsi="Arial" w:cs="Arial"/>
        </w:rPr>
        <w:t xml:space="preserve">for the purposes of analysis </w:t>
      </w:r>
      <w:r w:rsidR="00E52B1A" w:rsidRPr="00F23B84">
        <w:rPr>
          <w:rFonts w:ascii="Arial" w:hAnsi="Arial" w:cs="Arial"/>
        </w:rPr>
        <w:t xml:space="preserve">and </w:t>
      </w:r>
      <w:r w:rsidR="00FD745A">
        <w:rPr>
          <w:rFonts w:ascii="Arial" w:hAnsi="Arial" w:cs="Arial"/>
        </w:rPr>
        <w:t xml:space="preserve">was thus </w:t>
      </w:r>
      <w:r w:rsidR="00E52B1A" w:rsidRPr="00F23B84">
        <w:rPr>
          <w:rFonts w:ascii="Arial" w:hAnsi="Arial" w:cs="Arial"/>
        </w:rPr>
        <w:t>withdrawn from</w:t>
      </w:r>
      <w:r w:rsidR="00312FEF" w:rsidRPr="00F23B84">
        <w:rPr>
          <w:rFonts w:ascii="Arial" w:hAnsi="Arial" w:cs="Arial"/>
        </w:rPr>
        <w:t xml:space="preserve"> subsequent timepoint analys</w:t>
      </w:r>
      <w:r w:rsidR="00FD745A">
        <w:rPr>
          <w:rFonts w:ascii="Arial" w:hAnsi="Arial" w:cs="Arial"/>
        </w:rPr>
        <w:t>es</w:t>
      </w:r>
      <w:r w:rsidR="00E52B1A" w:rsidRPr="00F23B84">
        <w:rPr>
          <w:rFonts w:ascii="Arial" w:hAnsi="Arial" w:cs="Arial"/>
        </w:rPr>
        <w:t xml:space="preserve">. </w:t>
      </w:r>
      <w:r w:rsidR="00D16354" w:rsidRPr="00F23B84">
        <w:rPr>
          <w:rFonts w:ascii="Arial" w:hAnsi="Arial" w:cs="Arial"/>
        </w:rPr>
        <w:t xml:space="preserve">A survival analysis was performed at 12 monthly intervals. </w:t>
      </w:r>
      <w:r w:rsidR="00F21414" w:rsidRPr="00F23B84">
        <w:rPr>
          <w:rFonts w:ascii="Arial" w:hAnsi="Arial" w:cs="Arial"/>
        </w:rPr>
        <w:t>A c</w:t>
      </w:r>
      <w:r w:rsidR="00D16354" w:rsidRPr="00F23B84">
        <w:rPr>
          <w:rFonts w:ascii="Arial" w:hAnsi="Arial" w:cs="Arial"/>
        </w:rPr>
        <w:t>hi-squared</w:t>
      </w:r>
      <w:r w:rsidR="00F21414" w:rsidRPr="00F23B84">
        <w:rPr>
          <w:rFonts w:ascii="Arial" w:hAnsi="Arial" w:cs="Arial"/>
        </w:rPr>
        <w:t xml:space="preserve"> analysis was used</w:t>
      </w:r>
      <w:r w:rsidR="00D16354" w:rsidRPr="00F23B84">
        <w:rPr>
          <w:rFonts w:ascii="Arial" w:hAnsi="Arial" w:cs="Arial"/>
        </w:rPr>
        <w:t xml:space="preserve"> to </w:t>
      </w:r>
      <w:r w:rsidR="00F21414" w:rsidRPr="00F23B84">
        <w:rPr>
          <w:rFonts w:ascii="Arial" w:hAnsi="Arial" w:cs="Arial"/>
        </w:rPr>
        <w:t>assess variations between</w:t>
      </w:r>
      <w:r w:rsidR="00D16354" w:rsidRPr="00F23B84">
        <w:rPr>
          <w:rFonts w:ascii="Arial" w:hAnsi="Arial" w:cs="Arial"/>
        </w:rPr>
        <w:t xml:space="preserve"> side and gender</w:t>
      </w:r>
      <w:r w:rsidR="004419E3" w:rsidRPr="00F23B84">
        <w:rPr>
          <w:rFonts w:ascii="Arial" w:hAnsi="Arial" w:cs="Arial"/>
        </w:rPr>
        <w:t xml:space="preserve"> and</w:t>
      </w:r>
      <w:r w:rsidR="00D16354" w:rsidRPr="00F23B84">
        <w:rPr>
          <w:rFonts w:ascii="Arial" w:hAnsi="Arial" w:cs="Arial"/>
        </w:rPr>
        <w:t xml:space="preserve"> </w:t>
      </w:r>
      <w:r w:rsidR="004419E3" w:rsidRPr="00F23B84">
        <w:rPr>
          <w:rFonts w:ascii="Arial" w:hAnsi="Arial" w:cs="Arial"/>
        </w:rPr>
        <w:t>a</w:t>
      </w:r>
      <w:r w:rsidR="00D16354" w:rsidRPr="00F23B84">
        <w:rPr>
          <w:rFonts w:ascii="Arial" w:hAnsi="Arial" w:cs="Arial"/>
        </w:rPr>
        <w:t xml:space="preserve"> Pearson </w:t>
      </w:r>
      <w:r w:rsidR="00F21414" w:rsidRPr="00F23B84">
        <w:rPr>
          <w:rFonts w:ascii="Arial" w:hAnsi="Arial" w:cs="Arial"/>
        </w:rPr>
        <w:t>c</w:t>
      </w:r>
      <w:r w:rsidR="00D16354" w:rsidRPr="00F23B84">
        <w:rPr>
          <w:rFonts w:ascii="Arial" w:hAnsi="Arial" w:cs="Arial"/>
        </w:rPr>
        <w:t xml:space="preserve">hi-squared </w:t>
      </w:r>
      <w:r w:rsidR="00F21414" w:rsidRPr="00F23B84">
        <w:rPr>
          <w:rFonts w:ascii="Arial" w:hAnsi="Arial" w:cs="Arial"/>
        </w:rPr>
        <w:t>analysis was used to assess for variation</w:t>
      </w:r>
      <w:r w:rsidR="00D16354" w:rsidRPr="00F23B84">
        <w:rPr>
          <w:rFonts w:ascii="Arial" w:hAnsi="Arial" w:cs="Arial"/>
        </w:rPr>
        <w:t xml:space="preserve"> </w:t>
      </w:r>
      <w:r w:rsidR="00F21414" w:rsidRPr="00F23B84">
        <w:rPr>
          <w:rFonts w:ascii="Arial" w:hAnsi="Arial" w:cs="Arial"/>
        </w:rPr>
        <w:t>between</w:t>
      </w:r>
      <w:r w:rsidR="004419E3" w:rsidRPr="00F23B84">
        <w:rPr>
          <w:rFonts w:ascii="Arial" w:hAnsi="Arial" w:cs="Arial"/>
        </w:rPr>
        <w:t xml:space="preserve"> the</w:t>
      </w:r>
      <w:r w:rsidR="00F21414" w:rsidRPr="00F23B84">
        <w:rPr>
          <w:rFonts w:ascii="Arial" w:hAnsi="Arial" w:cs="Arial"/>
        </w:rPr>
        <w:t xml:space="preserve"> risk of</w:t>
      </w:r>
      <w:r w:rsidR="00D16354" w:rsidRPr="00F23B84">
        <w:rPr>
          <w:rFonts w:ascii="Arial" w:hAnsi="Arial" w:cs="Arial"/>
        </w:rPr>
        <w:t xml:space="preserve"> revision and age</w:t>
      </w:r>
      <w:r w:rsidR="00037895" w:rsidRPr="00F23B84">
        <w:rPr>
          <w:rFonts w:ascii="Arial" w:hAnsi="Arial" w:cs="Arial"/>
        </w:rPr>
        <w:t>.</w:t>
      </w:r>
    </w:p>
    <w:p w14:paraId="4E79FFF2" w14:textId="77777777" w:rsidR="00D16354" w:rsidRPr="00F23B84" w:rsidRDefault="00D16354" w:rsidP="00C11B7C">
      <w:pPr>
        <w:rPr>
          <w:rFonts w:ascii="Arial" w:hAnsi="Arial" w:cs="Arial"/>
        </w:rPr>
      </w:pPr>
    </w:p>
    <w:p w14:paraId="0380D85D" w14:textId="423DA967" w:rsidR="007C1964" w:rsidRPr="00F23B84" w:rsidRDefault="007C1964" w:rsidP="00C11B7C">
      <w:pPr>
        <w:rPr>
          <w:rFonts w:ascii="Arial" w:hAnsi="Arial" w:cs="Arial"/>
          <w:b/>
          <w:bCs/>
        </w:rPr>
      </w:pPr>
      <w:r w:rsidRPr="00F23B84">
        <w:rPr>
          <w:rFonts w:ascii="Arial" w:hAnsi="Arial" w:cs="Arial"/>
          <w:b/>
          <w:bCs/>
        </w:rPr>
        <w:t>Results</w:t>
      </w:r>
    </w:p>
    <w:p w14:paraId="3220625A" w14:textId="77777777" w:rsidR="003820D0" w:rsidRPr="00F23B84" w:rsidRDefault="003820D0" w:rsidP="00C11B7C">
      <w:pPr>
        <w:rPr>
          <w:rFonts w:ascii="Arial" w:hAnsi="Arial" w:cs="Arial"/>
        </w:rPr>
      </w:pPr>
    </w:p>
    <w:p w14:paraId="5298AF61" w14:textId="70037D8B" w:rsidR="007C1964" w:rsidRPr="00F23B84" w:rsidRDefault="00630066" w:rsidP="00C11B7C">
      <w:pPr>
        <w:rPr>
          <w:rFonts w:ascii="Arial" w:hAnsi="Arial" w:cs="Arial"/>
          <w:color w:val="000000" w:themeColor="text1"/>
        </w:rPr>
      </w:pPr>
      <w:r>
        <w:rPr>
          <w:rFonts w:ascii="Arial" w:hAnsi="Arial" w:cs="Arial"/>
        </w:rPr>
        <w:t xml:space="preserve">There were </w:t>
      </w:r>
      <w:r w:rsidR="00D34944" w:rsidRPr="00F23B84">
        <w:rPr>
          <w:rFonts w:ascii="Arial" w:hAnsi="Arial" w:cs="Arial"/>
        </w:rPr>
        <w:t xml:space="preserve">200 UKRs </w:t>
      </w:r>
      <w:r w:rsidRPr="00F23B84">
        <w:rPr>
          <w:rFonts w:ascii="Arial" w:hAnsi="Arial" w:cs="Arial"/>
        </w:rPr>
        <w:t xml:space="preserve">performed </w:t>
      </w:r>
      <w:r w:rsidR="00D34944" w:rsidRPr="00F23B84">
        <w:rPr>
          <w:rFonts w:ascii="Arial" w:hAnsi="Arial" w:cs="Arial"/>
        </w:rPr>
        <w:t xml:space="preserve">between April 2009 and December 2014. </w:t>
      </w:r>
      <w:r w:rsidR="00A352DC" w:rsidRPr="00F23B84">
        <w:rPr>
          <w:rFonts w:ascii="Arial" w:hAnsi="Arial" w:cs="Arial"/>
        </w:rPr>
        <w:t>The four</w:t>
      </w:r>
      <w:r w:rsidR="00D34944" w:rsidRPr="00F23B84">
        <w:rPr>
          <w:rFonts w:ascii="Arial" w:hAnsi="Arial" w:cs="Arial"/>
        </w:rPr>
        <w:t xml:space="preserve"> </w:t>
      </w:r>
      <w:r w:rsidR="00312FEF" w:rsidRPr="00F23B84">
        <w:rPr>
          <w:rFonts w:ascii="Arial" w:hAnsi="Arial" w:cs="Arial"/>
        </w:rPr>
        <w:t>c</w:t>
      </w:r>
      <w:r w:rsidR="00016CE8" w:rsidRPr="00F23B84">
        <w:rPr>
          <w:rFonts w:ascii="Arial" w:hAnsi="Arial" w:cs="Arial"/>
        </w:rPr>
        <w:t xml:space="preserve">onsultant </w:t>
      </w:r>
      <w:r w:rsidR="00D34944" w:rsidRPr="00F23B84">
        <w:rPr>
          <w:rFonts w:ascii="Arial" w:hAnsi="Arial" w:cs="Arial"/>
        </w:rPr>
        <w:t xml:space="preserve">surgeons </w:t>
      </w:r>
      <w:r w:rsidR="00A352DC" w:rsidRPr="00F23B84">
        <w:rPr>
          <w:rFonts w:ascii="Arial" w:hAnsi="Arial" w:cs="Arial"/>
        </w:rPr>
        <w:t xml:space="preserve">involved </w:t>
      </w:r>
      <w:r w:rsidR="00D34944" w:rsidRPr="00F23B84">
        <w:rPr>
          <w:rFonts w:ascii="Arial" w:hAnsi="Arial" w:cs="Arial"/>
        </w:rPr>
        <w:t>f</w:t>
      </w:r>
      <w:r w:rsidR="00016CE8" w:rsidRPr="00F23B84">
        <w:rPr>
          <w:rFonts w:ascii="Arial" w:hAnsi="Arial" w:cs="Arial"/>
        </w:rPr>
        <w:t>e</w:t>
      </w:r>
      <w:r w:rsidR="00D34944" w:rsidRPr="00F23B84">
        <w:rPr>
          <w:rFonts w:ascii="Arial" w:hAnsi="Arial" w:cs="Arial"/>
        </w:rPr>
        <w:t>ll into the ‘high volume’ UKR users category, each performing above the recommended minimum</w:t>
      </w:r>
      <w:r w:rsidR="00016CE8" w:rsidRPr="00F23B84">
        <w:rPr>
          <w:rFonts w:ascii="Arial" w:hAnsi="Arial" w:cs="Arial"/>
        </w:rPr>
        <w:t xml:space="preserve"> of</w:t>
      </w:r>
      <w:r w:rsidR="00D34944" w:rsidRPr="00F23B84">
        <w:rPr>
          <w:rFonts w:ascii="Arial" w:hAnsi="Arial" w:cs="Arial"/>
        </w:rPr>
        <w:t xml:space="preserve"> 13 cases per year </w:t>
      </w:r>
      <w:r w:rsidR="00B576CB" w:rsidRPr="00F23B84">
        <w:rPr>
          <w:rFonts w:ascii="Arial" w:hAnsi="Arial" w:cs="Arial"/>
        </w:rPr>
        <w:t>and</w:t>
      </w:r>
      <w:r w:rsidR="00D34944" w:rsidRPr="00F23B84">
        <w:rPr>
          <w:rFonts w:ascii="Arial" w:hAnsi="Arial" w:cs="Arial"/>
        </w:rPr>
        <w:t xml:space="preserve"> 20% of total arthroplasty cases </w:t>
      </w:r>
      <w:r w:rsidR="00A352DC" w:rsidRPr="00F23B84">
        <w:rPr>
          <w:rFonts w:ascii="Arial" w:hAnsi="Arial" w:cs="Arial"/>
        </w:rPr>
        <w:t>deemed necessary for</w:t>
      </w:r>
      <w:r w:rsidR="00D34944" w:rsidRPr="00F23B84">
        <w:rPr>
          <w:rFonts w:ascii="Arial" w:hAnsi="Arial" w:cs="Arial"/>
        </w:rPr>
        <w:t xml:space="preserve"> competence </w:t>
      </w:r>
      <w:r w:rsidR="00D34944" w:rsidRPr="00F23B84">
        <w:rPr>
          <w:rFonts w:ascii="Arial" w:hAnsi="Arial" w:cs="Arial"/>
        </w:rPr>
        <w:fldChar w:fldCharType="begin"/>
      </w:r>
      <w:r w:rsidR="00794E68" w:rsidRPr="00F23B84">
        <w:rPr>
          <w:rFonts w:ascii="Arial" w:hAnsi="Arial" w:cs="Arial"/>
        </w:rPr>
        <w:instrText xml:space="preserve"> ADDIN ZOTERO_ITEM CSL_CITATION {"citationID":"y9GwhAbS","properties":{"formattedCitation":"(15\\uc0\\u8211{}17)","plainCitation":"(15–17)","noteIndex":0},"citationItems":[{"id":90,"uris":["http://zotero.org/users/local/vnmeHScW/items/DSYAC8NR"],"uri":["http://zotero.org/users/local/vnmeHScW/items/DSYAC8NR"],"itemData":{"id":90,"type":"article-journal","container-title":"The Bone &amp; Joint Journal","DOI":"10.1302/0301-620X.97B11.35551","ISSN":"2049-4394, 2049-4408","issue":"11","journalAbbreviation":"The Bone &amp; Joint Journal","language":"en","page":"1506-1511","source":"DOI.org (Crossref)","title":"Optimal usage of unicompartmental knee arthroplasty: a study of 41 986 cases from the National Joint Registry for England and Wales","title-short":"Optimal usage of unicompartmental knee arthroplasty","volume":"97-B","author":[{"family":"Liddle","given":"A. D."},{"family":"Pandit","given":"H."},{"family":"Judge","given":"A."},{"family":"Murray","given":"D. W."}],"issued":{"date-parts":[["2015",11]]}}},{"id":92,"uris":["http://zotero.org/users/local/vnmeHScW/items/P5VURMMB"],"uri":["http://zotero.org/users/local/vnmeHScW/items/P5VURMMB"],"itemData":{"id":92,"type":"article-journal","container-title":"The Journal of Bone and Joint Surgery","DOI":"10.2106/JBJS.N.00487","ISSN":"0021-9355","issue":"1","journalAbbreviation":"The Journal of Bone and Joint Surgery","language":"en","page":"1-8","source":"DOI.org (Crossref)","title":"Effect of Surgical Caseload on Revision Rate Following Total and Unicompartmental Knee Replacement:","title-short":"Effect of Surgical Caseload on Revision Rate Following Total and Unicompartmental Knee Replacement","volume":"98","author":[{"family":"Liddle","given":"Alexander D."},{"family":"Pandit","given":"Hemant"},{"family":"Judge","given":"Andrew"},{"family":"Murray","given":"David W."}],"issued":{"date-parts":[["2016",1]]}}},{"id":94,"uris":["http://zotero.org/users/local/vnmeHScW/items/59VVCFGT"],"uri":["http://zotero.org/users/local/vnmeHScW/items/59VVCFGT"],"itemData":{"id":94,"type":"article-journal","container-title":"The Journal of Bone and Joint Surgery","DOI":"10.2106/JBJS.L.00520","ISSN":"0021-9355","issue":"8","journalAbbreviation":"The Journal of Bone and Joint Surgery","language":"en","page":"702-709","source":"DOI.org (Crossref)","title":"Center and Surgeon Volume Influence the Revision Rate Following Unicondylar Knee Replacement: An Analysis of 23,400 Medial Cemented Unicondylar Knee Replacements","title-short":"Center and Surgeon Volume Influence the Revision Rate Following Unicondylar Knee Replacement","volume":"95","author":[{"family":"Baker","given":"Paul"},{"family":"Jameson","given":"Simon"},{"family":"Critchley","given":"Rebecca"},{"family":"Reed","given":"Mike"},{"family":"Gregg","given":"Paul"},{"family":"Deehan","given":"David"}],"issued":{"date-parts":[["2013",4]]}}}],"schema":"https://github.com/citation-style-language/schema/raw/master/csl-citation.json"} </w:instrText>
      </w:r>
      <w:r w:rsidR="00D34944" w:rsidRPr="00F23B84">
        <w:rPr>
          <w:rFonts w:ascii="Arial" w:hAnsi="Arial" w:cs="Arial"/>
        </w:rPr>
        <w:fldChar w:fldCharType="separate"/>
      </w:r>
      <w:r w:rsidR="00794E68" w:rsidRPr="00F23B84">
        <w:rPr>
          <w:rFonts w:ascii="Arial" w:hAnsi="Arial" w:cs="Arial"/>
        </w:rPr>
        <w:t>(15–17)</w:t>
      </w:r>
      <w:r w:rsidR="00D34944" w:rsidRPr="00F23B84">
        <w:rPr>
          <w:rFonts w:ascii="Arial" w:hAnsi="Arial" w:cs="Arial"/>
        </w:rPr>
        <w:fldChar w:fldCharType="end"/>
      </w:r>
      <w:r w:rsidR="00D34944" w:rsidRPr="00F23B84">
        <w:rPr>
          <w:rFonts w:ascii="Arial" w:hAnsi="Arial" w:cs="Arial"/>
        </w:rPr>
        <w:t xml:space="preserve">. </w:t>
      </w:r>
    </w:p>
    <w:p w14:paraId="7349E936" w14:textId="7584BDCA" w:rsidR="00D34944" w:rsidRPr="00F23B84" w:rsidRDefault="00D34944" w:rsidP="00C11B7C">
      <w:pPr>
        <w:rPr>
          <w:rFonts w:ascii="Arial" w:hAnsi="Arial" w:cs="Arial"/>
          <w:color w:val="000000" w:themeColor="text1"/>
        </w:rPr>
      </w:pPr>
    </w:p>
    <w:p w14:paraId="0071F449" w14:textId="24A1FB02" w:rsidR="00D34944" w:rsidRPr="00F23B84" w:rsidRDefault="003820D0" w:rsidP="00C11B7C">
      <w:pPr>
        <w:rPr>
          <w:rFonts w:ascii="Arial" w:hAnsi="Arial" w:cs="Arial"/>
          <w:color w:val="000000" w:themeColor="text1"/>
        </w:rPr>
      </w:pPr>
      <w:r w:rsidRPr="00F23B84">
        <w:rPr>
          <w:rFonts w:ascii="Arial" w:hAnsi="Arial" w:cs="Arial"/>
          <w:color w:val="000000" w:themeColor="text1"/>
        </w:rPr>
        <w:t xml:space="preserve">The average age at time of surgery was 61.4 years (39-82) with a mean follow-up of 7.9 years. </w:t>
      </w:r>
      <w:r w:rsidR="00230E26" w:rsidRPr="00F23B84">
        <w:rPr>
          <w:rFonts w:ascii="Arial" w:hAnsi="Arial" w:cs="Arial"/>
          <w:color w:val="000000" w:themeColor="text1"/>
        </w:rPr>
        <w:t>102</w:t>
      </w:r>
      <w:r w:rsidR="00312FEF" w:rsidRPr="00F23B84">
        <w:rPr>
          <w:rFonts w:ascii="Arial" w:hAnsi="Arial" w:cs="Arial"/>
          <w:color w:val="000000" w:themeColor="text1"/>
        </w:rPr>
        <w:t xml:space="preserve"> (</w:t>
      </w:r>
      <w:r w:rsidR="0053437C" w:rsidRPr="00F23B84">
        <w:rPr>
          <w:rFonts w:ascii="Arial" w:hAnsi="Arial" w:cs="Arial"/>
          <w:color w:val="000000" w:themeColor="text1"/>
        </w:rPr>
        <w:t xml:space="preserve">51%) </w:t>
      </w:r>
      <w:r w:rsidR="00230E26" w:rsidRPr="00F23B84">
        <w:rPr>
          <w:rFonts w:ascii="Arial" w:hAnsi="Arial" w:cs="Arial"/>
          <w:color w:val="000000" w:themeColor="text1"/>
        </w:rPr>
        <w:t xml:space="preserve"> were right side</w:t>
      </w:r>
      <w:r w:rsidR="007F332E" w:rsidRPr="00F23B84">
        <w:rPr>
          <w:rFonts w:ascii="Arial" w:hAnsi="Arial" w:cs="Arial"/>
          <w:color w:val="000000" w:themeColor="text1"/>
        </w:rPr>
        <w:t xml:space="preserve">d procedures </w:t>
      </w:r>
      <w:r w:rsidR="00230E26" w:rsidRPr="00F23B84">
        <w:rPr>
          <w:rFonts w:ascii="Arial" w:hAnsi="Arial" w:cs="Arial"/>
          <w:color w:val="000000" w:themeColor="text1"/>
        </w:rPr>
        <w:t>and 91</w:t>
      </w:r>
      <w:r w:rsidR="0053437C" w:rsidRPr="00F23B84">
        <w:rPr>
          <w:rFonts w:ascii="Arial" w:hAnsi="Arial" w:cs="Arial"/>
          <w:color w:val="000000" w:themeColor="text1"/>
        </w:rPr>
        <w:t xml:space="preserve"> (46%)</w:t>
      </w:r>
      <w:r w:rsidR="00230E26" w:rsidRPr="00F23B84">
        <w:rPr>
          <w:rFonts w:ascii="Arial" w:hAnsi="Arial" w:cs="Arial"/>
          <w:color w:val="000000" w:themeColor="text1"/>
        </w:rPr>
        <w:t xml:space="preserve"> </w:t>
      </w:r>
      <w:r w:rsidR="007F332E" w:rsidRPr="00F23B84">
        <w:rPr>
          <w:rFonts w:ascii="Arial" w:hAnsi="Arial" w:cs="Arial"/>
          <w:color w:val="000000" w:themeColor="text1"/>
        </w:rPr>
        <w:t>of the UKR</w:t>
      </w:r>
      <w:r w:rsidR="00312FEF" w:rsidRPr="00F23B84">
        <w:rPr>
          <w:rFonts w:ascii="Arial" w:hAnsi="Arial" w:cs="Arial"/>
          <w:color w:val="000000" w:themeColor="text1"/>
        </w:rPr>
        <w:t>s</w:t>
      </w:r>
      <w:r w:rsidR="007F332E" w:rsidRPr="00F23B84">
        <w:rPr>
          <w:rFonts w:ascii="Arial" w:hAnsi="Arial" w:cs="Arial"/>
          <w:color w:val="000000" w:themeColor="text1"/>
        </w:rPr>
        <w:t xml:space="preserve"> </w:t>
      </w:r>
      <w:r w:rsidR="00230E26" w:rsidRPr="00F23B84">
        <w:rPr>
          <w:rFonts w:ascii="Arial" w:hAnsi="Arial" w:cs="Arial"/>
          <w:color w:val="000000" w:themeColor="text1"/>
        </w:rPr>
        <w:t xml:space="preserve">were performed in females. </w:t>
      </w:r>
      <w:r w:rsidR="00D34944" w:rsidRPr="00F23B84">
        <w:rPr>
          <w:rFonts w:ascii="Arial" w:hAnsi="Arial" w:cs="Arial"/>
          <w:color w:val="000000" w:themeColor="text1"/>
        </w:rPr>
        <w:t>1</w:t>
      </w:r>
      <w:r w:rsidR="00016CE8" w:rsidRPr="00F23B84">
        <w:rPr>
          <w:rFonts w:ascii="Arial" w:hAnsi="Arial" w:cs="Arial"/>
          <w:color w:val="000000" w:themeColor="text1"/>
        </w:rPr>
        <w:t>6</w:t>
      </w:r>
      <w:r w:rsidR="00D34944" w:rsidRPr="00F23B84">
        <w:rPr>
          <w:rFonts w:ascii="Arial" w:hAnsi="Arial" w:cs="Arial"/>
          <w:color w:val="000000" w:themeColor="text1"/>
        </w:rPr>
        <w:t xml:space="preserve"> </w:t>
      </w:r>
      <w:r w:rsidR="0053437C" w:rsidRPr="00F23B84">
        <w:rPr>
          <w:rFonts w:ascii="Arial" w:hAnsi="Arial" w:cs="Arial"/>
          <w:color w:val="000000" w:themeColor="text1"/>
        </w:rPr>
        <w:t xml:space="preserve">(8%) </w:t>
      </w:r>
      <w:r w:rsidR="00D34944" w:rsidRPr="00F23B84">
        <w:rPr>
          <w:rFonts w:ascii="Arial" w:hAnsi="Arial" w:cs="Arial"/>
          <w:color w:val="000000" w:themeColor="text1"/>
        </w:rPr>
        <w:t>patients had died prior</w:t>
      </w:r>
      <w:r w:rsidR="00016CE8" w:rsidRPr="00F23B84">
        <w:rPr>
          <w:rFonts w:ascii="Arial" w:hAnsi="Arial" w:cs="Arial"/>
          <w:color w:val="000000" w:themeColor="text1"/>
        </w:rPr>
        <w:t xml:space="preserve"> to PROM data collection but were included in the survival analysis. </w:t>
      </w:r>
      <w:r w:rsidR="00447119" w:rsidRPr="00F23B84">
        <w:rPr>
          <w:rFonts w:ascii="Arial" w:hAnsi="Arial" w:cs="Arial"/>
          <w:color w:val="000000" w:themeColor="text1"/>
        </w:rPr>
        <w:t xml:space="preserve">No deaths </w:t>
      </w:r>
      <w:r w:rsidR="001F263A">
        <w:rPr>
          <w:rFonts w:ascii="Arial" w:hAnsi="Arial" w:cs="Arial"/>
          <w:color w:val="000000" w:themeColor="text1"/>
        </w:rPr>
        <w:t xml:space="preserve">were </w:t>
      </w:r>
      <w:r w:rsidR="00447119" w:rsidRPr="00F23B84">
        <w:rPr>
          <w:rFonts w:ascii="Arial" w:hAnsi="Arial" w:cs="Arial"/>
          <w:color w:val="000000" w:themeColor="text1"/>
        </w:rPr>
        <w:t>related to the surgery and n</w:t>
      </w:r>
      <w:r w:rsidR="00016CE8" w:rsidRPr="00F23B84">
        <w:rPr>
          <w:rFonts w:ascii="Arial" w:hAnsi="Arial" w:cs="Arial"/>
          <w:color w:val="000000" w:themeColor="text1"/>
        </w:rPr>
        <w:t xml:space="preserve">one of these patients </w:t>
      </w:r>
      <w:r w:rsidR="001F263A">
        <w:rPr>
          <w:rFonts w:ascii="Arial" w:hAnsi="Arial" w:cs="Arial"/>
          <w:color w:val="000000" w:themeColor="text1"/>
        </w:rPr>
        <w:t>had required a</w:t>
      </w:r>
      <w:r w:rsidR="00016CE8" w:rsidRPr="00F23B84">
        <w:rPr>
          <w:rFonts w:ascii="Arial" w:hAnsi="Arial" w:cs="Arial"/>
          <w:color w:val="000000" w:themeColor="text1"/>
        </w:rPr>
        <w:t xml:space="preserve"> re-operation.</w:t>
      </w:r>
      <w:r w:rsidR="00CE051D" w:rsidRPr="00F23B84">
        <w:rPr>
          <w:rFonts w:ascii="Arial" w:hAnsi="Arial" w:cs="Arial"/>
          <w:color w:val="000000" w:themeColor="text1"/>
        </w:rPr>
        <w:t xml:space="preserve"> Of those who died the range was 11 months </w:t>
      </w:r>
      <w:r w:rsidR="006C7D87" w:rsidRPr="00F23B84">
        <w:rPr>
          <w:rFonts w:ascii="Arial" w:hAnsi="Arial" w:cs="Arial"/>
          <w:color w:val="000000" w:themeColor="text1"/>
        </w:rPr>
        <w:t>post-surgery</w:t>
      </w:r>
      <w:r w:rsidR="00CE051D" w:rsidRPr="00F23B84">
        <w:rPr>
          <w:rFonts w:ascii="Arial" w:hAnsi="Arial" w:cs="Arial"/>
          <w:color w:val="000000" w:themeColor="text1"/>
        </w:rPr>
        <w:t xml:space="preserve"> to 10 years with a mean</w:t>
      </w:r>
      <w:r w:rsidR="007F332E" w:rsidRPr="00F23B84">
        <w:rPr>
          <w:rFonts w:ascii="Arial" w:hAnsi="Arial" w:cs="Arial"/>
          <w:color w:val="000000" w:themeColor="text1"/>
        </w:rPr>
        <w:t xml:space="preserve"> mortality</w:t>
      </w:r>
      <w:r w:rsidR="00CE051D" w:rsidRPr="00F23B84">
        <w:rPr>
          <w:rFonts w:ascii="Arial" w:hAnsi="Arial" w:cs="Arial"/>
          <w:color w:val="000000" w:themeColor="text1"/>
        </w:rPr>
        <w:t xml:space="preserve"> of 4.4 years</w:t>
      </w:r>
      <w:r w:rsidR="007F332E" w:rsidRPr="00F23B84">
        <w:rPr>
          <w:rFonts w:ascii="Arial" w:hAnsi="Arial" w:cs="Arial"/>
          <w:color w:val="000000" w:themeColor="text1"/>
        </w:rPr>
        <w:t xml:space="preserve"> </w:t>
      </w:r>
      <w:r w:rsidR="006C7D87" w:rsidRPr="00F23B84">
        <w:rPr>
          <w:rFonts w:ascii="Arial" w:hAnsi="Arial" w:cs="Arial"/>
          <w:color w:val="000000" w:themeColor="text1"/>
        </w:rPr>
        <w:t>post-surgery</w:t>
      </w:r>
      <w:r w:rsidR="00CE051D" w:rsidRPr="00F23B84">
        <w:rPr>
          <w:rFonts w:ascii="Arial" w:hAnsi="Arial" w:cs="Arial"/>
          <w:color w:val="000000" w:themeColor="text1"/>
        </w:rPr>
        <w:t>.</w:t>
      </w:r>
    </w:p>
    <w:p w14:paraId="10D0DD7E" w14:textId="77777777" w:rsidR="00F540BA" w:rsidRPr="00F23B84" w:rsidRDefault="00F540BA" w:rsidP="00C11B7C">
      <w:pPr>
        <w:rPr>
          <w:rFonts w:ascii="Arial" w:hAnsi="Arial" w:cs="Arial"/>
          <w:color w:val="000000" w:themeColor="text1"/>
        </w:rPr>
      </w:pPr>
    </w:p>
    <w:p w14:paraId="6326FF61" w14:textId="400CC3CA" w:rsidR="00016CE8" w:rsidRPr="00F23B84" w:rsidRDefault="00230E26" w:rsidP="00C11B7C">
      <w:pPr>
        <w:rPr>
          <w:rFonts w:ascii="Arial" w:hAnsi="Arial" w:cs="Arial"/>
          <w:color w:val="000000" w:themeColor="text1"/>
        </w:rPr>
      </w:pPr>
      <w:r w:rsidRPr="00F23B84">
        <w:rPr>
          <w:rFonts w:ascii="Arial" w:hAnsi="Arial" w:cs="Arial"/>
          <w:color w:val="000000" w:themeColor="text1"/>
        </w:rPr>
        <w:t xml:space="preserve">There were </w:t>
      </w:r>
      <w:r w:rsidR="00016CE8" w:rsidRPr="00F23B84">
        <w:rPr>
          <w:rFonts w:ascii="Arial" w:hAnsi="Arial" w:cs="Arial"/>
          <w:color w:val="000000" w:themeColor="text1"/>
        </w:rPr>
        <w:t xml:space="preserve">11 </w:t>
      </w:r>
      <w:r w:rsidR="00A54AA1" w:rsidRPr="00F23B84">
        <w:rPr>
          <w:rFonts w:ascii="Arial" w:hAnsi="Arial" w:cs="Arial"/>
          <w:color w:val="000000" w:themeColor="text1"/>
        </w:rPr>
        <w:t>patients</w:t>
      </w:r>
      <w:r w:rsidRPr="00F23B84">
        <w:rPr>
          <w:rFonts w:ascii="Arial" w:hAnsi="Arial" w:cs="Arial"/>
          <w:color w:val="000000" w:themeColor="text1"/>
        </w:rPr>
        <w:t xml:space="preserve"> </w:t>
      </w:r>
      <w:r w:rsidR="00CA637B" w:rsidRPr="00F23B84">
        <w:rPr>
          <w:rFonts w:ascii="Arial" w:hAnsi="Arial" w:cs="Arial"/>
          <w:color w:val="000000" w:themeColor="text1"/>
        </w:rPr>
        <w:t>of the 200</w:t>
      </w:r>
      <w:r w:rsidR="0053437C" w:rsidRPr="00F23B84">
        <w:rPr>
          <w:rFonts w:ascii="Arial" w:hAnsi="Arial" w:cs="Arial"/>
          <w:color w:val="000000" w:themeColor="text1"/>
        </w:rPr>
        <w:t xml:space="preserve"> (5.5%)</w:t>
      </w:r>
      <w:r w:rsidR="00CA637B" w:rsidRPr="00F23B84">
        <w:rPr>
          <w:rFonts w:ascii="Arial" w:hAnsi="Arial" w:cs="Arial"/>
          <w:color w:val="000000" w:themeColor="text1"/>
        </w:rPr>
        <w:t xml:space="preserve"> </w:t>
      </w:r>
      <w:r w:rsidRPr="00F23B84">
        <w:rPr>
          <w:rFonts w:ascii="Arial" w:hAnsi="Arial" w:cs="Arial"/>
          <w:color w:val="000000" w:themeColor="text1"/>
        </w:rPr>
        <w:t>who</w:t>
      </w:r>
      <w:r w:rsidR="00016CE8" w:rsidRPr="00F23B84">
        <w:rPr>
          <w:rFonts w:ascii="Arial" w:hAnsi="Arial" w:cs="Arial"/>
          <w:color w:val="000000" w:themeColor="text1"/>
        </w:rPr>
        <w:t xml:space="preserve"> required re-operation</w:t>
      </w:r>
      <w:r w:rsidR="001F263A">
        <w:rPr>
          <w:rFonts w:ascii="Arial" w:hAnsi="Arial" w:cs="Arial"/>
          <w:color w:val="000000" w:themeColor="text1"/>
        </w:rPr>
        <w:t>,</w:t>
      </w:r>
      <w:r w:rsidR="0053437C" w:rsidRPr="00F23B84">
        <w:rPr>
          <w:rFonts w:ascii="Arial" w:hAnsi="Arial" w:cs="Arial"/>
          <w:color w:val="000000" w:themeColor="text1"/>
        </w:rPr>
        <w:t xml:space="preserve"> </w:t>
      </w:r>
      <w:r w:rsidR="00A54AA1" w:rsidRPr="00F23B84">
        <w:rPr>
          <w:rFonts w:ascii="Arial" w:hAnsi="Arial" w:cs="Arial"/>
          <w:color w:val="000000" w:themeColor="text1"/>
        </w:rPr>
        <w:t xml:space="preserve">with six </w:t>
      </w:r>
      <w:r w:rsidR="0053437C" w:rsidRPr="00F23B84">
        <w:rPr>
          <w:rFonts w:ascii="Arial" w:hAnsi="Arial" w:cs="Arial"/>
          <w:color w:val="000000" w:themeColor="text1"/>
        </w:rPr>
        <w:t xml:space="preserve">(3%) </w:t>
      </w:r>
      <w:r w:rsidR="00A54AA1" w:rsidRPr="00F23B84">
        <w:rPr>
          <w:rFonts w:ascii="Arial" w:hAnsi="Arial" w:cs="Arial"/>
          <w:color w:val="000000" w:themeColor="text1"/>
        </w:rPr>
        <w:t xml:space="preserve">of these being </w:t>
      </w:r>
      <w:r w:rsidR="001A1C04" w:rsidRPr="00F23B84">
        <w:rPr>
          <w:rFonts w:ascii="Arial" w:hAnsi="Arial" w:cs="Arial"/>
          <w:color w:val="000000" w:themeColor="text1"/>
        </w:rPr>
        <w:t>with</w:t>
      </w:r>
      <w:r w:rsidR="00A54AA1" w:rsidRPr="00F23B84">
        <w:rPr>
          <w:rFonts w:ascii="Arial" w:hAnsi="Arial" w:cs="Arial"/>
          <w:color w:val="000000" w:themeColor="text1"/>
        </w:rPr>
        <w:t>in the first 18</w:t>
      </w:r>
      <w:r w:rsidR="00CA637B" w:rsidRPr="00F23B84">
        <w:rPr>
          <w:rFonts w:ascii="Arial" w:hAnsi="Arial" w:cs="Arial"/>
          <w:color w:val="000000" w:themeColor="text1"/>
        </w:rPr>
        <w:t xml:space="preserve"> </w:t>
      </w:r>
      <w:r w:rsidR="00A54AA1" w:rsidRPr="00F23B84">
        <w:rPr>
          <w:rFonts w:ascii="Arial" w:hAnsi="Arial" w:cs="Arial"/>
          <w:color w:val="000000" w:themeColor="text1"/>
        </w:rPr>
        <w:t xml:space="preserve">months after implantation. </w:t>
      </w:r>
      <w:r w:rsidR="00675CAF" w:rsidRPr="00F23B84">
        <w:rPr>
          <w:rFonts w:ascii="Arial" w:hAnsi="Arial" w:cs="Arial"/>
          <w:color w:val="000000" w:themeColor="text1"/>
        </w:rPr>
        <w:t>Following this the re-operati</w:t>
      </w:r>
      <w:r w:rsidR="00055E1D" w:rsidRPr="00F23B84">
        <w:rPr>
          <w:rFonts w:ascii="Arial" w:hAnsi="Arial" w:cs="Arial"/>
          <w:color w:val="000000" w:themeColor="text1"/>
        </w:rPr>
        <w:t xml:space="preserve">on rate </w:t>
      </w:r>
      <w:r w:rsidR="0053437C" w:rsidRPr="00F23B84">
        <w:rPr>
          <w:rFonts w:ascii="Arial" w:hAnsi="Arial" w:cs="Arial"/>
          <w:color w:val="000000" w:themeColor="text1"/>
        </w:rPr>
        <w:t xml:space="preserve">reduced </w:t>
      </w:r>
      <w:r w:rsidR="00055E1D" w:rsidRPr="00F23B84">
        <w:rPr>
          <w:rFonts w:ascii="Arial" w:hAnsi="Arial" w:cs="Arial"/>
          <w:color w:val="000000" w:themeColor="text1"/>
        </w:rPr>
        <w:t xml:space="preserve">and is in keeping with that seen in the </w:t>
      </w:r>
      <w:r w:rsidR="00B10263">
        <w:rPr>
          <w:rFonts w:ascii="Arial" w:hAnsi="Arial" w:cs="Arial"/>
          <w:color w:val="000000" w:themeColor="text1"/>
        </w:rPr>
        <w:t>NJR</w:t>
      </w:r>
      <w:r w:rsidR="00B20855" w:rsidRPr="00F23B84">
        <w:rPr>
          <w:rFonts w:ascii="Arial" w:hAnsi="Arial" w:cs="Arial"/>
          <w:color w:val="000000" w:themeColor="text1"/>
        </w:rPr>
        <w:t>.</w:t>
      </w:r>
      <w:r w:rsidR="00CE051D" w:rsidRPr="00F23B84">
        <w:rPr>
          <w:rFonts w:ascii="Arial" w:hAnsi="Arial" w:cs="Arial"/>
          <w:color w:val="000000" w:themeColor="text1"/>
        </w:rPr>
        <w:t xml:space="preserve"> </w:t>
      </w:r>
      <w:r w:rsidR="00B20855" w:rsidRPr="00F23B84">
        <w:rPr>
          <w:rFonts w:ascii="Arial" w:hAnsi="Arial" w:cs="Arial"/>
          <w:color w:val="000000" w:themeColor="text1"/>
        </w:rPr>
        <w:t>Overall</w:t>
      </w:r>
      <w:r w:rsidR="00CE051D" w:rsidRPr="00F23B84">
        <w:rPr>
          <w:rFonts w:ascii="Arial" w:hAnsi="Arial" w:cs="Arial"/>
          <w:color w:val="000000" w:themeColor="text1"/>
        </w:rPr>
        <w:t xml:space="preserve"> survivorship </w:t>
      </w:r>
      <w:r w:rsidR="00B20855" w:rsidRPr="00F23B84">
        <w:rPr>
          <w:rFonts w:ascii="Arial" w:hAnsi="Arial" w:cs="Arial"/>
          <w:color w:val="000000" w:themeColor="text1"/>
        </w:rPr>
        <w:t xml:space="preserve">was </w:t>
      </w:r>
      <w:r w:rsidR="00CE051D" w:rsidRPr="00F23B84">
        <w:rPr>
          <w:rFonts w:ascii="Arial" w:hAnsi="Arial" w:cs="Arial"/>
          <w:color w:val="000000" w:themeColor="text1"/>
        </w:rPr>
        <w:t>94.5% at 7.9 years</w:t>
      </w:r>
      <w:r w:rsidR="00464EAA" w:rsidRPr="00F23B84">
        <w:rPr>
          <w:rFonts w:ascii="Arial" w:hAnsi="Arial" w:cs="Arial"/>
          <w:color w:val="000000" w:themeColor="text1"/>
        </w:rPr>
        <w:t>.</w:t>
      </w:r>
      <w:r w:rsidRPr="00F23B84">
        <w:rPr>
          <w:rFonts w:ascii="Arial" w:hAnsi="Arial" w:cs="Arial"/>
          <w:color w:val="000000" w:themeColor="text1"/>
        </w:rPr>
        <w:t xml:space="preserve"> Table 1 shows the lifetable</w:t>
      </w:r>
      <w:r w:rsidR="00464EAA" w:rsidRPr="00F23B84">
        <w:rPr>
          <w:rFonts w:ascii="Arial" w:hAnsi="Arial" w:cs="Arial"/>
          <w:color w:val="000000" w:themeColor="text1"/>
        </w:rPr>
        <w:t xml:space="preserve"> in our series and </w:t>
      </w:r>
      <w:proofErr w:type="gramStart"/>
      <w:r w:rsidR="0071527F">
        <w:rPr>
          <w:rFonts w:ascii="Arial" w:hAnsi="Arial" w:cs="Arial"/>
          <w:color w:val="000000" w:themeColor="text1"/>
        </w:rPr>
        <w:t xml:space="preserve">Figure </w:t>
      </w:r>
      <w:r w:rsidR="00236CFE" w:rsidRPr="00F23B84">
        <w:rPr>
          <w:rFonts w:ascii="Arial" w:hAnsi="Arial" w:cs="Arial"/>
          <w:color w:val="000000" w:themeColor="text1"/>
        </w:rPr>
        <w:t xml:space="preserve"> 1</w:t>
      </w:r>
      <w:proofErr w:type="gramEnd"/>
      <w:r w:rsidR="00236CFE" w:rsidRPr="00F23B84">
        <w:rPr>
          <w:rFonts w:ascii="Arial" w:hAnsi="Arial" w:cs="Arial"/>
          <w:color w:val="000000" w:themeColor="text1"/>
        </w:rPr>
        <w:t xml:space="preserve"> shows the </w:t>
      </w:r>
      <w:r w:rsidR="00464EAA" w:rsidRPr="00F23B84">
        <w:rPr>
          <w:rFonts w:ascii="Arial" w:hAnsi="Arial" w:cs="Arial"/>
          <w:color w:val="000000" w:themeColor="text1"/>
        </w:rPr>
        <w:t xml:space="preserve">cumulative </w:t>
      </w:r>
      <w:r w:rsidR="00236CFE" w:rsidRPr="00F23B84">
        <w:rPr>
          <w:rFonts w:ascii="Arial" w:hAnsi="Arial" w:cs="Arial"/>
          <w:color w:val="000000" w:themeColor="text1"/>
        </w:rPr>
        <w:t>survival curve.</w:t>
      </w:r>
      <w:r w:rsidR="000651E5" w:rsidRPr="00F23B84">
        <w:rPr>
          <w:rFonts w:ascii="Arial" w:hAnsi="Arial" w:cs="Arial"/>
          <w:color w:val="000000" w:themeColor="text1"/>
        </w:rPr>
        <w:t xml:space="preserve"> </w:t>
      </w:r>
    </w:p>
    <w:p w14:paraId="038BF01F" w14:textId="77777777" w:rsidR="000651E5" w:rsidRPr="00F23B84" w:rsidRDefault="000651E5" w:rsidP="00C11B7C">
      <w:pPr>
        <w:rPr>
          <w:rFonts w:ascii="Arial" w:hAnsi="Arial" w:cs="Arial"/>
          <w:color w:val="000000" w:themeColor="text1"/>
        </w:rPr>
      </w:pPr>
    </w:p>
    <w:p w14:paraId="48B02E15" w14:textId="1C718C00" w:rsidR="000651E5" w:rsidRPr="001F263A" w:rsidRDefault="00B20855" w:rsidP="00C11B7C">
      <w:pPr>
        <w:rPr>
          <w:rFonts w:ascii="Arial" w:hAnsi="Arial" w:cs="Arial"/>
          <w:color w:val="000000" w:themeColor="text1"/>
        </w:rPr>
      </w:pPr>
      <w:r w:rsidRPr="00F23B84">
        <w:rPr>
          <w:rFonts w:ascii="Arial" w:hAnsi="Arial" w:cs="Arial"/>
          <w:color w:val="000000" w:themeColor="text1"/>
        </w:rPr>
        <w:t xml:space="preserve">More than half of the re-operations in our series were within the first 18 months as shown in </w:t>
      </w:r>
      <w:r w:rsidR="000651E5" w:rsidRPr="00F23B84">
        <w:rPr>
          <w:rFonts w:ascii="Arial" w:hAnsi="Arial" w:cs="Arial"/>
          <w:color w:val="000000" w:themeColor="text1"/>
        </w:rPr>
        <w:t xml:space="preserve">Figure </w:t>
      </w:r>
      <w:r w:rsidR="007F6C4D">
        <w:rPr>
          <w:rFonts w:ascii="Arial" w:hAnsi="Arial" w:cs="Arial"/>
          <w:color w:val="000000" w:themeColor="text1"/>
        </w:rPr>
        <w:t>2</w:t>
      </w:r>
      <w:r w:rsidR="000651E5" w:rsidRPr="00F23B84">
        <w:rPr>
          <w:rFonts w:ascii="Arial" w:hAnsi="Arial" w:cs="Arial"/>
          <w:color w:val="000000" w:themeColor="text1"/>
        </w:rPr>
        <w:t xml:space="preserve"> </w:t>
      </w:r>
      <w:r w:rsidRPr="00F23B84">
        <w:rPr>
          <w:rFonts w:ascii="Arial" w:hAnsi="Arial" w:cs="Arial"/>
          <w:color w:val="000000" w:themeColor="text1"/>
        </w:rPr>
        <w:t xml:space="preserve">In </w:t>
      </w:r>
      <w:proofErr w:type="gramStart"/>
      <w:r w:rsidRPr="00F23B84">
        <w:rPr>
          <w:rFonts w:ascii="Arial" w:hAnsi="Arial" w:cs="Arial"/>
          <w:color w:val="000000" w:themeColor="text1"/>
        </w:rPr>
        <w:t>the majority of</w:t>
      </w:r>
      <w:proofErr w:type="gramEnd"/>
      <w:r w:rsidRPr="00F23B84">
        <w:rPr>
          <w:rFonts w:ascii="Arial" w:hAnsi="Arial" w:cs="Arial"/>
          <w:color w:val="000000" w:themeColor="text1"/>
        </w:rPr>
        <w:t xml:space="preserve"> cases the</w:t>
      </w:r>
      <w:r w:rsidR="000651E5" w:rsidRPr="00F23B84">
        <w:rPr>
          <w:rFonts w:ascii="Arial" w:hAnsi="Arial" w:cs="Arial"/>
          <w:color w:val="000000" w:themeColor="text1"/>
        </w:rPr>
        <w:t xml:space="preserve"> reason for failure </w:t>
      </w:r>
      <w:r w:rsidR="001F263A">
        <w:rPr>
          <w:rFonts w:ascii="Arial" w:hAnsi="Arial" w:cs="Arial"/>
          <w:color w:val="000000" w:themeColor="text1"/>
        </w:rPr>
        <w:t>was</w:t>
      </w:r>
      <w:r w:rsidR="000651E5" w:rsidRPr="00F23B84">
        <w:rPr>
          <w:rFonts w:ascii="Arial" w:hAnsi="Arial" w:cs="Arial"/>
          <w:color w:val="000000" w:themeColor="text1"/>
        </w:rPr>
        <w:t xml:space="preserve"> tibial </w:t>
      </w:r>
      <w:r w:rsidR="001F263A">
        <w:rPr>
          <w:rFonts w:ascii="Arial" w:hAnsi="Arial" w:cs="Arial"/>
          <w:color w:val="000000" w:themeColor="text1"/>
        </w:rPr>
        <w:t xml:space="preserve">in origin. </w:t>
      </w:r>
      <w:r w:rsidR="00860A2B" w:rsidRPr="00F23B84">
        <w:rPr>
          <w:rFonts w:ascii="Arial" w:hAnsi="Arial" w:cs="Arial"/>
          <w:color w:val="000000" w:themeColor="text1"/>
        </w:rPr>
        <w:t>Overall,</w:t>
      </w:r>
      <w:r w:rsidRPr="00F23B84">
        <w:rPr>
          <w:rFonts w:ascii="Arial" w:hAnsi="Arial" w:cs="Arial"/>
          <w:color w:val="000000" w:themeColor="text1"/>
        </w:rPr>
        <w:t xml:space="preserve"> there</w:t>
      </w:r>
      <w:r w:rsidR="00CE051D" w:rsidRPr="00F23B84">
        <w:rPr>
          <w:rFonts w:ascii="Arial" w:hAnsi="Arial" w:cs="Arial"/>
          <w:color w:val="000000" w:themeColor="text1"/>
        </w:rPr>
        <w:t xml:space="preserve"> w</w:t>
      </w:r>
      <w:r w:rsidRPr="00F23B84">
        <w:rPr>
          <w:rFonts w:ascii="Arial" w:hAnsi="Arial" w:cs="Arial"/>
          <w:color w:val="000000" w:themeColor="text1"/>
        </w:rPr>
        <w:t>ere</w:t>
      </w:r>
      <w:r w:rsidR="00CE051D" w:rsidRPr="00F23B84">
        <w:rPr>
          <w:rFonts w:ascii="Arial" w:hAnsi="Arial" w:cs="Arial"/>
          <w:color w:val="000000" w:themeColor="text1"/>
        </w:rPr>
        <w:t xml:space="preserve"> two tibial fractures, one tibial component that was mal-positioned </w:t>
      </w:r>
      <w:r w:rsidRPr="00F23B84">
        <w:rPr>
          <w:rFonts w:ascii="Arial" w:hAnsi="Arial" w:cs="Arial"/>
          <w:color w:val="000000" w:themeColor="text1"/>
        </w:rPr>
        <w:t xml:space="preserve">requiring early revision </w:t>
      </w:r>
      <w:r w:rsidR="00CE051D" w:rsidRPr="00F23B84">
        <w:rPr>
          <w:rFonts w:ascii="Arial" w:hAnsi="Arial" w:cs="Arial"/>
          <w:color w:val="000000" w:themeColor="text1"/>
        </w:rPr>
        <w:t>and one tibial base plate subsidence</w:t>
      </w:r>
      <w:r w:rsidR="000651E5" w:rsidRPr="00F23B84">
        <w:rPr>
          <w:rFonts w:ascii="Arial" w:hAnsi="Arial" w:cs="Arial"/>
          <w:color w:val="000000" w:themeColor="text1"/>
        </w:rPr>
        <w:t xml:space="preserve">. In addition to these there was one </w:t>
      </w:r>
      <w:r w:rsidR="001F263A">
        <w:rPr>
          <w:rFonts w:ascii="Arial" w:hAnsi="Arial" w:cs="Arial"/>
          <w:color w:val="000000" w:themeColor="text1"/>
        </w:rPr>
        <w:t xml:space="preserve">bearing dislocation and one </w:t>
      </w:r>
      <w:r w:rsidR="000651E5" w:rsidRPr="00F23B84">
        <w:rPr>
          <w:rFonts w:ascii="Arial" w:hAnsi="Arial" w:cs="Arial"/>
          <w:color w:val="000000" w:themeColor="text1"/>
        </w:rPr>
        <w:t>case of infection</w:t>
      </w:r>
      <w:r w:rsidR="00DE6FF2" w:rsidRPr="00F23B84">
        <w:rPr>
          <w:rFonts w:ascii="Arial" w:hAnsi="Arial" w:cs="Arial"/>
          <w:color w:val="000000" w:themeColor="text1"/>
        </w:rPr>
        <w:t>.</w:t>
      </w:r>
      <w:r w:rsidR="004419E3" w:rsidRPr="00F23B84">
        <w:rPr>
          <w:rFonts w:ascii="Arial" w:hAnsi="Arial" w:cs="Arial"/>
          <w:color w:val="000000" w:themeColor="text1"/>
        </w:rPr>
        <w:t xml:space="preserve"> </w:t>
      </w:r>
    </w:p>
    <w:p w14:paraId="29E4ACB4" w14:textId="77777777" w:rsidR="000651E5" w:rsidRPr="00F23B84" w:rsidRDefault="000651E5" w:rsidP="00C11B7C">
      <w:pPr>
        <w:rPr>
          <w:rFonts w:ascii="Arial" w:hAnsi="Arial" w:cs="Arial"/>
          <w:color w:val="000000" w:themeColor="text1"/>
        </w:rPr>
      </w:pPr>
    </w:p>
    <w:p w14:paraId="44C23D66" w14:textId="27F2BA3B" w:rsidR="000651E5" w:rsidRPr="00F23B84" w:rsidRDefault="000651E5" w:rsidP="00C11B7C">
      <w:pPr>
        <w:rPr>
          <w:rFonts w:ascii="Arial" w:hAnsi="Arial" w:cs="Arial"/>
          <w:color w:val="000000" w:themeColor="text1"/>
        </w:rPr>
      </w:pPr>
      <w:r w:rsidRPr="00F23B84">
        <w:rPr>
          <w:rFonts w:ascii="Arial" w:hAnsi="Arial" w:cs="Arial"/>
          <w:color w:val="000000" w:themeColor="text1"/>
        </w:rPr>
        <w:t>Figure 2 shows all failures in our series. In addition to th</w:t>
      </w:r>
      <w:r w:rsidR="00703A41" w:rsidRPr="00F23B84">
        <w:rPr>
          <w:rFonts w:ascii="Arial" w:hAnsi="Arial" w:cs="Arial"/>
          <w:color w:val="000000" w:themeColor="text1"/>
        </w:rPr>
        <w:t>e early</w:t>
      </w:r>
      <w:r w:rsidRPr="00F23B84">
        <w:rPr>
          <w:rFonts w:ascii="Arial" w:hAnsi="Arial" w:cs="Arial"/>
          <w:color w:val="000000" w:themeColor="text1"/>
        </w:rPr>
        <w:t xml:space="preserve"> </w:t>
      </w:r>
      <w:r w:rsidR="00703A41" w:rsidRPr="00F23B84">
        <w:rPr>
          <w:rFonts w:ascii="Arial" w:hAnsi="Arial" w:cs="Arial"/>
          <w:color w:val="000000" w:themeColor="text1"/>
        </w:rPr>
        <w:t>re</w:t>
      </w:r>
      <w:r w:rsidR="00EC2634">
        <w:rPr>
          <w:rFonts w:ascii="Arial" w:hAnsi="Arial" w:cs="Arial"/>
          <w:color w:val="000000" w:themeColor="text1"/>
        </w:rPr>
        <w:t>-</w:t>
      </w:r>
      <w:r w:rsidR="00703A41" w:rsidRPr="00F23B84">
        <w:rPr>
          <w:rFonts w:ascii="Arial" w:hAnsi="Arial" w:cs="Arial"/>
          <w:color w:val="000000" w:themeColor="text1"/>
        </w:rPr>
        <w:t xml:space="preserve">operations </w:t>
      </w:r>
      <w:r w:rsidRPr="00F23B84">
        <w:rPr>
          <w:rFonts w:ascii="Arial" w:hAnsi="Arial" w:cs="Arial"/>
          <w:color w:val="000000" w:themeColor="text1"/>
        </w:rPr>
        <w:t xml:space="preserve">discussed above there was a further tibial subsidence in a patient on long term steroids, two further bearing dislocations and two patients </w:t>
      </w:r>
      <w:r w:rsidR="00703A41" w:rsidRPr="00F23B84">
        <w:rPr>
          <w:rFonts w:ascii="Arial" w:hAnsi="Arial" w:cs="Arial"/>
          <w:color w:val="000000" w:themeColor="text1"/>
        </w:rPr>
        <w:t xml:space="preserve">who </w:t>
      </w:r>
      <w:r w:rsidRPr="00F23B84">
        <w:rPr>
          <w:rFonts w:ascii="Arial" w:hAnsi="Arial" w:cs="Arial"/>
          <w:color w:val="000000" w:themeColor="text1"/>
        </w:rPr>
        <w:t>developed disease progression within the medium term</w:t>
      </w:r>
      <w:r w:rsidR="00703A41" w:rsidRPr="00F23B84">
        <w:rPr>
          <w:rFonts w:ascii="Arial" w:hAnsi="Arial" w:cs="Arial"/>
          <w:color w:val="000000" w:themeColor="text1"/>
        </w:rPr>
        <w:t xml:space="preserve"> requiring conversion to total knee arthroplasty</w:t>
      </w:r>
      <w:r w:rsidRPr="00F23B84">
        <w:rPr>
          <w:rFonts w:ascii="Arial" w:hAnsi="Arial" w:cs="Arial"/>
          <w:color w:val="000000" w:themeColor="text1"/>
        </w:rPr>
        <w:t>.</w:t>
      </w:r>
    </w:p>
    <w:p w14:paraId="6ABA3AE2" w14:textId="77777777" w:rsidR="000651E5" w:rsidRPr="00F23B84" w:rsidRDefault="000651E5" w:rsidP="00C11B7C">
      <w:pPr>
        <w:rPr>
          <w:rFonts w:ascii="Arial" w:hAnsi="Arial" w:cs="Arial"/>
          <w:color w:val="000000" w:themeColor="text1"/>
        </w:rPr>
      </w:pPr>
    </w:p>
    <w:p w14:paraId="0571DF39" w14:textId="6EB5382D" w:rsidR="000651E5" w:rsidRPr="00F23B84" w:rsidRDefault="000651E5" w:rsidP="00C11B7C">
      <w:pPr>
        <w:rPr>
          <w:rFonts w:ascii="Arial" w:hAnsi="Arial" w:cs="Arial"/>
          <w:color w:val="000000" w:themeColor="text1"/>
        </w:rPr>
      </w:pPr>
      <w:r w:rsidRPr="00F23B84">
        <w:rPr>
          <w:rFonts w:ascii="Arial" w:hAnsi="Arial" w:cs="Arial"/>
          <w:color w:val="000000" w:themeColor="text1"/>
        </w:rPr>
        <w:t xml:space="preserve">Out of the 11 cases that required re-operation, the majority were </w:t>
      </w:r>
      <w:r w:rsidR="00B20855" w:rsidRPr="00F23B84">
        <w:rPr>
          <w:rFonts w:ascii="Arial" w:hAnsi="Arial" w:cs="Arial"/>
          <w:color w:val="000000" w:themeColor="text1"/>
        </w:rPr>
        <w:t>revised</w:t>
      </w:r>
      <w:r w:rsidRPr="00F23B84">
        <w:rPr>
          <w:rFonts w:ascii="Arial" w:hAnsi="Arial" w:cs="Arial"/>
          <w:color w:val="000000" w:themeColor="text1"/>
        </w:rPr>
        <w:t xml:space="preserve"> to a total knee replacement, see </w:t>
      </w:r>
      <w:r w:rsidR="00183DD9">
        <w:rPr>
          <w:rFonts w:ascii="Arial" w:hAnsi="Arial" w:cs="Arial"/>
          <w:color w:val="000000" w:themeColor="text1"/>
        </w:rPr>
        <w:t>F</w:t>
      </w:r>
      <w:r w:rsidRPr="00F23B84">
        <w:rPr>
          <w:rFonts w:ascii="Arial" w:hAnsi="Arial" w:cs="Arial"/>
          <w:color w:val="000000" w:themeColor="text1"/>
        </w:rPr>
        <w:t xml:space="preserve">igure 3. One patient </w:t>
      </w:r>
      <w:r w:rsidR="005A43CC" w:rsidRPr="00F23B84">
        <w:rPr>
          <w:rFonts w:ascii="Arial" w:hAnsi="Arial" w:cs="Arial"/>
          <w:color w:val="000000" w:themeColor="text1"/>
        </w:rPr>
        <w:t>was treated with</w:t>
      </w:r>
      <w:r w:rsidRPr="00F23B84">
        <w:rPr>
          <w:rFonts w:ascii="Arial" w:hAnsi="Arial" w:cs="Arial"/>
          <w:color w:val="000000" w:themeColor="text1"/>
        </w:rPr>
        <w:t xml:space="preserve"> a bearing exchange </w:t>
      </w:r>
      <w:r w:rsidR="0014412A">
        <w:rPr>
          <w:rFonts w:ascii="Arial" w:hAnsi="Arial" w:cs="Arial"/>
          <w:color w:val="000000" w:themeColor="text1"/>
        </w:rPr>
        <w:t xml:space="preserve">(up-sized) </w:t>
      </w:r>
      <w:r w:rsidRPr="00F23B84">
        <w:rPr>
          <w:rFonts w:ascii="Arial" w:hAnsi="Arial" w:cs="Arial"/>
          <w:color w:val="000000" w:themeColor="text1"/>
        </w:rPr>
        <w:t>only</w:t>
      </w:r>
      <w:r w:rsidR="005A43CC" w:rsidRPr="00F23B84">
        <w:rPr>
          <w:rFonts w:ascii="Arial" w:hAnsi="Arial" w:cs="Arial"/>
          <w:color w:val="000000" w:themeColor="text1"/>
        </w:rPr>
        <w:t xml:space="preserve"> following a bearing dislocation.</w:t>
      </w:r>
      <w:r w:rsidRPr="00F23B84">
        <w:rPr>
          <w:rFonts w:ascii="Arial" w:hAnsi="Arial" w:cs="Arial"/>
          <w:color w:val="000000" w:themeColor="text1"/>
        </w:rPr>
        <w:t xml:space="preserve"> </w:t>
      </w:r>
      <w:r w:rsidR="005A43CC" w:rsidRPr="00F23B84">
        <w:rPr>
          <w:rFonts w:ascii="Arial" w:hAnsi="Arial" w:cs="Arial"/>
          <w:color w:val="000000" w:themeColor="text1"/>
        </w:rPr>
        <w:t>The</w:t>
      </w:r>
      <w:r w:rsidR="00DB5C14" w:rsidRPr="00F23B84">
        <w:rPr>
          <w:rFonts w:ascii="Arial" w:hAnsi="Arial" w:cs="Arial"/>
          <w:color w:val="000000" w:themeColor="text1"/>
        </w:rPr>
        <w:t>re were</w:t>
      </w:r>
      <w:r w:rsidR="005A43CC" w:rsidRPr="00F23B84">
        <w:rPr>
          <w:rFonts w:ascii="Arial" w:hAnsi="Arial" w:cs="Arial"/>
          <w:color w:val="000000" w:themeColor="text1"/>
        </w:rPr>
        <w:t xml:space="preserve"> t</w:t>
      </w:r>
      <w:r w:rsidRPr="00F23B84">
        <w:rPr>
          <w:rFonts w:ascii="Arial" w:hAnsi="Arial" w:cs="Arial"/>
          <w:color w:val="000000" w:themeColor="text1"/>
        </w:rPr>
        <w:t xml:space="preserve">wo </w:t>
      </w:r>
      <w:r w:rsidR="005A43CC" w:rsidRPr="00F23B84">
        <w:rPr>
          <w:rFonts w:ascii="Arial" w:hAnsi="Arial" w:cs="Arial"/>
          <w:color w:val="000000" w:themeColor="text1"/>
        </w:rPr>
        <w:t>additional</w:t>
      </w:r>
      <w:r w:rsidRPr="00F23B84">
        <w:rPr>
          <w:rFonts w:ascii="Arial" w:hAnsi="Arial" w:cs="Arial"/>
          <w:color w:val="000000" w:themeColor="text1"/>
        </w:rPr>
        <w:t xml:space="preserve"> patients</w:t>
      </w:r>
      <w:r w:rsidR="00E60CF5" w:rsidRPr="00F23B84">
        <w:rPr>
          <w:rFonts w:ascii="Arial" w:hAnsi="Arial" w:cs="Arial"/>
          <w:color w:val="000000" w:themeColor="text1"/>
        </w:rPr>
        <w:t xml:space="preserve"> who had</w:t>
      </w:r>
      <w:r w:rsidRPr="00F23B84">
        <w:rPr>
          <w:rFonts w:ascii="Arial" w:hAnsi="Arial" w:cs="Arial"/>
          <w:color w:val="000000" w:themeColor="text1"/>
        </w:rPr>
        <w:t xml:space="preserve"> </w:t>
      </w:r>
      <w:r w:rsidR="00A75D4F" w:rsidRPr="00F23B84">
        <w:rPr>
          <w:rFonts w:ascii="Arial" w:hAnsi="Arial" w:cs="Arial"/>
          <w:color w:val="000000" w:themeColor="text1"/>
        </w:rPr>
        <w:t>sustained</w:t>
      </w:r>
      <w:r w:rsidRPr="00F23B84">
        <w:rPr>
          <w:rFonts w:ascii="Arial" w:hAnsi="Arial" w:cs="Arial"/>
          <w:color w:val="000000" w:themeColor="text1"/>
        </w:rPr>
        <w:t xml:space="preserve"> a </w:t>
      </w:r>
      <w:r w:rsidR="00B20855" w:rsidRPr="00F23B84">
        <w:rPr>
          <w:rFonts w:ascii="Arial" w:hAnsi="Arial" w:cs="Arial"/>
          <w:color w:val="000000" w:themeColor="text1"/>
        </w:rPr>
        <w:t xml:space="preserve">bearing </w:t>
      </w:r>
      <w:r w:rsidRPr="00F23B84">
        <w:rPr>
          <w:rFonts w:ascii="Arial" w:hAnsi="Arial" w:cs="Arial"/>
          <w:color w:val="000000" w:themeColor="text1"/>
        </w:rPr>
        <w:t>dislocation</w:t>
      </w:r>
      <w:r w:rsidR="00DB5C14" w:rsidRPr="00F23B84">
        <w:rPr>
          <w:rFonts w:ascii="Arial" w:hAnsi="Arial" w:cs="Arial"/>
          <w:color w:val="000000" w:themeColor="text1"/>
        </w:rPr>
        <w:t>, one</w:t>
      </w:r>
      <w:r w:rsidR="005A43CC" w:rsidRPr="00F23B84">
        <w:rPr>
          <w:rFonts w:ascii="Arial" w:hAnsi="Arial" w:cs="Arial"/>
          <w:color w:val="000000" w:themeColor="text1"/>
        </w:rPr>
        <w:t xml:space="preserve"> w</w:t>
      </w:r>
      <w:r w:rsidR="00DB5C14" w:rsidRPr="00F23B84">
        <w:rPr>
          <w:rFonts w:ascii="Arial" w:hAnsi="Arial" w:cs="Arial"/>
          <w:color w:val="000000" w:themeColor="text1"/>
        </w:rPr>
        <w:t>as</w:t>
      </w:r>
      <w:r w:rsidR="00B20855" w:rsidRPr="00F23B84">
        <w:rPr>
          <w:rFonts w:ascii="Arial" w:hAnsi="Arial" w:cs="Arial"/>
          <w:color w:val="000000" w:themeColor="text1"/>
        </w:rPr>
        <w:t xml:space="preserve"> treated </w:t>
      </w:r>
      <w:r w:rsidR="00DB5C14" w:rsidRPr="00F23B84">
        <w:rPr>
          <w:rFonts w:ascii="Arial" w:hAnsi="Arial" w:cs="Arial"/>
          <w:color w:val="000000" w:themeColor="text1"/>
        </w:rPr>
        <w:t xml:space="preserve">with a revision to a TKR, the second </w:t>
      </w:r>
      <w:r w:rsidR="00B20855" w:rsidRPr="00F23B84">
        <w:rPr>
          <w:rFonts w:ascii="Arial" w:hAnsi="Arial" w:cs="Arial"/>
          <w:color w:val="000000" w:themeColor="text1"/>
        </w:rPr>
        <w:t>with</w:t>
      </w:r>
      <w:r w:rsidR="00DB5C14" w:rsidRPr="00F23B84">
        <w:rPr>
          <w:rFonts w:ascii="Arial" w:hAnsi="Arial" w:cs="Arial"/>
          <w:color w:val="000000" w:themeColor="text1"/>
        </w:rPr>
        <w:t xml:space="preserve"> a manipulation</w:t>
      </w:r>
      <w:r w:rsidR="00C91B5B">
        <w:rPr>
          <w:rFonts w:ascii="Arial" w:hAnsi="Arial" w:cs="Arial"/>
          <w:color w:val="000000" w:themeColor="text1"/>
        </w:rPr>
        <w:t xml:space="preserve"> followed by a</w:t>
      </w:r>
      <w:r w:rsidR="00DB5C14" w:rsidRPr="00F23B84">
        <w:rPr>
          <w:rFonts w:ascii="Arial" w:hAnsi="Arial" w:cs="Arial"/>
          <w:color w:val="000000" w:themeColor="text1"/>
        </w:rPr>
        <w:t xml:space="preserve"> subsequent</w:t>
      </w:r>
      <w:r w:rsidR="00B20855" w:rsidRPr="00F23B84">
        <w:rPr>
          <w:rFonts w:ascii="Arial" w:hAnsi="Arial" w:cs="Arial"/>
          <w:color w:val="000000" w:themeColor="text1"/>
        </w:rPr>
        <w:t xml:space="preserve"> </w:t>
      </w:r>
      <w:r w:rsidR="005A43CC" w:rsidRPr="00F23B84">
        <w:rPr>
          <w:rFonts w:ascii="Arial" w:hAnsi="Arial" w:cs="Arial"/>
          <w:color w:val="000000" w:themeColor="text1"/>
        </w:rPr>
        <w:t>bearing exchange</w:t>
      </w:r>
      <w:r w:rsidRPr="00F23B84">
        <w:rPr>
          <w:rFonts w:ascii="Arial" w:hAnsi="Arial" w:cs="Arial"/>
          <w:color w:val="000000" w:themeColor="text1"/>
        </w:rPr>
        <w:t xml:space="preserve"> prior to being revised to a </w:t>
      </w:r>
      <w:r w:rsidR="00DB5C14" w:rsidRPr="00F23B84">
        <w:rPr>
          <w:rFonts w:ascii="Arial" w:hAnsi="Arial" w:cs="Arial"/>
          <w:color w:val="000000" w:themeColor="text1"/>
        </w:rPr>
        <w:t xml:space="preserve">fixed bearing </w:t>
      </w:r>
      <w:r w:rsidR="00DE6FF2" w:rsidRPr="00F23B84">
        <w:rPr>
          <w:rFonts w:ascii="Arial" w:hAnsi="Arial" w:cs="Arial"/>
          <w:color w:val="000000" w:themeColor="text1"/>
        </w:rPr>
        <w:t>tibial component</w:t>
      </w:r>
      <w:r w:rsidR="0014412A">
        <w:rPr>
          <w:rFonts w:ascii="Arial" w:hAnsi="Arial" w:cs="Arial"/>
          <w:color w:val="000000" w:themeColor="text1"/>
        </w:rPr>
        <w:t xml:space="preserve"> </w:t>
      </w:r>
      <w:r w:rsidR="00DB5C14" w:rsidRPr="00F23B84">
        <w:rPr>
          <w:rFonts w:ascii="Arial" w:hAnsi="Arial" w:cs="Arial"/>
          <w:color w:val="000000" w:themeColor="text1"/>
        </w:rPr>
        <w:t>(</w:t>
      </w:r>
      <w:r w:rsidR="0014412A">
        <w:rPr>
          <w:rFonts w:ascii="Arial" w:hAnsi="Arial" w:cs="Arial"/>
          <w:color w:val="000000" w:themeColor="text1"/>
        </w:rPr>
        <w:t>V</w:t>
      </w:r>
      <w:r w:rsidR="00DB5C14" w:rsidRPr="00F23B84">
        <w:rPr>
          <w:rFonts w:ascii="Arial" w:hAnsi="Arial" w:cs="Arial"/>
          <w:color w:val="000000" w:themeColor="text1"/>
        </w:rPr>
        <w:t>anguard M [</w:t>
      </w:r>
      <w:r w:rsidR="00DB5C14" w:rsidRPr="00F23B84">
        <w:rPr>
          <w:rFonts w:ascii="Arial" w:hAnsi="Arial" w:cs="Arial"/>
        </w:rPr>
        <w:t>Zimmer Biomet, Swindon, UK]</w:t>
      </w:r>
      <w:r w:rsidR="00DB5C14" w:rsidRPr="00F23B84">
        <w:rPr>
          <w:rFonts w:ascii="Arial" w:hAnsi="Arial" w:cs="Arial"/>
          <w:color w:val="000000" w:themeColor="text1"/>
        </w:rPr>
        <w:t>)</w:t>
      </w:r>
      <w:r w:rsidRPr="00F23B84">
        <w:rPr>
          <w:rFonts w:ascii="Arial" w:hAnsi="Arial" w:cs="Arial"/>
          <w:color w:val="000000" w:themeColor="text1"/>
        </w:rPr>
        <w:t xml:space="preserve">. The early case of infection was </w:t>
      </w:r>
      <w:r w:rsidR="00FC6ADF" w:rsidRPr="00F23B84">
        <w:rPr>
          <w:rFonts w:ascii="Arial" w:hAnsi="Arial" w:cs="Arial"/>
          <w:color w:val="000000" w:themeColor="text1"/>
        </w:rPr>
        <w:t xml:space="preserve">treated with debridement washout and </w:t>
      </w:r>
      <w:r w:rsidRPr="00F23B84">
        <w:rPr>
          <w:rFonts w:ascii="Arial" w:hAnsi="Arial" w:cs="Arial"/>
          <w:color w:val="000000" w:themeColor="text1"/>
        </w:rPr>
        <w:t xml:space="preserve">revised to </w:t>
      </w:r>
      <w:r w:rsidR="00DE6FF2" w:rsidRPr="00F23B84">
        <w:rPr>
          <w:rFonts w:ascii="Arial" w:hAnsi="Arial" w:cs="Arial"/>
          <w:color w:val="000000" w:themeColor="text1"/>
        </w:rPr>
        <w:t xml:space="preserve">an all-poly cemented Uniglide, [Corin Group, Cirencester, Gloucestershire, U.K.]). </w:t>
      </w:r>
      <w:r w:rsidR="008D09A3" w:rsidRPr="00F23B84">
        <w:rPr>
          <w:rFonts w:ascii="Arial" w:hAnsi="Arial" w:cs="Arial"/>
          <w:color w:val="000000" w:themeColor="text1"/>
        </w:rPr>
        <w:t>The remaining cases were all revised to TKRs</w:t>
      </w:r>
      <w:r w:rsidR="00C91B5B">
        <w:rPr>
          <w:rFonts w:ascii="Arial" w:hAnsi="Arial" w:cs="Arial"/>
          <w:color w:val="000000" w:themeColor="text1"/>
        </w:rPr>
        <w:t>:</w:t>
      </w:r>
      <w:r w:rsidR="008D09A3" w:rsidRPr="00F23B84">
        <w:rPr>
          <w:rFonts w:ascii="Arial" w:hAnsi="Arial" w:cs="Arial"/>
          <w:color w:val="000000" w:themeColor="text1"/>
        </w:rPr>
        <w:t xml:space="preserve"> o</w:t>
      </w:r>
      <w:r w:rsidRPr="00F23B84">
        <w:rPr>
          <w:rFonts w:ascii="Arial" w:hAnsi="Arial" w:cs="Arial"/>
          <w:color w:val="000000" w:themeColor="text1"/>
        </w:rPr>
        <w:t xml:space="preserve">ne of the fractures required a complex primary </w:t>
      </w:r>
      <w:r w:rsidR="00FC6ADF" w:rsidRPr="00F23B84">
        <w:rPr>
          <w:rFonts w:ascii="Arial" w:hAnsi="Arial" w:cs="Arial"/>
          <w:color w:val="000000" w:themeColor="text1"/>
        </w:rPr>
        <w:t>using</w:t>
      </w:r>
      <w:r w:rsidRPr="00F23B84">
        <w:rPr>
          <w:rFonts w:ascii="Arial" w:hAnsi="Arial" w:cs="Arial"/>
          <w:color w:val="000000" w:themeColor="text1"/>
        </w:rPr>
        <w:t xml:space="preserve"> a medial tibial plate</w:t>
      </w:r>
      <w:r w:rsidR="00C91B5B">
        <w:rPr>
          <w:rFonts w:ascii="Arial" w:hAnsi="Arial" w:cs="Arial"/>
          <w:color w:val="000000" w:themeColor="text1"/>
        </w:rPr>
        <w:t xml:space="preserve"> and </w:t>
      </w:r>
      <w:r w:rsidRPr="00F23B84">
        <w:rPr>
          <w:rFonts w:ascii="Arial" w:hAnsi="Arial" w:cs="Arial"/>
          <w:color w:val="000000" w:themeColor="text1"/>
        </w:rPr>
        <w:t>a stemmed tibia</w:t>
      </w:r>
      <w:r w:rsidR="00C91B5B">
        <w:rPr>
          <w:rFonts w:ascii="Arial" w:hAnsi="Arial" w:cs="Arial"/>
          <w:color w:val="000000" w:themeColor="text1"/>
        </w:rPr>
        <w:t>l component</w:t>
      </w:r>
      <w:r w:rsidRPr="00F23B84">
        <w:rPr>
          <w:rFonts w:ascii="Arial" w:hAnsi="Arial" w:cs="Arial"/>
          <w:color w:val="000000" w:themeColor="text1"/>
        </w:rPr>
        <w:t xml:space="preserve"> </w:t>
      </w:r>
      <w:r w:rsidR="00FC6ADF" w:rsidRPr="00F23B84">
        <w:rPr>
          <w:rFonts w:ascii="Arial" w:hAnsi="Arial" w:cs="Arial"/>
          <w:color w:val="000000" w:themeColor="text1"/>
        </w:rPr>
        <w:t>with</w:t>
      </w:r>
      <w:r w:rsidRPr="00F23B84">
        <w:rPr>
          <w:rFonts w:ascii="Arial" w:hAnsi="Arial" w:cs="Arial"/>
          <w:color w:val="000000" w:themeColor="text1"/>
        </w:rPr>
        <w:t xml:space="preserve"> a medial tibial augment</w:t>
      </w:r>
      <w:r w:rsidR="008D09A3" w:rsidRPr="00F23B84">
        <w:rPr>
          <w:rFonts w:ascii="Arial" w:hAnsi="Arial" w:cs="Arial"/>
          <w:color w:val="000000" w:themeColor="text1"/>
        </w:rPr>
        <w:t>,</w:t>
      </w:r>
      <w:r w:rsidRPr="00F23B84">
        <w:rPr>
          <w:rFonts w:ascii="Arial" w:hAnsi="Arial" w:cs="Arial"/>
          <w:color w:val="000000" w:themeColor="text1"/>
        </w:rPr>
        <w:t xml:space="preserve"> </w:t>
      </w:r>
      <w:r w:rsidR="003F6124" w:rsidRPr="00F23B84">
        <w:rPr>
          <w:rFonts w:ascii="Arial" w:hAnsi="Arial" w:cs="Arial"/>
          <w:color w:val="000000" w:themeColor="text1"/>
        </w:rPr>
        <w:t>five</w:t>
      </w:r>
      <w:r w:rsidRPr="00F23B84">
        <w:rPr>
          <w:rFonts w:ascii="Arial" w:hAnsi="Arial" w:cs="Arial"/>
          <w:color w:val="000000" w:themeColor="text1"/>
        </w:rPr>
        <w:t xml:space="preserve"> patients requir</w:t>
      </w:r>
      <w:r w:rsidR="0014412A">
        <w:rPr>
          <w:rFonts w:ascii="Arial" w:hAnsi="Arial" w:cs="Arial"/>
          <w:color w:val="000000" w:themeColor="text1"/>
        </w:rPr>
        <w:t>ed</w:t>
      </w:r>
      <w:r w:rsidRPr="00F23B84">
        <w:rPr>
          <w:rFonts w:ascii="Arial" w:hAnsi="Arial" w:cs="Arial"/>
          <w:color w:val="000000" w:themeColor="text1"/>
        </w:rPr>
        <w:t xml:space="preserve"> a</w:t>
      </w:r>
      <w:r w:rsidR="0014412A">
        <w:rPr>
          <w:rFonts w:ascii="Arial" w:hAnsi="Arial" w:cs="Arial"/>
          <w:color w:val="000000" w:themeColor="text1"/>
        </w:rPr>
        <w:t xml:space="preserve"> TKR with a</w:t>
      </w:r>
      <w:r w:rsidRPr="00F23B84">
        <w:rPr>
          <w:rFonts w:ascii="Arial" w:hAnsi="Arial" w:cs="Arial"/>
          <w:color w:val="000000" w:themeColor="text1"/>
        </w:rPr>
        <w:t xml:space="preserve"> tibial stem</w:t>
      </w:r>
      <w:r w:rsidR="00FC6ADF" w:rsidRPr="00F23B84">
        <w:rPr>
          <w:rFonts w:ascii="Arial" w:hAnsi="Arial" w:cs="Arial"/>
          <w:color w:val="000000" w:themeColor="text1"/>
        </w:rPr>
        <w:t xml:space="preserve"> </w:t>
      </w:r>
      <w:r w:rsidRPr="00F23B84">
        <w:rPr>
          <w:rFonts w:ascii="Arial" w:hAnsi="Arial" w:cs="Arial"/>
          <w:color w:val="000000" w:themeColor="text1"/>
        </w:rPr>
        <w:t>and two</w:t>
      </w:r>
      <w:r w:rsidR="00FC6ADF" w:rsidRPr="00F23B84">
        <w:rPr>
          <w:rFonts w:ascii="Arial" w:hAnsi="Arial" w:cs="Arial"/>
          <w:color w:val="000000" w:themeColor="text1"/>
        </w:rPr>
        <w:t xml:space="preserve"> patients</w:t>
      </w:r>
      <w:r w:rsidRPr="00F23B84">
        <w:rPr>
          <w:rFonts w:ascii="Arial" w:hAnsi="Arial" w:cs="Arial"/>
          <w:color w:val="000000" w:themeColor="text1"/>
        </w:rPr>
        <w:t xml:space="preserve"> had standard </w:t>
      </w:r>
      <w:r w:rsidR="003F6124" w:rsidRPr="00F23B84">
        <w:rPr>
          <w:rFonts w:ascii="Arial" w:hAnsi="Arial" w:cs="Arial"/>
          <w:color w:val="000000" w:themeColor="text1"/>
        </w:rPr>
        <w:t xml:space="preserve">non-stemmed </w:t>
      </w:r>
      <w:r w:rsidRPr="00F23B84">
        <w:rPr>
          <w:rFonts w:ascii="Arial" w:hAnsi="Arial" w:cs="Arial"/>
          <w:color w:val="000000" w:themeColor="text1"/>
        </w:rPr>
        <w:t xml:space="preserve">primary implants. </w:t>
      </w:r>
    </w:p>
    <w:p w14:paraId="2AEE714F" w14:textId="0C8200FC" w:rsidR="00A54AA1" w:rsidRPr="00F23B84" w:rsidRDefault="00A54AA1" w:rsidP="00C11B7C">
      <w:pPr>
        <w:rPr>
          <w:rFonts w:ascii="Arial" w:hAnsi="Arial" w:cs="Arial"/>
        </w:rPr>
      </w:pPr>
    </w:p>
    <w:p w14:paraId="63C3318C" w14:textId="7F890496" w:rsidR="00845AAB" w:rsidRPr="00F23B84" w:rsidRDefault="00F8715E" w:rsidP="00C11B7C">
      <w:pPr>
        <w:rPr>
          <w:rFonts w:ascii="Arial" w:hAnsi="Arial" w:cs="Arial"/>
        </w:rPr>
      </w:pPr>
      <w:r w:rsidRPr="00F23B84">
        <w:rPr>
          <w:rFonts w:ascii="Arial" w:hAnsi="Arial" w:cs="Arial"/>
          <w:color w:val="000000" w:themeColor="text1"/>
        </w:rPr>
        <w:t xml:space="preserve">As expected, there was no difference in re-operation rate between side of surgery or gender. Age did not </w:t>
      </w:r>
      <w:r w:rsidR="00536612" w:rsidRPr="00F23B84">
        <w:rPr>
          <w:rFonts w:ascii="Arial" w:hAnsi="Arial" w:cs="Arial"/>
          <w:color w:val="000000" w:themeColor="text1"/>
        </w:rPr>
        <w:t>affect</w:t>
      </w:r>
      <w:r w:rsidRPr="00F23B84">
        <w:rPr>
          <w:rFonts w:ascii="Arial" w:hAnsi="Arial" w:cs="Arial"/>
          <w:color w:val="000000" w:themeColor="text1"/>
        </w:rPr>
        <w:t xml:space="preserve"> survival in our cohort, </w:t>
      </w:r>
      <w:r w:rsidR="00464EAA" w:rsidRPr="00F23B84">
        <w:rPr>
          <w:rFonts w:ascii="Arial" w:hAnsi="Arial" w:cs="Arial"/>
          <w:color w:val="000000" w:themeColor="text1"/>
        </w:rPr>
        <w:t xml:space="preserve">see </w:t>
      </w:r>
      <w:r w:rsidR="00183DD9">
        <w:rPr>
          <w:rFonts w:ascii="Arial" w:hAnsi="Arial" w:cs="Arial"/>
          <w:color w:val="000000" w:themeColor="text1"/>
        </w:rPr>
        <w:t>T</w:t>
      </w:r>
      <w:r w:rsidR="00464EAA" w:rsidRPr="00F23B84">
        <w:rPr>
          <w:rFonts w:ascii="Arial" w:hAnsi="Arial" w:cs="Arial"/>
          <w:color w:val="000000" w:themeColor="text1"/>
        </w:rPr>
        <w:t xml:space="preserve">able 2. </w:t>
      </w:r>
      <w:r w:rsidR="00845AAB" w:rsidRPr="00F23B84">
        <w:rPr>
          <w:rFonts w:ascii="Arial" w:hAnsi="Arial" w:cs="Arial"/>
        </w:rPr>
        <w:t xml:space="preserve">If we combine “Died (in situ)” and “Alive (in situ)” then </w:t>
      </w:r>
      <w:r w:rsidR="00001414" w:rsidRPr="00F23B84">
        <w:rPr>
          <w:rFonts w:ascii="Arial" w:hAnsi="Arial" w:cs="Arial"/>
        </w:rPr>
        <w:t xml:space="preserve">in our series it appears to show </w:t>
      </w:r>
      <w:r w:rsidR="00845AAB" w:rsidRPr="00F23B84">
        <w:rPr>
          <w:rFonts w:ascii="Arial" w:hAnsi="Arial" w:cs="Arial"/>
        </w:rPr>
        <w:t>that revision rates are not greatly age dependent (Chi-square = 0.261, p = 0.904)</w:t>
      </w:r>
      <w:r w:rsidR="00C91B5B">
        <w:rPr>
          <w:rFonts w:ascii="Arial" w:hAnsi="Arial" w:cs="Arial"/>
        </w:rPr>
        <w:t>.</w:t>
      </w:r>
    </w:p>
    <w:p w14:paraId="5D31C7AD" w14:textId="59C61E93" w:rsidR="00F8715E" w:rsidRPr="00F23B84" w:rsidRDefault="00F8715E" w:rsidP="00C11B7C">
      <w:pPr>
        <w:rPr>
          <w:rFonts w:ascii="Arial" w:hAnsi="Arial" w:cs="Arial"/>
          <w:color w:val="000000" w:themeColor="text1"/>
        </w:rPr>
      </w:pPr>
    </w:p>
    <w:p w14:paraId="269E22ED" w14:textId="77777777" w:rsidR="002451E1" w:rsidRDefault="002451E1" w:rsidP="002451E1"/>
    <w:p w14:paraId="1BAEA9C7" w14:textId="77777777" w:rsidR="002451E1" w:rsidRDefault="002451E1" w:rsidP="002451E1"/>
    <w:p w14:paraId="16B3FC4E" w14:textId="0FA38D20" w:rsidR="002451E1" w:rsidRPr="00F23B84" w:rsidRDefault="002451E1" w:rsidP="002451E1">
      <w:pPr>
        <w:rPr>
          <w:rFonts w:ascii="Arial" w:hAnsi="Arial" w:cs="Arial"/>
        </w:rPr>
      </w:pPr>
      <w:proofErr w:type="gramStart"/>
      <w:r w:rsidRPr="00F23B84">
        <w:rPr>
          <w:rFonts w:ascii="Arial" w:hAnsi="Arial" w:cs="Arial"/>
        </w:rPr>
        <w:t>With regard to</w:t>
      </w:r>
      <w:proofErr w:type="gramEnd"/>
      <w:r w:rsidRPr="00F23B84">
        <w:rPr>
          <w:rFonts w:ascii="Arial" w:hAnsi="Arial" w:cs="Arial"/>
        </w:rPr>
        <w:t xml:space="preserve"> PROM data</w:t>
      </w:r>
      <w:r>
        <w:rPr>
          <w:rFonts w:ascii="Arial" w:hAnsi="Arial" w:cs="Arial"/>
        </w:rPr>
        <w:t xml:space="preserve">, out of the </w:t>
      </w:r>
      <w:r w:rsidRPr="00F23B84">
        <w:rPr>
          <w:rFonts w:ascii="Arial" w:hAnsi="Arial" w:cs="Arial"/>
        </w:rPr>
        <w:t xml:space="preserve">200 patients eligible, </w:t>
      </w:r>
      <w:r>
        <w:rPr>
          <w:rFonts w:ascii="Arial" w:hAnsi="Arial" w:cs="Arial"/>
        </w:rPr>
        <w:t xml:space="preserve">the </w:t>
      </w:r>
      <w:r w:rsidRPr="00F23B84">
        <w:rPr>
          <w:rFonts w:ascii="Arial" w:hAnsi="Arial" w:cs="Arial"/>
        </w:rPr>
        <w:t xml:space="preserve">11 patient who </w:t>
      </w:r>
      <w:r>
        <w:rPr>
          <w:rFonts w:ascii="Arial" w:hAnsi="Arial" w:cs="Arial"/>
        </w:rPr>
        <w:t>had re-operations</w:t>
      </w:r>
      <w:r w:rsidRPr="00F23B84">
        <w:rPr>
          <w:rFonts w:ascii="Arial" w:hAnsi="Arial" w:cs="Arial"/>
        </w:rPr>
        <w:t xml:space="preserve"> were excluded,16 patients had died by the time of the study, and a further 39 patients did not respond to their questionnaires resulting in data from 134. </w:t>
      </w:r>
      <w:r w:rsidR="00981D24">
        <w:rPr>
          <w:rFonts w:ascii="Arial" w:hAnsi="Arial" w:cs="Arial"/>
        </w:rPr>
        <w:t xml:space="preserve">Summary descriptive data for PROM data are given in Table 3.  Pre-surgery and one-year follow-up data show statistically significant improvement in mean Oxford Knee Score (mean improvement </w:t>
      </w:r>
      <w:r w:rsidR="00CE637E">
        <w:rPr>
          <w:rFonts w:ascii="Arial" w:hAnsi="Arial" w:cs="Arial"/>
        </w:rPr>
        <w:t>18.8, 95% CI 16.5 to 21.2, p &lt; .001), a statistically significant improvement in mean American Knee Score (mean improvement 75.8, 95% CI 68.5 to 83.0, p &lt; .001) and statistically significant improvements in mean WOMAC (mean improvement 18.0, 95% CI 15.5 to 20.5, p &lt; .001).  Pre-surgery and 8-year follow-up show statistically significant benefits in mean Oxford Knee Score (mean improvement 18.0, 95% CI 15.7 to 20.4, p &lt; 0.001), a significant improvement in American Knee Score (mean improvement</w:t>
      </w:r>
      <w:r w:rsidR="00D92860">
        <w:rPr>
          <w:rFonts w:ascii="Arial" w:hAnsi="Arial" w:cs="Arial"/>
        </w:rPr>
        <w:t xml:space="preserve"> 67.7, 95% CI 59.7 to 75.2, p &lt; .001) </w:t>
      </w:r>
      <w:r w:rsidR="00D92860">
        <w:rPr>
          <w:rFonts w:ascii="Arial" w:hAnsi="Arial" w:cs="Arial"/>
        </w:rPr>
        <w:lastRenderedPageBreak/>
        <w:t xml:space="preserve">and in mean WOMAC (mean improvement </w:t>
      </w:r>
      <w:r w:rsidR="00154BAC">
        <w:rPr>
          <w:rFonts w:ascii="Arial" w:hAnsi="Arial" w:cs="Arial"/>
        </w:rPr>
        <w:t xml:space="preserve">16.2, 95% CI 13.8 to 18.6, p &lt; .001).  </w:t>
      </w:r>
      <w:r w:rsidR="00B66008">
        <w:rPr>
          <w:rFonts w:ascii="Arial" w:hAnsi="Arial" w:cs="Arial"/>
        </w:rPr>
        <w:t xml:space="preserve">Between 1-year post-surgery and 8-year post-surgery there were small non-significant changes in mean Oxford Knee Score (p = 0.552), mean American Knee Score (p = 0.078) and mean WOMAC (p = 0.174) as given in Table 3.  </w:t>
      </w:r>
    </w:p>
    <w:p w14:paraId="11E2FAFB" w14:textId="77777777" w:rsidR="002451E1" w:rsidRDefault="002451E1" w:rsidP="002451E1"/>
    <w:p w14:paraId="179DC888" w14:textId="77777777" w:rsidR="008F0C41" w:rsidRPr="00F23B84" w:rsidRDefault="008F0C41" w:rsidP="00C11B7C">
      <w:pPr>
        <w:rPr>
          <w:rFonts w:ascii="Arial" w:hAnsi="Arial" w:cs="Arial"/>
        </w:rPr>
      </w:pPr>
    </w:p>
    <w:p w14:paraId="2BBA4D0E" w14:textId="252AE5EF" w:rsidR="007C1964" w:rsidRPr="00F23B84" w:rsidRDefault="007C1964" w:rsidP="00C11B7C">
      <w:pPr>
        <w:rPr>
          <w:rFonts w:ascii="Arial" w:hAnsi="Arial" w:cs="Arial"/>
        </w:rPr>
      </w:pPr>
    </w:p>
    <w:p w14:paraId="79C3BF1D" w14:textId="4AB0D742" w:rsidR="007C1964" w:rsidRPr="00F23B84" w:rsidRDefault="007C1964" w:rsidP="00C11B7C">
      <w:pPr>
        <w:rPr>
          <w:rFonts w:ascii="Arial" w:hAnsi="Arial" w:cs="Arial"/>
          <w:b/>
          <w:bCs/>
        </w:rPr>
      </w:pPr>
      <w:r w:rsidRPr="00F23B84">
        <w:rPr>
          <w:rFonts w:ascii="Arial" w:hAnsi="Arial" w:cs="Arial"/>
          <w:b/>
          <w:bCs/>
        </w:rPr>
        <w:t>Discussion</w:t>
      </w:r>
    </w:p>
    <w:p w14:paraId="7CD5B6C1" w14:textId="77777777" w:rsidR="006869EC" w:rsidRPr="00F23B84" w:rsidRDefault="006869EC" w:rsidP="00C11B7C">
      <w:pPr>
        <w:rPr>
          <w:rFonts w:ascii="Arial" w:hAnsi="Arial" w:cs="Arial"/>
        </w:rPr>
      </w:pPr>
    </w:p>
    <w:p w14:paraId="2E1C54AB" w14:textId="7531577C" w:rsidR="00CA637B" w:rsidRPr="00F23B84" w:rsidRDefault="00CA637B" w:rsidP="00C11B7C">
      <w:pPr>
        <w:rPr>
          <w:rFonts w:ascii="Arial" w:hAnsi="Arial" w:cs="Arial"/>
        </w:rPr>
      </w:pPr>
      <w:r w:rsidRPr="00F23B84">
        <w:rPr>
          <w:rFonts w:ascii="Arial" w:hAnsi="Arial" w:cs="Arial"/>
        </w:rPr>
        <w:t xml:space="preserve">Our overall survivorship is similar </w:t>
      </w:r>
      <w:r w:rsidR="0053437C" w:rsidRPr="00F23B84">
        <w:rPr>
          <w:rFonts w:ascii="Arial" w:hAnsi="Arial" w:cs="Arial"/>
        </w:rPr>
        <w:t xml:space="preserve">to </w:t>
      </w:r>
      <w:r w:rsidRPr="00F23B84">
        <w:rPr>
          <w:rFonts w:ascii="Arial" w:hAnsi="Arial" w:cs="Arial"/>
        </w:rPr>
        <w:t>those in the NJR report however we did experience a higher revision rate in the early post-operative period</w:t>
      </w:r>
      <w:r w:rsidR="00037895" w:rsidRPr="00F23B84">
        <w:rPr>
          <w:rFonts w:ascii="Arial" w:hAnsi="Arial" w:cs="Arial"/>
        </w:rPr>
        <w:t>.</w:t>
      </w:r>
      <w:r w:rsidR="0053437C" w:rsidRPr="00F23B84">
        <w:rPr>
          <w:rFonts w:ascii="Arial" w:hAnsi="Arial" w:cs="Arial"/>
        </w:rPr>
        <w:t xml:space="preserve"> </w:t>
      </w:r>
      <w:r w:rsidR="00037895" w:rsidRPr="00F23B84">
        <w:rPr>
          <w:rFonts w:ascii="Arial" w:hAnsi="Arial" w:cs="Arial"/>
        </w:rPr>
        <w:t>T</w:t>
      </w:r>
      <w:r w:rsidR="0053437C" w:rsidRPr="00F23B84">
        <w:rPr>
          <w:rFonts w:ascii="Arial" w:hAnsi="Arial" w:cs="Arial"/>
        </w:rPr>
        <w:t xml:space="preserve">his is likely to represent our </w:t>
      </w:r>
      <w:r w:rsidR="00037895" w:rsidRPr="00F23B84">
        <w:rPr>
          <w:rFonts w:ascii="Arial" w:hAnsi="Arial" w:cs="Arial"/>
        </w:rPr>
        <w:t>unit</w:t>
      </w:r>
      <w:r w:rsidR="00661576">
        <w:rPr>
          <w:rFonts w:ascii="Arial" w:hAnsi="Arial" w:cs="Arial"/>
        </w:rPr>
        <w:t>’</w:t>
      </w:r>
      <w:r w:rsidR="00037895" w:rsidRPr="00F23B84">
        <w:rPr>
          <w:rFonts w:ascii="Arial" w:hAnsi="Arial" w:cs="Arial"/>
        </w:rPr>
        <w:t xml:space="preserve">s </w:t>
      </w:r>
      <w:r w:rsidR="0053437C" w:rsidRPr="00F23B84">
        <w:rPr>
          <w:rFonts w:ascii="Arial" w:hAnsi="Arial" w:cs="Arial"/>
        </w:rPr>
        <w:t xml:space="preserve">learning curve with the </w:t>
      </w:r>
      <w:r w:rsidRPr="00F23B84">
        <w:rPr>
          <w:rFonts w:ascii="Arial" w:hAnsi="Arial" w:cs="Arial"/>
        </w:rPr>
        <w:t xml:space="preserve">cementless </w:t>
      </w:r>
      <w:r w:rsidR="0053437C" w:rsidRPr="00F23B84">
        <w:rPr>
          <w:rFonts w:ascii="Arial" w:hAnsi="Arial" w:cs="Arial"/>
        </w:rPr>
        <w:t>O</w:t>
      </w:r>
      <w:r w:rsidRPr="00F23B84">
        <w:rPr>
          <w:rFonts w:ascii="Arial" w:hAnsi="Arial" w:cs="Arial"/>
        </w:rPr>
        <w:t>xford</w:t>
      </w:r>
      <w:r w:rsidR="005E5D14" w:rsidRPr="00F23B84">
        <w:rPr>
          <w:rFonts w:ascii="Arial" w:hAnsi="Arial" w:cs="Arial"/>
        </w:rPr>
        <w:t xml:space="preserve"> UKR</w:t>
      </w:r>
      <w:r w:rsidR="00B74B5C">
        <w:rPr>
          <w:rFonts w:ascii="Arial" w:hAnsi="Arial" w:cs="Arial"/>
        </w:rPr>
        <w:t xml:space="preserve">, as this </w:t>
      </w:r>
      <w:r w:rsidR="0014412A">
        <w:rPr>
          <w:rFonts w:ascii="Arial" w:hAnsi="Arial" w:cs="Arial"/>
        </w:rPr>
        <w:t>re-operation</w:t>
      </w:r>
      <w:r w:rsidR="00B74B5C">
        <w:rPr>
          <w:rFonts w:ascii="Arial" w:hAnsi="Arial" w:cs="Arial"/>
        </w:rPr>
        <w:t xml:space="preserve"> rate was not seen at any other time period after the initial 18 months of the study</w:t>
      </w:r>
      <w:r w:rsidR="00037895" w:rsidRPr="00F23B84">
        <w:rPr>
          <w:rFonts w:ascii="Arial" w:hAnsi="Arial" w:cs="Arial"/>
        </w:rPr>
        <w:t xml:space="preserve">. </w:t>
      </w:r>
      <w:r w:rsidRPr="00F23B84">
        <w:rPr>
          <w:rFonts w:ascii="Arial" w:hAnsi="Arial" w:cs="Arial"/>
        </w:rPr>
        <w:t xml:space="preserve"> </w:t>
      </w:r>
    </w:p>
    <w:p w14:paraId="748104C8" w14:textId="77777777" w:rsidR="00CA637B" w:rsidRPr="00F23B84" w:rsidRDefault="00CA637B" w:rsidP="00C11B7C">
      <w:pPr>
        <w:rPr>
          <w:rFonts w:ascii="Arial" w:hAnsi="Arial" w:cs="Arial"/>
        </w:rPr>
      </w:pPr>
    </w:p>
    <w:p w14:paraId="4B80DA2A" w14:textId="750E8E29" w:rsidR="00111AD0" w:rsidRPr="00F23B84" w:rsidRDefault="005E5D14" w:rsidP="00C11B7C">
      <w:pPr>
        <w:rPr>
          <w:rFonts w:ascii="Arial" w:hAnsi="Arial" w:cs="Arial"/>
        </w:rPr>
      </w:pPr>
      <w:r w:rsidRPr="00F23B84">
        <w:rPr>
          <w:rFonts w:ascii="Arial" w:hAnsi="Arial" w:cs="Arial"/>
        </w:rPr>
        <w:t xml:space="preserve">Our study showed no difference between age and failure rate, this has differed from a registry study by </w:t>
      </w:r>
      <w:r w:rsidR="00AA6A84" w:rsidRPr="00F23B84">
        <w:rPr>
          <w:rFonts w:ascii="Arial" w:hAnsi="Arial" w:cs="Arial"/>
        </w:rPr>
        <w:t xml:space="preserve">Gupta et al. </w:t>
      </w:r>
      <w:r w:rsidRPr="00F23B84">
        <w:rPr>
          <w:rFonts w:ascii="Arial" w:hAnsi="Arial" w:cs="Arial"/>
        </w:rPr>
        <w:t>They reviewed</w:t>
      </w:r>
      <w:r w:rsidR="00AA6A84" w:rsidRPr="00F23B84">
        <w:rPr>
          <w:rFonts w:ascii="Arial" w:hAnsi="Arial" w:cs="Arial"/>
        </w:rPr>
        <w:t xml:space="preserve"> registry data </w:t>
      </w:r>
      <w:r w:rsidR="00DD0A58" w:rsidRPr="00F23B84">
        <w:rPr>
          <w:rFonts w:ascii="Arial" w:hAnsi="Arial" w:cs="Arial"/>
        </w:rPr>
        <w:t>for over 8</w:t>
      </w:r>
      <w:r w:rsidR="005A07AF" w:rsidRPr="00F23B84">
        <w:rPr>
          <w:rFonts w:ascii="Arial" w:hAnsi="Arial" w:cs="Arial"/>
        </w:rPr>
        <w:t>7</w:t>
      </w:r>
      <w:r w:rsidR="00DD0A58" w:rsidRPr="00F23B84">
        <w:rPr>
          <w:rFonts w:ascii="Arial" w:hAnsi="Arial" w:cs="Arial"/>
        </w:rPr>
        <w:t xml:space="preserve">00 Oxford-III UKRs </w:t>
      </w:r>
      <w:r w:rsidR="00AA6A84" w:rsidRPr="00F23B84">
        <w:rPr>
          <w:rFonts w:ascii="Arial" w:hAnsi="Arial" w:cs="Arial"/>
        </w:rPr>
        <w:t xml:space="preserve">from New Zealand and found that </w:t>
      </w:r>
      <w:r w:rsidR="00B74FE6" w:rsidRPr="00F23B84">
        <w:rPr>
          <w:rFonts w:ascii="Arial" w:hAnsi="Arial" w:cs="Arial"/>
        </w:rPr>
        <w:t>uncemented UKRs have superior implant survivorship compared to their cemented counterparts</w:t>
      </w:r>
      <w:r w:rsidR="00DD0A58" w:rsidRPr="00F23B84">
        <w:rPr>
          <w:rFonts w:ascii="Arial" w:hAnsi="Arial" w:cs="Arial"/>
        </w:rPr>
        <w:t xml:space="preserve">. This was in specific age groups and genders, with superior </w:t>
      </w:r>
      <w:r w:rsidR="001140C2" w:rsidRPr="00F23B84">
        <w:rPr>
          <w:rFonts w:ascii="Arial" w:hAnsi="Arial" w:cs="Arial"/>
        </w:rPr>
        <w:t>survivorship</w:t>
      </w:r>
      <w:r w:rsidR="00DD0A58" w:rsidRPr="00F23B84">
        <w:rPr>
          <w:rFonts w:ascii="Arial" w:hAnsi="Arial" w:cs="Arial"/>
        </w:rPr>
        <w:t xml:space="preserve"> in the cementless groups</w:t>
      </w:r>
      <w:r w:rsidR="00B74FE6" w:rsidRPr="00F23B84">
        <w:rPr>
          <w:rFonts w:ascii="Arial" w:hAnsi="Arial" w:cs="Arial"/>
        </w:rPr>
        <w:t xml:space="preserve"> in women under 65 years old and men aged 50-74 years </w:t>
      </w:r>
      <w:r w:rsidR="00B74FE6" w:rsidRPr="00F23B84">
        <w:rPr>
          <w:rFonts w:ascii="Arial" w:hAnsi="Arial" w:cs="Arial"/>
        </w:rPr>
        <w:fldChar w:fldCharType="begin"/>
      </w:r>
      <w:r w:rsidR="00F7180C" w:rsidRPr="00F23B84">
        <w:rPr>
          <w:rFonts w:ascii="Arial" w:hAnsi="Arial" w:cs="Arial"/>
        </w:rPr>
        <w:instrText xml:space="preserve"> ADDIN ZOTERO_ITEM CSL_CITATION {"citationID":"A9dOyIcz","properties":{"formattedCitation":"(10)","plainCitation":"(10)","noteIndex":0},"citationItems":[{"id":95,"uris":["http://zotero.org/users/local/vnmeHScW/items/A8CAZABE"],"uri":["http://zotero.org/users/local/vnmeHScW/items/A8CAZABE"],"itemData":{"id":95,"type":"article-journal","abstract":"BACKGROUND: Oxford-III unicompartmental knee replacements (UKRs) are among the most commonly used prostheses to treat isolated medial compartment osteoarthritis (OA). However, the best mode of implant fixation for primary UKRs remains a source of debate. The hypothesis of this study was that the biologically superior fixation of uncemented Oxford-III primary UKRs would translate into a lower revision rate when compared with cemented Oxford-III primary UKRs used to treat isolated medial compartment OA.\nMETHODS: Data on all Oxford-III primary UKRs (n = 8,733) completed for isolated medial compartment OA from January 2000 to December 2018 were obtained from the New Zealand Joint Registry (NZJR). Revision rates were documented for each fixation type and analyzed for associations with patient sex and age at surgery. A multivariate Cox proportional-hazards analysis was completed to determine if type of fixation was an independent risk factor for revision of Oxford-III UKRs.\nRESULTS: Statistical analysis revealed a &gt;1.8-fold greater revision risk for cemented Oxford-III UKRs compared with uncemented Oxford-III UKRs (p = 0.001) when considered independently of other risk factors. Furthermore, compared with uncemented fixation, cemented fixation was associated with a 2.9-fold (p &lt; 0.001) increase in revision risk for women &lt;65 years old and a 1.7-fold (p = 0.008) increase in revision risk for men 55 to 74 years old. There was no significant difference in the risk of revision between fixation methods for women ≥65 years old and men ≥75 years old.\nCONCLUSIONS: We found that the type of fixation was an independent risk factor for revision of Oxford-III UKRs used in the treatment of isolated medial compartment OA. Uncemented Oxford-III primary UKRs had superior implant survivorship in women &lt;65 years old and men 55 to 74 years old. Age and sex are important factors to consider when determining the type of fixation for Oxford-III primary UKRs used to treat isolated medial compartment OA.\nLEVEL OF EVIDENCE: Therapeutic Level III. See Instructions for Authors for a complete description of levels of evidence.","container-title":"The Journal of Bone and Joint Surgery. American Volume","DOI":"10.2106/JBJS.19.01443","ISSN":"1535-1386","journalAbbreviation":"J Bone Joint Surg Am","language":"eng","note":"PMID: 32826556","source":"PubMed","title":"Revision Following Cemented and Uncemented Oxford-III Primary Medial Unicompartmental Knee Replacements: A 19-Year Analysis from the New Zealand Joint Registry","title-short":"Revision Following Cemented and Uncemented Oxford-III Primary Medial Unicompartmental Knee Replacements","author":[{"family":"Gupta","given":"Vikesh"},{"family":"Kejriwal","given":"Ritwik"},{"family":"Frampton","given":"Chris"}],"issued":{"date-parts":[["2020",8,20]]}}}],"schema":"https://github.com/citation-style-language/schema/raw/master/csl-citation.json"} </w:instrText>
      </w:r>
      <w:r w:rsidR="00B74FE6" w:rsidRPr="00F23B84">
        <w:rPr>
          <w:rFonts w:ascii="Arial" w:hAnsi="Arial" w:cs="Arial"/>
        </w:rPr>
        <w:fldChar w:fldCharType="separate"/>
      </w:r>
      <w:r w:rsidR="00F7180C" w:rsidRPr="00F23B84">
        <w:rPr>
          <w:rFonts w:ascii="Arial" w:hAnsi="Arial" w:cs="Arial"/>
        </w:rPr>
        <w:t>(10)</w:t>
      </w:r>
      <w:r w:rsidR="00B74FE6" w:rsidRPr="00F23B84">
        <w:rPr>
          <w:rFonts w:ascii="Arial" w:hAnsi="Arial" w:cs="Arial"/>
        </w:rPr>
        <w:fldChar w:fldCharType="end"/>
      </w:r>
      <w:r w:rsidR="00B74FE6" w:rsidRPr="00F23B84">
        <w:rPr>
          <w:rFonts w:ascii="Arial" w:hAnsi="Arial" w:cs="Arial"/>
        </w:rPr>
        <w:t>.</w:t>
      </w:r>
    </w:p>
    <w:p w14:paraId="59831607" w14:textId="77777777" w:rsidR="00111AD0" w:rsidRPr="00F23B84" w:rsidRDefault="00111AD0" w:rsidP="00C11B7C">
      <w:pPr>
        <w:rPr>
          <w:rFonts w:ascii="Arial" w:hAnsi="Arial" w:cs="Arial"/>
        </w:rPr>
      </w:pPr>
    </w:p>
    <w:p w14:paraId="2C16EB90" w14:textId="108F8473" w:rsidR="00CC1832" w:rsidRPr="00F23B84" w:rsidRDefault="00FF61C2" w:rsidP="00C11B7C">
      <w:pPr>
        <w:rPr>
          <w:rFonts w:ascii="Arial" w:hAnsi="Arial" w:cs="Arial"/>
        </w:rPr>
      </w:pPr>
      <w:r>
        <w:rPr>
          <w:rFonts w:ascii="Arial" w:hAnsi="Arial" w:cs="Arial"/>
        </w:rPr>
        <w:t xml:space="preserve">The trend for lower revision rates </w:t>
      </w:r>
      <w:r w:rsidR="00000B09">
        <w:rPr>
          <w:rFonts w:ascii="Arial" w:hAnsi="Arial" w:cs="Arial"/>
        </w:rPr>
        <w:t>in cementless UKR implants</w:t>
      </w:r>
      <w:r w:rsidR="0014412A">
        <w:rPr>
          <w:rFonts w:ascii="Arial" w:hAnsi="Arial" w:cs="Arial"/>
        </w:rPr>
        <w:t xml:space="preserve"> when compared to cemented counterparts</w:t>
      </w:r>
      <w:r w:rsidR="00000B09">
        <w:rPr>
          <w:rFonts w:ascii="Arial" w:hAnsi="Arial" w:cs="Arial"/>
        </w:rPr>
        <w:t xml:space="preserve"> </w:t>
      </w:r>
      <w:r>
        <w:rPr>
          <w:rFonts w:ascii="Arial" w:hAnsi="Arial" w:cs="Arial"/>
        </w:rPr>
        <w:t>seems to</w:t>
      </w:r>
      <w:r w:rsidR="00661576">
        <w:rPr>
          <w:rFonts w:ascii="Arial" w:hAnsi="Arial" w:cs="Arial"/>
        </w:rPr>
        <w:t xml:space="preserve"> be</w:t>
      </w:r>
      <w:r>
        <w:rPr>
          <w:rFonts w:ascii="Arial" w:hAnsi="Arial" w:cs="Arial"/>
        </w:rPr>
        <w:t xml:space="preserve"> supported by our study as well others previously published. </w:t>
      </w:r>
      <w:r w:rsidR="00111AD0" w:rsidRPr="00F23B84">
        <w:rPr>
          <w:rFonts w:ascii="Arial" w:hAnsi="Arial" w:cs="Arial"/>
        </w:rPr>
        <w:t xml:space="preserve">Mohammed et al. found the </w:t>
      </w:r>
      <w:r w:rsidR="00E437F8">
        <w:rPr>
          <w:rFonts w:ascii="Arial" w:hAnsi="Arial" w:cs="Arial"/>
        </w:rPr>
        <w:t>cementless</w:t>
      </w:r>
      <w:r w:rsidR="00111AD0" w:rsidRPr="00F23B84">
        <w:rPr>
          <w:rFonts w:ascii="Arial" w:hAnsi="Arial" w:cs="Arial"/>
        </w:rPr>
        <w:t xml:space="preserve"> Oxford UKR to have a statistically lower revision rate compared to it</w:t>
      </w:r>
      <w:r w:rsidR="00177872" w:rsidRPr="00F23B84">
        <w:rPr>
          <w:rFonts w:ascii="Arial" w:hAnsi="Arial" w:cs="Arial"/>
        </w:rPr>
        <w:t>s</w:t>
      </w:r>
      <w:r w:rsidR="00111AD0" w:rsidRPr="00F23B84">
        <w:rPr>
          <w:rFonts w:ascii="Arial" w:hAnsi="Arial" w:cs="Arial"/>
        </w:rPr>
        <w:t xml:space="preserve"> cemented counterpart. This was the case in all causes for revision except </w:t>
      </w:r>
      <w:proofErr w:type="spellStart"/>
      <w:r w:rsidR="00111AD0" w:rsidRPr="00F23B84">
        <w:rPr>
          <w:rFonts w:ascii="Arial" w:hAnsi="Arial" w:cs="Arial"/>
        </w:rPr>
        <w:t>peri</w:t>
      </w:r>
      <w:proofErr w:type="spellEnd"/>
      <w:r w:rsidR="00111AD0" w:rsidRPr="00F23B84">
        <w:rPr>
          <w:rFonts w:ascii="Arial" w:hAnsi="Arial" w:cs="Arial"/>
        </w:rPr>
        <w:t>-prosthetic fracture</w:t>
      </w:r>
      <w:r w:rsidR="00E437F8">
        <w:rPr>
          <w:rFonts w:ascii="Arial" w:hAnsi="Arial" w:cs="Arial"/>
        </w:rPr>
        <w:t>, wh</w:t>
      </w:r>
      <w:r w:rsidR="00661576">
        <w:rPr>
          <w:rFonts w:ascii="Arial" w:hAnsi="Arial" w:cs="Arial"/>
        </w:rPr>
        <w:t>ich was higher in</w:t>
      </w:r>
      <w:r w:rsidR="00E437F8">
        <w:rPr>
          <w:rFonts w:ascii="Arial" w:hAnsi="Arial" w:cs="Arial"/>
        </w:rPr>
        <w:t xml:space="preserve"> the</w:t>
      </w:r>
      <w:r w:rsidR="00661576">
        <w:rPr>
          <w:rFonts w:ascii="Arial" w:hAnsi="Arial" w:cs="Arial"/>
        </w:rPr>
        <w:t xml:space="preserve"> uncemented group</w:t>
      </w:r>
      <w:r w:rsidR="00111AD0" w:rsidRPr="00F23B84">
        <w:rPr>
          <w:rFonts w:ascii="Arial" w:hAnsi="Arial" w:cs="Arial"/>
        </w:rPr>
        <w:t xml:space="preserve"> </w:t>
      </w:r>
      <w:r w:rsidR="00111AD0" w:rsidRPr="00F23B84">
        <w:rPr>
          <w:rFonts w:ascii="Arial" w:hAnsi="Arial" w:cs="Arial"/>
        </w:rPr>
        <w:fldChar w:fldCharType="begin"/>
      </w:r>
      <w:r w:rsidR="00F7180C" w:rsidRPr="00F23B84">
        <w:rPr>
          <w:rFonts w:ascii="Arial" w:hAnsi="Arial" w:cs="Arial"/>
        </w:rPr>
        <w:instrText xml:space="preserve"> ADDIN ZOTERO_ITEM CSL_CITATION {"citationID":"3lY62oac","properties":{"formattedCitation":"(11)","plainCitation":"(11)","noteIndex":0},"citationItems":[{"id":99,"uris":["http://zotero.org/users/local/vnmeHScW/items/EINPTIKD"],"uri":["http://zotero.org/users/local/vnmeHScW/items/EINPTIKD"],"itemData":{"id":99,"type":"article-journal","abstract":"Background and purpose - Unicompartmental knee replacement (UKR) offers advantages over total replacement but has higher revision rates, particularly for aseptic loosening. The cementless Oxford UKR was introduced to address this. We undertook a registry-based matched comparison of cementless and cemented UKRs.Patients and methods - From 40,552 Oxford UKRs identified by the National Joint Registry for England, Wales, Northern Ireland and Isle of Man (NJR) we propensity score matched, based on patient, surgical, and implant factors, 7,407 cemented and 7,407 cementless UKRs (total = 14,814).Results - The 10-year cumulative implant survival rates for cementless and cemented UKRs was 93% (95% CI 90-96) and 90% (CI 88-92) respectively, with this difference being significant (HR 0.76; p = 0.002). The risk of revision for aseptic loosening was less than half (p &lt; 0.001) in the cementless (0.42%) compared with the cemented group (1.00%), and the risk of revision also decreased for unexplained pain (to 0.46% from 0.74%; p = 0.03) and lysis (to 0.04% from 0.15%; p = 0.03). However, the risk of revision for periprosthetic fracture increased significantly (p = 0.01) in the cementless (0.26%) compared with the cemented group (0.09%). 10-year patient survival rates were similar (HR 1.2; p = 0.1).Interpretation - The cementless UKR has improved 10-year implant survival compared with the cemented UKR, independent of patient, implant, and surgical factors. This improved survival in the cementless group was primarily the result of lower revision rate for aseptic loosening, unexplained pain, and lysis, suggesting the fixation of the cementless was superior. However, there was a small increased risk of revision for periprosthetic fracture with the cementless implant.","container-title":"Acta Orthopaedica","DOI":"10.1080/17453674.2019.1680924","ISSN":"1745-3682","issue":"1","journalAbbreviation":"Acta Orthop","language":"eng","note":"PMID: 31635503\nPMCID: PMC7006803","page":"76-81","source":"PubMed","title":"Comparison of the 10-year outcomes of cemented and cementless unicompartmental knee replacements: data from the National Joint Registry for England, Wales, Northern Ireland and the Isle of Man","title-short":"Comparison of the 10-year outcomes of cemented and cementless unicompartmental knee replacements","volume":"91","author":[{"family":"Mohammad","given":"Hasan R."},{"family":"Matharu","given":"Gulraj S."},{"family":"Judge","given":"Andrew"},{"family":"Murray","given":"David W."}],"issued":{"date-parts":[["2020"]]}}}],"schema":"https://github.com/citation-style-language/schema/raw/master/csl-citation.json"} </w:instrText>
      </w:r>
      <w:r w:rsidR="00111AD0" w:rsidRPr="00F23B84">
        <w:rPr>
          <w:rFonts w:ascii="Arial" w:hAnsi="Arial" w:cs="Arial"/>
        </w:rPr>
        <w:fldChar w:fldCharType="separate"/>
      </w:r>
      <w:r w:rsidR="00F7180C" w:rsidRPr="00F23B84">
        <w:rPr>
          <w:rFonts w:ascii="Arial" w:hAnsi="Arial" w:cs="Arial"/>
        </w:rPr>
        <w:t>(11)</w:t>
      </w:r>
      <w:r w:rsidR="00111AD0" w:rsidRPr="00F23B84">
        <w:rPr>
          <w:rFonts w:ascii="Arial" w:hAnsi="Arial" w:cs="Arial"/>
        </w:rPr>
        <w:fldChar w:fldCharType="end"/>
      </w:r>
      <w:r w:rsidR="008D68B1" w:rsidRPr="00F23B84">
        <w:rPr>
          <w:rFonts w:ascii="Arial" w:hAnsi="Arial" w:cs="Arial"/>
        </w:rPr>
        <w:t>.</w:t>
      </w:r>
      <w:r w:rsidR="00F73703" w:rsidRPr="00F23B84">
        <w:rPr>
          <w:rFonts w:ascii="Arial" w:hAnsi="Arial" w:cs="Arial"/>
        </w:rPr>
        <w:t xml:space="preserve"> </w:t>
      </w:r>
      <w:r w:rsidR="007402E8" w:rsidRPr="00F23B84">
        <w:rPr>
          <w:rFonts w:ascii="Arial" w:hAnsi="Arial" w:cs="Arial"/>
        </w:rPr>
        <w:t>A further</w:t>
      </w:r>
      <w:r w:rsidR="00F73703" w:rsidRPr="00F23B84">
        <w:rPr>
          <w:rFonts w:ascii="Arial" w:hAnsi="Arial" w:cs="Arial"/>
        </w:rPr>
        <w:t xml:space="preserve"> registry study</w:t>
      </w:r>
      <w:r w:rsidR="007402E8" w:rsidRPr="00F23B84">
        <w:rPr>
          <w:rFonts w:ascii="Arial" w:hAnsi="Arial" w:cs="Arial"/>
        </w:rPr>
        <w:t xml:space="preserve"> from the </w:t>
      </w:r>
      <w:r w:rsidR="00B10263">
        <w:rPr>
          <w:rFonts w:ascii="Arial" w:hAnsi="Arial" w:cs="Arial"/>
        </w:rPr>
        <w:t>NJR</w:t>
      </w:r>
      <w:r w:rsidR="00F73703" w:rsidRPr="00F23B84">
        <w:rPr>
          <w:rFonts w:ascii="Arial" w:hAnsi="Arial" w:cs="Arial"/>
        </w:rPr>
        <w:t xml:space="preserve"> also confirmed that uncemented Oxford UKR</w:t>
      </w:r>
      <w:r w:rsidR="00661576">
        <w:rPr>
          <w:rFonts w:ascii="Arial" w:hAnsi="Arial" w:cs="Arial"/>
        </w:rPr>
        <w:t xml:space="preserve"> conferred a</w:t>
      </w:r>
      <w:r w:rsidR="00F73703" w:rsidRPr="00F23B84">
        <w:rPr>
          <w:rFonts w:ascii="Arial" w:hAnsi="Arial" w:cs="Arial"/>
        </w:rPr>
        <w:t xml:space="preserve"> reduced revision rate for all causes by a quarter, </w:t>
      </w:r>
      <w:r w:rsidR="007849E9" w:rsidRPr="00F23B84">
        <w:rPr>
          <w:rFonts w:ascii="Arial" w:hAnsi="Arial" w:cs="Arial"/>
        </w:rPr>
        <w:t>irrespective</w:t>
      </w:r>
      <w:r w:rsidR="00345406" w:rsidRPr="00F23B84">
        <w:rPr>
          <w:rFonts w:ascii="Arial" w:hAnsi="Arial" w:cs="Arial"/>
        </w:rPr>
        <w:t xml:space="preserve"> of</w:t>
      </w:r>
      <w:r w:rsidR="00F73703" w:rsidRPr="00F23B84">
        <w:rPr>
          <w:rFonts w:ascii="Arial" w:hAnsi="Arial" w:cs="Arial"/>
        </w:rPr>
        <w:t xml:space="preserve"> the volume of UKR cases performed by the surgeon </w:t>
      </w:r>
      <w:r w:rsidR="00F73703" w:rsidRPr="00F23B84">
        <w:rPr>
          <w:rFonts w:ascii="Arial" w:hAnsi="Arial" w:cs="Arial"/>
        </w:rPr>
        <w:fldChar w:fldCharType="begin"/>
      </w:r>
      <w:r w:rsidR="00F7180C" w:rsidRPr="00F23B84">
        <w:rPr>
          <w:rFonts w:ascii="Arial" w:hAnsi="Arial" w:cs="Arial"/>
        </w:rPr>
        <w:instrText xml:space="preserve"> ADDIN ZOTERO_ITEM CSL_CITATION {"citationID":"k5lC83Ir","properties":{"formattedCitation":"(12)","plainCitation":"(12)","noteIndex":0},"citationItems":[{"id":102,"uris":["http://zotero.org/users/local/vnmeHScW/items/XRIG5KL9"],"uri":["http://zotero.org/users/local/vnmeHScW/items/XRIG5KL9"],"itemData":{"id":102,"type":"article-journal","abstract":"BACKGROUND: Unicompartmental knee replacement (UKR) offers substantial benefits compared with total knee replacement (TKR) but is associated with higher revision rates. Data from registries suggest that revision rates for cementless UKR implants are lower than those for cemented implants. It is not known how much of this difference is due to the implant or to other factors, such as a greater proportion of high-volume surgeons using cementless implants. We aimed to determine the effect of surgeon caseload on the revision rate of matched cemented and cementless UKRs.\nMETHODS: From a group of 40,522 Oxford (Zimmer Biomet) UKR implants (30,814 cemented, 9,708 cementless) recorded in the National Joint Registry, 14,814 (7,407 cemented, 7,407 cementless) were propensity-score matched. Surgeons were categorized into 3 groups: low volume (&lt;10 cases/year), medium volume (10 to &lt;30 cases/year), and high volume (≥30 cases/year). The effect of caseload on the relative risk of revision was assessed with use of Cox regression.\nRESULTS: The 10-year survival rates for unmatched cementless and cemented UKR implants were 93.3% (95% confidence interval [CI] = 89.8% to 95.7%) and 89.1% (95% CI = 88.6% to 89.6%), respectively, with the difference being significant (hazard ratio [HR] = 0.59; p &lt; 0.001). Cementless UKR implants had a greater proportion of high-volume surgeon users than cemented implants (30.4% compared with 15.1%). Following matching, the 10-year survival rates were 93.2% (95% CI = 89.7% to 95.6%) and 90.2% (95% CI = 87.5% to 92.3%), which were still significantly different (HR = 0.76; p = 0.002). The 10-year survival rates for matched cementless and cemented UKR implants were 86.8% (95% CI = 73.6% to 93.7%) and 81.8% (95% CI = 73.0% to 88.0%) for low-volume surgeons, 94.3% (95% CI = 92.2% to 95.9%) and 92.5% (95% CI = 89.9% to 94.5%) for medium-volume surgeons, and 97.5% (95% CI = 96.5% to 98.2%) and 94.2% (95% CI = 90.8% to 96.4%) for high-volume surgeons. The revision rate for cementless implants was lower for surgeons in all 3 caseload groups (HR = 0.74, 0.79, 0.80, respectively).\nCONCLUSIONS: Cementless fixation decreased the revision rate by about a quarter, whatever the surgeon caseload. Caseload had a profound effect on implant survival. Low-volume surgeons had a high revision rate with cemented or cementless fixation and therefore should consider either stopping or doing more UKR procedures. High-volume surgeons performing cementless UKR demonstrated a 10-year survival rate of 97.5%, which was similar to that reported in registries for the best-performing TKRs.\nLEVEL OF EVIDENCE: Therapeutic Level III. See Instructions for Authors for a complete description of levels of evidence.","container-title":"The Journal of Bone and Joint Surgery. American Volume","DOI":"10.2106/JBJS.19.01060","ISSN":"1535-1386","issue":"8","journalAbbreviation":"J Bone Joint Surg Am","language":"eng","note":"PMID: 32004190","page":"644-653","source":"PubMed","title":"The Effect of Surgeon Caseload on the Relative Revision Rate of Cemented and Cementless Unicompartmental Knee Replacements: An Analysis from the National Joint Registry for England, Wales, Northern Ireland and the Isle of Man","title-short":"The Effect of Surgeon Caseload on the Relative Revision Rate of Cemented and Cementless Unicompartmental Knee Replacements","volume":"102","author":[{"family":"Mohammad","given":"Hasan R."},{"family":"Matharu","given":"Gulraj S."},{"family":"Judge","given":"Andrew"},{"family":"Murray","given":"David W."}],"issued":{"date-parts":[["2020",4,15]]}}}],"schema":"https://github.com/citation-style-language/schema/raw/master/csl-citation.json"} </w:instrText>
      </w:r>
      <w:r w:rsidR="00F73703" w:rsidRPr="00F23B84">
        <w:rPr>
          <w:rFonts w:ascii="Arial" w:hAnsi="Arial" w:cs="Arial"/>
        </w:rPr>
        <w:fldChar w:fldCharType="separate"/>
      </w:r>
      <w:r w:rsidR="00F7180C" w:rsidRPr="00F23B84">
        <w:rPr>
          <w:rFonts w:ascii="Arial" w:hAnsi="Arial" w:cs="Arial"/>
        </w:rPr>
        <w:t>(12)</w:t>
      </w:r>
      <w:r w:rsidR="00F73703" w:rsidRPr="00F23B84">
        <w:rPr>
          <w:rFonts w:ascii="Arial" w:hAnsi="Arial" w:cs="Arial"/>
        </w:rPr>
        <w:fldChar w:fldCharType="end"/>
      </w:r>
      <w:r w:rsidR="00F73703" w:rsidRPr="00F23B84">
        <w:rPr>
          <w:rFonts w:ascii="Arial" w:hAnsi="Arial" w:cs="Arial"/>
        </w:rPr>
        <w:t xml:space="preserve">.  </w:t>
      </w:r>
      <w:r w:rsidR="00CC1832" w:rsidRPr="00F23B84">
        <w:rPr>
          <w:rFonts w:ascii="Arial" w:hAnsi="Arial" w:cs="Arial"/>
        </w:rPr>
        <w:t>Another non-design centre stud</w:t>
      </w:r>
      <w:r w:rsidR="00345406" w:rsidRPr="00F23B84">
        <w:rPr>
          <w:rFonts w:ascii="Arial" w:hAnsi="Arial" w:cs="Arial"/>
        </w:rPr>
        <w:t>y</w:t>
      </w:r>
      <w:r w:rsidR="00000B09">
        <w:rPr>
          <w:rFonts w:ascii="Arial" w:hAnsi="Arial" w:cs="Arial"/>
        </w:rPr>
        <w:t xml:space="preserve"> using the cementless Oxford</w:t>
      </w:r>
      <w:r w:rsidR="00345406" w:rsidRPr="00F23B84">
        <w:rPr>
          <w:rFonts w:ascii="Arial" w:hAnsi="Arial" w:cs="Arial"/>
        </w:rPr>
        <w:t xml:space="preserve"> </w:t>
      </w:r>
      <w:r w:rsidR="00CC1832" w:rsidRPr="00F23B84">
        <w:rPr>
          <w:rFonts w:ascii="Arial" w:hAnsi="Arial" w:cs="Arial"/>
        </w:rPr>
        <w:t>ha</w:t>
      </w:r>
      <w:r w:rsidR="00345406" w:rsidRPr="00F23B84">
        <w:rPr>
          <w:rFonts w:ascii="Arial" w:hAnsi="Arial" w:cs="Arial"/>
        </w:rPr>
        <w:t>s</w:t>
      </w:r>
      <w:r w:rsidR="00CC1832" w:rsidRPr="00F23B84">
        <w:rPr>
          <w:rFonts w:ascii="Arial" w:hAnsi="Arial" w:cs="Arial"/>
        </w:rPr>
        <w:t xml:space="preserve"> shown good survivorship</w:t>
      </w:r>
      <w:r w:rsidR="00423063">
        <w:rPr>
          <w:rFonts w:ascii="Arial" w:hAnsi="Arial" w:cs="Arial"/>
        </w:rPr>
        <w:t>, with 95.7% survival at five years, compared to our 94.5% at eight year. They also showed</w:t>
      </w:r>
      <w:r w:rsidR="00CC1832" w:rsidRPr="00F23B84">
        <w:rPr>
          <w:rFonts w:ascii="Arial" w:hAnsi="Arial" w:cs="Arial"/>
        </w:rPr>
        <w:t xml:space="preserve"> similar PROM scores to the data in our cohort </w:t>
      </w:r>
      <w:r w:rsidR="00423063">
        <w:rPr>
          <w:rFonts w:ascii="Arial" w:hAnsi="Arial" w:cs="Arial"/>
        </w:rPr>
        <w:t>with a median OKS of 43 at five years vs 42 at 8 years in our cohort</w:t>
      </w:r>
      <w:r w:rsidR="00CC1832" w:rsidRPr="00F23B84">
        <w:rPr>
          <w:rFonts w:ascii="Arial" w:hAnsi="Arial" w:cs="Arial"/>
        </w:rPr>
        <w:t xml:space="preserve"> </w:t>
      </w:r>
      <w:r w:rsidR="00CC1832" w:rsidRPr="00F23B84">
        <w:rPr>
          <w:rFonts w:ascii="Arial" w:hAnsi="Arial" w:cs="Arial"/>
        </w:rPr>
        <w:fldChar w:fldCharType="begin"/>
      </w:r>
      <w:r w:rsidR="00794E68" w:rsidRPr="00F23B84">
        <w:rPr>
          <w:rFonts w:ascii="Arial" w:hAnsi="Arial" w:cs="Arial"/>
        </w:rPr>
        <w:instrText xml:space="preserve"> ADDIN ZOTERO_ITEM CSL_CITATION {"citationID":"IYXgXabT","properties":{"formattedCitation":"(18)","plainCitation":"(18)","noteIndex":0},"citationItems":[{"id":108,"uris":["http://zotero.org/users/local/vnmeHScW/items/99APDXMR"],"uri":["http://zotero.org/users/local/vnmeHScW/items/99APDXMR"],"itemData":{"id":108,"type":"article-journal","abstract":"BACKGROUND: Unicompartmental knee replacement (UKR) is a common treatment option for patients with advanced medial compartment knee arthritis. The Oxford UKR (OUKR) is the most commonly used implant for partial knee replacement. A cementless Oxford prosthesis was introduced in 2004 aiming to reduce the revision rate by potentially reducing radiolucencies as well as errors of cementation associated with the cemented prosthesis. Whilst results from the designer centre have been reported, there is little independent clinical evidence of outcomes. The aim of this study was to evaluate the survival of the cementless OUKR in a single surgeon series at an independent centre and to assess clinical and radiographic outcomes.\nMETHODS: All patients who received a cementless medial OUKR and had a minimum of five-year follow-up were included in the series. The Oxford knee score was used to evaluate patient outcomes at five years postoperatively. Survival rates, complications and evidence of radiolucencies on plain radiographs were also reviewed.\nRESULTS: One hundred and fifty-eight cementless medial OUKR were implanted in 126 patients. Three patients died and four knees were revised. The five-year survival was 97.4% and the median Oxford knee score was 43 at five years postoperatively. No Complete radiolucent lines were observed on radiographs at one year. Four tibial components subsided.\nCONCLUSIONS: This independent series shows that low revision rates and excellent results can be achieved with the use of the cementless OUKR at five years. Early subsidence of the tibial component, which is specific to the cementless prosthesis, warrants further investigation.","container-title":"The Knee","DOI":"10.1016/j.knee.2020.05.009","ISSN":"1873-5800","issue":"4","journalAbbreviation":"Knee","language":"eng","note":"PMID: 32711885","page":"1219-1227","source":"PubMed","title":"Cementless medial Oxford unicompartmental knee replacement. Five-year results from an independent series","volume":"27","author":[{"family":"Hefny","given":"Mamdouh H."},{"family":"Smith","given":"Nick A."},{"family":"Waite","given":"Jon"}],"issued":{"date-parts":[["2020",8]]}}}],"schema":"https://github.com/citation-style-language/schema/raw/master/csl-citation.json"} </w:instrText>
      </w:r>
      <w:r w:rsidR="00CC1832" w:rsidRPr="00F23B84">
        <w:rPr>
          <w:rFonts w:ascii="Arial" w:hAnsi="Arial" w:cs="Arial"/>
        </w:rPr>
        <w:fldChar w:fldCharType="separate"/>
      </w:r>
      <w:r w:rsidR="00794E68" w:rsidRPr="00F23B84">
        <w:rPr>
          <w:rFonts w:ascii="Arial" w:hAnsi="Arial" w:cs="Arial"/>
        </w:rPr>
        <w:t>(18)</w:t>
      </w:r>
      <w:r w:rsidR="00CC1832" w:rsidRPr="00F23B84">
        <w:rPr>
          <w:rFonts w:ascii="Arial" w:hAnsi="Arial" w:cs="Arial"/>
        </w:rPr>
        <w:fldChar w:fldCharType="end"/>
      </w:r>
      <w:r w:rsidR="00CC1832" w:rsidRPr="00F23B84">
        <w:rPr>
          <w:rFonts w:ascii="Arial" w:hAnsi="Arial" w:cs="Arial"/>
        </w:rPr>
        <w:t>.</w:t>
      </w:r>
      <w:r w:rsidR="00BA32D4" w:rsidRPr="00F23B84">
        <w:rPr>
          <w:rFonts w:ascii="Arial" w:hAnsi="Arial" w:cs="Arial"/>
        </w:rPr>
        <w:t xml:space="preserve"> </w:t>
      </w:r>
    </w:p>
    <w:p w14:paraId="3FFD8567" w14:textId="7BF3A9FD" w:rsidR="00CC1832" w:rsidRPr="00F23B84" w:rsidRDefault="00CC1832" w:rsidP="00C11B7C">
      <w:pPr>
        <w:rPr>
          <w:rFonts w:ascii="Arial" w:hAnsi="Arial" w:cs="Arial"/>
        </w:rPr>
      </w:pPr>
    </w:p>
    <w:p w14:paraId="4DCD4C7D" w14:textId="1B8C2D6C" w:rsidR="00CC1832" w:rsidRPr="00F23B84" w:rsidRDefault="00CC1832" w:rsidP="00C11B7C">
      <w:pPr>
        <w:rPr>
          <w:rFonts w:ascii="Arial" w:hAnsi="Arial" w:cs="Arial"/>
        </w:rPr>
      </w:pPr>
      <w:r w:rsidRPr="00F23B84">
        <w:rPr>
          <w:rFonts w:ascii="Arial" w:hAnsi="Arial" w:cs="Arial"/>
        </w:rPr>
        <w:t xml:space="preserve">The </w:t>
      </w:r>
      <w:r w:rsidRPr="006568CB">
        <w:rPr>
          <w:rFonts w:ascii="Arial" w:hAnsi="Arial" w:cs="Arial"/>
        </w:rPr>
        <w:t>design</w:t>
      </w:r>
      <w:r w:rsidRPr="00F23B84">
        <w:rPr>
          <w:rFonts w:ascii="Arial" w:hAnsi="Arial" w:cs="Arial"/>
        </w:rPr>
        <w:t xml:space="preserve"> centre in Oxford have published the results of their first 1000 cementless </w:t>
      </w:r>
      <w:r w:rsidR="00345406" w:rsidRPr="00F23B84">
        <w:rPr>
          <w:rFonts w:ascii="Arial" w:hAnsi="Arial" w:cs="Arial"/>
        </w:rPr>
        <w:t>O</w:t>
      </w:r>
      <w:r w:rsidRPr="00F23B84">
        <w:rPr>
          <w:rFonts w:ascii="Arial" w:hAnsi="Arial" w:cs="Arial"/>
        </w:rPr>
        <w:t xml:space="preserve">xfords. They have shown excellent survivorship at 96.6% at ten years. They also </w:t>
      </w:r>
      <w:r w:rsidR="007831C9">
        <w:rPr>
          <w:rFonts w:ascii="Arial" w:hAnsi="Arial" w:cs="Arial"/>
        </w:rPr>
        <w:t>investigated</w:t>
      </w:r>
      <w:r w:rsidRPr="00F23B84">
        <w:rPr>
          <w:rFonts w:ascii="Arial" w:hAnsi="Arial" w:cs="Arial"/>
        </w:rPr>
        <w:t xml:space="preserve"> the radiographic features in the cementless </w:t>
      </w:r>
      <w:r w:rsidR="00345406" w:rsidRPr="00F23B84">
        <w:rPr>
          <w:rFonts w:ascii="Arial" w:hAnsi="Arial" w:cs="Arial"/>
        </w:rPr>
        <w:t>O</w:t>
      </w:r>
      <w:r w:rsidRPr="00F23B84">
        <w:rPr>
          <w:rFonts w:ascii="Arial" w:hAnsi="Arial" w:cs="Arial"/>
        </w:rPr>
        <w:t>xfords, finding that the frequency of radiolucent lines under the tibial component was less of a feature than those in the cemented group</w:t>
      </w:r>
      <w:r w:rsidR="005071A3" w:rsidRPr="00F23B84">
        <w:rPr>
          <w:rFonts w:ascii="Arial" w:hAnsi="Arial" w:cs="Arial"/>
        </w:rPr>
        <w:t xml:space="preserve"> </w:t>
      </w:r>
      <w:r w:rsidR="005071A3" w:rsidRPr="00F23B84">
        <w:rPr>
          <w:rFonts w:ascii="Arial" w:hAnsi="Arial" w:cs="Arial"/>
        </w:rPr>
        <w:fldChar w:fldCharType="begin"/>
      </w:r>
      <w:r w:rsidR="00794E68" w:rsidRPr="00F23B84">
        <w:rPr>
          <w:rFonts w:ascii="Arial" w:hAnsi="Arial" w:cs="Arial"/>
        </w:rPr>
        <w:instrText xml:space="preserve"> ADDIN ZOTERO_ITEM CSL_CITATION {"citationID":"KVfI1q37","properties":{"formattedCitation":"(19)","plainCitation":"(19)","noteIndex":0},"citationItems":[{"id":110,"uris":["http://zotero.org/users/local/vnmeHScW/items/XZ9BEN62"],"uri":["http://zotero.org/users/local/vnmeHScW/items/XZ9BEN62"],"itemData":{"id":110,"type":"article-journal","abstract":"PURPOSE: Unicompartmental knee replacement (UKR) has substantial benefits over total knee replacement (TKR) but has higher revision rates. The cementless Oxford UKR was introduced to address this but there are concerns about fixation and tibial plateau fractures. The first long-term study of the device with clinical and radiographic outcomes is reported.\nMETHODS: The first 1000 medial cementless Oxford UKR were prospectively identified and followed up by independent physiotherapists. Survival was calculated using the endpoints reoperation, revision, revision to TKR, major revision requiring revision TKR components and patient mortality. The Oxford Knee Score (OKS), Tegner Activity Score and American Knee Society Score (AKSS) were recorded and radiographs analysed.\nRESULTS: The ten year survival was 96.6% (CI 94.8-97.8), 97.5% (CI 95.7-98.5), 98.9% (CI 97.7-99.4) and 99.6% (CI 98.8-99.9) using reoperation, revision, revision to TKR and major revision as the endpoint, respectively. Commonest causes for revision were bearing dislocation (n = 7, 0.7%), disease progression (n = 4, 0.4%) and pain (n = 2, 0.2%). There was one lateral tibial plateau fracture and one femoral component loosening. At 10 years, the mean OKS was 41.2 (SD 9.8), Tegner 2.8 (SD 1.3), AKSS-O 89.1 (SD 13.0) and AKSS-F 80.4 (SD 14.6). There were no pathological radiolucencies or complete radiolucent lines. There were no implant-related deaths.\nCONCLUSIONS: The cementless Oxford UKR is a safe procedure with excellent long-term clinical results. Our results suggest that reliable fixation was achieved with only one (0.1%) revision for loosening (femoral), no radiographic evidence of loosening in the remaining cases and no fractures related to implantation.\nLEVEL OF EVIDENCE: III.","container-title":"Knee surgery, sports traumatology, arthroscopy: official journal of the ESSKA","DOI":"10.1007/s00167-019-05544-w","ISSN":"1433-7347","issue":"5","journalAbbreviation":"Knee Surg Sports Traumatol Arthrosc","language":"eng","note":"PMID: 31209540\nPMCID: PMC7176592","page":"1479-1487","source":"PubMed","title":"Ten-year clinical and radiographic results of 1000 cementless Oxford unicompartmental knee replacements","volume":"28","author":[{"family":"Mohammad","given":"Hasan R."},{"family":"Kennedy","given":"James A."},{"family":"Mellon","given":"Stephen J."},{"family":"Judge","given":"Andrew"},{"family":"Dodd","given":"Christopher A."},{"family":"Murray","given":"David W."}],"issued":{"date-parts":[["2020",5]]}}}],"schema":"https://github.com/citation-style-language/schema/raw/master/csl-citation.json"} </w:instrText>
      </w:r>
      <w:r w:rsidR="005071A3" w:rsidRPr="00F23B84">
        <w:rPr>
          <w:rFonts w:ascii="Arial" w:hAnsi="Arial" w:cs="Arial"/>
        </w:rPr>
        <w:fldChar w:fldCharType="separate"/>
      </w:r>
      <w:r w:rsidR="00794E68" w:rsidRPr="00F23B84">
        <w:rPr>
          <w:rFonts w:ascii="Arial" w:hAnsi="Arial" w:cs="Arial"/>
        </w:rPr>
        <w:t>(19)</w:t>
      </w:r>
      <w:r w:rsidR="005071A3" w:rsidRPr="00F23B84">
        <w:rPr>
          <w:rFonts w:ascii="Arial" w:hAnsi="Arial" w:cs="Arial"/>
        </w:rPr>
        <w:fldChar w:fldCharType="end"/>
      </w:r>
      <w:r w:rsidR="00000B09">
        <w:rPr>
          <w:rFonts w:ascii="Arial" w:hAnsi="Arial" w:cs="Arial"/>
        </w:rPr>
        <w:t xml:space="preserve">. This evidence supports the introduction of the cementless implant to address concerns over aseptic loosening. </w:t>
      </w:r>
    </w:p>
    <w:p w14:paraId="1D95550F" w14:textId="5D9A34C9" w:rsidR="00390FC6" w:rsidRPr="00F23B84" w:rsidRDefault="00390FC6" w:rsidP="00C11B7C">
      <w:pPr>
        <w:rPr>
          <w:rFonts w:ascii="Arial" w:hAnsi="Arial" w:cs="Arial"/>
        </w:rPr>
      </w:pPr>
    </w:p>
    <w:p w14:paraId="224605F6" w14:textId="6CD8E2A7" w:rsidR="00EF6E53" w:rsidRPr="00F23B84" w:rsidRDefault="00EF6E53" w:rsidP="00C11B7C">
      <w:pPr>
        <w:rPr>
          <w:rFonts w:ascii="Arial" w:hAnsi="Arial" w:cs="Arial"/>
        </w:rPr>
      </w:pPr>
      <w:r w:rsidRPr="00F23B84">
        <w:rPr>
          <w:rFonts w:ascii="Arial" w:hAnsi="Arial" w:cs="Arial"/>
        </w:rPr>
        <w:t>Those patients undergoing re</w:t>
      </w:r>
      <w:r w:rsidR="00661576">
        <w:rPr>
          <w:rFonts w:ascii="Arial" w:hAnsi="Arial" w:cs="Arial"/>
        </w:rPr>
        <w:t>vision</w:t>
      </w:r>
      <w:r w:rsidRPr="00F23B84">
        <w:rPr>
          <w:rFonts w:ascii="Arial" w:hAnsi="Arial" w:cs="Arial"/>
        </w:rPr>
        <w:t xml:space="preserve"> in our series were more likely to end up with stemmed </w:t>
      </w:r>
      <w:r w:rsidR="003F6124" w:rsidRPr="00F23B84">
        <w:rPr>
          <w:rFonts w:ascii="Arial" w:hAnsi="Arial" w:cs="Arial"/>
        </w:rPr>
        <w:t>implants</w:t>
      </w:r>
      <w:r w:rsidR="00661576">
        <w:rPr>
          <w:rFonts w:ascii="Arial" w:hAnsi="Arial" w:cs="Arial"/>
        </w:rPr>
        <w:t xml:space="preserve"> than a primary TKR design</w:t>
      </w:r>
      <w:r w:rsidR="003F6124" w:rsidRPr="00F23B84">
        <w:rPr>
          <w:rFonts w:ascii="Arial" w:hAnsi="Arial" w:cs="Arial"/>
        </w:rPr>
        <w:t xml:space="preserve">. </w:t>
      </w:r>
      <w:r w:rsidRPr="00F23B84">
        <w:rPr>
          <w:rFonts w:ascii="Arial" w:hAnsi="Arial" w:cs="Arial"/>
        </w:rPr>
        <w:t xml:space="preserve">This differs from a previous study looking at revision from UKR to TKR. Jonas et al. found in a cohort of 45 patients undergoing revision from UKR to TKR only a third of patients required tibial stems. They also found no statistical difference in </w:t>
      </w:r>
      <w:r w:rsidR="00345406" w:rsidRPr="00F23B84">
        <w:rPr>
          <w:rFonts w:ascii="Arial" w:hAnsi="Arial" w:cs="Arial"/>
        </w:rPr>
        <w:t>O</w:t>
      </w:r>
      <w:r w:rsidRPr="00F23B84">
        <w:rPr>
          <w:rFonts w:ascii="Arial" w:hAnsi="Arial" w:cs="Arial"/>
        </w:rPr>
        <w:t xml:space="preserve">xford </w:t>
      </w:r>
      <w:r w:rsidR="00345406" w:rsidRPr="00F23B84">
        <w:rPr>
          <w:rFonts w:ascii="Arial" w:hAnsi="Arial" w:cs="Arial"/>
        </w:rPr>
        <w:t>K</w:t>
      </w:r>
      <w:r w:rsidRPr="00F23B84">
        <w:rPr>
          <w:rFonts w:ascii="Arial" w:hAnsi="Arial" w:cs="Arial"/>
        </w:rPr>
        <w:t xml:space="preserve">nee </w:t>
      </w:r>
      <w:r w:rsidR="00345406" w:rsidRPr="00F23B84">
        <w:rPr>
          <w:rFonts w:ascii="Arial" w:hAnsi="Arial" w:cs="Arial"/>
        </w:rPr>
        <w:t>S</w:t>
      </w:r>
      <w:r w:rsidRPr="00F23B84">
        <w:rPr>
          <w:rFonts w:ascii="Arial" w:hAnsi="Arial" w:cs="Arial"/>
        </w:rPr>
        <w:t>cores compared to an age, BMI and arthroplasty life matched cohort of primary TKRs</w:t>
      </w:r>
      <w:r w:rsidR="007541F1" w:rsidRPr="00F23B84">
        <w:rPr>
          <w:rFonts w:ascii="Arial" w:hAnsi="Arial" w:cs="Arial"/>
        </w:rPr>
        <w:t xml:space="preserve"> </w:t>
      </w:r>
      <w:r w:rsidR="007541F1" w:rsidRPr="00F23B84">
        <w:rPr>
          <w:rFonts w:ascii="Arial" w:hAnsi="Arial" w:cs="Arial"/>
        </w:rPr>
        <w:fldChar w:fldCharType="begin"/>
      </w:r>
      <w:r w:rsidR="00794E68" w:rsidRPr="00F23B84">
        <w:rPr>
          <w:rFonts w:ascii="Arial" w:hAnsi="Arial" w:cs="Arial"/>
        </w:rPr>
        <w:instrText xml:space="preserve"> ADDIN ZOTERO_ITEM CSL_CITATION {"citationID":"uRW5z6GQ","properties":{"formattedCitation":"(20)","plainCitation":"(20)","noteIndex":0},"citationItems":[{"id":113,"uris":["http://zotero.org/users/local/vnmeHScW/items/VKYM89Z8"],"uri":["http://zotero.org/users/local/vnmeHScW/items/VKYM89Z8"],"itemData":{"id":113,"type":"article-journal","abstract":"AIM: To compare outcomes of revision uni-compartmental knee replacement (UKR) with a defined revision cause with a matched group of primary total knee replacements (TKR).\nBACKGROUND: UKR accounts for 8.7% of knee arthroplasty in the UK each year. It has better functional outcome than total knee replacement for isolated single compartment arthritis but can result in complex surgery when revision is required. This is feared to result in poorer patient reported outcomes when compared to primary TKR. We aim to compare the clinical results of revised UKR with primary TKR, taking into account the survival length of the UKR.\nPATIENTS AND METHODS: Forty-five patients (27 female) were retrospectively identified from our arthroplasty database that had undergone revision from UKR to TKR (1999-2014) and had a minimum of two years of follow-up post-revision. These patients were then matched with regards to age at primary procedure, sex, BMI and total arthroplasty life (UKR + Revision TKR) up to point of follow-up.\nRESULTS: In the UKR revision group (mean arthroplasty life 8.6 years) the mean Oxford knee score (OKS) was 31.8. In the primary knee group (mean arthroplasty life 8.4 years) the mean OKS was 32.8. This difference was not statistically significant. Fifteen out of 45 patients undergoing revision surgery required stemmed components.\nCONCLUSION: UKR provides comparable clinical outcome even after revision surgery to TKR as primary TKRs and should be considered in all patients meeting the selection criteria. Revision is complex and revision components should be available.","container-title":"The Knee","DOI":"10.1016/j.knee.2018.12.007","ISSN":"1873-5800","issue":"2","journalAbbreviation":"Knee","language":"eng","note":"PMID: 30792107","page":"400-404","source":"PubMed","title":"Outcome of revision UKR to TKR when compared to a matched group of TKR of same total arthroplasty lifespan","volume":"26","author":[{"family":"Jonas","given":"Sam C."},{"family":"Jermin","given":"Paul"},{"family":"Howells","given":"Nick"},{"family":"Porteous","given":"Andrew"},{"family":"Murray","given":"James"},{"family":"Robinson","given":"James"}],"issued":{"date-parts":[["2019",3]]}}}],"schema":"https://github.com/citation-style-language/schema/raw/master/csl-citation.json"} </w:instrText>
      </w:r>
      <w:r w:rsidR="007541F1" w:rsidRPr="00F23B84">
        <w:rPr>
          <w:rFonts w:ascii="Arial" w:hAnsi="Arial" w:cs="Arial"/>
        </w:rPr>
        <w:fldChar w:fldCharType="separate"/>
      </w:r>
      <w:r w:rsidR="00794E68" w:rsidRPr="00F23B84">
        <w:rPr>
          <w:rFonts w:ascii="Arial" w:hAnsi="Arial" w:cs="Arial"/>
        </w:rPr>
        <w:t>(20)</w:t>
      </w:r>
      <w:r w:rsidR="007541F1" w:rsidRPr="00F23B84">
        <w:rPr>
          <w:rFonts w:ascii="Arial" w:hAnsi="Arial" w:cs="Arial"/>
        </w:rPr>
        <w:fldChar w:fldCharType="end"/>
      </w:r>
      <w:r w:rsidRPr="00F23B84">
        <w:rPr>
          <w:rFonts w:ascii="Arial" w:hAnsi="Arial" w:cs="Arial"/>
        </w:rPr>
        <w:t xml:space="preserve">. The reason for the difference in rates of stems required in our cohorts is unclear. It may represent a difference in implants used or </w:t>
      </w:r>
      <w:r w:rsidR="00E2337E" w:rsidRPr="00F23B84">
        <w:rPr>
          <w:rFonts w:ascii="Arial" w:hAnsi="Arial" w:cs="Arial"/>
        </w:rPr>
        <w:t>modes of failure</w:t>
      </w:r>
      <w:r w:rsidR="00B37804">
        <w:rPr>
          <w:rFonts w:ascii="Arial" w:hAnsi="Arial" w:cs="Arial"/>
        </w:rPr>
        <w:t xml:space="preserve"> in the cementless UKRs</w:t>
      </w:r>
      <w:r w:rsidR="00E2337E" w:rsidRPr="00F23B84">
        <w:rPr>
          <w:rFonts w:ascii="Arial" w:hAnsi="Arial" w:cs="Arial"/>
        </w:rPr>
        <w:t xml:space="preserve">. </w:t>
      </w:r>
    </w:p>
    <w:p w14:paraId="31A31A51" w14:textId="2A878870" w:rsidR="00EF6E53" w:rsidRPr="00F23B84" w:rsidRDefault="00EF6E53" w:rsidP="00C11B7C">
      <w:pPr>
        <w:rPr>
          <w:rFonts w:ascii="Arial" w:hAnsi="Arial" w:cs="Arial"/>
        </w:rPr>
      </w:pPr>
    </w:p>
    <w:p w14:paraId="103C4E7C" w14:textId="77777777" w:rsidR="000651E5" w:rsidRPr="00F23B84" w:rsidRDefault="000651E5" w:rsidP="00C11B7C">
      <w:pPr>
        <w:rPr>
          <w:rFonts w:ascii="Arial" w:hAnsi="Arial" w:cs="Arial"/>
        </w:rPr>
      </w:pPr>
    </w:p>
    <w:p w14:paraId="5E5E5B84" w14:textId="1DACF272" w:rsidR="00345406" w:rsidRDefault="007C1964" w:rsidP="00C11B7C">
      <w:pPr>
        <w:rPr>
          <w:rFonts w:ascii="Arial" w:hAnsi="Arial" w:cs="Arial"/>
          <w:b/>
          <w:bCs/>
        </w:rPr>
      </w:pPr>
      <w:r w:rsidRPr="00F23B84">
        <w:rPr>
          <w:rFonts w:ascii="Arial" w:hAnsi="Arial" w:cs="Arial"/>
          <w:b/>
          <w:bCs/>
        </w:rPr>
        <w:t xml:space="preserve">Conclusion </w:t>
      </w:r>
    </w:p>
    <w:p w14:paraId="0EDDCBB2" w14:textId="77777777" w:rsidR="00E55E4C" w:rsidRPr="00F23B84" w:rsidRDefault="00E55E4C" w:rsidP="00C11B7C">
      <w:pPr>
        <w:rPr>
          <w:rFonts w:ascii="Arial" w:hAnsi="Arial" w:cs="Arial"/>
          <w:b/>
          <w:bCs/>
        </w:rPr>
      </w:pPr>
    </w:p>
    <w:p w14:paraId="02D2E6E3" w14:textId="4E4A9303" w:rsidR="0078163B" w:rsidRPr="00F23B84" w:rsidRDefault="00345406" w:rsidP="00C11B7C">
      <w:pPr>
        <w:rPr>
          <w:rFonts w:ascii="Arial" w:hAnsi="Arial" w:cs="Arial"/>
          <w:b/>
          <w:bCs/>
        </w:rPr>
      </w:pPr>
      <w:r w:rsidRPr="00F23B84">
        <w:rPr>
          <w:rFonts w:ascii="Arial" w:hAnsi="Arial" w:cs="Arial"/>
        </w:rPr>
        <w:t>This</w:t>
      </w:r>
      <w:r w:rsidRPr="00F23B84">
        <w:rPr>
          <w:rFonts w:ascii="Arial" w:hAnsi="Arial" w:cs="Arial"/>
          <w:b/>
          <w:bCs/>
        </w:rPr>
        <w:t xml:space="preserve"> </w:t>
      </w:r>
      <w:r w:rsidRPr="00F23B84">
        <w:rPr>
          <w:rFonts w:ascii="Arial" w:hAnsi="Arial" w:cs="Arial"/>
        </w:rPr>
        <w:t>s</w:t>
      </w:r>
      <w:r w:rsidR="0078163B" w:rsidRPr="00F23B84">
        <w:rPr>
          <w:rFonts w:ascii="Arial" w:hAnsi="Arial" w:cs="Arial"/>
        </w:rPr>
        <w:t xml:space="preserve">tudy gives further evidence from a non-design centre that the uncemented </w:t>
      </w:r>
      <w:r w:rsidR="001C7CD9" w:rsidRPr="00F23B84">
        <w:rPr>
          <w:rFonts w:ascii="Arial" w:hAnsi="Arial" w:cs="Arial"/>
        </w:rPr>
        <w:t xml:space="preserve">medial </w:t>
      </w:r>
      <w:r w:rsidR="0078163B" w:rsidRPr="00F23B84">
        <w:rPr>
          <w:rFonts w:ascii="Arial" w:hAnsi="Arial" w:cs="Arial"/>
        </w:rPr>
        <w:t>mobile bearing Oxford UKR</w:t>
      </w:r>
      <w:r w:rsidR="00EB07BD" w:rsidRPr="00F23B84">
        <w:rPr>
          <w:rFonts w:ascii="Arial" w:hAnsi="Arial" w:cs="Arial"/>
        </w:rPr>
        <w:t xml:space="preserve"> produce</w:t>
      </w:r>
      <w:r w:rsidR="000A3DB5" w:rsidRPr="00F23B84">
        <w:rPr>
          <w:rFonts w:ascii="Arial" w:hAnsi="Arial" w:cs="Arial"/>
        </w:rPr>
        <w:t>s</w:t>
      </w:r>
      <w:r w:rsidR="005071A3" w:rsidRPr="00F23B84">
        <w:rPr>
          <w:rFonts w:ascii="Arial" w:hAnsi="Arial" w:cs="Arial"/>
        </w:rPr>
        <w:t xml:space="preserve"> both good survivorship and clinical outcomes</w:t>
      </w:r>
      <w:r w:rsidR="00675CAF" w:rsidRPr="00F23B84">
        <w:rPr>
          <w:rFonts w:ascii="Arial" w:hAnsi="Arial" w:cs="Arial"/>
        </w:rPr>
        <w:t xml:space="preserve"> in the medium term following </w:t>
      </w:r>
      <w:r w:rsidR="00922FF9" w:rsidRPr="00F23B84">
        <w:rPr>
          <w:rFonts w:ascii="Arial" w:hAnsi="Arial" w:cs="Arial"/>
        </w:rPr>
        <w:t>surgery</w:t>
      </w:r>
      <w:r w:rsidR="005071A3" w:rsidRPr="00F23B84">
        <w:rPr>
          <w:rFonts w:ascii="Arial" w:hAnsi="Arial" w:cs="Arial"/>
        </w:rPr>
        <w:t xml:space="preserve">. </w:t>
      </w:r>
      <w:r w:rsidR="00922FF9" w:rsidRPr="00F23B84">
        <w:rPr>
          <w:rFonts w:ascii="Arial" w:hAnsi="Arial" w:cs="Arial"/>
        </w:rPr>
        <w:t>There</w:t>
      </w:r>
      <w:r w:rsidR="0072277C" w:rsidRPr="00F23B84">
        <w:rPr>
          <w:rFonts w:ascii="Arial" w:hAnsi="Arial" w:cs="Arial"/>
        </w:rPr>
        <w:t xml:space="preserve"> </w:t>
      </w:r>
      <w:r w:rsidR="001B59E3" w:rsidRPr="00F23B84">
        <w:rPr>
          <w:rFonts w:ascii="Arial" w:hAnsi="Arial" w:cs="Arial"/>
        </w:rPr>
        <w:t>may be</w:t>
      </w:r>
      <w:r w:rsidR="0072277C" w:rsidRPr="00F23B84">
        <w:rPr>
          <w:rFonts w:ascii="Arial" w:hAnsi="Arial" w:cs="Arial"/>
        </w:rPr>
        <w:t xml:space="preserve"> a learning curve associated with the use of </w:t>
      </w:r>
      <w:r w:rsidR="000A3DB5" w:rsidRPr="00F23B84">
        <w:rPr>
          <w:rFonts w:ascii="Arial" w:hAnsi="Arial" w:cs="Arial"/>
        </w:rPr>
        <w:t>the</w:t>
      </w:r>
      <w:r w:rsidR="0072277C" w:rsidRPr="00F23B84">
        <w:rPr>
          <w:rFonts w:ascii="Arial" w:hAnsi="Arial" w:cs="Arial"/>
        </w:rPr>
        <w:t xml:space="preserve"> new implant</w:t>
      </w:r>
      <w:r w:rsidR="000A3DB5" w:rsidRPr="00F23B84">
        <w:rPr>
          <w:rFonts w:ascii="Arial" w:hAnsi="Arial" w:cs="Arial"/>
        </w:rPr>
        <w:t xml:space="preserve"> and tibial component positioning appears to be a key step in avoiding early revision.</w:t>
      </w:r>
    </w:p>
    <w:p w14:paraId="01001968" w14:textId="7BDB6DC4" w:rsidR="0026409D" w:rsidRPr="00F23B84" w:rsidRDefault="0026409D" w:rsidP="00C11B7C">
      <w:pPr>
        <w:rPr>
          <w:rFonts w:ascii="Arial" w:hAnsi="Arial" w:cs="Arial"/>
        </w:rPr>
      </w:pPr>
    </w:p>
    <w:p w14:paraId="2C0EE0E1" w14:textId="5F208B53" w:rsidR="0026409D" w:rsidRPr="00F23B84" w:rsidRDefault="0026409D" w:rsidP="00C11B7C">
      <w:pPr>
        <w:rPr>
          <w:rFonts w:ascii="Arial" w:hAnsi="Arial" w:cs="Arial"/>
        </w:rPr>
      </w:pPr>
      <w:r w:rsidRPr="00F23B84">
        <w:rPr>
          <w:rFonts w:ascii="Arial" w:hAnsi="Arial" w:cs="Arial"/>
          <w:b/>
          <w:bCs/>
        </w:rPr>
        <w:t>References</w:t>
      </w:r>
      <w:r w:rsidRPr="00F23B84">
        <w:rPr>
          <w:rFonts w:ascii="Arial" w:hAnsi="Arial" w:cs="Arial"/>
        </w:rPr>
        <w:t>:</w:t>
      </w:r>
    </w:p>
    <w:p w14:paraId="630A0641" w14:textId="129EDCD5" w:rsidR="003A7A51" w:rsidRPr="00F23B84" w:rsidRDefault="003A7A51" w:rsidP="00C11B7C">
      <w:pPr>
        <w:rPr>
          <w:rFonts w:ascii="Arial" w:hAnsi="Arial" w:cs="Arial"/>
        </w:rPr>
      </w:pPr>
    </w:p>
    <w:p w14:paraId="78D7C572" w14:textId="77777777" w:rsidR="00794E68" w:rsidRPr="00F23B84" w:rsidRDefault="003D0C31" w:rsidP="00794E68">
      <w:pPr>
        <w:pStyle w:val="Bibliography"/>
        <w:rPr>
          <w:rFonts w:ascii="Arial" w:hAnsi="Arial" w:cs="Arial"/>
        </w:rPr>
      </w:pPr>
      <w:r w:rsidRPr="00F23B84">
        <w:rPr>
          <w:rFonts w:ascii="Arial" w:hAnsi="Arial" w:cs="Arial"/>
        </w:rPr>
        <w:t xml:space="preserve"> </w:t>
      </w:r>
      <w:r w:rsidR="00670C29" w:rsidRPr="00F23B84">
        <w:rPr>
          <w:rFonts w:ascii="Arial" w:hAnsi="Arial" w:cs="Arial"/>
        </w:rPr>
        <w:fldChar w:fldCharType="begin"/>
      </w:r>
      <w:r w:rsidR="00BA32D4" w:rsidRPr="00F23B84">
        <w:rPr>
          <w:rFonts w:ascii="Arial" w:hAnsi="Arial" w:cs="Arial"/>
        </w:rPr>
        <w:instrText xml:space="preserve"> ADDIN ZOTERO_BIBL {"uncited":[],"omitted":[],"custom":[]} CSL_BIBLIOGRAPHY </w:instrText>
      </w:r>
      <w:r w:rsidR="00670C29" w:rsidRPr="00F23B84">
        <w:rPr>
          <w:rFonts w:ascii="Arial" w:hAnsi="Arial" w:cs="Arial"/>
        </w:rPr>
        <w:fldChar w:fldCharType="separate"/>
      </w:r>
      <w:r w:rsidR="00794E68" w:rsidRPr="00F23B84">
        <w:rPr>
          <w:rFonts w:ascii="Arial" w:hAnsi="Arial" w:cs="Arial"/>
        </w:rPr>
        <w:t xml:space="preserve">1. </w:t>
      </w:r>
      <w:r w:rsidR="00794E68" w:rsidRPr="00F23B84">
        <w:rPr>
          <w:rFonts w:ascii="Arial" w:hAnsi="Arial" w:cs="Arial"/>
        </w:rPr>
        <w:tab/>
        <w:t xml:space="preserve">Beard DJ, Davies LJ, Cook JA, MacLennan G, Price A, Kent S, et al. The clinical and cost-effectiveness of total versus partial knee replacement in patients with medial compartment osteoarthritis (TOPKAT): 5-year outcomes of a randomised controlled trial. Lancet Lond Engl. 2019 31;394(10200):746–56. </w:t>
      </w:r>
    </w:p>
    <w:p w14:paraId="08BEA3B3" w14:textId="77777777" w:rsidR="00794E68" w:rsidRPr="00F23B84" w:rsidRDefault="00794E68" w:rsidP="00794E68">
      <w:pPr>
        <w:pStyle w:val="Bibliography"/>
        <w:rPr>
          <w:rFonts w:ascii="Arial" w:hAnsi="Arial" w:cs="Arial"/>
        </w:rPr>
      </w:pPr>
      <w:r w:rsidRPr="00F23B84">
        <w:rPr>
          <w:rFonts w:ascii="Arial" w:hAnsi="Arial" w:cs="Arial"/>
        </w:rPr>
        <w:t xml:space="preserve">2. </w:t>
      </w:r>
      <w:r w:rsidRPr="00F23B84">
        <w:rPr>
          <w:rFonts w:ascii="Arial" w:hAnsi="Arial" w:cs="Arial"/>
        </w:rPr>
        <w:tab/>
        <w:t xml:space="preserve">Wilson HA, Middleton R, Abram SGF, Smith S, Alvand A, Jackson WF, et al. Patient relevant outcomes of unicompartmental versus total knee replacement: systematic review and meta-analysis. BMJ. 2019 Feb 21;364:l352. </w:t>
      </w:r>
    </w:p>
    <w:p w14:paraId="149AB21E" w14:textId="77777777" w:rsidR="00794E68" w:rsidRPr="00F23B84" w:rsidRDefault="00794E68" w:rsidP="00794E68">
      <w:pPr>
        <w:pStyle w:val="Bibliography"/>
        <w:rPr>
          <w:rFonts w:ascii="Arial" w:hAnsi="Arial" w:cs="Arial"/>
        </w:rPr>
      </w:pPr>
      <w:r w:rsidRPr="00F23B84">
        <w:rPr>
          <w:rFonts w:ascii="Arial" w:hAnsi="Arial" w:cs="Arial"/>
        </w:rPr>
        <w:t xml:space="preserve">3. </w:t>
      </w:r>
      <w:r w:rsidRPr="00F23B84">
        <w:rPr>
          <w:rFonts w:ascii="Arial" w:hAnsi="Arial" w:cs="Arial"/>
        </w:rPr>
        <w:tab/>
        <w:t xml:space="preserve">Brown NM, Sheth NP, Davis K, Berend ME, Lombardi AV, Berend KR, et al. Total knee arthroplasty has higher postoperative morbidity than unicompartmental knee arthroplasty: a multicenter analysis. J Arthroplasty. 2012 Sep;27(8 Suppl):86–90. </w:t>
      </w:r>
    </w:p>
    <w:p w14:paraId="0DAFE332" w14:textId="77777777" w:rsidR="00794E68" w:rsidRPr="00F23B84" w:rsidRDefault="00794E68" w:rsidP="00794E68">
      <w:pPr>
        <w:pStyle w:val="Bibliography"/>
        <w:rPr>
          <w:rFonts w:ascii="Arial" w:hAnsi="Arial" w:cs="Arial"/>
        </w:rPr>
      </w:pPr>
      <w:r w:rsidRPr="00F23B84">
        <w:rPr>
          <w:rFonts w:ascii="Arial" w:hAnsi="Arial" w:cs="Arial"/>
        </w:rPr>
        <w:t xml:space="preserve">4. </w:t>
      </w:r>
      <w:r w:rsidRPr="00F23B84">
        <w:rPr>
          <w:rFonts w:ascii="Arial" w:hAnsi="Arial" w:cs="Arial"/>
        </w:rPr>
        <w:tab/>
        <w:t xml:space="preserve">Liddle AD, Judge A, Pandit H, Murray DW. Adverse outcomes after total and unicompartmental knee replacement in 101,330 matched patients: a study of data from the National Joint Registry for England and Wales. Lancet Lond Engl. 2014 Oct 18;384(9952):1437–45. </w:t>
      </w:r>
    </w:p>
    <w:p w14:paraId="2FABB4C8" w14:textId="77777777" w:rsidR="00794E68" w:rsidRPr="00F23B84" w:rsidRDefault="00794E68" w:rsidP="00794E68">
      <w:pPr>
        <w:pStyle w:val="Bibliography"/>
        <w:rPr>
          <w:rFonts w:ascii="Arial" w:hAnsi="Arial" w:cs="Arial"/>
        </w:rPr>
      </w:pPr>
      <w:r w:rsidRPr="00F23B84">
        <w:rPr>
          <w:rFonts w:ascii="Arial" w:hAnsi="Arial" w:cs="Arial"/>
        </w:rPr>
        <w:t xml:space="preserve">5. </w:t>
      </w:r>
      <w:r w:rsidRPr="00F23B84">
        <w:rPr>
          <w:rFonts w:ascii="Arial" w:hAnsi="Arial" w:cs="Arial"/>
        </w:rPr>
        <w:tab/>
        <w:t xml:space="preserve">National Joint Registry Annual report 2020, www.njrcentre.org.uk (accessed January 2021). </w:t>
      </w:r>
    </w:p>
    <w:p w14:paraId="6943184C" w14:textId="77777777" w:rsidR="00794E68" w:rsidRPr="00F23B84" w:rsidRDefault="00794E68" w:rsidP="00794E68">
      <w:pPr>
        <w:pStyle w:val="Bibliography"/>
        <w:rPr>
          <w:rFonts w:ascii="Arial" w:hAnsi="Arial" w:cs="Arial"/>
        </w:rPr>
      </w:pPr>
      <w:r w:rsidRPr="00F23B84">
        <w:rPr>
          <w:rFonts w:ascii="Arial" w:hAnsi="Arial" w:cs="Arial"/>
        </w:rPr>
        <w:t xml:space="preserve">6. </w:t>
      </w:r>
      <w:r w:rsidRPr="00F23B84">
        <w:rPr>
          <w:rFonts w:ascii="Arial" w:hAnsi="Arial" w:cs="Arial"/>
        </w:rPr>
        <w:tab/>
        <w:t xml:space="preserve">Chawla H, van der List JP, Christ AB, Sobrero MR, Zuiderbaan HA, Pearle AD. Annual revision rates of partial versus total knee arthroplasty: A comparative meta-analysis. The Knee. 2017 Mar;24(2):179–90. </w:t>
      </w:r>
    </w:p>
    <w:p w14:paraId="4E080BED" w14:textId="77777777" w:rsidR="00794E68" w:rsidRPr="00F23B84" w:rsidRDefault="00794E68" w:rsidP="00794E68">
      <w:pPr>
        <w:pStyle w:val="Bibliography"/>
        <w:rPr>
          <w:rFonts w:ascii="Arial" w:hAnsi="Arial" w:cs="Arial"/>
        </w:rPr>
      </w:pPr>
      <w:r w:rsidRPr="00F23B84">
        <w:rPr>
          <w:rFonts w:ascii="Arial" w:hAnsi="Arial" w:cs="Arial"/>
        </w:rPr>
        <w:t xml:space="preserve">7. </w:t>
      </w:r>
      <w:r w:rsidRPr="00F23B84">
        <w:rPr>
          <w:rFonts w:ascii="Arial" w:hAnsi="Arial" w:cs="Arial"/>
        </w:rPr>
        <w:tab/>
        <w:t xml:space="preserve">Liddle AD, Pandit H, Judge A, Murray DW. Patient-reported outcomes after total and unicompartmental knee arthroplasty: a study of 14,076 matched patients from the National Joint Registry for England and Wales. Bone Jt J. 2015 Jun;97-B(6):793–801. </w:t>
      </w:r>
    </w:p>
    <w:p w14:paraId="25BE67A7" w14:textId="77777777" w:rsidR="00794E68" w:rsidRPr="00F23B84" w:rsidRDefault="00794E68" w:rsidP="00794E68">
      <w:pPr>
        <w:pStyle w:val="Bibliography"/>
        <w:rPr>
          <w:rFonts w:ascii="Arial" w:hAnsi="Arial" w:cs="Arial"/>
        </w:rPr>
      </w:pPr>
      <w:r w:rsidRPr="00F23B84">
        <w:rPr>
          <w:rFonts w:ascii="Arial" w:hAnsi="Arial" w:cs="Arial"/>
        </w:rPr>
        <w:t xml:space="preserve">8. </w:t>
      </w:r>
      <w:r w:rsidRPr="00F23B84">
        <w:rPr>
          <w:rFonts w:ascii="Arial" w:hAnsi="Arial" w:cs="Arial"/>
        </w:rPr>
        <w:tab/>
        <w:t xml:space="preserve">Goodfellow JW, O’Connor JJ, Murray DW. A critique of revision rate as an outcome measure: re-interpretation of knee joint registry data. J Bone Joint Surg Br. 2010 Dec;92(12):1628–31. </w:t>
      </w:r>
    </w:p>
    <w:p w14:paraId="149B425E" w14:textId="77777777" w:rsidR="00794E68" w:rsidRPr="00F23B84" w:rsidRDefault="00794E68" w:rsidP="00794E68">
      <w:pPr>
        <w:pStyle w:val="Bibliography"/>
        <w:rPr>
          <w:rFonts w:ascii="Arial" w:hAnsi="Arial" w:cs="Arial"/>
        </w:rPr>
      </w:pPr>
      <w:r w:rsidRPr="00F23B84">
        <w:rPr>
          <w:rFonts w:ascii="Arial" w:hAnsi="Arial" w:cs="Arial"/>
        </w:rPr>
        <w:t xml:space="preserve">9. </w:t>
      </w:r>
      <w:r w:rsidRPr="00F23B84">
        <w:rPr>
          <w:rFonts w:ascii="Arial" w:hAnsi="Arial" w:cs="Arial"/>
        </w:rPr>
        <w:tab/>
        <w:t xml:space="preserve">Henkel C, Mikkelsen M, Pedersen AB, Rasmussen LE, Gromov K, Price A, et al. Medial unicompartmental knee arthroplasty: increasingly uniform patient demographics despite differences in surgical volume and usage-a descriptive </w:t>
      </w:r>
      <w:r w:rsidRPr="00F23B84">
        <w:rPr>
          <w:rFonts w:ascii="Arial" w:hAnsi="Arial" w:cs="Arial"/>
        </w:rPr>
        <w:lastRenderedPageBreak/>
        <w:t xml:space="preserve">study of 8,501 cases from the Danish Knee Arthroplasty Registry. Acta Orthop. 2019 Aug;90(4):354–9. </w:t>
      </w:r>
    </w:p>
    <w:p w14:paraId="234DDBAE" w14:textId="77777777" w:rsidR="00794E68" w:rsidRPr="00F23B84" w:rsidRDefault="00794E68" w:rsidP="00794E68">
      <w:pPr>
        <w:pStyle w:val="Bibliography"/>
        <w:rPr>
          <w:rFonts w:ascii="Arial" w:hAnsi="Arial" w:cs="Arial"/>
        </w:rPr>
      </w:pPr>
      <w:r w:rsidRPr="00F23B84">
        <w:rPr>
          <w:rFonts w:ascii="Arial" w:hAnsi="Arial" w:cs="Arial"/>
        </w:rPr>
        <w:t xml:space="preserve">10. </w:t>
      </w:r>
      <w:r w:rsidRPr="00F23B84">
        <w:rPr>
          <w:rFonts w:ascii="Arial" w:hAnsi="Arial" w:cs="Arial"/>
        </w:rPr>
        <w:tab/>
        <w:t xml:space="preserve">Gupta V, Kejriwal R, Frampton C. Revision Following Cemented and Uncemented Oxford-III Primary Medial Unicompartmental Knee Replacements: A 19-Year Analysis from the New Zealand Joint Registry. J Bone Joint Surg Am. 2020 Aug 20; </w:t>
      </w:r>
    </w:p>
    <w:p w14:paraId="7CF15948" w14:textId="77777777" w:rsidR="00794E68" w:rsidRPr="00F23B84" w:rsidRDefault="00794E68" w:rsidP="00794E68">
      <w:pPr>
        <w:pStyle w:val="Bibliography"/>
        <w:rPr>
          <w:rFonts w:ascii="Arial" w:hAnsi="Arial" w:cs="Arial"/>
        </w:rPr>
      </w:pPr>
      <w:r w:rsidRPr="00F23B84">
        <w:rPr>
          <w:rFonts w:ascii="Arial" w:hAnsi="Arial" w:cs="Arial"/>
        </w:rPr>
        <w:t xml:space="preserve">11. </w:t>
      </w:r>
      <w:r w:rsidRPr="00F23B84">
        <w:rPr>
          <w:rFonts w:ascii="Arial" w:hAnsi="Arial" w:cs="Arial"/>
        </w:rPr>
        <w:tab/>
        <w:t xml:space="preserve">Mohammad HR, Matharu GS, Judge A, Murray DW. Comparison of the 10-year outcomes of cemented and cementless unicompartmental knee replacements: data from the National Joint Registry for England, Wales, Northern Ireland and the Isle of Man. Acta Orthop. 2020;91(1):76–81. </w:t>
      </w:r>
    </w:p>
    <w:p w14:paraId="51FB0C67" w14:textId="77777777" w:rsidR="00794E68" w:rsidRPr="00F23B84" w:rsidRDefault="00794E68" w:rsidP="00794E68">
      <w:pPr>
        <w:pStyle w:val="Bibliography"/>
        <w:rPr>
          <w:rFonts w:ascii="Arial" w:hAnsi="Arial" w:cs="Arial"/>
        </w:rPr>
      </w:pPr>
      <w:r w:rsidRPr="00F23B84">
        <w:rPr>
          <w:rFonts w:ascii="Arial" w:hAnsi="Arial" w:cs="Arial"/>
        </w:rPr>
        <w:t xml:space="preserve">12. </w:t>
      </w:r>
      <w:r w:rsidRPr="00F23B84">
        <w:rPr>
          <w:rFonts w:ascii="Arial" w:hAnsi="Arial" w:cs="Arial"/>
        </w:rPr>
        <w:tab/>
        <w:t xml:space="preserve">Mohammad HR, Matharu GS, Judge A, Murray DW. The Effect of Surgeon Caseload on the Relative Revision Rate of Cemented and Cementless Unicompartmental Knee Replacements: An Analysis from the National Joint Registry for England, Wales, Northern Ireland and the Isle of Man. J Bone Joint Surg Am. 2020 Apr 15;102(8):644–53. </w:t>
      </w:r>
    </w:p>
    <w:p w14:paraId="27179EF7" w14:textId="77777777" w:rsidR="00794E68" w:rsidRPr="00F23B84" w:rsidRDefault="00794E68" w:rsidP="00794E68">
      <w:pPr>
        <w:pStyle w:val="Bibliography"/>
        <w:rPr>
          <w:rFonts w:ascii="Arial" w:hAnsi="Arial" w:cs="Arial"/>
        </w:rPr>
      </w:pPr>
      <w:r w:rsidRPr="00F23B84">
        <w:rPr>
          <w:rFonts w:ascii="Arial" w:hAnsi="Arial" w:cs="Arial"/>
        </w:rPr>
        <w:t xml:space="preserve">13. </w:t>
      </w:r>
      <w:r w:rsidRPr="00F23B84">
        <w:rPr>
          <w:rFonts w:ascii="Arial" w:hAnsi="Arial" w:cs="Arial"/>
        </w:rPr>
        <w:tab/>
        <w:t xml:space="preserve">Nakama GY, Peccin MS, Almeida GJM, Lira Neto O de A, Queiroz AAB, Navarro RD. Cemented, cementless or hybrid fixation options in total knee arthroplasty for osteoarthritis and other non-traumatic diseases. Cochrane Database Syst Rev. 2012 Oct 17;10:CD006193. </w:t>
      </w:r>
    </w:p>
    <w:p w14:paraId="503A3183" w14:textId="77777777" w:rsidR="00794E68" w:rsidRPr="00F23B84" w:rsidRDefault="00794E68" w:rsidP="00794E68">
      <w:pPr>
        <w:pStyle w:val="Bibliography"/>
        <w:rPr>
          <w:rFonts w:ascii="Arial" w:hAnsi="Arial" w:cs="Arial"/>
        </w:rPr>
      </w:pPr>
      <w:r w:rsidRPr="00F23B84">
        <w:rPr>
          <w:rFonts w:ascii="Arial" w:hAnsi="Arial" w:cs="Arial"/>
        </w:rPr>
        <w:t xml:space="preserve">14. </w:t>
      </w:r>
      <w:r w:rsidRPr="00F23B84">
        <w:rPr>
          <w:rFonts w:ascii="Arial" w:hAnsi="Arial" w:cs="Arial"/>
        </w:rPr>
        <w:tab/>
        <w:t xml:space="preserve">Kendrick BJL, Kaptein BL, Valstar ER, Gill HS, Jackson WFM, Dodd C a. F, et al. Cemented versus cementless Oxford unicompartmental knee arthroplasty using radiostereometric analysis: a randomised controlled trial. Bone Jt J. 2015 Feb;97-B(2):185–91. </w:t>
      </w:r>
    </w:p>
    <w:p w14:paraId="638A48E0" w14:textId="77777777" w:rsidR="00794E68" w:rsidRPr="00F23B84" w:rsidRDefault="00794E68" w:rsidP="00794E68">
      <w:pPr>
        <w:pStyle w:val="Bibliography"/>
        <w:rPr>
          <w:rFonts w:ascii="Arial" w:hAnsi="Arial" w:cs="Arial"/>
        </w:rPr>
      </w:pPr>
      <w:r w:rsidRPr="00F23B84">
        <w:rPr>
          <w:rFonts w:ascii="Arial" w:hAnsi="Arial" w:cs="Arial"/>
        </w:rPr>
        <w:t xml:space="preserve">15. </w:t>
      </w:r>
      <w:r w:rsidRPr="00F23B84">
        <w:rPr>
          <w:rFonts w:ascii="Arial" w:hAnsi="Arial" w:cs="Arial"/>
        </w:rPr>
        <w:tab/>
        <w:t xml:space="preserve">Liddle AD, Pandit H, Judge A, Murray DW. Optimal usage of unicompartmental knee arthroplasty: a study of 41 986 cases from the National Joint Registry for England and Wales. Bone Jt J. 2015 Nov;97-B(11):1506–11. </w:t>
      </w:r>
    </w:p>
    <w:p w14:paraId="4B1AB4DB" w14:textId="77777777" w:rsidR="00794E68" w:rsidRPr="00F23B84" w:rsidRDefault="00794E68" w:rsidP="00794E68">
      <w:pPr>
        <w:pStyle w:val="Bibliography"/>
        <w:rPr>
          <w:rFonts w:ascii="Arial" w:hAnsi="Arial" w:cs="Arial"/>
        </w:rPr>
      </w:pPr>
      <w:r w:rsidRPr="00F23B84">
        <w:rPr>
          <w:rFonts w:ascii="Arial" w:hAnsi="Arial" w:cs="Arial"/>
        </w:rPr>
        <w:t xml:space="preserve">16. </w:t>
      </w:r>
      <w:r w:rsidRPr="00F23B84">
        <w:rPr>
          <w:rFonts w:ascii="Arial" w:hAnsi="Arial" w:cs="Arial"/>
        </w:rPr>
        <w:tab/>
        <w:t xml:space="preserve">Liddle AD, Pandit H, Judge A, Murray DW. Effect of Surgical Caseload on Revision Rate Following Total and Unicompartmental Knee Replacement: J Bone Jt Surg. 2016 Jan;98(1):1–8. </w:t>
      </w:r>
    </w:p>
    <w:p w14:paraId="5A991C95" w14:textId="77777777" w:rsidR="00794E68" w:rsidRPr="00F23B84" w:rsidRDefault="00794E68" w:rsidP="00794E68">
      <w:pPr>
        <w:pStyle w:val="Bibliography"/>
        <w:rPr>
          <w:rFonts w:ascii="Arial" w:hAnsi="Arial" w:cs="Arial"/>
        </w:rPr>
      </w:pPr>
      <w:r w:rsidRPr="00F23B84">
        <w:rPr>
          <w:rFonts w:ascii="Arial" w:hAnsi="Arial" w:cs="Arial"/>
        </w:rPr>
        <w:t xml:space="preserve">17. </w:t>
      </w:r>
      <w:r w:rsidRPr="00F23B84">
        <w:rPr>
          <w:rFonts w:ascii="Arial" w:hAnsi="Arial" w:cs="Arial"/>
        </w:rPr>
        <w:tab/>
        <w:t xml:space="preserve">Baker P, Jameson S, Critchley R, Reed M, Gregg P, Deehan D. Center and Surgeon Volume Influence the Revision Rate Following Unicondylar Knee Replacement: An Analysis of 23,400 Medial Cemented Unicondylar Knee Replacements. J Bone Jt Surg. 2013 Apr;95(8):702–9. </w:t>
      </w:r>
    </w:p>
    <w:p w14:paraId="3EEA76F7" w14:textId="77777777" w:rsidR="00794E68" w:rsidRPr="00F23B84" w:rsidRDefault="00794E68" w:rsidP="00794E68">
      <w:pPr>
        <w:pStyle w:val="Bibliography"/>
        <w:rPr>
          <w:rFonts w:ascii="Arial" w:hAnsi="Arial" w:cs="Arial"/>
        </w:rPr>
      </w:pPr>
      <w:r w:rsidRPr="00F23B84">
        <w:rPr>
          <w:rFonts w:ascii="Arial" w:hAnsi="Arial" w:cs="Arial"/>
        </w:rPr>
        <w:t xml:space="preserve">18. </w:t>
      </w:r>
      <w:r w:rsidRPr="00F23B84">
        <w:rPr>
          <w:rFonts w:ascii="Arial" w:hAnsi="Arial" w:cs="Arial"/>
        </w:rPr>
        <w:tab/>
        <w:t xml:space="preserve">Hefny MH, Smith NA, Waite J. Cementless medial Oxford unicompartmental knee replacement. Five-year results from an independent series. The Knee. 2020 Aug;27(4):1219–27. </w:t>
      </w:r>
    </w:p>
    <w:p w14:paraId="43E2BEB7" w14:textId="77777777" w:rsidR="00794E68" w:rsidRPr="00F23B84" w:rsidRDefault="00794E68" w:rsidP="00794E68">
      <w:pPr>
        <w:pStyle w:val="Bibliography"/>
        <w:rPr>
          <w:rFonts w:ascii="Arial" w:hAnsi="Arial" w:cs="Arial"/>
        </w:rPr>
      </w:pPr>
      <w:r w:rsidRPr="00F23B84">
        <w:rPr>
          <w:rFonts w:ascii="Arial" w:hAnsi="Arial" w:cs="Arial"/>
        </w:rPr>
        <w:t xml:space="preserve">19. </w:t>
      </w:r>
      <w:r w:rsidRPr="00F23B84">
        <w:rPr>
          <w:rFonts w:ascii="Arial" w:hAnsi="Arial" w:cs="Arial"/>
        </w:rPr>
        <w:tab/>
        <w:t xml:space="preserve">Mohammad HR, Kennedy JA, Mellon SJ, Judge A, Dodd CA, Murray DW. Ten-year clinical and radiographic results of 1000 cementless Oxford unicompartmental knee replacements. Knee Surg Sports Traumatol Arthrosc Off J ESSKA. 2020 May;28(5):1479–87. </w:t>
      </w:r>
    </w:p>
    <w:p w14:paraId="6CBB5C47" w14:textId="77777777" w:rsidR="00794E68" w:rsidRPr="00F23B84" w:rsidRDefault="00794E68" w:rsidP="00794E68">
      <w:pPr>
        <w:pStyle w:val="Bibliography"/>
        <w:rPr>
          <w:rFonts w:ascii="Arial" w:hAnsi="Arial" w:cs="Arial"/>
        </w:rPr>
      </w:pPr>
      <w:r w:rsidRPr="00F23B84">
        <w:rPr>
          <w:rFonts w:ascii="Arial" w:hAnsi="Arial" w:cs="Arial"/>
        </w:rPr>
        <w:lastRenderedPageBreak/>
        <w:t xml:space="preserve">20. </w:t>
      </w:r>
      <w:r w:rsidRPr="00F23B84">
        <w:rPr>
          <w:rFonts w:ascii="Arial" w:hAnsi="Arial" w:cs="Arial"/>
        </w:rPr>
        <w:tab/>
        <w:t xml:space="preserve">Jonas SC, Jermin P, Howells N, Porteous A, Murray J, Robinson J. Outcome of revision UKR to TKR when compared to a matched group of TKR of same total arthroplasty lifespan. The Knee. 2019 Mar;26(2):400–4. </w:t>
      </w:r>
    </w:p>
    <w:p w14:paraId="738A9C76" w14:textId="68EB24B9" w:rsidR="00832C66" w:rsidRPr="00F23B84" w:rsidRDefault="00670C29" w:rsidP="00C11B7C">
      <w:pPr>
        <w:rPr>
          <w:rFonts w:ascii="Arial" w:hAnsi="Arial" w:cs="Arial"/>
        </w:rPr>
      </w:pPr>
      <w:r w:rsidRPr="00F23B84">
        <w:rPr>
          <w:rFonts w:ascii="Arial" w:hAnsi="Arial" w:cs="Arial"/>
        </w:rPr>
        <w:fldChar w:fldCharType="end"/>
      </w:r>
    </w:p>
    <w:p w14:paraId="450C506B" w14:textId="77777777" w:rsidR="00832C66" w:rsidRPr="00F23B84" w:rsidRDefault="00832C66" w:rsidP="00C11B7C">
      <w:pPr>
        <w:rPr>
          <w:rFonts w:ascii="Arial" w:hAnsi="Arial" w:cs="Arial"/>
        </w:rPr>
      </w:pPr>
      <w:r w:rsidRPr="00F23B84">
        <w:rPr>
          <w:rFonts w:ascii="Arial" w:hAnsi="Arial" w:cs="Arial"/>
        </w:rPr>
        <w:br w:type="page"/>
      </w:r>
    </w:p>
    <w:p w14:paraId="2B9303B0" w14:textId="77777777" w:rsidR="003A7A51" w:rsidRPr="00F23B84" w:rsidRDefault="003A7A51" w:rsidP="00C11B7C">
      <w:pPr>
        <w:rPr>
          <w:rFonts w:ascii="Arial" w:hAnsi="Arial" w:cs="Arial"/>
        </w:rPr>
      </w:pPr>
    </w:p>
    <w:p w14:paraId="26D262DE" w14:textId="4C4D60BE" w:rsidR="00A54AA1" w:rsidRPr="00F23B84" w:rsidRDefault="00A54AA1" w:rsidP="00C11B7C">
      <w:pPr>
        <w:rPr>
          <w:rFonts w:ascii="Arial" w:hAnsi="Arial" w:cs="Arial"/>
          <w:b/>
          <w:bCs/>
        </w:rPr>
      </w:pPr>
      <w:r w:rsidRPr="00F23B84">
        <w:rPr>
          <w:rFonts w:ascii="Arial" w:hAnsi="Arial" w:cs="Arial"/>
          <w:b/>
          <w:bCs/>
        </w:rPr>
        <w:t>Table 1</w:t>
      </w:r>
      <w:r w:rsidR="008C0791" w:rsidRPr="00F23B84">
        <w:rPr>
          <w:rFonts w:ascii="Arial" w:hAnsi="Arial" w:cs="Arial"/>
          <w:b/>
          <w:bCs/>
        </w:rPr>
        <w:t>: Life Table</w:t>
      </w:r>
    </w:p>
    <w:p w14:paraId="4F853782" w14:textId="77777777" w:rsidR="008C0791" w:rsidRPr="00F23B84" w:rsidRDefault="008C0791" w:rsidP="00C11B7C">
      <w:pPr>
        <w:rPr>
          <w:rFonts w:ascii="Arial" w:hAnsi="Arial" w:cs="Arial"/>
        </w:rPr>
      </w:pPr>
    </w:p>
    <w:tbl>
      <w:tblPr>
        <w:tblStyle w:val="TableGrid"/>
        <w:tblW w:w="9641" w:type="dxa"/>
        <w:tblBorders>
          <w:insideV w:val="none" w:sz="0" w:space="0" w:color="auto"/>
        </w:tblBorders>
        <w:tblLayout w:type="fixed"/>
        <w:tblLook w:val="0000" w:firstRow="0" w:lastRow="0" w:firstColumn="0" w:lastColumn="0" w:noHBand="0" w:noVBand="0"/>
      </w:tblPr>
      <w:tblGrid>
        <w:gridCol w:w="1889"/>
        <w:gridCol w:w="1549"/>
        <w:gridCol w:w="1550"/>
        <w:gridCol w:w="1550"/>
        <w:gridCol w:w="1550"/>
        <w:gridCol w:w="1553"/>
      </w:tblGrid>
      <w:tr w:rsidR="002729D0" w:rsidRPr="00F23B84" w14:paraId="6E32063A" w14:textId="77777777" w:rsidTr="006568CB">
        <w:trPr>
          <w:trHeight w:val="1164"/>
        </w:trPr>
        <w:tc>
          <w:tcPr>
            <w:tcW w:w="1889" w:type="dxa"/>
            <w:tcBorders>
              <w:left w:val="nil"/>
              <w:bottom w:val="single" w:sz="4" w:space="0" w:color="auto"/>
            </w:tcBorders>
          </w:tcPr>
          <w:p w14:paraId="33443183" w14:textId="77777777" w:rsidR="002729D0" w:rsidRPr="00F23B84" w:rsidRDefault="002729D0" w:rsidP="00C11B7C">
            <w:pPr>
              <w:rPr>
                <w:rFonts w:ascii="Arial" w:hAnsi="Arial" w:cs="Arial"/>
                <w:color w:val="000000"/>
              </w:rPr>
            </w:pPr>
            <w:r w:rsidRPr="00F23B84">
              <w:rPr>
                <w:rFonts w:ascii="Arial" w:hAnsi="Arial" w:cs="Arial"/>
                <w:color w:val="000000"/>
              </w:rPr>
              <w:t>Interval Start Time</w:t>
            </w:r>
          </w:p>
        </w:tc>
        <w:tc>
          <w:tcPr>
            <w:tcW w:w="1549" w:type="dxa"/>
            <w:tcBorders>
              <w:bottom w:val="single" w:sz="4" w:space="0" w:color="auto"/>
            </w:tcBorders>
          </w:tcPr>
          <w:p w14:paraId="5A2C473B" w14:textId="77777777" w:rsidR="002729D0" w:rsidRPr="00F23B84" w:rsidRDefault="002729D0" w:rsidP="006568CB">
            <w:pPr>
              <w:jc w:val="center"/>
              <w:rPr>
                <w:rFonts w:ascii="Arial" w:hAnsi="Arial" w:cs="Arial"/>
                <w:color w:val="000000"/>
              </w:rPr>
            </w:pPr>
            <w:r w:rsidRPr="00F23B84">
              <w:rPr>
                <w:rFonts w:ascii="Arial" w:hAnsi="Arial" w:cs="Arial"/>
                <w:color w:val="000000"/>
              </w:rPr>
              <w:t>Number Entering Interval</w:t>
            </w:r>
          </w:p>
        </w:tc>
        <w:tc>
          <w:tcPr>
            <w:tcW w:w="1550" w:type="dxa"/>
            <w:tcBorders>
              <w:bottom w:val="single" w:sz="4" w:space="0" w:color="auto"/>
            </w:tcBorders>
          </w:tcPr>
          <w:p w14:paraId="6FB577B3" w14:textId="77777777" w:rsidR="002729D0" w:rsidRPr="00F23B84" w:rsidRDefault="002729D0" w:rsidP="006568CB">
            <w:pPr>
              <w:jc w:val="center"/>
              <w:rPr>
                <w:rFonts w:ascii="Arial" w:hAnsi="Arial" w:cs="Arial"/>
                <w:color w:val="000000"/>
              </w:rPr>
            </w:pPr>
            <w:r w:rsidRPr="00F23B84">
              <w:rPr>
                <w:rFonts w:ascii="Arial" w:hAnsi="Arial" w:cs="Arial"/>
                <w:color w:val="000000"/>
              </w:rPr>
              <w:t>Number Withdrawing during Interval</w:t>
            </w:r>
          </w:p>
        </w:tc>
        <w:tc>
          <w:tcPr>
            <w:tcW w:w="1550" w:type="dxa"/>
            <w:tcBorders>
              <w:bottom w:val="single" w:sz="4" w:space="0" w:color="auto"/>
            </w:tcBorders>
          </w:tcPr>
          <w:p w14:paraId="1FBE02FE" w14:textId="77777777" w:rsidR="002729D0" w:rsidRPr="00F23B84" w:rsidRDefault="002729D0" w:rsidP="006568CB">
            <w:pPr>
              <w:jc w:val="center"/>
              <w:rPr>
                <w:rFonts w:ascii="Arial" w:hAnsi="Arial" w:cs="Arial"/>
                <w:color w:val="000000"/>
              </w:rPr>
            </w:pPr>
            <w:r w:rsidRPr="00F23B84">
              <w:rPr>
                <w:rFonts w:ascii="Arial" w:hAnsi="Arial" w:cs="Arial"/>
                <w:color w:val="000000"/>
              </w:rPr>
              <w:t>Number of Terminal Events</w:t>
            </w:r>
          </w:p>
        </w:tc>
        <w:tc>
          <w:tcPr>
            <w:tcW w:w="1550" w:type="dxa"/>
            <w:tcBorders>
              <w:bottom w:val="single" w:sz="4" w:space="0" w:color="auto"/>
            </w:tcBorders>
          </w:tcPr>
          <w:p w14:paraId="57859294" w14:textId="77777777" w:rsidR="002729D0" w:rsidRPr="00F23B84" w:rsidRDefault="002729D0" w:rsidP="006568CB">
            <w:pPr>
              <w:jc w:val="center"/>
              <w:rPr>
                <w:rFonts w:ascii="Arial" w:hAnsi="Arial" w:cs="Arial"/>
                <w:color w:val="000000"/>
              </w:rPr>
            </w:pPr>
            <w:r w:rsidRPr="00F23B84">
              <w:rPr>
                <w:rFonts w:ascii="Arial" w:hAnsi="Arial" w:cs="Arial"/>
                <w:color w:val="000000"/>
              </w:rPr>
              <w:t>Proportion Terminating</w:t>
            </w:r>
          </w:p>
        </w:tc>
        <w:tc>
          <w:tcPr>
            <w:tcW w:w="1553" w:type="dxa"/>
            <w:tcBorders>
              <w:bottom w:val="single" w:sz="4" w:space="0" w:color="auto"/>
              <w:right w:val="nil"/>
            </w:tcBorders>
          </w:tcPr>
          <w:p w14:paraId="3A551C78" w14:textId="77777777" w:rsidR="002729D0" w:rsidRPr="00F23B84" w:rsidRDefault="002729D0" w:rsidP="006568CB">
            <w:pPr>
              <w:jc w:val="center"/>
              <w:rPr>
                <w:rFonts w:ascii="Arial" w:hAnsi="Arial" w:cs="Arial"/>
                <w:color w:val="000000"/>
              </w:rPr>
            </w:pPr>
            <w:r w:rsidRPr="00F23B84">
              <w:rPr>
                <w:rFonts w:ascii="Arial" w:hAnsi="Arial" w:cs="Arial"/>
                <w:color w:val="000000"/>
              </w:rPr>
              <w:t>Proportion Surviving</w:t>
            </w:r>
          </w:p>
        </w:tc>
      </w:tr>
      <w:tr w:rsidR="002729D0" w:rsidRPr="00F23B84" w14:paraId="25B34D68" w14:textId="77777777" w:rsidTr="006568CB">
        <w:trPr>
          <w:trHeight w:val="291"/>
        </w:trPr>
        <w:tc>
          <w:tcPr>
            <w:tcW w:w="1889" w:type="dxa"/>
            <w:tcBorders>
              <w:left w:val="nil"/>
              <w:bottom w:val="nil"/>
            </w:tcBorders>
          </w:tcPr>
          <w:p w14:paraId="1025C8B9" w14:textId="77777777" w:rsidR="002729D0" w:rsidRPr="00F23B84" w:rsidRDefault="002729D0" w:rsidP="006568CB">
            <w:pPr>
              <w:jc w:val="center"/>
              <w:rPr>
                <w:rFonts w:ascii="Arial" w:hAnsi="Arial" w:cs="Arial"/>
                <w:color w:val="000000"/>
              </w:rPr>
            </w:pPr>
            <w:r w:rsidRPr="00F23B84">
              <w:rPr>
                <w:rFonts w:ascii="Arial" w:hAnsi="Arial" w:cs="Arial"/>
                <w:color w:val="000000"/>
              </w:rPr>
              <w:t>0</w:t>
            </w:r>
          </w:p>
        </w:tc>
        <w:tc>
          <w:tcPr>
            <w:tcW w:w="1549" w:type="dxa"/>
            <w:tcBorders>
              <w:bottom w:val="nil"/>
            </w:tcBorders>
          </w:tcPr>
          <w:p w14:paraId="1492192E" w14:textId="77777777" w:rsidR="002729D0" w:rsidRPr="00F23B84" w:rsidRDefault="002729D0" w:rsidP="006568CB">
            <w:pPr>
              <w:jc w:val="center"/>
              <w:rPr>
                <w:rFonts w:ascii="Arial" w:hAnsi="Arial" w:cs="Arial"/>
                <w:color w:val="000000"/>
              </w:rPr>
            </w:pPr>
            <w:r w:rsidRPr="00F23B84">
              <w:rPr>
                <w:rFonts w:ascii="Arial" w:hAnsi="Arial" w:cs="Arial"/>
                <w:color w:val="000000"/>
              </w:rPr>
              <w:t>200</w:t>
            </w:r>
          </w:p>
        </w:tc>
        <w:tc>
          <w:tcPr>
            <w:tcW w:w="1550" w:type="dxa"/>
            <w:tcBorders>
              <w:bottom w:val="nil"/>
            </w:tcBorders>
          </w:tcPr>
          <w:p w14:paraId="43DCC77D" w14:textId="77777777" w:rsidR="002729D0" w:rsidRPr="00F23B84" w:rsidRDefault="002729D0" w:rsidP="006568CB">
            <w:pPr>
              <w:jc w:val="center"/>
              <w:rPr>
                <w:rFonts w:ascii="Arial" w:hAnsi="Arial" w:cs="Arial"/>
                <w:color w:val="000000"/>
              </w:rPr>
            </w:pPr>
            <w:r w:rsidRPr="00F23B84">
              <w:rPr>
                <w:rFonts w:ascii="Arial" w:hAnsi="Arial" w:cs="Arial"/>
                <w:color w:val="000000"/>
              </w:rPr>
              <w:t>7</w:t>
            </w:r>
          </w:p>
        </w:tc>
        <w:tc>
          <w:tcPr>
            <w:tcW w:w="1550" w:type="dxa"/>
            <w:tcBorders>
              <w:bottom w:val="nil"/>
            </w:tcBorders>
          </w:tcPr>
          <w:p w14:paraId="07DDCEB8" w14:textId="77777777" w:rsidR="002729D0" w:rsidRPr="00F23B84" w:rsidRDefault="002729D0" w:rsidP="006568CB">
            <w:pPr>
              <w:jc w:val="center"/>
              <w:rPr>
                <w:rFonts w:ascii="Arial" w:hAnsi="Arial" w:cs="Arial"/>
                <w:color w:val="000000"/>
              </w:rPr>
            </w:pPr>
            <w:r w:rsidRPr="00F23B84">
              <w:rPr>
                <w:rFonts w:ascii="Arial" w:hAnsi="Arial" w:cs="Arial"/>
                <w:color w:val="000000"/>
              </w:rPr>
              <w:t>5</w:t>
            </w:r>
          </w:p>
        </w:tc>
        <w:tc>
          <w:tcPr>
            <w:tcW w:w="1550" w:type="dxa"/>
            <w:tcBorders>
              <w:bottom w:val="nil"/>
            </w:tcBorders>
          </w:tcPr>
          <w:p w14:paraId="6350272F" w14:textId="77777777" w:rsidR="002729D0" w:rsidRPr="00F23B84" w:rsidRDefault="002729D0" w:rsidP="006568CB">
            <w:pPr>
              <w:jc w:val="center"/>
              <w:rPr>
                <w:rFonts w:ascii="Arial" w:hAnsi="Arial" w:cs="Arial"/>
                <w:color w:val="000000"/>
              </w:rPr>
            </w:pPr>
            <w:r w:rsidRPr="00F23B84">
              <w:rPr>
                <w:rFonts w:ascii="Arial" w:hAnsi="Arial" w:cs="Arial"/>
                <w:color w:val="000000"/>
              </w:rPr>
              <w:t>.03</w:t>
            </w:r>
          </w:p>
        </w:tc>
        <w:tc>
          <w:tcPr>
            <w:tcW w:w="1553" w:type="dxa"/>
            <w:tcBorders>
              <w:bottom w:val="nil"/>
              <w:right w:val="nil"/>
            </w:tcBorders>
          </w:tcPr>
          <w:p w14:paraId="14FC14B6" w14:textId="4875F958" w:rsidR="002729D0" w:rsidRPr="00F23B84" w:rsidRDefault="006568CB" w:rsidP="006568CB">
            <w:pPr>
              <w:jc w:val="center"/>
              <w:rPr>
                <w:rFonts w:ascii="Arial" w:hAnsi="Arial" w:cs="Arial"/>
                <w:color w:val="000000"/>
              </w:rPr>
            </w:pPr>
            <w:r>
              <w:rPr>
                <w:rFonts w:ascii="Arial" w:hAnsi="Arial" w:cs="Arial"/>
                <w:color w:val="000000"/>
              </w:rPr>
              <w:t>0</w:t>
            </w:r>
            <w:r w:rsidR="002729D0" w:rsidRPr="00F23B84">
              <w:rPr>
                <w:rFonts w:ascii="Arial" w:hAnsi="Arial" w:cs="Arial"/>
                <w:color w:val="000000"/>
              </w:rPr>
              <w:t>.97</w:t>
            </w:r>
          </w:p>
        </w:tc>
      </w:tr>
      <w:tr w:rsidR="002729D0" w:rsidRPr="00F23B84" w14:paraId="4391A9A6" w14:textId="77777777" w:rsidTr="006568CB">
        <w:trPr>
          <w:trHeight w:val="291"/>
        </w:trPr>
        <w:tc>
          <w:tcPr>
            <w:tcW w:w="1889" w:type="dxa"/>
            <w:tcBorders>
              <w:top w:val="nil"/>
              <w:left w:val="nil"/>
              <w:bottom w:val="nil"/>
            </w:tcBorders>
          </w:tcPr>
          <w:p w14:paraId="6AAD469A" w14:textId="77777777" w:rsidR="002729D0" w:rsidRPr="00F23B84" w:rsidRDefault="002729D0" w:rsidP="006568CB">
            <w:pPr>
              <w:jc w:val="center"/>
              <w:rPr>
                <w:rFonts w:ascii="Arial" w:hAnsi="Arial" w:cs="Arial"/>
                <w:color w:val="000000"/>
              </w:rPr>
            </w:pPr>
            <w:r w:rsidRPr="00F23B84">
              <w:rPr>
                <w:rFonts w:ascii="Arial" w:hAnsi="Arial" w:cs="Arial"/>
                <w:color w:val="000000"/>
              </w:rPr>
              <w:t>12</w:t>
            </w:r>
          </w:p>
        </w:tc>
        <w:tc>
          <w:tcPr>
            <w:tcW w:w="1549" w:type="dxa"/>
            <w:tcBorders>
              <w:top w:val="nil"/>
              <w:bottom w:val="nil"/>
            </w:tcBorders>
          </w:tcPr>
          <w:p w14:paraId="147A6827" w14:textId="77777777" w:rsidR="002729D0" w:rsidRPr="00F23B84" w:rsidRDefault="002729D0" w:rsidP="006568CB">
            <w:pPr>
              <w:jc w:val="center"/>
              <w:rPr>
                <w:rFonts w:ascii="Arial" w:hAnsi="Arial" w:cs="Arial"/>
                <w:color w:val="000000"/>
              </w:rPr>
            </w:pPr>
            <w:r w:rsidRPr="00F23B84">
              <w:rPr>
                <w:rFonts w:ascii="Arial" w:hAnsi="Arial" w:cs="Arial"/>
                <w:color w:val="000000"/>
              </w:rPr>
              <w:t>188</w:t>
            </w:r>
          </w:p>
        </w:tc>
        <w:tc>
          <w:tcPr>
            <w:tcW w:w="1550" w:type="dxa"/>
            <w:tcBorders>
              <w:top w:val="nil"/>
              <w:bottom w:val="nil"/>
            </w:tcBorders>
          </w:tcPr>
          <w:p w14:paraId="36FA4A5A" w14:textId="77777777" w:rsidR="002729D0" w:rsidRPr="00F23B84" w:rsidRDefault="002729D0" w:rsidP="006568CB">
            <w:pPr>
              <w:jc w:val="center"/>
              <w:rPr>
                <w:rFonts w:ascii="Arial" w:hAnsi="Arial" w:cs="Arial"/>
                <w:color w:val="000000"/>
              </w:rPr>
            </w:pPr>
            <w:r w:rsidRPr="00F23B84">
              <w:rPr>
                <w:rFonts w:ascii="Arial" w:hAnsi="Arial" w:cs="Arial"/>
                <w:color w:val="000000"/>
              </w:rPr>
              <w:t>4</w:t>
            </w:r>
          </w:p>
        </w:tc>
        <w:tc>
          <w:tcPr>
            <w:tcW w:w="1550" w:type="dxa"/>
            <w:tcBorders>
              <w:top w:val="nil"/>
              <w:bottom w:val="nil"/>
            </w:tcBorders>
          </w:tcPr>
          <w:p w14:paraId="3B0342A6" w14:textId="77777777" w:rsidR="002729D0" w:rsidRPr="00F23B84" w:rsidRDefault="002729D0" w:rsidP="006568CB">
            <w:pPr>
              <w:jc w:val="center"/>
              <w:rPr>
                <w:rFonts w:ascii="Arial" w:hAnsi="Arial" w:cs="Arial"/>
                <w:color w:val="000000"/>
              </w:rPr>
            </w:pPr>
            <w:r w:rsidRPr="00F23B84">
              <w:rPr>
                <w:rFonts w:ascii="Arial" w:hAnsi="Arial" w:cs="Arial"/>
                <w:color w:val="000000"/>
              </w:rPr>
              <w:t>1</w:t>
            </w:r>
          </w:p>
        </w:tc>
        <w:tc>
          <w:tcPr>
            <w:tcW w:w="1550" w:type="dxa"/>
            <w:tcBorders>
              <w:top w:val="nil"/>
              <w:bottom w:val="nil"/>
            </w:tcBorders>
          </w:tcPr>
          <w:p w14:paraId="0720BFFC" w14:textId="77777777" w:rsidR="002729D0" w:rsidRPr="00F23B84" w:rsidRDefault="002729D0" w:rsidP="006568CB">
            <w:pPr>
              <w:jc w:val="center"/>
              <w:rPr>
                <w:rFonts w:ascii="Arial" w:hAnsi="Arial" w:cs="Arial"/>
                <w:color w:val="000000"/>
              </w:rPr>
            </w:pPr>
            <w:r w:rsidRPr="00F23B84">
              <w:rPr>
                <w:rFonts w:ascii="Arial" w:hAnsi="Arial" w:cs="Arial"/>
                <w:color w:val="000000"/>
              </w:rPr>
              <w:t>.01</w:t>
            </w:r>
          </w:p>
        </w:tc>
        <w:tc>
          <w:tcPr>
            <w:tcW w:w="1553" w:type="dxa"/>
            <w:tcBorders>
              <w:top w:val="nil"/>
              <w:bottom w:val="nil"/>
              <w:right w:val="nil"/>
            </w:tcBorders>
          </w:tcPr>
          <w:p w14:paraId="0E71ECAF" w14:textId="70EB7451" w:rsidR="002729D0" w:rsidRPr="00F23B84" w:rsidRDefault="006568CB" w:rsidP="006568CB">
            <w:pPr>
              <w:jc w:val="center"/>
              <w:rPr>
                <w:rFonts w:ascii="Arial" w:hAnsi="Arial" w:cs="Arial"/>
                <w:color w:val="000000"/>
              </w:rPr>
            </w:pPr>
            <w:r>
              <w:rPr>
                <w:rFonts w:ascii="Arial" w:hAnsi="Arial" w:cs="Arial"/>
                <w:color w:val="000000"/>
              </w:rPr>
              <w:t>0</w:t>
            </w:r>
            <w:r w:rsidR="002729D0" w:rsidRPr="00F23B84">
              <w:rPr>
                <w:rFonts w:ascii="Arial" w:hAnsi="Arial" w:cs="Arial"/>
                <w:color w:val="000000"/>
              </w:rPr>
              <w:t>.99</w:t>
            </w:r>
          </w:p>
        </w:tc>
      </w:tr>
      <w:tr w:rsidR="002729D0" w:rsidRPr="00F23B84" w14:paraId="4E335D07" w14:textId="77777777" w:rsidTr="006568CB">
        <w:trPr>
          <w:trHeight w:val="291"/>
        </w:trPr>
        <w:tc>
          <w:tcPr>
            <w:tcW w:w="1889" w:type="dxa"/>
            <w:tcBorders>
              <w:top w:val="nil"/>
              <w:left w:val="nil"/>
              <w:bottom w:val="nil"/>
            </w:tcBorders>
          </w:tcPr>
          <w:p w14:paraId="4626285C" w14:textId="77777777" w:rsidR="002729D0" w:rsidRPr="00F23B84" w:rsidRDefault="002729D0" w:rsidP="006568CB">
            <w:pPr>
              <w:jc w:val="center"/>
              <w:rPr>
                <w:rFonts w:ascii="Arial" w:hAnsi="Arial" w:cs="Arial"/>
                <w:color w:val="000000"/>
              </w:rPr>
            </w:pPr>
            <w:r w:rsidRPr="00F23B84">
              <w:rPr>
                <w:rFonts w:ascii="Arial" w:hAnsi="Arial" w:cs="Arial"/>
                <w:color w:val="000000"/>
              </w:rPr>
              <w:t>24</w:t>
            </w:r>
          </w:p>
        </w:tc>
        <w:tc>
          <w:tcPr>
            <w:tcW w:w="1549" w:type="dxa"/>
            <w:tcBorders>
              <w:top w:val="nil"/>
              <w:bottom w:val="nil"/>
            </w:tcBorders>
          </w:tcPr>
          <w:p w14:paraId="40E73035" w14:textId="77777777" w:rsidR="002729D0" w:rsidRPr="00F23B84" w:rsidRDefault="002729D0" w:rsidP="006568CB">
            <w:pPr>
              <w:jc w:val="center"/>
              <w:rPr>
                <w:rFonts w:ascii="Arial" w:hAnsi="Arial" w:cs="Arial"/>
                <w:color w:val="000000"/>
              </w:rPr>
            </w:pPr>
            <w:r w:rsidRPr="00F23B84">
              <w:rPr>
                <w:rFonts w:ascii="Arial" w:hAnsi="Arial" w:cs="Arial"/>
                <w:color w:val="000000"/>
              </w:rPr>
              <w:t>183</w:t>
            </w:r>
          </w:p>
        </w:tc>
        <w:tc>
          <w:tcPr>
            <w:tcW w:w="1550" w:type="dxa"/>
            <w:tcBorders>
              <w:top w:val="nil"/>
              <w:bottom w:val="nil"/>
            </w:tcBorders>
          </w:tcPr>
          <w:p w14:paraId="0031327B" w14:textId="77777777" w:rsidR="002729D0" w:rsidRPr="00F23B84" w:rsidRDefault="002729D0" w:rsidP="006568CB">
            <w:pPr>
              <w:jc w:val="center"/>
              <w:rPr>
                <w:rFonts w:ascii="Arial" w:hAnsi="Arial" w:cs="Arial"/>
                <w:color w:val="000000"/>
              </w:rPr>
            </w:pPr>
            <w:r w:rsidRPr="00F23B84">
              <w:rPr>
                <w:rFonts w:ascii="Arial" w:hAnsi="Arial" w:cs="Arial"/>
                <w:color w:val="000000"/>
              </w:rPr>
              <w:t>4</w:t>
            </w:r>
          </w:p>
        </w:tc>
        <w:tc>
          <w:tcPr>
            <w:tcW w:w="1550" w:type="dxa"/>
            <w:tcBorders>
              <w:top w:val="nil"/>
              <w:bottom w:val="nil"/>
            </w:tcBorders>
          </w:tcPr>
          <w:p w14:paraId="7A6A4843" w14:textId="77777777" w:rsidR="002729D0" w:rsidRPr="00F23B84" w:rsidRDefault="002729D0" w:rsidP="006568CB">
            <w:pPr>
              <w:jc w:val="center"/>
              <w:rPr>
                <w:rFonts w:ascii="Arial" w:hAnsi="Arial" w:cs="Arial"/>
                <w:color w:val="000000"/>
              </w:rPr>
            </w:pPr>
            <w:r w:rsidRPr="00F23B84">
              <w:rPr>
                <w:rFonts w:ascii="Arial" w:hAnsi="Arial" w:cs="Arial"/>
                <w:color w:val="000000"/>
              </w:rPr>
              <w:t>0</w:t>
            </w:r>
          </w:p>
        </w:tc>
        <w:tc>
          <w:tcPr>
            <w:tcW w:w="1550" w:type="dxa"/>
            <w:tcBorders>
              <w:top w:val="nil"/>
              <w:bottom w:val="nil"/>
            </w:tcBorders>
          </w:tcPr>
          <w:p w14:paraId="5A63194B" w14:textId="77777777" w:rsidR="002729D0" w:rsidRPr="00F23B84" w:rsidRDefault="002729D0" w:rsidP="006568CB">
            <w:pPr>
              <w:jc w:val="center"/>
              <w:rPr>
                <w:rFonts w:ascii="Arial" w:hAnsi="Arial" w:cs="Arial"/>
                <w:color w:val="000000"/>
              </w:rPr>
            </w:pPr>
            <w:r w:rsidRPr="00F23B84">
              <w:rPr>
                <w:rFonts w:ascii="Arial" w:hAnsi="Arial" w:cs="Arial"/>
                <w:color w:val="000000"/>
              </w:rPr>
              <w:t>.00</w:t>
            </w:r>
          </w:p>
        </w:tc>
        <w:tc>
          <w:tcPr>
            <w:tcW w:w="1553" w:type="dxa"/>
            <w:tcBorders>
              <w:top w:val="nil"/>
              <w:bottom w:val="nil"/>
              <w:right w:val="nil"/>
            </w:tcBorders>
          </w:tcPr>
          <w:p w14:paraId="26CE2A24" w14:textId="77777777" w:rsidR="002729D0" w:rsidRPr="00F23B84" w:rsidRDefault="002729D0" w:rsidP="006568CB">
            <w:pPr>
              <w:jc w:val="center"/>
              <w:rPr>
                <w:rFonts w:ascii="Arial" w:hAnsi="Arial" w:cs="Arial"/>
                <w:color w:val="000000"/>
              </w:rPr>
            </w:pPr>
            <w:r w:rsidRPr="00F23B84">
              <w:rPr>
                <w:rFonts w:ascii="Arial" w:hAnsi="Arial" w:cs="Arial"/>
                <w:color w:val="000000"/>
              </w:rPr>
              <w:t>1.00</w:t>
            </w:r>
          </w:p>
        </w:tc>
      </w:tr>
      <w:tr w:rsidR="002729D0" w:rsidRPr="00F23B84" w14:paraId="4F1DB784" w14:textId="77777777" w:rsidTr="006568CB">
        <w:trPr>
          <w:trHeight w:val="276"/>
        </w:trPr>
        <w:tc>
          <w:tcPr>
            <w:tcW w:w="1889" w:type="dxa"/>
            <w:tcBorders>
              <w:top w:val="nil"/>
              <w:left w:val="nil"/>
              <w:bottom w:val="nil"/>
            </w:tcBorders>
          </w:tcPr>
          <w:p w14:paraId="2384A6FE" w14:textId="77777777" w:rsidR="002729D0" w:rsidRPr="00F23B84" w:rsidRDefault="002729D0" w:rsidP="006568CB">
            <w:pPr>
              <w:jc w:val="center"/>
              <w:rPr>
                <w:rFonts w:ascii="Arial" w:hAnsi="Arial" w:cs="Arial"/>
                <w:color w:val="000000"/>
              </w:rPr>
            </w:pPr>
            <w:r w:rsidRPr="00F23B84">
              <w:rPr>
                <w:rFonts w:ascii="Arial" w:hAnsi="Arial" w:cs="Arial"/>
                <w:color w:val="000000"/>
              </w:rPr>
              <w:t>36</w:t>
            </w:r>
          </w:p>
        </w:tc>
        <w:tc>
          <w:tcPr>
            <w:tcW w:w="1549" w:type="dxa"/>
            <w:tcBorders>
              <w:top w:val="nil"/>
              <w:bottom w:val="nil"/>
            </w:tcBorders>
          </w:tcPr>
          <w:p w14:paraId="330722C2" w14:textId="77777777" w:rsidR="002729D0" w:rsidRPr="00F23B84" w:rsidRDefault="002729D0" w:rsidP="006568CB">
            <w:pPr>
              <w:jc w:val="center"/>
              <w:rPr>
                <w:rFonts w:ascii="Arial" w:hAnsi="Arial" w:cs="Arial"/>
                <w:color w:val="000000"/>
              </w:rPr>
            </w:pPr>
            <w:r w:rsidRPr="00F23B84">
              <w:rPr>
                <w:rFonts w:ascii="Arial" w:hAnsi="Arial" w:cs="Arial"/>
                <w:color w:val="000000"/>
              </w:rPr>
              <w:t>179</w:t>
            </w:r>
          </w:p>
        </w:tc>
        <w:tc>
          <w:tcPr>
            <w:tcW w:w="1550" w:type="dxa"/>
            <w:tcBorders>
              <w:top w:val="nil"/>
              <w:bottom w:val="nil"/>
            </w:tcBorders>
          </w:tcPr>
          <w:p w14:paraId="33CD4711" w14:textId="77777777" w:rsidR="002729D0" w:rsidRPr="00F23B84" w:rsidRDefault="002729D0" w:rsidP="006568CB">
            <w:pPr>
              <w:jc w:val="center"/>
              <w:rPr>
                <w:rFonts w:ascii="Arial" w:hAnsi="Arial" w:cs="Arial"/>
                <w:color w:val="000000"/>
              </w:rPr>
            </w:pPr>
            <w:r w:rsidRPr="00F23B84">
              <w:rPr>
                <w:rFonts w:ascii="Arial" w:hAnsi="Arial" w:cs="Arial"/>
                <w:color w:val="000000"/>
              </w:rPr>
              <w:t>4</w:t>
            </w:r>
          </w:p>
        </w:tc>
        <w:tc>
          <w:tcPr>
            <w:tcW w:w="1550" w:type="dxa"/>
            <w:tcBorders>
              <w:top w:val="nil"/>
              <w:bottom w:val="nil"/>
            </w:tcBorders>
          </w:tcPr>
          <w:p w14:paraId="652C21CD" w14:textId="77777777" w:rsidR="002729D0" w:rsidRPr="00F23B84" w:rsidRDefault="002729D0" w:rsidP="006568CB">
            <w:pPr>
              <w:jc w:val="center"/>
              <w:rPr>
                <w:rFonts w:ascii="Arial" w:hAnsi="Arial" w:cs="Arial"/>
                <w:color w:val="000000"/>
              </w:rPr>
            </w:pPr>
            <w:r w:rsidRPr="00F23B84">
              <w:rPr>
                <w:rFonts w:ascii="Arial" w:hAnsi="Arial" w:cs="Arial"/>
                <w:color w:val="000000"/>
              </w:rPr>
              <w:t>1</w:t>
            </w:r>
          </w:p>
        </w:tc>
        <w:tc>
          <w:tcPr>
            <w:tcW w:w="1550" w:type="dxa"/>
            <w:tcBorders>
              <w:top w:val="nil"/>
              <w:bottom w:val="nil"/>
            </w:tcBorders>
          </w:tcPr>
          <w:p w14:paraId="6919B260" w14:textId="77777777" w:rsidR="002729D0" w:rsidRPr="00F23B84" w:rsidRDefault="002729D0" w:rsidP="006568CB">
            <w:pPr>
              <w:jc w:val="center"/>
              <w:rPr>
                <w:rFonts w:ascii="Arial" w:hAnsi="Arial" w:cs="Arial"/>
                <w:color w:val="000000"/>
              </w:rPr>
            </w:pPr>
            <w:r w:rsidRPr="00F23B84">
              <w:rPr>
                <w:rFonts w:ascii="Arial" w:hAnsi="Arial" w:cs="Arial"/>
                <w:color w:val="000000"/>
              </w:rPr>
              <w:t>.01</w:t>
            </w:r>
          </w:p>
        </w:tc>
        <w:tc>
          <w:tcPr>
            <w:tcW w:w="1553" w:type="dxa"/>
            <w:tcBorders>
              <w:top w:val="nil"/>
              <w:bottom w:val="nil"/>
              <w:right w:val="nil"/>
            </w:tcBorders>
          </w:tcPr>
          <w:p w14:paraId="19DD0536" w14:textId="13DA2EFB" w:rsidR="002729D0" w:rsidRPr="00F23B84" w:rsidRDefault="006568CB" w:rsidP="006568CB">
            <w:pPr>
              <w:jc w:val="center"/>
              <w:rPr>
                <w:rFonts w:ascii="Arial" w:hAnsi="Arial" w:cs="Arial"/>
                <w:color w:val="000000"/>
              </w:rPr>
            </w:pPr>
            <w:r>
              <w:rPr>
                <w:rFonts w:ascii="Arial" w:hAnsi="Arial" w:cs="Arial"/>
                <w:color w:val="000000"/>
              </w:rPr>
              <w:t>0</w:t>
            </w:r>
            <w:r w:rsidR="002729D0" w:rsidRPr="00F23B84">
              <w:rPr>
                <w:rFonts w:ascii="Arial" w:hAnsi="Arial" w:cs="Arial"/>
                <w:color w:val="000000"/>
              </w:rPr>
              <w:t>.99</w:t>
            </w:r>
          </w:p>
        </w:tc>
      </w:tr>
      <w:tr w:rsidR="002729D0" w:rsidRPr="00F23B84" w14:paraId="32651587" w14:textId="77777777" w:rsidTr="006568CB">
        <w:trPr>
          <w:trHeight w:val="291"/>
        </w:trPr>
        <w:tc>
          <w:tcPr>
            <w:tcW w:w="1889" w:type="dxa"/>
            <w:tcBorders>
              <w:top w:val="nil"/>
              <w:left w:val="nil"/>
              <w:bottom w:val="nil"/>
            </w:tcBorders>
          </w:tcPr>
          <w:p w14:paraId="4216270F" w14:textId="77777777" w:rsidR="002729D0" w:rsidRPr="00F23B84" w:rsidRDefault="002729D0" w:rsidP="006568CB">
            <w:pPr>
              <w:jc w:val="center"/>
              <w:rPr>
                <w:rFonts w:ascii="Arial" w:hAnsi="Arial" w:cs="Arial"/>
                <w:color w:val="000000"/>
              </w:rPr>
            </w:pPr>
            <w:r w:rsidRPr="00F23B84">
              <w:rPr>
                <w:rFonts w:ascii="Arial" w:hAnsi="Arial" w:cs="Arial"/>
                <w:color w:val="000000"/>
              </w:rPr>
              <w:t>48</w:t>
            </w:r>
          </w:p>
        </w:tc>
        <w:tc>
          <w:tcPr>
            <w:tcW w:w="1549" w:type="dxa"/>
            <w:tcBorders>
              <w:top w:val="nil"/>
              <w:bottom w:val="nil"/>
            </w:tcBorders>
          </w:tcPr>
          <w:p w14:paraId="66E537B3" w14:textId="77777777" w:rsidR="002729D0" w:rsidRPr="00F23B84" w:rsidRDefault="002729D0" w:rsidP="006568CB">
            <w:pPr>
              <w:jc w:val="center"/>
              <w:rPr>
                <w:rFonts w:ascii="Arial" w:hAnsi="Arial" w:cs="Arial"/>
                <w:color w:val="000000"/>
              </w:rPr>
            </w:pPr>
            <w:r w:rsidRPr="00F23B84">
              <w:rPr>
                <w:rFonts w:ascii="Arial" w:hAnsi="Arial" w:cs="Arial"/>
                <w:color w:val="000000"/>
              </w:rPr>
              <w:t>174</w:t>
            </w:r>
          </w:p>
        </w:tc>
        <w:tc>
          <w:tcPr>
            <w:tcW w:w="1550" w:type="dxa"/>
            <w:tcBorders>
              <w:top w:val="nil"/>
              <w:bottom w:val="nil"/>
            </w:tcBorders>
          </w:tcPr>
          <w:p w14:paraId="0296B249" w14:textId="77777777" w:rsidR="002729D0" w:rsidRPr="00F23B84" w:rsidRDefault="002729D0" w:rsidP="006568CB">
            <w:pPr>
              <w:jc w:val="center"/>
              <w:rPr>
                <w:rFonts w:ascii="Arial" w:hAnsi="Arial" w:cs="Arial"/>
                <w:color w:val="000000"/>
              </w:rPr>
            </w:pPr>
            <w:r w:rsidRPr="00F23B84">
              <w:rPr>
                <w:rFonts w:ascii="Arial" w:hAnsi="Arial" w:cs="Arial"/>
                <w:color w:val="000000"/>
              </w:rPr>
              <w:t>0</w:t>
            </w:r>
          </w:p>
        </w:tc>
        <w:tc>
          <w:tcPr>
            <w:tcW w:w="1550" w:type="dxa"/>
            <w:tcBorders>
              <w:top w:val="nil"/>
              <w:bottom w:val="nil"/>
            </w:tcBorders>
          </w:tcPr>
          <w:p w14:paraId="6A424F57" w14:textId="77777777" w:rsidR="002729D0" w:rsidRPr="00F23B84" w:rsidRDefault="002729D0" w:rsidP="006568CB">
            <w:pPr>
              <w:jc w:val="center"/>
              <w:rPr>
                <w:rFonts w:ascii="Arial" w:hAnsi="Arial" w:cs="Arial"/>
                <w:color w:val="000000"/>
              </w:rPr>
            </w:pPr>
            <w:r w:rsidRPr="00F23B84">
              <w:rPr>
                <w:rFonts w:ascii="Arial" w:hAnsi="Arial" w:cs="Arial"/>
                <w:color w:val="000000"/>
              </w:rPr>
              <w:t>1</w:t>
            </w:r>
          </w:p>
        </w:tc>
        <w:tc>
          <w:tcPr>
            <w:tcW w:w="1550" w:type="dxa"/>
            <w:tcBorders>
              <w:top w:val="nil"/>
              <w:bottom w:val="nil"/>
            </w:tcBorders>
          </w:tcPr>
          <w:p w14:paraId="0CEABEFD" w14:textId="77777777" w:rsidR="002729D0" w:rsidRPr="00F23B84" w:rsidRDefault="002729D0" w:rsidP="006568CB">
            <w:pPr>
              <w:jc w:val="center"/>
              <w:rPr>
                <w:rFonts w:ascii="Arial" w:hAnsi="Arial" w:cs="Arial"/>
                <w:color w:val="000000"/>
              </w:rPr>
            </w:pPr>
            <w:r w:rsidRPr="00F23B84">
              <w:rPr>
                <w:rFonts w:ascii="Arial" w:hAnsi="Arial" w:cs="Arial"/>
                <w:color w:val="000000"/>
              </w:rPr>
              <w:t>.01</w:t>
            </w:r>
          </w:p>
        </w:tc>
        <w:tc>
          <w:tcPr>
            <w:tcW w:w="1553" w:type="dxa"/>
            <w:tcBorders>
              <w:top w:val="nil"/>
              <w:bottom w:val="nil"/>
              <w:right w:val="nil"/>
            </w:tcBorders>
          </w:tcPr>
          <w:p w14:paraId="24AD9620" w14:textId="344907DC" w:rsidR="002729D0" w:rsidRPr="00F23B84" w:rsidRDefault="006568CB" w:rsidP="006568CB">
            <w:pPr>
              <w:jc w:val="center"/>
              <w:rPr>
                <w:rFonts w:ascii="Arial" w:hAnsi="Arial" w:cs="Arial"/>
                <w:color w:val="000000"/>
              </w:rPr>
            </w:pPr>
            <w:r>
              <w:rPr>
                <w:rFonts w:ascii="Arial" w:hAnsi="Arial" w:cs="Arial"/>
                <w:color w:val="000000"/>
              </w:rPr>
              <w:t>0</w:t>
            </w:r>
            <w:r w:rsidR="002729D0" w:rsidRPr="00F23B84">
              <w:rPr>
                <w:rFonts w:ascii="Arial" w:hAnsi="Arial" w:cs="Arial"/>
                <w:color w:val="000000"/>
              </w:rPr>
              <w:t>.99</w:t>
            </w:r>
          </w:p>
        </w:tc>
      </w:tr>
      <w:tr w:rsidR="002729D0" w:rsidRPr="00F23B84" w14:paraId="79EDE2C8" w14:textId="77777777" w:rsidTr="006568CB">
        <w:trPr>
          <w:trHeight w:val="291"/>
        </w:trPr>
        <w:tc>
          <w:tcPr>
            <w:tcW w:w="1889" w:type="dxa"/>
            <w:tcBorders>
              <w:top w:val="nil"/>
              <w:left w:val="nil"/>
              <w:bottom w:val="nil"/>
            </w:tcBorders>
          </w:tcPr>
          <w:p w14:paraId="6AF7B5F4" w14:textId="77777777" w:rsidR="002729D0" w:rsidRPr="00F23B84" w:rsidRDefault="002729D0" w:rsidP="006568CB">
            <w:pPr>
              <w:jc w:val="center"/>
              <w:rPr>
                <w:rFonts w:ascii="Arial" w:hAnsi="Arial" w:cs="Arial"/>
                <w:color w:val="000000"/>
              </w:rPr>
            </w:pPr>
            <w:r w:rsidRPr="00F23B84">
              <w:rPr>
                <w:rFonts w:ascii="Arial" w:hAnsi="Arial" w:cs="Arial"/>
                <w:color w:val="000000"/>
              </w:rPr>
              <w:t>60</w:t>
            </w:r>
          </w:p>
        </w:tc>
        <w:tc>
          <w:tcPr>
            <w:tcW w:w="1549" w:type="dxa"/>
            <w:tcBorders>
              <w:top w:val="nil"/>
              <w:bottom w:val="nil"/>
            </w:tcBorders>
          </w:tcPr>
          <w:p w14:paraId="3C0C50A5" w14:textId="77777777" w:rsidR="002729D0" w:rsidRPr="00F23B84" w:rsidRDefault="002729D0" w:rsidP="006568CB">
            <w:pPr>
              <w:jc w:val="center"/>
              <w:rPr>
                <w:rFonts w:ascii="Arial" w:hAnsi="Arial" w:cs="Arial"/>
                <w:color w:val="000000"/>
              </w:rPr>
            </w:pPr>
            <w:r w:rsidRPr="00F23B84">
              <w:rPr>
                <w:rFonts w:ascii="Arial" w:hAnsi="Arial" w:cs="Arial"/>
                <w:color w:val="000000"/>
              </w:rPr>
              <w:t>173</w:t>
            </w:r>
          </w:p>
        </w:tc>
        <w:tc>
          <w:tcPr>
            <w:tcW w:w="1550" w:type="dxa"/>
            <w:tcBorders>
              <w:top w:val="nil"/>
              <w:bottom w:val="nil"/>
            </w:tcBorders>
          </w:tcPr>
          <w:p w14:paraId="3F7E9F49" w14:textId="77777777" w:rsidR="002729D0" w:rsidRPr="00F23B84" w:rsidRDefault="002729D0" w:rsidP="006568CB">
            <w:pPr>
              <w:jc w:val="center"/>
              <w:rPr>
                <w:rFonts w:ascii="Arial" w:hAnsi="Arial" w:cs="Arial"/>
                <w:color w:val="000000"/>
              </w:rPr>
            </w:pPr>
            <w:r w:rsidRPr="00F23B84">
              <w:rPr>
                <w:rFonts w:ascii="Arial" w:hAnsi="Arial" w:cs="Arial"/>
                <w:color w:val="000000"/>
              </w:rPr>
              <w:t>15</w:t>
            </w:r>
          </w:p>
        </w:tc>
        <w:tc>
          <w:tcPr>
            <w:tcW w:w="1550" w:type="dxa"/>
            <w:tcBorders>
              <w:top w:val="nil"/>
              <w:bottom w:val="nil"/>
            </w:tcBorders>
          </w:tcPr>
          <w:p w14:paraId="77B18916" w14:textId="77777777" w:rsidR="002729D0" w:rsidRPr="00F23B84" w:rsidRDefault="002729D0" w:rsidP="006568CB">
            <w:pPr>
              <w:jc w:val="center"/>
              <w:rPr>
                <w:rFonts w:ascii="Arial" w:hAnsi="Arial" w:cs="Arial"/>
                <w:color w:val="000000"/>
              </w:rPr>
            </w:pPr>
            <w:r w:rsidRPr="00F23B84">
              <w:rPr>
                <w:rFonts w:ascii="Arial" w:hAnsi="Arial" w:cs="Arial"/>
                <w:color w:val="000000"/>
              </w:rPr>
              <w:t>0</w:t>
            </w:r>
          </w:p>
        </w:tc>
        <w:tc>
          <w:tcPr>
            <w:tcW w:w="1550" w:type="dxa"/>
            <w:tcBorders>
              <w:top w:val="nil"/>
              <w:bottom w:val="nil"/>
            </w:tcBorders>
          </w:tcPr>
          <w:p w14:paraId="70E4FB76" w14:textId="77777777" w:rsidR="002729D0" w:rsidRPr="00F23B84" w:rsidRDefault="002729D0" w:rsidP="006568CB">
            <w:pPr>
              <w:jc w:val="center"/>
              <w:rPr>
                <w:rFonts w:ascii="Arial" w:hAnsi="Arial" w:cs="Arial"/>
                <w:color w:val="000000"/>
              </w:rPr>
            </w:pPr>
            <w:r w:rsidRPr="00F23B84">
              <w:rPr>
                <w:rFonts w:ascii="Arial" w:hAnsi="Arial" w:cs="Arial"/>
                <w:color w:val="000000"/>
              </w:rPr>
              <w:t>.00</w:t>
            </w:r>
          </w:p>
        </w:tc>
        <w:tc>
          <w:tcPr>
            <w:tcW w:w="1553" w:type="dxa"/>
            <w:tcBorders>
              <w:top w:val="nil"/>
              <w:bottom w:val="nil"/>
              <w:right w:val="nil"/>
            </w:tcBorders>
          </w:tcPr>
          <w:p w14:paraId="1B8FE26B" w14:textId="77777777" w:rsidR="002729D0" w:rsidRPr="00F23B84" w:rsidRDefault="002729D0" w:rsidP="006568CB">
            <w:pPr>
              <w:jc w:val="center"/>
              <w:rPr>
                <w:rFonts w:ascii="Arial" w:hAnsi="Arial" w:cs="Arial"/>
                <w:color w:val="000000"/>
              </w:rPr>
            </w:pPr>
            <w:r w:rsidRPr="00F23B84">
              <w:rPr>
                <w:rFonts w:ascii="Arial" w:hAnsi="Arial" w:cs="Arial"/>
                <w:color w:val="000000"/>
              </w:rPr>
              <w:t>1.00</w:t>
            </w:r>
          </w:p>
        </w:tc>
      </w:tr>
      <w:tr w:rsidR="002729D0" w:rsidRPr="00F23B84" w14:paraId="5CB7B31C" w14:textId="77777777" w:rsidTr="006568CB">
        <w:trPr>
          <w:trHeight w:val="291"/>
        </w:trPr>
        <w:tc>
          <w:tcPr>
            <w:tcW w:w="1889" w:type="dxa"/>
            <w:tcBorders>
              <w:top w:val="nil"/>
              <w:left w:val="nil"/>
              <w:bottom w:val="nil"/>
            </w:tcBorders>
          </w:tcPr>
          <w:p w14:paraId="36221089" w14:textId="77777777" w:rsidR="002729D0" w:rsidRPr="00F23B84" w:rsidRDefault="002729D0" w:rsidP="006568CB">
            <w:pPr>
              <w:jc w:val="center"/>
              <w:rPr>
                <w:rFonts w:ascii="Arial" w:hAnsi="Arial" w:cs="Arial"/>
                <w:color w:val="000000"/>
              </w:rPr>
            </w:pPr>
            <w:r w:rsidRPr="00F23B84">
              <w:rPr>
                <w:rFonts w:ascii="Arial" w:hAnsi="Arial" w:cs="Arial"/>
                <w:color w:val="000000"/>
              </w:rPr>
              <w:t>72</w:t>
            </w:r>
          </w:p>
        </w:tc>
        <w:tc>
          <w:tcPr>
            <w:tcW w:w="1549" w:type="dxa"/>
            <w:tcBorders>
              <w:top w:val="nil"/>
              <w:bottom w:val="nil"/>
            </w:tcBorders>
          </w:tcPr>
          <w:p w14:paraId="53E1379A" w14:textId="77777777" w:rsidR="002729D0" w:rsidRPr="00F23B84" w:rsidRDefault="002729D0" w:rsidP="006568CB">
            <w:pPr>
              <w:jc w:val="center"/>
              <w:rPr>
                <w:rFonts w:ascii="Arial" w:hAnsi="Arial" w:cs="Arial"/>
                <w:color w:val="000000"/>
              </w:rPr>
            </w:pPr>
            <w:r w:rsidRPr="00F23B84">
              <w:rPr>
                <w:rFonts w:ascii="Arial" w:hAnsi="Arial" w:cs="Arial"/>
                <w:color w:val="000000"/>
              </w:rPr>
              <w:t>158</w:t>
            </w:r>
          </w:p>
        </w:tc>
        <w:tc>
          <w:tcPr>
            <w:tcW w:w="1550" w:type="dxa"/>
            <w:tcBorders>
              <w:top w:val="nil"/>
              <w:bottom w:val="nil"/>
            </w:tcBorders>
          </w:tcPr>
          <w:p w14:paraId="021EF500" w14:textId="77777777" w:rsidR="002729D0" w:rsidRPr="00F23B84" w:rsidRDefault="002729D0" w:rsidP="006568CB">
            <w:pPr>
              <w:jc w:val="center"/>
              <w:rPr>
                <w:rFonts w:ascii="Arial" w:hAnsi="Arial" w:cs="Arial"/>
                <w:color w:val="000000"/>
              </w:rPr>
            </w:pPr>
            <w:r w:rsidRPr="00F23B84">
              <w:rPr>
                <w:rFonts w:ascii="Arial" w:hAnsi="Arial" w:cs="Arial"/>
                <w:color w:val="000000"/>
              </w:rPr>
              <w:t>38</w:t>
            </w:r>
          </w:p>
        </w:tc>
        <w:tc>
          <w:tcPr>
            <w:tcW w:w="1550" w:type="dxa"/>
            <w:tcBorders>
              <w:top w:val="nil"/>
              <w:bottom w:val="nil"/>
            </w:tcBorders>
          </w:tcPr>
          <w:p w14:paraId="78A9C39C" w14:textId="77777777" w:rsidR="002729D0" w:rsidRPr="00F23B84" w:rsidRDefault="002729D0" w:rsidP="006568CB">
            <w:pPr>
              <w:jc w:val="center"/>
              <w:rPr>
                <w:rFonts w:ascii="Arial" w:hAnsi="Arial" w:cs="Arial"/>
                <w:color w:val="000000"/>
              </w:rPr>
            </w:pPr>
            <w:r w:rsidRPr="00F23B84">
              <w:rPr>
                <w:rFonts w:ascii="Arial" w:hAnsi="Arial" w:cs="Arial"/>
                <w:color w:val="000000"/>
              </w:rPr>
              <w:t>1</w:t>
            </w:r>
          </w:p>
        </w:tc>
        <w:tc>
          <w:tcPr>
            <w:tcW w:w="1550" w:type="dxa"/>
            <w:tcBorders>
              <w:top w:val="nil"/>
              <w:bottom w:val="nil"/>
            </w:tcBorders>
          </w:tcPr>
          <w:p w14:paraId="23C223DF" w14:textId="77777777" w:rsidR="002729D0" w:rsidRPr="00F23B84" w:rsidRDefault="002729D0" w:rsidP="006568CB">
            <w:pPr>
              <w:jc w:val="center"/>
              <w:rPr>
                <w:rFonts w:ascii="Arial" w:hAnsi="Arial" w:cs="Arial"/>
                <w:color w:val="000000"/>
              </w:rPr>
            </w:pPr>
            <w:r w:rsidRPr="00F23B84">
              <w:rPr>
                <w:rFonts w:ascii="Arial" w:hAnsi="Arial" w:cs="Arial"/>
                <w:color w:val="000000"/>
              </w:rPr>
              <w:t>.01</w:t>
            </w:r>
          </w:p>
        </w:tc>
        <w:tc>
          <w:tcPr>
            <w:tcW w:w="1553" w:type="dxa"/>
            <w:tcBorders>
              <w:top w:val="nil"/>
              <w:bottom w:val="nil"/>
              <w:right w:val="nil"/>
            </w:tcBorders>
          </w:tcPr>
          <w:p w14:paraId="69E6F7A7" w14:textId="70BF50FF" w:rsidR="002729D0" w:rsidRPr="00F23B84" w:rsidRDefault="006568CB" w:rsidP="006568CB">
            <w:pPr>
              <w:jc w:val="center"/>
              <w:rPr>
                <w:rFonts w:ascii="Arial" w:hAnsi="Arial" w:cs="Arial"/>
                <w:color w:val="000000"/>
              </w:rPr>
            </w:pPr>
            <w:r>
              <w:rPr>
                <w:rFonts w:ascii="Arial" w:hAnsi="Arial" w:cs="Arial"/>
                <w:color w:val="000000"/>
              </w:rPr>
              <w:t>0</w:t>
            </w:r>
            <w:r w:rsidR="002729D0" w:rsidRPr="00F23B84">
              <w:rPr>
                <w:rFonts w:ascii="Arial" w:hAnsi="Arial" w:cs="Arial"/>
                <w:color w:val="000000"/>
              </w:rPr>
              <w:t>.99</w:t>
            </w:r>
          </w:p>
        </w:tc>
      </w:tr>
      <w:tr w:rsidR="002729D0" w:rsidRPr="00F23B84" w14:paraId="1093240E" w14:textId="77777777" w:rsidTr="006568CB">
        <w:trPr>
          <w:trHeight w:val="291"/>
        </w:trPr>
        <w:tc>
          <w:tcPr>
            <w:tcW w:w="1889" w:type="dxa"/>
            <w:tcBorders>
              <w:top w:val="nil"/>
              <w:left w:val="nil"/>
              <w:bottom w:val="nil"/>
            </w:tcBorders>
          </w:tcPr>
          <w:p w14:paraId="0E5F132A" w14:textId="77777777" w:rsidR="002729D0" w:rsidRPr="00F23B84" w:rsidRDefault="002729D0" w:rsidP="006568CB">
            <w:pPr>
              <w:jc w:val="center"/>
              <w:rPr>
                <w:rFonts w:ascii="Arial" w:hAnsi="Arial" w:cs="Arial"/>
                <w:color w:val="000000"/>
              </w:rPr>
            </w:pPr>
            <w:r w:rsidRPr="00F23B84">
              <w:rPr>
                <w:rFonts w:ascii="Arial" w:hAnsi="Arial" w:cs="Arial"/>
                <w:color w:val="000000"/>
              </w:rPr>
              <w:t>84</w:t>
            </w:r>
          </w:p>
        </w:tc>
        <w:tc>
          <w:tcPr>
            <w:tcW w:w="1549" w:type="dxa"/>
            <w:tcBorders>
              <w:top w:val="nil"/>
              <w:bottom w:val="nil"/>
            </w:tcBorders>
          </w:tcPr>
          <w:p w14:paraId="706EEB80" w14:textId="77777777" w:rsidR="002729D0" w:rsidRPr="00F23B84" w:rsidRDefault="002729D0" w:rsidP="006568CB">
            <w:pPr>
              <w:jc w:val="center"/>
              <w:rPr>
                <w:rFonts w:ascii="Arial" w:hAnsi="Arial" w:cs="Arial"/>
                <w:color w:val="000000"/>
              </w:rPr>
            </w:pPr>
            <w:r w:rsidRPr="00F23B84">
              <w:rPr>
                <w:rFonts w:ascii="Arial" w:hAnsi="Arial" w:cs="Arial"/>
                <w:color w:val="000000"/>
              </w:rPr>
              <w:t>119</w:t>
            </w:r>
          </w:p>
        </w:tc>
        <w:tc>
          <w:tcPr>
            <w:tcW w:w="1550" w:type="dxa"/>
            <w:tcBorders>
              <w:top w:val="nil"/>
              <w:bottom w:val="nil"/>
            </w:tcBorders>
          </w:tcPr>
          <w:p w14:paraId="6A4D8502" w14:textId="77777777" w:rsidR="002729D0" w:rsidRPr="00F23B84" w:rsidRDefault="002729D0" w:rsidP="006568CB">
            <w:pPr>
              <w:jc w:val="center"/>
              <w:rPr>
                <w:rFonts w:ascii="Arial" w:hAnsi="Arial" w:cs="Arial"/>
                <w:color w:val="000000"/>
              </w:rPr>
            </w:pPr>
            <w:r w:rsidRPr="00F23B84">
              <w:rPr>
                <w:rFonts w:ascii="Arial" w:hAnsi="Arial" w:cs="Arial"/>
                <w:color w:val="000000"/>
              </w:rPr>
              <w:t>34</w:t>
            </w:r>
          </w:p>
        </w:tc>
        <w:tc>
          <w:tcPr>
            <w:tcW w:w="1550" w:type="dxa"/>
            <w:tcBorders>
              <w:top w:val="nil"/>
              <w:bottom w:val="nil"/>
            </w:tcBorders>
          </w:tcPr>
          <w:p w14:paraId="3AF49324" w14:textId="77777777" w:rsidR="002729D0" w:rsidRPr="00F23B84" w:rsidRDefault="002729D0" w:rsidP="006568CB">
            <w:pPr>
              <w:jc w:val="center"/>
              <w:rPr>
                <w:rFonts w:ascii="Arial" w:hAnsi="Arial" w:cs="Arial"/>
                <w:color w:val="000000"/>
              </w:rPr>
            </w:pPr>
            <w:r w:rsidRPr="00F23B84">
              <w:rPr>
                <w:rFonts w:ascii="Arial" w:hAnsi="Arial" w:cs="Arial"/>
                <w:color w:val="000000"/>
              </w:rPr>
              <w:t>1</w:t>
            </w:r>
          </w:p>
        </w:tc>
        <w:tc>
          <w:tcPr>
            <w:tcW w:w="1550" w:type="dxa"/>
            <w:tcBorders>
              <w:top w:val="nil"/>
              <w:bottom w:val="nil"/>
            </w:tcBorders>
          </w:tcPr>
          <w:p w14:paraId="53BD97C1" w14:textId="77777777" w:rsidR="002729D0" w:rsidRPr="00F23B84" w:rsidRDefault="002729D0" w:rsidP="006568CB">
            <w:pPr>
              <w:jc w:val="center"/>
              <w:rPr>
                <w:rFonts w:ascii="Arial" w:hAnsi="Arial" w:cs="Arial"/>
                <w:color w:val="000000"/>
              </w:rPr>
            </w:pPr>
            <w:r w:rsidRPr="00F23B84">
              <w:rPr>
                <w:rFonts w:ascii="Arial" w:hAnsi="Arial" w:cs="Arial"/>
                <w:color w:val="000000"/>
              </w:rPr>
              <w:t>.01</w:t>
            </w:r>
          </w:p>
        </w:tc>
        <w:tc>
          <w:tcPr>
            <w:tcW w:w="1553" w:type="dxa"/>
            <w:tcBorders>
              <w:top w:val="nil"/>
              <w:bottom w:val="nil"/>
              <w:right w:val="nil"/>
            </w:tcBorders>
          </w:tcPr>
          <w:p w14:paraId="2B73B27D" w14:textId="76932AD0" w:rsidR="002729D0" w:rsidRPr="00F23B84" w:rsidRDefault="006568CB" w:rsidP="006568CB">
            <w:pPr>
              <w:jc w:val="center"/>
              <w:rPr>
                <w:rFonts w:ascii="Arial" w:hAnsi="Arial" w:cs="Arial"/>
                <w:color w:val="000000"/>
              </w:rPr>
            </w:pPr>
            <w:r>
              <w:rPr>
                <w:rFonts w:ascii="Arial" w:hAnsi="Arial" w:cs="Arial"/>
                <w:color w:val="000000"/>
              </w:rPr>
              <w:t>0</w:t>
            </w:r>
            <w:r w:rsidR="002729D0" w:rsidRPr="00F23B84">
              <w:rPr>
                <w:rFonts w:ascii="Arial" w:hAnsi="Arial" w:cs="Arial"/>
                <w:color w:val="000000"/>
              </w:rPr>
              <w:t>.99</w:t>
            </w:r>
          </w:p>
        </w:tc>
      </w:tr>
      <w:tr w:rsidR="002729D0" w:rsidRPr="00F23B84" w14:paraId="2490994F" w14:textId="77777777" w:rsidTr="006568CB">
        <w:trPr>
          <w:trHeight w:val="291"/>
        </w:trPr>
        <w:tc>
          <w:tcPr>
            <w:tcW w:w="1889" w:type="dxa"/>
            <w:tcBorders>
              <w:top w:val="nil"/>
              <w:left w:val="nil"/>
              <w:bottom w:val="nil"/>
            </w:tcBorders>
          </w:tcPr>
          <w:p w14:paraId="77DADADD" w14:textId="77777777" w:rsidR="002729D0" w:rsidRPr="00F23B84" w:rsidRDefault="002729D0" w:rsidP="006568CB">
            <w:pPr>
              <w:jc w:val="center"/>
              <w:rPr>
                <w:rFonts w:ascii="Arial" w:hAnsi="Arial" w:cs="Arial"/>
                <w:color w:val="000000"/>
              </w:rPr>
            </w:pPr>
            <w:r w:rsidRPr="00F23B84">
              <w:rPr>
                <w:rFonts w:ascii="Arial" w:hAnsi="Arial" w:cs="Arial"/>
                <w:color w:val="000000"/>
              </w:rPr>
              <w:t>96</w:t>
            </w:r>
          </w:p>
        </w:tc>
        <w:tc>
          <w:tcPr>
            <w:tcW w:w="1549" w:type="dxa"/>
            <w:tcBorders>
              <w:top w:val="nil"/>
              <w:bottom w:val="nil"/>
            </w:tcBorders>
          </w:tcPr>
          <w:p w14:paraId="220B4FD1" w14:textId="77777777" w:rsidR="002729D0" w:rsidRPr="00F23B84" w:rsidRDefault="002729D0" w:rsidP="006568CB">
            <w:pPr>
              <w:jc w:val="center"/>
              <w:rPr>
                <w:rFonts w:ascii="Arial" w:hAnsi="Arial" w:cs="Arial"/>
                <w:color w:val="000000"/>
              </w:rPr>
            </w:pPr>
            <w:r w:rsidRPr="00F23B84">
              <w:rPr>
                <w:rFonts w:ascii="Arial" w:hAnsi="Arial" w:cs="Arial"/>
                <w:color w:val="000000"/>
              </w:rPr>
              <w:t>84</w:t>
            </w:r>
          </w:p>
        </w:tc>
        <w:tc>
          <w:tcPr>
            <w:tcW w:w="1550" w:type="dxa"/>
            <w:tcBorders>
              <w:top w:val="nil"/>
              <w:bottom w:val="nil"/>
            </w:tcBorders>
          </w:tcPr>
          <w:p w14:paraId="2701BE66" w14:textId="77777777" w:rsidR="002729D0" w:rsidRPr="00F23B84" w:rsidRDefault="002729D0" w:rsidP="006568CB">
            <w:pPr>
              <w:jc w:val="center"/>
              <w:rPr>
                <w:rFonts w:ascii="Arial" w:hAnsi="Arial" w:cs="Arial"/>
                <w:color w:val="000000"/>
              </w:rPr>
            </w:pPr>
            <w:r w:rsidRPr="00F23B84">
              <w:rPr>
                <w:rFonts w:ascii="Arial" w:hAnsi="Arial" w:cs="Arial"/>
                <w:color w:val="000000"/>
              </w:rPr>
              <w:t>19</w:t>
            </w:r>
          </w:p>
        </w:tc>
        <w:tc>
          <w:tcPr>
            <w:tcW w:w="1550" w:type="dxa"/>
            <w:tcBorders>
              <w:top w:val="nil"/>
              <w:bottom w:val="nil"/>
            </w:tcBorders>
          </w:tcPr>
          <w:p w14:paraId="08F20EBF" w14:textId="77777777" w:rsidR="002729D0" w:rsidRPr="00F23B84" w:rsidRDefault="002729D0" w:rsidP="006568CB">
            <w:pPr>
              <w:jc w:val="center"/>
              <w:rPr>
                <w:rFonts w:ascii="Arial" w:hAnsi="Arial" w:cs="Arial"/>
                <w:color w:val="000000"/>
              </w:rPr>
            </w:pPr>
            <w:r w:rsidRPr="00F23B84">
              <w:rPr>
                <w:rFonts w:ascii="Arial" w:hAnsi="Arial" w:cs="Arial"/>
                <w:color w:val="000000"/>
              </w:rPr>
              <w:t>1</w:t>
            </w:r>
          </w:p>
        </w:tc>
        <w:tc>
          <w:tcPr>
            <w:tcW w:w="1550" w:type="dxa"/>
            <w:tcBorders>
              <w:top w:val="nil"/>
              <w:bottom w:val="nil"/>
            </w:tcBorders>
          </w:tcPr>
          <w:p w14:paraId="492C77FF" w14:textId="77777777" w:rsidR="002729D0" w:rsidRPr="00F23B84" w:rsidRDefault="002729D0" w:rsidP="006568CB">
            <w:pPr>
              <w:jc w:val="center"/>
              <w:rPr>
                <w:rFonts w:ascii="Arial" w:hAnsi="Arial" w:cs="Arial"/>
                <w:color w:val="000000"/>
              </w:rPr>
            </w:pPr>
            <w:r w:rsidRPr="00F23B84">
              <w:rPr>
                <w:rFonts w:ascii="Arial" w:hAnsi="Arial" w:cs="Arial"/>
                <w:color w:val="000000"/>
              </w:rPr>
              <w:t>.01</w:t>
            </w:r>
          </w:p>
        </w:tc>
        <w:tc>
          <w:tcPr>
            <w:tcW w:w="1553" w:type="dxa"/>
            <w:tcBorders>
              <w:top w:val="nil"/>
              <w:bottom w:val="nil"/>
              <w:right w:val="nil"/>
            </w:tcBorders>
          </w:tcPr>
          <w:p w14:paraId="4A045DD5" w14:textId="06DE6839" w:rsidR="002729D0" w:rsidRPr="00F23B84" w:rsidRDefault="006568CB" w:rsidP="006568CB">
            <w:pPr>
              <w:jc w:val="center"/>
              <w:rPr>
                <w:rFonts w:ascii="Arial" w:hAnsi="Arial" w:cs="Arial"/>
                <w:color w:val="000000"/>
              </w:rPr>
            </w:pPr>
            <w:r>
              <w:rPr>
                <w:rFonts w:ascii="Arial" w:hAnsi="Arial" w:cs="Arial"/>
                <w:color w:val="000000"/>
              </w:rPr>
              <w:t>0</w:t>
            </w:r>
            <w:r w:rsidR="002729D0" w:rsidRPr="00F23B84">
              <w:rPr>
                <w:rFonts w:ascii="Arial" w:hAnsi="Arial" w:cs="Arial"/>
                <w:color w:val="000000"/>
              </w:rPr>
              <w:t>.99</w:t>
            </w:r>
          </w:p>
        </w:tc>
      </w:tr>
      <w:tr w:rsidR="002729D0" w:rsidRPr="00F23B84" w14:paraId="6EBF189E" w14:textId="77777777" w:rsidTr="006568CB">
        <w:trPr>
          <w:trHeight w:val="276"/>
        </w:trPr>
        <w:tc>
          <w:tcPr>
            <w:tcW w:w="1889" w:type="dxa"/>
            <w:tcBorders>
              <w:top w:val="nil"/>
              <w:left w:val="nil"/>
              <w:bottom w:val="nil"/>
            </w:tcBorders>
          </w:tcPr>
          <w:p w14:paraId="5A5638E0" w14:textId="77777777" w:rsidR="002729D0" w:rsidRPr="00F23B84" w:rsidRDefault="002729D0" w:rsidP="006568CB">
            <w:pPr>
              <w:jc w:val="center"/>
              <w:rPr>
                <w:rFonts w:ascii="Arial" w:hAnsi="Arial" w:cs="Arial"/>
                <w:color w:val="000000"/>
              </w:rPr>
            </w:pPr>
            <w:r w:rsidRPr="00F23B84">
              <w:rPr>
                <w:rFonts w:ascii="Arial" w:hAnsi="Arial" w:cs="Arial"/>
                <w:color w:val="000000"/>
              </w:rPr>
              <w:t>108</w:t>
            </w:r>
          </w:p>
        </w:tc>
        <w:tc>
          <w:tcPr>
            <w:tcW w:w="1549" w:type="dxa"/>
            <w:tcBorders>
              <w:top w:val="nil"/>
              <w:bottom w:val="nil"/>
            </w:tcBorders>
          </w:tcPr>
          <w:p w14:paraId="38D0C6A9" w14:textId="77777777" w:rsidR="002729D0" w:rsidRPr="00F23B84" w:rsidRDefault="002729D0" w:rsidP="006568CB">
            <w:pPr>
              <w:jc w:val="center"/>
              <w:rPr>
                <w:rFonts w:ascii="Arial" w:hAnsi="Arial" w:cs="Arial"/>
                <w:color w:val="000000"/>
              </w:rPr>
            </w:pPr>
            <w:r w:rsidRPr="00F23B84">
              <w:rPr>
                <w:rFonts w:ascii="Arial" w:hAnsi="Arial" w:cs="Arial"/>
                <w:color w:val="000000"/>
              </w:rPr>
              <w:t>64</w:t>
            </w:r>
          </w:p>
        </w:tc>
        <w:tc>
          <w:tcPr>
            <w:tcW w:w="1550" w:type="dxa"/>
            <w:tcBorders>
              <w:top w:val="nil"/>
              <w:bottom w:val="nil"/>
            </w:tcBorders>
          </w:tcPr>
          <w:p w14:paraId="3C6220B4" w14:textId="77777777" w:rsidR="002729D0" w:rsidRPr="00F23B84" w:rsidRDefault="002729D0" w:rsidP="006568CB">
            <w:pPr>
              <w:jc w:val="center"/>
              <w:rPr>
                <w:rFonts w:ascii="Arial" w:hAnsi="Arial" w:cs="Arial"/>
                <w:color w:val="000000"/>
              </w:rPr>
            </w:pPr>
            <w:r w:rsidRPr="00F23B84">
              <w:rPr>
                <w:rFonts w:ascii="Arial" w:hAnsi="Arial" w:cs="Arial"/>
                <w:color w:val="000000"/>
              </w:rPr>
              <w:t>22</w:t>
            </w:r>
          </w:p>
        </w:tc>
        <w:tc>
          <w:tcPr>
            <w:tcW w:w="1550" w:type="dxa"/>
            <w:tcBorders>
              <w:top w:val="nil"/>
              <w:bottom w:val="nil"/>
            </w:tcBorders>
          </w:tcPr>
          <w:p w14:paraId="1B8D7508" w14:textId="77777777" w:rsidR="002729D0" w:rsidRPr="00F23B84" w:rsidRDefault="002729D0" w:rsidP="006568CB">
            <w:pPr>
              <w:jc w:val="center"/>
              <w:rPr>
                <w:rFonts w:ascii="Arial" w:hAnsi="Arial" w:cs="Arial"/>
                <w:color w:val="000000"/>
              </w:rPr>
            </w:pPr>
            <w:r w:rsidRPr="00F23B84">
              <w:rPr>
                <w:rFonts w:ascii="Arial" w:hAnsi="Arial" w:cs="Arial"/>
                <w:color w:val="000000"/>
              </w:rPr>
              <w:t>0</w:t>
            </w:r>
          </w:p>
        </w:tc>
        <w:tc>
          <w:tcPr>
            <w:tcW w:w="1550" w:type="dxa"/>
            <w:tcBorders>
              <w:top w:val="nil"/>
              <w:bottom w:val="nil"/>
            </w:tcBorders>
          </w:tcPr>
          <w:p w14:paraId="1CCF6D01" w14:textId="77777777" w:rsidR="002729D0" w:rsidRPr="00F23B84" w:rsidRDefault="002729D0" w:rsidP="006568CB">
            <w:pPr>
              <w:jc w:val="center"/>
              <w:rPr>
                <w:rFonts w:ascii="Arial" w:hAnsi="Arial" w:cs="Arial"/>
                <w:color w:val="000000"/>
              </w:rPr>
            </w:pPr>
            <w:r w:rsidRPr="00F23B84">
              <w:rPr>
                <w:rFonts w:ascii="Arial" w:hAnsi="Arial" w:cs="Arial"/>
                <w:color w:val="000000"/>
              </w:rPr>
              <w:t>.00</w:t>
            </w:r>
          </w:p>
        </w:tc>
        <w:tc>
          <w:tcPr>
            <w:tcW w:w="1553" w:type="dxa"/>
            <w:tcBorders>
              <w:top w:val="nil"/>
              <w:bottom w:val="nil"/>
              <w:right w:val="nil"/>
            </w:tcBorders>
          </w:tcPr>
          <w:p w14:paraId="5C958293" w14:textId="77777777" w:rsidR="002729D0" w:rsidRPr="00F23B84" w:rsidRDefault="002729D0" w:rsidP="006568CB">
            <w:pPr>
              <w:jc w:val="center"/>
              <w:rPr>
                <w:rFonts w:ascii="Arial" w:hAnsi="Arial" w:cs="Arial"/>
                <w:color w:val="000000"/>
              </w:rPr>
            </w:pPr>
            <w:r w:rsidRPr="00F23B84">
              <w:rPr>
                <w:rFonts w:ascii="Arial" w:hAnsi="Arial" w:cs="Arial"/>
                <w:color w:val="000000"/>
              </w:rPr>
              <w:t>1.00</w:t>
            </w:r>
          </w:p>
        </w:tc>
      </w:tr>
      <w:tr w:rsidR="002729D0" w:rsidRPr="00F23B84" w14:paraId="7B472A16" w14:textId="77777777" w:rsidTr="006568CB">
        <w:trPr>
          <w:trHeight w:val="291"/>
        </w:trPr>
        <w:tc>
          <w:tcPr>
            <w:tcW w:w="1889" w:type="dxa"/>
            <w:tcBorders>
              <w:top w:val="nil"/>
              <w:left w:val="nil"/>
              <w:bottom w:val="nil"/>
            </w:tcBorders>
          </w:tcPr>
          <w:p w14:paraId="34204FB9" w14:textId="77777777" w:rsidR="002729D0" w:rsidRPr="00F23B84" w:rsidRDefault="002729D0" w:rsidP="006568CB">
            <w:pPr>
              <w:jc w:val="center"/>
              <w:rPr>
                <w:rFonts w:ascii="Arial" w:hAnsi="Arial" w:cs="Arial"/>
                <w:color w:val="000000"/>
              </w:rPr>
            </w:pPr>
            <w:r w:rsidRPr="00F23B84">
              <w:rPr>
                <w:rFonts w:ascii="Arial" w:hAnsi="Arial" w:cs="Arial"/>
                <w:color w:val="000000"/>
              </w:rPr>
              <w:t>120</w:t>
            </w:r>
          </w:p>
        </w:tc>
        <w:tc>
          <w:tcPr>
            <w:tcW w:w="1549" w:type="dxa"/>
            <w:tcBorders>
              <w:top w:val="nil"/>
              <w:bottom w:val="nil"/>
            </w:tcBorders>
          </w:tcPr>
          <w:p w14:paraId="569F3C74" w14:textId="77777777" w:rsidR="002729D0" w:rsidRPr="00F23B84" w:rsidRDefault="002729D0" w:rsidP="006568CB">
            <w:pPr>
              <w:jc w:val="center"/>
              <w:rPr>
                <w:rFonts w:ascii="Arial" w:hAnsi="Arial" w:cs="Arial"/>
                <w:color w:val="000000"/>
              </w:rPr>
            </w:pPr>
            <w:r w:rsidRPr="00F23B84">
              <w:rPr>
                <w:rFonts w:ascii="Arial" w:hAnsi="Arial" w:cs="Arial"/>
                <w:color w:val="000000"/>
              </w:rPr>
              <w:t>42</w:t>
            </w:r>
          </w:p>
        </w:tc>
        <w:tc>
          <w:tcPr>
            <w:tcW w:w="1550" w:type="dxa"/>
            <w:tcBorders>
              <w:top w:val="nil"/>
              <w:bottom w:val="nil"/>
            </w:tcBorders>
          </w:tcPr>
          <w:p w14:paraId="35DF1C96" w14:textId="77777777" w:rsidR="002729D0" w:rsidRPr="00F23B84" w:rsidRDefault="002729D0" w:rsidP="006568CB">
            <w:pPr>
              <w:jc w:val="center"/>
              <w:rPr>
                <w:rFonts w:ascii="Arial" w:hAnsi="Arial" w:cs="Arial"/>
                <w:color w:val="000000"/>
              </w:rPr>
            </w:pPr>
            <w:r w:rsidRPr="00F23B84">
              <w:rPr>
                <w:rFonts w:ascii="Arial" w:hAnsi="Arial" w:cs="Arial"/>
                <w:color w:val="000000"/>
              </w:rPr>
              <w:t>36</w:t>
            </w:r>
          </w:p>
        </w:tc>
        <w:tc>
          <w:tcPr>
            <w:tcW w:w="1550" w:type="dxa"/>
            <w:tcBorders>
              <w:top w:val="nil"/>
              <w:bottom w:val="nil"/>
            </w:tcBorders>
          </w:tcPr>
          <w:p w14:paraId="4B58764A" w14:textId="77777777" w:rsidR="002729D0" w:rsidRPr="00F23B84" w:rsidRDefault="002729D0" w:rsidP="006568CB">
            <w:pPr>
              <w:jc w:val="center"/>
              <w:rPr>
                <w:rFonts w:ascii="Arial" w:hAnsi="Arial" w:cs="Arial"/>
                <w:color w:val="000000"/>
              </w:rPr>
            </w:pPr>
            <w:r w:rsidRPr="00F23B84">
              <w:rPr>
                <w:rFonts w:ascii="Arial" w:hAnsi="Arial" w:cs="Arial"/>
                <w:color w:val="000000"/>
              </w:rPr>
              <w:t>0</w:t>
            </w:r>
          </w:p>
        </w:tc>
        <w:tc>
          <w:tcPr>
            <w:tcW w:w="1550" w:type="dxa"/>
            <w:tcBorders>
              <w:top w:val="nil"/>
              <w:bottom w:val="nil"/>
            </w:tcBorders>
          </w:tcPr>
          <w:p w14:paraId="1BBEDFE2" w14:textId="77777777" w:rsidR="002729D0" w:rsidRPr="00F23B84" w:rsidRDefault="002729D0" w:rsidP="006568CB">
            <w:pPr>
              <w:jc w:val="center"/>
              <w:rPr>
                <w:rFonts w:ascii="Arial" w:hAnsi="Arial" w:cs="Arial"/>
                <w:color w:val="000000"/>
              </w:rPr>
            </w:pPr>
            <w:r w:rsidRPr="00F23B84">
              <w:rPr>
                <w:rFonts w:ascii="Arial" w:hAnsi="Arial" w:cs="Arial"/>
                <w:color w:val="000000"/>
              </w:rPr>
              <w:t>.00</w:t>
            </w:r>
          </w:p>
        </w:tc>
        <w:tc>
          <w:tcPr>
            <w:tcW w:w="1553" w:type="dxa"/>
            <w:tcBorders>
              <w:top w:val="nil"/>
              <w:bottom w:val="nil"/>
              <w:right w:val="nil"/>
            </w:tcBorders>
          </w:tcPr>
          <w:p w14:paraId="049FA344" w14:textId="77777777" w:rsidR="002729D0" w:rsidRPr="00F23B84" w:rsidRDefault="002729D0" w:rsidP="006568CB">
            <w:pPr>
              <w:jc w:val="center"/>
              <w:rPr>
                <w:rFonts w:ascii="Arial" w:hAnsi="Arial" w:cs="Arial"/>
                <w:color w:val="000000"/>
              </w:rPr>
            </w:pPr>
            <w:r w:rsidRPr="00F23B84">
              <w:rPr>
                <w:rFonts w:ascii="Arial" w:hAnsi="Arial" w:cs="Arial"/>
                <w:color w:val="000000"/>
              </w:rPr>
              <w:t>1.00</w:t>
            </w:r>
          </w:p>
        </w:tc>
      </w:tr>
      <w:tr w:rsidR="002729D0" w:rsidRPr="00F23B84" w14:paraId="055F2028" w14:textId="77777777" w:rsidTr="006568CB">
        <w:trPr>
          <w:trHeight w:val="291"/>
        </w:trPr>
        <w:tc>
          <w:tcPr>
            <w:tcW w:w="1889" w:type="dxa"/>
            <w:tcBorders>
              <w:top w:val="nil"/>
              <w:left w:val="nil"/>
            </w:tcBorders>
          </w:tcPr>
          <w:p w14:paraId="74268BA5" w14:textId="77777777" w:rsidR="002729D0" w:rsidRPr="00F23B84" w:rsidRDefault="002729D0" w:rsidP="006568CB">
            <w:pPr>
              <w:jc w:val="center"/>
              <w:rPr>
                <w:rFonts w:ascii="Arial" w:hAnsi="Arial" w:cs="Arial"/>
                <w:color w:val="000000"/>
              </w:rPr>
            </w:pPr>
            <w:r w:rsidRPr="00F23B84">
              <w:rPr>
                <w:rFonts w:ascii="Arial" w:hAnsi="Arial" w:cs="Arial"/>
                <w:color w:val="000000"/>
              </w:rPr>
              <w:t>132</w:t>
            </w:r>
          </w:p>
        </w:tc>
        <w:tc>
          <w:tcPr>
            <w:tcW w:w="1549" w:type="dxa"/>
            <w:tcBorders>
              <w:top w:val="nil"/>
            </w:tcBorders>
          </w:tcPr>
          <w:p w14:paraId="05C82A50" w14:textId="77777777" w:rsidR="002729D0" w:rsidRPr="00F23B84" w:rsidRDefault="002729D0" w:rsidP="006568CB">
            <w:pPr>
              <w:jc w:val="center"/>
              <w:rPr>
                <w:rFonts w:ascii="Arial" w:hAnsi="Arial" w:cs="Arial"/>
                <w:color w:val="000000"/>
              </w:rPr>
            </w:pPr>
            <w:r w:rsidRPr="00F23B84">
              <w:rPr>
                <w:rFonts w:ascii="Arial" w:hAnsi="Arial" w:cs="Arial"/>
                <w:color w:val="000000"/>
              </w:rPr>
              <w:t>6</w:t>
            </w:r>
          </w:p>
        </w:tc>
        <w:tc>
          <w:tcPr>
            <w:tcW w:w="1550" w:type="dxa"/>
            <w:tcBorders>
              <w:top w:val="nil"/>
            </w:tcBorders>
          </w:tcPr>
          <w:p w14:paraId="6B0BEBCB" w14:textId="77777777" w:rsidR="002729D0" w:rsidRPr="00F23B84" w:rsidRDefault="002729D0" w:rsidP="006568CB">
            <w:pPr>
              <w:jc w:val="center"/>
              <w:rPr>
                <w:rFonts w:ascii="Arial" w:hAnsi="Arial" w:cs="Arial"/>
                <w:color w:val="000000"/>
              </w:rPr>
            </w:pPr>
            <w:r w:rsidRPr="00F23B84">
              <w:rPr>
                <w:rFonts w:ascii="Arial" w:hAnsi="Arial" w:cs="Arial"/>
                <w:color w:val="000000"/>
              </w:rPr>
              <w:t>6</w:t>
            </w:r>
          </w:p>
        </w:tc>
        <w:tc>
          <w:tcPr>
            <w:tcW w:w="1550" w:type="dxa"/>
            <w:tcBorders>
              <w:top w:val="nil"/>
            </w:tcBorders>
          </w:tcPr>
          <w:p w14:paraId="4361B572" w14:textId="77777777" w:rsidR="002729D0" w:rsidRPr="00F23B84" w:rsidRDefault="002729D0" w:rsidP="006568CB">
            <w:pPr>
              <w:jc w:val="center"/>
              <w:rPr>
                <w:rFonts w:ascii="Arial" w:hAnsi="Arial" w:cs="Arial"/>
                <w:color w:val="000000"/>
              </w:rPr>
            </w:pPr>
            <w:r w:rsidRPr="00F23B84">
              <w:rPr>
                <w:rFonts w:ascii="Arial" w:hAnsi="Arial" w:cs="Arial"/>
                <w:color w:val="000000"/>
              </w:rPr>
              <w:t>0</w:t>
            </w:r>
          </w:p>
        </w:tc>
        <w:tc>
          <w:tcPr>
            <w:tcW w:w="1550" w:type="dxa"/>
            <w:tcBorders>
              <w:top w:val="nil"/>
            </w:tcBorders>
          </w:tcPr>
          <w:p w14:paraId="167AA312" w14:textId="77777777" w:rsidR="002729D0" w:rsidRPr="00F23B84" w:rsidRDefault="002729D0" w:rsidP="006568CB">
            <w:pPr>
              <w:jc w:val="center"/>
              <w:rPr>
                <w:rFonts w:ascii="Arial" w:hAnsi="Arial" w:cs="Arial"/>
                <w:color w:val="000000"/>
              </w:rPr>
            </w:pPr>
            <w:r w:rsidRPr="00F23B84">
              <w:rPr>
                <w:rFonts w:ascii="Arial" w:hAnsi="Arial" w:cs="Arial"/>
                <w:color w:val="000000"/>
              </w:rPr>
              <w:t>.00</w:t>
            </w:r>
          </w:p>
        </w:tc>
        <w:tc>
          <w:tcPr>
            <w:tcW w:w="1553" w:type="dxa"/>
            <w:tcBorders>
              <w:top w:val="nil"/>
              <w:right w:val="nil"/>
            </w:tcBorders>
          </w:tcPr>
          <w:p w14:paraId="79CE960B" w14:textId="77777777" w:rsidR="002729D0" w:rsidRPr="00F23B84" w:rsidRDefault="002729D0" w:rsidP="006568CB">
            <w:pPr>
              <w:jc w:val="center"/>
              <w:rPr>
                <w:rFonts w:ascii="Arial" w:hAnsi="Arial" w:cs="Arial"/>
                <w:color w:val="000000"/>
              </w:rPr>
            </w:pPr>
            <w:r w:rsidRPr="00F23B84">
              <w:rPr>
                <w:rFonts w:ascii="Arial" w:hAnsi="Arial" w:cs="Arial"/>
                <w:color w:val="000000"/>
              </w:rPr>
              <w:t>1.00</w:t>
            </w:r>
          </w:p>
        </w:tc>
      </w:tr>
    </w:tbl>
    <w:p w14:paraId="3F2918AA" w14:textId="566589A6" w:rsidR="00A54AA1" w:rsidRPr="00F23B84" w:rsidRDefault="00A54AA1" w:rsidP="00C11B7C">
      <w:pPr>
        <w:rPr>
          <w:rFonts w:ascii="Arial" w:hAnsi="Arial" w:cs="Arial"/>
        </w:rPr>
      </w:pPr>
    </w:p>
    <w:p w14:paraId="752379D8" w14:textId="77777777" w:rsidR="00832C66" w:rsidRPr="00F23B84" w:rsidRDefault="00832C66" w:rsidP="00C11B7C">
      <w:pPr>
        <w:rPr>
          <w:rFonts w:ascii="Arial" w:hAnsi="Arial" w:cs="Arial"/>
        </w:rPr>
      </w:pPr>
      <w:r w:rsidRPr="00F23B84">
        <w:rPr>
          <w:rFonts w:ascii="Arial" w:hAnsi="Arial" w:cs="Arial"/>
        </w:rPr>
        <w:br w:type="page"/>
      </w:r>
    </w:p>
    <w:p w14:paraId="105E9972" w14:textId="0EE8359C" w:rsidR="00236CFE" w:rsidRPr="00F23B84" w:rsidRDefault="00236CFE" w:rsidP="00C11B7C">
      <w:pPr>
        <w:rPr>
          <w:rFonts w:ascii="Arial" w:hAnsi="Arial" w:cs="Arial"/>
          <w:b/>
          <w:bCs/>
        </w:rPr>
      </w:pPr>
      <w:r w:rsidRPr="00F23B84">
        <w:rPr>
          <w:rFonts w:ascii="Arial" w:hAnsi="Arial" w:cs="Arial"/>
          <w:b/>
          <w:bCs/>
        </w:rPr>
        <w:lastRenderedPageBreak/>
        <w:t>Graph 1:</w:t>
      </w:r>
      <w:r w:rsidR="007E4EFA" w:rsidRPr="00F23B84">
        <w:rPr>
          <w:rFonts w:ascii="Arial" w:hAnsi="Arial" w:cs="Arial"/>
          <w:b/>
          <w:bCs/>
        </w:rPr>
        <w:t xml:space="preserve"> </w:t>
      </w:r>
      <w:r w:rsidR="00832C66" w:rsidRPr="00F23B84">
        <w:rPr>
          <w:rFonts w:ascii="Arial" w:hAnsi="Arial" w:cs="Arial"/>
          <w:b/>
          <w:bCs/>
        </w:rPr>
        <w:t>Cumulative Survival Curve</w:t>
      </w:r>
    </w:p>
    <w:p w14:paraId="3F4FF0B4" w14:textId="77777777" w:rsidR="00832C66" w:rsidRPr="00F23B84" w:rsidRDefault="00832C66" w:rsidP="00C11B7C">
      <w:pPr>
        <w:rPr>
          <w:rFonts w:ascii="Arial" w:hAnsi="Arial" w:cs="Arial"/>
        </w:rPr>
      </w:pPr>
    </w:p>
    <w:p w14:paraId="79FB2F34" w14:textId="0787261A" w:rsidR="00C100F5" w:rsidRPr="00F23B84" w:rsidRDefault="00236CFE" w:rsidP="00C11B7C">
      <w:pPr>
        <w:rPr>
          <w:rFonts w:ascii="Arial" w:hAnsi="Arial" w:cs="Arial"/>
        </w:rPr>
      </w:pPr>
      <w:r w:rsidRPr="00F23B84">
        <w:rPr>
          <w:rFonts w:ascii="Arial" w:hAnsi="Arial" w:cs="Arial"/>
          <w:noProof/>
        </w:rPr>
        <w:drawing>
          <wp:inline distT="0" distB="0" distL="0" distR="0" wp14:anchorId="66CD5C34" wp14:editId="2CF1E186">
            <wp:extent cx="5731510" cy="3115945"/>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3115945"/>
                    </a:xfrm>
                    <a:prstGeom prst="rect">
                      <a:avLst/>
                    </a:prstGeom>
                  </pic:spPr>
                </pic:pic>
              </a:graphicData>
            </a:graphic>
          </wp:inline>
        </w:drawing>
      </w:r>
    </w:p>
    <w:p w14:paraId="27ECD1FD" w14:textId="77777777" w:rsidR="00832C66" w:rsidRPr="00F23B84" w:rsidRDefault="00832C66" w:rsidP="00C11B7C">
      <w:pPr>
        <w:rPr>
          <w:rFonts w:ascii="Arial" w:hAnsi="Arial" w:cs="Arial"/>
        </w:rPr>
      </w:pPr>
      <w:r w:rsidRPr="00F23B84">
        <w:rPr>
          <w:rFonts w:ascii="Arial" w:hAnsi="Arial" w:cs="Arial"/>
        </w:rPr>
        <w:br w:type="page"/>
      </w:r>
    </w:p>
    <w:p w14:paraId="3B7BB921" w14:textId="5166E433" w:rsidR="00F540BA" w:rsidRPr="00F23B84" w:rsidRDefault="00F540BA" w:rsidP="00C11B7C">
      <w:pPr>
        <w:rPr>
          <w:rFonts w:ascii="Arial" w:hAnsi="Arial" w:cs="Arial"/>
          <w:b/>
          <w:bCs/>
        </w:rPr>
      </w:pPr>
      <w:r w:rsidRPr="00F23B84">
        <w:rPr>
          <w:rFonts w:ascii="Arial" w:hAnsi="Arial" w:cs="Arial"/>
          <w:b/>
          <w:bCs/>
        </w:rPr>
        <w:lastRenderedPageBreak/>
        <w:t>Table 2:</w:t>
      </w:r>
      <w:r w:rsidR="00832C66" w:rsidRPr="00F23B84">
        <w:rPr>
          <w:rFonts w:ascii="Arial" w:hAnsi="Arial" w:cs="Arial"/>
          <w:b/>
          <w:bCs/>
        </w:rPr>
        <w:t xml:space="preserve"> Age and Revision Relationship</w:t>
      </w:r>
    </w:p>
    <w:p w14:paraId="5BD30E2E" w14:textId="4AD3EC4D" w:rsidR="00C100F5" w:rsidRPr="00F23B84" w:rsidRDefault="00C100F5" w:rsidP="00C11B7C">
      <w:pPr>
        <w:rPr>
          <w:rFonts w:ascii="Arial" w:hAnsi="Arial" w:cs="Arial"/>
        </w:rPr>
      </w:pPr>
    </w:p>
    <w:tbl>
      <w:tblPr>
        <w:tblStyle w:val="TableGrid"/>
        <w:tblW w:w="8619" w:type="dxa"/>
        <w:tblBorders>
          <w:insideV w:val="none" w:sz="0" w:space="0" w:color="auto"/>
        </w:tblBorders>
        <w:tblLayout w:type="fixed"/>
        <w:tblLook w:val="0000" w:firstRow="0" w:lastRow="0" w:firstColumn="0" w:lastColumn="0" w:noHBand="0" w:noVBand="0"/>
      </w:tblPr>
      <w:tblGrid>
        <w:gridCol w:w="894"/>
        <w:gridCol w:w="1063"/>
        <w:gridCol w:w="1662"/>
        <w:gridCol w:w="1250"/>
        <w:gridCol w:w="1250"/>
        <w:gridCol w:w="1250"/>
        <w:gridCol w:w="1250"/>
      </w:tblGrid>
      <w:tr w:rsidR="002729D0" w:rsidRPr="00F23B84" w14:paraId="6350C68A" w14:textId="77777777" w:rsidTr="00183DD9">
        <w:trPr>
          <w:trHeight w:val="318"/>
        </w:trPr>
        <w:tc>
          <w:tcPr>
            <w:tcW w:w="3619" w:type="dxa"/>
            <w:gridSpan w:val="3"/>
            <w:vMerge w:val="restart"/>
            <w:tcBorders>
              <w:left w:val="nil"/>
            </w:tcBorders>
          </w:tcPr>
          <w:p w14:paraId="4E4EC97A" w14:textId="77777777" w:rsidR="002729D0" w:rsidRPr="00F23B84" w:rsidRDefault="002729D0" w:rsidP="00C11B7C">
            <w:pPr>
              <w:rPr>
                <w:rFonts w:ascii="Arial" w:hAnsi="Arial" w:cs="Arial"/>
              </w:rPr>
            </w:pPr>
          </w:p>
        </w:tc>
        <w:tc>
          <w:tcPr>
            <w:tcW w:w="3750" w:type="dxa"/>
            <w:gridSpan w:val="3"/>
          </w:tcPr>
          <w:p w14:paraId="3F943698" w14:textId="77777777" w:rsidR="002729D0" w:rsidRPr="00F23B84" w:rsidRDefault="002729D0" w:rsidP="00183DD9">
            <w:pPr>
              <w:jc w:val="center"/>
              <w:rPr>
                <w:rFonts w:ascii="Arial" w:hAnsi="Arial" w:cs="Arial"/>
                <w:color w:val="000000"/>
              </w:rPr>
            </w:pPr>
            <w:r w:rsidRPr="00F23B84">
              <w:rPr>
                <w:rFonts w:ascii="Arial" w:hAnsi="Arial" w:cs="Arial"/>
                <w:color w:val="000000"/>
              </w:rPr>
              <w:t>Category</w:t>
            </w:r>
          </w:p>
        </w:tc>
        <w:tc>
          <w:tcPr>
            <w:tcW w:w="1250" w:type="dxa"/>
            <w:vMerge w:val="restart"/>
            <w:tcBorders>
              <w:right w:val="nil"/>
            </w:tcBorders>
          </w:tcPr>
          <w:p w14:paraId="33FF46ED" w14:textId="77777777" w:rsidR="002729D0" w:rsidRPr="00F23B84" w:rsidRDefault="002729D0" w:rsidP="00C11B7C">
            <w:pPr>
              <w:rPr>
                <w:rFonts w:ascii="Arial" w:hAnsi="Arial" w:cs="Arial"/>
                <w:color w:val="000000"/>
              </w:rPr>
            </w:pPr>
            <w:r w:rsidRPr="00F23B84">
              <w:rPr>
                <w:rFonts w:ascii="Arial" w:hAnsi="Arial" w:cs="Arial"/>
                <w:color w:val="000000"/>
              </w:rPr>
              <w:t>Total</w:t>
            </w:r>
          </w:p>
        </w:tc>
      </w:tr>
      <w:tr w:rsidR="002729D0" w:rsidRPr="00F23B84" w14:paraId="1A43E791" w14:textId="77777777" w:rsidTr="00183DD9">
        <w:trPr>
          <w:trHeight w:val="379"/>
        </w:trPr>
        <w:tc>
          <w:tcPr>
            <w:tcW w:w="3619" w:type="dxa"/>
            <w:gridSpan w:val="3"/>
            <w:vMerge/>
            <w:tcBorders>
              <w:left w:val="nil"/>
            </w:tcBorders>
          </w:tcPr>
          <w:p w14:paraId="2CDD912C" w14:textId="77777777" w:rsidR="002729D0" w:rsidRPr="00F23B84" w:rsidRDefault="002729D0" w:rsidP="00C11B7C">
            <w:pPr>
              <w:rPr>
                <w:rFonts w:ascii="Arial" w:hAnsi="Arial" w:cs="Arial"/>
                <w:color w:val="000000"/>
              </w:rPr>
            </w:pPr>
          </w:p>
        </w:tc>
        <w:tc>
          <w:tcPr>
            <w:tcW w:w="1250" w:type="dxa"/>
          </w:tcPr>
          <w:p w14:paraId="4B17142F" w14:textId="77777777" w:rsidR="002729D0" w:rsidRPr="00F23B84" w:rsidRDefault="002729D0" w:rsidP="00183DD9">
            <w:pPr>
              <w:jc w:val="center"/>
              <w:rPr>
                <w:rFonts w:ascii="Arial" w:hAnsi="Arial" w:cs="Arial"/>
                <w:color w:val="000000"/>
              </w:rPr>
            </w:pPr>
            <w:r w:rsidRPr="00F23B84">
              <w:rPr>
                <w:rFonts w:ascii="Arial" w:hAnsi="Arial" w:cs="Arial"/>
                <w:color w:val="000000"/>
              </w:rPr>
              <w:t>In-Situ</w:t>
            </w:r>
          </w:p>
        </w:tc>
        <w:tc>
          <w:tcPr>
            <w:tcW w:w="1250" w:type="dxa"/>
          </w:tcPr>
          <w:p w14:paraId="4F6E28B0" w14:textId="77777777" w:rsidR="002729D0" w:rsidRPr="00F23B84" w:rsidRDefault="002729D0" w:rsidP="00183DD9">
            <w:pPr>
              <w:jc w:val="center"/>
              <w:rPr>
                <w:rFonts w:ascii="Arial" w:hAnsi="Arial" w:cs="Arial"/>
                <w:color w:val="000000"/>
              </w:rPr>
            </w:pPr>
            <w:r w:rsidRPr="00F23B84">
              <w:rPr>
                <w:rFonts w:ascii="Arial" w:hAnsi="Arial" w:cs="Arial"/>
                <w:color w:val="000000"/>
              </w:rPr>
              <w:t>Died</w:t>
            </w:r>
          </w:p>
        </w:tc>
        <w:tc>
          <w:tcPr>
            <w:tcW w:w="1250" w:type="dxa"/>
          </w:tcPr>
          <w:p w14:paraId="501BCB11" w14:textId="77777777" w:rsidR="002729D0" w:rsidRPr="00F23B84" w:rsidRDefault="002729D0" w:rsidP="00183DD9">
            <w:pPr>
              <w:jc w:val="center"/>
              <w:rPr>
                <w:rFonts w:ascii="Arial" w:hAnsi="Arial" w:cs="Arial"/>
                <w:color w:val="000000"/>
              </w:rPr>
            </w:pPr>
            <w:r w:rsidRPr="00F23B84">
              <w:rPr>
                <w:rFonts w:ascii="Arial" w:hAnsi="Arial" w:cs="Arial"/>
                <w:color w:val="000000"/>
              </w:rPr>
              <w:t>Revised</w:t>
            </w:r>
          </w:p>
        </w:tc>
        <w:tc>
          <w:tcPr>
            <w:tcW w:w="1250" w:type="dxa"/>
            <w:vMerge/>
            <w:tcBorders>
              <w:right w:val="nil"/>
            </w:tcBorders>
          </w:tcPr>
          <w:p w14:paraId="554A30ED" w14:textId="77777777" w:rsidR="002729D0" w:rsidRPr="00F23B84" w:rsidRDefault="002729D0" w:rsidP="00C11B7C">
            <w:pPr>
              <w:rPr>
                <w:rFonts w:ascii="Arial" w:hAnsi="Arial" w:cs="Arial"/>
                <w:color w:val="000000"/>
              </w:rPr>
            </w:pPr>
          </w:p>
        </w:tc>
      </w:tr>
      <w:tr w:rsidR="002729D0" w:rsidRPr="00F23B84" w14:paraId="5CFCC75E" w14:textId="77777777" w:rsidTr="00183DD9">
        <w:trPr>
          <w:trHeight w:val="318"/>
        </w:trPr>
        <w:tc>
          <w:tcPr>
            <w:tcW w:w="894" w:type="dxa"/>
            <w:vMerge w:val="restart"/>
            <w:tcBorders>
              <w:left w:val="nil"/>
            </w:tcBorders>
          </w:tcPr>
          <w:p w14:paraId="3A1755A1" w14:textId="77777777" w:rsidR="002729D0" w:rsidRPr="00F23B84" w:rsidRDefault="002729D0" w:rsidP="00C11B7C">
            <w:pPr>
              <w:rPr>
                <w:rFonts w:ascii="Arial" w:hAnsi="Arial" w:cs="Arial"/>
                <w:color w:val="000000"/>
              </w:rPr>
            </w:pPr>
            <w:r w:rsidRPr="00F23B84">
              <w:rPr>
                <w:rFonts w:ascii="Arial" w:hAnsi="Arial" w:cs="Arial"/>
                <w:color w:val="000000"/>
              </w:rPr>
              <w:t>Age</w:t>
            </w:r>
          </w:p>
        </w:tc>
        <w:tc>
          <w:tcPr>
            <w:tcW w:w="1063" w:type="dxa"/>
            <w:vMerge w:val="restart"/>
          </w:tcPr>
          <w:p w14:paraId="2C3CE4EB" w14:textId="77777777" w:rsidR="002729D0" w:rsidRPr="00F23B84" w:rsidRDefault="002729D0" w:rsidP="00C11B7C">
            <w:pPr>
              <w:rPr>
                <w:rFonts w:ascii="Arial" w:hAnsi="Arial" w:cs="Arial"/>
                <w:color w:val="000000"/>
              </w:rPr>
            </w:pPr>
            <w:r w:rsidRPr="00F23B84">
              <w:rPr>
                <w:rFonts w:ascii="Arial" w:hAnsi="Arial" w:cs="Arial"/>
                <w:color w:val="000000"/>
              </w:rPr>
              <w:t>&lt;= 55</w:t>
            </w:r>
          </w:p>
        </w:tc>
        <w:tc>
          <w:tcPr>
            <w:tcW w:w="1662" w:type="dxa"/>
            <w:tcBorders>
              <w:bottom w:val="nil"/>
            </w:tcBorders>
          </w:tcPr>
          <w:p w14:paraId="3726E6A2" w14:textId="77777777" w:rsidR="002729D0" w:rsidRPr="00F23B84" w:rsidRDefault="002729D0" w:rsidP="00C11B7C">
            <w:pPr>
              <w:rPr>
                <w:rFonts w:ascii="Arial" w:hAnsi="Arial" w:cs="Arial"/>
                <w:color w:val="000000"/>
              </w:rPr>
            </w:pPr>
            <w:r w:rsidRPr="00F23B84">
              <w:rPr>
                <w:rFonts w:ascii="Arial" w:hAnsi="Arial" w:cs="Arial"/>
                <w:color w:val="000000"/>
              </w:rPr>
              <w:t>Count</w:t>
            </w:r>
          </w:p>
        </w:tc>
        <w:tc>
          <w:tcPr>
            <w:tcW w:w="1250" w:type="dxa"/>
            <w:tcBorders>
              <w:bottom w:val="nil"/>
            </w:tcBorders>
          </w:tcPr>
          <w:p w14:paraId="6A6AB7D4" w14:textId="77777777" w:rsidR="002729D0" w:rsidRPr="00F23B84" w:rsidRDefault="002729D0" w:rsidP="00183DD9">
            <w:pPr>
              <w:jc w:val="center"/>
              <w:rPr>
                <w:rFonts w:ascii="Arial" w:hAnsi="Arial" w:cs="Arial"/>
                <w:color w:val="000000"/>
              </w:rPr>
            </w:pPr>
            <w:r w:rsidRPr="00F23B84">
              <w:rPr>
                <w:rFonts w:ascii="Arial" w:hAnsi="Arial" w:cs="Arial"/>
                <w:color w:val="000000"/>
              </w:rPr>
              <w:t>38</w:t>
            </w:r>
          </w:p>
        </w:tc>
        <w:tc>
          <w:tcPr>
            <w:tcW w:w="1250" w:type="dxa"/>
            <w:tcBorders>
              <w:bottom w:val="nil"/>
            </w:tcBorders>
          </w:tcPr>
          <w:p w14:paraId="1B1B3E33" w14:textId="77777777" w:rsidR="002729D0" w:rsidRPr="00F23B84" w:rsidRDefault="002729D0" w:rsidP="00183DD9">
            <w:pPr>
              <w:jc w:val="center"/>
              <w:rPr>
                <w:rFonts w:ascii="Arial" w:hAnsi="Arial" w:cs="Arial"/>
                <w:color w:val="000000"/>
              </w:rPr>
            </w:pPr>
            <w:r w:rsidRPr="00F23B84">
              <w:rPr>
                <w:rFonts w:ascii="Arial" w:hAnsi="Arial" w:cs="Arial"/>
                <w:color w:val="000000"/>
              </w:rPr>
              <w:t>0</w:t>
            </w:r>
          </w:p>
        </w:tc>
        <w:tc>
          <w:tcPr>
            <w:tcW w:w="1250" w:type="dxa"/>
            <w:tcBorders>
              <w:bottom w:val="nil"/>
            </w:tcBorders>
          </w:tcPr>
          <w:p w14:paraId="7F2DD981" w14:textId="77777777" w:rsidR="002729D0" w:rsidRPr="00F23B84" w:rsidRDefault="002729D0" w:rsidP="00183DD9">
            <w:pPr>
              <w:jc w:val="center"/>
              <w:rPr>
                <w:rFonts w:ascii="Arial" w:hAnsi="Arial" w:cs="Arial"/>
                <w:color w:val="000000"/>
              </w:rPr>
            </w:pPr>
            <w:r w:rsidRPr="00F23B84">
              <w:rPr>
                <w:rFonts w:ascii="Arial" w:hAnsi="Arial" w:cs="Arial"/>
                <w:color w:val="000000"/>
              </w:rPr>
              <w:t>2</w:t>
            </w:r>
          </w:p>
        </w:tc>
        <w:tc>
          <w:tcPr>
            <w:tcW w:w="1250" w:type="dxa"/>
            <w:tcBorders>
              <w:bottom w:val="nil"/>
              <w:right w:val="nil"/>
            </w:tcBorders>
          </w:tcPr>
          <w:p w14:paraId="1CFE25CC" w14:textId="77777777" w:rsidR="002729D0" w:rsidRPr="00F23B84" w:rsidRDefault="002729D0" w:rsidP="00183DD9">
            <w:pPr>
              <w:jc w:val="center"/>
              <w:rPr>
                <w:rFonts w:ascii="Arial" w:hAnsi="Arial" w:cs="Arial"/>
                <w:color w:val="000000"/>
              </w:rPr>
            </w:pPr>
            <w:r w:rsidRPr="00F23B84">
              <w:rPr>
                <w:rFonts w:ascii="Arial" w:hAnsi="Arial" w:cs="Arial"/>
                <w:color w:val="000000"/>
              </w:rPr>
              <w:t>40</w:t>
            </w:r>
          </w:p>
        </w:tc>
      </w:tr>
      <w:tr w:rsidR="002729D0" w:rsidRPr="00F23B84" w14:paraId="1BC38BAE" w14:textId="77777777" w:rsidTr="00183DD9">
        <w:trPr>
          <w:trHeight w:val="364"/>
        </w:trPr>
        <w:tc>
          <w:tcPr>
            <w:tcW w:w="894" w:type="dxa"/>
            <w:vMerge/>
            <w:tcBorders>
              <w:left w:val="nil"/>
            </w:tcBorders>
          </w:tcPr>
          <w:p w14:paraId="68794D31" w14:textId="77777777" w:rsidR="002729D0" w:rsidRPr="00F23B84" w:rsidRDefault="002729D0" w:rsidP="00C11B7C">
            <w:pPr>
              <w:rPr>
                <w:rFonts w:ascii="Arial" w:hAnsi="Arial" w:cs="Arial"/>
                <w:color w:val="000000"/>
              </w:rPr>
            </w:pPr>
          </w:p>
        </w:tc>
        <w:tc>
          <w:tcPr>
            <w:tcW w:w="1063" w:type="dxa"/>
            <w:vMerge/>
            <w:tcBorders>
              <w:bottom w:val="single" w:sz="4" w:space="0" w:color="auto"/>
            </w:tcBorders>
          </w:tcPr>
          <w:p w14:paraId="10934E29" w14:textId="77777777" w:rsidR="002729D0" w:rsidRPr="00F23B84" w:rsidRDefault="002729D0" w:rsidP="00C11B7C">
            <w:pPr>
              <w:rPr>
                <w:rFonts w:ascii="Arial" w:hAnsi="Arial" w:cs="Arial"/>
                <w:color w:val="000000"/>
              </w:rPr>
            </w:pPr>
          </w:p>
        </w:tc>
        <w:tc>
          <w:tcPr>
            <w:tcW w:w="1662" w:type="dxa"/>
            <w:tcBorders>
              <w:top w:val="nil"/>
              <w:bottom w:val="single" w:sz="4" w:space="0" w:color="auto"/>
            </w:tcBorders>
          </w:tcPr>
          <w:p w14:paraId="7E2A29F2" w14:textId="1069B57B" w:rsidR="002729D0" w:rsidRPr="00F23B84" w:rsidRDefault="002729D0" w:rsidP="00C11B7C">
            <w:pPr>
              <w:rPr>
                <w:rFonts w:ascii="Arial" w:hAnsi="Arial" w:cs="Arial"/>
                <w:color w:val="000000"/>
              </w:rPr>
            </w:pPr>
            <w:r w:rsidRPr="00F23B84">
              <w:rPr>
                <w:rFonts w:ascii="Arial" w:hAnsi="Arial" w:cs="Arial"/>
                <w:color w:val="000000"/>
              </w:rPr>
              <w:t>%</w:t>
            </w:r>
          </w:p>
        </w:tc>
        <w:tc>
          <w:tcPr>
            <w:tcW w:w="1250" w:type="dxa"/>
            <w:tcBorders>
              <w:top w:val="nil"/>
              <w:bottom w:val="single" w:sz="4" w:space="0" w:color="auto"/>
            </w:tcBorders>
          </w:tcPr>
          <w:p w14:paraId="32982BD1" w14:textId="43B60B08" w:rsidR="002729D0" w:rsidRPr="00F23B84" w:rsidRDefault="002729D0" w:rsidP="00183DD9">
            <w:pPr>
              <w:jc w:val="center"/>
              <w:rPr>
                <w:rFonts w:ascii="Arial" w:hAnsi="Arial" w:cs="Arial"/>
                <w:color w:val="000000"/>
              </w:rPr>
            </w:pPr>
            <w:r w:rsidRPr="00F23B84">
              <w:rPr>
                <w:rFonts w:ascii="Arial" w:hAnsi="Arial" w:cs="Arial"/>
                <w:color w:val="000000"/>
              </w:rPr>
              <w:t>95.0</w:t>
            </w:r>
          </w:p>
        </w:tc>
        <w:tc>
          <w:tcPr>
            <w:tcW w:w="1250" w:type="dxa"/>
            <w:tcBorders>
              <w:top w:val="nil"/>
              <w:bottom w:val="single" w:sz="4" w:space="0" w:color="auto"/>
            </w:tcBorders>
          </w:tcPr>
          <w:p w14:paraId="12D5B0FE" w14:textId="24EDB9E5" w:rsidR="002729D0" w:rsidRPr="00F23B84" w:rsidRDefault="002729D0" w:rsidP="00183DD9">
            <w:pPr>
              <w:jc w:val="center"/>
              <w:rPr>
                <w:rFonts w:ascii="Arial" w:hAnsi="Arial" w:cs="Arial"/>
                <w:color w:val="000000"/>
              </w:rPr>
            </w:pPr>
            <w:r w:rsidRPr="00F23B84">
              <w:rPr>
                <w:rFonts w:ascii="Arial" w:hAnsi="Arial" w:cs="Arial"/>
                <w:color w:val="000000"/>
              </w:rPr>
              <w:t>0.0</w:t>
            </w:r>
          </w:p>
        </w:tc>
        <w:tc>
          <w:tcPr>
            <w:tcW w:w="1250" w:type="dxa"/>
            <w:tcBorders>
              <w:top w:val="nil"/>
              <w:bottom w:val="single" w:sz="4" w:space="0" w:color="auto"/>
            </w:tcBorders>
          </w:tcPr>
          <w:p w14:paraId="2AF3BF5D" w14:textId="39D20620" w:rsidR="002729D0" w:rsidRPr="00F23B84" w:rsidRDefault="002729D0" w:rsidP="00183DD9">
            <w:pPr>
              <w:jc w:val="center"/>
              <w:rPr>
                <w:rFonts w:ascii="Arial" w:hAnsi="Arial" w:cs="Arial"/>
                <w:color w:val="000000"/>
              </w:rPr>
            </w:pPr>
            <w:r w:rsidRPr="00F23B84">
              <w:rPr>
                <w:rFonts w:ascii="Arial" w:hAnsi="Arial" w:cs="Arial"/>
                <w:color w:val="000000"/>
              </w:rPr>
              <w:t>5.0</w:t>
            </w:r>
          </w:p>
        </w:tc>
        <w:tc>
          <w:tcPr>
            <w:tcW w:w="1250" w:type="dxa"/>
            <w:tcBorders>
              <w:top w:val="nil"/>
              <w:bottom w:val="single" w:sz="4" w:space="0" w:color="auto"/>
              <w:right w:val="nil"/>
            </w:tcBorders>
          </w:tcPr>
          <w:p w14:paraId="64012A60" w14:textId="4941D9C2" w:rsidR="002729D0" w:rsidRPr="00F23B84" w:rsidRDefault="002729D0" w:rsidP="00183DD9">
            <w:pPr>
              <w:jc w:val="center"/>
              <w:rPr>
                <w:rFonts w:ascii="Arial" w:hAnsi="Arial" w:cs="Arial"/>
                <w:color w:val="000000"/>
              </w:rPr>
            </w:pPr>
            <w:r w:rsidRPr="00F23B84">
              <w:rPr>
                <w:rFonts w:ascii="Arial" w:hAnsi="Arial" w:cs="Arial"/>
                <w:color w:val="000000"/>
              </w:rPr>
              <w:t>100.0</w:t>
            </w:r>
          </w:p>
        </w:tc>
      </w:tr>
      <w:tr w:rsidR="002729D0" w:rsidRPr="00F23B84" w14:paraId="044E288B" w14:textId="77777777" w:rsidTr="00183DD9">
        <w:trPr>
          <w:trHeight w:val="364"/>
        </w:trPr>
        <w:tc>
          <w:tcPr>
            <w:tcW w:w="894" w:type="dxa"/>
            <w:vMerge/>
            <w:tcBorders>
              <w:left w:val="nil"/>
            </w:tcBorders>
          </w:tcPr>
          <w:p w14:paraId="37D24DC8" w14:textId="77777777" w:rsidR="002729D0" w:rsidRPr="00F23B84" w:rsidRDefault="002729D0" w:rsidP="00C11B7C">
            <w:pPr>
              <w:rPr>
                <w:rFonts w:ascii="Arial" w:hAnsi="Arial" w:cs="Arial"/>
                <w:color w:val="000000"/>
              </w:rPr>
            </w:pPr>
          </w:p>
        </w:tc>
        <w:tc>
          <w:tcPr>
            <w:tcW w:w="1063" w:type="dxa"/>
            <w:vMerge w:val="restart"/>
            <w:tcBorders>
              <w:bottom w:val="nil"/>
            </w:tcBorders>
          </w:tcPr>
          <w:p w14:paraId="19FEB4A5" w14:textId="77777777" w:rsidR="002729D0" w:rsidRPr="00F23B84" w:rsidRDefault="002729D0" w:rsidP="00C11B7C">
            <w:pPr>
              <w:rPr>
                <w:rFonts w:ascii="Arial" w:hAnsi="Arial" w:cs="Arial"/>
                <w:color w:val="000000"/>
              </w:rPr>
            </w:pPr>
            <w:r w:rsidRPr="00F23B84">
              <w:rPr>
                <w:rFonts w:ascii="Arial" w:hAnsi="Arial" w:cs="Arial"/>
                <w:color w:val="000000"/>
              </w:rPr>
              <w:t>56 - 65</w:t>
            </w:r>
          </w:p>
        </w:tc>
        <w:tc>
          <w:tcPr>
            <w:tcW w:w="1662" w:type="dxa"/>
            <w:tcBorders>
              <w:bottom w:val="nil"/>
            </w:tcBorders>
          </w:tcPr>
          <w:p w14:paraId="5B64E040" w14:textId="77777777" w:rsidR="002729D0" w:rsidRPr="00F23B84" w:rsidRDefault="002729D0" w:rsidP="00C11B7C">
            <w:pPr>
              <w:rPr>
                <w:rFonts w:ascii="Arial" w:hAnsi="Arial" w:cs="Arial"/>
                <w:color w:val="000000"/>
              </w:rPr>
            </w:pPr>
            <w:r w:rsidRPr="00F23B84">
              <w:rPr>
                <w:rFonts w:ascii="Arial" w:hAnsi="Arial" w:cs="Arial"/>
                <w:color w:val="000000"/>
              </w:rPr>
              <w:t>Count</w:t>
            </w:r>
          </w:p>
        </w:tc>
        <w:tc>
          <w:tcPr>
            <w:tcW w:w="1250" w:type="dxa"/>
            <w:tcBorders>
              <w:bottom w:val="nil"/>
            </w:tcBorders>
          </w:tcPr>
          <w:p w14:paraId="47FBEDF0" w14:textId="77777777" w:rsidR="002729D0" w:rsidRPr="00F23B84" w:rsidRDefault="002729D0" w:rsidP="00183DD9">
            <w:pPr>
              <w:jc w:val="center"/>
              <w:rPr>
                <w:rFonts w:ascii="Arial" w:hAnsi="Arial" w:cs="Arial"/>
                <w:color w:val="000000"/>
              </w:rPr>
            </w:pPr>
            <w:r w:rsidRPr="00F23B84">
              <w:rPr>
                <w:rFonts w:ascii="Arial" w:hAnsi="Arial" w:cs="Arial"/>
                <w:color w:val="000000"/>
              </w:rPr>
              <w:t>78</w:t>
            </w:r>
          </w:p>
        </w:tc>
        <w:tc>
          <w:tcPr>
            <w:tcW w:w="1250" w:type="dxa"/>
            <w:tcBorders>
              <w:bottom w:val="nil"/>
            </w:tcBorders>
          </w:tcPr>
          <w:p w14:paraId="26E3DF3D" w14:textId="77777777" w:rsidR="002729D0" w:rsidRPr="00F23B84" w:rsidRDefault="002729D0" w:rsidP="00183DD9">
            <w:pPr>
              <w:jc w:val="center"/>
              <w:rPr>
                <w:rFonts w:ascii="Arial" w:hAnsi="Arial" w:cs="Arial"/>
                <w:color w:val="000000"/>
              </w:rPr>
            </w:pPr>
            <w:r w:rsidRPr="00F23B84">
              <w:rPr>
                <w:rFonts w:ascii="Arial" w:hAnsi="Arial" w:cs="Arial"/>
                <w:color w:val="000000"/>
              </w:rPr>
              <w:t>4</w:t>
            </w:r>
          </w:p>
        </w:tc>
        <w:tc>
          <w:tcPr>
            <w:tcW w:w="1250" w:type="dxa"/>
            <w:tcBorders>
              <w:bottom w:val="nil"/>
            </w:tcBorders>
          </w:tcPr>
          <w:p w14:paraId="0EF7F2D7" w14:textId="77777777" w:rsidR="002729D0" w:rsidRPr="00F23B84" w:rsidRDefault="002729D0" w:rsidP="00183DD9">
            <w:pPr>
              <w:jc w:val="center"/>
              <w:rPr>
                <w:rFonts w:ascii="Arial" w:hAnsi="Arial" w:cs="Arial"/>
                <w:color w:val="000000"/>
              </w:rPr>
            </w:pPr>
            <w:r w:rsidRPr="00F23B84">
              <w:rPr>
                <w:rFonts w:ascii="Arial" w:hAnsi="Arial" w:cs="Arial"/>
                <w:color w:val="000000"/>
              </w:rPr>
              <w:t>6</w:t>
            </w:r>
          </w:p>
        </w:tc>
        <w:tc>
          <w:tcPr>
            <w:tcW w:w="1250" w:type="dxa"/>
            <w:tcBorders>
              <w:bottom w:val="nil"/>
              <w:right w:val="nil"/>
            </w:tcBorders>
          </w:tcPr>
          <w:p w14:paraId="592BE71D" w14:textId="77777777" w:rsidR="002729D0" w:rsidRPr="00F23B84" w:rsidRDefault="002729D0" w:rsidP="00183DD9">
            <w:pPr>
              <w:jc w:val="center"/>
              <w:rPr>
                <w:rFonts w:ascii="Arial" w:hAnsi="Arial" w:cs="Arial"/>
                <w:color w:val="000000"/>
              </w:rPr>
            </w:pPr>
            <w:r w:rsidRPr="00F23B84">
              <w:rPr>
                <w:rFonts w:ascii="Arial" w:hAnsi="Arial" w:cs="Arial"/>
                <w:color w:val="000000"/>
              </w:rPr>
              <w:t>88</w:t>
            </w:r>
          </w:p>
        </w:tc>
      </w:tr>
      <w:tr w:rsidR="002729D0" w:rsidRPr="00F23B84" w14:paraId="1065FDC1" w14:textId="77777777" w:rsidTr="00183DD9">
        <w:trPr>
          <w:trHeight w:val="349"/>
        </w:trPr>
        <w:tc>
          <w:tcPr>
            <w:tcW w:w="894" w:type="dxa"/>
            <w:vMerge/>
            <w:tcBorders>
              <w:left w:val="nil"/>
            </w:tcBorders>
          </w:tcPr>
          <w:p w14:paraId="45760A47" w14:textId="77777777" w:rsidR="002729D0" w:rsidRPr="00F23B84" w:rsidRDefault="002729D0" w:rsidP="00C11B7C">
            <w:pPr>
              <w:rPr>
                <w:rFonts w:ascii="Arial" w:hAnsi="Arial" w:cs="Arial"/>
                <w:color w:val="000000"/>
              </w:rPr>
            </w:pPr>
          </w:p>
        </w:tc>
        <w:tc>
          <w:tcPr>
            <w:tcW w:w="1063" w:type="dxa"/>
            <w:vMerge/>
            <w:tcBorders>
              <w:top w:val="nil"/>
            </w:tcBorders>
          </w:tcPr>
          <w:p w14:paraId="5C751EF5" w14:textId="77777777" w:rsidR="002729D0" w:rsidRPr="00F23B84" w:rsidRDefault="002729D0" w:rsidP="00C11B7C">
            <w:pPr>
              <w:rPr>
                <w:rFonts w:ascii="Arial" w:hAnsi="Arial" w:cs="Arial"/>
                <w:color w:val="000000"/>
              </w:rPr>
            </w:pPr>
          </w:p>
        </w:tc>
        <w:tc>
          <w:tcPr>
            <w:tcW w:w="1662" w:type="dxa"/>
            <w:tcBorders>
              <w:top w:val="nil"/>
              <w:bottom w:val="single" w:sz="4" w:space="0" w:color="auto"/>
            </w:tcBorders>
          </w:tcPr>
          <w:p w14:paraId="14317CB1" w14:textId="1C6F6B74" w:rsidR="002729D0" w:rsidRPr="00F23B84" w:rsidRDefault="002729D0" w:rsidP="00C11B7C">
            <w:pPr>
              <w:rPr>
                <w:rFonts w:ascii="Arial" w:hAnsi="Arial" w:cs="Arial"/>
                <w:color w:val="000000"/>
              </w:rPr>
            </w:pPr>
            <w:r w:rsidRPr="00F23B84">
              <w:rPr>
                <w:rFonts w:ascii="Arial" w:hAnsi="Arial" w:cs="Arial"/>
                <w:color w:val="000000"/>
              </w:rPr>
              <w:t>%</w:t>
            </w:r>
          </w:p>
        </w:tc>
        <w:tc>
          <w:tcPr>
            <w:tcW w:w="1250" w:type="dxa"/>
            <w:tcBorders>
              <w:top w:val="nil"/>
              <w:bottom w:val="single" w:sz="4" w:space="0" w:color="auto"/>
            </w:tcBorders>
          </w:tcPr>
          <w:p w14:paraId="4989440E" w14:textId="3CEFB876" w:rsidR="002729D0" w:rsidRPr="00F23B84" w:rsidRDefault="002729D0" w:rsidP="00183DD9">
            <w:pPr>
              <w:jc w:val="center"/>
              <w:rPr>
                <w:rFonts w:ascii="Arial" w:hAnsi="Arial" w:cs="Arial"/>
                <w:color w:val="000000"/>
              </w:rPr>
            </w:pPr>
            <w:r w:rsidRPr="00F23B84">
              <w:rPr>
                <w:rFonts w:ascii="Arial" w:hAnsi="Arial" w:cs="Arial"/>
                <w:color w:val="000000"/>
              </w:rPr>
              <w:t>88.6</w:t>
            </w:r>
          </w:p>
        </w:tc>
        <w:tc>
          <w:tcPr>
            <w:tcW w:w="1250" w:type="dxa"/>
            <w:tcBorders>
              <w:top w:val="nil"/>
              <w:bottom w:val="single" w:sz="4" w:space="0" w:color="auto"/>
            </w:tcBorders>
          </w:tcPr>
          <w:p w14:paraId="320497F1" w14:textId="538456AA" w:rsidR="002729D0" w:rsidRPr="00F23B84" w:rsidRDefault="002729D0" w:rsidP="00183DD9">
            <w:pPr>
              <w:jc w:val="center"/>
              <w:rPr>
                <w:rFonts w:ascii="Arial" w:hAnsi="Arial" w:cs="Arial"/>
                <w:color w:val="000000"/>
              </w:rPr>
            </w:pPr>
            <w:r w:rsidRPr="00F23B84">
              <w:rPr>
                <w:rFonts w:ascii="Arial" w:hAnsi="Arial" w:cs="Arial"/>
                <w:color w:val="000000"/>
              </w:rPr>
              <w:t>4.5</w:t>
            </w:r>
          </w:p>
        </w:tc>
        <w:tc>
          <w:tcPr>
            <w:tcW w:w="1250" w:type="dxa"/>
            <w:tcBorders>
              <w:top w:val="nil"/>
              <w:bottom w:val="single" w:sz="4" w:space="0" w:color="auto"/>
            </w:tcBorders>
          </w:tcPr>
          <w:p w14:paraId="7545BDA2" w14:textId="16FDA2C2" w:rsidR="002729D0" w:rsidRPr="00F23B84" w:rsidRDefault="002729D0" w:rsidP="00183DD9">
            <w:pPr>
              <w:jc w:val="center"/>
              <w:rPr>
                <w:rFonts w:ascii="Arial" w:hAnsi="Arial" w:cs="Arial"/>
                <w:color w:val="000000"/>
              </w:rPr>
            </w:pPr>
            <w:r w:rsidRPr="00F23B84">
              <w:rPr>
                <w:rFonts w:ascii="Arial" w:hAnsi="Arial" w:cs="Arial"/>
                <w:color w:val="000000"/>
              </w:rPr>
              <w:t>6.8</w:t>
            </w:r>
          </w:p>
        </w:tc>
        <w:tc>
          <w:tcPr>
            <w:tcW w:w="1250" w:type="dxa"/>
            <w:tcBorders>
              <w:top w:val="nil"/>
              <w:bottom w:val="single" w:sz="4" w:space="0" w:color="auto"/>
              <w:right w:val="nil"/>
            </w:tcBorders>
          </w:tcPr>
          <w:p w14:paraId="0F88DBD4" w14:textId="1B59AEA4" w:rsidR="002729D0" w:rsidRPr="00F23B84" w:rsidRDefault="002729D0" w:rsidP="00183DD9">
            <w:pPr>
              <w:jc w:val="center"/>
              <w:rPr>
                <w:rFonts w:ascii="Arial" w:hAnsi="Arial" w:cs="Arial"/>
                <w:color w:val="000000"/>
              </w:rPr>
            </w:pPr>
            <w:r w:rsidRPr="00F23B84">
              <w:rPr>
                <w:rFonts w:ascii="Arial" w:hAnsi="Arial" w:cs="Arial"/>
                <w:color w:val="000000"/>
              </w:rPr>
              <w:t>100.0</w:t>
            </w:r>
          </w:p>
        </w:tc>
      </w:tr>
      <w:tr w:rsidR="002729D0" w:rsidRPr="00F23B84" w14:paraId="52291919" w14:textId="77777777" w:rsidTr="00183DD9">
        <w:trPr>
          <w:trHeight w:val="364"/>
        </w:trPr>
        <w:tc>
          <w:tcPr>
            <w:tcW w:w="894" w:type="dxa"/>
            <w:vMerge/>
            <w:tcBorders>
              <w:left w:val="nil"/>
            </w:tcBorders>
          </w:tcPr>
          <w:p w14:paraId="33C48F42" w14:textId="77777777" w:rsidR="002729D0" w:rsidRPr="00F23B84" w:rsidRDefault="002729D0" w:rsidP="00C11B7C">
            <w:pPr>
              <w:rPr>
                <w:rFonts w:ascii="Arial" w:hAnsi="Arial" w:cs="Arial"/>
                <w:color w:val="000000"/>
              </w:rPr>
            </w:pPr>
          </w:p>
        </w:tc>
        <w:tc>
          <w:tcPr>
            <w:tcW w:w="1063" w:type="dxa"/>
            <w:vMerge w:val="restart"/>
          </w:tcPr>
          <w:p w14:paraId="16B8AF05" w14:textId="77777777" w:rsidR="002729D0" w:rsidRPr="00F23B84" w:rsidRDefault="002729D0" w:rsidP="00C11B7C">
            <w:pPr>
              <w:rPr>
                <w:rFonts w:ascii="Arial" w:hAnsi="Arial" w:cs="Arial"/>
                <w:color w:val="000000"/>
              </w:rPr>
            </w:pPr>
            <w:r w:rsidRPr="00F23B84">
              <w:rPr>
                <w:rFonts w:ascii="Arial" w:hAnsi="Arial" w:cs="Arial"/>
                <w:color w:val="000000"/>
              </w:rPr>
              <w:t>66 +</w:t>
            </w:r>
          </w:p>
        </w:tc>
        <w:tc>
          <w:tcPr>
            <w:tcW w:w="1662" w:type="dxa"/>
            <w:tcBorders>
              <w:bottom w:val="nil"/>
            </w:tcBorders>
          </w:tcPr>
          <w:p w14:paraId="461F16B4" w14:textId="77777777" w:rsidR="002729D0" w:rsidRPr="00F23B84" w:rsidRDefault="002729D0" w:rsidP="00C11B7C">
            <w:pPr>
              <w:rPr>
                <w:rFonts w:ascii="Arial" w:hAnsi="Arial" w:cs="Arial"/>
                <w:color w:val="000000"/>
              </w:rPr>
            </w:pPr>
            <w:r w:rsidRPr="00F23B84">
              <w:rPr>
                <w:rFonts w:ascii="Arial" w:hAnsi="Arial" w:cs="Arial"/>
                <w:color w:val="000000"/>
              </w:rPr>
              <w:t>Count</w:t>
            </w:r>
          </w:p>
        </w:tc>
        <w:tc>
          <w:tcPr>
            <w:tcW w:w="1250" w:type="dxa"/>
            <w:tcBorders>
              <w:bottom w:val="nil"/>
            </w:tcBorders>
          </w:tcPr>
          <w:p w14:paraId="31B6C099" w14:textId="77777777" w:rsidR="002729D0" w:rsidRPr="00F23B84" w:rsidRDefault="002729D0" w:rsidP="00183DD9">
            <w:pPr>
              <w:jc w:val="center"/>
              <w:rPr>
                <w:rFonts w:ascii="Arial" w:hAnsi="Arial" w:cs="Arial"/>
                <w:color w:val="000000"/>
              </w:rPr>
            </w:pPr>
            <w:r w:rsidRPr="00F23B84">
              <w:rPr>
                <w:rFonts w:ascii="Arial" w:hAnsi="Arial" w:cs="Arial"/>
                <w:color w:val="000000"/>
              </w:rPr>
              <w:t>47</w:t>
            </w:r>
          </w:p>
        </w:tc>
        <w:tc>
          <w:tcPr>
            <w:tcW w:w="1250" w:type="dxa"/>
            <w:tcBorders>
              <w:bottom w:val="nil"/>
            </w:tcBorders>
          </w:tcPr>
          <w:p w14:paraId="4B0772D1" w14:textId="77777777" w:rsidR="002729D0" w:rsidRPr="00F23B84" w:rsidRDefault="002729D0" w:rsidP="00183DD9">
            <w:pPr>
              <w:jc w:val="center"/>
              <w:rPr>
                <w:rFonts w:ascii="Arial" w:hAnsi="Arial" w:cs="Arial"/>
                <w:color w:val="000000"/>
              </w:rPr>
            </w:pPr>
            <w:r w:rsidRPr="00F23B84">
              <w:rPr>
                <w:rFonts w:ascii="Arial" w:hAnsi="Arial" w:cs="Arial"/>
                <w:color w:val="000000"/>
              </w:rPr>
              <w:t>12</w:t>
            </w:r>
          </w:p>
        </w:tc>
        <w:tc>
          <w:tcPr>
            <w:tcW w:w="1250" w:type="dxa"/>
            <w:tcBorders>
              <w:bottom w:val="nil"/>
            </w:tcBorders>
          </w:tcPr>
          <w:p w14:paraId="77CC8F78" w14:textId="77777777" w:rsidR="002729D0" w:rsidRPr="00F23B84" w:rsidRDefault="002729D0" w:rsidP="00183DD9">
            <w:pPr>
              <w:jc w:val="center"/>
              <w:rPr>
                <w:rFonts w:ascii="Arial" w:hAnsi="Arial" w:cs="Arial"/>
                <w:color w:val="000000"/>
              </w:rPr>
            </w:pPr>
            <w:r w:rsidRPr="00F23B84">
              <w:rPr>
                <w:rFonts w:ascii="Arial" w:hAnsi="Arial" w:cs="Arial"/>
                <w:color w:val="000000"/>
              </w:rPr>
              <w:t>3</w:t>
            </w:r>
          </w:p>
        </w:tc>
        <w:tc>
          <w:tcPr>
            <w:tcW w:w="1250" w:type="dxa"/>
            <w:tcBorders>
              <w:bottom w:val="nil"/>
              <w:right w:val="nil"/>
            </w:tcBorders>
          </w:tcPr>
          <w:p w14:paraId="7DA8DCBC" w14:textId="77777777" w:rsidR="002729D0" w:rsidRPr="00F23B84" w:rsidRDefault="002729D0" w:rsidP="00183DD9">
            <w:pPr>
              <w:jc w:val="center"/>
              <w:rPr>
                <w:rFonts w:ascii="Arial" w:hAnsi="Arial" w:cs="Arial"/>
                <w:color w:val="000000"/>
              </w:rPr>
            </w:pPr>
            <w:r w:rsidRPr="00F23B84">
              <w:rPr>
                <w:rFonts w:ascii="Arial" w:hAnsi="Arial" w:cs="Arial"/>
                <w:color w:val="000000"/>
              </w:rPr>
              <w:t>62</w:t>
            </w:r>
          </w:p>
        </w:tc>
      </w:tr>
      <w:tr w:rsidR="002729D0" w:rsidRPr="00F23B84" w14:paraId="5906084E" w14:textId="77777777" w:rsidTr="00183DD9">
        <w:trPr>
          <w:trHeight w:val="318"/>
        </w:trPr>
        <w:tc>
          <w:tcPr>
            <w:tcW w:w="894" w:type="dxa"/>
            <w:vMerge/>
            <w:tcBorders>
              <w:left w:val="nil"/>
            </w:tcBorders>
          </w:tcPr>
          <w:p w14:paraId="0DB4B737" w14:textId="77777777" w:rsidR="002729D0" w:rsidRPr="00F23B84" w:rsidRDefault="002729D0" w:rsidP="00C11B7C">
            <w:pPr>
              <w:rPr>
                <w:rFonts w:ascii="Arial" w:hAnsi="Arial" w:cs="Arial"/>
                <w:color w:val="000000"/>
              </w:rPr>
            </w:pPr>
          </w:p>
        </w:tc>
        <w:tc>
          <w:tcPr>
            <w:tcW w:w="1063" w:type="dxa"/>
            <w:vMerge/>
          </w:tcPr>
          <w:p w14:paraId="68E5785E" w14:textId="77777777" w:rsidR="002729D0" w:rsidRPr="00F23B84" w:rsidRDefault="002729D0" w:rsidP="00C11B7C">
            <w:pPr>
              <w:rPr>
                <w:rFonts w:ascii="Arial" w:hAnsi="Arial" w:cs="Arial"/>
                <w:color w:val="000000"/>
              </w:rPr>
            </w:pPr>
          </w:p>
        </w:tc>
        <w:tc>
          <w:tcPr>
            <w:tcW w:w="1662" w:type="dxa"/>
            <w:tcBorders>
              <w:top w:val="nil"/>
              <w:bottom w:val="single" w:sz="4" w:space="0" w:color="auto"/>
            </w:tcBorders>
          </w:tcPr>
          <w:p w14:paraId="4647A19D" w14:textId="51230464" w:rsidR="002729D0" w:rsidRPr="00F23B84" w:rsidRDefault="002729D0" w:rsidP="00C11B7C">
            <w:pPr>
              <w:rPr>
                <w:rFonts w:ascii="Arial" w:hAnsi="Arial" w:cs="Arial"/>
                <w:color w:val="000000"/>
              </w:rPr>
            </w:pPr>
            <w:r w:rsidRPr="00F23B84">
              <w:rPr>
                <w:rFonts w:ascii="Arial" w:hAnsi="Arial" w:cs="Arial"/>
                <w:color w:val="000000"/>
              </w:rPr>
              <w:t>%</w:t>
            </w:r>
          </w:p>
        </w:tc>
        <w:tc>
          <w:tcPr>
            <w:tcW w:w="1250" w:type="dxa"/>
            <w:tcBorders>
              <w:top w:val="nil"/>
              <w:bottom w:val="single" w:sz="4" w:space="0" w:color="auto"/>
            </w:tcBorders>
          </w:tcPr>
          <w:p w14:paraId="450FDA5A" w14:textId="5A8D8BF7" w:rsidR="002729D0" w:rsidRPr="00F23B84" w:rsidRDefault="002729D0" w:rsidP="00183DD9">
            <w:pPr>
              <w:jc w:val="center"/>
              <w:rPr>
                <w:rFonts w:ascii="Arial" w:hAnsi="Arial" w:cs="Arial"/>
                <w:color w:val="000000"/>
              </w:rPr>
            </w:pPr>
            <w:r w:rsidRPr="00F23B84">
              <w:rPr>
                <w:rFonts w:ascii="Arial" w:hAnsi="Arial" w:cs="Arial"/>
                <w:color w:val="000000"/>
              </w:rPr>
              <w:t>75.8</w:t>
            </w:r>
          </w:p>
        </w:tc>
        <w:tc>
          <w:tcPr>
            <w:tcW w:w="1250" w:type="dxa"/>
            <w:tcBorders>
              <w:top w:val="nil"/>
              <w:bottom w:val="single" w:sz="4" w:space="0" w:color="auto"/>
            </w:tcBorders>
          </w:tcPr>
          <w:p w14:paraId="0C389221" w14:textId="306D631C" w:rsidR="002729D0" w:rsidRPr="00F23B84" w:rsidRDefault="002729D0" w:rsidP="00183DD9">
            <w:pPr>
              <w:jc w:val="center"/>
              <w:rPr>
                <w:rFonts w:ascii="Arial" w:hAnsi="Arial" w:cs="Arial"/>
                <w:color w:val="000000"/>
              </w:rPr>
            </w:pPr>
            <w:r w:rsidRPr="00F23B84">
              <w:rPr>
                <w:rFonts w:ascii="Arial" w:hAnsi="Arial" w:cs="Arial"/>
                <w:color w:val="000000"/>
              </w:rPr>
              <w:t>19.4</w:t>
            </w:r>
          </w:p>
        </w:tc>
        <w:tc>
          <w:tcPr>
            <w:tcW w:w="1250" w:type="dxa"/>
            <w:tcBorders>
              <w:top w:val="nil"/>
              <w:bottom w:val="single" w:sz="4" w:space="0" w:color="auto"/>
            </w:tcBorders>
          </w:tcPr>
          <w:p w14:paraId="714AB0E3" w14:textId="6F7FF539" w:rsidR="002729D0" w:rsidRPr="00F23B84" w:rsidRDefault="002729D0" w:rsidP="00183DD9">
            <w:pPr>
              <w:jc w:val="center"/>
              <w:rPr>
                <w:rFonts w:ascii="Arial" w:hAnsi="Arial" w:cs="Arial"/>
                <w:color w:val="000000"/>
              </w:rPr>
            </w:pPr>
            <w:r w:rsidRPr="00F23B84">
              <w:rPr>
                <w:rFonts w:ascii="Arial" w:hAnsi="Arial" w:cs="Arial"/>
                <w:color w:val="000000"/>
              </w:rPr>
              <w:t>4.8</w:t>
            </w:r>
          </w:p>
        </w:tc>
        <w:tc>
          <w:tcPr>
            <w:tcW w:w="1250" w:type="dxa"/>
            <w:tcBorders>
              <w:top w:val="nil"/>
              <w:bottom w:val="single" w:sz="4" w:space="0" w:color="auto"/>
              <w:right w:val="nil"/>
            </w:tcBorders>
          </w:tcPr>
          <w:p w14:paraId="5970D772" w14:textId="1AEF8A90" w:rsidR="002729D0" w:rsidRPr="00F23B84" w:rsidRDefault="002729D0" w:rsidP="00183DD9">
            <w:pPr>
              <w:jc w:val="center"/>
              <w:rPr>
                <w:rFonts w:ascii="Arial" w:hAnsi="Arial" w:cs="Arial"/>
                <w:color w:val="000000"/>
              </w:rPr>
            </w:pPr>
            <w:r w:rsidRPr="00F23B84">
              <w:rPr>
                <w:rFonts w:ascii="Arial" w:hAnsi="Arial" w:cs="Arial"/>
                <w:color w:val="000000"/>
              </w:rPr>
              <w:t>100.0</w:t>
            </w:r>
          </w:p>
        </w:tc>
      </w:tr>
      <w:tr w:rsidR="002729D0" w:rsidRPr="00F23B84" w14:paraId="5CC7EDA0" w14:textId="77777777" w:rsidTr="00183DD9">
        <w:trPr>
          <w:trHeight w:val="318"/>
        </w:trPr>
        <w:tc>
          <w:tcPr>
            <w:tcW w:w="1957" w:type="dxa"/>
            <w:gridSpan w:val="2"/>
            <w:vMerge w:val="restart"/>
            <w:tcBorders>
              <w:left w:val="nil"/>
            </w:tcBorders>
          </w:tcPr>
          <w:p w14:paraId="577974A6" w14:textId="77777777" w:rsidR="002729D0" w:rsidRPr="00F23B84" w:rsidRDefault="002729D0" w:rsidP="00C11B7C">
            <w:pPr>
              <w:rPr>
                <w:rFonts w:ascii="Arial" w:hAnsi="Arial" w:cs="Arial"/>
                <w:color w:val="000000"/>
              </w:rPr>
            </w:pPr>
            <w:r w:rsidRPr="00F23B84">
              <w:rPr>
                <w:rFonts w:ascii="Arial" w:hAnsi="Arial" w:cs="Arial"/>
                <w:color w:val="000000"/>
              </w:rPr>
              <w:t>Total</w:t>
            </w:r>
          </w:p>
        </w:tc>
        <w:tc>
          <w:tcPr>
            <w:tcW w:w="1662" w:type="dxa"/>
            <w:tcBorders>
              <w:bottom w:val="nil"/>
            </w:tcBorders>
          </w:tcPr>
          <w:p w14:paraId="697CD5C0" w14:textId="77777777" w:rsidR="002729D0" w:rsidRPr="00F23B84" w:rsidRDefault="002729D0" w:rsidP="00C11B7C">
            <w:pPr>
              <w:rPr>
                <w:rFonts w:ascii="Arial" w:hAnsi="Arial" w:cs="Arial"/>
                <w:color w:val="000000"/>
              </w:rPr>
            </w:pPr>
            <w:r w:rsidRPr="00F23B84">
              <w:rPr>
                <w:rFonts w:ascii="Arial" w:hAnsi="Arial" w:cs="Arial"/>
                <w:color w:val="000000"/>
              </w:rPr>
              <w:t>Count</w:t>
            </w:r>
          </w:p>
        </w:tc>
        <w:tc>
          <w:tcPr>
            <w:tcW w:w="1250" w:type="dxa"/>
            <w:tcBorders>
              <w:bottom w:val="nil"/>
            </w:tcBorders>
          </w:tcPr>
          <w:p w14:paraId="75211198" w14:textId="77777777" w:rsidR="002729D0" w:rsidRPr="00F23B84" w:rsidRDefault="002729D0" w:rsidP="00183DD9">
            <w:pPr>
              <w:jc w:val="center"/>
              <w:rPr>
                <w:rFonts w:ascii="Arial" w:hAnsi="Arial" w:cs="Arial"/>
                <w:color w:val="000000"/>
              </w:rPr>
            </w:pPr>
            <w:r w:rsidRPr="00F23B84">
              <w:rPr>
                <w:rFonts w:ascii="Arial" w:hAnsi="Arial" w:cs="Arial"/>
                <w:color w:val="000000"/>
              </w:rPr>
              <w:t>163</w:t>
            </w:r>
          </w:p>
        </w:tc>
        <w:tc>
          <w:tcPr>
            <w:tcW w:w="1250" w:type="dxa"/>
            <w:tcBorders>
              <w:bottom w:val="nil"/>
            </w:tcBorders>
          </w:tcPr>
          <w:p w14:paraId="10ACF52C" w14:textId="77777777" w:rsidR="002729D0" w:rsidRPr="00F23B84" w:rsidRDefault="002729D0" w:rsidP="00183DD9">
            <w:pPr>
              <w:jc w:val="center"/>
              <w:rPr>
                <w:rFonts w:ascii="Arial" w:hAnsi="Arial" w:cs="Arial"/>
                <w:color w:val="000000"/>
              </w:rPr>
            </w:pPr>
            <w:r w:rsidRPr="00F23B84">
              <w:rPr>
                <w:rFonts w:ascii="Arial" w:hAnsi="Arial" w:cs="Arial"/>
                <w:color w:val="000000"/>
              </w:rPr>
              <w:t>16</w:t>
            </w:r>
          </w:p>
        </w:tc>
        <w:tc>
          <w:tcPr>
            <w:tcW w:w="1250" w:type="dxa"/>
            <w:tcBorders>
              <w:bottom w:val="nil"/>
            </w:tcBorders>
          </w:tcPr>
          <w:p w14:paraId="564663B0" w14:textId="77777777" w:rsidR="002729D0" w:rsidRPr="00F23B84" w:rsidRDefault="002729D0" w:rsidP="00183DD9">
            <w:pPr>
              <w:jc w:val="center"/>
              <w:rPr>
                <w:rFonts w:ascii="Arial" w:hAnsi="Arial" w:cs="Arial"/>
                <w:color w:val="000000"/>
              </w:rPr>
            </w:pPr>
            <w:r w:rsidRPr="00F23B84">
              <w:rPr>
                <w:rFonts w:ascii="Arial" w:hAnsi="Arial" w:cs="Arial"/>
                <w:color w:val="000000"/>
              </w:rPr>
              <w:t>11</w:t>
            </w:r>
          </w:p>
        </w:tc>
        <w:tc>
          <w:tcPr>
            <w:tcW w:w="1250" w:type="dxa"/>
            <w:tcBorders>
              <w:bottom w:val="nil"/>
              <w:right w:val="nil"/>
            </w:tcBorders>
          </w:tcPr>
          <w:p w14:paraId="656B3472" w14:textId="77777777" w:rsidR="002729D0" w:rsidRPr="00F23B84" w:rsidRDefault="002729D0" w:rsidP="00183DD9">
            <w:pPr>
              <w:jc w:val="center"/>
              <w:rPr>
                <w:rFonts w:ascii="Arial" w:hAnsi="Arial" w:cs="Arial"/>
                <w:color w:val="000000"/>
              </w:rPr>
            </w:pPr>
            <w:r w:rsidRPr="00F23B84">
              <w:rPr>
                <w:rFonts w:ascii="Arial" w:hAnsi="Arial" w:cs="Arial"/>
                <w:color w:val="000000"/>
              </w:rPr>
              <w:t>190</w:t>
            </w:r>
          </w:p>
        </w:tc>
      </w:tr>
      <w:tr w:rsidR="002729D0" w:rsidRPr="00F23B84" w14:paraId="6634440A" w14:textId="77777777" w:rsidTr="00183DD9">
        <w:trPr>
          <w:trHeight w:val="379"/>
        </w:trPr>
        <w:tc>
          <w:tcPr>
            <w:tcW w:w="1957" w:type="dxa"/>
            <w:gridSpan w:val="2"/>
            <w:vMerge/>
            <w:tcBorders>
              <w:left w:val="nil"/>
            </w:tcBorders>
          </w:tcPr>
          <w:p w14:paraId="7CF408C2" w14:textId="77777777" w:rsidR="002729D0" w:rsidRPr="00F23B84" w:rsidRDefault="002729D0" w:rsidP="00C11B7C">
            <w:pPr>
              <w:rPr>
                <w:rFonts w:ascii="Arial" w:hAnsi="Arial" w:cs="Arial"/>
                <w:color w:val="000000"/>
              </w:rPr>
            </w:pPr>
          </w:p>
        </w:tc>
        <w:tc>
          <w:tcPr>
            <w:tcW w:w="1662" w:type="dxa"/>
            <w:tcBorders>
              <w:top w:val="nil"/>
            </w:tcBorders>
          </w:tcPr>
          <w:p w14:paraId="3901016C" w14:textId="253475BD" w:rsidR="002729D0" w:rsidRPr="00F23B84" w:rsidRDefault="002729D0" w:rsidP="00C11B7C">
            <w:pPr>
              <w:rPr>
                <w:rFonts w:ascii="Arial" w:hAnsi="Arial" w:cs="Arial"/>
                <w:color w:val="000000"/>
              </w:rPr>
            </w:pPr>
            <w:r w:rsidRPr="00F23B84">
              <w:rPr>
                <w:rFonts w:ascii="Arial" w:hAnsi="Arial" w:cs="Arial"/>
                <w:color w:val="000000"/>
              </w:rPr>
              <w:t>%</w:t>
            </w:r>
          </w:p>
        </w:tc>
        <w:tc>
          <w:tcPr>
            <w:tcW w:w="1250" w:type="dxa"/>
            <w:tcBorders>
              <w:top w:val="nil"/>
            </w:tcBorders>
          </w:tcPr>
          <w:p w14:paraId="76A06B51" w14:textId="77777777" w:rsidR="002729D0" w:rsidRPr="00F23B84" w:rsidRDefault="002729D0" w:rsidP="00183DD9">
            <w:pPr>
              <w:jc w:val="center"/>
              <w:rPr>
                <w:rFonts w:ascii="Arial" w:hAnsi="Arial" w:cs="Arial"/>
                <w:color w:val="000000"/>
              </w:rPr>
            </w:pPr>
            <w:r w:rsidRPr="00F23B84">
              <w:rPr>
                <w:rFonts w:ascii="Arial" w:hAnsi="Arial" w:cs="Arial"/>
                <w:color w:val="000000"/>
              </w:rPr>
              <w:t>85.8%</w:t>
            </w:r>
          </w:p>
        </w:tc>
        <w:tc>
          <w:tcPr>
            <w:tcW w:w="1250" w:type="dxa"/>
            <w:tcBorders>
              <w:top w:val="nil"/>
            </w:tcBorders>
          </w:tcPr>
          <w:p w14:paraId="0341EF87" w14:textId="77777777" w:rsidR="002729D0" w:rsidRPr="00F23B84" w:rsidRDefault="002729D0" w:rsidP="00183DD9">
            <w:pPr>
              <w:jc w:val="center"/>
              <w:rPr>
                <w:rFonts w:ascii="Arial" w:hAnsi="Arial" w:cs="Arial"/>
                <w:color w:val="000000"/>
              </w:rPr>
            </w:pPr>
            <w:r w:rsidRPr="00F23B84">
              <w:rPr>
                <w:rFonts w:ascii="Arial" w:hAnsi="Arial" w:cs="Arial"/>
                <w:color w:val="000000"/>
              </w:rPr>
              <w:t>8.4%</w:t>
            </w:r>
          </w:p>
        </w:tc>
        <w:tc>
          <w:tcPr>
            <w:tcW w:w="1250" w:type="dxa"/>
            <w:tcBorders>
              <w:top w:val="nil"/>
            </w:tcBorders>
          </w:tcPr>
          <w:p w14:paraId="138EAD24" w14:textId="77777777" w:rsidR="002729D0" w:rsidRPr="00F23B84" w:rsidRDefault="002729D0" w:rsidP="00183DD9">
            <w:pPr>
              <w:jc w:val="center"/>
              <w:rPr>
                <w:rFonts w:ascii="Arial" w:hAnsi="Arial" w:cs="Arial"/>
                <w:color w:val="000000"/>
              </w:rPr>
            </w:pPr>
            <w:r w:rsidRPr="00F23B84">
              <w:rPr>
                <w:rFonts w:ascii="Arial" w:hAnsi="Arial" w:cs="Arial"/>
                <w:color w:val="000000"/>
              </w:rPr>
              <w:t>5.8%</w:t>
            </w:r>
          </w:p>
        </w:tc>
        <w:tc>
          <w:tcPr>
            <w:tcW w:w="1250" w:type="dxa"/>
            <w:tcBorders>
              <w:top w:val="nil"/>
              <w:right w:val="nil"/>
            </w:tcBorders>
          </w:tcPr>
          <w:p w14:paraId="6395002A" w14:textId="77777777" w:rsidR="002729D0" w:rsidRPr="00F23B84" w:rsidRDefault="002729D0" w:rsidP="00183DD9">
            <w:pPr>
              <w:jc w:val="center"/>
              <w:rPr>
                <w:rFonts w:ascii="Arial" w:hAnsi="Arial" w:cs="Arial"/>
                <w:color w:val="000000"/>
              </w:rPr>
            </w:pPr>
            <w:r w:rsidRPr="00F23B84">
              <w:rPr>
                <w:rFonts w:ascii="Arial" w:hAnsi="Arial" w:cs="Arial"/>
                <w:color w:val="000000"/>
              </w:rPr>
              <w:t>100.0%</w:t>
            </w:r>
          </w:p>
        </w:tc>
      </w:tr>
    </w:tbl>
    <w:p w14:paraId="3F1D2DE6" w14:textId="5D76A7EB" w:rsidR="00C100F5" w:rsidRPr="00F23B84" w:rsidRDefault="00C100F5" w:rsidP="00C11B7C">
      <w:pPr>
        <w:rPr>
          <w:rFonts w:ascii="Arial" w:hAnsi="Arial" w:cs="Arial"/>
        </w:rPr>
      </w:pPr>
    </w:p>
    <w:p w14:paraId="2C14DAA2" w14:textId="77777777" w:rsidR="00C100F5" w:rsidRPr="00F23B84" w:rsidRDefault="00C100F5" w:rsidP="00C11B7C">
      <w:pPr>
        <w:rPr>
          <w:rFonts w:ascii="Arial" w:hAnsi="Arial" w:cs="Arial"/>
        </w:rPr>
      </w:pPr>
    </w:p>
    <w:p w14:paraId="71C8386B" w14:textId="213374DD" w:rsidR="00F540BA" w:rsidRPr="00F23B84" w:rsidRDefault="00F540BA" w:rsidP="00C11B7C">
      <w:pPr>
        <w:rPr>
          <w:rFonts w:ascii="Arial" w:hAnsi="Arial" w:cs="Arial"/>
        </w:rPr>
      </w:pPr>
    </w:p>
    <w:p w14:paraId="1FB33680" w14:textId="77777777" w:rsidR="00832C66" w:rsidRPr="00F23B84" w:rsidRDefault="00832C66" w:rsidP="00C11B7C">
      <w:pPr>
        <w:rPr>
          <w:rFonts w:ascii="Arial" w:hAnsi="Arial" w:cs="Arial"/>
        </w:rPr>
      </w:pPr>
      <w:r w:rsidRPr="00F23B84">
        <w:rPr>
          <w:rFonts w:ascii="Arial" w:hAnsi="Arial" w:cs="Arial"/>
        </w:rPr>
        <w:br w:type="page"/>
      </w:r>
    </w:p>
    <w:p w14:paraId="4E171574" w14:textId="5EC00D5D" w:rsidR="00F8715E" w:rsidRPr="00F23B84" w:rsidRDefault="00F8715E" w:rsidP="00C11B7C">
      <w:pPr>
        <w:rPr>
          <w:rFonts w:ascii="Arial" w:hAnsi="Arial" w:cs="Arial"/>
          <w:b/>
          <w:bCs/>
        </w:rPr>
      </w:pPr>
      <w:r w:rsidRPr="00F23B84">
        <w:rPr>
          <w:rFonts w:ascii="Arial" w:hAnsi="Arial" w:cs="Arial"/>
          <w:b/>
          <w:bCs/>
        </w:rPr>
        <w:lastRenderedPageBreak/>
        <w:t>Figure 1</w:t>
      </w:r>
      <w:r w:rsidR="00161A6E" w:rsidRPr="00F23B84">
        <w:rPr>
          <w:rFonts w:ascii="Arial" w:hAnsi="Arial" w:cs="Arial"/>
          <w:b/>
          <w:bCs/>
        </w:rPr>
        <w:t>: Reasons for Early failures (under 18months)</w:t>
      </w:r>
    </w:p>
    <w:p w14:paraId="3BEBD156" w14:textId="77777777" w:rsidR="00D769A4" w:rsidRPr="00F23B84" w:rsidRDefault="00D769A4" w:rsidP="00C11B7C">
      <w:pPr>
        <w:rPr>
          <w:rFonts w:ascii="Arial" w:hAnsi="Arial" w:cs="Arial"/>
          <w:b/>
          <w:bCs/>
        </w:rPr>
      </w:pPr>
    </w:p>
    <w:p w14:paraId="5A3F158D" w14:textId="77777777" w:rsidR="00D769A4" w:rsidRPr="00F23B84" w:rsidRDefault="00D769A4" w:rsidP="00C11B7C">
      <w:pPr>
        <w:rPr>
          <w:rFonts w:ascii="Arial" w:hAnsi="Arial" w:cs="Arial"/>
        </w:rPr>
      </w:pPr>
    </w:p>
    <w:p w14:paraId="1014FCB8" w14:textId="412A9731" w:rsidR="00F8715E" w:rsidRPr="00F23B84" w:rsidRDefault="00F8715E" w:rsidP="00C11B7C">
      <w:pPr>
        <w:rPr>
          <w:rFonts w:ascii="Arial" w:hAnsi="Arial" w:cs="Arial"/>
        </w:rPr>
      </w:pPr>
      <w:r w:rsidRPr="00F23B84">
        <w:rPr>
          <w:rFonts w:ascii="Arial" w:hAnsi="Arial" w:cs="Arial"/>
          <w:noProof/>
        </w:rPr>
        <w:drawing>
          <wp:inline distT="0" distB="0" distL="0" distR="0" wp14:anchorId="35FF5BED" wp14:editId="07E3A722">
            <wp:extent cx="5731510" cy="2518410"/>
            <wp:effectExtent l="0" t="0" r="8890" b="8890"/>
            <wp:docPr id="1" name="Chart 1">
              <a:extLst xmlns:a="http://schemas.openxmlformats.org/drawingml/2006/main">
                <a:ext uri="{FF2B5EF4-FFF2-40B4-BE49-F238E27FC236}">
                  <a16:creationId xmlns:a16="http://schemas.microsoft.com/office/drawing/2014/main" id="{04A6B78E-3CE4-E742-8F16-528ABF310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F70BE5" w14:textId="3590028B" w:rsidR="00D769A4" w:rsidRPr="00F23B84" w:rsidRDefault="00D769A4" w:rsidP="00C11B7C">
      <w:pPr>
        <w:rPr>
          <w:rFonts w:ascii="Arial" w:hAnsi="Arial" w:cs="Arial"/>
        </w:rPr>
      </w:pPr>
    </w:p>
    <w:p w14:paraId="2E44A58B" w14:textId="77777777" w:rsidR="00832C66" w:rsidRPr="00F23B84" w:rsidRDefault="00832C66" w:rsidP="00C11B7C">
      <w:pPr>
        <w:rPr>
          <w:rFonts w:ascii="Arial" w:hAnsi="Arial" w:cs="Arial"/>
        </w:rPr>
      </w:pPr>
      <w:r w:rsidRPr="00F23B84">
        <w:rPr>
          <w:rFonts w:ascii="Arial" w:hAnsi="Arial" w:cs="Arial"/>
        </w:rPr>
        <w:br w:type="page"/>
      </w:r>
    </w:p>
    <w:p w14:paraId="70BE6ABB" w14:textId="61246B41" w:rsidR="00D769A4" w:rsidRPr="00F23B84" w:rsidRDefault="00D769A4" w:rsidP="00C11B7C">
      <w:pPr>
        <w:rPr>
          <w:rFonts w:ascii="Arial" w:hAnsi="Arial" w:cs="Arial"/>
          <w:b/>
          <w:bCs/>
        </w:rPr>
      </w:pPr>
      <w:r w:rsidRPr="00F23B84">
        <w:rPr>
          <w:rFonts w:ascii="Arial" w:hAnsi="Arial" w:cs="Arial"/>
          <w:b/>
          <w:bCs/>
        </w:rPr>
        <w:lastRenderedPageBreak/>
        <w:t>Figure 2:</w:t>
      </w:r>
      <w:r w:rsidR="00161A6E" w:rsidRPr="00F23B84">
        <w:rPr>
          <w:rFonts w:ascii="Arial" w:hAnsi="Arial" w:cs="Arial"/>
          <w:b/>
          <w:bCs/>
        </w:rPr>
        <w:t xml:space="preserve"> Reason for failures (whole series)</w:t>
      </w:r>
    </w:p>
    <w:p w14:paraId="0C7E621D" w14:textId="77777777" w:rsidR="00C11B7C" w:rsidRPr="00F23B84" w:rsidRDefault="00C11B7C" w:rsidP="00C11B7C">
      <w:pPr>
        <w:rPr>
          <w:rFonts w:ascii="Arial" w:hAnsi="Arial" w:cs="Arial"/>
          <w:b/>
          <w:bCs/>
        </w:rPr>
      </w:pPr>
    </w:p>
    <w:p w14:paraId="396EACE2" w14:textId="11E1A992" w:rsidR="00D769A4" w:rsidRPr="00F23B84" w:rsidRDefault="00D769A4" w:rsidP="00C11B7C">
      <w:pPr>
        <w:rPr>
          <w:rFonts w:ascii="Arial" w:hAnsi="Arial" w:cs="Arial"/>
        </w:rPr>
      </w:pPr>
      <w:r w:rsidRPr="00F23B84">
        <w:rPr>
          <w:rFonts w:ascii="Arial" w:hAnsi="Arial" w:cs="Arial"/>
          <w:noProof/>
        </w:rPr>
        <w:drawing>
          <wp:inline distT="0" distB="0" distL="0" distR="0" wp14:anchorId="364BE185" wp14:editId="05CC3815">
            <wp:extent cx="5731510" cy="2572385"/>
            <wp:effectExtent l="0" t="0" r="8890" b="18415"/>
            <wp:docPr id="2" name="Chart 2">
              <a:extLst xmlns:a="http://schemas.openxmlformats.org/drawingml/2006/main">
                <a:ext uri="{FF2B5EF4-FFF2-40B4-BE49-F238E27FC236}">
                  <a16:creationId xmlns:a16="http://schemas.microsoft.com/office/drawing/2014/main" id="{FA421A34-E5F8-CC4A-BAD2-89156F7AE5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331025" w14:textId="56FF2791" w:rsidR="001B1697" w:rsidRPr="00F23B84" w:rsidRDefault="001B1697" w:rsidP="00C11B7C">
      <w:pPr>
        <w:rPr>
          <w:rFonts w:ascii="Arial" w:hAnsi="Arial" w:cs="Arial"/>
        </w:rPr>
      </w:pPr>
    </w:p>
    <w:p w14:paraId="132574D0" w14:textId="77777777" w:rsidR="00832C66" w:rsidRPr="00F23B84" w:rsidRDefault="00832C66" w:rsidP="00C11B7C">
      <w:pPr>
        <w:rPr>
          <w:rFonts w:ascii="Arial" w:hAnsi="Arial" w:cs="Arial"/>
        </w:rPr>
      </w:pPr>
      <w:r w:rsidRPr="00F23B84">
        <w:rPr>
          <w:rFonts w:ascii="Arial" w:hAnsi="Arial" w:cs="Arial"/>
        </w:rPr>
        <w:br w:type="page"/>
      </w:r>
    </w:p>
    <w:p w14:paraId="159DD47F" w14:textId="1A8FA123" w:rsidR="001B1697" w:rsidRPr="00F23B84" w:rsidRDefault="001B1697" w:rsidP="00C11B7C">
      <w:pPr>
        <w:rPr>
          <w:rFonts w:ascii="Arial" w:hAnsi="Arial" w:cs="Arial"/>
          <w:b/>
          <w:bCs/>
        </w:rPr>
      </w:pPr>
      <w:r w:rsidRPr="00F23B84">
        <w:rPr>
          <w:rFonts w:ascii="Arial" w:hAnsi="Arial" w:cs="Arial"/>
          <w:b/>
          <w:bCs/>
        </w:rPr>
        <w:lastRenderedPageBreak/>
        <w:t>Figure 3:</w:t>
      </w:r>
    </w:p>
    <w:p w14:paraId="4CA4FE43" w14:textId="70BB400E" w:rsidR="001B1697" w:rsidRPr="00F23B84" w:rsidRDefault="001B1697" w:rsidP="00C11B7C">
      <w:pPr>
        <w:rPr>
          <w:rFonts w:ascii="Arial" w:hAnsi="Arial" w:cs="Arial"/>
        </w:rPr>
      </w:pPr>
    </w:p>
    <w:p w14:paraId="5A95529E" w14:textId="667B1245" w:rsidR="001B1697" w:rsidRPr="00F23B84" w:rsidRDefault="003F6124" w:rsidP="003F6124">
      <w:pPr>
        <w:rPr>
          <w:rFonts w:ascii="Arial" w:hAnsi="Arial" w:cs="Arial"/>
        </w:rPr>
      </w:pPr>
      <w:r w:rsidRPr="00F23B84">
        <w:rPr>
          <w:rFonts w:ascii="Arial" w:hAnsi="Arial" w:cs="Arial"/>
          <w:noProof/>
        </w:rPr>
        <w:drawing>
          <wp:inline distT="0" distB="0" distL="0" distR="0" wp14:anchorId="235D174B" wp14:editId="313BE81E">
            <wp:extent cx="5754255" cy="2743200"/>
            <wp:effectExtent l="0" t="0" r="12065" b="12700"/>
            <wp:docPr id="4" name="Chart 4">
              <a:extLst xmlns:a="http://schemas.openxmlformats.org/drawingml/2006/main">
                <a:ext uri="{FF2B5EF4-FFF2-40B4-BE49-F238E27FC236}">
                  <a16:creationId xmlns:a16="http://schemas.microsoft.com/office/drawing/2014/main" id="{2A335B0B-E147-4443-934C-6AEB8F244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8BE1BD" w14:textId="2B5FFA6F" w:rsidR="00A77EEF" w:rsidRPr="00F23B84" w:rsidRDefault="00A77EEF" w:rsidP="00C11B7C">
      <w:pPr>
        <w:rPr>
          <w:rFonts w:ascii="Arial" w:hAnsi="Arial" w:cs="Arial"/>
        </w:rPr>
      </w:pPr>
    </w:p>
    <w:p w14:paraId="3A800D26" w14:textId="77777777" w:rsidR="00832C66" w:rsidRPr="00F23B84" w:rsidRDefault="00832C66" w:rsidP="00C11B7C">
      <w:pPr>
        <w:rPr>
          <w:rFonts w:ascii="Arial" w:hAnsi="Arial" w:cs="Arial"/>
        </w:rPr>
      </w:pPr>
      <w:r w:rsidRPr="00F23B84">
        <w:rPr>
          <w:rFonts w:ascii="Arial" w:hAnsi="Arial" w:cs="Arial"/>
        </w:rPr>
        <w:br w:type="page"/>
      </w:r>
    </w:p>
    <w:p w14:paraId="18C4095A" w14:textId="63B736DC" w:rsidR="00A77EEF" w:rsidRPr="00F23B84" w:rsidRDefault="00A77EEF" w:rsidP="00C11B7C">
      <w:pPr>
        <w:rPr>
          <w:rFonts w:ascii="Arial" w:hAnsi="Arial" w:cs="Arial"/>
          <w:b/>
          <w:bCs/>
        </w:rPr>
      </w:pPr>
      <w:r w:rsidRPr="00F23B84">
        <w:rPr>
          <w:rFonts w:ascii="Arial" w:hAnsi="Arial" w:cs="Arial"/>
          <w:b/>
          <w:bCs/>
        </w:rPr>
        <w:lastRenderedPageBreak/>
        <w:t xml:space="preserve">Table 3: </w:t>
      </w:r>
      <w:r w:rsidR="00832C66" w:rsidRPr="00F23B84">
        <w:rPr>
          <w:rFonts w:ascii="Arial" w:hAnsi="Arial" w:cs="Arial"/>
          <w:b/>
          <w:bCs/>
        </w:rPr>
        <w:t xml:space="preserve">PROM Data </w:t>
      </w:r>
      <w:r w:rsidR="00447119" w:rsidRPr="00F23B84">
        <w:rPr>
          <w:rFonts w:ascii="Arial" w:hAnsi="Arial" w:cs="Arial"/>
          <w:b/>
          <w:bCs/>
        </w:rPr>
        <w:t>Mean and Median Scores</w:t>
      </w:r>
    </w:p>
    <w:p w14:paraId="49336A16" w14:textId="77777777" w:rsidR="00832C66" w:rsidRPr="00F23B84" w:rsidRDefault="00832C66" w:rsidP="00C11B7C">
      <w:pPr>
        <w:rPr>
          <w:rFonts w:ascii="Arial" w:hAnsi="Arial" w:cs="Arial"/>
        </w:rPr>
      </w:pPr>
    </w:p>
    <w:tbl>
      <w:tblPr>
        <w:tblStyle w:val="TableGrid"/>
        <w:tblW w:w="10355" w:type="dxa"/>
        <w:tblInd w:w="-600" w:type="dxa"/>
        <w:tblBorders>
          <w:insideV w:val="none" w:sz="0" w:space="0" w:color="auto"/>
        </w:tblBorders>
        <w:tblLayout w:type="fixed"/>
        <w:tblLook w:val="0420" w:firstRow="1" w:lastRow="0" w:firstColumn="0" w:lastColumn="0" w:noHBand="0" w:noVBand="1"/>
      </w:tblPr>
      <w:tblGrid>
        <w:gridCol w:w="2071"/>
        <w:gridCol w:w="2071"/>
        <w:gridCol w:w="2071"/>
        <w:gridCol w:w="2071"/>
        <w:gridCol w:w="2071"/>
      </w:tblGrid>
      <w:tr w:rsidR="001B5CFF" w:rsidRPr="00F23B84" w14:paraId="0BCE2768" w14:textId="2241B5AA" w:rsidTr="00785E98">
        <w:trPr>
          <w:trHeight w:val="161"/>
        </w:trPr>
        <w:tc>
          <w:tcPr>
            <w:tcW w:w="2071" w:type="dxa"/>
            <w:tcBorders>
              <w:left w:val="nil"/>
              <w:bottom w:val="single" w:sz="4" w:space="0" w:color="auto"/>
            </w:tcBorders>
            <w:hideMark/>
          </w:tcPr>
          <w:p w14:paraId="33A76FA1" w14:textId="7097E3B9" w:rsidR="001B5CFF" w:rsidRPr="00F23B84" w:rsidRDefault="001B5CFF" w:rsidP="00C11B7C">
            <w:pPr>
              <w:rPr>
                <w:rFonts w:ascii="Arial" w:hAnsi="Arial" w:cs="Arial"/>
              </w:rPr>
            </w:pPr>
            <w:r w:rsidRPr="00F23B84">
              <w:rPr>
                <w:rFonts w:ascii="Arial" w:hAnsi="Arial" w:cs="Arial"/>
              </w:rPr>
              <w:t>PROM</w:t>
            </w:r>
          </w:p>
        </w:tc>
        <w:tc>
          <w:tcPr>
            <w:tcW w:w="2071" w:type="dxa"/>
            <w:tcBorders>
              <w:bottom w:val="single" w:sz="4" w:space="0" w:color="auto"/>
            </w:tcBorders>
            <w:hideMark/>
          </w:tcPr>
          <w:p w14:paraId="3972343A" w14:textId="7D93CB64" w:rsidR="001B5CFF" w:rsidRPr="00F23B84" w:rsidRDefault="001B5CFF" w:rsidP="00C11B7C">
            <w:pPr>
              <w:rPr>
                <w:rFonts w:ascii="Arial" w:hAnsi="Arial" w:cs="Arial"/>
              </w:rPr>
            </w:pPr>
            <w:r w:rsidRPr="00F23B84">
              <w:rPr>
                <w:rFonts w:ascii="Arial" w:hAnsi="Arial" w:cs="Arial"/>
              </w:rPr>
              <w:t>Number of patients</w:t>
            </w:r>
          </w:p>
        </w:tc>
        <w:tc>
          <w:tcPr>
            <w:tcW w:w="2071" w:type="dxa"/>
            <w:tcBorders>
              <w:bottom w:val="single" w:sz="4" w:space="0" w:color="auto"/>
            </w:tcBorders>
            <w:hideMark/>
          </w:tcPr>
          <w:p w14:paraId="6D4A6C82" w14:textId="37FD6667" w:rsidR="001B5CFF" w:rsidRPr="00F23B84" w:rsidRDefault="001B5CFF" w:rsidP="00C11B7C">
            <w:pPr>
              <w:rPr>
                <w:rFonts w:ascii="Arial" w:hAnsi="Arial" w:cs="Arial"/>
              </w:rPr>
            </w:pPr>
            <w:r w:rsidRPr="00F23B84">
              <w:rPr>
                <w:rFonts w:ascii="Arial" w:hAnsi="Arial" w:cs="Arial"/>
              </w:rPr>
              <w:t xml:space="preserve">Pre-Op Mean </w:t>
            </w:r>
            <w:r w:rsidR="008F0C41" w:rsidRPr="00F23B84">
              <w:rPr>
                <w:rFonts w:ascii="Arial" w:hAnsi="Arial" w:cs="Arial"/>
              </w:rPr>
              <w:t xml:space="preserve">and median </w:t>
            </w:r>
            <w:r w:rsidRPr="00F23B84">
              <w:rPr>
                <w:rFonts w:ascii="Arial" w:hAnsi="Arial" w:cs="Arial"/>
              </w:rPr>
              <w:t>Score</w:t>
            </w:r>
            <w:r w:rsidR="008F0C41" w:rsidRPr="00F23B84">
              <w:rPr>
                <w:rFonts w:ascii="Arial" w:hAnsi="Arial" w:cs="Arial"/>
              </w:rPr>
              <w:t>s</w:t>
            </w:r>
          </w:p>
        </w:tc>
        <w:tc>
          <w:tcPr>
            <w:tcW w:w="2071" w:type="dxa"/>
            <w:tcBorders>
              <w:bottom w:val="single" w:sz="4" w:space="0" w:color="auto"/>
            </w:tcBorders>
          </w:tcPr>
          <w:p w14:paraId="0F08EAE2" w14:textId="1667EFCD" w:rsidR="001B5CFF" w:rsidRPr="00F23B84" w:rsidRDefault="001B5CFF" w:rsidP="00C11B7C">
            <w:pPr>
              <w:rPr>
                <w:rFonts w:ascii="Arial" w:hAnsi="Arial" w:cs="Arial"/>
              </w:rPr>
            </w:pPr>
            <w:r w:rsidRPr="00F23B84">
              <w:rPr>
                <w:rFonts w:ascii="Arial" w:hAnsi="Arial" w:cs="Arial"/>
              </w:rPr>
              <w:t>1 Year</w:t>
            </w:r>
          </w:p>
        </w:tc>
        <w:tc>
          <w:tcPr>
            <w:tcW w:w="2071" w:type="dxa"/>
            <w:tcBorders>
              <w:bottom w:val="single" w:sz="4" w:space="0" w:color="auto"/>
              <w:right w:val="nil"/>
            </w:tcBorders>
            <w:hideMark/>
          </w:tcPr>
          <w:p w14:paraId="5B31B674" w14:textId="5419FAD3" w:rsidR="001B5CFF" w:rsidRPr="00F23B84" w:rsidRDefault="001B5CFF" w:rsidP="00C11B7C">
            <w:pPr>
              <w:rPr>
                <w:rFonts w:ascii="Arial" w:hAnsi="Arial" w:cs="Arial"/>
                <w:vertAlign w:val="superscript"/>
              </w:rPr>
            </w:pPr>
            <w:r w:rsidRPr="00F23B84">
              <w:rPr>
                <w:rFonts w:ascii="Arial" w:hAnsi="Arial" w:cs="Arial"/>
              </w:rPr>
              <w:t>2020 Mean Results</w:t>
            </w:r>
            <w:r w:rsidRPr="00F23B84">
              <w:rPr>
                <w:rFonts w:ascii="Arial" w:hAnsi="Arial" w:cs="Arial"/>
                <w:vertAlign w:val="superscript"/>
              </w:rPr>
              <w:t>*</w:t>
            </w:r>
          </w:p>
          <w:p w14:paraId="1D316A77" w14:textId="0635FAD4" w:rsidR="001B5CFF" w:rsidRPr="00F23B84" w:rsidRDefault="001B5CFF" w:rsidP="00C11B7C">
            <w:pPr>
              <w:rPr>
                <w:rFonts w:ascii="Arial" w:hAnsi="Arial" w:cs="Arial"/>
              </w:rPr>
            </w:pPr>
          </w:p>
        </w:tc>
      </w:tr>
      <w:tr w:rsidR="001B5CFF" w:rsidRPr="00F23B84" w14:paraId="27FCE3BD" w14:textId="16CBBA9C" w:rsidTr="00785E98">
        <w:trPr>
          <w:trHeight w:val="161"/>
        </w:trPr>
        <w:tc>
          <w:tcPr>
            <w:tcW w:w="2071" w:type="dxa"/>
            <w:tcBorders>
              <w:left w:val="nil"/>
              <w:bottom w:val="nil"/>
            </w:tcBorders>
            <w:hideMark/>
          </w:tcPr>
          <w:p w14:paraId="6F2C5F4E" w14:textId="0E08119E" w:rsidR="001B5CFF" w:rsidRPr="00F23B84" w:rsidRDefault="001B5CFF" w:rsidP="00C11B7C">
            <w:pPr>
              <w:rPr>
                <w:rFonts w:ascii="Arial" w:hAnsi="Arial" w:cs="Arial"/>
              </w:rPr>
            </w:pPr>
            <w:r w:rsidRPr="00F23B84">
              <w:rPr>
                <w:rFonts w:ascii="Arial" w:hAnsi="Arial" w:cs="Arial"/>
              </w:rPr>
              <w:t>Oxford Knee Score (0-48)</w:t>
            </w:r>
          </w:p>
          <w:p w14:paraId="7F47EC89" w14:textId="2E2C91ED" w:rsidR="001B5CFF" w:rsidRDefault="001B5CFF" w:rsidP="00C11B7C">
            <w:pPr>
              <w:rPr>
                <w:rFonts w:ascii="Arial" w:hAnsi="Arial" w:cs="Arial"/>
              </w:rPr>
            </w:pPr>
            <w:r w:rsidRPr="00F23B84">
              <w:rPr>
                <w:rFonts w:ascii="Arial" w:hAnsi="Arial" w:cs="Arial"/>
              </w:rPr>
              <w:t>48 Best</w:t>
            </w:r>
          </w:p>
          <w:p w14:paraId="7EE6F488" w14:textId="77777777" w:rsidR="00785E98" w:rsidRDefault="00785E98" w:rsidP="00C11B7C">
            <w:pPr>
              <w:rPr>
                <w:rFonts w:ascii="Arial" w:hAnsi="Arial" w:cs="Arial"/>
              </w:rPr>
            </w:pPr>
          </w:p>
          <w:p w14:paraId="7ECA81E4" w14:textId="1AC7D520" w:rsidR="00785E98" w:rsidRPr="00F23B84" w:rsidRDefault="00785E98" w:rsidP="00C11B7C">
            <w:pPr>
              <w:rPr>
                <w:rFonts w:ascii="Arial" w:hAnsi="Arial" w:cs="Arial"/>
              </w:rPr>
            </w:pPr>
          </w:p>
        </w:tc>
        <w:tc>
          <w:tcPr>
            <w:tcW w:w="2071" w:type="dxa"/>
            <w:tcBorders>
              <w:bottom w:val="nil"/>
            </w:tcBorders>
            <w:hideMark/>
          </w:tcPr>
          <w:p w14:paraId="39E6021D" w14:textId="77777777" w:rsidR="001B5CFF" w:rsidRPr="00F23B84" w:rsidRDefault="001B5CFF" w:rsidP="00C11B7C">
            <w:pPr>
              <w:rPr>
                <w:rFonts w:ascii="Arial" w:hAnsi="Arial" w:cs="Arial"/>
              </w:rPr>
            </w:pPr>
            <w:r w:rsidRPr="00F23B84">
              <w:rPr>
                <w:rFonts w:ascii="Arial" w:hAnsi="Arial" w:cs="Arial"/>
              </w:rPr>
              <w:t>114</w:t>
            </w:r>
          </w:p>
        </w:tc>
        <w:tc>
          <w:tcPr>
            <w:tcW w:w="2071" w:type="dxa"/>
            <w:tcBorders>
              <w:bottom w:val="nil"/>
            </w:tcBorders>
            <w:hideMark/>
          </w:tcPr>
          <w:p w14:paraId="4876968C" w14:textId="77777777" w:rsidR="001B5CFF" w:rsidRPr="00F23B84" w:rsidRDefault="001B5CFF" w:rsidP="00C11B7C">
            <w:pPr>
              <w:rPr>
                <w:rFonts w:ascii="Arial" w:hAnsi="Arial" w:cs="Arial"/>
              </w:rPr>
            </w:pPr>
            <w:r w:rsidRPr="00F23B84">
              <w:rPr>
                <w:rFonts w:ascii="Arial" w:hAnsi="Arial" w:cs="Arial"/>
              </w:rPr>
              <w:t>20.3</w:t>
            </w:r>
          </w:p>
          <w:p w14:paraId="47EBD6CB" w14:textId="087A4E48" w:rsidR="001B5CFF" w:rsidRPr="00F23B84" w:rsidRDefault="001B5CFF" w:rsidP="00C11B7C">
            <w:pPr>
              <w:rPr>
                <w:rFonts w:ascii="Arial" w:hAnsi="Arial" w:cs="Arial"/>
              </w:rPr>
            </w:pPr>
            <w:r w:rsidRPr="00F23B84">
              <w:rPr>
                <w:rFonts w:ascii="Arial" w:hAnsi="Arial" w:cs="Arial"/>
              </w:rPr>
              <w:t>19</w:t>
            </w:r>
          </w:p>
        </w:tc>
        <w:tc>
          <w:tcPr>
            <w:tcW w:w="2071" w:type="dxa"/>
            <w:tcBorders>
              <w:bottom w:val="nil"/>
            </w:tcBorders>
          </w:tcPr>
          <w:p w14:paraId="11EE28AB" w14:textId="44D6EFF8" w:rsidR="001B5CFF" w:rsidRPr="00F23B84" w:rsidRDefault="001B5CFF" w:rsidP="00C11B7C">
            <w:pPr>
              <w:rPr>
                <w:rFonts w:ascii="Arial" w:hAnsi="Arial" w:cs="Arial"/>
              </w:rPr>
            </w:pPr>
            <w:r w:rsidRPr="00F23B84">
              <w:rPr>
                <w:rFonts w:ascii="Arial" w:hAnsi="Arial" w:cs="Arial"/>
              </w:rPr>
              <w:t>3</w:t>
            </w:r>
            <w:r w:rsidR="00981D24">
              <w:rPr>
                <w:rFonts w:ascii="Arial" w:hAnsi="Arial" w:cs="Arial"/>
              </w:rPr>
              <w:t>9.1</w:t>
            </w:r>
          </w:p>
          <w:p w14:paraId="5C781065" w14:textId="675A7497" w:rsidR="001B5CFF" w:rsidRPr="00F23B84" w:rsidRDefault="001B5CFF" w:rsidP="00C11B7C">
            <w:pPr>
              <w:rPr>
                <w:rFonts w:ascii="Arial" w:hAnsi="Arial" w:cs="Arial"/>
              </w:rPr>
            </w:pPr>
            <w:r w:rsidRPr="00F23B84">
              <w:rPr>
                <w:rFonts w:ascii="Arial" w:hAnsi="Arial" w:cs="Arial"/>
              </w:rPr>
              <w:t>42</w:t>
            </w:r>
          </w:p>
        </w:tc>
        <w:tc>
          <w:tcPr>
            <w:tcW w:w="2071" w:type="dxa"/>
            <w:tcBorders>
              <w:bottom w:val="nil"/>
              <w:right w:val="nil"/>
            </w:tcBorders>
            <w:hideMark/>
          </w:tcPr>
          <w:p w14:paraId="036158A1" w14:textId="44373D75" w:rsidR="001B5CFF" w:rsidRPr="00F23B84" w:rsidRDefault="001B5CFF" w:rsidP="00C11B7C">
            <w:pPr>
              <w:rPr>
                <w:rFonts w:ascii="Arial" w:hAnsi="Arial" w:cs="Arial"/>
              </w:rPr>
            </w:pPr>
            <w:r w:rsidRPr="00F23B84">
              <w:rPr>
                <w:rFonts w:ascii="Arial" w:hAnsi="Arial" w:cs="Arial"/>
              </w:rPr>
              <w:t>38.</w:t>
            </w:r>
            <w:r w:rsidR="00154BAC">
              <w:rPr>
                <w:rFonts w:ascii="Arial" w:hAnsi="Arial" w:cs="Arial"/>
              </w:rPr>
              <w:t>3</w:t>
            </w:r>
          </w:p>
          <w:p w14:paraId="3D9C15CB" w14:textId="4891D8ED" w:rsidR="001B5CFF" w:rsidRPr="00F23B84" w:rsidRDefault="001B5CFF" w:rsidP="00C11B7C">
            <w:pPr>
              <w:rPr>
                <w:rFonts w:ascii="Arial" w:hAnsi="Arial" w:cs="Arial"/>
              </w:rPr>
            </w:pPr>
            <w:r w:rsidRPr="00F23B84">
              <w:rPr>
                <w:rFonts w:ascii="Arial" w:hAnsi="Arial" w:cs="Arial"/>
              </w:rPr>
              <w:t>42</w:t>
            </w:r>
          </w:p>
        </w:tc>
      </w:tr>
      <w:tr w:rsidR="001B5CFF" w:rsidRPr="00F23B84" w14:paraId="2C99A76E" w14:textId="663913CD" w:rsidTr="00785E98">
        <w:trPr>
          <w:trHeight w:val="161"/>
        </w:trPr>
        <w:tc>
          <w:tcPr>
            <w:tcW w:w="2071" w:type="dxa"/>
            <w:tcBorders>
              <w:top w:val="nil"/>
              <w:left w:val="nil"/>
              <w:bottom w:val="nil"/>
            </w:tcBorders>
            <w:hideMark/>
          </w:tcPr>
          <w:p w14:paraId="5974E78B" w14:textId="468BEA42" w:rsidR="001B5CFF" w:rsidRDefault="001B5CFF" w:rsidP="00C11B7C">
            <w:pPr>
              <w:rPr>
                <w:rFonts w:ascii="Arial" w:hAnsi="Arial" w:cs="Arial"/>
              </w:rPr>
            </w:pPr>
            <w:r w:rsidRPr="00F23B84">
              <w:rPr>
                <w:rFonts w:ascii="Arial" w:hAnsi="Arial" w:cs="Arial"/>
              </w:rPr>
              <w:t>WOMAC (12-60) 12 Best</w:t>
            </w:r>
          </w:p>
          <w:p w14:paraId="00A6D314" w14:textId="77777777" w:rsidR="00785E98" w:rsidRDefault="00785E98" w:rsidP="00C11B7C">
            <w:pPr>
              <w:rPr>
                <w:rFonts w:ascii="Arial" w:hAnsi="Arial" w:cs="Arial"/>
              </w:rPr>
            </w:pPr>
          </w:p>
          <w:p w14:paraId="2BB99F14" w14:textId="41B8612E" w:rsidR="00785E98" w:rsidRPr="00F23B84" w:rsidRDefault="00785E98" w:rsidP="00C11B7C">
            <w:pPr>
              <w:rPr>
                <w:rFonts w:ascii="Arial" w:hAnsi="Arial" w:cs="Arial"/>
              </w:rPr>
            </w:pPr>
          </w:p>
        </w:tc>
        <w:tc>
          <w:tcPr>
            <w:tcW w:w="2071" w:type="dxa"/>
            <w:tcBorders>
              <w:top w:val="nil"/>
              <w:bottom w:val="nil"/>
            </w:tcBorders>
            <w:hideMark/>
          </w:tcPr>
          <w:p w14:paraId="0B189ECE" w14:textId="77777777" w:rsidR="001B5CFF" w:rsidRPr="00F23B84" w:rsidRDefault="001B5CFF" w:rsidP="00C11B7C">
            <w:pPr>
              <w:rPr>
                <w:rFonts w:ascii="Arial" w:hAnsi="Arial" w:cs="Arial"/>
              </w:rPr>
            </w:pPr>
            <w:r w:rsidRPr="00F23B84">
              <w:rPr>
                <w:rFonts w:ascii="Arial" w:hAnsi="Arial" w:cs="Arial"/>
              </w:rPr>
              <w:t>108</w:t>
            </w:r>
          </w:p>
        </w:tc>
        <w:tc>
          <w:tcPr>
            <w:tcW w:w="2071" w:type="dxa"/>
            <w:tcBorders>
              <w:top w:val="nil"/>
              <w:bottom w:val="nil"/>
            </w:tcBorders>
            <w:hideMark/>
          </w:tcPr>
          <w:p w14:paraId="641F435B" w14:textId="77777777" w:rsidR="001B5CFF" w:rsidRPr="00F23B84" w:rsidRDefault="001B5CFF" w:rsidP="00C11B7C">
            <w:pPr>
              <w:rPr>
                <w:rFonts w:ascii="Arial" w:hAnsi="Arial" w:cs="Arial"/>
              </w:rPr>
            </w:pPr>
            <w:r w:rsidRPr="00F23B84">
              <w:rPr>
                <w:rFonts w:ascii="Arial" w:hAnsi="Arial" w:cs="Arial"/>
              </w:rPr>
              <w:t>36.3</w:t>
            </w:r>
          </w:p>
          <w:p w14:paraId="4A9104D3" w14:textId="1E67E7FB" w:rsidR="001B5CFF" w:rsidRPr="00F23B84" w:rsidRDefault="001B5CFF" w:rsidP="00C11B7C">
            <w:pPr>
              <w:rPr>
                <w:rFonts w:ascii="Arial" w:hAnsi="Arial" w:cs="Arial"/>
              </w:rPr>
            </w:pPr>
            <w:r w:rsidRPr="00F23B84">
              <w:rPr>
                <w:rFonts w:ascii="Arial" w:hAnsi="Arial" w:cs="Arial"/>
              </w:rPr>
              <w:t>38</w:t>
            </w:r>
          </w:p>
        </w:tc>
        <w:tc>
          <w:tcPr>
            <w:tcW w:w="2071" w:type="dxa"/>
            <w:tcBorders>
              <w:top w:val="nil"/>
              <w:bottom w:val="nil"/>
            </w:tcBorders>
          </w:tcPr>
          <w:p w14:paraId="0D105B52" w14:textId="04C0DEE1" w:rsidR="001B5CFF" w:rsidRPr="00F23B84" w:rsidRDefault="001B5CFF" w:rsidP="00C11B7C">
            <w:pPr>
              <w:rPr>
                <w:rFonts w:ascii="Arial" w:hAnsi="Arial" w:cs="Arial"/>
              </w:rPr>
            </w:pPr>
            <w:r w:rsidRPr="00F23B84">
              <w:rPr>
                <w:rFonts w:ascii="Arial" w:hAnsi="Arial" w:cs="Arial"/>
              </w:rPr>
              <w:t>18.</w:t>
            </w:r>
            <w:r w:rsidR="00981D24">
              <w:rPr>
                <w:rFonts w:ascii="Arial" w:hAnsi="Arial" w:cs="Arial"/>
              </w:rPr>
              <w:t>4</w:t>
            </w:r>
          </w:p>
          <w:p w14:paraId="4B469DE1" w14:textId="644EEC66" w:rsidR="001B5CFF" w:rsidRPr="00F23B84" w:rsidRDefault="001B5CFF" w:rsidP="00C11B7C">
            <w:pPr>
              <w:rPr>
                <w:rFonts w:ascii="Arial" w:hAnsi="Arial" w:cs="Arial"/>
              </w:rPr>
            </w:pPr>
            <w:r w:rsidRPr="00F23B84">
              <w:rPr>
                <w:rFonts w:ascii="Arial" w:hAnsi="Arial" w:cs="Arial"/>
              </w:rPr>
              <w:t>15</w:t>
            </w:r>
          </w:p>
        </w:tc>
        <w:tc>
          <w:tcPr>
            <w:tcW w:w="2071" w:type="dxa"/>
            <w:tcBorders>
              <w:top w:val="nil"/>
              <w:bottom w:val="nil"/>
              <w:right w:val="nil"/>
            </w:tcBorders>
            <w:hideMark/>
          </w:tcPr>
          <w:p w14:paraId="046E8D3E" w14:textId="763312C9" w:rsidR="001B5CFF" w:rsidRPr="00F23B84" w:rsidRDefault="00955734" w:rsidP="00C11B7C">
            <w:pPr>
              <w:rPr>
                <w:rFonts w:ascii="Arial" w:hAnsi="Arial" w:cs="Arial"/>
              </w:rPr>
            </w:pPr>
            <w:r>
              <w:rPr>
                <w:rFonts w:ascii="Arial" w:hAnsi="Arial" w:cs="Arial"/>
              </w:rPr>
              <w:t>20.1</w:t>
            </w:r>
          </w:p>
          <w:p w14:paraId="7A7A13EF" w14:textId="385BA2F9" w:rsidR="001B5CFF" w:rsidRPr="00F23B84" w:rsidRDefault="001B5CFF" w:rsidP="00C11B7C">
            <w:pPr>
              <w:rPr>
                <w:rFonts w:ascii="Arial" w:hAnsi="Arial" w:cs="Arial"/>
              </w:rPr>
            </w:pPr>
            <w:r w:rsidRPr="00F23B84">
              <w:rPr>
                <w:rFonts w:ascii="Arial" w:hAnsi="Arial" w:cs="Arial"/>
              </w:rPr>
              <w:t>15</w:t>
            </w:r>
          </w:p>
          <w:p w14:paraId="3872F123" w14:textId="34463511" w:rsidR="001B5CFF" w:rsidRPr="00F23B84" w:rsidRDefault="001B5CFF" w:rsidP="00C11B7C">
            <w:pPr>
              <w:rPr>
                <w:rFonts w:ascii="Arial" w:hAnsi="Arial" w:cs="Arial"/>
              </w:rPr>
            </w:pPr>
          </w:p>
        </w:tc>
      </w:tr>
      <w:tr w:rsidR="001B5CFF" w:rsidRPr="00F23B84" w14:paraId="0D2456FA" w14:textId="09BC86B2" w:rsidTr="00785E98">
        <w:trPr>
          <w:trHeight w:val="161"/>
        </w:trPr>
        <w:tc>
          <w:tcPr>
            <w:tcW w:w="2071" w:type="dxa"/>
            <w:tcBorders>
              <w:top w:val="nil"/>
              <w:left w:val="nil"/>
            </w:tcBorders>
            <w:hideMark/>
          </w:tcPr>
          <w:p w14:paraId="1DB8E707" w14:textId="77777777" w:rsidR="001B5CFF" w:rsidRPr="00F23B84" w:rsidRDefault="001B5CFF" w:rsidP="00C11B7C">
            <w:pPr>
              <w:rPr>
                <w:rFonts w:ascii="Arial" w:hAnsi="Arial" w:cs="Arial"/>
              </w:rPr>
            </w:pPr>
            <w:r w:rsidRPr="00F23B84">
              <w:rPr>
                <w:rFonts w:ascii="Arial" w:hAnsi="Arial" w:cs="Arial"/>
              </w:rPr>
              <w:t>Modified Knee Society Score</w:t>
            </w:r>
          </w:p>
          <w:p w14:paraId="5983B6A2" w14:textId="77777777" w:rsidR="001B5CFF" w:rsidRPr="00F23B84" w:rsidRDefault="001B5CFF" w:rsidP="00C11B7C">
            <w:pPr>
              <w:rPr>
                <w:rFonts w:ascii="Arial" w:hAnsi="Arial" w:cs="Arial"/>
              </w:rPr>
            </w:pPr>
            <w:r w:rsidRPr="00F23B84">
              <w:rPr>
                <w:rFonts w:ascii="Arial" w:hAnsi="Arial" w:cs="Arial"/>
              </w:rPr>
              <w:t>(0-150) 150 best</w:t>
            </w:r>
          </w:p>
        </w:tc>
        <w:tc>
          <w:tcPr>
            <w:tcW w:w="2071" w:type="dxa"/>
            <w:tcBorders>
              <w:top w:val="nil"/>
            </w:tcBorders>
            <w:hideMark/>
          </w:tcPr>
          <w:p w14:paraId="2D023C72" w14:textId="77777777" w:rsidR="001B5CFF" w:rsidRPr="00F23B84" w:rsidRDefault="001B5CFF" w:rsidP="00C11B7C">
            <w:pPr>
              <w:rPr>
                <w:rFonts w:ascii="Arial" w:hAnsi="Arial" w:cs="Arial"/>
              </w:rPr>
            </w:pPr>
            <w:r w:rsidRPr="00F23B84">
              <w:rPr>
                <w:rFonts w:ascii="Arial" w:hAnsi="Arial" w:cs="Arial"/>
              </w:rPr>
              <w:t>115</w:t>
            </w:r>
          </w:p>
        </w:tc>
        <w:tc>
          <w:tcPr>
            <w:tcW w:w="2071" w:type="dxa"/>
            <w:tcBorders>
              <w:top w:val="nil"/>
            </w:tcBorders>
            <w:hideMark/>
          </w:tcPr>
          <w:p w14:paraId="562EB583" w14:textId="77777777" w:rsidR="001B5CFF" w:rsidRPr="00F23B84" w:rsidRDefault="001B5CFF" w:rsidP="00C11B7C">
            <w:pPr>
              <w:rPr>
                <w:rFonts w:ascii="Arial" w:hAnsi="Arial" w:cs="Arial"/>
              </w:rPr>
            </w:pPr>
            <w:r w:rsidRPr="00F23B84">
              <w:rPr>
                <w:rFonts w:ascii="Arial" w:hAnsi="Arial" w:cs="Arial"/>
              </w:rPr>
              <w:t>51.8</w:t>
            </w:r>
          </w:p>
          <w:p w14:paraId="49D5A1DA" w14:textId="58F64B6A" w:rsidR="001B5CFF" w:rsidRPr="00F23B84" w:rsidRDefault="001B5CFF" w:rsidP="00C11B7C">
            <w:pPr>
              <w:rPr>
                <w:rFonts w:ascii="Arial" w:hAnsi="Arial" w:cs="Arial"/>
              </w:rPr>
            </w:pPr>
            <w:r w:rsidRPr="00F23B84">
              <w:rPr>
                <w:rFonts w:ascii="Arial" w:hAnsi="Arial" w:cs="Arial"/>
              </w:rPr>
              <w:t>50</w:t>
            </w:r>
          </w:p>
        </w:tc>
        <w:tc>
          <w:tcPr>
            <w:tcW w:w="2071" w:type="dxa"/>
            <w:tcBorders>
              <w:top w:val="nil"/>
            </w:tcBorders>
          </w:tcPr>
          <w:p w14:paraId="518CA116" w14:textId="4E725BD6" w:rsidR="001B5CFF" w:rsidRPr="00F23B84" w:rsidRDefault="001B5CFF" w:rsidP="00C11B7C">
            <w:pPr>
              <w:rPr>
                <w:rFonts w:ascii="Arial" w:hAnsi="Arial" w:cs="Arial"/>
              </w:rPr>
            </w:pPr>
            <w:r w:rsidRPr="00F23B84">
              <w:rPr>
                <w:rFonts w:ascii="Arial" w:hAnsi="Arial" w:cs="Arial"/>
              </w:rPr>
              <w:t>1</w:t>
            </w:r>
            <w:r w:rsidR="00981D24">
              <w:rPr>
                <w:rFonts w:ascii="Arial" w:hAnsi="Arial" w:cs="Arial"/>
              </w:rPr>
              <w:t>27</w:t>
            </w:r>
            <w:r w:rsidRPr="00F23B84">
              <w:rPr>
                <w:rFonts w:ascii="Arial" w:hAnsi="Arial" w:cs="Arial"/>
              </w:rPr>
              <w:t>.</w:t>
            </w:r>
            <w:r w:rsidR="00981D24">
              <w:rPr>
                <w:rFonts w:ascii="Arial" w:hAnsi="Arial" w:cs="Arial"/>
              </w:rPr>
              <w:t>6</w:t>
            </w:r>
          </w:p>
          <w:p w14:paraId="42362539" w14:textId="06734C48" w:rsidR="001B5CFF" w:rsidRPr="00F23B84" w:rsidRDefault="001B5CFF" w:rsidP="00C11B7C">
            <w:pPr>
              <w:rPr>
                <w:rFonts w:ascii="Arial" w:hAnsi="Arial" w:cs="Arial"/>
              </w:rPr>
            </w:pPr>
            <w:r w:rsidRPr="00F23B84">
              <w:rPr>
                <w:rFonts w:ascii="Arial" w:hAnsi="Arial" w:cs="Arial"/>
              </w:rPr>
              <w:t>135</w:t>
            </w:r>
          </w:p>
        </w:tc>
        <w:tc>
          <w:tcPr>
            <w:tcW w:w="2071" w:type="dxa"/>
            <w:tcBorders>
              <w:top w:val="nil"/>
              <w:right w:val="nil"/>
            </w:tcBorders>
            <w:hideMark/>
          </w:tcPr>
          <w:p w14:paraId="0CA15E06" w14:textId="1439FDCE" w:rsidR="001B5CFF" w:rsidRPr="00F23B84" w:rsidRDefault="001B5CFF" w:rsidP="00C11B7C">
            <w:pPr>
              <w:rPr>
                <w:rFonts w:ascii="Arial" w:hAnsi="Arial" w:cs="Arial"/>
              </w:rPr>
            </w:pPr>
            <w:r w:rsidRPr="00F23B84">
              <w:rPr>
                <w:rFonts w:ascii="Arial" w:hAnsi="Arial" w:cs="Arial"/>
              </w:rPr>
              <w:t>11</w:t>
            </w:r>
            <w:r w:rsidR="00955734">
              <w:rPr>
                <w:rFonts w:ascii="Arial" w:hAnsi="Arial" w:cs="Arial"/>
              </w:rPr>
              <w:t>9.3</w:t>
            </w:r>
          </w:p>
          <w:p w14:paraId="23AF0A21" w14:textId="25A0BE15" w:rsidR="001B5CFF" w:rsidRPr="00F23B84" w:rsidRDefault="001B5CFF" w:rsidP="00C11B7C">
            <w:pPr>
              <w:rPr>
                <w:rFonts w:ascii="Arial" w:hAnsi="Arial" w:cs="Arial"/>
              </w:rPr>
            </w:pPr>
            <w:r w:rsidRPr="00F23B84">
              <w:rPr>
                <w:rFonts w:ascii="Arial" w:hAnsi="Arial" w:cs="Arial"/>
              </w:rPr>
              <w:t>135</w:t>
            </w:r>
          </w:p>
        </w:tc>
      </w:tr>
    </w:tbl>
    <w:p w14:paraId="5C6FEDCC" w14:textId="77777777" w:rsidR="00832C66" w:rsidRPr="00F23B84" w:rsidRDefault="00832C66" w:rsidP="00C11B7C">
      <w:pPr>
        <w:rPr>
          <w:rFonts w:ascii="Arial" w:hAnsi="Arial" w:cs="Arial"/>
          <w:vertAlign w:val="superscript"/>
        </w:rPr>
      </w:pPr>
    </w:p>
    <w:p w14:paraId="1C1747F2" w14:textId="5479B70A" w:rsidR="00A77EEF" w:rsidRPr="00F23B84" w:rsidRDefault="000700DF" w:rsidP="00C11B7C">
      <w:pPr>
        <w:rPr>
          <w:rFonts w:ascii="Arial" w:hAnsi="Arial" w:cs="Arial"/>
          <w:vertAlign w:val="superscript"/>
        </w:rPr>
      </w:pPr>
      <w:r w:rsidRPr="00F23B84">
        <w:rPr>
          <w:rFonts w:ascii="Arial" w:hAnsi="Arial" w:cs="Arial"/>
          <w:vertAlign w:val="superscript"/>
        </w:rPr>
        <w:t>*</w:t>
      </w:r>
      <w:r w:rsidRPr="00F23B84">
        <w:rPr>
          <w:rFonts w:ascii="Arial" w:hAnsi="Arial" w:cs="Arial"/>
        </w:rPr>
        <w:t>(Mean 7.9yrs follow-up)</w:t>
      </w:r>
    </w:p>
    <w:sectPr w:rsidR="00A77EEF" w:rsidRPr="00F23B84" w:rsidSect="00B06013">
      <w:pgSz w:w="11906" w:h="16838"/>
      <w:pgMar w:top="1440" w:right="1440" w:bottom="1440" w:left="1440" w:header="708" w:footer="708" w:gutter="0"/>
      <w:lnNumType w:countBy="0" w:restart="continuous"/>
      <w:cols w:space="708"/>
      <w:docGrid w:linePitch="360"/>
      <w:sectPrChange w:id="0" w:author="Dan Heatley" w:date="2022-06-17T09:38:00Z">
        <w:sectPr w:rsidR="00A77EEF" w:rsidRPr="00F23B84" w:rsidSect="00B06013">
          <w:pgMar w:top="1440" w:right="1440" w:bottom="1440" w:left="1440" w:header="708" w:footer="708" w:gutter="0"/>
          <w:lnNumType w:countBy="1"/>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C4A"/>
    <w:multiLevelType w:val="hybridMultilevel"/>
    <w:tmpl w:val="F254144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BB724CB"/>
    <w:multiLevelType w:val="hybridMultilevel"/>
    <w:tmpl w:val="83420D8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5C3C29A5"/>
    <w:multiLevelType w:val="hybridMultilevel"/>
    <w:tmpl w:val="C27EF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953AED"/>
    <w:multiLevelType w:val="hybridMultilevel"/>
    <w:tmpl w:val="72D4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209277">
    <w:abstractNumId w:val="0"/>
  </w:num>
  <w:num w:numId="2" w16cid:durableId="1583946937">
    <w:abstractNumId w:val="1"/>
  </w:num>
  <w:num w:numId="3" w16cid:durableId="285284540">
    <w:abstractNumId w:val="2"/>
  </w:num>
  <w:num w:numId="4" w16cid:durableId="6033408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 Heatley">
    <w15:presenceInfo w15:providerId="AD" w15:userId="S::Dan.Heatley@uwe.ac.uk::2b8696c3-4117-4d7c-8e8e-159ccfef12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60"/>
    <w:rsid w:val="00000B09"/>
    <w:rsid w:val="00001414"/>
    <w:rsid w:val="00016CE8"/>
    <w:rsid w:val="000207A6"/>
    <w:rsid w:val="00032942"/>
    <w:rsid w:val="00037895"/>
    <w:rsid w:val="00052F0C"/>
    <w:rsid w:val="00054291"/>
    <w:rsid w:val="00055E1D"/>
    <w:rsid w:val="000651E5"/>
    <w:rsid w:val="000700DF"/>
    <w:rsid w:val="00081F4A"/>
    <w:rsid w:val="00090565"/>
    <w:rsid w:val="000A0BFB"/>
    <w:rsid w:val="000A3DB5"/>
    <w:rsid w:val="000B20E4"/>
    <w:rsid w:val="000D72FE"/>
    <w:rsid w:val="000D79B2"/>
    <w:rsid w:val="00111AD0"/>
    <w:rsid w:val="001140C2"/>
    <w:rsid w:val="001146F6"/>
    <w:rsid w:val="00132317"/>
    <w:rsid w:val="0014412A"/>
    <w:rsid w:val="0014796D"/>
    <w:rsid w:val="00153CC8"/>
    <w:rsid w:val="00154BAC"/>
    <w:rsid w:val="00156D13"/>
    <w:rsid w:val="001610B5"/>
    <w:rsid w:val="00161A6E"/>
    <w:rsid w:val="00171356"/>
    <w:rsid w:val="00177872"/>
    <w:rsid w:val="00183DD9"/>
    <w:rsid w:val="00194BB5"/>
    <w:rsid w:val="001A1C04"/>
    <w:rsid w:val="001B1697"/>
    <w:rsid w:val="001B59E3"/>
    <w:rsid w:val="001B5CFF"/>
    <w:rsid w:val="001C59C7"/>
    <w:rsid w:val="001C7CD9"/>
    <w:rsid w:val="001F263A"/>
    <w:rsid w:val="00211CD0"/>
    <w:rsid w:val="0022534B"/>
    <w:rsid w:val="00230E26"/>
    <w:rsid w:val="00236CFE"/>
    <w:rsid w:val="002451E1"/>
    <w:rsid w:val="002475EF"/>
    <w:rsid w:val="0026409D"/>
    <w:rsid w:val="00271C55"/>
    <w:rsid w:val="002729D0"/>
    <w:rsid w:val="00283B92"/>
    <w:rsid w:val="002977C1"/>
    <w:rsid w:val="002A3F22"/>
    <w:rsid w:val="002E3C51"/>
    <w:rsid w:val="002E63B9"/>
    <w:rsid w:val="002F5A04"/>
    <w:rsid w:val="003031A8"/>
    <w:rsid w:val="00312FEF"/>
    <w:rsid w:val="003307F5"/>
    <w:rsid w:val="00345406"/>
    <w:rsid w:val="00350918"/>
    <w:rsid w:val="00353364"/>
    <w:rsid w:val="003820D0"/>
    <w:rsid w:val="00390FC6"/>
    <w:rsid w:val="003A7A51"/>
    <w:rsid w:val="003B3E62"/>
    <w:rsid w:val="003B5B35"/>
    <w:rsid w:val="003B5E7B"/>
    <w:rsid w:val="003B7C3B"/>
    <w:rsid w:val="003D0C31"/>
    <w:rsid w:val="003D3F78"/>
    <w:rsid w:val="003D4ABC"/>
    <w:rsid w:val="003F6124"/>
    <w:rsid w:val="004010A3"/>
    <w:rsid w:val="00411003"/>
    <w:rsid w:val="00423063"/>
    <w:rsid w:val="00436DE2"/>
    <w:rsid w:val="004419E3"/>
    <w:rsid w:val="004428AF"/>
    <w:rsid w:val="00447119"/>
    <w:rsid w:val="004632B7"/>
    <w:rsid w:val="00464EAA"/>
    <w:rsid w:val="00491E10"/>
    <w:rsid w:val="004A45BB"/>
    <w:rsid w:val="004B2FDF"/>
    <w:rsid w:val="004B4FD3"/>
    <w:rsid w:val="004E2EB0"/>
    <w:rsid w:val="004E6286"/>
    <w:rsid w:val="005071A3"/>
    <w:rsid w:val="0053437C"/>
    <w:rsid w:val="00536612"/>
    <w:rsid w:val="00543690"/>
    <w:rsid w:val="00546CD4"/>
    <w:rsid w:val="005509A3"/>
    <w:rsid w:val="00552D06"/>
    <w:rsid w:val="00561D22"/>
    <w:rsid w:val="0056459D"/>
    <w:rsid w:val="00580ED2"/>
    <w:rsid w:val="005A07AF"/>
    <w:rsid w:val="005A43CC"/>
    <w:rsid w:val="005E0B9F"/>
    <w:rsid w:val="005E1DE4"/>
    <w:rsid w:val="005E5D14"/>
    <w:rsid w:val="00606111"/>
    <w:rsid w:val="00624B6B"/>
    <w:rsid w:val="00627785"/>
    <w:rsid w:val="00630066"/>
    <w:rsid w:val="006418AC"/>
    <w:rsid w:val="00654991"/>
    <w:rsid w:val="006568CB"/>
    <w:rsid w:val="00661576"/>
    <w:rsid w:val="00670C29"/>
    <w:rsid w:val="00675CAF"/>
    <w:rsid w:val="006869EC"/>
    <w:rsid w:val="006C7D87"/>
    <w:rsid w:val="006D6A37"/>
    <w:rsid w:val="006E01ED"/>
    <w:rsid w:val="006F1CF6"/>
    <w:rsid w:val="00703A41"/>
    <w:rsid w:val="0071527F"/>
    <w:rsid w:val="0072277C"/>
    <w:rsid w:val="007402E8"/>
    <w:rsid w:val="007541F1"/>
    <w:rsid w:val="00755448"/>
    <w:rsid w:val="0078163B"/>
    <w:rsid w:val="007831C9"/>
    <w:rsid w:val="007849E9"/>
    <w:rsid w:val="00785E98"/>
    <w:rsid w:val="00794E68"/>
    <w:rsid w:val="00797AD8"/>
    <w:rsid w:val="007B5303"/>
    <w:rsid w:val="007C1964"/>
    <w:rsid w:val="007C5B6F"/>
    <w:rsid w:val="007E45E1"/>
    <w:rsid w:val="007E4EFA"/>
    <w:rsid w:val="007F332E"/>
    <w:rsid w:val="007F6C4D"/>
    <w:rsid w:val="008003E6"/>
    <w:rsid w:val="00826518"/>
    <w:rsid w:val="00832C66"/>
    <w:rsid w:val="00832C90"/>
    <w:rsid w:val="008352A3"/>
    <w:rsid w:val="0083665D"/>
    <w:rsid w:val="0084454E"/>
    <w:rsid w:val="00845AAB"/>
    <w:rsid w:val="0085450D"/>
    <w:rsid w:val="00860A2B"/>
    <w:rsid w:val="008736A3"/>
    <w:rsid w:val="008808AE"/>
    <w:rsid w:val="008A102C"/>
    <w:rsid w:val="008C0791"/>
    <w:rsid w:val="008D09A3"/>
    <w:rsid w:val="008D68B1"/>
    <w:rsid w:val="008F0C41"/>
    <w:rsid w:val="008F23F1"/>
    <w:rsid w:val="008F79F8"/>
    <w:rsid w:val="00922FF9"/>
    <w:rsid w:val="00930DB4"/>
    <w:rsid w:val="00943D7C"/>
    <w:rsid w:val="00955734"/>
    <w:rsid w:val="00981D24"/>
    <w:rsid w:val="00990D6E"/>
    <w:rsid w:val="009A367C"/>
    <w:rsid w:val="009A373B"/>
    <w:rsid w:val="00A30F51"/>
    <w:rsid w:val="00A352DC"/>
    <w:rsid w:val="00A54AA1"/>
    <w:rsid w:val="00A608AA"/>
    <w:rsid w:val="00A63087"/>
    <w:rsid w:val="00A66DD1"/>
    <w:rsid w:val="00A75D4F"/>
    <w:rsid w:val="00A77EEF"/>
    <w:rsid w:val="00A827D0"/>
    <w:rsid w:val="00AA6A84"/>
    <w:rsid w:val="00AB2924"/>
    <w:rsid w:val="00AC2CD4"/>
    <w:rsid w:val="00AC2EEC"/>
    <w:rsid w:val="00AD00AF"/>
    <w:rsid w:val="00B06013"/>
    <w:rsid w:val="00B07C60"/>
    <w:rsid w:val="00B10263"/>
    <w:rsid w:val="00B10369"/>
    <w:rsid w:val="00B20855"/>
    <w:rsid w:val="00B340F5"/>
    <w:rsid w:val="00B37804"/>
    <w:rsid w:val="00B41964"/>
    <w:rsid w:val="00B53503"/>
    <w:rsid w:val="00B576CB"/>
    <w:rsid w:val="00B649CF"/>
    <w:rsid w:val="00B66008"/>
    <w:rsid w:val="00B74B5C"/>
    <w:rsid w:val="00B74FE6"/>
    <w:rsid w:val="00B7554D"/>
    <w:rsid w:val="00BA32D4"/>
    <w:rsid w:val="00BB7791"/>
    <w:rsid w:val="00BE4023"/>
    <w:rsid w:val="00C03B5E"/>
    <w:rsid w:val="00C100F5"/>
    <w:rsid w:val="00C11B7C"/>
    <w:rsid w:val="00C310C5"/>
    <w:rsid w:val="00C32C60"/>
    <w:rsid w:val="00C37CD4"/>
    <w:rsid w:val="00C43C77"/>
    <w:rsid w:val="00C64609"/>
    <w:rsid w:val="00C7716B"/>
    <w:rsid w:val="00C85668"/>
    <w:rsid w:val="00C91B5B"/>
    <w:rsid w:val="00C92096"/>
    <w:rsid w:val="00C92C15"/>
    <w:rsid w:val="00CA637B"/>
    <w:rsid w:val="00CB1296"/>
    <w:rsid w:val="00CB15DA"/>
    <w:rsid w:val="00CB432B"/>
    <w:rsid w:val="00CC1832"/>
    <w:rsid w:val="00CC5CFA"/>
    <w:rsid w:val="00CD4F18"/>
    <w:rsid w:val="00CD5DA3"/>
    <w:rsid w:val="00CE051D"/>
    <w:rsid w:val="00CE0E5C"/>
    <w:rsid w:val="00CE637E"/>
    <w:rsid w:val="00CF10EC"/>
    <w:rsid w:val="00CF6056"/>
    <w:rsid w:val="00D16354"/>
    <w:rsid w:val="00D34944"/>
    <w:rsid w:val="00D55C1E"/>
    <w:rsid w:val="00D709B5"/>
    <w:rsid w:val="00D769A4"/>
    <w:rsid w:val="00D87219"/>
    <w:rsid w:val="00D92860"/>
    <w:rsid w:val="00DB5C14"/>
    <w:rsid w:val="00DD0A58"/>
    <w:rsid w:val="00DD6213"/>
    <w:rsid w:val="00DE56B5"/>
    <w:rsid w:val="00DE6FF2"/>
    <w:rsid w:val="00DF4900"/>
    <w:rsid w:val="00E029AA"/>
    <w:rsid w:val="00E2337E"/>
    <w:rsid w:val="00E437F8"/>
    <w:rsid w:val="00E52B1A"/>
    <w:rsid w:val="00E55E4C"/>
    <w:rsid w:val="00E60CF5"/>
    <w:rsid w:val="00EB07BD"/>
    <w:rsid w:val="00EB18DD"/>
    <w:rsid w:val="00EB58AF"/>
    <w:rsid w:val="00EC2634"/>
    <w:rsid w:val="00EE3AC7"/>
    <w:rsid w:val="00EE469C"/>
    <w:rsid w:val="00EF6E53"/>
    <w:rsid w:val="00F06579"/>
    <w:rsid w:val="00F21414"/>
    <w:rsid w:val="00F23B84"/>
    <w:rsid w:val="00F433C6"/>
    <w:rsid w:val="00F47BCD"/>
    <w:rsid w:val="00F519FE"/>
    <w:rsid w:val="00F540BA"/>
    <w:rsid w:val="00F6480E"/>
    <w:rsid w:val="00F64F59"/>
    <w:rsid w:val="00F7180C"/>
    <w:rsid w:val="00F73703"/>
    <w:rsid w:val="00F85472"/>
    <w:rsid w:val="00F8715E"/>
    <w:rsid w:val="00F92C8D"/>
    <w:rsid w:val="00F9768B"/>
    <w:rsid w:val="00FB7F4C"/>
    <w:rsid w:val="00FC0732"/>
    <w:rsid w:val="00FC6ADF"/>
    <w:rsid w:val="00FD745A"/>
    <w:rsid w:val="00FF13EA"/>
    <w:rsid w:val="00FF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3C18"/>
  <w15:chartTrackingRefBased/>
  <w15:docId w15:val="{3DAA3873-CE13-4644-A038-C086E52A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C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19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C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1964"/>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3A7A51"/>
    <w:pPr>
      <w:tabs>
        <w:tab w:val="left" w:pos="380"/>
        <w:tab w:val="left" w:pos="500"/>
      </w:tabs>
      <w:spacing w:after="240"/>
      <w:ind w:left="504" w:hanging="504"/>
    </w:pPr>
  </w:style>
  <w:style w:type="table" w:styleId="TableGrid">
    <w:name w:val="Table Grid"/>
    <w:basedOn w:val="TableNormal"/>
    <w:uiPriority w:val="39"/>
    <w:rsid w:val="00C1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518"/>
    <w:rPr>
      <w:color w:val="0563C1" w:themeColor="hyperlink"/>
      <w:u w:val="single"/>
    </w:rPr>
  </w:style>
  <w:style w:type="character" w:styleId="UnresolvedMention">
    <w:name w:val="Unresolved Mention"/>
    <w:basedOn w:val="DefaultParagraphFont"/>
    <w:uiPriority w:val="99"/>
    <w:semiHidden/>
    <w:unhideWhenUsed/>
    <w:rsid w:val="00826518"/>
    <w:rPr>
      <w:color w:val="605E5C"/>
      <w:shd w:val="clear" w:color="auto" w:fill="E1DFDD"/>
    </w:rPr>
  </w:style>
  <w:style w:type="character" w:customStyle="1" w:styleId="apple-converted-space">
    <w:name w:val="apple-converted-space"/>
    <w:basedOn w:val="DefaultParagraphFont"/>
    <w:rsid w:val="00156D13"/>
  </w:style>
  <w:style w:type="paragraph" w:styleId="NoSpacing">
    <w:name w:val="No Spacing"/>
    <w:uiPriority w:val="1"/>
    <w:qFormat/>
    <w:rsid w:val="00F6480E"/>
  </w:style>
  <w:style w:type="paragraph" w:styleId="ListParagraph">
    <w:name w:val="List Paragraph"/>
    <w:basedOn w:val="Normal"/>
    <w:uiPriority w:val="34"/>
    <w:qFormat/>
    <w:rsid w:val="00F6480E"/>
    <w:pPr>
      <w:ind w:left="720"/>
      <w:contextualSpacing/>
    </w:pPr>
  </w:style>
  <w:style w:type="paragraph" w:styleId="NormalWeb">
    <w:name w:val="Normal (Web)"/>
    <w:basedOn w:val="Normal"/>
    <w:uiPriority w:val="99"/>
    <w:unhideWhenUsed/>
    <w:rsid w:val="00D709B5"/>
    <w:pPr>
      <w:spacing w:before="100" w:beforeAutospacing="1" w:after="100" w:afterAutospacing="1"/>
    </w:pPr>
    <w:rPr>
      <w:rFonts w:ascii="Times New Roman" w:eastAsia="Times New Roman" w:hAnsi="Times New Roman" w:cs="Times New Roman"/>
      <w:lang w:eastAsia="en-GB"/>
    </w:rPr>
  </w:style>
  <w:style w:type="character" w:styleId="LineNumber">
    <w:name w:val="line number"/>
    <w:basedOn w:val="DefaultParagraphFont"/>
    <w:uiPriority w:val="99"/>
    <w:semiHidden/>
    <w:unhideWhenUsed/>
    <w:rsid w:val="00A827D0"/>
  </w:style>
  <w:style w:type="paragraph" w:styleId="BalloonText">
    <w:name w:val="Balloon Text"/>
    <w:basedOn w:val="Normal"/>
    <w:link w:val="BalloonTextChar"/>
    <w:uiPriority w:val="99"/>
    <w:semiHidden/>
    <w:unhideWhenUsed/>
    <w:rsid w:val="003B5B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B3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B2FDF"/>
    <w:rPr>
      <w:sz w:val="16"/>
      <w:szCs w:val="16"/>
    </w:rPr>
  </w:style>
  <w:style w:type="paragraph" w:styleId="CommentText">
    <w:name w:val="annotation text"/>
    <w:basedOn w:val="Normal"/>
    <w:link w:val="CommentTextChar"/>
    <w:uiPriority w:val="99"/>
    <w:semiHidden/>
    <w:unhideWhenUsed/>
    <w:rsid w:val="004B2FDF"/>
    <w:rPr>
      <w:sz w:val="20"/>
      <w:szCs w:val="20"/>
    </w:rPr>
  </w:style>
  <w:style w:type="character" w:customStyle="1" w:styleId="CommentTextChar">
    <w:name w:val="Comment Text Char"/>
    <w:basedOn w:val="DefaultParagraphFont"/>
    <w:link w:val="CommentText"/>
    <w:uiPriority w:val="99"/>
    <w:semiHidden/>
    <w:rsid w:val="004B2FDF"/>
    <w:rPr>
      <w:sz w:val="20"/>
      <w:szCs w:val="20"/>
    </w:rPr>
  </w:style>
  <w:style w:type="paragraph" w:styleId="CommentSubject">
    <w:name w:val="annotation subject"/>
    <w:basedOn w:val="CommentText"/>
    <w:next w:val="CommentText"/>
    <w:link w:val="CommentSubjectChar"/>
    <w:uiPriority w:val="99"/>
    <w:semiHidden/>
    <w:unhideWhenUsed/>
    <w:rsid w:val="004B2FDF"/>
    <w:rPr>
      <w:b/>
      <w:bCs/>
    </w:rPr>
  </w:style>
  <w:style w:type="character" w:customStyle="1" w:styleId="CommentSubjectChar">
    <w:name w:val="Comment Subject Char"/>
    <w:basedOn w:val="CommentTextChar"/>
    <w:link w:val="CommentSubject"/>
    <w:uiPriority w:val="99"/>
    <w:semiHidden/>
    <w:rsid w:val="004B2FDF"/>
    <w:rPr>
      <w:b/>
      <w:bCs/>
      <w:sz w:val="20"/>
      <w:szCs w:val="20"/>
    </w:rPr>
  </w:style>
  <w:style w:type="paragraph" w:styleId="Revision">
    <w:name w:val="Revision"/>
    <w:hidden/>
    <w:uiPriority w:val="99"/>
    <w:semiHidden/>
    <w:rsid w:val="007F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526">
      <w:bodyDiv w:val="1"/>
      <w:marLeft w:val="0"/>
      <w:marRight w:val="0"/>
      <w:marTop w:val="0"/>
      <w:marBottom w:val="0"/>
      <w:divBdr>
        <w:top w:val="none" w:sz="0" w:space="0" w:color="auto"/>
        <w:left w:val="none" w:sz="0" w:space="0" w:color="auto"/>
        <w:bottom w:val="none" w:sz="0" w:space="0" w:color="auto"/>
        <w:right w:val="none" w:sz="0" w:space="0" w:color="auto"/>
      </w:divBdr>
    </w:div>
    <w:div w:id="153642965">
      <w:bodyDiv w:val="1"/>
      <w:marLeft w:val="0"/>
      <w:marRight w:val="0"/>
      <w:marTop w:val="0"/>
      <w:marBottom w:val="0"/>
      <w:divBdr>
        <w:top w:val="none" w:sz="0" w:space="0" w:color="auto"/>
        <w:left w:val="none" w:sz="0" w:space="0" w:color="auto"/>
        <w:bottom w:val="none" w:sz="0" w:space="0" w:color="auto"/>
        <w:right w:val="none" w:sz="0" w:space="0" w:color="auto"/>
      </w:divBdr>
    </w:div>
    <w:div w:id="365453408">
      <w:bodyDiv w:val="1"/>
      <w:marLeft w:val="0"/>
      <w:marRight w:val="0"/>
      <w:marTop w:val="0"/>
      <w:marBottom w:val="0"/>
      <w:divBdr>
        <w:top w:val="none" w:sz="0" w:space="0" w:color="auto"/>
        <w:left w:val="none" w:sz="0" w:space="0" w:color="auto"/>
        <w:bottom w:val="none" w:sz="0" w:space="0" w:color="auto"/>
        <w:right w:val="none" w:sz="0" w:space="0" w:color="auto"/>
      </w:divBdr>
    </w:div>
    <w:div w:id="487332065">
      <w:bodyDiv w:val="1"/>
      <w:marLeft w:val="0"/>
      <w:marRight w:val="0"/>
      <w:marTop w:val="0"/>
      <w:marBottom w:val="0"/>
      <w:divBdr>
        <w:top w:val="none" w:sz="0" w:space="0" w:color="auto"/>
        <w:left w:val="none" w:sz="0" w:space="0" w:color="auto"/>
        <w:bottom w:val="none" w:sz="0" w:space="0" w:color="auto"/>
        <w:right w:val="none" w:sz="0" w:space="0" w:color="auto"/>
      </w:divBdr>
    </w:div>
    <w:div w:id="593783843">
      <w:bodyDiv w:val="1"/>
      <w:marLeft w:val="0"/>
      <w:marRight w:val="0"/>
      <w:marTop w:val="0"/>
      <w:marBottom w:val="0"/>
      <w:divBdr>
        <w:top w:val="none" w:sz="0" w:space="0" w:color="auto"/>
        <w:left w:val="none" w:sz="0" w:space="0" w:color="auto"/>
        <w:bottom w:val="none" w:sz="0" w:space="0" w:color="auto"/>
        <w:right w:val="none" w:sz="0" w:space="0" w:color="auto"/>
      </w:divBdr>
    </w:div>
    <w:div w:id="859587386">
      <w:bodyDiv w:val="1"/>
      <w:marLeft w:val="0"/>
      <w:marRight w:val="0"/>
      <w:marTop w:val="0"/>
      <w:marBottom w:val="0"/>
      <w:divBdr>
        <w:top w:val="none" w:sz="0" w:space="0" w:color="auto"/>
        <w:left w:val="none" w:sz="0" w:space="0" w:color="auto"/>
        <w:bottom w:val="none" w:sz="0" w:space="0" w:color="auto"/>
        <w:right w:val="none" w:sz="0" w:space="0" w:color="auto"/>
      </w:divBdr>
    </w:div>
    <w:div w:id="1057388424">
      <w:bodyDiv w:val="1"/>
      <w:marLeft w:val="0"/>
      <w:marRight w:val="0"/>
      <w:marTop w:val="0"/>
      <w:marBottom w:val="0"/>
      <w:divBdr>
        <w:top w:val="none" w:sz="0" w:space="0" w:color="auto"/>
        <w:left w:val="none" w:sz="0" w:space="0" w:color="auto"/>
        <w:bottom w:val="none" w:sz="0" w:space="0" w:color="auto"/>
        <w:right w:val="none" w:sz="0" w:space="0" w:color="auto"/>
      </w:divBdr>
    </w:div>
    <w:div w:id="1232960627">
      <w:bodyDiv w:val="1"/>
      <w:marLeft w:val="0"/>
      <w:marRight w:val="0"/>
      <w:marTop w:val="0"/>
      <w:marBottom w:val="0"/>
      <w:divBdr>
        <w:top w:val="none" w:sz="0" w:space="0" w:color="auto"/>
        <w:left w:val="none" w:sz="0" w:space="0" w:color="auto"/>
        <w:bottom w:val="none" w:sz="0" w:space="0" w:color="auto"/>
        <w:right w:val="none" w:sz="0" w:space="0" w:color="auto"/>
      </w:divBdr>
    </w:div>
    <w:div w:id="1527601190">
      <w:bodyDiv w:val="1"/>
      <w:marLeft w:val="0"/>
      <w:marRight w:val="0"/>
      <w:marTop w:val="0"/>
      <w:marBottom w:val="0"/>
      <w:divBdr>
        <w:top w:val="none" w:sz="0" w:space="0" w:color="auto"/>
        <w:left w:val="none" w:sz="0" w:space="0" w:color="auto"/>
        <w:bottom w:val="none" w:sz="0" w:space="0" w:color="auto"/>
        <w:right w:val="none" w:sz="0" w:space="0" w:color="auto"/>
      </w:divBdr>
    </w:div>
    <w:div w:id="1663390670">
      <w:bodyDiv w:val="1"/>
      <w:marLeft w:val="0"/>
      <w:marRight w:val="0"/>
      <w:marTop w:val="0"/>
      <w:marBottom w:val="0"/>
      <w:divBdr>
        <w:top w:val="none" w:sz="0" w:space="0" w:color="auto"/>
        <w:left w:val="none" w:sz="0" w:space="0" w:color="auto"/>
        <w:bottom w:val="none" w:sz="0" w:space="0" w:color="auto"/>
        <w:right w:val="none" w:sz="0" w:space="0" w:color="auto"/>
      </w:divBdr>
    </w:div>
    <w:div w:id="1837571167">
      <w:bodyDiv w:val="1"/>
      <w:marLeft w:val="0"/>
      <w:marRight w:val="0"/>
      <w:marTop w:val="0"/>
      <w:marBottom w:val="0"/>
      <w:divBdr>
        <w:top w:val="none" w:sz="0" w:space="0" w:color="auto"/>
        <w:left w:val="none" w:sz="0" w:space="0" w:color="auto"/>
        <w:bottom w:val="none" w:sz="0" w:space="0" w:color="auto"/>
        <w:right w:val="none" w:sz="0" w:space="0" w:color="auto"/>
      </w:divBdr>
      <w:divsChild>
        <w:div w:id="1488084638">
          <w:marLeft w:val="0"/>
          <w:marRight w:val="0"/>
          <w:marTop w:val="0"/>
          <w:marBottom w:val="0"/>
          <w:divBdr>
            <w:top w:val="none" w:sz="0" w:space="0" w:color="auto"/>
            <w:left w:val="none" w:sz="0" w:space="0" w:color="auto"/>
            <w:bottom w:val="none" w:sz="0" w:space="0" w:color="auto"/>
            <w:right w:val="none" w:sz="0" w:space="0" w:color="auto"/>
          </w:divBdr>
          <w:divsChild>
            <w:div w:id="2060862054">
              <w:marLeft w:val="0"/>
              <w:marRight w:val="0"/>
              <w:marTop w:val="0"/>
              <w:marBottom w:val="0"/>
              <w:divBdr>
                <w:top w:val="none" w:sz="0" w:space="0" w:color="auto"/>
                <w:left w:val="none" w:sz="0" w:space="0" w:color="auto"/>
                <w:bottom w:val="none" w:sz="0" w:space="0" w:color="auto"/>
                <w:right w:val="none" w:sz="0" w:space="0" w:color="auto"/>
              </w:divBdr>
              <w:divsChild>
                <w:div w:id="1522205779">
                  <w:marLeft w:val="0"/>
                  <w:marRight w:val="0"/>
                  <w:marTop w:val="0"/>
                  <w:marBottom w:val="0"/>
                  <w:divBdr>
                    <w:top w:val="none" w:sz="0" w:space="0" w:color="auto"/>
                    <w:left w:val="none" w:sz="0" w:space="0" w:color="auto"/>
                    <w:bottom w:val="none" w:sz="0" w:space="0" w:color="auto"/>
                    <w:right w:val="none" w:sz="0" w:space="0" w:color="auto"/>
                  </w:divBdr>
                  <w:divsChild>
                    <w:div w:id="3634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onathanmanara\Downloads\Copy%2520of%2520Spreadsheet%2520for%2520Stats%252022nd%2520Oct%25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onathanmanara\Downloads\Copy%2520of%2520Spreadsheet%2520for%2520Stats%252022nd%2520Oct%25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onathanmanara\Downloads\Copy%2520of%2520Spreadsheet%2520for%2520Stats%252022nd%2520Oct%252020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FF-6649-B30D-2A78234EC6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FF-6649-B30D-2A78234EC62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EFF-6649-B30D-2A78234EC62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EFF-6649-B30D-2A78234EC62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EFF-6649-B30D-2A78234EC62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Sheet3!$C$16:$C$20</c:f>
              <c:strCache>
                <c:ptCount val="5"/>
                <c:pt idx="0">
                  <c:v>Tibial Fracture</c:v>
                </c:pt>
                <c:pt idx="1">
                  <c:v>Tibial Subsidence </c:v>
                </c:pt>
                <c:pt idx="2">
                  <c:v>Infection</c:v>
                </c:pt>
                <c:pt idx="3">
                  <c:v>Bearing Dislocation</c:v>
                </c:pt>
                <c:pt idx="4">
                  <c:v>Malalignment</c:v>
                </c:pt>
              </c:strCache>
            </c:strRef>
          </c:cat>
          <c:val>
            <c:numRef>
              <c:f>Sheet3!$D$16:$D$20</c:f>
              <c:numCache>
                <c:formatCode>General</c:formatCode>
                <c:ptCount val="5"/>
                <c:pt idx="0">
                  <c:v>2</c:v>
                </c:pt>
                <c:pt idx="1">
                  <c:v>1</c:v>
                </c:pt>
                <c:pt idx="2">
                  <c:v>1</c:v>
                </c:pt>
                <c:pt idx="3">
                  <c:v>1</c:v>
                </c:pt>
                <c:pt idx="4">
                  <c:v>1</c:v>
                </c:pt>
              </c:numCache>
            </c:numRef>
          </c:val>
          <c:extLst>
            <c:ext xmlns:c16="http://schemas.microsoft.com/office/drawing/2014/chart" uri="{C3380CC4-5D6E-409C-BE32-E72D297353CC}">
              <c16:uniqueId val="{0000000A-DEFF-6649-B30D-2A78234EC62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3451149871499823"/>
          <c:y val="0.17711135200384373"/>
          <c:w val="0.32526088238527023"/>
          <c:h val="0.6197497627471301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FD-EC4A-B64B-41C24BB976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FD-EC4A-B64B-41C24BB976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FD-EC4A-B64B-41C24BB976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FD-EC4A-B64B-41C24BB976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0FD-EC4A-B64B-41C24BB976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0FD-EC4A-B64B-41C24BB976B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Sheet3!$I$16:$I$21</c:f>
              <c:strCache>
                <c:ptCount val="6"/>
                <c:pt idx="0">
                  <c:v>Tibial Fracture</c:v>
                </c:pt>
                <c:pt idx="1">
                  <c:v>Tibial Subsidence </c:v>
                </c:pt>
                <c:pt idx="2">
                  <c:v>Infection</c:v>
                </c:pt>
                <c:pt idx="3">
                  <c:v>Bearing Dislocation</c:v>
                </c:pt>
                <c:pt idx="4">
                  <c:v>Malalignment</c:v>
                </c:pt>
                <c:pt idx="5">
                  <c:v>Arthritis Progression</c:v>
                </c:pt>
              </c:strCache>
            </c:strRef>
          </c:cat>
          <c:val>
            <c:numRef>
              <c:f>Sheet3!$J$16:$J$21</c:f>
              <c:numCache>
                <c:formatCode>General</c:formatCode>
                <c:ptCount val="6"/>
                <c:pt idx="0">
                  <c:v>2</c:v>
                </c:pt>
                <c:pt idx="1">
                  <c:v>2</c:v>
                </c:pt>
                <c:pt idx="2">
                  <c:v>1</c:v>
                </c:pt>
                <c:pt idx="3">
                  <c:v>3</c:v>
                </c:pt>
                <c:pt idx="4">
                  <c:v>1</c:v>
                </c:pt>
                <c:pt idx="5">
                  <c:v>2</c:v>
                </c:pt>
              </c:numCache>
            </c:numRef>
          </c:val>
          <c:extLst>
            <c:ext xmlns:c16="http://schemas.microsoft.com/office/drawing/2014/chart" uri="{C3380CC4-5D6E-409C-BE32-E72D297353CC}">
              <c16:uniqueId val="{0000000C-90FD-EC4A-B64B-41C24BB976B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7832211755715344"/>
          <c:y val="0.12590572562038732"/>
          <c:w val="0.28447930824512208"/>
          <c:h val="0.765657551260794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D1-0246-9034-B6690C66BB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D1-0246-9034-B6690C66BB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D1-0246-9034-B6690C66BB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2D1-0246-9034-B6690C66BB9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2D1-0246-9034-B6690C66BB9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Sheet4!$D$16:$D$20</c:f>
              <c:strCache>
                <c:ptCount val="5"/>
                <c:pt idx="0">
                  <c:v>Complex Primary</c:v>
                </c:pt>
                <c:pt idx="1">
                  <c:v>Stemmed Primary</c:v>
                </c:pt>
                <c:pt idx="2">
                  <c:v>Unstemmed Primary</c:v>
                </c:pt>
                <c:pt idx="3">
                  <c:v>Cemented UKR</c:v>
                </c:pt>
                <c:pt idx="4">
                  <c:v>Bearing exchange only</c:v>
                </c:pt>
              </c:strCache>
            </c:strRef>
          </c:cat>
          <c:val>
            <c:numRef>
              <c:f>Sheet4!$E$16:$E$20</c:f>
              <c:numCache>
                <c:formatCode>General</c:formatCode>
                <c:ptCount val="5"/>
                <c:pt idx="0">
                  <c:v>1</c:v>
                </c:pt>
                <c:pt idx="1">
                  <c:v>5</c:v>
                </c:pt>
                <c:pt idx="2">
                  <c:v>2</c:v>
                </c:pt>
                <c:pt idx="3">
                  <c:v>2</c:v>
                </c:pt>
                <c:pt idx="4">
                  <c:v>1</c:v>
                </c:pt>
              </c:numCache>
            </c:numRef>
          </c:val>
          <c:extLst>
            <c:ext xmlns:c16="http://schemas.microsoft.com/office/drawing/2014/chart" uri="{C3380CC4-5D6E-409C-BE32-E72D297353CC}">
              <c16:uniqueId val="{0000000A-A2D1-0246-9034-B6690C66BB9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019A-ADED-494B-8967-BE22042D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14335</Words>
  <Characters>81713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Manara</dc:creator>
  <cp:keywords/>
  <dc:description/>
  <cp:lastModifiedBy>Dan Heatley</cp:lastModifiedBy>
  <cp:revision>3</cp:revision>
  <dcterms:created xsi:type="dcterms:W3CDTF">2022-06-17T08:37:00Z</dcterms:created>
  <dcterms:modified xsi:type="dcterms:W3CDTF">2022-06-17T08:38:00Z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id="e1mgquU5"/&gt;&lt;style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