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0B" w:rsidRDefault="00E7100A" w:rsidP="00E7100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w:t>
      </w:r>
      <w:r w:rsidR="00DE4B0B" w:rsidRPr="00794A9E">
        <w:rPr>
          <w:rFonts w:ascii="Times New Roman" w:hAnsi="Times New Roman" w:cs="Times New Roman"/>
          <w:b/>
          <w:sz w:val="24"/>
          <w:szCs w:val="24"/>
        </w:rPr>
        <w:t>ntegration of health into urban spatial planning t</w:t>
      </w:r>
      <w:r>
        <w:rPr>
          <w:rFonts w:ascii="Times New Roman" w:hAnsi="Times New Roman" w:cs="Times New Roman"/>
          <w:b/>
          <w:sz w:val="24"/>
          <w:szCs w:val="24"/>
        </w:rPr>
        <w:t>hrough impact assessment</w:t>
      </w:r>
      <w:r w:rsidR="00DE4B0B" w:rsidRPr="00794A9E">
        <w:rPr>
          <w:rFonts w:ascii="Times New Roman" w:hAnsi="Times New Roman" w:cs="Times New Roman"/>
          <w:b/>
          <w:sz w:val="24"/>
          <w:szCs w:val="24"/>
        </w:rPr>
        <w:t>: identifying governance and policy barriers and facilitators</w:t>
      </w:r>
    </w:p>
    <w:p w:rsidR="006E0B9E" w:rsidRDefault="006E0B9E" w:rsidP="00E7100A">
      <w:pPr>
        <w:spacing w:line="480" w:lineRule="auto"/>
        <w:jc w:val="center"/>
        <w:rPr>
          <w:rFonts w:ascii="Times New Roman" w:hAnsi="Times New Roman" w:cs="Times New Roman"/>
          <w:b/>
          <w:sz w:val="24"/>
          <w:szCs w:val="24"/>
        </w:rPr>
      </w:pPr>
    </w:p>
    <w:p w:rsidR="00AA6FF5" w:rsidRPr="006E0B9E" w:rsidRDefault="00DE4B0B" w:rsidP="00A44105">
      <w:pPr>
        <w:spacing w:line="480" w:lineRule="auto"/>
        <w:rPr>
          <w:rFonts w:ascii="Times New Roman" w:hAnsi="Times New Roman" w:cs="Times New Roman"/>
          <w:sz w:val="24"/>
          <w:szCs w:val="24"/>
        </w:rPr>
      </w:pPr>
      <w:r w:rsidRPr="006E0B9E">
        <w:rPr>
          <w:rFonts w:ascii="Times New Roman" w:hAnsi="Times New Roman" w:cs="Times New Roman"/>
          <w:sz w:val="24"/>
          <w:szCs w:val="24"/>
        </w:rPr>
        <w:t xml:space="preserve">1. </w:t>
      </w:r>
      <w:r w:rsidR="00D073FB" w:rsidRPr="006E0B9E">
        <w:rPr>
          <w:rFonts w:ascii="Times New Roman" w:hAnsi="Times New Roman" w:cs="Times New Roman"/>
          <w:sz w:val="24"/>
          <w:szCs w:val="24"/>
        </w:rPr>
        <w:t>Introduction</w:t>
      </w:r>
    </w:p>
    <w:p w:rsidR="00AE0F51" w:rsidRPr="000F6431" w:rsidRDefault="00E76A78" w:rsidP="00AE0F51">
      <w:pPr>
        <w:pStyle w:val="Default"/>
        <w:spacing w:line="480" w:lineRule="auto"/>
        <w:rPr>
          <w:rFonts w:ascii="Times New Roman" w:hAnsi="Times New Roman" w:cs="Times New Roman"/>
        </w:rPr>
      </w:pPr>
      <w:r w:rsidRPr="00E76A78">
        <w:rPr>
          <w:rFonts w:ascii="Times New Roman" w:hAnsi="Times New Roman" w:cs="Times New Roman"/>
        </w:rPr>
        <w:t>The aim of impact assessment in planning is to assess the impacts of projects, plans or policies on a range of social, environmental and</w:t>
      </w:r>
      <w:r w:rsidR="00BB4945">
        <w:rPr>
          <w:rFonts w:ascii="Times New Roman" w:hAnsi="Times New Roman" w:cs="Times New Roman"/>
        </w:rPr>
        <w:t xml:space="preserve"> economic variables,</w:t>
      </w:r>
      <w:r w:rsidRPr="00E76A78">
        <w:rPr>
          <w:rFonts w:ascii="Times New Roman" w:hAnsi="Times New Roman" w:cs="Times New Roman"/>
        </w:rPr>
        <w:t xml:space="preserve"> with the aim of minimising negative effects and maximising positive impacts.</w:t>
      </w:r>
      <w:r w:rsidR="00BB4945">
        <w:rPr>
          <w:rFonts w:ascii="Times New Roman" w:hAnsi="Times New Roman" w:cs="Times New Roman"/>
        </w:rPr>
        <w:t xml:space="preserve"> </w:t>
      </w:r>
      <w:r w:rsidR="001053E2">
        <w:rPr>
          <w:rFonts w:ascii="Times New Roman" w:hAnsi="Times New Roman" w:cs="Times New Roman"/>
        </w:rPr>
        <w:t>G</w:t>
      </w:r>
      <w:r w:rsidR="00BB4945">
        <w:rPr>
          <w:rFonts w:ascii="Times New Roman" w:hAnsi="Times New Roman" w:cs="Times New Roman"/>
        </w:rPr>
        <w:t xml:space="preserve">rowing awareness of the significance of the urban environment for health has led to a variety of different approaches being used to integrate </w:t>
      </w:r>
      <w:r w:rsidR="00C334E9" w:rsidRPr="00C334E9">
        <w:rPr>
          <w:rFonts w:ascii="Times New Roman" w:hAnsi="Times New Roman" w:cs="Times New Roman"/>
        </w:rPr>
        <w:t>health and well-being</w:t>
      </w:r>
      <w:r w:rsidR="00BB4945">
        <w:rPr>
          <w:rFonts w:ascii="Times New Roman" w:hAnsi="Times New Roman" w:cs="Times New Roman"/>
          <w:i/>
        </w:rPr>
        <w:t xml:space="preserve"> </w:t>
      </w:r>
      <w:r w:rsidR="00BB4945">
        <w:rPr>
          <w:rFonts w:ascii="Times New Roman" w:hAnsi="Times New Roman" w:cs="Times New Roman"/>
        </w:rPr>
        <w:t>into these processes.</w:t>
      </w:r>
      <w:r w:rsidRPr="00E76A78">
        <w:rPr>
          <w:rFonts w:ascii="Times New Roman" w:hAnsi="Times New Roman" w:cs="Times New Roman"/>
        </w:rPr>
        <w:t xml:space="preserve"> Examples of impact assessment that should incorporate considerations of health include Health Impact Assessment (</w:t>
      </w:r>
      <w:r w:rsidRPr="000F6431">
        <w:rPr>
          <w:rFonts w:ascii="Times New Roman" w:hAnsi="Times New Roman" w:cs="Times New Roman"/>
        </w:rPr>
        <w:t xml:space="preserve">HIA), Environmental Impact Assessment (EIA) and Strategic </w:t>
      </w:r>
      <w:r w:rsidR="00AD1AAB" w:rsidRPr="000F6431">
        <w:rPr>
          <w:rFonts w:ascii="Times New Roman" w:hAnsi="Times New Roman" w:cs="Times New Roman"/>
        </w:rPr>
        <w:t>Environmental</w:t>
      </w:r>
      <w:r w:rsidRPr="000F6431">
        <w:rPr>
          <w:rFonts w:ascii="Times New Roman" w:hAnsi="Times New Roman" w:cs="Times New Roman"/>
        </w:rPr>
        <w:t xml:space="preserve"> Assessment (SEA</w:t>
      </w:r>
      <w:r w:rsidR="00A51C78" w:rsidRPr="000F6431">
        <w:rPr>
          <w:rFonts w:ascii="Times New Roman" w:hAnsi="Times New Roman" w:cs="Times New Roman"/>
        </w:rPr>
        <w:t>)</w:t>
      </w:r>
      <w:r w:rsidR="000F2EB3" w:rsidRPr="000F6431">
        <w:rPr>
          <w:rFonts w:ascii="Times New Roman" w:hAnsi="Times New Roman" w:cs="Times New Roman"/>
        </w:rPr>
        <w:t xml:space="preserve">. </w:t>
      </w:r>
      <w:r w:rsidR="00751CB2" w:rsidRPr="000F6431">
        <w:rPr>
          <w:rFonts w:ascii="Times New Roman" w:hAnsi="Times New Roman" w:cs="Times New Roman"/>
        </w:rPr>
        <w:t xml:space="preserve"> </w:t>
      </w:r>
      <w:r w:rsidR="001D5773" w:rsidRPr="000F6431">
        <w:rPr>
          <w:rFonts w:ascii="Times New Roman" w:hAnsi="Times New Roman" w:cs="Times New Roman"/>
        </w:rPr>
        <w:t>Evidence from two</w:t>
      </w:r>
      <w:r w:rsidR="00A51C78" w:rsidRPr="000F6431">
        <w:rPr>
          <w:rFonts w:ascii="Times New Roman" w:hAnsi="Times New Roman" w:cs="Times New Roman"/>
        </w:rPr>
        <w:t xml:space="preserve"> </w:t>
      </w:r>
      <w:r w:rsidR="001D5773" w:rsidRPr="000F6431">
        <w:rPr>
          <w:rFonts w:ascii="Times New Roman" w:hAnsi="Times New Roman" w:cs="Times New Roman"/>
        </w:rPr>
        <w:t xml:space="preserve">initial </w:t>
      </w:r>
      <w:r w:rsidR="00A51C78" w:rsidRPr="000F6431">
        <w:rPr>
          <w:rFonts w:ascii="Times New Roman" w:hAnsi="Times New Roman" w:cs="Times New Roman"/>
        </w:rPr>
        <w:t xml:space="preserve">systematic reviews </w:t>
      </w:r>
      <w:r w:rsidR="001D5773" w:rsidRPr="000F6431">
        <w:rPr>
          <w:rFonts w:ascii="Times New Roman" w:hAnsi="Times New Roman" w:cs="Times New Roman"/>
        </w:rPr>
        <w:t xml:space="preserve">carried out by the research team </w:t>
      </w:r>
      <w:r w:rsidR="007F0F29" w:rsidRPr="000F6431">
        <w:rPr>
          <w:rFonts w:ascii="Times New Roman" w:hAnsi="Times New Roman" w:cs="Times New Roman"/>
        </w:rPr>
        <w:t>suggest that appraisals has</w:t>
      </w:r>
      <w:r w:rsidR="00A51C78" w:rsidRPr="000F6431">
        <w:rPr>
          <w:rFonts w:ascii="Times New Roman" w:hAnsi="Times New Roman" w:cs="Times New Roman"/>
        </w:rPr>
        <w:t xml:space="preserve"> limited effectiveness  in promoting health into planning. The next question </w:t>
      </w:r>
      <w:r w:rsidR="001D5773" w:rsidRPr="000F6431">
        <w:rPr>
          <w:rFonts w:ascii="Times New Roman" w:hAnsi="Times New Roman" w:cs="Times New Roman"/>
        </w:rPr>
        <w:t xml:space="preserve">for researchers </w:t>
      </w:r>
      <w:r w:rsidR="007F0F29" w:rsidRPr="000F6431">
        <w:rPr>
          <w:rFonts w:ascii="Times New Roman" w:hAnsi="Times New Roman" w:cs="Times New Roman"/>
        </w:rPr>
        <w:t>is</w:t>
      </w:r>
      <w:r w:rsidR="00A51C78" w:rsidRPr="000F6431">
        <w:rPr>
          <w:rFonts w:ascii="Times New Roman" w:hAnsi="Times New Roman" w:cs="Times New Roman"/>
        </w:rPr>
        <w:t xml:space="preserve"> then to identify some of the factors limiting or </w:t>
      </w:r>
      <w:r w:rsidR="00C05453" w:rsidRPr="000F6431">
        <w:rPr>
          <w:rFonts w:ascii="Times New Roman" w:hAnsi="Times New Roman" w:cs="Times New Roman"/>
        </w:rPr>
        <w:t>facilitating that effectiveness</w:t>
      </w:r>
      <w:r w:rsidR="00A51C78" w:rsidRPr="000F6431">
        <w:rPr>
          <w:rFonts w:ascii="Times New Roman" w:hAnsi="Times New Roman" w:cs="Times New Roman"/>
        </w:rPr>
        <w:t>.</w:t>
      </w:r>
      <w:r w:rsidR="00A51C78" w:rsidRPr="000F6431">
        <w:rPr>
          <w:rStyle w:val="FootnoteReference"/>
          <w:rFonts w:ascii="Times New Roman" w:hAnsi="Times New Roman"/>
        </w:rPr>
        <w:footnoteReference w:id="1"/>
      </w:r>
      <w:r w:rsidR="001D5773" w:rsidRPr="000F6431">
        <w:rPr>
          <w:rFonts w:ascii="Times New Roman" w:hAnsi="Times New Roman" w:cs="Times New Roman"/>
        </w:rPr>
        <w:t xml:space="preserve"> The article will expose the key findings of </w:t>
      </w:r>
      <w:r w:rsidR="007F0F29" w:rsidRPr="000F6431">
        <w:rPr>
          <w:rFonts w:ascii="Times New Roman" w:hAnsi="Times New Roman" w:cs="Times New Roman"/>
        </w:rPr>
        <w:t>this research.</w:t>
      </w:r>
    </w:p>
    <w:p w:rsidR="00D073FB" w:rsidRPr="000F6431" w:rsidRDefault="00D073FB" w:rsidP="00A44105">
      <w:pPr>
        <w:spacing w:line="480" w:lineRule="auto"/>
        <w:rPr>
          <w:rFonts w:ascii="Times New Roman" w:hAnsi="Times New Roman" w:cs="Times New Roman"/>
          <w:sz w:val="24"/>
          <w:szCs w:val="24"/>
        </w:rPr>
      </w:pPr>
    </w:p>
    <w:p w:rsidR="002C1B1D" w:rsidRPr="000F6431" w:rsidRDefault="00A51C78"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2. Methods and Theory</w:t>
      </w:r>
    </w:p>
    <w:p w:rsidR="00776F54" w:rsidRPr="000F6431" w:rsidRDefault="007F0F29" w:rsidP="00AE0F51">
      <w:pPr>
        <w:pStyle w:val="Default"/>
        <w:spacing w:line="480" w:lineRule="auto"/>
        <w:rPr>
          <w:rFonts w:ascii="Times New Roman" w:hAnsi="Times New Roman" w:cs="Times New Roman"/>
        </w:rPr>
      </w:pPr>
      <w:r w:rsidRPr="000F6431">
        <w:rPr>
          <w:rFonts w:ascii="Times New Roman" w:hAnsi="Times New Roman" w:cs="Times New Roman"/>
        </w:rPr>
        <w:t xml:space="preserve">The research started from the assumption that development plans are likely to result in changes to the built environment that are then likely to influence health in a number of </w:t>
      </w:r>
      <w:r w:rsidRPr="000F6431">
        <w:rPr>
          <w:rFonts w:ascii="Times New Roman" w:hAnsi="Times New Roman" w:cs="Times New Roman"/>
        </w:rPr>
        <w:lastRenderedPageBreak/>
        <w:t xml:space="preserve">ways. This assumption is backed up by the conceptual literature that has moved away from the medical to a social model of public health (e.g. Whitehead an Dahlgren, 1991; Green et al, 2002; Barton and Tsourou, 2000; Corburn, 2010 for the US context) as well as by the long standing WHO policy advocating for the recognition of socio-economic development on health (Barton and Tsourou, 2000; Ison, 2009). </w:t>
      </w:r>
      <w:r w:rsidR="00866348" w:rsidRPr="000F6431">
        <w:rPr>
          <w:rFonts w:ascii="Times New Roman" w:hAnsi="Times New Roman" w:cs="Times New Roman"/>
        </w:rPr>
        <w:t>Impact assessment can offer a tool ensuring that health impacts of developments are considered. In the UK</w:t>
      </w:r>
      <w:r w:rsidRPr="000F6431">
        <w:rPr>
          <w:rFonts w:ascii="Times New Roman" w:hAnsi="Times New Roman" w:cs="Times New Roman"/>
        </w:rPr>
        <w:t>, the British Medical Association has endorsed the need to renew the recognition of the broad range of health determinants and emphasised the need to assess the health impacts of development pro</w:t>
      </w:r>
      <w:r w:rsidR="00866348" w:rsidRPr="000F6431">
        <w:rPr>
          <w:rFonts w:ascii="Times New Roman" w:hAnsi="Times New Roman" w:cs="Times New Roman"/>
        </w:rPr>
        <w:t>jects and policies (BMI, 1998) and some of the literature focuses on integrating</w:t>
      </w:r>
      <w:r w:rsidRPr="000F6431">
        <w:rPr>
          <w:rFonts w:ascii="Times New Roman" w:hAnsi="Times New Roman" w:cs="Times New Roman"/>
        </w:rPr>
        <w:t xml:space="preserve"> health considerations into existing</w:t>
      </w:r>
      <w:r w:rsidR="00866348" w:rsidRPr="000F6431">
        <w:rPr>
          <w:rFonts w:ascii="Times New Roman" w:hAnsi="Times New Roman" w:cs="Times New Roman"/>
        </w:rPr>
        <w:t xml:space="preserve"> assessment tools </w:t>
      </w:r>
      <w:r w:rsidRPr="000F6431">
        <w:rPr>
          <w:rFonts w:ascii="Times New Roman" w:hAnsi="Times New Roman" w:cs="Times New Roman"/>
        </w:rPr>
        <w:t xml:space="preserve"> (Bond, 2004; Mindell and Joffe, 2003; Morgan, 2003</w:t>
      </w:r>
      <w:r w:rsidR="00866348" w:rsidRPr="000F6431">
        <w:rPr>
          <w:rFonts w:ascii="Times New Roman" w:hAnsi="Times New Roman" w:cs="Times New Roman"/>
        </w:rPr>
        <w:t>). P</w:t>
      </w:r>
      <w:r w:rsidRPr="000F6431">
        <w:rPr>
          <w:rFonts w:ascii="Times New Roman" w:hAnsi="Times New Roman" w:cs="Times New Roman"/>
        </w:rPr>
        <w:t xml:space="preserve">olicy-makers have also endorsed integrating the consideration of health impact  into existing statutory instruments such as EIA in the USA (Arquiaga et al, 1994; Bond, 2004) or SEA at EU level (Posas, 2011; on the integration of health considerations in England through SEA, see DoH, 2007).    </w:t>
      </w:r>
    </w:p>
    <w:p w:rsidR="00776F54" w:rsidRPr="000F6431" w:rsidRDefault="00776F54" w:rsidP="00AE0F51">
      <w:pPr>
        <w:pStyle w:val="Default"/>
        <w:spacing w:line="480" w:lineRule="auto"/>
        <w:rPr>
          <w:rFonts w:ascii="Times New Roman" w:hAnsi="Times New Roman" w:cs="Times New Roman"/>
        </w:rPr>
      </w:pPr>
    </w:p>
    <w:p w:rsidR="00AE0F51" w:rsidRPr="000F6431" w:rsidRDefault="00776F54" w:rsidP="00776F54">
      <w:pPr>
        <w:pStyle w:val="Default"/>
        <w:spacing w:line="480" w:lineRule="auto"/>
        <w:rPr>
          <w:rFonts w:ascii="Times New Roman" w:hAnsi="Times New Roman" w:cs="Times New Roman"/>
        </w:rPr>
      </w:pPr>
      <w:r w:rsidRPr="000F6431">
        <w:rPr>
          <w:rFonts w:ascii="Times New Roman" w:hAnsi="Times New Roman" w:cs="Times New Roman"/>
        </w:rPr>
        <w:t>The research took place within that context</w:t>
      </w:r>
      <w:r w:rsidR="00A51C78" w:rsidRPr="000F6431">
        <w:rPr>
          <w:rFonts w:ascii="Times New Roman" w:hAnsi="Times New Roman" w:cs="Times New Roman"/>
        </w:rPr>
        <w:t>. First, two systematic reviews (</w:t>
      </w:r>
      <w:r w:rsidR="007F0F29" w:rsidRPr="000F6431">
        <w:rPr>
          <w:rFonts w:ascii="Times New Roman" w:hAnsi="Times New Roman" w:cs="Times New Roman"/>
        </w:rPr>
        <w:t>UWE, 2011</w:t>
      </w:r>
      <w:r w:rsidR="00A51C78" w:rsidRPr="000F6431">
        <w:rPr>
          <w:rFonts w:ascii="Times New Roman" w:hAnsi="Times New Roman" w:cs="Times New Roman"/>
        </w:rPr>
        <w:t>), following the NICE guidance on systematic review (NICE, 2009) examined evidence on how effective approaches to appraisal are in influencing planning decisions at the project or plan level to secure improvements in health, address</w:t>
      </w:r>
      <w:r w:rsidR="00182DA2" w:rsidRPr="000F6431">
        <w:rPr>
          <w:rFonts w:ascii="Times New Roman" w:hAnsi="Times New Roman" w:cs="Times New Roman"/>
        </w:rPr>
        <w:t>ed</w:t>
      </w:r>
      <w:r w:rsidR="00A51C78" w:rsidRPr="000F6431">
        <w:rPr>
          <w:rFonts w:ascii="Times New Roman" w:hAnsi="Times New Roman" w:cs="Times New Roman"/>
        </w:rPr>
        <w:t xml:space="preserve"> health inequalities an</w:t>
      </w:r>
      <w:r w:rsidRPr="000F6431">
        <w:rPr>
          <w:rFonts w:ascii="Times New Roman" w:hAnsi="Times New Roman" w:cs="Times New Roman"/>
        </w:rPr>
        <w:t>d health equity</w:t>
      </w:r>
      <w:r w:rsidR="00A51C78" w:rsidRPr="000F6431">
        <w:rPr>
          <w:rFonts w:ascii="Times New Roman" w:hAnsi="Times New Roman" w:cs="Times New Roman"/>
        </w:rPr>
        <w:t>.  The reviews considered primary case study research as well as a number of systematic reviews and overviews. They did not involve for our team to carry out primary research. The literature identified was subject to critical</w:t>
      </w:r>
      <w:r w:rsidR="007F0F29" w:rsidRPr="000F6431">
        <w:rPr>
          <w:rFonts w:ascii="Times New Roman" w:hAnsi="Times New Roman" w:cs="Times New Roman"/>
        </w:rPr>
        <w:t xml:space="preserve"> evaluation as to quality. K</w:t>
      </w:r>
      <w:r w:rsidR="00A51C78" w:rsidRPr="000F6431">
        <w:rPr>
          <w:rFonts w:ascii="Times New Roman" w:hAnsi="Times New Roman" w:cs="Times New Roman"/>
        </w:rPr>
        <w:t>ey points from papers and reports that satisfied quality criteria were systematically recorded as the basis for the subsequent synthesis of the evi</w:t>
      </w:r>
      <w:r w:rsidR="007F0F29" w:rsidRPr="000F6431">
        <w:rPr>
          <w:rFonts w:ascii="Times New Roman" w:hAnsi="Times New Roman" w:cs="Times New Roman"/>
        </w:rPr>
        <w:t>dence</w:t>
      </w:r>
      <w:r w:rsidR="00A51C78" w:rsidRPr="000F6431">
        <w:rPr>
          <w:rFonts w:ascii="Times New Roman" w:hAnsi="Times New Roman" w:cs="Times New Roman"/>
        </w:rPr>
        <w:t xml:space="preserve">. Our </w:t>
      </w:r>
      <w:r w:rsidR="00A51C78" w:rsidRPr="000F6431">
        <w:rPr>
          <w:rFonts w:ascii="Times New Roman" w:hAnsi="Times New Roman" w:cs="Times New Roman"/>
        </w:rPr>
        <w:lastRenderedPageBreak/>
        <w:t xml:space="preserve">search strategy looked for scholarly evaluation of appraisals (mainly EIA, SEA, HIA and their variations)  of land use plans including </w:t>
      </w:r>
      <w:r w:rsidR="00A51C78" w:rsidRPr="000F6431">
        <w:rPr>
          <w:rFonts w:ascii="Times New Roman" w:eastAsia="Calibri" w:hAnsi="Times New Roman" w:cs="Times New Roman"/>
        </w:rPr>
        <w:t>spatial plan</w:t>
      </w:r>
      <w:r w:rsidR="00A51C78" w:rsidRPr="000F6431">
        <w:rPr>
          <w:rFonts w:ascii="Times New Roman" w:hAnsi="Times New Roman" w:cs="Times New Roman"/>
        </w:rPr>
        <w:t>s which relate</w:t>
      </w:r>
      <w:r w:rsidR="00A51C78" w:rsidRPr="000F6431">
        <w:rPr>
          <w:rFonts w:ascii="Times New Roman" w:eastAsia="Calibri" w:hAnsi="Times New Roman" w:cs="Times New Roman"/>
        </w:rPr>
        <w:t xml:space="preserve"> to a whole region, city, town or neighbourhood and can include topic plans (e.g. for transport, housing and air quality).</w:t>
      </w:r>
      <w:r w:rsidR="00A51C78" w:rsidRPr="000F6431">
        <w:rPr>
          <w:rFonts w:ascii="Times New Roman" w:hAnsi="Times New Roman" w:cs="Times New Roman"/>
        </w:rPr>
        <w:t xml:space="preserve"> We also looked for appraisals applying to </w:t>
      </w:r>
      <w:r w:rsidR="00A51C78" w:rsidRPr="000F6431">
        <w:rPr>
          <w:rFonts w:ascii="Times New Roman" w:eastAsia="Calibri" w:hAnsi="Times New Roman" w:cs="Times New Roman"/>
        </w:rPr>
        <w:t>specific</w:t>
      </w:r>
      <w:r w:rsidR="00A51C78" w:rsidRPr="000F6431">
        <w:rPr>
          <w:rFonts w:ascii="Times New Roman" w:hAnsi="Times New Roman" w:cs="Times New Roman"/>
        </w:rPr>
        <w:t xml:space="preserve"> development proposals requiring</w:t>
      </w:r>
      <w:r w:rsidR="00A51C78" w:rsidRPr="000F6431">
        <w:rPr>
          <w:rFonts w:ascii="Times New Roman" w:eastAsia="Calibri" w:hAnsi="Times New Roman" w:cs="Times New Roman"/>
        </w:rPr>
        <w:t xml:space="preserve"> determination through a land use (or spatial) planning process</w:t>
      </w:r>
      <w:r w:rsidR="00A51C78" w:rsidRPr="000F6431">
        <w:rPr>
          <w:rFonts w:ascii="Times New Roman" w:hAnsi="Times New Roman" w:cs="Times New Roman"/>
        </w:rPr>
        <w:t xml:space="preserve">. Full details of the search strategy, inclusion and exclusion criteria and quality appraisal are </w:t>
      </w:r>
      <w:r w:rsidR="00182DA2" w:rsidRPr="000F6431">
        <w:rPr>
          <w:rFonts w:ascii="Times New Roman" w:hAnsi="Times New Roman" w:cs="Times New Roman"/>
        </w:rPr>
        <w:t>available (UWE, 2011a; b and c</w:t>
      </w:r>
      <w:r w:rsidR="00A51C78" w:rsidRPr="000F6431">
        <w:rPr>
          <w:rFonts w:ascii="Times New Roman" w:hAnsi="Times New Roman" w:cs="Times New Roman"/>
        </w:rPr>
        <w:t>).  Studies therefore were only included if they evaluated the effectiveness of appraisals in influencing the different stages of the planning decision-making process itself and/or the types of health outcomes obtained by the appraisal. In respect of the former, it is v</w:t>
      </w:r>
      <w:r w:rsidR="00E40DDB" w:rsidRPr="000F6431">
        <w:rPr>
          <w:rFonts w:ascii="Times New Roman" w:hAnsi="Times New Roman" w:cs="Times New Roman"/>
        </w:rPr>
        <w:t>ital to recognise that in England</w:t>
      </w:r>
      <w:r w:rsidR="00A51C78" w:rsidRPr="000F6431">
        <w:rPr>
          <w:rFonts w:ascii="Times New Roman" w:hAnsi="Times New Roman" w:cs="Times New Roman"/>
        </w:rPr>
        <w:t xml:space="preserve">, appraisal of plans is only one element at the very beginning of the land use planning decision-making process. Appraisal is intended, in good practice guidelines, to be an aid to good decision-making at every stage of a plan’s (or project’s) evolution. So this research looked for evidence of health consideration through appraisal at four stages of the plan making process: initial agenda-setting and scoping, substantive policy or proposal, implementation, and later assessment of actual impact. As for the evaluation of health outcomes generated by the appraisal, the primary health issues we considered  included physical activity, mental health and wellbeing (including consideration of social networks) , environmental health factors (air quality, noise pollution), unintentional injury and  health equity. </w:t>
      </w:r>
    </w:p>
    <w:p w:rsidR="00AE0F51" w:rsidRPr="000F6431" w:rsidRDefault="00AE0F51" w:rsidP="00AE0F51">
      <w:pPr>
        <w:pStyle w:val="Default"/>
        <w:spacing w:line="480" w:lineRule="auto"/>
        <w:rPr>
          <w:rFonts w:ascii="Times New Roman" w:hAnsi="Times New Roman" w:cs="Times New Roman"/>
        </w:rPr>
      </w:pPr>
    </w:p>
    <w:p w:rsidR="00B16AD8" w:rsidRPr="000F6431" w:rsidRDefault="00A51C78" w:rsidP="000756C1">
      <w:pPr>
        <w:spacing w:line="480" w:lineRule="auto"/>
        <w:rPr>
          <w:rFonts w:ascii="Times New Roman" w:hAnsi="Times New Roman" w:cs="Times New Roman"/>
          <w:sz w:val="24"/>
          <w:szCs w:val="24"/>
        </w:rPr>
      </w:pPr>
      <w:r w:rsidRPr="000F6431">
        <w:rPr>
          <w:rFonts w:ascii="Times New Roman" w:hAnsi="Times New Roman" w:cs="Times New Roman"/>
          <w:sz w:val="24"/>
          <w:szCs w:val="24"/>
        </w:rPr>
        <w:t>Following the identification of case study literature evaluating the eff</w:t>
      </w:r>
      <w:r w:rsidR="00776F54" w:rsidRPr="000F6431">
        <w:rPr>
          <w:rFonts w:ascii="Times New Roman" w:hAnsi="Times New Roman" w:cs="Times New Roman"/>
          <w:sz w:val="24"/>
          <w:szCs w:val="24"/>
        </w:rPr>
        <w:t>ectiveness of appraisals (</w:t>
      </w:r>
      <w:r w:rsidR="00E40DDB" w:rsidRPr="000F6431">
        <w:rPr>
          <w:rFonts w:ascii="Times New Roman" w:hAnsi="Times New Roman" w:cs="Times New Roman"/>
          <w:sz w:val="24"/>
          <w:szCs w:val="24"/>
        </w:rPr>
        <w:t>UWE, 2001a and b)</w:t>
      </w:r>
      <w:r w:rsidRPr="000F6431">
        <w:rPr>
          <w:rFonts w:ascii="Times New Roman" w:hAnsi="Times New Roman" w:cs="Times New Roman"/>
          <w:sz w:val="24"/>
          <w:szCs w:val="24"/>
        </w:rPr>
        <w:t xml:space="preserve">, the team then set to analyse in more depth barriers and facilitators for including health into planning through appraisal processes. We collected </w:t>
      </w:r>
      <w:r w:rsidRPr="000F6431">
        <w:rPr>
          <w:rFonts w:ascii="Times New Roman" w:hAnsi="Times New Roman" w:cs="Times New Roman"/>
          <w:sz w:val="24"/>
          <w:szCs w:val="24"/>
        </w:rPr>
        <w:lastRenderedPageBreak/>
        <w:t>further case study evidence from additional studies initially selected in these two reviews but later rejected at full text review stage, empirical studies collected in a call for evidence launched by NICE to a number of key stakeholders and experts, and further studies collected as background research studies in the two previous reviews. We also looked for primary research studies snowballed from the studies included in the two reviews. No studies were identified in the snowballing as they were already identified by our search strategy or did not relate to empirical research. In total, we examined 54 studies, all reported case study research and offered commentaries on barriers and facilitators based on research findings. Purely conceptual studies or studies of an advocacy nature were excluded. Critical appraisal was carried out on the studies that had not been the object of a critical appraisal in the previous two reviews using forms adapted from NICE guidance. Below is the list of studies, the country the case studies covered and the type of appraisal that was evaluated:</w:t>
      </w:r>
      <w:r w:rsidR="009C1F8F" w:rsidRPr="000F6431">
        <w:rPr>
          <w:rFonts w:ascii="Times New Roman" w:hAnsi="Times New Roman" w:cs="Times New Roman"/>
        </w:rPr>
        <w:t xml:space="preserve"> </w:t>
      </w:r>
      <w:r w:rsidRPr="000F6431">
        <w:rPr>
          <w:rFonts w:ascii="Times New Roman" w:hAnsi="Times New Roman" w:cs="Times New Roman"/>
          <w:sz w:val="24"/>
          <w:szCs w:val="24"/>
        </w:rPr>
        <w:t>The early hypothesis was that appraisals, although recognised as only one part of the planning process, are considered as a key and significant part of that process through which health outcomes can be examined</w:t>
      </w:r>
      <w:r w:rsidR="004144D0" w:rsidRPr="000F6431">
        <w:rPr>
          <w:rFonts w:ascii="Times New Roman" w:hAnsi="Times New Roman" w:cs="Times New Roman"/>
          <w:sz w:val="24"/>
          <w:szCs w:val="24"/>
        </w:rPr>
        <w:t>.</w:t>
      </w:r>
      <w:r w:rsidRPr="000F6431">
        <w:rPr>
          <w:rFonts w:ascii="Times New Roman" w:hAnsi="Times New Roman" w:cs="Times New Roman"/>
          <w:sz w:val="24"/>
          <w:szCs w:val="24"/>
        </w:rPr>
        <w:t xml:space="preserve"> Long-standing guidance on appraisal emphasizes the importance of integrating appraisal throughout the planning process, from initial agreement on objectives to final evaluation (e.g. DoE 1993). </w:t>
      </w:r>
    </w:p>
    <w:p w:rsidR="006B07BD" w:rsidRPr="000F6431" w:rsidRDefault="00A51C78" w:rsidP="006B07BD">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A  framework for data extraction and analysis derived empirically from a sample of half of the papers was developed. It was then applied to all the papers, both to any pertinent findings arising directly from either the study, or to reflections and conclusions by authors themselves within the document. This inductive research method fitted the inter-disciplinary nature of the research and literature identified (i.e. public health and planning) and allowed us to consider all empirical barriers and facilitators identified by </w:t>
      </w:r>
      <w:r w:rsidRPr="000F6431">
        <w:rPr>
          <w:rFonts w:ascii="Times New Roman" w:hAnsi="Times New Roman" w:cs="Times New Roman"/>
          <w:sz w:val="24"/>
          <w:szCs w:val="24"/>
        </w:rPr>
        <w:lastRenderedPageBreak/>
        <w:t xml:space="preserve">authors and not reject any from the beginning. However, from the initial broad sample search, four key policy and governance themes emerged as barriers and facilitating factors of integration. </w:t>
      </w:r>
      <w:r w:rsidR="000756C1" w:rsidRPr="000F6431">
        <w:rPr>
          <w:rFonts w:ascii="Times New Roman" w:hAnsi="Times New Roman" w:cs="Times New Roman"/>
          <w:sz w:val="24"/>
          <w:szCs w:val="24"/>
        </w:rPr>
        <w:t xml:space="preserve">These themes were used to develop the data extraction form and served as our analytical </w:t>
      </w:r>
      <w:r w:rsidR="00F723CD" w:rsidRPr="000F6431">
        <w:rPr>
          <w:rFonts w:ascii="Times New Roman" w:hAnsi="Times New Roman" w:cs="Times New Roman"/>
          <w:sz w:val="24"/>
          <w:szCs w:val="24"/>
        </w:rPr>
        <w:t>framework.</w:t>
      </w:r>
      <w:r w:rsidR="002B75C1" w:rsidRPr="000F6431">
        <w:rPr>
          <w:rFonts w:ascii="Times New Roman" w:hAnsi="Times New Roman" w:cs="Times New Roman"/>
          <w:sz w:val="24"/>
          <w:szCs w:val="24"/>
        </w:rPr>
        <w:t xml:space="preserve"> </w:t>
      </w:r>
      <w:r w:rsidRPr="000F6431">
        <w:rPr>
          <w:rFonts w:ascii="Times New Roman" w:hAnsi="Times New Roman" w:cs="Times New Roman"/>
          <w:sz w:val="24"/>
          <w:szCs w:val="24"/>
        </w:rPr>
        <w:t>We found that these categories were broad enough to be able to include all the barriers and facilitators identified in the papers.</w:t>
      </w:r>
      <w:r w:rsidR="000707E6" w:rsidRPr="000F6431">
        <w:rPr>
          <w:rFonts w:ascii="Times New Roman" w:hAnsi="Times New Roman" w:cs="Times New Roman"/>
          <w:sz w:val="24"/>
          <w:szCs w:val="24"/>
        </w:rPr>
        <w:t xml:space="preserve"> </w:t>
      </w:r>
      <w:r w:rsidR="00F723CD" w:rsidRPr="000F6431">
        <w:rPr>
          <w:rFonts w:ascii="Times New Roman" w:hAnsi="Times New Roman" w:cs="Times New Roman"/>
          <w:sz w:val="24"/>
          <w:szCs w:val="24"/>
        </w:rPr>
        <w:t>They were:</w:t>
      </w:r>
    </w:p>
    <w:p w:rsidR="00CD2918" w:rsidRPr="000F6431" w:rsidRDefault="006B07BD" w:rsidP="006B07BD">
      <w:pPr>
        <w:pStyle w:val="ListParagraph"/>
        <w:numPr>
          <w:ilvl w:val="0"/>
          <w:numId w:val="44"/>
        </w:numPr>
        <w:spacing w:line="480" w:lineRule="auto"/>
        <w:rPr>
          <w:rFonts w:ascii="Times New Roman" w:hAnsi="Times New Roman"/>
        </w:rPr>
      </w:pPr>
      <w:r w:rsidRPr="000F6431">
        <w:rPr>
          <w:rFonts w:ascii="Times New Roman" w:hAnsi="Times New Roman"/>
          <w:i/>
          <w:szCs w:val="24"/>
        </w:rPr>
        <w:t xml:space="preserve">Knowledge: </w:t>
      </w:r>
      <w:r w:rsidRPr="000F6431">
        <w:rPr>
          <w:rFonts w:ascii="Times New Roman" w:hAnsi="Times New Roman"/>
          <w:szCs w:val="24"/>
        </w:rPr>
        <w:t>links to the conceptual understanding</w:t>
      </w:r>
      <w:r w:rsidRPr="000F6431">
        <w:rPr>
          <w:rFonts w:ascii="Times New Roman" w:hAnsi="Times New Roman"/>
          <w:i/>
          <w:szCs w:val="24"/>
        </w:rPr>
        <w:t xml:space="preserve"> </w:t>
      </w:r>
      <w:r w:rsidRPr="000F6431">
        <w:rPr>
          <w:rFonts w:ascii="Times New Roman" w:hAnsi="Times New Roman"/>
          <w:szCs w:val="24"/>
        </w:rPr>
        <w:t>of health by different stakeholders</w:t>
      </w:r>
      <w:r w:rsidR="009C1F8F" w:rsidRPr="000F6431">
        <w:rPr>
          <w:rFonts w:ascii="Times New Roman" w:hAnsi="Times New Roman"/>
          <w:szCs w:val="24"/>
        </w:rPr>
        <w:t xml:space="preserve">. </w:t>
      </w:r>
      <w:r w:rsidR="002E318E" w:rsidRPr="000F6431">
        <w:rPr>
          <w:rFonts w:ascii="Times New Roman" w:hAnsi="Times New Roman"/>
          <w:szCs w:val="24"/>
        </w:rPr>
        <w:t xml:space="preserve"> </w:t>
      </w:r>
      <w:r w:rsidR="00CD2918" w:rsidRPr="000F6431">
        <w:rPr>
          <w:rFonts w:ascii="Times New Roman" w:hAnsi="Times New Roman"/>
          <w:szCs w:val="24"/>
        </w:rPr>
        <w:t>P</w:t>
      </w:r>
      <w:r w:rsidR="00A51C78" w:rsidRPr="000F6431">
        <w:rPr>
          <w:rFonts w:ascii="Times New Roman" w:hAnsi="Times New Roman"/>
          <w:szCs w:val="24"/>
        </w:rPr>
        <w:t>lanning, health and environmental pla</w:t>
      </w:r>
      <w:r w:rsidR="00CD2918" w:rsidRPr="000F6431">
        <w:rPr>
          <w:rFonts w:ascii="Times New Roman" w:hAnsi="Times New Roman"/>
          <w:szCs w:val="24"/>
        </w:rPr>
        <w:t>nning have</w:t>
      </w:r>
      <w:r w:rsidR="00A51C78" w:rsidRPr="000F6431">
        <w:rPr>
          <w:rFonts w:ascii="Times New Roman" w:hAnsi="Times New Roman"/>
          <w:szCs w:val="24"/>
        </w:rPr>
        <w:t xml:space="preserve"> different analytical models, rationalities and assessment tools, and policy decisions in each field</w:t>
      </w:r>
      <w:r w:rsidR="002E318E" w:rsidRPr="000F6431">
        <w:rPr>
          <w:rFonts w:ascii="Times New Roman" w:hAnsi="Times New Roman"/>
          <w:szCs w:val="24"/>
        </w:rPr>
        <w:t xml:space="preserve"> made using narrow based evidence (Corburn, 2010, p.88 on city planning). </w:t>
      </w:r>
    </w:p>
    <w:p w:rsidR="009D5A1B" w:rsidRPr="000F6431" w:rsidRDefault="007F1BA6" w:rsidP="006B07BD">
      <w:pPr>
        <w:pStyle w:val="ListParagraph"/>
        <w:numPr>
          <w:ilvl w:val="0"/>
          <w:numId w:val="44"/>
        </w:numPr>
        <w:spacing w:line="480" w:lineRule="auto"/>
        <w:rPr>
          <w:rFonts w:ascii="Times New Roman" w:hAnsi="Times New Roman"/>
        </w:rPr>
      </w:pPr>
      <w:r w:rsidRPr="000F6431">
        <w:rPr>
          <w:rFonts w:ascii="Times New Roman" w:hAnsi="Times New Roman"/>
          <w:bCs/>
          <w:i/>
        </w:rPr>
        <w:t>Partnership</w:t>
      </w:r>
      <w:r w:rsidR="006B07BD" w:rsidRPr="000F6431">
        <w:rPr>
          <w:rFonts w:ascii="Times New Roman" w:hAnsi="Times New Roman"/>
          <w:bCs/>
        </w:rPr>
        <w:t>:</w:t>
      </w:r>
      <w:r w:rsidRPr="000F6431">
        <w:rPr>
          <w:rFonts w:ascii="Times New Roman" w:hAnsi="Times New Roman"/>
          <w:bCs/>
        </w:rPr>
        <w:t xml:space="preserve"> </w:t>
      </w:r>
      <w:r w:rsidR="006B07BD" w:rsidRPr="000F6431">
        <w:rPr>
          <w:rFonts w:ascii="Times New Roman" w:hAnsi="Times New Roman"/>
        </w:rPr>
        <w:t>refers</w:t>
      </w:r>
      <w:r w:rsidRPr="000F6431">
        <w:rPr>
          <w:rFonts w:ascii="Times New Roman" w:hAnsi="Times New Roman"/>
        </w:rPr>
        <w:t xml:space="preserve"> to the governance system in p</w:t>
      </w:r>
      <w:r w:rsidR="003161EC" w:rsidRPr="000F6431">
        <w:rPr>
          <w:rFonts w:ascii="Times New Roman" w:hAnsi="Times New Roman"/>
        </w:rPr>
        <w:t>lace and the political context.</w:t>
      </w:r>
      <w:r w:rsidR="002E318E" w:rsidRPr="000F6431">
        <w:rPr>
          <w:rFonts w:ascii="Times New Roman" w:hAnsi="Times New Roman"/>
          <w:szCs w:val="24"/>
        </w:rPr>
        <w:t xml:space="preserve"> Appraisal processes test existing institutional systems in place to consider  planning decisions and policies, highlighting deficiencies and good practice in partnership working to assess health impacts.</w:t>
      </w:r>
    </w:p>
    <w:p w:rsidR="009D5A1B" w:rsidRPr="000F6431" w:rsidRDefault="007F1BA6" w:rsidP="006B07BD">
      <w:pPr>
        <w:pStyle w:val="Default"/>
        <w:numPr>
          <w:ilvl w:val="0"/>
          <w:numId w:val="42"/>
        </w:numPr>
        <w:spacing w:line="480" w:lineRule="auto"/>
        <w:rPr>
          <w:rFonts w:ascii="Times New Roman" w:hAnsi="Times New Roman" w:cs="Times New Roman"/>
        </w:rPr>
      </w:pPr>
      <w:r w:rsidRPr="000F6431">
        <w:rPr>
          <w:rFonts w:ascii="Times New Roman" w:hAnsi="Times New Roman" w:cs="Times New Roman"/>
          <w:bCs/>
          <w:i/>
        </w:rPr>
        <w:t>Management and resources</w:t>
      </w:r>
      <w:r w:rsidR="006B07BD" w:rsidRPr="000F6431">
        <w:rPr>
          <w:rFonts w:ascii="Times New Roman" w:hAnsi="Times New Roman" w:cs="Times New Roman"/>
          <w:bCs/>
        </w:rPr>
        <w:t>:</w:t>
      </w:r>
      <w:r w:rsidRPr="000F6431">
        <w:rPr>
          <w:rFonts w:ascii="Times New Roman" w:hAnsi="Times New Roman" w:cs="Times New Roman"/>
          <w:bCs/>
        </w:rPr>
        <w:t xml:space="preserve"> </w:t>
      </w:r>
      <w:r w:rsidR="00CD2918" w:rsidRPr="000F6431">
        <w:rPr>
          <w:rFonts w:ascii="Times New Roman" w:hAnsi="Times New Roman" w:cs="Times New Roman"/>
        </w:rPr>
        <w:t>include</w:t>
      </w:r>
      <w:r w:rsidRPr="000F6431">
        <w:rPr>
          <w:rFonts w:ascii="Times New Roman" w:hAnsi="Times New Roman" w:cs="Times New Roman"/>
        </w:rPr>
        <w:t xml:space="preserve"> the way institutions work, the responsibilities they have an</w:t>
      </w:r>
      <w:r w:rsidR="003161EC" w:rsidRPr="000F6431">
        <w:rPr>
          <w:rFonts w:ascii="Times New Roman" w:hAnsi="Times New Roman" w:cs="Times New Roman"/>
        </w:rPr>
        <w:t>d their capacity and resources.</w:t>
      </w:r>
      <w:r w:rsidR="002E318E" w:rsidRPr="000F6431">
        <w:rPr>
          <w:rFonts w:ascii="Times New Roman" w:hAnsi="Times New Roman" w:cs="Times New Roman"/>
        </w:rPr>
        <w:t xml:space="preserve"> Appraisals also test organisational and management structures, commitment and resources.</w:t>
      </w:r>
    </w:p>
    <w:p w:rsidR="000756C1" w:rsidRPr="000F6431" w:rsidRDefault="000829E7" w:rsidP="006B07BD">
      <w:pPr>
        <w:pStyle w:val="Default"/>
        <w:numPr>
          <w:ilvl w:val="0"/>
          <w:numId w:val="42"/>
        </w:numPr>
        <w:spacing w:line="480" w:lineRule="auto"/>
        <w:rPr>
          <w:rFonts w:ascii="Times New Roman" w:hAnsi="Times New Roman" w:cs="Times New Roman"/>
        </w:rPr>
      </w:pPr>
      <w:r w:rsidRPr="000F6431">
        <w:rPr>
          <w:rFonts w:ascii="Times New Roman" w:hAnsi="Times New Roman" w:cs="Times New Roman"/>
          <w:bCs/>
          <w:i/>
        </w:rPr>
        <w:t>A</w:t>
      </w:r>
      <w:r w:rsidR="003161EC" w:rsidRPr="000F6431">
        <w:rPr>
          <w:rFonts w:ascii="Times New Roman" w:hAnsi="Times New Roman" w:cs="Times New Roman"/>
          <w:bCs/>
          <w:i/>
        </w:rPr>
        <w:t>ppraisal</w:t>
      </w:r>
      <w:r w:rsidRPr="000F6431">
        <w:rPr>
          <w:rFonts w:ascii="Times New Roman" w:hAnsi="Times New Roman" w:cs="Times New Roman"/>
          <w:bCs/>
          <w:i/>
        </w:rPr>
        <w:t xml:space="preserve"> processes</w:t>
      </w:r>
      <w:r w:rsidR="006B07BD" w:rsidRPr="000F6431">
        <w:rPr>
          <w:rFonts w:ascii="Times New Roman" w:hAnsi="Times New Roman" w:cs="Times New Roman"/>
          <w:bCs/>
        </w:rPr>
        <w:t>:</w:t>
      </w:r>
      <w:r w:rsidR="007F1BA6" w:rsidRPr="000F6431">
        <w:rPr>
          <w:rFonts w:ascii="Times New Roman" w:hAnsi="Times New Roman" w:cs="Times New Roman"/>
          <w:bCs/>
        </w:rPr>
        <w:t xml:space="preserve"> </w:t>
      </w:r>
      <w:r w:rsidR="006B07BD" w:rsidRPr="000F6431">
        <w:rPr>
          <w:rFonts w:ascii="Times New Roman" w:hAnsi="Times New Roman" w:cs="Times New Roman"/>
        </w:rPr>
        <w:t xml:space="preserve">concerns </w:t>
      </w:r>
      <w:r w:rsidR="007F1BA6" w:rsidRPr="000F6431">
        <w:rPr>
          <w:rFonts w:ascii="Times New Roman" w:hAnsi="Times New Roman" w:cs="Times New Roman"/>
        </w:rPr>
        <w:t>the p</w:t>
      </w:r>
      <w:r w:rsidR="00EA57C4" w:rsidRPr="000F6431">
        <w:rPr>
          <w:rFonts w:ascii="Times New Roman" w:hAnsi="Times New Roman" w:cs="Times New Roman"/>
        </w:rPr>
        <w:t xml:space="preserve">olicy process, </w:t>
      </w:r>
      <w:r w:rsidR="006B07BD" w:rsidRPr="000F6431">
        <w:rPr>
          <w:rFonts w:ascii="Times New Roman" w:hAnsi="Times New Roman" w:cs="Times New Roman"/>
        </w:rPr>
        <w:t xml:space="preserve">its </w:t>
      </w:r>
      <w:r w:rsidR="00EA57C4" w:rsidRPr="000F6431">
        <w:rPr>
          <w:rFonts w:ascii="Times New Roman" w:hAnsi="Times New Roman" w:cs="Times New Roman"/>
        </w:rPr>
        <w:t>timeliness</w:t>
      </w:r>
      <w:r w:rsidR="00B95FAF" w:rsidRPr="000F6431">
        <w:rPr>
          <w:rFonts w:ascii="Times New Roman" w:hAnsi="Times New Roman" w:cs="Times New Roman"/>
        </w:rPr>
        <w:t>, comprehensiveness</w:t>
      </w:r>
      <w:r w:rsidR="007F1BA6" w:rsidRPr="000F6431">
        <w:rPr>
          <w:rFonts w:ascii="Times New Roman" w:hAnsi="Times New Roman" w:cs="Times New Roman"/>
        </w:rPr>
        <w:t xml:space="preserve"> and inclusiveness. </w:t>
      </w:r>
      <w:r w:rsidR="002E318E" w:rsidRPr="000F6431">
        <w:rPr>
          <w:rFonts w:ascii="Times New Roman" w:hAnsi="Times New Roman" w:cs="Times New Roman"/>
        </w:rPr>
        <w:t>The</w:t>
      </w:r>
      <w:r w:rsidR="00CD2918" w:rsidRPr="000F6431">
        <w:rPr>
          <w:rFonts w:ascii="Times New Roman" w:hAnsi="Times New Roman" w:cs="Times New Roman"/>
        </w:rPr>
        <w:t xml:space="preserve"> </w:t>
      </w:r>
      <w:r w:rsidR="002E318E" w:rsidRPr="000F6431">
        <w:rPr>
          <w:rFonts w:ascii="Times New Roman" w:hAnsi="Times New Roman" w:cs="Times New Roman"/>
        </w:rPr>
        <w:t>appraisal process itself takes place in parallel to the planning decision-making rather than blends with it.</w:t>
      </w:r>
    </w:p>
    <w:p w:rsidR="00CD2918" w:rsidRPr="000F6431" w:rsidRDefault="00CD2918" w:rsidP="00CD2918">
      <w:pPr>
        <w:pStyle w:val="Default"/>
        <w:spacing w:line="480" w:lineRule="auto"/>
        <w:ind w:left="720"/>
        <w:rPr>
          <w:rFonts w:ascii="Times New Roman" w:hAnsi="Times New Roman" w:cs="Times New Roman"/>
        </w:rPr>
      </w:pPr>
    </w:p>
    <w:p w:rsidR="00D073FB" w:rsidRPr="000F6431" w:rsidRDefault="009B6FA2" w:rsidP="001225B1">
      <w:pPr>
        <w:spacing w:line="480" w:lineRule="auto"/>
        <w:rPr>
          <w:rFonts w:ascii="Times New Roman" w:hAnsi="Times New Roman" w:cs="Times New Roman"/>
          <w:sz w:val="24"/>
          <w:szCs w:val="24"/>
        </w:rPr>
      </w:pPr>
      <w:r w:rsidRPr="000F6431">
        <w:rPr>
          <w:rFonts w:ascii="Times New Roman" w:hAnsi="Times New Roman" w:cs="Times New Roman"/>
          <w:sz w:val="24"/>
          <w:szCs w:val="24"/>
        </w:rPr>
        <w:t>3</w:t>
      </w:r>
      <w:r w:rsidR="00F128AD" w:rsidRPr="000F6431">
        <w:rPr>
          <w:rFonts w:ascii="Times New Roman" w:hAnsi="Times New Roman" w:cs="Times New Roman"/>
          <w:sz w:val="24"/>
          <w:szCs w:val="24"/>
        </w:rPr>
        <w:t>. Results</w:t>
      </w:r>
    </w:p>
    <w:p w:rsidR="002A163E" w:rsidRPr="000F6431" w:rsidRDefault="002A163E" w:rsidP="001225B1">
      <w:pPr>
        <w:spacing w:line="480" w:lineRule="auto"/>
        <w:rPr>
          <w:rFonts w:ascii="Times New Roman" w:hAnsi="Times New Roman" w:cs="Times New Roman"/>
          <w:b/>
          <w:sz w:val="24"/>
          <w:szCs w:val="24"/>
        </w:rPr>
      </w:pPr>
    </w:p>
    <w:p w:rsidR="001E2CAE" w:rsidRPr="000F6431" w:rsidRDefault="003E4C9B" w:rsidP="00B92066">
      <w:pPr>
        <w:spacing w:line="480" w:lineRule="auto"/>
        <w:rPr>
          <w:rFonts w:ascii="Times New Roman" w:hAnsi="Times New Roman" w:cs="Times New Roman"/>
          <w:sz w:val="24"/>
          <w:szCs w:val="24"/>
        </w:rPr>
      </w:pPr>
      <w:r w:rsidRPr="000F6431">
        <w:rPr>
          <w:rFonts w:ascii="Times New Roman" w:hAnsi="Times New Roman" w:cs="Times New Roman"/>
          <w:sz w:val="24"/>
          <w:szCs w:val="24"/>
        </w:rPr>
        <w:lastRenderedPageBreak/>
        <w:t>52 studies are</w:t>
      </w:r>
      <w:r w:rsidR="00EE738E" w:rsidRPr="000F6431">
        <w:rPr>
          <w:rFonts w:ascii="Times New Roman" w:hAnsi="Times New Roman" w:cs="Times New Roman"/>
          <w:sz w:val="24"/>
          <w:szCs w:val="24"/>
        </w:rPr>
        <w:t xml:space="preserve"> included, from a </w:t>
      </w:r>
      <w:r w:rsidR="007F5FA7" w:rsidRPr="000F6431">
        <w:rPr>
          <w:rFonts w:ascii="Times New Roman" w:hAnsi="Times New Roman" w:cs="Times New Roman"/>
          <w:sz w:val="24"/>
          <w:szCs w:val="24"/>
        </w:rPr>
        <w:t>various</w:t>
      </w:r>
      <w:r w:rsidR="00EE738E" w:rsidRPr="000F6431">
        <w:rPr>
          <w:rFonts w:ascii="Times New Roman" w:hAnsi="Times New Roman" w:cs="Times New Roman"/>
          <w:sz w:val="24"/>
          <w:szCs w:val="24"/>
        </w:rPr>
        <w:t xml:space="preserve"> high, medium and low income countries, encompassing a </w:t>
      </w:r>
      <w:r w:rsidR="000756C1" w:rsidRPr="000F6431">
        <w:rPr>
          <w:rFonts w:ascii="Times New Roman" w:hAnsi="Times New Roman" w:cs="Times New Roman"/>
          <w:sz w:val="24"/>
          <w:szCs w:val="24"/>
        </w:rPr>
        <w:t>range of appraisal tools</w:t>
      </w:r>
      <w:r w:rsidRPr="000F6431">
        <w:rPr>
          <w:rFonts w:ascii="Times New Roman" w:hAnsi="Times New Roman" w:cs="Times New Roman"/>
          <w:sz w:val="24"/>
          <w:szCs w:val="24"/>
        </w:rPr>
        <w:t>. Some papers report</w:t>
      </w:r>
      <w:r w:rsidR="00EE738E" w:rsidRPr="000F6431">
        <w:rPr>
          <w:rFonts w:ascii="Times New Roman" w:hAnsi="Times New Roman" w:cs="Times New Roman"/>
          <w:sz w:val="24"/>
          <w:szCs w:val="24"/>
        </w:rPr>
        <w:t xml:space="preserve"> on a single appraisal, and a number on a series of different case studies.</w:t>
      </w:r>
      <w:r w:rsidR="00947DF9" w:rsidRPr="000F6431">
        <w:rPr>
          <w:rFonts w:ascii="Times New Roman" w:hAnsi="Times New Roman" w:cs="Times New Roman"/>
          <w:sz w:val="24"/>
          <w:szCs w:val="24"/>
        </w:rPr>
        <w:t xml:space="preserve">  HIA</w:t>
      </w:r>
      <w:r w:rsidR="008C34A5" w:rsidRPr="000F6431">
        <w:rPr>
          <w:rFonts w:ascii="Times New Roman" w:hAnsi="Times New Roman" w:cs="Times New Roman"/>
          <w:sz w:val="24"/>
          <w:szCs w:val="24"/>
        </w:rPr>
        <w:t xml:space="preserve"> was the subject of 33 studies</w:t>
      </w:r>
      <w:r w:rsidR="00947DF9" w:rsidRPr="000F6431">
        <w:rPr>
          <w:rFonts w:ascii="Times New Roman" w:hAnsi="Times New Roman" w:cs="Times New Roman"/>
          <w:sz w:val="24"/>
          <w:szCs w:val="24"/>
        </w:rPr>
        <w:t xml:space="preserve">, </w:t>
      </w:r>
      <w:r w:rsidR="00B92066" w:rsidRPr="000F6431">
        <w:rPr>
          <w:rFonts w:ascii="Times New Roman" w:hAnsi="Times New Roman" w:cs="Times New Roman"/>
          <w:sz w:val="24"/>
          <w:szCs w:val="24"/>
        </w:rPr>
        <w:t>EIA</w:t>
      </w:r>
      <w:r w:rsidR="008C34A5" w:rsidRPr="000F6431">
        <w:rPr>
          <w:rFonts w:ascii="Times New Roman" w:hAnsi="Times New Roman" w:cs="Times New Roman"/>
          <w:sz w:val="24"/>
          <w:szCs w:val="24"/>
        </w:rPr>
        <w:t xml:space="preserve"> of 8 studies</w:t>
      </w:r>
      <w:r w:rsidR="00B92066" w:rsidRPr="000F6431">
        <w:rPr>
          <w:rFonts w:ascii="Times New Roman" w:hAnsi="Times New Roman" w:cs="Times New Roman"/>
          <w:sz w:val="24"/>
          <w:szCs w:val="24"/>
        </w:rPr>
        <w:t xml:space="preserve">, </w:t>
      </w:r>
      <w:r w:rsidR="00F723CD" w:rsidRPr="000F6431">
        <w:rPr>
          <w:rFonts w:ascii="Times New Roman" w:hAnsi="Times New Roman" w:cs="Times New Roman"/>
          <w:sz w:val="24"/>
          <w:szCs w:val="24"/>
        </w:rPr>
        <w:t xml:space="preserve"> </w:t>
      </w:r>
      <w:r w:rsidR="00947DF9" w:rsidRPr="000F6431">
        <w:rPr>
          <w:rFonts w:ascii="Times New Roman" w:hAnsi="Times New Roman" w:cs="Times New Roman"/>
          <w:sz w:val="24"/>
          <w:szCs w:val="24"/>
        </w:rPr>
        <w:t>SEA</w:t>
      </w:r>
      <w:r w:rsidR="008C34A5" w:rsidRPr="000F6431">
        <w:rPr>
          <w:rFonts w:ascii="Times New Roman" w:hAnsi="Times New Roman" w:cs="Times New Roman"/>
          <w:sz w:val="24"/>
          <w:szCs w:val="24"/>
        </w:rPr>
        <w:t xml:space="preserve"> and Integrated Appraisal (IA) of 7 studies</w:t>
      </w:r>
      <w:r w:rsidR="003C7C69" w:rsidRPr="000F6431">
        <w:rPr>
          <w:rFonts w:ascii="Times New Roman" w:hAnsi="Times New Roman" w:cs="Times New Roman"/>
          <w:sz w:val="24"/>
          <w:szCs w:val="24"/>
        </w:rPr>
        <w:t xml:space="preserve"> </w:t>
      </w:r>
      <w:r w:rsidR="008C34A5" w:rsidRPr="000F6431">
        <w:rPr>
          <w:rFonts w:ascii="Times New Roman" w:hAnsi="Times New Roman" w:cs="Times New Roman"/>
          <w:sz w:val="24"/>
          <w:szCs w:val="24"/>
        </w:rPr>
        <w:t xml:space="preserve"> each,</w:t>
      </w:r>
      <w:r w:rsidR="00947DF9" w:rsidRPr="000F6431">
        <w:rPr>
          <w:rFonts w:ascii="Times New Roman" w:hAnsi="Times New Roman" w:cs="Times New Roman"/>
          <w:sz w:val="24"/>
          <w:szCs w:val="24"/>
        </w:rPr>
        <w:t xml:space="preserve"> </w:t>
      </w:r>
      <w:r w:rsidR="003C7C69" w:rsidRPr="000F6431">
        <w:rPr>
          <w:rFonts w:ascii="Times New Roman" w:hAnsi="Times New Roman" w:cs="Times New Roman"/>
          <w:sz w:val="24"/>
          <w:szCs w:val="24"/>
        </w:rPr>
        <w:t xml:space="preserve"> </w:t>
      </w:r>
      <w:r w:rsidR="008C34A5" w:rsidRPr="000F6431">
        <w:rPr>
          <w:rFonts w:ascii="Times New Roman" w:hAnsi="Times New Roman" w:cs="Times New Roman"/>
          <w:sz w:val="24"/>
          <w:szCs w:val="24"/>
        </w:rPr>
        <w:t xml:space="preserve"> </w:t>
      </w:r>
      <w:r w:rsidR="00F723CD" w:rsidRPr="000F6431">
        <w:rPr>
          <w:rFonts w:ascii="Times New Roman" w:hAnsi="Times New Roman" w:cs="Times New Roman"/>
          <w:sz w:val="24"/>
          <w:szCs w:val="24"/>
        </w:rPr>
        <w:t>Social Impact Assessment (</w:t>
      </w:r>
      <w:r w:rsidR="00B92066" w:rsidRPr="000F6431">
        <w:rPr>
          <w:rFonts w:ascii="Times New Roman" w:hAnsi="Times New Roman" w:cs="Times New Roman"/>
          <w:sz w:val="24"/>
          <w:szCs w:val="24"/>
        </w:rPr>
        <w:t>SIA</w:t>
      </w:r>
      <w:r w:rsidR="00F723CD" w:rsidRPr="000F6431">
        <w:rPr>
          <w:rFonts w:ascii="Times New Roman" w:hAnsi="Times New Roman" w:cs="Times New Roman"/>
          <w:sz w:val="24"/>
          <w:szCs w:val="24"/>
        </w:rPr>
        <w:t>)</w:t>
      </w:r>
      <w:r w:rsidR="008C34A5" w:rsidRPr="000F6431">
        <w:rPr>
          <w:rFonts w:ascii="Times New Roman" w:hAnsi="Times New Roman" w:cs="Times New Roman"/>
          <w:sz w:val="24"/>
          <w:szCs w:val="24"/>
        </w:rPr>
        <w:t xml:space="preserve"> of 2 studies</w:t>
      </w:r>
      <w:r w:rsidR="00B92066" w:rsidRPr="000F6431">
        <w:rPr>
          <w:rFonts w:ascii="Times New Roman" w:hAnsi="Times New Roman" w:cs="Times New Roman"/>
          <w:sz w:val="24"/>
          <w:szCs w:val="24"/>
        </w:rPr>
        <w:t xml:space="preserve">, </w:t>
      </w:r>
      <w:r w:rsidR="007F5FA7" w:rsidRPr="000F6431">
        <w:rPr>
          <w:rFonts w:ascii="Times New Roman" w:hAnsi="Times New Roman" w:cs="Times New Roman"/>
          <w:sz w:val="24"/>
          <w:szCs w:val="24"/>
        </w:rPr>
        <w:t>Integrated Impact Appraisal</w:t>
      </w:r>
      <w:r w:rsidR="00F723CD" w:rsidRPr="000F6431">
        <w:rPr>
          <w:rFonts w:ascii="Times New Roman" w:hAnsi="Times New Roman" w:cs="Times New Roman"/>
          <w:sz w:val="24"/>
          <w:szCs w:val="24"/>
        </w:rPr>
        <w:t xml:space="preserve"> (</w:t>
      </w:r>
      <w:r w:rsidR="00B92066" w:rsidRPr="000F6431">
        <w:rPr>
          <w:rFonts w:ascii="Times New Roman" w:hAnsi="Times New Roman" w:cs="Times New Roman"/>
          <w:sz w:val="24"/>
          <w:szCs w:val="24"/>
        </w:rPr>
        <w:t>IIA</w:t>
      </w:r>
      <w:r w:rsidR="00F723CD" w:rsidRPr="000F6431">
        <w:rPr>
          <w:rFonts w:ascii="Times New Roman" w:hAnsi="Times New Roman" w:cs="Times New Roman"/>
          <w:sz w:val="24"/>
          <w:szCs w:val="24"/>
        </w:rPr>
        <w:t>)</w:t>
      </w:r>
      <w:r w:rsidR="008C34A5" w:rsidRPr="000F6431">
        <w:rPr>
          <w:rFonts w:ascii="Times New Roman" w:hAnsi="Times New Roman" w:cs="Times New Roman"/>
          <w:sz w:val="24"/>
          <w:szCs w:val="24"/>
        </w:rPr>
        <w:t xml:space="preserve"> and Equality Impact Assessment (EqIA) of 1 study each</w:t>
      </w:r>
      <w:r w:rsidR="00B92066" w:rsidRPr="000F6431">
        <w:rPr>
          <w:rFonts w:ascii="Times New Roman" w:hAnsi="Times New Roman" w:cs="Times New Roman"/>
          <w:sz w:val="24"/>
          <w:szCs w:val="24"/>
        </w:rPr>
        <w:t xml:space="preserve">.  A </w:t>
      </w:r>
      <w:r w:rsidR="001E2CAE" w:rsidRPr="000F6431">
        <w:rPr>
          <w:rFonts w:ascii="Times New Roman" w:hAnsi="Times New Roman" w:cs="Times New Roman"/>
          <w:sz w:val="24"/>
          <w:szCs w:val="24"/>
        </w:rPr>
        <w:t xml:space="preserve">summary of all included </w:t>
      </w:r>
      <w:r w:rsidR="00B92066" w:rsidRPr="000F6431">
        <w:rPr>
          <w:rFonts w:ascii="Times New Roman" w:hAnsi="Times New Roman" w:cs="Times New Roman"/>
          <w:sz w:val="24"/>
          <w:szCs w:val="24"/>
        </w:rPr>
        <w:t xml:space="preserve">studies </w:t>
      </w:r>
      <w:r w:rsidR="001E2CAE" w:rsidRPr="000F6431">
        <w:rPr>
          <w:rFonts w:ascii="Times New Roman" w:hAnsi="Times New Roman" w:cs="Times New Roman"/>
          <w:sz w:val="24"/>
          <w:szCs w:val="24"/>
        </w:rPr>
        <w:t>is shown in Table 1.</w:t>
      </w:r>
      <w:r w:rsidR="00947DF9" w:rsidRPr="000F6431">
        <w:rPr>
          <w:rFonts w:ascii="Times New Roman" w:hAnsi="Times New Roman" w:cs="Times New Roman"/>
          <w:sz w:val="24"/>
          <w:szCs w:val="24"/>
        </w:rPr>
        <w:t xml:space="preserve"> </w:t>
      </w:r>
    </w:p>
    <w:p w:rsidR="00420E1F" w:rsidRPr="000F6431" w:rsidRDefault="00A51C78" w:rsidP="00B92066">
      <w:pPr>
        <w:spacing w:line="480" w:lineRule="auto"/>
        <w:rPr>
          <w:rFonts w:ascii="Times New Roman" w:hAnsi="Times New Roman" w:cs="Times New Roman"/>
          <w:sz w:val="24"/>
          <w:szCs w:val="24"/>
        </w:rPr>
      </w:pPr>
      <w:r w:rsidRPr="000F6431">
        <w:rPr>
          <w:rFonts w:ascii="Times New Roman" w:hAnsi="Times New Roman" w:cs="Times New Roman"/>
          <w:sz w:val="24"/>
          <w:szCs w:val="24"/>
        </w:rPr>
        <w:t>As we found more papers evaluating HIA than  other forms of assessment/appraisal, this inevitably means that our review is weighted towards the former</w:t>
      </w:r>
      <w:r w:rsidR="00B3417F" w:rsidRPr="000F6431">
        <w:rPr>
          <w:rFonts w:ascii="Times New Roman" w:hAnsi="Times New Roman" w:cs="Times New Roman"/>
          <w:sz w:val="24"/>
          <w:szCs w:val="24"/>
        </w:rPr>
        <w:t>, and should be read in that context. It also points to the need for more evaluation of the other techniques from the health viewpoint.</w:t>
      </w:r>
    </w:p>
    <w:p w:rsidR="009D5A1B" w:rsidRPr="000F6431" w:rsidRDefault="001E2CAE" w:rsidP="006E0B9E">
      <w:pPr>
        <w:pStyle w:val="Normaltext"/>
      </w:pPr>
      <w:r w:rsidRPr="000F6431">
        <w:t>Table 1: Summary of included evaluation studies by case study country and type of appraisal</w:t>
      </w:r>
    </w:p>
    <w:p w:rsidR="009D5A1B" w:rsidRPr="000F6431" w:rsidRDefault="009D5A1B" w:rsidP="006E0B9E">
      <w:pPr>
        <w:pStyle w:val="Normaltext"/>
      </w:pPr>
    </w:p>
    <w:tbl>
      <w:tblPr>
        <w:tblStyle w:val="TableGrid"/>
        <w:tblW w:w="0" w:type="auto"/>
        <w:tblLook w:val="04A0"/>
      </w:tblPr>
      <w:tblGrid>
        <w:gridCol w:w="1503"/>
        <w:gridCol w:w="7217"/>
      </w:tblGrid>
      <w:tr w:rsidR="001E2CAE" w:rsidRPr="000F6431" w:rsidTr="000A5EA3">
        <w:tc>
          <w:tcPr>
            <w:tcW w:w="1526" w:type="dxa"/>
          </w:tcPr>
          <w:p w:rsidR="009D5A1B" w:rsidRPr="000F6431" w:rsidRDefault="001E2CAE" w:rsidP="006E0B9E">
            <w:pPr>
              <w:pStyle w:val="Normaltext"/>
            </w:pPr>
            <w:r w:rsidRPr="000F6431">
              <w:t>Country</w:t>
            </w:r>
          </w:p>
        </w:tc>
        <w:tc>
          <w:tcPr>
            <w:tcW w:w="7716" w:type="dxa"/>
          </w:tcPr>
          <w:p w:rsidR="009D5A1B" w:rsidRPr="000F6431" w:rsidRDefault="001E2CAE" w:rsidP="006E0B9E">
            <w:pPr>
              <w:pStyle w:val="Normaltext"/>
            </w:pPr>
            <w:r w:rsidRPr="000F6431">
              <w:t>Types of appraisal/references</w:t>
            </w:r>
          </w:p>
        </w:tc>
      </w:tr>
      <w:tr w:rsidR="003C7C69" w:rsidRPr="000F6431" w:rsidTr="000A5EA3">
        <w:tc>
          <w:tcPr>
            <w:tcW w:w="1526" w:type="dxa"/>
          </w:tcPr>
          <w:p w:rsidR="003C7C69" w:rsidRPr="000F6431" w:rsidRDefault="003C7C69" w:rsidP="006E0B9E">
            <w:pPr>
              <w:pStyle w:val="Normaltext"/>
            </w:pPr>
            <w:r w:rsidRPr="000F6431">
              <w:t>Key</w:t>
            </w:r>
          </w:p>
        </w:tc>
        <w:tc>
          <w:tcPr>
            <w:tcW w:w="7716" w:type="dxa"/>
          </w:tcPr>
          <w:p w:rsidR="009D5A1B" w:rsidRPr="000F6431" w:rsidRDefault="003C7C69" w:rsidP="006E0B9E">
            <w:pPr>
              <w:pStyle w:val="Normaltext"/>
            </w:pPr>
            <w:r w:rsidRPr="000F6431">
              <w:t>HIA: Health impact assessment</w:t>
            </w:r>
          </w:p>
          <w:p w:rsidR="009D5A1B" w:rsidRPr="000F6431" w:rsidRDefault="003C7C69" w:rsidP="006E0B9E">
            <w:pPr>
              <w:pStyle w:val="Normaltext"/>
            </w:pPr>
            <w:r w:rsidRPr="000F6431">
              <w:t>SA/SEA: Sustainability assessment/strategic impact assessment</w:t>
            </w:r>
          </w:p>
          <w:p w:rsidR="009D5A1B" w:rsidRPr="000F6431" w:rsidRDefault="003C7C69" w:rsidP="006E0B9E">
            <w:pPr>
              <w:pStyle w:val="Normaltext"/>
            </w:pPr>
            <w:r w:rsidRPr="000F6431">
              <w:t>EIA: environment</w:t>
            </w:r>
            <w:r w:rsidR="00B92066" w:rsidRPr="000F6431">
              <w:t>al</w:t>
            </w:r>
            <w:r w:rsidRPr="000F6431">
              <w:t xml:space="preserve"> impact assessment</w:t>
            </w:r>
          </w:p>
          <w:p w:rsidR="009D5A1B" w:rsidRPr="000F6431" w:rsidRDefault="00391DB1" w:rsidP="006E0B9E">
            <w:pPr>
              <w:pStyle w:val="Normaltext"/>
            </w:pPr>
            <w:r w:rsidRPr="000F6431">
              <w:t xml:space="preserve">IIA: </w:t>
            </w:r>
            <w:r w:rsidR="00B92066" w:rsidRPr="000F6431">
              <w:t>integrated impact assessment</w:t>
            </w:r>
          </w:p>
          <w:p w:rsidR="009D5A1B" w:rsidRPr="000F6431" w:rsidRDefault="00391DB1" w:rsidP="006E0B9E">
            <w:pPr>
              <w:pStyle w:val="Normaltext"/>
            </w:pPr>
            <w:r w:rsidRPr="000F6431">
              <w:t>EqIA: equ</w:t>
            </w:r>
            <w:r w:rsidR="00B92066" w:rsidRPr="000F6431">
              <w:t xml:space="preserve">ality </w:t>
            </w:r>
            <w:r w:rsidRPr="000F6431">
              <w:t>impact assessment</w:t>
            </w:r>
          </w:p>
          <w:p w:rsidR="009D5A1B" w:rsidRPr="000F6431" w:rsidRDefault="00391DB1" w:rsidP="006E0B9E">
            <w:pPr>
              <w:pStyle w:val="Normaltext"/>
            </w:pPr>
            <w:r w:rsidRPr="000F6431">
              <w:t>SIA: social impact assessment</w:t>
            </w:r>
          </w:p>
          <w:p w:rsidR="009D5A1B" w:rsidRPr="000F6431" w:rsidRDefault="00391DB1" w:rsidP="006E0B9E">
            <w:pPr>
              <w:pStyle w:val="Normaltext"/>
            </w:pPr>
            <w:r w:rsidRPr="000F6431">
              <w:t>IA: integrated a</w:t>
            </w:r>
            <w:r w:rsidR="00B92066" w:rsidRPr="000F6431">
              <w:t>ppraisal</w:t>
            </w:r>
          </w:p>
        </w:tc>
      </w:tr>
      <w:tr w:rsidR="001E2CAE" w:rsidRPr="000F6431" w:rsidTr="000A5EA3">
        <w:tc>
          <w:tcPr>
            <w:tcW w:w="1526" w:type="dxa"/>
            <w:vMerge w:val="restart"/>
          </w:tcPr>
          <w:p w:rsidR="001E2CAE" w:rsidRPr="000F6431" w:rsidRDefault="001E2CAE" w:rsidP="006E0B9E">
            <w:pPr>
              <w:pStyle w:val="Normaltext"/>
            </w:pPr>
            <w:r w:rsidRPr="000F6431">
              <w:t>UK</w:t>
            </w:r>
          </w:p>
        </w:tc>
        <w:tc>
          <w:tcPr>
            <w:tcW w:w="7716" w:type="dxa"/>
          </w:tcPr>
          <w:p w:rsidR="009D5A1B" w:rsidRPr="000F6431" w:rsidRDefault="001E2CAE" w:rsidP="006E0B9E">
            <w:pPr>
              <w:pStyle w:val="Normaltext"/>
            </w:pPr>
            <w:r w:rsidRPr="000F6431">
              <w:t xml:space="preserve">HIA (Ahmad et al., 2008; Bendel and Owen-Smith, 2005; </w:t>
            </w:r>
            <w:r w:rsidR="00282AA3" w:rsidRPr="000F6431">
              <w:t xml:space="preserve">BMI, 1998; </w:t>
            </w:r>
            <w:r w:rsidRPr="000F6431">
              <w:lastRenderedPageBreak/>
              <w:t xml:space="preserve">Douglas et al., </w:t>
            </w:r>
            <w:r w:rsidRPr="000F6431">
              <w:rPr>
                <w:lang w:val="en-US"/>
              </w:rPr>
              <w:t xml:space="preserve">2007; </w:t>
            </w:r>
            <w:r w:rsidRPr="000F6431">
              <w:t>Elliott and Francis, 2005; France, 2004; GCPH, 2007; Greig et al, 2004; Hay and Kitcher, 2004; Kemm</w:t>
            </w:r>
            <w:r w:rsidR="003C7C69" w:rsidRPr="000F6431">
              <w:t xml:space="preserve"> et al.</w:t>
            </w:r>
            <w:r w:rsidRPr="000F6431">
              <w:t xml:space="preserve">, 2004; Lester and </w:t>
            </w:r>
            <w:r w:rsidR="00A51C78" w:rsidRPr="000F6431">
              <w:t>Temple</w:t>
            </w:r>
            <w:r w:rsidRPr="000F6431">
              <w:t>, 2006; Mindell et al., 2004; PAS, 2008b; NHS London, 2008, 2009; Wismar et al., 2007; YHEC, 2006)</w:t>
            </w:r>
          </w:p>
        </w:tc>
      </w:tr>
      <w:tr w:rsidR="001E2CAE" w:rsidRPr="000F6431" w:rsidTr="000A5EA3">
        <w:tc>
          <w:tcPr>
            <w:tcW w:w="1526" w:type="dxa"/>
            <w:vMerge/>
          </w:tcPr>
          <w:p w:rsidR="009D5A1B" w:rsidRPr="000F6431" w:rsidRDefault="009D5A1B" w:rsidP="006E0B9E">
            <w:pPr>
              <w:pStyle w:val="Normaltext"/>
            </w:pPr>
          </w:p>
        </w:tc>
        <w:tc>
          <w:tcPr>
            <w:tcW w:w="7716" w:type="dxa"/>
          </w:tcPr>
          <w:p w:rsidR="001E2CAE" w:rsidRPr="000F6431" w:rsidRDefault="001E2CAE" w:rsidP="000A5EA3">
            <w:pPr>
              <w:rPr>
                <w:rFonts w:ascii="Times New Roman" w:hAnsi="Times New Roman" w:cs="Times New Roman"/>
                <w:sz w:val="24"/>
                <w:szCs w:val="24"/>
              </w:rPr>
            </w:pPr>
            <w:r w:rsidRPr="000F6431">
              <w:rPr>
                <w:rFonts w:ascii="Times New Roman" w:hAnsi="Times New Roman" w:cs="Times New Roman"/>
                <w:sz w:val="24"/>
                <w:szCs w:val="24"/>
              </w:rPr>
              <w:t>SA/SEA (Burns and Bond, 2008; Fischer et al., 2010)</w:t>
            </w:r>
          </w:p>
        </w:tc>
      </w:tr>
      <w:tr w:rsidR="001E2CAE" w:rsidRPr="000F6431" w:rsidTr="000A5EA3">
        <w:tc>
          <w:tcPr>
            <w:tcW w:w="1526" w:type="dxa"/>
            <w:vMerge/>
          </w:tcPr>
          <w:p w:rsidR="009D5A1B" w:rsidRPr="000F6431" w:rsidRDefault="009D5A1B" w:rsidP="006E0B9E">
            <w:pPr>
              <w:pStyle w:val="Normaltext"/>
            </w:pPr>
          </w:p>
        </w:tc>
        <w:tc>
          <w:tcPr>
            <w:tcW w:w="7716" w:type="dxa"/>
          </w:tcPr>
          <w:p w:rsidR="009D5A1B" w:rsidRPr="000F6431" w:rsidRDefault="001E2CAE" w:rsidP="006E0B9E">
            <w:pPr>
              <w:pStyle w:val="Normaltext"/>
            </w:pPr>
            <w:r w:rsidRPr="000F6431">
              <w:t>EIA (Sutcliffe,1995)</w:t>
            </w:r>
          </w:p>
        </w:tc>
      </w:tr>
      <w:tr w:rsidR="001E2CAE" w:rsidRPr="000F6431" w:rsidTr="000A5EA3">
        <w:tc>
          <w:tcPr>
            <w:tcW w:w="1526" w:type="dxa"/>
            <w:vMerge/>
          </w:tcPr>
          <w:p w:rsidR="009D5A1B" w:rsidRPr="000F6431" w:rsidRDefault="009D5A1B" w:rsidP="006E0B9E">
            <w:pPr>
              <w:pStyle w:val="Normaltext"/>
            </w:pPr>
          </w:p>
        </w:tc>
        <w:tc>
          <w:tcPr>
            <w:tcW w:w="7716" w:type="dxa"/>
          </w:tcPr>
          <w:p w:rsidR="009D5A1B" w:rsidRPr="000F6431" w:rsidRDefault="001E2CAE" w:rsidP="006E0B9E">
            <w:pPr>
              <w:pStyle w:val="Normaltext"/>
            </w:pPr>
            <w:r w:rsidRPr="000F6431">
              <w:t>IIA (Plant et al., 2007)</w:t>
            </w:r>
          </w:p>
        </w:tc>
      </w:tr>
      <w:tr w:rsidR="001E2CAE" w:rsidRPr="000F6431" w:rsidTr="000A5EA3">
        <w:tc>
          <w:tcPr>
            <w:tcW w:w="1526" w:type="dxa"/>
            <w:vMerge/>
          </w:tcPr>
          <w:p w:rsidR="009D5A1B" w:rsidRPr="000F6431" w:rsidRDefault="009D5A1B" w:rsidP="006E0B9E">
            <w:pPr>
              <w:pStyle w:val="Normaltext"/>
            </w:pPr>
          </w:p>
        </w:tc>
        <w:tc>
          <w:tcPr>
            <w:tcW w:w="7716" w:type="dxa"/>
          </w:tcPr>
          <w:p w:rsidR="009D5A1B" w:rsidRPr="000F6431" w:rsidRDefault="001E2CAE" w:rsidP="006E0B9E">
            <w:pPr>
              <w:pStyle w:val="Normaltext"/>
            </w:pPr>
            <w:r w:rsidRPr="000F6431">
              <w:t>EqIA (PAS,2008a)</w:t>
            </w:r>
          </w:p>
        </w:tc>
      </w:tr>
      <w:tr w:rsidR="001E2CAE" w:rsidRPr="000F6431" w:rsidTr="000A5EA3">
        <w:tc>
          <w:tcPr>
            <w:tcW w:w="1526" w:type="dxa"/>
            <w:vMerge/>
          </w:tcPr>
          <w:p w:rsidR="009D5A1B" w:rsidRPr="000F6431" w:rsidRDefault="009D5A1B" w:rsidP="006E0B9E">
            <w:pPr>
              <w:pStyle w:val="Normaltext"/>
            </w:pPr>
          </w:p>
        </w:tc>
        <w:tc>
          <w:tcPr>
            <w:tcW w:w="7716" w:type="dxa"/>
          </w:tcPr>
          <w:p w:rsidR="009D5A1B" w:rsidRPr="000F6431" w:rsidRDefault="001E2CAE" w:rsidP="006E0B9E">
            <w:pPr>
              <w:pStyle w:val="Normaltext"/>
            </w:pPr>
            <w:r w:rsidRPr="000F6431">
              <w:t>SIA (Wismar et al., 2007)</w:t>
            </w:r>
          </w:p>
        </w:tc>
      </w:tr>
      <w:tr w:rsidR="001E2CAE" w:rsidRPr="000F6431" w:rsidTr="000A5EA3">
        <w:tc>
          <w:tcPr>
            <w:tcW w:w="1526" w:type="dxa"/>
            <w:vMerge w:val="restart"/>
          </w:tcPr>
          <w:p w:rsidR="001E2CAE" w:rsidRPr="000F6431" w:rsidRDefault="001E2CAE" w:rsidP="006E0B9E">
            <w:pPr>
              <w:pStyle w:val="Normaltext"/>
            </w:pPr>
            <w:r w:rsidRPr="000F6431">
              <w:t>NL</w:t>
            </w:r>
          </w:p>
        </w:tc>
        <w:tc>
          <w:tcPr>
            <w:tcW w:w="7716" w:type="dxa"/>
          </w:tcPr>
          <w:p w:rsidR="009D5A1B" w:rsidRPr="000F6431" w:rsidRDefault="001E2CAE" w:rsidP="006E0B9E">
            <w:pPr>
              <w:pStyle w:val="Normaltext"/>
              <w:rPr>
                <w:lang w:val="fr-FR"/>
              </w:rPr>
            </w:pPr>
            <w:r w:rsidRPr="000F6431">
              <w:rPr>
                <w:lang w:val="fr-FR"/>
              </w:rPr>
              <w:t>HIA (Bekker et al., 2005; Kemm et al., 2004)</w:t>
            </w:r>
          </w:p>
        </w:tc>
      </w:tr>
      <w:tr w:rsidR="001E2CAE" w:rsidRPr="000F6431" w:rsidTr="000A5EA3">
        <w:tc>
          <w:tcPr>
            <w:tcW w:w="1526" w:type="dxa"/>
            <w:vMerge/>
          </w:tcPr>
          <w:p w:rsidR="009D5A1B" w:rsidRPr="000F6431" w:rsidRDefault="009D5A1B" w:rsidP="006E0B9E">
            <w:pPr>
              <w:pStyle w:val="Normaltext"/>
              <w:rPr>
                <w:lang w:val="fr-FR"/>
              </w:rPr>
            </w:pPr>
          </w:p>
        </w:tc>
        <w:tc>
          <w:tcPr>
            <w:tcW w:w="7716" w:type="dxa"/>
          </w:tcPr>
          <w:p w:rsidR="001E2CAE" w:rsidRPr="000F6431" w:rsidRDefault="001E2CAE" w:rsidP="000A5EA3">
            <w:pPr>
              <w:rPr>
                <w:rFonts w:ascii="Times New Roman" w:hAnsi="Times New Roman" w:cs="Times New Roman"/>
                <w:sz w:val="24"/>
                <w:szCs w:val="24"/>
                <w:lang w:val="fr-FR"/>
              </w:rPr>
            </w:pPr>
            <w:r w:rsidRPr="000F6431">
              <w:rPr>
                <w:rFonts w:ascii="Times New Roman" w:hAnsi="Times New Roman" w:cs="Times New Roman"/>
                <w:sz w:val="24"/>
                <w:szCs w:val="24"/>
                <w:lang w:val="fr-FR"/>
              </w:rPr>
              <w:t>SA/SEA (Fischer et al., 2010)</w:t>
            </w:r>
          </w:p>
        </w:tc>
      </w:tr>
      <w:tr w:rsidR="001E2CAE" w:rsidRPr="000F6431" w:rsidTr="000A5EA3">
        <w:tc>
          <w:tcPr>
            <w:tcW w:w="1526" w:type="dxa"/>
            <w:vMerge w:val="restart"/>
          </w:tcPr>
          <w:p w:rsidR="001E2CAE" w:rsidRPr="000F6431" w:rsidRDefault="001E2CAE" w:rsidP="006E0B9E">
            <w:pPr>
              <w:pStyle w:val="Normaltext"/>
            </w:pPr>
            <w:r w:rsidRPr="000F6431">
              <w:t>Germany</w:t>
            </w:r>
          </w:p>
        </w:tc>
        <w:tc>
          <w:tcPr>
            <w:tcW w:w="7716" w:type="dxa"/>
          </w:tcPr>
          <w:p w:rsidR="001E2CAE" w:rsidRPr="000F6431" w:rsidRDefault="001E2CAE" w:rsidP="000A5EA3">
            <w:pPr>
              <w:rPr>
                <w:rFonts w:ascii="Times New Roman" w:hAnsi="Times New Roman" w:cs="Times New Roman"/>
                <w:sz w:val="24"/>
                <w:szCs w:val="24"/>
              </w:rPr>
            </w:pPr>
            <w:r w:rsidRPr="000F6431">
              <w:rPr>
                <w:rFonts w:ascii="Times New Roman" w:hAnsi="Times New Roman" w:cs="Times New Roman"/>
                <w:sz w:val="24"/>
                <w:szCs w:val="24"/>
              </w:rPr>
              <w:t>SEA (Fischer et al., 2010)</w:t>
            </w:r>
          </w:p>
        </w:tc>
      </w:tr>
      <w:tr w:rsidR="001E2CAE" w:rsidRPr="000F6431" w:rsidTr="000A5EA3">
        <w:tc>
          <w:tcPr>
            <w:tcW w:w="1526" w:type="dxa"/>
            <w:vMerge/>
          </w:tcPr>
          <w:p w:rsidR="009D5A1B" w:rsidRPr="000F6431" w:rsidRDefault="009D5A1B" w:rsidP="006E0B9E">
            <w:pPr>
              <w:pStyle w:val="Normaltext"/>
            </w:pPr>
          </w:p>
        </w:tc>
        <w:tc>
          <w:tcPr>
            <w:tcW w:w="7716" w:type="dxa"/>
          </w:tcPr>
          <w:p w:rsidR="001E2CAE" w:rsidRPr="000F6431" w:rsidRDefault="001E2CAE" w:rsidP="000A5EA3">
            <w:pPr>
              <w:rPr>
                <w:rFonts w:ascii="Times New Roman" w:hAnsi="Times New Roman" w:cs="Times New Roman"/>
                <w:sz w:val="24"/>
                <w:szCs w:val="24"/>
              </w:rPr>
            </w:pPr>
            <w:r w:rsidRPr="000F6431">
              <w:rPr>
                <w:rFonts w:ascii="Times New Roman" w:hAnsi="Times New Roman" w:cs="Times New Roman"/>
                <w:sz w:val="24"/>
                <w:szCs w:val="24"/>
              </w:rPr>
              <w:t>HIA (Wismar et al. , 2007)</w:t>
            </w:r>
          </w:p>
        </w:tc>
      </w:tr>
      <w:tr w:rsidR="001E2CAE" w:rsidRPr="000F6431" w:rsidTr="000A5EA3">
        <w:tc>
          <w:tcPr>
            <w:tcW w:w="1526" w:type="dxa"/>
          </w:tcPr>
          <w:p w:rsidR="001E2CAE" w:rsidRPr="000F6431" w:rsidRDefault="001E2CAE" w:rsidP="006E0B9E">
            <w:pPr>
              <w:pStyle w:val="Normaltext"/>
            </w:pPr>
            <w:r w:rsidRPr="000F6431">
              <w:t>Denmark</w:t>
            </w:r>
          </w:p>
        </w:tc>
        <w:tc>
          <w:tcPr>
            <w:tcW w:w="7716" w:type="dxa"/>
          </w:tcPr>
          <w:p w:rsidR="001E2CAE" w:rsidRPr="000F6431" w:rsidRDefault="001E2CAE" w:rsidP="000A5EA3">
            <w:pPr>
              <w:rPr>
                <w:rFonts w:ascii="Times New Roman" w:hAnsi="Times New Roman" w:cs="Times New Roman"/>
                <w:sz w:val="24"/>
                <w:szCs w:val="24"/>
              </w:rPr>
            </w:pPr>
            <w:r w:rsidRPr="000F6431">
              <w:rPr>
                <w:rFonts w:ascii="Times New Roman" w:hAnsi="Times New Roman" w:cs="Times New Roman"/>
                <w:sz w:val="24"/>
                <w:szCs w:val="24"/>
              </w:rPr>
              <w:t>SEA (Kørnøv, 2009)</w:t>
            </w:r>
          </w:p>
        </w:tc>
      </w:tr>
      <w:tr w:rsidR="001E2CAE" w:rsidRPr="000F6431" w:rsidTr="000A5EA3">
        <w:tc>
          <w:tcPr>
            <w:tcW w:w="1526" w:type="dxa"/>
          </w:tcPr>
          <w:p w:rsidR="001E2CAE" w:rsidRPr="000F6431" w:rsidRDefault="001E2CAE" w:rsidP="006E0B9E">
            <w:pPr>
              <w:pStyle w:val="Normaltext"/>
            </w:pPr>
            <w:r w:rsidRPr="000F6431">
              <w:t>Finland</w:t>
            </w:r>
          </w:p>
        </w:tc>
        <w:tc>
          <w:tcPr>
            <w:tcW w:w="7716" w:type="dxa"/>
          </w:tcPr>
          <w:p w:rsidR="001E2CAE" w:rsidRPr="000F6431" w:rsidRDefault="001E2CAE" w:rsidP="000A5EA3">
            <w:pPr>
              <w:rPr>
                <w:rFonts w:ascii="Times New Roman" w:hAnsi="Times New Roman" w:cs="Times New Roman"/>
                <w:sz w:val="24"/>
                <w:szCs w:val="24"/>
              </w:rPr>
            </w:pPr>
            <w:r w:rsidRPr="000F6431">
              <w:rPr>
                <w:rFonts w:ascii="Times New Roman" w:hAnsi="Times New Roman" w:cs="Times New Roman"/>
                <w:sz w:val="24"/>
                <w:szCs w:val="24"/>
              </w:rPr>
              <w:t>IA (Viinikainen and Kaehoe, 2007)</w:t>
            </w:r>
          </w:p>
        </w:tc>
      </w:tr>
      <w:tr w:rsidR="001E2CAE" w:rsidRPr="000F6431" w:rsidTr="000A5EA3">
        <w:tc>
          <w:tcPr>
            <w:tcW w:w="1526" w:type="dxa"/>
          </w:tcPr>
          <w:p w:rsidR="001E2CAE" w:rsidRPr="000F6431" w:rsidRDefault="001E2CAE" w:rsidP="006E0B9E">
            <w:pPr>
              <w:pStyle w:val="Normaltext"/>
            </w:pPr>
            <w:r w:rsidRPr="000F6431">
              <w:t>Hungary</w:t>
            </w:r>
          </w:p>
        </w:tc>
        <w:tc>
          <w:tcPr>
            <w:tcW w:w="7716" w:type="dxa"/>
          </w:tcPr>
          <w:p w:rsidR="001E2CAE" w:rsidRPr="000F6431" w:rsidRDefault="001E2CAE" w:rsidP="000A5EA3">
            <w:pPr>
              <w:rPr>
                <w:rFonts w:ascii="Times New Roman" w:hAnsi="Times New Roman" w:cs="Times New Roman"/>
                <w:sz w:val="24"/>
                <w:szCs w:val="24"/>
              </w:rPr>
            </w:pPr>
            <w:r w:rsidRPr="000F6431">
              <w:rPr>
                <w:rFonts w:ascii="Times New Roman" w:hAnsi="Times New Roman" w:cs="Times New Roman"/>
                <w:sz w:val="24"/>
                <w:szCs w:val="24"/>
              </w:rPr>
              <w:t>HIA (Kosa et al., 2007)</w:t>
            </w:r>
          </w:p>
        </w:tc>
      </w:tr>
      <w:tr w:rsidR="001E2CAE" w:rsidRPr="000F6431" w:rsidTr="000A5EA3">
        <w:tc>
          <w:tcPr>
            <w:tcW w:w="1526" w:type="dxa"/>
          </w:tcPr>
          <w:p w:rsidR="001E2CAE" w:rsidRPr="000F6431" w:rsidRDefault="001E2CAE" w:rsidP="006E0B9E">
            <w:pPr>
              <w:pStyle w:val="Normaltext"/>
            </w:pPr>
            <w:r w:rsidRPr="000F6431">
              <w:t>Italy</w:t>
            </w:r>
          </w:p>
        </w:tc>
        <w:tc>
          <w:tcPr>
            <w:tcW w:w="7716" w:type="dxa"/>
          </w:tcPr>
          <w:p w:rsidR="001E2CAE" w:rsidRPr="000F6431" w:rsidRDefault="001E2CAE" w:rsidP="000A5EA3">
            <w:pPr>
              <w:rPr>
                <w:rFonts w:ascii="Times New Roman" w:hAnsi="Times New Roman" w:cs="Times New Roman"/>
                <w:sz w:val="24"/>
                <w:szCs w:val="24"/>
              </w:rPr>
            </w:pPr>
            <w:r w:rsidRPr="000F6431">
              <w:rPr>
                <w:rFonts w:ascii="Times New Roman" w:hAnsi="Times New Roman" w:cs="Times New Roman"/>
                <w:sz w:val="24"/>
                <w:szCs w:val="24"/>
              </w:rPr>
              <w:t>HIA (Wismar et al.,  2007)</w:t>
            </w:r>
          </w:p>
        </w:tc>
      </w:tr>
      <w:tr w:rsidR="001E2CAE" w:rsidRPr="000F6431" w:rsidTr="000A5EA3">
        <w:tc>
          <w:tcPr>
            <w:tcW w:w="1526" w:type="dxa"/>
          </w:tcPr>
          <w:p w:rsidR="001E2CAE" w:rsidRPr="000F6431" w:rsidRDefault="001E2CAE" w:rsidP="006E0B9E">
            <w:pPr>
              <w:pStyle w:val="Normaltext"/>
            </w:pPr>
            <w:r w:rsidRPr="000F6431">
              <w:t>Sweden</w:t>
            </w:r>
          </w:p>
        </w:tc>
        <w:tc>
          <w:tcPr>
            <w:tcW w:w="7716" w:type="dxa"/>
          </w:tcPr>
          <w:p w:rsidR="001E2CAE" w:rsidRPr="000F6431" w:rsidRDefault="001E2CAE" w:rsidP="000A5EA3">
            <w:pPr>
              <w:rPr>
                <w:rFonts w:ascii="Times New Roman" w:hAnsi="Times New Roman" w:cs="Times New Roman"/>
                <w:sz w:val="24"/>
                <w:szCs w:val="24"/>
              </w:rPr>
            </w:pPr>
            <w:r w:rsidRPr="000F6431">
              <w:rPr>
                <w:rFonts w:ascii="Times New Roman" w:hAnsi="Times New Roman" w:cs="Times New Roman"/>
                <w:sz w:val="24"/>
                <w:szCs w:val="24"/>
              </w:rPr>
              <w:t>HIA (Wismar et al.,  2007)</w:t>
            </w:r>
          </w:p>
        </w:tc>
      </w:tr>
      <w:tr w:rsidR="001E2CAE" w:rsidRPr="000F6431" w:rsidTr="000A5EA3">
        <w:tc>
          <w:tcPr>
            <w:tcW w:w="1526" w:type="dxa"/>
            <w:vMerge w:val="restart"/>
          </w:tcPr>
          <w:p w:rsidR="001E2CAE" w:rsidRPr="000F6431" w:rsidRDefault="001E2CAE" w:rsidP="006E0B9E">
            <w:pPr>
              <w:pStyle w:val="Normaltext"/>
            </w:pPr>
            <w:r w:rsidRPr="000F6431">
              <w:t>USA</w:t>
            </w:r>
          </w:p>
        </w:tc>
        <w:tc>
          <w:tcPr>
            <w:tcW w:w="7716" w:type="dxa"/>
          </w:tcPr>
          <w:p w:rsidR="009D5A1B" w:rsidRPr="000F6431" w:rsidRDefault="001E2CAE" w:rsidP="006E0B9E">
            <w:pPr>
              <w:pStyle w:val="Normaltext"/>
              <w:rPr>
                <w:lang w:val="fr-FR"/>
              </w:rPr>
            </w:pPr>
            <w:r w:rsidRPr="000F6431">
              <w:rPr>
                <w:lang w:val="fr-FR"/>
              </w:rPr>
              <w:t>HIA (Dannenberg et al., 2008; Farhang et al., 2008)</w:t>
            </w:r>
          </w:p>
        </w:tc>
      </w:tr>
      <w:tr w:rsidR="001E2CAE" w:rsidRPr="000F6431" w:rsidTr="000A5EA3">
        <w:tc>
          <w:tcPr>
            <w:tcW w:w="1526" w:type="dxa"/>
            <w:vMerge/>
          </w:tcPr>
          <w:p w:rsidR="009D5A1B" w:rsidRPr="000F6431" w:rsidRDefault="009D5A1B" w:rsidP="006E0B9E">
            <w:pPr>
              <w:pStyle w:val="Normaltext"/>
              <w:rPr>
                <w:lang w:val="fr-FR"/>
              </w:rPr>
            </w:pPr>
          </w:p>
        </w:tc>
        <w:tc>
          <w:tcPr>
            <w:tcW w:w="7716" w:type="dxa"/>
          </w:tcPr>
          <w:p w:rsidR="009D5A1B" w:rsidRPr="000F6431" w:rsidRDefault="001E2CAE" w:rsidP="006E0B9E">
            <w:pPr>
              <w:pStyle w:val="Normaltext"/>
            </w:pPr>
            <w:r w:rsidRPr="000F6431">
              <w:t>IA (Bhatia and Wernham, 2008; Corburn and Bathia, 2007)</w:t>
            </w:r>
          </w:p>
        </w:tc>
      </w:tr>
      <w:tr w:rsidR="001E2CAE" w:rsidRPr="000F6431" w:rsidTr="000A5EA3">
        <w:tc>
          <w:tcPr>
            <w:tcW w:w="1526" w:type="dxa"/>
            <w:vMerge/>
          </w:tcPr>
          <w:p w:rsidR="009D5A1B" w:rsidRPr="000F6431" w:rsidRDefault="009D5A1B" w:rsidP="006E0B9E">
            <w:pPr>
              <w:pStyle w:val="Normaltext"/>
            </w:pPr>
          </w:p>
        </w:tc>
        <w:tc>
          <w:tcPr>
            <w:tcW w:w="7716" w:type="dxa"/>
          </w:tcPr>
          <w:p w:rsidR="009D5A1B" w:rsidRPr="000F6431" w:rsidRDefault="001E2CAE" w:rsidP="006E0B9E">
            <w:pPr>
              <w:pStyle w:val="Normaltext"/>
            </w:pPr>
            <w:r w:rsidRPr="000F6431">
              <w:t>EIA (Steinemann, 2000)</w:t>
            </w:r>
          </w:p>
        </w:tc>
      </w:tr>
      <w:tr w:rsidR="001E2CAE" w:rsidRPr="000F6431" w:rsidTr="000A5EA3">
        <w:tc>
          <w:tcPr>
            <w:tcW w:w="1526" w:type="dxa"/>
            <w:vMerge w:val="restart"/>
          </w:tcPr>
          <w:p w:rsidR="001E2CAE" w:rsidRPr="000F6431" w:rsidRDefault="001E2CAE" w:rsidP="006E0B9E">
            <w:pPr>
              <w:pStyle w:val="Normaltext"/>
            </w:pPr>
          </w:p>
          <w:p w:rsidR="009D5A1B" w:rsidRPr="000F6431" w:rsidRDefault="001E2CAE" w:rsidP="006E0B9E">
            <w:pPr>
              <w:pStyle w:val="Normaltext"/>
            </w:pPr>
            <w:r w:rsidRPr="000F6431">
              <w:t>Australia</w:t>
            </w:r>
          </w:p>
        </w:tc>
        <w:tc>
          <w:tcPr>
            <w:tcW w:w="7716" w:type="dxa"/>
          </w:tcPr>
          <w:p w:rsidR="009D5A1B" w:rsidRPr="000F6431" w:rsidRDefault="001E2CAE" w:rsidP="006E0B9E">
            <w:pPr>
              <w:pStyle w:val="Normaltext"/>
            </w:pPr>
            <w:r w:rsidRPr="000F6431">
              <w:t>HIA (Blau and Mahoney, 2005; Gow and Dubois, 2007; Neville et al., 2005)</w:t>
            </w:r>
          </w:p>
        </w:tc>
      </w:tr>
      <w:tr w:rsidR="001E2CAE" w:rsidRPr="000F6431" w:rsidTr="000A5EA3">
        <w:tc>
          <w:tcPr>
            <w:tcW w:w="1526" w:type="dxa"/>
            <w:vMerge/>
          </w:tcPr>
          <w:p w:rsidR="009D5A1B" w:rsidRPr="000F6431" w:rsidRDefault="009D5A1B" w:rsidP="006E0B9E">
            <w:pPr>
              <w:pStyle w:val="Normaltext"/>
            </w:pPr>
          </w:p>
        </w:tc>
        <w:tc>
          <w:tcPr>
            <w:tcW w:w="7716" w:type="dxa"/>
          </w:tcPr>
          <w:p w:rsidR="009D5A1B" w:rsidRPr="000F6431" w:rsidRDefault="001E2CAE" w:rsidP="006E0B9E">
            <w:pPr>
              <w:pStyle w:val="Normaltext"/>
            </w:pPr>
            <w:r w:rsidRPr="000F6431">
              <w:t>IA (Kjellstrom et al., 2003)</w:t>
            </w:r>
          </w:p>
        </w:tc>
      </w:tr>
      <w:tr w:rsidR="001E2CAE" w:rsidRPr="000F6431" w:rsidTr="000A5EA3">
        <w:tc>
          <w:tcPr>
            <w:tcW w:w="1526" w:type="dxa"/>
            <w:vMerge/>
          </w:tcPr>
          <w:p w:rsidR="009D5A1B" w:rsidRPr="000F6431" w:rsidRDefault="009D5A1B" w:rsidP="006E0B9E">
            <w:pPr>
              <w:pStyle w:val="Normaltext"/>
            </w:pPr>
          </w:p>
        </w:tc>
        <w:tc>
          <w:tcPr>
            <w:tcW w:w="7716" w:type="dxa"/>
          </w:tcPr>
          <w:p w:rsidR="009D5A1B" w:rsidRPr="000F6431" w:rsidRDefault="001E2CAE" w:rsidP="006E0B9E">
            <w:pPr>
              <w:pStyle w:val="Normaltext"/>
            </w:pPr>
            <w:r w:rsidRPr="000F6431">
              <w:t>EIA (Harris et al., 2009)</w:t>
            </w:r>
          </w:p>
        </w:tc>
      </w:tr>
      <w:tr w:rsidR="001E2CAE" w:rsidRPr="000F6431" w:rsidTr="000A5EA3">
        <w:tc>
          <w:tcPr>
            <w:tcW w:w="1526" w:type="dxa"/>
            <w:vMerge w:val="restart"/>
          </w:tcPr>
          <w:p w:rsidR="001E2CAE" w:rsidRPr="000F6431" w:rsidRDefault="001E2CAE" w:rsidP="006E0B9E">
            <w:pPr>
              <w:pStyle w:val="Normaltext"/>
            </w:pPr>
            <w:r w:rsidRPr="000F6431">
              <w:lastRenderedPageBreak/>
              <w:t>New Zealand</w:t>
            </w:r>
          </w:p>
        </w:tc>
        <w:tc>
          <w:tcPr>
            <w:tcW w:w="7716" w:type="dxa"/>
          </w:tcPr>
          <w:p w:rsidR="009D5A1B" w:rsidRPr="000F6431" w:rsidRDefault="001E2CAE" w:rsidP="006E0B9E">
            <w:pPr>
              <w:pStyle w:val="Normaltext"/>
            </w:pPr>
            <w:r w:rsidRPr="000F6431">
              <w:t xml:space="preserve">HIA (Mathias and Harris-Roxas, 2009; </w:t>
            </w:r>
            <w:r w:rsidRPr="000F6431">
              <w:rPr>
                <w:lang w:val="en-US"/>
              </w:rPr>
              <w:t xml:space="preserve">Stevenson et al., </w:t>
            </w:r>
            <w:r w:rsidRPr="000F6431">
              <w:t>2007)</w:t>
            </w:r>
          </w:p>
        </w:tc>
      </w:tr>
      <w:tr w:rsidR="001E2CAE" w:rsidRPr="000F6431" w:rsidTr="000A5EA3">
        <w:tc>
          <w:tcPr>
            <w:tcW w:w="1526" w:type="dxa"/>
            <w:vMerge/>
          </w:tcPr>
          <w:p w:rsidR="009D5A1B" w:rsidRPr="000F6431" w:rsidRDefault="009D5A1B" w:rsidP="006E0B9E">
            <w:pPr>
              <w:pStyle w:val="Normaltext"/>
            </w:pPr>
          </w:p>
        </w:tc>
        <w:tc>
          <w:tcPr>
            <w:tcW w:w="7716" w:type="dxa"/>
          </w:tcPr>
          <w:p w:rsidR="009D5A1B" w:rsidRPr="000F6431" w:rsidRDefault="001E2CAE" w:rsidP="006E0B9E">
            <w:pPr>
              <w:pStyle w:val="Normaltext"/>
            </w:pPr>
            <w:r w:rsidRPr="000F6431">
              <w:t>SIA (Taylor et al., 2003)</w:t>
            </w:r>
          </w:p>
        </w:tc>
      </w:tr>
      <w:tr w:rsidR="001E2CAE" w:rsidRPr="000F6431" w:rsidTr="000A5EA3">
        <w:tc>
          <w:tcPr>
            <w:tcW w:w="1526" w:type="dxa"/>
          </w:tcPr>
          <w:p w:rsidR="001E2CAE" w:rsidRPr="000F6431" w:rsidRDefault="001E2CAE" w:rsidP="006E0B9E">
            <w:pPr>
              <w:pStyle w:val="Normaltext"/>
            </w:pPr>
            <w:r w:rsidRPr="000F6431">
              <w:t>Mali, Senegal, Mauritania</w:t>
            </w:r>
          </w:p>
        </w:tc>
        <w:tc>
          <w:tcPr>
            <w:tcW w:w="7716" w:type="dxa"/>
          </w:tcPr>
          <w:p w:rsidR="009D5A1B" w:rsidRPr="000F6431" w:rsidRDefault="001E2CAE" w:rsidP="006E0B9E">
            <w:pPr>
              <w:pStyle w:val="Normaltext"/>
            </w:pPr>
            <w:r w:rsidRPr="000F6431">
              <w:t>EIA (Bond et al., 2001)</w:t>
            </w:r>
          </w:p>
        </w:tc>
      </w:tr>
      <w:tr w:rsidR="001E2CAE" w:rsidRPr="000F6431" w:rsidTr="000A5EA3">
        <w:tc>
          <w:tcPr>
            <w:tcW w:w="1526" w:type="dxa"/>
          </w:tcPr>
          <w:p w:rsidR="001E2CAE" w:rsidRPr="000F6431" w:rsidRDefault="001E2CAE" w:rsidP="006E0B9E">
            <w:pPr>
              <w:pStyle w:val="Normaltext"/>
            </w:pPr>
            <w:r w:rsidRPr="000F6431">
              <w:t>Chad and Cameroon</w:t>
            </w:r>
          </w:p>
        </w:tc>
        <w:tc>
          <w:tcPr>
            <w:tcW w:w="7716" w:type="dxa"/>
          </w:tcPr>
          <w:p w:rsidR="009D5A1B" w:rsidRPr="000F6431" w:rsidRDefault="001E2CAE" w:rsidP="006E0B9E">
            <w:pPr>
              <w:pStyle w:val="Normaltext"/>
              <w:rPr>
                <w:lang w:val="fr-FR"/>
              </w:rPr>
            </w:pPr>
            <w:r w:rsidRPr="000F6431">
              <w:rPr>
                <w:lang w:val="fr-FR"/>
              </w:rPr>
              <w:t>IA (Jobin, 2003; Utzinger et al., 2005</w:t>
            </w:r>
            <w:r w:rsidRPr="000F6431">
              <w:rPr>
                <w:i/>
                <w:lang w:val="fr-FR"/>
              </w:rPr>
              <w:t>)</w:t>
            </w:r>
          </w:p>
        </w:tc>
      </w:tr>
      <w:tr w:rsidR="001E2CAE" w:rsidRPr="000F6431" w:rsidTr="000A5EA3">
        <w:tc>
          <w:tcPr>
            <w:tcW w:w="1526" w:type="dxa"/>
          </w:tcPr>
          <w:p w:rsidR="001E2CAE" w:rsidRPr="000F6431" w:rsidRDefault="001E2CAE" w:rsidP="006E0B9E">
            <w:pPr>
              <w:pStyle w:val="Normaltext"/>
            </w:pPr>
            <w:r w:rsidRPr="000F6431">
              <w:t>Tanzania</w:t>
            </w:r>
          </w:p>
        </w:tc>
        <w:tc>
          <w:tcPr>
            <w:tcW w:w="7716" w:type="dxa"/>
          </w:tcPr>
          <w:p w:rsidR="009D5A1B" w:rsidRPr="000F6431" w:rsidRDefault="001E2CAE" w:rsidP="006E0B9E">
            <w:pPr>
              <w:pStyle w:val="Normaltext"/>
            </w:pPr>
            <w:r w:rsidRPr="000F6431">
              <w:t>EIA (Mwalyosi and Hughes, 1998)</w:t>
            </w:r>
          </w:p>
        </w:tc>
      </w:tr>
      <w:tr w:rsidR="001E2CAE" w:rsidRPr="000F6431" w:rsidTr="000A5EA3">
        <w:tc>
          <w:tcPr>
            <w:tcW w:w="1526" w:type="dxa"/>
            <w:vMerge w:val="restart"/>
          </w:tcPr>
          <w:p w:rsidR="001E2CAE" w:rsidRPr="000F6431" w:rsidRDefault="001E2CAE" w:rsidP="006E0B9E">
            <w:pPr>
              <w:pStyle w:val="Normaltext"/>
            </w:pPr>
            <w:r w:rsidRPr="000F6431">
              <w:t>Canada</w:t>
            </w:r>
          </w:p>
        </w:tc>
        <w:tc>
          <w:tcPr>
            <w:tcW w:w="7716" w:type="dxa"/>
          </w:tcPr>
          <w:p w:rsidR="009D5A1B" w:rsidRPr="000F6431" w:rsidRDefault="001E2CAE" w:rsidP="006E0B9E">
            <w:pPr>
              <w:pStyle w:val="Normaltext"/>
            </w:pPr>
            <w:r w:rsidRPr="000F6431">
              <w:t>EIA (Bronson and Noble, 2006; Noble and Bronson, 2005, 2006)</w:t>
            </w:r>
          </w:p>
        </w:tc>
      </w:tr>
      <w:tr w:rsidR="001E2CAE" w:rsidRPr="000F6431" w:rsidTr="000A5EA3">
        <w:tc>
          <w:tcPr>
            <w:tcW w:w="1526" w:type="dxa"/>
            <w:vMerge/>
          </w:tcPr>
          <w:p w:rsidR="009D5A1B" w:rsidRPr="000F6431" w:rsidRDefault="009D5A1B" w:rsidP="006E0B9E">
            <w:pPr>
              <w:pStyle w:val="Normaltext"/>
            </w:pPr>
          </w:p>
        </w:tc>
        <w:tc>
          <w:tcPr>
            <w:tcW w:w="7716" w:type="dxa"/>
          </w:tcPr>
          <w:p w:rsidR="009D5A1B" w:rsidRPr="000F6431" w:rsidRDefault="001E2CAE" w:rsidP="006E0B9E">
            <w:pPr>
              <w:pStyle w:val="Normaltext"/>
            </w:pPr>
            <w:r w:rsidRPr="000F6431">
              <w:t>IA (Kwiatkowski and Ooi, 2003)</w:t>
            </w:r>
          </w:p>
        </w:tc>
      </w:tr>
      <w:tr w:rsidR="001E2CAE" w:rsidRPr="000F6431" w:rsidTr="000A5EA3">
        <w:tc>
          <w:tcPr>
            <w:tcW w:w="1526" w:type="dxa"/>
          </w:tcPr>
          <w:p w:rsidR="001E2CAE" w:rsidRPr="000F6431" w:rsidRDefault="001E2CAE" w:rsidP="006E0B9E">
            <w:pPr>
              <w:pStyle w:val="Normaltext"/>
            </w:pPr>
            <w:r w:rsidRPr="000F6431">
              <w:t>SE Asia</w:t>
            </w:r>
          </w:p>
        </w:tc>
        <w:tc>
          <w:tcPr>
            <w:tcW w:w="7716" w:type="dxa"/>
          </w:tcPr>
          <w:p w:rsidR="00516866" w:rsidRPr="000F6431" w:rsidRDefault="001E2CAE" w:rsidP="006E0B9E">
            <w:pPr>
              <w:pStyle w:val="Normaltext"/>
            </w:pPr>
            <w:r w:rsidRPr="000F6431">
              <w:t>HIA (Caussy et al., 2003)</w:t>
            </w:r>
          </w:p>
        </w:tc>
      </w:tr>
      <w:tr w:rsidR="001E2CAE" w:rsidRPr="000F6431" w:rsidTr="000A5EA3">
        <w:tc>
          <w:tcPr>
            <w:tcW w:w="1526" w:type="dxa"/>
          </w:tcPr>
          <w:p w:rsidR="001E2CAE" w:rsidRPr="000F6431" w:rsidRDefault="001E2CAE" w:rsidP="006E0B9E">
            <w:pPr>
              <w:pStyle w:val="Normaltext"/>
            </w:pPr>
            <w:r w:rsidRPr="000F6431">
              <w:t>Hong Kong</w:t>
            </w:r>
          </w:p>
        </w:tc>
        <w:tc>
          <w:tcPr>
            <w:tcW w:w="7716" w:type="dxa"/>
          </w:tcPr>
          <w:p w:rsidR="009D5A1B" w:rsidRPr="000F6431" w:rsidRDefault="001E2CAE" w:rsidP="006E0B9E">
            <w:pPr>
              <w:pStyle w:val="Normaltext"/>
            </w:pPr>
            <w:r w:rsidRPr="000F6431">
              <w:t>SEA (Ng, 2005)</w:t>
            </w:r>
          </w:p>
        </w:tc>
      </w:tr>
      <w:tr w:rsidR="001E2CAE" w:rsidRPr="000F6431" w:rsidTr="000A5EA3">
        <w:tc>
          <w:tcPr>
            <w:tcW w:w="1526" w:type="dxa"/>
          </w:tcPr>
          <w:p w:rsidR="001E2CAE" w:rsidRPr="000F6431" w:rsidRDefault="001E2CAE" w:rsidP="006E0B9E">
            <w:pPr>
              <w:pStyle w:val="Normaltext"/>
            </w:pPr>
            <w:r w:rsidRPr="000F6431">
              <w:t>Countries not disclosed</w:t>
            </w:r>
          </w:p>
        </w:tc>
        <w:tc>
          <w:tcPr>
            <w:tcW w:w="7716" w:type="dxa"/>
          </w:tcPr>
          <w:p w:rsidR="009D5A1B" w:rsidRPr="000F6431" w:rsidRDefault="001E2CAE" w:rsidP="006E0B9E">
            <w:pPr>
              <w:pStyle w:val="Normaltext"/>
            </w:pPr>
            <w:r w:rsidRPr="000F6431">
              <w:t>HIA (Davenport et al., 2006; Taylor and Quigley, 2002; Wright et al., 2005: covers Europe)</w:t>
            </w:r>
          </w:p>
          <w:p w:rsidR="009D5A1B" w:rsidRPr="000F6431" w:rsidRDefault="001E2CAE" w:rsidP="006E0B9E">
            <w:pPr>
              <w:pStyle w:val="Normaltext"/>
            </w:pPr>
            <w:r w:rsidRPr="000F6431">
              <w:t>SEA (Wright et al., 2005: covers Europe)</w:t>
            </w:r>
          </w:p>
        </w:tc>
      </w:tr>
    </w:tbl>
    <w:p w:rsidR="001E2CAE" w:rsidRPr="000F6431" w:rsidRDefault="001E2CAE" w:rsidP="001E2CAE">
      <w:pPr>
        <w:spacing w:line="480" w:lineRule="auto"/>
        <w:rPr>
          <w:rFonts w:ascii="Times New Roman" w:hAnsi="Times New Roman" w:cs="Times New Roman"/>
          <w:b/>
          <w:sz w:val="24"/>
          <w:szCs w:val="24"/>
        </w:rPr>
      </w:pPr>
    </w:p>
    <w:p w:rsidR="009D5A1B" w:rsidRPr="000F6431" w:rsidRDefault="00EE738E" w:rsidP="006E0B9E">
      <w:pPr>
        <w:pStyle w:val="Normaltext"/>
      </w:pPr>
      <w:r w:rsidRPr="000F6431">
        <w:t xml:space="preserve">A summary of </w:t>
      </w:r>
      <w:r w:rsidR="00A91738" w:rsidRPr="000F6431">
        <w:t xml:space="preserve">broad </w:t>
      </w:r>
      <w:r w:rsidR="001208BB" w:rsidRPr="000F6431">
        <w:t xml:space="preserve"> </w:t>
      </w:r>
      <w:r w:rsidRPr="000F6431">
        <w:t xml:space="preserve"> barriers and facilit</w:t>
      </w:r>
      <w:r w:rsidR="00297BEB" w:rsidRPr="000F6431">
        <w:t>at</w:t>
      </w:r>
      <w:r w:rsidRPr="000F6431">
        <w:t>ors identified ac</w:t>
      </w:r>
      <w:r w:rsidR="00297BEB" w:rsidRPr="000F6431">
        <w:t>ross the studies, and the frequency with which they were reported is shown in Table 2.</w:t>
      </w:r>
      <w:r w:rsidR="00A91738" w:rsidRPr="000F6431">
        <w:t xml:space="preserve"> The following text then examines these</w:t>
      </w:r>
      <w:r w:rsidR="001208BB" w:rsidRPr="000F6431">
        <w:t xml:space="preserve"> barriers and facilitators</w:t>
      </w:r>
      <w:r w:rsidR="00A91738" w:rsidRPr="000F6431">
        <w:t xml:space="preserve"> in more detail, in particular listing specific and often </w:t>
      </w:r>
      <w:r w:rsidR="001208BB" w:rsidRPr="000F6431">
        <w:t>proce</w:t>
      </w:r>
      <w:r w:rsidR="00A91738" w:rsidRPr="000F6431">
        <w:t xml:space="preserve">dural issues identified by the literature evaluating the appraisals. </w:t>
      </w:r>
      <w:r w:rsidR="00297BEB" w:rsidRPr="000F6431">
        <w:t xml:space="preserve"> In general terms, the issues reported were consistent across different countries, different types of appraisal methodology, and different planning systems. A notable difference emerged from </w:t>
      </w:r>
      <w:r w:rsidR="003F774C" w:rsidRPr="000F6431">
        <w:t xml:space="preserve">countries where </w:t>
      </w:r>
      <w:r w:rsidR="00297BEB" w:rsidRPr="000F6431">
        <w:t xml:space="preserve">more formal mechanisms exist to ensure the integration of the views of particular </w:t>
      </w:r>
      <w:r w:rsidR="003F774C" w:rsidRPr="000F6431">
        <w:t xml:space="preserve">ethnic and </w:t>
      </w:r>
      <w:r w:rsidR="00297BEB" w:rsidRPr="000F6431">
        <w:t xml:space="preserve">minority groups </w:t>
      </w:r>
      <w:r w:rsidR="00B92066" w:rsidRPr="000F6431">
        <w:t xml:space="preserve">and </w:t>
      </w:r>
      <w:r w:rsidR="003F774C" w:rsidRPr="000F6431">
        <w:t xml:space="preserve">social groups (NZ, Canada and </w:t>
      </w:r>
      <w:r w:rsidR="003F774C" w:rsidRPr="000F6431">
        <w:lastRenderedPageBreak/>
        <w:t>USA)</w:t>
      </w:r>
      <w:r w:rsidR="00297BEB" w:rsidRPr="000F6431">
        <w:t xml:space="preserve">. Studies from these areas have </w:t>
      </w:r>
      <w:r w:rsidR="00AE4196" w:rsidRPr="000F6431">
        <w:t xml:space="preserve">focussed on the integration of knowledge and expertise from these different groups in the policy process to </w:t>
      </w:r>
      <w:r w:rsidR="00024A6C" w:rsidRPr="000F6431">
        <w:t xml:space="preserve">incorporate concerns relating to </w:t>
      </w:r>
      <w:r w:rsidR="00AE4196" w:rsidRPr="000F6431">
        <w:t xml:space="preserve">health equity </w:t>
      </w:r>
      <w:r w:rsidR="003F774C" w:rsidRPr="000F6431">
        <w:t>(Bronson</w:t>
      </w:r>
      <w:r w:rsidR="001225B1" w:rsidRPr="000F6431">
        <w:t xml:space="preserve"> and Noble</w:t>
      </w:r>
      <w:r w:rsidR="003F774C" w:rsidRPr="000F6431">
        <w:t xml:space="preserve">, 2006; </w:t>
      </w:r>
      <w:r w:rsidR="002D5551" w:rsidRPr="000F6431">
        <w:t xml:space="preserve">Corburn and Bhatia, 2007; </w:t>
      </w:r>
      <w:r w:rsidR="003F774C" w:rsidRPr="000F6431">
        <w:t>Mathias</w:t>
      </w:r>
      <w:r w:rsidR="001225B1" w:rsidRPr="000F6431">
        <w:t xml:space="preserve"> and Harris-Roxas</w:t>
      </w:r>
      <w:r w:rsidR="003F774C" w:rsidRPr="000F6431">
        <w:t xml:space="preserve">, 2009). </w:t>
      </w:r>
    </w:p>
    <w:p w:rsidR="009D5A1B" w:rsidRPr="000F6431" w:rsidRDefault="009D5A1B" w:rsidP="006E0B9E">
      <w:pPr>
        <w:pStyle w:val="Normaltext"/>
      </w:pPr>
    </w:p>
    <w:p w:rsidR="00B805DB" w:rsidRPr="000F6431" w:rsidRDefault="000829E7" w:rsidP="000829E7">
      <w:pPr>
        <w:spacing w:line="480" w:lineRule="auto"/>
        <w:rPr>
          <w:rFonts w:ascii="Times New Roman" w:hAnsi="Times New Roman" w:cs="Times New Roman"/>
          <w:sz w:val="24"/>
          <w:szCs w:val="24"/>
        </w:rPr>
      </w:pPr>
      <w:r w:rsidRPr="000F6431">
        <w:rPr>
          <w:rFonts w:ascii="Times New Roman" w:hAnsi="Times New Roman" w:cs="Times New Roman"/>
          <w:sz w:val="24"/>
          <w:szCs w:val="24"/>
        </w:rPr>
        <w:br w:type="column"/>
      </w:r>
      <w:r w:rsidRPr="000F6431">
        <w:rPr>
          <w:rFonts w:ascii="Times New Roman" w:hAnsi="Times New Roman" w:cs="Times New Roman"/>
          <w:sz w:val="24"/>
          <w:szCs w:val="24"/>
        </w:rPr>
        <w:lastRenderedPageBreak/>
        <w:t>Table 2: Summary of key findings</w:t>
      </w:r>
    </w:p>
    <w:p w:rsidR="00B805DB" w:rsidRPr="000F6431" w:rsidRDefault="008E3BE5" w:rsidP="000829E7">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 S</w:t>
      </w:r>
      <w:r w:rsidR="00B805DB" w:rsidRPr="000F6431">
        <w:rPr>
          <w:rFonts w:ascii="Times New Roman" w:hAnsi="Times New Roman" w:cs="Times New Roman"/>
          <w:sz w:val="24"/>
          <w:szCs w:val="24"/>
        </w:rPr>
        <w:t>tudies</w:t>
      </w:r>
      <w:r w:rsidRPr="000F6431">
        <w:rPr>
          <w:rFonts w:ascii="Times New Roman" w:hAnsi="Times New Roman" w:cs="Times New Roman"/>
          <w:sz w:val="24"/>
          <w:szCs w:val="24"/>
        </w:rPr>
        <w:t xml:space="preserve"> which have also reported</w:t>
      </w:r>
      <w:r w:rsidR="00B805DB" w:rsidRPr="000F6431">
        <w:rPr>
          <w:rFonts w:ascii="Times New Roman" w:hAnsi="Times New Roman" w:cs="Times New Roman"/>
          <w:sz w:val="24"/>
          <w:szCs w:val="24"/>
        </w:rPr>
        <w:t xml:space="preserve"> </w:t>
      </w:r>
      <w:r w:rsidR="001B00C8" w:rsidRPr="000F6431">
        <w:rPr>
          <w:rFonts w:ascii="Times New Roman" w:hAnsi="Times New Roman" w:cs="Times New Roman"/>
          <w:sz w:val="24"/>
          <w:szCs w:val="24"/>
        </w:rPr>
        <w:t xml:space="preserve">specific </w:t>
      </w:r>
      <w:r w:rsidRPr="000F6431">
        <w:rPr>
          <w:rFonts w:ascii="Times New Roman" w:hAnsi="Times New Roman" w:cs="Times New Roman"/>
          <w:sz w:val="24"/>
          <w:szCs w:val="24"/>
        </w:rPr>
        <w:t>barriers and facilitators are</w:t>
      </w:r>
      <w:r w:rsidR="00B805DB" w:rsidRPr="000F6431">
        <w:rPr>
          <w:rFonts w:ascii="Times New Roman" w:hAnsi="Times New Roman" w:cs="Times New Roman"/>
          <w:sz w:val="24"/>
          <w:szCs w:val="24"/>
        </w:rPr>
        <w:t xml:space="preserve"> indicated in parenthesis in the table</w:t>
      </w:r>
      <w:r w:rsidR="00343B30" w:rsidRPr="000F6431">
        <w:rPr>
          <w:rFonts w:ascii="Times New Roman" w:hAnsi="Times New Roman" w:cs="Times New Roman"/>
          <w:sz w:val="24"/>
          <w:szCs w:val="24"/>
        </w:rPr>
        <w:t xml:space="preserve">. </w:t>
      </w:r>
    </w:p>
    <w:tbl>
      <w:tblPr>
        <w:tblStyle w:val="TableGrid"/>
        <w:tblW w:w="0" w:type="auto"/>
        <w:tblLook w:val="04A0"/>
      </w:tblPr>
      <w:tblGrid>
        <w:gridCol w:w="1668"/>
        <w:gridCol w:w="7052"/>
      </w:tblGrid>
      <w:tr w:rsidR="000829E7" w:rsidRPr="000F6431" w:rsidTr="000829E7">
        <w:tc>
          <w:tcPr>
            <w:tcW w:w="1668" w:type="dxa"/>
          </w:tcPr>
          <w:p w:rsidR="000829E7" w:rsidRPr="000F6431" w:rsidRDefault="000829E7" w:rsidP="000829E7">
            <w:pPr>
              <w:rPr>
                <w:rFonts w:ascii="Times New Roman" w:hAnsi="Times New Roman" w:cs="Times New Roman"/>
                <w:b/>
                <w:sz w:val="24"/>
                <w:szCs w:val="24"/>
              </w:rPr>
            </w:pPr>
            <w:r w:rsidRPr="000F6431">
              <w:rPr>
                <w:rFonts w:ascii="Times New Roman" w:hAnsi="Times New Roman" w:cs="Times New Roman"/>
                <w:b/>
                <w:sz w:val="24"/>
                <w:szCs w:val="24"/>
              </w:rPr>
              <w:t>Knowledge</w:t>
            </w:r>
          </w:p>
        </w:tc>
        <w:tc>
          <w:tcPr>
            <w:tcW w:w="7052" w:type="dxa"/>
          </w:tcPr>
          <w:p w:rsidR="003E4C9B" w:rsidRPr="000F6431" w:rsidRDefault="0027474E" w:rsidP="00343B30">
            <w:pPr>
              <w:spacing w:line="480" w:lineRule="auto"/>
              <w:rPr>
                <w:rFonts w:ascii="Times New Roman" w:hAnsi="Times New Roman" w:cs="Times New Roman"/>
                <w:sz w:val="24"/>
                <w:szCs w:val="24"/>
              </w:rPr>
            </w:pPr>
            <w:r w:rsidRPr="000F6431">
              <w:rPr>
                <w:rFonts w:ascii="Times New Roman" w:hAnsi="Times New Roman" w:cs="Times New Roman"/>
                <w:sz w:val="24"/>
                <w:szCs w:val="24"/>
              </w:rPr>
              <w:t>2</w:t>
            </w:r>
            <w:r w:rsidR="003B3031" w:rsidRPr="000F6431">
              <w:rPr>
                <w:rFonts w:ascii="Times New Roman" w:hAnsi="Times New Roman" w:cs="Times New Roman"/>
                <w:sz w:val="24"/>
                <w:szCs w:val="24"/>
              </w:rPr>
              <w:t>7</w:t>
            </w:r>
            <w:r w:rsidRPr="000F6431">
              <w:rPr>
                <w:rFonts w:ascii="Times New Roman" w:hAnsi="Times New Roman" w:cs="Times New Roman"/>
                <w:sz w:val="24"/>
                <w:szCs w:val="24"/>
              </w:rPr>
              <w:t xml:space="preserve"> studies</w:t>
            </w:r>
            <w:r w:rsidR="001B00C8" w:rsidRPr="000F6431">
              <w:rPr>
                <w:rFonts w:ascii="Times New Roman" w:hAnsi="Times New Roman" w:cs="Times New Roman"/>
                <w:sz w:val="24"/>
                <w:szCs w:val="24"/>
              </w:rPr>
              <w:t xml:space="preserve"> </w:t>
            </w:r>
          </w:p>
        </w:tc>
      </w:tr>
      <w:tr w:rsidR="000829E7" w:rsidRPr="000F6431" w:rsidTr="000829E7">
        <w:tc>
          <w:tcPr>
            <w:tcW w:w="1668" w:type="dxa"/>
          </w:tcPr>
          <w:p w:rsidR="000829E7" w:rsidRPr="000F6431" w:rsidRDefault="000829E7" w:rsidP="000829E7">
            <w:pPr>
              <w:spacing w:line="480" w:lineRule="auto"/>
              <w:rPr>
                <w:rFonts w:ascii="Times New Roman" w:hAnsi="Times New Roman" w:cs="Times New Roman"/>
                <w:sz w:val="24"/>
                <w:szCs w:val="24"/>
              </w:rPr>
            </w:pPr>
            <w:r w:rsidRPr="000F6431">
              <w:rPr>
                <w:rFonts w:ascii="Times New Roman" w:hAnsi="Times New Roman" w:cs="Times New Roman"/>
                <w:sz w:val="24"/>
                <w:szCs w:val="24"/>
              </w:rPr>
              <w:t>Barriers</w:t>
            </w:r>
          </w:p>
        </w:tc>
        <w:tc>
          <w:tcPr>
            <w:tcW w:w="7052" w:type="dxa"/>
          </w:tcPr>
          <w:p w:rsidR="00B805DB" w:rsidRPr="000F6431" w:rsidRDefault="00B805DB" w:rsidP="001208BB">
            <w:pPr>
              <w:pStyle w:val="ListParagraph"/>
              <w:numPr>
                <w:ilvl w:val="0"/>
                <w:numId w:val="33"/>
              </w:numPr>
              <w:spacing w:line="480" w:lineRule="auto"/>
              <w:rPr>
                <w:rFonts w:ascii="Times New Roman" w:hAnsi="Times New Roman"/>
                <w:szCs w:val="24"/>
              </w:rPr>
            </w:pPr>
            <w:r w:rsidRPr="000F6431">
              <w:rPr>
                <w:rFonts w:ascii="Times New Roman" w:hAnsi="Times New Roman"/>
                <w:szCs w:val="24"/>
              </w:rPr>
              <w:t>Narrow definition of health used in appraisals by planners (7)</w:t>
            </w:r>
          </w:p>
          <w:p w:rsidR="000829E7" w:rsidRPr="000F6431" w:rsidRDefault="00B805DB" w:rsidP="001B00C8">
            <w:pPr>
              <w:pStyle w:val="ListParagraph"/>
              <w:numPr>
                <w:ilvl w:val="0"/>
                <w:numId w:val="33"/>
              </w:numPr>
              <w:spacing w:line="480" w:lineRule="auto"/>
              <w:rPr>
                <w:rFonts w:ascii="Times New Roman" w:hAnsi="Times New Roman"/>
                <w:szCs w:val="24"/>
              </w:rPr>
            </w:pPr>
            <w:r w:rsidRPr="000F6431">
              <w:rPr>
                <w:rFonts w:ascii="Times New Roman" w:hAnsi="Times New Roman"/>
                <w:szCs w:val="24"/>
              </w:rPr>
              <w:t>Focus of appraisals on physical and environmental health (2)</w:t>
            </w:r>
          </w:p>
          <w:p w:rsidR="00B805DB" w:rsidRPr="000F6431" w:rsidRDefault="00B805DB" w:rsidP="001208BB">
            <w:pPr>
              <w:pStyle w:val="ListParagraph"/>
              <w:numPr>
                <w:ilvl w:val="0"/>
                <w:numId w:val="33"/>
              </w:numPr>
              <w:spacing w:line="480" w:lineRule="auto"/>
              <w:rPr>
                <w:rFonts w:ascii="Times New Roman" w:hAnsi="Times New Roman"/>
                <w:szCs w:val="24"/>
              </w:rPr>
            </w:pPr>
            <w:r w:rsidRPr="000F6431">
              <w:rPr>
                <w:rFonts w:ascii="Times New Roman" w:hAnsi="Times New Roman"/>
                <w:szCs w:val="24"/>
              </w:rPr>
              <w:t>Lack of understanding of planning system by public health sector (1)</w:t>
            </w:r>
          </w:p>
        </w:tc>
      </w:tr>
      <w:tr w:rsidR="000829E7" w:rsidRPr="000F6431" w:rsidTr="000829E7">
        <w:tc>
          <w:tcPr>
            <w:tcW w:w="1668" w:type="dxa"/>
          </w:tcPr>
          <w:p w:rsidR="000829E7" w:rsidRPr="000F6431" w:rsidRDefault="000829E7" w:rsidP="000829E7">
            <w:pPr>
              <w:spacing w:line="480" w:lineRule="auto"/>
              <w:rPr>
                <w:rFonts w:ascii="Times New Roman" w:hAnsi="Times New Roman" w:cs="Times New Roman"/>
                <w:sz w:val="24"/>
                <w:szCs w:val="24"/>
              </w:rPr>
            </w:pPr>
            <w:r w:rsidRPr="000F6431">
              <w:rPr>
                <w:rFonts w:ascii="Times New Roman" w:hAnsi="Times New Roman" w:cs="Times New Roman"/>
                <w:sz w:val="24"/>
                <w:szCs w:val="24"/>
              </w:rPr>
              <w:t>Facilitators</w:t>
            </w:r>
          </w:p>
        </w:tc>
        <w:tc>
          <w:tcPr>
            <w:tcW w:w="7052" w:type="dxa"/>
          </w:tcPr>
          <w:p w:rsidR="000829E7" w:rsidRPr="000F6431" w:rsidRDefault="000829E7" w:rsidP="002A163E">
            <w:pPr>
              <w:pStyle w:val="ListParagraph"/>
              <w:numPr>
                <w:ilvl w:val="0"/>
                <w:numId w:val="34"/>
              </w:numPr>
              <w:spacing w:line="480" w:lineRule="auto"/>
              <w:rPr>
                <w:rFonts w:ascii="Times New Roman" w:hAnsi="Times New Roman"/>
                <w:szCs w:val="24"/>
              </w:rPr>
            </w:pPr>
            <w:r w:rsidRPr="000F6431">
              <w:rPr>
                <w:rFonts w:ascii="Times New Roman" w:hAnsi="Times New Roman"/>
                <w:szCs w:val="24"/>
              </w:rPr>
              <w:t>Use of the broad WHO definition of health</w:t>
            </w:r>
            <w:r w:rsidR="00B805DB" w:rsidRPr="000F6431">
              <w:rPr>
                <w:rFonts w:ascii="Times New Roman" w:hAnsi="Times New Roman"/>
                <w:szCs w:val="24"/>
              </w:rPr>
              <w:t xml:space="preserve"> (4)</w:t>
            </w:r>
          </w:p>
          <w:p w:rsidR="000829E7" w:rsidRPr="000F6431" w:rsidRDefault="000829E7" w:rsidP="002A163E">
            <w:pPr>
              <w:pStyle w:val="ListParagraph"/>
              <w:numPr>
                <w:ilvl w:val="0"/>
                <w:numId w:val="34"/>
              </w:numPr>
              <w:spacing w:line="480" w:lineRule="auto"/>
              <w:rPr>
                <w:rFonts w:ascii="Times New Roman" w:hAnsi="Times New Roman"/>
                <w:szCs w:val="24"/>
              </w:rPr>
            </w:pPr>
            <w:r w:rsidRPr="000F6431">
              <w:rPr>
                <w:rFonts w:ascii="Times New Roman" w:hAnsi="Times New Roman"/>
                <w:szCs w:val="24"/>
              </w:rPr>
              <w:t xml:space="preserve">Health professionals </w:t>
            </w:r>
            <w:r w:rsidR="00383C99" w:rsidRPr="000F6431">
              <w:rPr>
                <w:rFonts w:ascii="Times New Roman" w:hAnsi="Times New Roman"/>
                <w:szCs w:val="24"/>
              </w:rPr>
              <w:t>developing a stronger</w:t>
            </w:r>
            <w:r w:rsidRPr="000F6431">
              <w:rPr>
                <w:rFonts w:ascii="Times New Roman" w:hAnsi="Times New Roman"/>
                <w:szCs w:val="24"/>
              </w:rPr>
              <w:t xml:space="preserve"> evidence base on broader determinants of health</w:t>
            </w:r>
            <w:r w:rsidR="00B805DB" w:rsidRPr="000F6431">
              <w:rPr>
                <w:rFonts w:ascii="Times New Roman" w:hAnsi="Times New Roman"/>
                <w:szCs w:val="24"/>
              </w:rPr>
              <w:t xml:space="preserve"> to inform developments (3)</w:t>
            </w:r>
          </w:p>
          <w:p w:rsidR="000829E7" w:rsidRPr="000F6431" w:rsidRDefault="000829E7" w:rsidP="002A163E">
            <w:pPr>
              <w:pStyle w:val="ListParagraph"/>
              <w:numPr>
                <w:ilvl w:val="0"/>
                <w:numId w:val="34"/>
              </w:numPr>
              <w:spacing w:line="480" w:lineRule="auto"/>
              <w:rPr>
                <w:rFonts w:ascii="Times New Roman" w:hAnsi="Times New Roman"/>
                <w:szCs w:val="24"/>
              </w:rPr>
            </w:pPr>
            <w:r w:rsidRPr="000F6431">
              <w:rPr>
                <w:rFonts w:ascii="Times New Roman" w:hAnsi="Times New Roman"/>
                <w:szCs w:val="24"/>
              </w:rPr>
              <w:t>Closer working between health, environment and planning professionals</w:t>
            </w:r>
            <w:r w:rsidR="003D5BF6" w:rsidRPr="000F6431">
              <w:rPr>
                <w:rFonts w:ascii="Times New Roman" w:hAnsi="Times New Roman"/>
                <w:szCs w:val="24"/>
              </w:rPr>
              <w:t xml:space="preserve"> (</w:t>
            </w:r>
            <w:r w:rsidR="003B3031" w:rsidRPr="000F6431">
              <w:rPr>
                <w:rFonts w:ascii="Times New Roman" w:hAnsi="Times New Roman"/>
                <w:szCs w:val="24"/>
              </w:rPr>
              <w:t>3</w:t>
            </w:r>
            <w:r w:rsidR="00B805DB" w:rsidRPr="000F6431">
              <w:rPr>
                <w:rFonts w:ascii="Times New Roman" w:hAnsi="Times New Roman"/>
                <w:szCs w:val="24"/>
              </w:rPr>
              <w:t>)</w:t>
            </w:r>
          </w:p>
          <w:p w:rsidR="001B00C8" w:rsidRPr="000F6431" w:rsidRDefault="00A51C78" w:rsidP="00031C3C">
            <w:pPr>
              <w:pStyle w:val="ListParagraph"/>
              <w:numPr>
                <w:ilvl w:val="0"/>
                <w:numId w:val="34"/>
              </w:numPr>
              <w:spacing w:line="480" w:lineRule="auto"/>
            </w:pPr>
            <w:r w:rsidRPr="000F6431">
              <w:rPr>
                <w:rFonts w:ascii="Times New Roman" w:hAnsi="Times New Roman"/>
                <w:szCs w:val="24"/>
              </w:rPr>
              <w:t>Development and use of HIA process (3)</w:t>
            </w:r>
          </w:p>
        </w:tc>
      </w:tr>
      <w:tr w:rsidR="000829E7" w:rsidRPr="000F6431" w:rsidTr="000829E7">
        <w:tc>
          <w:tcPr>
            <w:tcW w:w="1668" w:type="dxa"/>
          </w:tcPr>
          <w:p w:rsidR="000829E7" w:rsidRPr="000F6431" w:rsidRDefault="000829E7" w:rsidP="000829E7">
            <w:pPr>
              <w:rPr>
                <w:rFonts w:ascii="Times New Roman" w:hAnsi="Times New Roman" w:cs="Times New Roman"/>
                <w:b/>
                <w:sz w:val="24"/>
                <w:szCs w:val="24"/>
              </w:rPr>
            </w:pPr>
            <w:r w:rsidRPr="000F6431">
              <w:rPr>
                <w:rFonts w:ascii="Times New Roman" w:hAnsi="Times New Roman" w:cs="Times New Roman"/>
                <w:b/>
                <w:sz w:val="24"/>
                <w:szCs w:val="24"/>
              </w:rPr>
              <w:t>Partnerships</w:t>
            </w:r>
          </w:p>
        </w:tc>
        <w:tc>
          <w:tcPr>
            <w:tcW w:w="7052" w:type="dxa"/>
          </w:tcPr>
          <w:p w:rsidR="000829E7" w:rsidRPr="000F6431" w:rsidRDefault="0027474E" w:rsidP="00343B30">
            <w:pPr>
              <w:spacing w:line="480" w:lineRule="auto"/>
              <w:rPr>
                <w:rFonts w:ascii="Times New Roman" w:hAnsi="Times New Roman" w:cs="Times New Roman"/>
                <w:sz w:val="24"/>
                <w:szCs w:val="24"/>
              </w:rPr>
            </w:pPr>
            <w:r w:rsidRPr="000F6431">
              <w:rPr>
                <w:rFonts w:ascii="Times New Roman" w:hAnsi="Times New Roman" w:cs="Times New Roman"/>
                <w:sz w:val="24"/>
                <w:szCs w:val="24"/>
              </w:rPr>
              <w:t>37 studies</w:t>
            </w:r>
            <w:r w:rsidR="00031C3C" w:rsidRPr="000F6431">
              <w:rPr>
                <w:rFonts w:ascii="Times New Roman" w:hAnsi="Times New Roman" w:cs="Times New Roman"/>
                <w:sz w:val="24"/>
                <w:szCs w:val="24"/>
              </w:rPr>
              <w:t xml:space="preserve"> </w:t>
            </w:r>
          </w:p>
        </w:tc>
      </w:tr>
      <w:tr w:rsidR="000829E7" w:rsidRPr="000F6431" w:rsidTr="000829E7">
        <w:tc>
          <w:tcPr>
            <w:tcW w:w="1668" w:type="dxa"/>
          </w:tcPr>
          <w:p w:rsidR="000829E7" w:rsidRPr="000F6431" w:rsidRDefault="000829E7" w:rsidP="000829E7">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Barriers </w:t>
            </w:r>
          </w:p>
        </w:tc>
        <w:tc>
          <w:tcPr>
            <w:tcW w:w="7052" w:type="dxa"/>
          </w:tcPr>
          <w:p w:rsidR="003578B6" w:rsidRPr="000F6431" w:rsidRDefault="000829E7" w:rsidP="002A163E">
            <w:pPr>
              <w:pStyle w:val="ListParagraph"/>
              <w:numPr>
                <w:ilvl w:val="0"/>
                <w:numId w:val="35"/>
              </w:numPr>
              <w:spacing w:line="480" w:lineRule="auto"/>
              <w:rPr>
                <w:rFonts w:ascii="Times New Roman" w:hAnsi="Times New Roman"/>
                <w:szCs w:val="24"/>
              </w:rPr>
            </w:pPr>
            <w:r w:rsidRPr="000F6431">
              <w:rPr>
                <w:rFonts w:ascii="Times New Roman" w:hAnsi="Times New Roman"/>
                <w:szCs w:val="24"/>
              </w:rPr>
              <w:t>Cultural</w:t>
            </w:r>
            <w:r w:rsidR="003578B6" w:rsidRPr="000F6431">
              <w:rPr>
                <w:rFonts w:ascii="Times New Roman" w:hAnsi="Times New Roman"/>
                <w:szCs w:val="24"/>
              </w:rPr>
              <w:t xml:space="preserve"> and language differences between sectors (5)</w:t>
            </w:r>
          </w:p>
          <w:p w:rsidR="000829E7" w:rsidRPr="000F6431" w:rsidRDefault="003578B6" w:rsidP="002A163E">
            <w:pPr>
              <w:pStyle w:val="ListParagraph"/>
              <w:numPr>
                <w:ilvl w:val="0"/>
                <w:numId w:val="35"/>
              </w:numPr>
              <w:spacing w:line="480" w:lineRule="auto"/>
              <w:rPr>
                <w:rFonts w:ascii="Times New Roman" w:hAnsi="Times New Roman"/>
                <w:szCs w:val="24"/>
              </w:rPr>
            </w:pPr>
            <w:r w:rsidRPr="000F6431">
              <w:rPr>
                <w:rFonts w:ascii="Times New Roman" w:hAnsi="Times New Roman"/>
                <w:szCs w:val="24"/>
              </w:rPr>
              <w:t>Structural and s</w:t>
            </w:r>
            <w:r w:rsidR="000829E7" w:rsidRPr="000F6431">
              <w:rPr>
                <w:rFonts w:ascii="Times New Roman" w:hAnsi="Times New Roman"/>
                <w:szCs w:val="24"/>
              </w:rPr>
              <w:t xml:space="preserve">trategic and differences </w:t>
            </w:r>
            <w:r w:rsidRPr="000F6431">
              <w:rPr>
                <w:rFonts w:ascii="Times New Roman" w:hAnsi="Times New Roman"/>
                <w:szCs w:val="24"/>
              </w:rPr>
              <w:t>between</w:t>
            </w:r>
            <w:r w:rsidR="000829E7" w:rsidRPr="000F6431">
              <w:rPr>
                <w:rFonts w:ascii="Times New Roman" w:hAnsi="Times New Roman"/>
                <w:szCs w:val="24"/>
              </w:rPr>
              <w:t xml:space="preserve"> partners </w:t>
            </w:r>
            <w:r w:rsidRPr="000F6431">
              <w:rPr>
                <w:rFonts w:ascii="Times New Roman" w:hAnsi="Times New Roman"/>
                <w:szCs w:val="24"/>
              </w:rPr>
              <w:t>(1)</w:t>
            </w:r>
          </w:p>
          <w:p w:rsidR="000829E7" w:rsidRPr="000F6431" w:rsidRDefault="000829E7" w:rsidP="002A163E">
            <w:pPr>
              <w:pStyle w:val="ListParagraph"/>
              <w:numPr>
                <w:ilvl w:val="0"/>
                <w:numId w:val="35"/>
              </w:numPr>
              <w:spacing w:line="480" w:lineRule="auto"/>
              <w:rPr>
                <w:rFonts w:ascii="Times New Roman" w:hAnsi="Times New Roman"/>
                <w:szCs w:val="24"/>
              </w:rPr>
            </w:pPr>
            <w:r w:rsidRPr="000F6431">
              <w:rPr>
                <w:rFonts w:ascii="Times New Roman" w:hAnsi="Times New Roman"/>
                <w:szCs w:val="24"/>
              </w:rPr>
              <w:t xml:space="preserve">Limited </w:t>
            </w:r>
            <w:r w:rsidR="003578B6" w:rsidRPr="000F6431">
              <w:rPr>
                <w:rFonts w:ascii="Times New Roman" w:hAnsi="Times New Roman"/>
                <w:szCs w:val="24"/>
              </w:rPr>
              <w:t xml:space="preserve">dedicated </w:t>
            </w:r>
            <w:r w:rsidRPr="000F6431">
              <w:rPr>
                <w:rFonts w:ascii="Times New Roman" w:hAnsi="Times New Roman"/>
                <w:szCs w:val="24"/>
              </w:rPr>
              <w:t>resources available to develop partnership</w:t>
            </w:r>
            <w:r w:rsidR="003578B6" w:rsidRPr="000F6431">
              <w:rPr>
                <w:rFonts w:ascii="Times New Roman" w:hAnsi="Times New Roman"/>
                <w:szCs w:val="24"/>
              </w:rPr>
              <w:t xml:space="preserve"> (4)</w:t>
            </w:r>
          </w:p>
          <w:p w:rsidR="003578B6" w:rsidRPr="000F6431" w:rsidRDefault="003578B6" w:rsidP="002A163E">
            <w:pPr>
              <w:pStyle w:val="ListParagraph"/>
              <w:numPr>
                <w:ilvl w:val="0"/>
                <w:numId w:val="35"/>
              </w:numPr>
              <w:spacing w:line="480" w:lineRule="auto"/>
              <w:rPr>
                <w:rFonts w:ascii="Times New Roman" w:hAnsi="Times New Roman"/>
                <w:szCs w:val="24"/>
              </w:rPr>
            </w:pPr>
            <w:r w:rsidRPr="000F6431">
              <w:rPr>
                <w:rFonts w:ascii="Times New Roman" w:hAnsi="Times New Roman"/>
                <w:szCs w:val="24"/>
              </w:rPr>
              <w:t>Short deadlines for conducting appraisals (1)</w:t>
            </w:r>
          </w:p>
          <w:p w:rsidR="003E4C9B" w:rsidRPr="000F6431" w:rsidRDefault="003578B6">
            <w:pPr>
              <w:pStyle w:val="ListParagraph"/>
              <w:numPr>
                <w:ilvl w:val="0"/>
                <w:numId w:val="35"/>
              </w:numPr>
              <w:spacing w:line="480" w:lineRule="auto"/>
              <w:rPr>
                <w:rFonts w:ascii="Times New Roman" w:hAnsi="Times New Roman"/>
                <w:szCs w:val="24"/>
              </w:rPr>
            </w:pPr>
            <w:r w:rsidRPr="000F6431">
              <w:rPr>
                <w:rFonts w:ascii="Times New Roman" w:hAnsi="Times New Roman"/>
                <w:szCs w:val="24"/>
              </w:rPr>
              <w:t>Lack of trust (2</w:t>
            </w:r>
            <w:r w:rsidR="001B00C8" w:rsidRPr="000F6431">
              <w:rPr>
                <w:rFonts w:ascii="Times New Roman" w:hAnsi="Times New Roman"/>
                <w:szCs w:val="24"/>
              </w:rPr>
              <w:t>)</w:t>
            </w:r>
          </w:p>
        </w:tc>
      </w:tr>
      <w:tr w:rsidR="000829E7" w:rsidRPr="000F6431" w:rsidTr="000829E7">
        <w:tc>
          <w:tcPr>
            <w:tcW w:w="1668" w:type="dxa"/>
          </w:tcPr>
          <w:p w:rsidR="000829E7" w:rsidRPr="000F6431" w:rsidRDefault="000829E7" w:rsidP="000829E7">
            <w:pPr>
              <w:spacing w:line="480" w:lineRule="auto"/>
              <w:rPr>
                <w:rFonts w:ascii="Times New Roman" w:hAnsi="Times New Roman" w:cs="Times New Roman"/>
                <w:sz w:val="24"/>
                <w:szCs w:val="24"/>
              </w:rPr>
            </w:pPr>
            <w:r w:rsidRPr="000F6431">
              <w:rPr>
                <w:rFonts w:ascii="Times New Roman" w:hAnsi="Times New Roman" w:cs="Times New Roman"/>
                <w:sz w:val="24"/>
                <w:szCs w:val="24"/>
              </w:rPr>
              <w:t>Facilitators</w:t>
            </w:r>
          </w:p>
        </w:tc>
        <w:tc>
          <w:tcPr>
            <w:tcW w:w="7052" w:type="dxa"/>
          </w:tcPr>
          <w:p w:rsidR="003578B6" w:rsidRPr="000F6431" w:rsidRDefault="003D5BF6" w:rsidP="001B00C8">
            <w:pPr>
              <w:pStyle w:val="ListParagraph"/>
              <w:numPr>
                <w:ilvl w:val="0"/>
                <w:numId w:val="36"/>
              </w:numPr>
              <w:spacing w:line="480" w:lineRule="auto"/>
              <w:rPr>
                <w:rFonts w:ascii="Times New Roman" w:hAnsi="Times New Roman"/>
                <w:szCs w:val="24"/>
              </w:rPr>
            </w:pPr>
            <w:r w:rsidRPr="000F6431">
              <w:rPr>
                <w:rFonts w:ascii="Times New Roman" w:hAnsi="Times New Roman"/>
                <w:szCs w:val="24"/>
              </w:rPr>
              <w:t>Development of close partnership working and shared vision between public health and planning sectors (1</w:t>
            </w:r>
            <w:r w:rsidR="003B3031" w:rsidRPr="000F6431">
              <w:rPr>
                <w:rFonts w:ascii="Times New Roman" w:hAnsi="Times New Roman"/>
                <w:szCs w:val="24"/>
              </w:rPr>
              <w:t>3</w:t>
            </w:r>
            <w:r w:rsidR="00A91738" w:rsidRPr="000F6431">
              <w:rPr>
                <w:rFonts w:ascii="Times New Roman" w:hAnsi="Times New Roman"/>
                <w:szCs w:val="24"/>
              </w:rPr>
              <w:t>)</w:t>
            </w:r>
          </w:p>
          <w:p w:rsidR="000829E7" w:rsidRPr="000F6431" w:rsidRDefault="00B10E3F" w:rsidP="001B00C8">
            <w:pPr>
              <w:pStyle w:val="ListParagraph"/>
              <w:numPr>
                <w:ilvl w:val="0"/>
                <w:numId w:val="36"/>
              </w:numPr>
              <w:spacing w:line="480" w:lineRule="auto"/>
            </w:pPr>
            <w:r w:rsidRPr="000F6431">
              <w:rPr>
                <w:rFonts w:ascii="Times New Roman" w:hAnsi="Times New Roman"/>
                <w:szCs w:val="24"/>
              </w:rPr>
              <w:t>Development of HIA to foster partnership (3)</w:t>
            </w:r>
          </w:p>
        </w:tc>
      </w:tr>
      <w:tr w:rsidR="000829E7" w:rsidRPr="000F6431" w:rsidTr="000829E7">
        <w:tc>
          <w:tcPr>
            <w:tcW w:w="1668" w:type="dxa"/>
          </w:tcPr>
          <w:p w:rsidR="000829E7" w:rsidRPr="000F6431" w:rsidRDefault="000829E7" w:rsidP="000829E7">
            <w:pPr>
              <w:rPr>
                <w:rFonts w:ascii="Times New Roman" w:hAnsi="Times New Roman" w:cs="Times New Roman"/>
                <w:b/>
                <w:sz w:val="24"/>
                <w:szCs w:val="24"/>
              </w:rPr>
            </w:pPr>
            <w:r w:rsidRPr="000F6431">
              <w:rPr>
                <w:rFonts w:ascii="Times New Roman" w:hAnsi="Times New Roman" w:cs="Times New Roman"/>
                <w:b/>
                <w:sz w:val="24"/>
                <w:szCs w:val="24"/>
              </w:rPr>
              <w:lastRenderedPageBreak/>
              <w:t>Management and resources</w:t>
            </w:r>
          </w:p>
        </w:tc>
        <w:tc>
          <w:tcPr>
            <w:tcW w:w="7052" w:type="dxa"/>
          </w:tcPr>
          <w:p w:rsidR="000829E7" w:rsidRPr="000F6431" w:rsidRDefault="0027474E" w:rsidP="00343B30">
            <w:pPr>
              <w:spacing w:line="480" w:lineRule="auto"/>
              <w:rPr>
                <w:rFonts w:ascii="Times New Roman" w:hAnsi="Times New Roman" w:cs="Times New Roman"/>
                <w:sz w:val="24"/>
                <w:szCs w:val="24"/>
              </w:rPr>
            </w:pPr>
            <w:r w:rsidRPr="000F6431">
              <w:rPr>
                <w:rFonts w:ascii="Times New Roman" w:hAnsi="Times New Roman" w:cs="Times New Roman"/>
                <w:sz w:val="24"/>
                <w:szCs w:val="24"/>
              </w:rPr>
              <w:t>31 studies</w:t>
            </w:r>
            <w:r w:rsidR="00031C3C" w:rsidRPr="000F6431">
              <w:rPr>
                <w:rFonts w:ascii="Times New Roman" w:hAnsi="Times New Roman" w:cs="Times New Roman"/>
                <w:sz w:val="24"/>
                <w:szCs w:val="24"/>
              </w:rPr>
              <w:t xml:space="preserve"> </w:t>
            </w:r>
          </w:p>
        </w:tc>
      </w:tr>
      <w:tr w:rsidR="000829E7" w:rsidRPr="000F6431" w:rsidTr="000829E7">
        <w:tc>
          <w:tcPr>
            <w:tcW w:w="1668" w:type="dxa"/>
          </w:tcPr>
          <w:p w:rsidR="000829E7" w:rsidRPr="000F6431" w:rsidRDefault="000829E7" w:rsidP="000829E7">
            <w:pPr>
              <w:spacing w:line="480" w:lineRule="auto"/>
              <w:rPr>
                <w:rFonts w:ascii="Times New Roman" w:hAnsi="Times New Roman" w:cs="Times New Roman"/>
                <w:sz w:val="24"/>
                <w:szCs w:val="24"/>
              </w:rPr>
            </w:pPr>
            <w:r w:rsidRPr="000F6431">
              <w:rPr>
                <w:rFonts w:ascii="Times New Roman" w:hAnsi="Times New Roman" w:cs="Times New Roman"/>
                <w:sz w:val="24"/>
                <w:szCs w:val="24"/>
              </w:rPr>
              <w:t>Barriers</w:t>
            </w:r>
          </w:p>
        </w:tc>
        <w:tc>
          <w:tcPr>
            <w:tcW w:w="7052" w:type="dxa"/>
          </w:tcPr>
          <w:p w:rsidR="000829E7" w:rsidRPr="000F6431" w:rsidRDefault="000829E7" w:rsidP="002A163E">
            <w:pPr>
              <w:pStyle w:val="ListParagraph"/>
              <w:numPr>
                <w:ilvl w:val="0"/>
                <w:numId w:val="38"/>
              </w:numPr>
              <w:spacing w:line="480" w:lineRule="auto"/>
              <w:rPr>
                <w:rFonts w:ascii="Times New Roman" w:hAnsi="Times New Roman"/>
                <w:szCs w:val="24"/>
              </w:rPr>
            </w:pPr>
            <w:r w:rsidRPr="000F6431">
              <w:rPr>
                <w:rFonts w:ascii="Times New Roman" w:hAnsi="Times New Roman"/>
                <w:szCs w:val="24"/>
              </w:rPr>
              <w:t>Lack of institutional support and delivery structure for appraisals</w:t>
            </w:r>
            <w:r w:rsidR="00DB0482" w:rsidRPr="000F6431">
              <w:rPr>
                <w:rFonts w:ascii="Times New Roman" w:hAnsi="Times New Roman"/>
                <w:szCs w:val="24"/>
              </w:rPr>
              <w:t xml:space="preserve"> (9)</w:t>
            </w:r>
          </w:p>
          <w:p w:rsidR="00DB0482" w:rsidRPr="000F6431" w:rsidRDefault="00DB0482" w:rsidP="00DB0482">
            <w:pPr>
              <w:pStyle w:val="ListParagraph"/>
              <w:numPr>
                <w:ilvl w:val="0"/>
                <w:numId w:val="38"/>
              </w:numPr>
              <w:spacing w:line="480" w:lineRule="auto"/>
              <w:rPr>
                <w:rFonts w:ascii="Times New Roman" w:hAnsi="Times New Roman"/>
                <w:szCs w:val="24"/>
              </w:rPr>
            </w:pPr>
            <w:r w:rsidRPr="000F6431">
              <w:rPr>
                <w:rFonts w:ascii="Times New Roman" w:hAnsi="Times New Roman"/>
                <w:szCs w:val="24"/>
              </w:rPr>
              <w:t>Different sectoral priorities and lack of institutional resources (4)</w:t>
            </w:r>
          </w:p>
          <w:p w:rsidR="000829E7" w:rsidRPr="000F6431" w:rsidRDefault="00DB0482" w:rsidP="001B00C8">
            <w:pPr>
              <w:pStyle w:val="ListParagraph"/>
              <w:numPr>
                <w:ilvl w:val="0"/>
                <w:numId w:val="38"/>
              </w:numPr>
              <w:spacing w:line="480" w:lineRule="auto"/>
            </w:pPr>
            <w:r w:rsidRPr="000F6431">
              <w:rPr>
                <w:rFonts w:ascii="Times New Roman" w:hAnsi="Times New Roman"/>
                <w:szCs w:val="24"/>
              </w:rPr>
              <w:t>Lack of funding and gaps in skills (7)</w:t>
            </w:r>
          </w:p>
        </w:tc>
      </w:tr>
      <w:tr w:rsidR="000829E7" w:rsidRPr="000F6431" w:rsidTr="000829E7">
        <w:tc>
          <w:tcPr>
            <w:tcW w:w="1668" w:type="dxa"/>
          </w:tcPr>
          <w:p w:rsidR="000829E7" w:rsidRPr="000F6431" w:rsidRDefault="000829E7" w:rsidP="000829E7">
            <w:pPr>
              <w:spacing w:line="480" w:lineRule="auto"/>
              <w:rPr>
                <w:rFonts w:ascii="Times New Roman" w:hAnsi="Times New Roman" w:cs="Times New Roman"/>
                <w:sz w:val="24"/>
                <w:szCs w:val="24"/>
              </w:rPr>
            </w:pPr>
            <w:r w:rsidRPr="000F6431">
              <w:rPr>
                <w:rFonts w:ascii="Times New Roman" w:hAnsi="Times New Roman" w:cs="Times New Roman"/>
                <w:sz w:val="24"/>
                <w:szCs w:val="24"/>
              </w:rPr>
              <w:t>Facilitators</w:t>
            </w:r>
          </w:p>
        </w:tc>
        <w:tc>
          <w:tcPr>
            <w:tcW w:w="7052" w:type="dxa"/>
          </w:tcPr>
          <w:p w:rsidR="000829E7" w:rsidRPr="000F6431" w:rsidRDefault="00DB0482" w:rsidP="002A163E">
            <w:pPr>
              <w:pStyle w:val="ListParagraph"/>
              <w:numPr>
                <w:ilvl w:val="0"/>
                <w:numId w:val="39"/>
              </w:numPr>
              <w:spacing w:line="480" w:lineRule="auto"/>
              <w:rPr>
                <w:rFonts w:ascii="Times New Roman" w:hAnsi="Times New Roman"/>
                <w:szCs w:val="24"/>
              </w:rPr>
            </w:pPr>
            <w:r w:rsidRPr="000F6431">
              <w:rPr>
                <w:rFonts w:ascii="Times New Roman" w:hAnsi="Times New Roman"/>
                <w:szCs w:val="24"/>
              </w:rPr>
              <w:t>High level</w:t>
            </w:r>
            <w:r w:rsidR="000829E7" w:rsidRPr="000F6431">
              <w:rPr>
                <w:rFonts w:ascii="Times New Roman" w:hAnsi="Times New Roman"/>
                <w:szCs w:val="24"/>
              </w:rPr>
              <w:t>commitment and leadership to guide capacity building</w:t>
            </w:r>
            <w:r w:rsidRPr="000F6431">
              <w:rPr>
                <w:rFonts w:ascii="Times New Roman" w:hAnsi="Times New Roman"/>
                <w:szCs w:val="24"/>
              </w:rPr>
              <w:t xml:space="preserve"> (7)</w:t>
            </w:r>
          </w:p>
          <w:p w:rsidR="000829E7" w:rsidRPr="000F6431" w:rsidRDefault="00DB0482" w:rsidP="002A163E">
            <w:pPr>
              <w:pStyle w:val="ListParagraph"/>
              <w:numPr>
                <w:ilvl w:val="0"/>
                <w:numId w:val="39"/>
              </w:numPr>
              <w:spacing w:line="480" w:lineRule="auto"/>
              <w:rPr>
                <w:rFonts w:ascii="Times New Roman" w:hAnsi="Times New Roman"/>
                <w:szCs w:val="24"/>
              </w:rPr>
            </w:pPr>
            <w:r w:rsidRPr="000F6431">
              <w:rPr>
                <w:rFonts w:ascii="Times New Roman" w:hAnsi="Times New Roman"/>
                <w:szCs w:val="24"/>
              </w:rPr>
              <w:t xml:space="preserve">Strategic </w:t>
            </w:r>
            <w:r w:rsidR="000829E7" w:rsidRPr="000F6431">
              <w:rPr>
                <w:rFonts w:ascii="Times New Roman" w:hAnsi="Times New Roman"/>
                <w:szCs w:val="24"/>
              </w:rPr>
              <w:t xml:space="preserve"> guidance </w:t>
            </w:r>
            <w:r w:rsidRPr="000F6431">
              <w:rPr>
                <w:rFonts w:ascii="Times New Roman" w:hAnsi="Times New Roman"/>
                <w:szCs w:val="24"/>
              </w:rPr>
              <w:t>from government (2)</w:t>
            </w:r>
          </w:p>
          <w:p w:rsidR="000829E7" w:rsidRPr="000F6431" w:rsidRDefault="00DB0482" w:rsidP="001B00C8">
            <w:pPr>
              <w:pStyle w:val="ListParagraph"/>
              <w:numPr>
                <w:ilvl w:val="0"/>
                <w:numId w:val="39"/>
              </w:numPr>
              <w:spacing w:line="480" w:lineRule="auto"/>
            </w:pPr>
            <w:r w:rsidRPr="000F6431">
              <w:rPr>
                <w:rFonts w:ascii="Times New Roman" w:hAnsi="Times New Roman"/>
                <w:szCs w:val="24"/>
              </w:rPr>
              <w:t>Knowledge sharing and partnership working  (11)</w:t>
            </w:r>
          </w:p>
        </w:tc>
      </w:tr>
      <w:tr w:rsidR="000829E7" w:rsidRPr="000F6431" w:rsidTr="000829E7">
        <w:tc>
          <w:tcPr>
            <w:tcW w:w="1668" w:type="dxa"/>
          </w:tcPr>
          <w:p w:rsidR="000829E7" w:rsidRPr="000F6431" w:rsidRDefault="000829E7" w:rsidP="000829E7">
            <w:pPr>
              <w:rPr>
                <w:rFonts w:ascii="Times New Roman" w:hAnsi="Times New Roman" w:cs="Times New Roman"/>
                <w:b/>
                <w:sz w:val="24"/>
                <w:szCs w:val="24"/>
              </w:rPr>
            </w:pPr>
            <w:r w:rsidRPr="000F6431">
              <w:rPr>
                <w:rFonts w:ascii="Times New Roman" w:hAnsi="Times New Roman" w:cs="Times New Roman"/>
                <w:b/>
                <w:sz w:val="24"/>
                <w:szCs w:val="24"/>
              </w:rPr>
              <w:t>Appraisal processes</w:t>
            </w:r>
          </w:p>
        </w:tc>
        <w:tc>
          <w:tcPr>
            <w:tcW w:w="7052" w:type="dxa"/>
          </w:tcPr>
          <w:p w:rsidR="000829E7" w:rsidRPr="000F6431" w:rsidRDefault="0027474E" w:rsidP="00343B30">
            <w:pPr>
              <w:spacing w:line="480" w:lineRule="auto"/>
              <w:rPr>
                <w:rFonts w:ascii="Times New Roman" w:hAnsi="Times New Roman" w:cs="Times New Roman"/>
                <w:sz w:val="24"/>
                <w:szCs w:val="24"/>
              </w:rPr>
            </w:pPr>
            <w:r w:rsidRPr="000F6431">
              <w:rPr>
                <w:rFonts w:ascii="Times New Roman" w:hAnsi="Times New Roman" w:cs="Times New Roman"/>
                <w:sz w:val="24"/>
                <w:szCs w:val="24"/>
              </w:rPr>
              <w:t>3</w:t>
            </w:r>
            <w:r w:rsidR="00282AA3" w:rsidRPr="000F6431">
              <w:rPr>
                <w:rFonts w:ascii="Times New Roman" w:hAnsi="Times New Roman" w:cs="Times New Roman"/>
                <w:sz w:val="24"/>
                <w:szCs w:val="24"/>
              </w:rPr>
              <w:t>7</w:t>
            </w:r>
            <w:r w:rsidRPr="000F6431">
              <w:rPr>
                <w:rFonts w:ascii="Times New Roman" w:hAnsi="Times New Roman" w:cs="Times New Roman"/>
                <w:sz w:val="24"/>
                <w:szCs w:val="24"/>
              </w:rPr>
              <w:t xml:space="preserve"> studies</w:t>
            </w:r>
            <w:r w:rsidR="00031C3C" w:rsidRPr="000F6431">
              <w:rPr>
                <w:rFonts w:ascii="Times New Roman" w:hAnsi="Times New Roman" w:cs="Times New Roman"/>
                <w:sz w:val="24"/>
                <w:szCs w:val="24"/>
              </w:rPr>
              <w:t xml:space="preserve"> </w:t>
            </w:r>
          </w:p>
        </w:tc>
      </w:tr>
      <w:tr w:rsidR="000829E7" w:rsidRPr="000F6431" w:rsidTr="000829E7">
        <w:tc>
          <w:tcPr>
            <w:tcW w:w="1668" w:type="dxa"/>
          </w:tcPr>
          <w:p w:rsidR="000829E7" w:rsidRPr="000F6431" w:rsidRDefault="000829E7" w:rsidP="000829E7">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Barriers </w:t>
            </w:r>
          </w:p>
        </w:tc>
        <w:tc>
          <w:tcPr>
            <w:tcW w:w="7052" w:type="dxa"/>
          </w:tcPr>
          <w:p w:rsidR="00383C99" w:rsidRPr="000F6431" w:rsidRDefault="000829E7" w:rsidP="002A163E">
            <w:pPr>
              <w:pStyle w:val="ListParagraph"/>
              <w:numPr>
                <w:ilvl w:val="0"/>
                <w:numId w:val="40"/>
              </w:numPr>
              <w:spacing w:line="480" w:lineRule="auto"/>
              <w:rPr>
                <w:rFonts w:ascii="Times New Roman" w:hAnsi="Times New Roman"/>
                <w:szCs w:val="24"/>
              </w:rPr>
            </w:pPr>
            <w:r w:rsidRPr="000F6431">
              <w:rPr>
                <w:rFonts w:ascii="Times New Roman" w:hAnsi="Times New Roman"/>
                <w:szCs w:val="24"/>
              </w:rPr>
              <w:t>Late timing  of appraisals</w:t>
            </w:r>
            <w:r w:rsidR="00383C99" w:rsidRPr="000F6431">
              <w:rPr>
                <w:rFonts w:ascii="Times New Roman" w:hAnsi="Times New Roman"/>
                <w:szCs w:val="24"/>
              </w:rPr>
              <w:t xml:space="preserve"> </w:t>
            </w:r>
            <w:r w:rsidR="000967D0" w:rsidRPr="000F6431">
              <w:rPr>
                <w:rFonts w:ascii="Times New Roman" w:hAnsi="Times New Roman"/>
                <w:szCs w:val="24"/>
              </w:rPr>
              <w:t>in planning policy process (9)</w:t>
            </w:r>
          </w:p>
          <w:p w:rsidR="000829E7" w:rsidRPr="000F6431" w:rsidRDefault="000967D0" w:rsidP="002A163E">
            <w:pPr>
              <w:pStyle w:val="ListParagraph"/>
              <w:numPr>
                <w:ilvl w:val="0"/>
                <w:numId w:val="40"/>
              </w:numPr>
              <w:spacing w:line="480" w:lineRule="auto"/>
              <w:rPr>
                <w:rFonts w:ascii="Times New Roman" w:hAnsi="Times New Roman"/>
                <w:szCs w:val="24"/>
              </w:rPr>
            </w:pPr>
            <w:r w:rsidRPr="000F6431">
              <w:rPr>
                <w:rFonts w:ascii="Times New Roman" w:hAnsi="Times New Roman"/>
                <w:szCs w:val="24"/>
              </w:rPr>
              <w:t>I</w:t>
            </w:r>
            <w:r w:rsidR="000829E7" w:rsidRPr="000F6431">
              <w:rPr>
                <w:rFonts w:ascii="Times New Roman" w:hAnsi="Times New Roman"/>
                <w:szCs w:val="24"/>
              </w:rPr>
              <w:t xml:space="preserve">nadequate </w:t>
            </w:r>
            <w:r w:rsidRPr="000F6431">
              <w:rPr>
                <w:rFonts w:ascii="Times New Roman" w:hAnsi="Times New Roman"/>
                <w:szCs w:val="24"/>
              </w:rPr>
              <w:t>appraisal processes (</w:t>
            </w:r>
            <w:r w:rsidR="00282AA3" w:rsidRPr="000F6431">
              <w:rPr>
                <w:rFonts w:ascii="Times New Roman" w:hAnsi="Times New Roman"/>
                <w:szCs w:val="24"/>
              </w:rPr>
              <w:t>10</w:t>
            </w:r>
            <w:r w:rsidRPr="000F6431">
              <w:rPr>
                <w:rFonts w:ascii="Times New Roman" w:hAnsi="Times New Roman"/>
                <w:szCs w:val="24"/>
              </w:rPr>
              <w:t xml:space="preserve">) </w:t>
            </w:r>
          </w:p>
          <w:p w:rsidR="000829E7" w:rsidRPr="000F6431" w:rsidRDefault="000967D0" w:rsidP="001B00C8">
            <w:pPr>
              <w:pStyle w:val="ListParagraph"/>
              <w:numPr>
                <w:ilvl w:val="0"/>
                <w:numId w:val="40"/>
              </w:numPr>
              <w:spacing w:line="480" w:lineRule="auto"/>
            </w:pPr>
            <w:r w:rsidRPr="000F6431">
              <w:rPr>
                <w:rFonts w:ascii="Times New Roman" w:hAnsi="Times New Roman"/>
                <w:szCs w:val="24"/>
              </w:rPr>
              <w:t xml:space="preserve">Poor quality and range of </w:t>
            </w:r>
            <w:r w:rsidR="000829E7" w:rsidRPr="000F6431">
              <w:rPr>
                <w:rFonts w:ascii="Times New Roman" w:hAnsi="Times New Roman"/>
                <w:szCs w:val="24"/>
              </w:rPr>
              <w:t xml:space="preserve">evidence base </w:t>
            </w:r>
            <w:r w:rsidR="003D5BF6" w:rsidRPr="000F6431">
              <w:rPr>
                <w:rFonts w:ascii="Times New Roman" w:hAnsi="Times New Roman"/>
                <w:szCs w:val="24"/>
              </w:rPr>
              <w:t xml:space="preserve">and modelling </w:t>
            </w:r>
            <w:r w:rsidRPr="000F6431">
              <w:rPr>
                <w:rFonts w:ascii="Times New Roman" w:hAnsi="Times New Roman"/>
                <w:szCs w:val="24"/>
              </w:rPr>
              <w:t>(1</w:t>
            </w:r>
            <w:r w:rsidR="00282AA3" w:rsidRPr="000F6431">
              <w:rPr>
                <w:rFonts w:ascii="Times New Roman" w:hAnsi="Times New Roman"/>
                <w:szCs w:val="24"/>
              </w:rPr>
              <w:t>1</w:t>
            </w:r>
            <w:r w:rsidRPr="000F6431">
              <w:rPr>
                <w:rFonts w:ascii="Times New Roman" w:hAnsi="Times New Roman"/>
                <w:szCs w:val="24"/>
              </w:rPr>
              <w:t>)</w:t>
            </w:r>
            <w:r w:rsidR="001C1489" w:rsidRPr="000F6431">
              <w:rPr>
                <w:rFonts w:ascii="Times New Roman" w:hAnsi="Times New Roman"/>
                <w:szCs w:val="24"/>
              </w:rPr>
              <w:t xml:space="preserve"> </w:t>
            </w:r>
          </w:p>
        </w:tc>
      </w:tr>
      <w:tr w:rsidR="000829E7" w:rsidRPr="000F6431" w:rsidTr="000829E7">
        <w:tc>
          <w:tcPr>
            <w:tcW w:w="1668" w:type="dxa"/>
          </w:tcPr>
          <w:p w:rsidR="000829E7" w:rsidRPr="000F6431" w:rsidRDefault="000829E7" w:rsidP="000829E7">
            <w:pPr>
              <w:rPr>
                <w:rFonts w:ascii="Times New Roman" w:hAnsi="Times New Roman" w:cs="Times New Roman"/>
                <w:sz w:val="24"/>
                <w:szCs w:val="24"/>
              </w:rPr>
            </w:pPr>
            <w:r w:rsidRPr="000F6431">
              <w:rPr>
                <w:rFonts w:ascii="Times New Roman" w:hAnsi="Times New Roman" w:cs="Times New Roman"/>
                <w:sz w:val="24"/>
                <w:szCs w:val="24"/>
              </w:rPr>
              <w:t>Facilitators</w:t>
            </w:r>
          </w:p>
        </w:tc>
        <w:tc>
          <w:tcPr>
            <w:tcW w:w="7052" w:type="dxa"/>
          </w:tcPr>
          <w:p w:rsidR="000829E7" w:rsidRPr="000F6431" w:rsidRDefault="000829E7" w:rsidP="002A163E">
            <w:pPr>
              <w:pStyle w:val="ListParagraph"/>
              <w:numPr>
                <w:ilvl w:val="0"/>
                <w:numId w:val="41"/>
              </w:numPr>
              <w:spacing w:line="480" w:lineRule="auto"/>
              <w:rPr>
                <w:rFonts w:ascii="Times New Roman" w:hAnsi="Times New Roman"/>
                <w:szCs w:val="24"/>
              </w:rPr>
            </w:pPr>
            <w:r w:rsidRPr="000F6431">
              <w:rPr>
                <w:rFonts w:ascii="Times New Roman" w:hAnsi="Times New Roman"/>
                <w:szCs w:val="24"/>
              </w:rPr>
              <w:t xml:space="preserve">Linking appraisal cycle to planning decision-making </w:t>
            </w:r>
            <w:r w:rsidR="000967D0" w:rsidRPr="000F6431">
              <w:rPr>
                <w:rFonts w:ascii="Times New Roman" w:hAnsi="Times New Roman"/>
                <w:szCs w:val="24"/>
              </w:rPr>
              <w:t xml:space="preserve"> (18)</w:t>
            </w:r>
          </w:p>
          <w:p w:rsidR="000967D0" w:rsidRPr="000F6431" w:rsidRDefault="000967D0" w:rsidP="003D5BF6">
            <w:pPr>
              <w:pStyle w:val="ListParagraph"/>
              <w:numPr>
                <w:ilvl w:val="0"/>
                <w:numId w:val="41"/>
              </w:numPr>
              <w:spacing w:line="480" w:lineRule="auto"/>
              <w:rPr>
                <w:rFonts w:ascii="Times New Roman" w:hAnsi="Times New Roman"/>
                <w:szCs w:val="24"/>
              </w:rPr>
            </w:pPr>
            <w:bookmarkStart w:id="0" w:name="_GoBack"/>
            <w:bookmarkEnd w:id="0"/>
            <w:r w:rsidRPr="000F6431">
              <w:rPr>
                <w:rFonts w:ascii="Times New Roman" w:hAnsi="Times New Roman"/>
                <w:szCs w:val="24"/>
              </w:rPr>
              <w:t>Monitoring plans and projects through appraisals (7)</w:t>
            </w:r>
          </w:p>
          <w:p w:rsidR="000829E7" w:rsidRPr="000F6431" w:rsidRDefault="000829E7" w:rsidP="002A163E">
            <w:pPr>
              <w:pStyle w:val="ListParagraph"/>
              <w:numPr>
                <w:ilvl w:val="0"/>
                <w:numId w:val="41"/>
              </w:numPr>
              <w:spacing w:line="480" w:lineRule="auto"/>
              <w:rPr>
                <w:rFonts w:ascii="Times New Roman" w:hAnsi="Times New Roman"/>
                <w:szCs w:val="24"/>
              </w:rPr>
            </w:pPr>
            <w:r w:rsidRPr="000F6431">
              <w:rPr>
                <w:rFonts w:ascii="Times New Roman" w:hAnsi="Times New Roman"/>
                <w:szCs w:val="24"/>
              </w:rPr>
              <w:t>Developing HIA</w:t>
            </w:r>
            <w:r w:rsidR="000967D0" w:rsidRPr="000F6431">
              <w:rPr>
                <w:rFonts w:ascii="Times New Roman" w:hAnsi="Times New Roman"/>
                <w:szCs w:val="24"/>
              </w:rPr>
              <w:t xml:space="preserve"> as a participatory and awareness raising tool (</w:t>
            </w:r>
            <w:r w:rsidR="00FD1224" w:rsidRPr="000F6431">
              <w:rPr>
                <w:rFonts w:ascii="Times New Roman" w:hAnsi="Times New Roman"/>
                <w:szCs w:val="24"/>
              </w:rPr>
              <w:t>19)</w:t>
            </w:r>
            <w:r w:rsidR="000967D0" w:rsidRPr="000F6431">
              <w:rPr>
                <w:rFonts w:ascii="Times New Roman" w:hAnsi="Times New Roman"/>
                <w:szCs w:val="24"/>
              </w:rPr>
              <w:t xml:space="preserve"> </w:t>
            </w:r>
          </w:p>
          <w:p w:rsidR="00FD1224" w:rsidRPr="000F6431" w:rsidRDefault="00FD1224" w:rsidP="002A163E">
            <w:pPr>
              <w:pStyle w:val="ListParagraph"/>
              <w:numPr>
                <w:ilvl w:val="0"/>
                <w:numId w:val="41"/>
              </w:numPr>
              <w:spacing w:line="480" w:lineRule="auto"/>
              <w:rPr>
                <w:rFonts w:ascii="Times New Roman" w:hAnsi="Times New Roman"/>
                <w:szCs w:val="24"/>
              </w:rPr>
            </w:pPr>
            <w:r w:rsidRPr="000F6431">
              <w:rPr>
                <w:rFonts w:ascii="Times New Roman" w:hAnsi="Times New Roman"/>
                <w:szCs w:val="24"/>
              </w:rPr>
              <w:t>Developing robust HIA methodology (</w:t>
            </w:r>
            <w:r w:rsidR="003B3031" w:rsidRPr="000F6431">
              <w:rPr>
                <w:rFonts w:ascii="Times New Roman" w:hAnsi="Times New Roman"/>
                <w:szCs w:val="24"/>
              </w:rPr>
              <w:t>6</w:t>
            </w:r>
            <w:r w:rsidRPr="000F6431">
              <w:rPr>
                <w:rFonts w:ascii="Times New Roman" w:hAnsi="Times New Roman"/>
                <w:szCs w:val="24"/>
              </w:rPr>
              <w:t>)</w:t>
            </w:r>
          </w:p>
          <w:p w:rsidR="000829E7" w:rsidRPr="000F6431" w:rsidRDefault="001C1489" w:rsidP="002A163E">
            <w:pPr>
              <w:pStyle w:val="ListParagraph"/>
              <w:numPr>
                <w:ilvl w:val="0"/>
                <w:numId w:val="41"/>
              </w:numPr>
              <w:spacing w:line="480" w:lineRule="auto"/>
              <w:rPr>
                <w:rFonts w:ascii="Times New Roman" w:hAnsi="Times New Roman"/>
                <w:szCs w:val="24"/>
              </w:rPr>
            </w:pPr>
            <w:r w:rsidRPr="000F6431">
              <w:rPr>
                <w:rFonts w:ascii="Times New Roman" w:hAnsi="Times New Roman"/>
                <w:szCs w:val="24"/>
              </w:rPr>
              <w:t>Increase t</w:t>
            </w:r>
            <w:r w:rsidR="000829E7" w:rsidRPr="000F6431">
              <w:rPr>
                <w:rFonts w:ascii="Times New Roman" w:hAnsi="Times New Roman"/>
                <w:szCs w:val="24"/>
              </w:rPr>
              <w:t>ransparency of the appraisal process</w:t>
            </w:r>
            <w:r w:rsidRPr="000F6431">
              <w:rPr>
                <w:rFonts w:ascii="Times New Roman" w:hAnsi="Times New Roman"/>
                <w:szCs w:val="24"/>
              </w:rPr>
              <w:t xml:space="preserve"> (</w:t>
            </w:r>
            <w:r w:rsidR="00822F9C" w:rsidRPr="000F6431">
              <w:rPr>
                <w:rFonts w:ascii="Times New Roman" w:hAnsi="Times New Roman"/>
                <w:szCs w:val="24"/>
              </w:rPr>
              <w:t>5</w:t>
            </w:r>
            <w:r w:rsidRPr="000F6431">
              <w:rPr>
                <w:rFonts w:ascii="Times New Roman" w:hAnsi="Times New Roman"/>
                <w:szCs w:val="24"/>
              </w:rPr>
              <w:t>)</w:t>
            </w:r>
          </w:p>
          <w:p w:rsidR="000829E7" w:rsidRPr="000F6431" w:rsidRDefault="001C1489" w:rsidP="002A163E">
            <w:pPr>
              <w:pStyle w:val="ListParagraph"/>
              <w:numPr>
                <w:ilvl w:val="0"/>
                <w:numId w:val="41"/>
              </w:numPr>
              <w:spacing w:line="480" w:lineRule="auto"/>
              <w:rPr>
                <w:rFonts w:ascii="Times New Roman" w:hAnsi="Times New Roman"/>
                <w:szCs w:val="24"/>
              </w:rPr>
            </w:pPr>
            <w:r w:rsidRPr="000F6431">
              <w:rPr>
                <w:rFonts w:ascii="Times New Roman" w:hAnsi="Times New Roman"/>
                <w:szCs w:val="24"/>
              </w:rPr>
              <w:t>Use high q</w:t>
            </w:r>
            <w:r w:rsidR="000829E7" w:rsidRPr="000F6431">
              <w:rPr>
                <w:rFonts w:ascii="Times New Roman" w:hAnsi="Times New Roman"/>
                <w:szCs w:val="24"/>
              </w:rPr>
              <w:t>uality and broad range of evidence from varied sources</w:t>
            </w:r>
            <w:r w:rsidRPr="000F6431">
              <w:rPr>
                <w:rFonts w:ascii="Times New Roman" w:hAnsi="Times New Roman"/>
                <w:szCs w:val="24"/>
              </w:rPr>
              <w:t xml:space="preserve"> (15)</w:t>
            </w:r>
          </w:p>
        </w:tc>
      </w:tr>
    </w:tbl>
    <w:p w:rsidR="000829E7" w:rsidRPr="000F6431" w:rsidRDefault="000829E7" w:rsidP="000829E7">
      <w:pPr>
        <w:spacing w:line="480" w:lineRule="auto"/>
        <w:rPr>
          <w:rFonts w:ascii="Times New Roman" w:hAnsi="Times New Roman" w:cs="Times New Roman"/>
          <w:sz w:val="24"/>
          <w:szCs w:val="24"/>
        </w:rPr>
      </w:pPr>
    </w:p>
    <w:p w:rsidR="009D5A1B" w:rsidRPr="000F6431" w:rsidRDefault="009D5A1B" w:rsidP="006E0B9E">
      <w:pPr>
        <w:pStyle w:val="Normaltext"/>
      </w:pPr>
    </w:p>
    <w:p w:rsidR="009D5A1B" w:rsidRPr="000F6431" w:rsidRDefault="00297BEB" w:rsidP="006E0B9E">
      <w:pPr>
        <w:pStyle w:val="Normaltext"/>
      </w:pPr>
      <w:r w:rsidRPr="000F6431">
        <w:t xml:space="preserve">A short description of the findings under each </w:t>
      </w:r>
      <w:r w:rsidR="00383C99" w:rsidRPr="000F6431">
        <w:t>heading is given below.</w:t>
      </w:r>
    </w:p>
    <w:p w:rsidR="009D5A1B" w:rsidRPr="000F6431" w:rsidRDefault="009D5A1B" w:rsidP="006E0B9E">
      <w:pPr>
        <w:pStyle w:val="Normaltext"/>
      </w:pPr>
    </w:p>
    <w:p w:rsidR="00AE4196" w:rsidRPr="000F6431" w:rsidRDefault="00C334E9" w:rsidP="001225B1">
      <w:pPr>
        <w:spacing w:line="480" w:lineRule="auto"/>
        <w:rPr>
          <w:rFonts w:ascii="Times New Roman" w:hAnsi="Times New Roman" w:cs="Times New Roman"/>
          <w:sz w:val="24"/>
          <w:szCs w:val="24"/>
        </w:rPr>
      </w:pPr>
      <w:r w:rsidRPr="000F6431">
        <w:rPr>
          <w:rFonts w:ascii="Times New Roman" w:hAnsi="Times New Roman" w:cs="Times New Roman"/>
          <w:sz w:val="24"/>
          <w:szCs w:val="24"/>
        </w:rPr>
        <w:t>4.1 Knowledge and Conceptual Understanding</w:t>
      </w:r>
    </w:p>
    <w:p w:rsidR="002A163E" w:rsidRPr="000F6431" w:rsidRDefault="002A163E" w:rsidP="001225B1">
      <w:pPr>
        <w:spacing w:line="480" w:lineRule="auto"/>
        <w:rPr>
          <w:rFonts w:ascii="Times New Roman" w:hAnsi="Times New Roman" w:cs="Times New Roman"/>
          <w:b/>
          <w:sz w:val="24"/>
          <w:szCs w:val="24"/>
        </w:rPr>
      </w:pPr>
    </w:p>
    <w:p w:rsidR="00AE4196" w:rsidRPr="000F6431" w:rsidRDefault="00383C99" w:rsidP="001225B1">
      <w:pPr>
        <w:spacing w:line="480" w:lineRule="auto"/>
        <w:rPr>
          <w:rFonts w:ascii="Times New Roman" w:hAnsi="Times New Roman" w:cs="Times New Roman"/>
          <w:sz w:val="24"/>
          <w:szCs w:val="24"/>
        </w:rPr>
      </w:pPr>
      <w:r w:rsidRPr="000F6431">
        <w:rPr>
          <w:rFonts w:ascii="Times New Roman" w:hAnsi="Times New Roman" w:cs="Times New Roman"/>
          <w:sz w:val="24"/>
          <w:szCs w:val="24"/>
        </w:rPr>
        <w:t>Twenty six</w:t>
      </w:r>
      <w:r w:rsidR="00AE4196" w:rsidRPr="000F6431">
        <w:rPr>
          <w:rFonts w:ascii="Times New Roman" w:hAnsi="Times New Roman" w:cs="Times New Roman"/>
          <w:sz w:val="24"/>
          <w:szCs w:val="24"/>
        </w:rPr>
        <w:t xml:space="preserve"> studies</w:t>
      </w:r>
      <w:r w:rsidR="00B813CA" w:rsidRPr="000F6431">
        <w:rPr>
          <w:rFonts w:ascii="Times New Roman" w:hAnsi="Times New Roman" w:cs="Times New Roman"/>
          <w:sz w:val="24"/>
          <w:szCs w:val="24"/>
        </w:rPr>
        <w:t xml:space="preserve"> addressed</w:t>
      </w:r>
      <w:r w:rsidR="00AE4196" w:rsidRPr="000F6431">
        <w:rPr>
          <w:rFonts w:ascii="Times New Roman" w:hAnsi="Times New Roman" w:cs="Times New Roman"/>
          <w:sz w:val="24"/>
          <w:szCs w:val="24"/>
        </w:rPr>
        <w:t xml:space="preserve"> </w:t>
      </w:r>
      <w:r w:rsidR="006F02AD" w:rsidRPr="000F6431">
        <w:rPr>
          <w:rFonts w:ascii="Times New Roman" w:hAnsi="Times New Roman" w:cs="Times New Roman"/>
          <w:sz w:val="24"/>
          <w:szCs w:val="24"/>
        </w:rPr>
        <w:t>issues in this area</w:t>
      </w:r>
      <w:r w:rsidR="00420E1F" w:rsidRPr="000F6431">
        <w:rPr>
          <w:rFonts w:ascii="Times New Roman" w:hAnsi="Times New Roman" w:cs="Times New Roman"/>
          <w:sz w:val="24"/>
          <w:szCs w:val="24"/>
        </w:rPr>
        <w:t>. They</w:t>
      </w:r>
      <w:r w:rsidR="006F02AD" w:rsidRPr="000F6431">
        <w:rPr>
          <w:rFonts w:ascii="Times New Roman" w:hAnsi="Times New Roman" w:cs="Times New Roman"/>
          <w:sz w:val="24"/>
          <w:szCs w:val="24"/>
        </w:rPr>
        <w:t xml:space="preserve"> highlight</w:t>
      </w:r>
      <w:r w:rsidR="00420E1F" w:rsidRPr="000F6431">
        <w:rPr>
          <w:rFonts w:ascii="Times New Roman" w:hAnsi="Times New Roman" w:cs="Times New Roman"/>
          <w:sz w:val="24"/>
          <w:szCs w:val="24"/>
        </w:rPr>
        <w:t>ed</w:t>
      </w:r>
      <w:r w:rsidR="006F02AD" w:rsidRPr="000F6431">
        <w:rPr>
          <w:rFonts w:ascii="Times New Roman" w:hAnsi="Times New Roman" w:cs="Times New Roman"/>
          <w:sz w:val="24"/>
          <w:szCs w:val="24"/>
        </w:rPr>
        <w:t xml:space="preserve"> the </w:t>
      </w:r>
      <w:r w:rsidR="00AE4196" w:rsidRPr="000F6431">
        <w:rPr>
          <w:rFonts w:ascii="Times New Roman" w:hAnsi="Times New Roman" w:cs="Times New Roman"/>
          <w:sz w:val="24"/>
          <w:szCs w:val="24"/>
        </w:rPr>
        <w:t xml:space="preserve">lack of a shared knowledge </w:t>
      </w:r>
      <w:r w:rsidRPr="000F6431">
        <w:rPr>
          <w:rFonts w:ascii="Times New Roman" w:hAnsi="Times New Roman" w:cs="Times New Roman"/>
          <w:sz w:val="24"/>
          <w:szCs w:val="24"/>
        </w:rPr>
        <w:t xml:space="preserve">base </w:t>
      </w:r>
      <w:r w:rsidR="00AE4196" w:rsidRPr="000F6431">
        <w:rPr>
          <w:rFonts w:ascii="Times New Roman" w:hAnsi="Times New Roman" w:cs="Times New Roman"/>
          <w:sz w:val="24"/>
          <w:szCs w:val="24"/>
        </w:rPr>
        <w:t>between planners and public health practitioners</w:t>
      </w:r>
      <w:r w:rsidR="006F02AD" w:rsidRPr="000F6431">
        <w:rPr>
          <w:rFonts w:ascii="Times New Roman" w:hAnsi="Times New Roman" w:cs="Times New Roman"/>
          <w:sz w:val="24"/>
          <w:szCs w:val="24"/>
        </w:rPr>
        <w:t xml:space="preserve">, </w:t>
      </w:r>
      <w:r w:rsidR="00420E1F" w:rsidRPr="000F6431">
        <w:rPr>
          <w:rFonts w:ascii="Times New Roman" w:hAnsi="Times New Roman" w:cs="Times New Roman"/>
          <w:sz w:val="24"/>
          <w:szCs w:val="24"/>
        </w:rPr>
        <w:t>and/</w:t>
      </w:r>
      <w:r w:rsidR="00AE4196" w:rsidRPr="000F6431">
        <w:rPr>
          <w:rFonts w:ascii="Times New Roman" w:hAnsi="Times New Roman" w:cs="Times New Roman"/>
          <w:sz w:val="24"/>
          <w:szCs w:val="24"/>
        </w:rPr>
        <w:t>or identif</w:t>
      </w:r>
      <w:r w:rsidR="006F02AD" w:rsidRPr="000F6431">
        <w:rPr>
          <w:rFonts w:ascii="Times New Roman" w:hAnsi="Times New Roman" w:cs="Times New Roman"/>
          <w:sz w:val="24"/>
          <w:szCs w:val="24"/>
        </w:rPr>
        <w:t>ied</w:t>
      </w:r>
      <w:r w:rsidR="00AE4196" w:rsidRPr="000F6431">
        <w:rPr>
          <w:rFonts w:ascii="Times New Roman" w:hAnsi="Times New Roman" w:cs="Times New Roman"/>
          <w:sz w:val="24"/>
          <w:szCs w:val="24"/>
        </w:rPr>
        <w:t xml:space="preserve"> ways to address the issues regarding deficiencies in knowledge and conceptual understanding.</w:t>
      </w:r>
    </w:p>
    <w:p w:rsidR="00BB4E9E" w:rsidRPr="000F6431" w:rsidRDefault="00BB4E9E" w:rsidP="001225B1">
      <w:pPr>
        <w:spacing w:line="480" w:lineRule="auto"/>
        <w:rPr>
          <w:rFonts w:ascii="Times New Roman" w:hAnsi="Times New Roman" w:cs="Times New Roman"/>
          <w:sz w:val="24"/>
          <w:szCs w:val="24"/>
        </w:rPr>
      </w:pPr>
    </w:p>
    <w:p w:rsidR="00146C55" w:rsidRPr="000F6431" w:rsidRDefault="003161EC"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4.1.1 Knowledge Barriers </w:t>
      </w:r>
    </w:p>
    <w:p w:rsidR="006E0B9E" w:rsidRPr="000F6431" w:rsidRDefault="006E0B9E" w:rsidP="00A44105">
      <w:pPr>
        <w:spacing w:line="480" w:lineRule="auto"/>
        <w:rPr>
          <w:rFonts w:ascii="Times New Roman" w:hAnsi="Times New Roman" w:cs="Times New Roman"/>
          <w:b/>
          <w:sz w:val="24"/>
          <w:szCs w:val="24"/>
        </w:rPr>
      </w:pPr>
    </w:p>
    <w:p w:rsidR="00146C55" w:rsidRPr="000F6431" w:rsidRDefault="00535352"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Several studies note that an overly narrow </w:t>
      </w:r>
      <w:r w:rsidR="006F02AD" w:rsidRPr="000F6431">
        <w:rPr>
          <w:rFonts w:ascii="Times New Roman" w:hAnsi="Times New Roman" w:cs="Times New Roman"/>
          <w:sz w:val="24"/>
          <w:szCs w:val="24"/>
        </w:rPr>
        <w:t xml:space="preserve">definition </w:t>
      </w:r>
      <w:r w:rsidRPr="000F6431">
        <w:rPr>
          <w:rFonts w:ascii="Times New Roman" w:hAnsi="Times New Roman" w:cs="Times New Roman"/>
          <w:sz w:val="24"/>
          <w:szCs w:val="24"/>
        </w:rPr>
        <w:t>of health is a major barrier to the better integration of health into the spatial planning system (Ahmad et al, 2008; Bekker et al, 2005; Bronson and Noble, 2006; Corburn and Bhatia, 2007; F</w:t>
      </w:r>
      <w:r w:rsidR="001225B1" w:rsidRPr="000F6431">
        <w:rPr>
          <w:rFonts w:ascii="Times New Roman" w:hAnsi="Times New Roman" w:cs="Times New Roman"/>
          <w:sz w:val="24"/>
          <w:szCs w:val="24"/>
        </w:rPr>
        <w:t>ischer et al, 2010</w:t>
      </w:r>
      <w:r w:rsidRPr="000F6431">
        <w:rPr>
          <w:rFonts w:ascii="Times New Roman" w:hAnsi="Times New Roman" w:cs="Times New Roman"/>
          <w:sz w:val="24"/>
          <w:szCs w:val="24"/>
        </w:rPr>
        <w:t xml:space="preserve">; Noble and </w:t>
      </w:r>
      <w:r w:rsidR="00EA57C4" w:rsidRPr="000F6431">
        <w:rPr>
          <w:rFonts w:ascii="Times New Roman" w:hAnsi="Times New Roman" w:cs="Times New Roman"/>
          <w:sz w:val="24"/>
          <w:szCs w:val="24"/>
        </w:rPr>
        <w:t>Bronson, 2005; PAS, 2008b). A</w:t>
      </w:r>
      <w:r w:rsidRPr="000F6431">
        <w:rPr>
          <w:rFonts w:ascii="Times New Roman" w:hAnsi="Times New Roman" w:cs="Times New Roman"/>
          <w:sz w:val="24"/>
          <w:szCs w:val="24"/>
        </w:rPr>
        <w:t>ppraisal</w:t>
      </w:r>
      <w:r w:rsidR="00EA57C4" w:rsidRPr="000F6431">
        <w:rPr>
          <w:rFonts w:ascii="Times New Roman" w:hAnsi="Times New Roman" w:cs="Times New Roman"/>
          <w:sz w:val="24"/>
          <w:szCs w:val="24"/>
        </w:rPr>
        <w:t xml:space="preserve">s of planning proposals </w:t>
      </w:r>
      <w:r w:rsidR="006F02AD" w:rsidRPr="000F6431">
        <w:rPr>
          <w:rFonts w:ascii="Times New Roman" w:hAnsi="Times New Roman" w:cs="Times New Roman"/>
          <w:sz w:val="24"/>
          <w:szCs w:val="24"/>
        </w:rPr>
        <w:t xml:space="preserve">tended to </w:t>
      </w:r>
      <w:r w:rsidR="00EA57C4" w:rsidRPr="000F6431">
        <w:rPr>
          <w:rFonts w:ascii="Times New Roman" w:hAnsi="Times New Roman" w:cs="Times New Roman"/>
          <w:sz w:val="24"/>
          <w:szCs w:val="24"/>
        </w:rPr>
        <w:t>focus on physical and</w:t>
      </w:r>
      <w:r w:rsidRPr="000F6431">
        <w:rPr>
          <w:rFonts w:ascii="Times New Roman" w:hAnsi="Times New Roman" w:cs="Times New Roman"/>
          <w:sz w:val="24"/>
          <w:szCs w:val="24"/>
        </w:rPr>
        <w:t xml:space="preserve"> environmental health concerns, such as air, water and noise issues, rather than </w:t>
      </w:r>
      <w:r w:rsidR="00EA57C4" w:rsidRPr="000F6431">
        <w:rPr>
          <w:rFonts w:ascii="Times New Roman" w:hAnsi="Times New Roman" w:cs="Times New Roman"/>
          <w:sz w:val="24"/>
          <w:szCs w:val="24"/>
        </w:rPr>
        <w:t xml:space="preserve">on </w:t>
      </w:r>
      <w:r w:rsidRPr="000F6431">
        <w:rPr>
          <w:rFonts w:ascii="Times New Roman" w:hAnsi="Times New Roman" w:cs="Times New Roman"/>
          <w:sz w:val="24"/>
          <w:szCs w:val="24"/>
        </w:rPr>
        <w:t>the broader social and cultural determinant</w:t>
      </w:r>
      <w:r w:rsidR="001225B1" w:rsidRPr="000F6431">
        <w:rPr>
          <w:rFonts w:ascii="Times New Roman" w:hAnsi="Times New Roman" w:cs="Times New Roman"/>
          <w:sz w:val="24"/>
          <w:szCs w:val="24"/>
        </w:rPr>
        <w:t>s of health (Fischer et al, 2010</w:t>
      </w:r>
      <w:r w:rsidRPr="000F6431">
        <w:rPr>
          <w:rFonts w:ascii="Times New Roman" w:hAnsi="Times New Roman" w:cs="Times New Roman"/>
          <w:sz w:val="24"/>
          <w:szCs w:val="24"/>
        </w:rPr>
        <w:t xml:space="preserve">; Noble and Bronson, 2005).  </w:t>
      </w:r>
    </w:p>
    <w:p w:rsidR="00146C55" w:rsidRPr="000F6431" w:rsidRDefault="00146C55" w:rsidP="00A44105">
      <w:pPr>
        <w:spacing w:line="480" w:lineRule="auto"/>
        <w:rPr>
          <w:rFonts w:ascii="Times New Roman" w:hAnsi="Times New Roman" w:cs="Times New Roman"/>
          <w:sz w:val="24"/>
          <w:szCs w:val="24"/>
        </w:rPr>
      </w:pPr>
    </w:p>
    <w:p w:rsidR="00477E14" w:rsidRPr="000F6431" w:rsidRDefault="00535352"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Two main explanations are postulated for </w:t>
      </w:r>
      <w:r w:rsidR="00CC3B88" w:rsidRPr="000F6431">
        <w:rPr>
          <w:rFonts w:ascii="Times New Roman" w:hAnsi="Times New Roman" w:cs="Times New Roman"/>
          <w:sz w:val="24"/>
          <w:szCs w:val="24"/>
        </w:rPr>
        <w:t>these findings</w:t>
      </w:r>
      <w:r w:rsidRPr="000F6431">
        <w:rPr>
          <w:rFonts w:ascii="Times New Roman" w:hAnsi="Times New Roman" w:cs="Times New Roman"/>
          <w:sz w:val="24"/>
          <w:szCs w:val="24"/>
        </w:rPr>
        <w:t>.</w:t>
      </w:r>
      <w:r w:rsidR="00EA57C4" w:rsidRPr="000F6431">
        <w:rPr>
          <w:rFonts w:ascii="Times New Roman" w:hAnsi="Times New Roman" w:cs="Times New Roman"/>
          <w:sz w:val="24"/>
          <w:szCs w:val="24"/>
        </w:rPr>
        <w:t xml:space="preserve"> </w:t>
      </w:r>
      <w:r w:rsidR="001F7765" w:rsidRPr="000F6431">
        <w:rPr>
          <w:rFonts w:ascii="Times New Roman" w:hAnsi="Times New Roman" w:cs="Times New Roman"/>
          <w:sz w:val="24"/>
          <w:szCs w:val="24"/>
        </w:rPr>
        <w:t>First</w:t>
      </w:r>
      <w:r w:rsidR="006F02AD" w:rsidRPr="000F6431">
        <w:rPr>
          <w:rFonts w:ascii="Times New Roman" w:hAnsi="Times New Roman" w:cs="Times New Roman"/>
          <w:sz w:val="24"/>
          <w:szCs w:val="24"/>
        </w:rPr>
        <w:t>ly</w:t>
      </w:r>
      <w:r w:rsidRPr="000F6431">
        <w:rPr>
          <w:rFonts w:ascii="Times New Roman" w:hAnsi="Times New Roman" w:cs="Times New Roman"/>
          <w:sz w:val="24"/>
          <w:szCs w:val="24"/>
        </w:rPr>
        <w:t xml:space="preserve">, it is proposed that </w:t>
      </w:r>
      <w:r w:rsidR="006F02AD" w:rsidRPr="000F6431">
        <w:rPr>
          <w:rFonts w:ascii="Times New Roman" w:hAnsi="Times New Roman" w:cs="Times New Roman"/>
          <w:sz w:val="24"/>
          <w:szCs w:val="24"/>
        </w:rPr>
        <w:t xml:space="preserve">there is a </w:t>
      </w:r>
      <w:r w:rsidRPr="000F6431">
        <w:rPr>
          <w:rFonts w:ascii="Times New Roman" w:hAnsi="Times New Roman" w:cs="Times New Roman"/>
          <w:sz w:val="24"/>
          <w:szCs w:val="24"/>
        </w:rPr>
        <w:t xml:space="preserve">genuine lack of understanding of what health is among those who are commissioning and conducting appraisals </w:t>
      </w:r>
      <w:r w:rsidR="006F02AD" w:rsidRPr="000F6431">
        <w:rPr>
          <w:rFonts w:ascii="Times New Roman" w:hAnsi="Times New Roman" w:cs="Times New Roman"/>
          <w:sz w:val="24"/>
          <w:szCs w:val="24"/>
        </w:rPr>
        <w:t xml:space="preserve">which </w:t>
      </w:r>
      <w:r w:rsidRPr="000F6431">
        <w:rPr>
          <w:rFonts w:ascii="Times New Roman" w:hAnsi="Times New Roman" w:cs="Times New Roman"/>
          <w:sz w:val="24"/>
          <w:szCs w:val="24"/>
        </w:rPr>
        <w:t xml:space="preserve">leads to a narrow focus </w:t>
      </w:r>
      <w:r w:rsidR="006F02AD" w:rsidRPr="000F6431">
        <w:rPr>
          <w:rFonts w:ascii="Times New Roman" w:hAnsi="Times New Roman" w:cs="Times New Roman"/>
          <w:sz w:val="24"/>
          <w:szCs w:val="24"/>
        </w:rPr>
        <w:t>(</w:t>
      </w:r>
      <w:r w:rsidRPr="000F6431">
        <w:rPr>
          <w:rFonts w:ascii="Times New Roman" w:hAnsi="Times New Roman" w:cs="Times New Roman"/>
          <w:sz w:val="24"/>
          <w:szCs w:val="24"/>
        </w:rPr>
        <w:t xml:space="preserve">following a </w:t>
      </w:r>
      <w:r w:rsidRPr="000F6431">
        <w:rPr>
          <w:rFonts w:ascii="Times New Roman" w:hAnsi="Times New Roman" w:cs="Times New Roman"/>
          <w:sz w:val="24"/>
          <w:szCs w:val="24"/>
        </w:rPr>
        <w:lastRenderedPageBreak/>
        <w:t>medical or physical environment model</w:t>
      </w:r>
      <w:r w:rsidR="006F02AD" w:rsidRPr="000F6431">
        <w:rPr>
          <w:rFonts w:ascii="Times New Roman" w:hAnsi="Times New Roman" w:cs="Times New Roman"/>
          <w:sz w:val="24"/>
          <w:szCs w:val="24"/>
        </w:rPr>
        <w:t>),</w:t>
      </w:r>
      <w:r w:rsidRPr="000F6431">
        <w:rPr>
          <w:rFonts w:ascii="Times New Roman" w:hAnsi="Times New Roman" w:cs="Times New Roman"/>
          <w:sz w:val="24"/>
          <w:szCs w:val="24"/>
        </w:rPr>
        <w:t xml:space="preserve"> rather than a wider public health approach (Noble and Bronson, 2006; PAS, 2008b). </w:t>
      </w:r>
      <w:r w:rsidR="006F02AD" w:rsidRPr="000F6431">
        <w:rPr>
          <w:rFonts w:ascii="Times New Roman" w:hAnsi="Times New Roman" w:cs="Times New Roman"/>
          <w:sz w:val="24"/>
          <w:szCs w:val="24"/>
        </w:rPr>
        <w:t xml:space="preserve">This </w:t>
      </w:r>
      <w:r w:rsidRPr="000F6431">
        <w:rPr>
          <w:rFonts w:ascii="Times New Roman" w:hAnsi="Times New Roman" w:cs="Times New Roman"/>
          <w:sz w:val="24"/>
          <w:szCs w:val="24"/>
        </w:rPr>
        <w:t xml:space="preserve">also leads to a focus on </w:t>
      </w:r>
      <w:r w:rsidR="006F02AD" w:rsidRPr="000F6431">
        <w:rPr>
          <w:rFonts w:ascii="Times New Roman" w:hAnsi="Times New Roman" w:cs="Times New Roman"/>
          <w:sz w:val="24"/>
          <w:szCs w:val="24"/>
        </w:rPr>
        <w:t xml:space="preserve">the </w:t>
      </w:r>
      <w:r w:rsidRPr="000F6431">
        <w:rPr>
          <w:rFonts w:ascii="Times New Roman" w:hAnsi="Times New Roman" w:cs="Times New Roman"/>
          <w:sz w:val="24"/>
          <w:szCs w:val="24"/>
        </w:rPr>
        <w:t>negative health impacts of a development</w:t>
      </w:r>
      <w:r w:rsidR="006F02AD" w:rsidRPr="000F6431">
        <w:rPr>
          <w:rFonts w:ascii="Times New Roman" w:hAnsi="Times New Roman" w:cs="Times New Roman"/>
          <w:sz w:val="24"/>
          <w:szCs w:val="24"/>
        </w:rPr>
        <w:t>,</w:t>
      </w:r>
      <w:r w:rsidRPr="000F6431">
        <w:rPr>
          <w:rFonts w:ascii="Times New Roman" w:hAnsi="Times New Roman" w:cs="Times New Roman"/>
          <w:sz w:val="24"/>
          <w:szCs w:val="24"/>
        </w:rPr>
        <w:t xml:space="preserve"> rather than maximising the positive health impacts (Bekker et al, 2005).</w:t>
      </w:r>
      <w:r w:rsidR="00A545DE" w:rsidRPr="000F6431">
        <w:rPr>
          <w:rFonts w:ascii="Times New Roman" w:hAnsi="Times New Roman" w:cs="Times New Roman"/>
          <w:b/>
          <w:sz w:val="24"/>
          <w:szCs w:val="24"/>
        </w:rPr>
        <w:t xml:space="preserve"> </w:t>
      </w:r>
      <w:r w:rsidR="00311C6E" w:rsidRPr="000F6431">
        <w:rPr>
          <w:rFonts w:ascii="Times New Roman" w:hAnsi="Times New Roman" w:cs="Times New Roman"/>
          <w:sz w:val="24"/>
          <w:szCs w:val="24"/>
        </w:rPr>
        <w:t>Second</w:t>
      </w:r>
      <w:r w:rsidR="006F02AD" w:rsidRPr="000F6431">
        <w:rPr>
          <w:rFonts w:ascii="Times New Roman" w:hAnsi="Times New Roman" w:cs="Times New Roman"/>
          <w:sz w:val="24"/>
          <w:szCs w:val="24"/>
        </w:rPr>
        <w:t>ly</w:t>
      </w:r>
      <w:r w:rsidRPr="000F6431">
        <w:rPr>
          <w:rFonts w:ascii="Times New Roman" w:hAnsi="Times New Roman" w:cs="Times New Roman"/>
          <w:sz w:val="24"/>
          <w:szCs w:val="24"/>
        </w:rPr>
        <w:t xml:space="preserve">, </w:t>
      </w:r>
      <w:r w:rsidR="00A545DE" w:rsidRPr="000F6431">
        <w:rPr>
          <w:rFonts w:ascii="Times New Roman" w:hAnsi="Times New Roman" w:cs="Times New Roman"/>
          <w:sz w:val="24"/>
          <w:szCs w:val="24"/>
        </w:rPr>
        <w:t xml:space="preserve">public </w:t>
      </w:r>
      <w:r w:rsidRPr="000F6431">
        <w:rPr>
          <w:rFonts w:ascii="Times New Roman" w:hAnsi="Times New Roman" w:cs="Times New Roman"/>
          <w:sz w:val="24"/>
          <w:szCs w:val="24"/>
        </w:rPr>
        <w:t>health professionals are seen as having a lack of understanding of the planning system, including the statutory assessment processes</w:t>
      </w:r>
      <w:r w:rsidR="00CC3B88" w:rsidRPr="000F6431">
        <w:rPr>
          <w:rFonts w:ascii="Times New Roman" w:hAnsi="Times New Roman" w:cs="Times New Roman"/>
          <w:sz w:val="24"/>
          <w:szCs w:val="24"/>
        </w:rPr>
        <w:t xml:space="preserve">, </w:t>
      </w:r>
      <w:r w:rsidR="00B813CA" w:rsidRPr="000F6431">
        <w:rPr>
          <w:rFonts w:ascii="Times New Roman" w:hAnsi="Times New Roman" w:cs="Times New Roman"/>
          <w:sz w:val="24"/>
          <w:szCs w:val="24"/>
        </w:rPr>
        <w:t xml:space="preserve">to which </w:t>
      </w:r>
      <w:r w:rsidR="00CC3B88" w:rsidRPr="000F6431">
        <w:rPr>
          <w:rFonts w:ascii="Times New Roman" w:hAnsi="Times New Roman" w:cs="Times New Roman"/>
          <w:sz w:val="24"/>
          <w:szCs w:val="24"/>
        </w:rPr>
        <w:t>they co</w:t>
      </w:r>
      <w:r w:rsidRPr="000F6431">
        <w:rPr>
          <w:rFonts w:ascii="Times New Roman" w:hAnsi="Times New Roman" w:cs="Times New Roman"/>
          <w:sz w:val="24"/>
          <w:szCs w:val="24"/>
        </w:rPr>
        <w:t>uld make a valuable contribution (Burns and Bond, 2008). This prevents health professionals from engaging effectively in planning processes and with planning colleagues.</w:t>
      </w:r>
      <w:r w:rsidR="00A545DE" w:rsidRPr="000F6431">
        <w:rPr>
          <w:rFonts w:ascii="Times New Roman" w:hAnsi="Times New Roman" w:cs="Times New Roman"/>
          <w:b/>
          <w:sz w:val="24"/>
          <w:szCs w:val="24"/>
        </w:rPr>
        <w:t xml:space="preserve"> </w:t>
      </w:r>
      <w:r w:rsidRPr="000F6431">
        <w:rPr>
          <w:rFonts w:ascii="Times New Roman" w:hAnsi="Times New Roman" w:cs="Times New Roman"/>
          <w:sz w:val="24"/>
          <w:szCs w:val="24"/>
        </w:rPr>
        <w:t xml:space="preserve">The lack of understanding on both sides is seen to be an outcome of the rigid </w:t>
      </w:r>
      <w:r w:rsidR="00A545DE" w:rsidRPr="000F6431">
        <w:rPr>
          <w:rFonts w:ascii="Times New Roman" w:hAnsi="Times New Roman" w:cs="Times New Roman"/>
          <w:sz w:val="24"/>
          <w:szCs w:val="24"/>
        </w:rPr>
        <w:t xml:space="preserve">boundaries that have existed </w:t>
      </w:r>
      <w:r w:rsidR="00B813CA" w:rsidRPr="000F6431">
        <w:rPr>
          <w:rFonts w:ascii="Times New Roman" w:hAnsi="Times New Roman" w:cs="Times New Roman"/>
          <w:sz w:val="24"/>
          <w:szCs w:val="24"/>
        </w:rPr>
        <w:t xml:space="preserve">for </w:t>
      </w:r>
      <w:r w:rsidRPr="000F6431">
        <w:rPr>
          <w:rFonts w:ascii="Times New Roman" w:hAnsi="Times New Roman" w:cs="Times New Roman"/>
          <w:sz w:val="24"/>
          <w:szCs w:val="24"/>
        </w:rPr>
        <w:t xml:space="preserve">decades </w:t>
      </w:r>
      <w:r w:rsidR="00B813CA" w:rsidRPr="000F6431">
        <w:rPr>
          <w:rFonts w:ascii="Times New Roman" w:hAnsi="Times New Roman" w:cs="Times New Roman"/>
          <w:sz w:val="24"/>
          <w:szCs w:val="24"/>
        </w:rPr>
        <w:t xml:space="preserve">in </w:t>
      </w:r>
      <w:r w:rsidRPr="000F6431">
        <w:rPr>
          <w:rFonts w:ascii="Times New Roman" w:hAnsi="Times New Roman" w:cs="Times New Roman"/>
          <w:sz w:val="24"/>
          <w:szCs w:val="24"/>
        </w:rPr>
        <w:t>the development of knowledge in the fields of health and planning (Bhatia and Wernham, 2008).</w:t>
      </w:r>
    </w:p>
    <w:p w:rsidR="00AE4196" w:rsidRPr="000F6431" w:rsidRDefault="00AE4196" w:rsidP="00A44105">
      <w:pPr>
        <w:spacing w:line="480" w:lineRule="auto"/>
        <w:rPr>
          <w:rFonts w:ascii="Times New Roman" w:hAnsi="Times New Roman" w:cs="Times New Roman"/>
          <w:sz w:val="24"/>
          <w:szCs w:val="24"/>
        </w:rPr>
      </w:pPr>
    </w:p>
    <w:p w:rsidR="009D5A1B" w:rsidRPr="000F6431" w:rsidRDefault="003161EC" w:rsidP="006E0B9E">
      <w:pPr>
        <w:pStyle w:val="Normaltext"/>
      </w:pPr>
      <w:r w:rsidRPr="000F6431">
        <w:t xml:space="preserve">4.1.2 </w:t>
      </w:r>
      <w:r w:rsidR="00477E14" w:rsidRPr="000F6431">
        <w:t>Knowledge Facilitators</w:t>
      </w:r>
    </w:p>
    <w:p w:rsidR="009D5A1B" w:rsidRPr="000F6431" w:rsidRDefault="009D5A1B" w:rsidP="006E0B9E">
      <w:pPr>
        <w:pStyle w:val="Normaltext"/>
      </w:pPr>
    </w:p>
    <w:p w:rsidR="009D5A1B" w:rsidRPr="000F6431" w:rsidRDefault="00535352" w:rsidP="006E0B9E">
      <w:pPr>
        <w:pStyle w:val="Normaltext"/>
      </w:pPr>
      <w:r w:rsidRPr="000F6431">
        <w:t>Several studies recommend using the World Health Organisation’s formal definition of health as a means of ensuring that health is seen from its broader environmental, social and cultural perspectives when assessing the impac</w:t>
      </w:r>
      <w:r w:rsidR="00A8384F" w:rsidRPr="000F6431">
        <w:t>t of proposed developments (GCPH</w:t>
      </w:r>
      <w:r w:rsidRPr="000F6431">
        <w:t>, 2007; Kemm et al, 2004; Noble and Bronson, 2005). The WHO definition, with its emphasis on physical, social and mental well-being, is seen to help to avoid a focus purely on negative physical environmental impacts (Noble and Bronson, 2005)</w:t>
      </w:r>
      <w:r w:rsidR="00CC3B88" w:rsidRPr="000F6431">
        <w:t xml:space="preserve"> and as a tool to </w:t>
      </w:r>
      <w:r w:rsidRPr="000F6431">
        <w:t>help environmental planners to “understand and adopt a new social orientation to environmental health” (Corburn and Bhatia, 2007</w:t>
      </w:r>
      <w:r w:rsidR="000707E6" w:rsidRPr="000F6431">
        <w:t xml:space="preserve">, </w:t>
      </w:r>
      <w:r w:rsidR="00A51C78" w:rsidRPr="000F6431">
        <w:t>p.332).</w:t>
      </w:r>
      <w:r w:rsidRPr="000F6431">
        <w:t xml:space="preserve"> </w:t>
      </w:r>
    </w:p>
    <w:p w:rsidR="009D5A1B" w:rsidRPr="000F6431" w:rsidRDefault="009D5A1B" w:rsidP="006E0B9E">
      <w:pPr>
        <w:pStyle w:val="Normaltext"/>
      </w:pPr>
    </w:p>
    <w:p w:rsidR="009D5A1B" w:rsidRPr="000F6431" w:rsidRDefault="00CC3B88" w:rsidP="006E0B9E">
      <w:pPr>
        <w:pStyle w:val="Normaltext"/>
      </w:pPr>
      <w:r w:rsidRPr="000F6431">
        <w:t xml:space="preserve">To facilitate this </w:t>
      </w:r>
      <w:r w:rsidR="00535352" w:rsidRPr="000F6431">
        <w:t xml:space="preserve">process, health professionals should also use data on </w:t>
      </w:r>
      <w:r w:rsidRPr="000F6431">
        <w:t xml:space="preserve">the </w:t>
      </w:r>
      <w:r w:rsidR="00535352" w:rsidRPr="000F6431">
        <w:t>broader determinants</w:t>
      </w:r>
      <w:r w:rsidRPr="000F6431">
        <w:t xml:space="preserve"> of health </w:t>
      </w:r>
      <w:r w:rsidR="00535352" w:rsidRPr="000F6431">
        <w:t xml:space="preserve">to build up the evidence base and </w:t>
      </w:r>
      <w:r w:rsidRPr="000F6431">
        <w:t xml:space="preserve">to </w:t>
      </w:r>
      <w:r w:rsidR="00535352" w:rsidRPr="000F6431">
        <w:t xml:space="preserve">make the case for </w:t>
      </w:r>
      <w:r w:rsidRPr="000F6431">
        <w:t>a</w:t>
      </w:r>
      <w:r w:rsidR="00FE62A2" w:rsidRPr="000F6431">
        <w:t xml:space="preserve">n </w:t>
      </w:r>
      <w:r w:rsidR="00FE62A2" w:rsidRPr="000F6431">
        <w:lastRenderedPageBreak/>
        <w:t xml:space="preserve">assessment of </w:t>
      </w:r>
      <w:r w:rsidR="00535352" w:rsidRPr="000F6431">
        <w:t xml:space="preserve"> wider health concerns (Bhatia and Wernham, 2008; Taylor and Quigley, 2002). This can provide the evidence of the health problems in localities, and explore causal pathways connecting health outcomes to wider determinants (PAS, 2008b; Taylor and Quigley, 2002). </w:t>
      </w:r>
    </w:p>
    <w:p w:rsidR="009D5A1B" w:rsidRPr="000F6431" w:rsidRDefault="009D5A1B" w:rsidP="006E0B9E">
      <w:pPr>
        <w:pStyle w:val="Normaltext"/>
      </w:pPr>
    </w:p>
    <w:p w:rsidR="009D5A1B" w:rsidRPr="000F6431" w:rsidRDefault="00535352" w:rsidP="006E0B9E">
      <w:pPr>
        <w:pStyle w:val="Normaltext"/>
      </w:pPr>
      <w:r w:rsidRPr="000F6431">
        <w:t xml:space="preserve">Closer working between health, environment and planning professionals is </w:t>
      </w:r>
      <w:r w:rsidR="006C0242" w:rsidRPr="000F6431">
        <w:t xml:space="preserve">also </w:t>
      </w:r>
      <w:r w:rsidRPr="000F6431">
        <w:t xml:space="preserve">recommended to reinforce </w:t>
      </w:r>
      <w:r w:rsidR="00CC3B88" w:rsidRPr="000F6431">
        <w:t xml:space="preserve">understanding of </w:t>
      </w:r>
      <w:r w:rsidRPr="000F6431">
        <w:t xml:space="preserve">planners’ role in the health impacts of development, and to ensure that </w:t>
      </w:r>
      <w:r w:rsidR="00CC3B88" w:rsidRPr="000F6431">
        <w:t>it</w:t>
      </w:r>
      <w:r w:rsidRPr="000F6431">
        <w:t xml:space="preserve"> is not an afterthought (PAS, 2008b). </w:t>
      </w:r>
      <w:r w:rsidR="00CC3B88" w:rsidRPr="000F6431">
        <w:t>J</w:t>
      </w:r>
      <w:r w:rsidRPr="000F6431">
        <w:t xml:space="preserve">oint assessment between planners and health professionals is noted as enabling a focus on wider health issues, </w:t>
      </w:r>
      <w:r w:rsidR="003B3031" w:rsidRPr="000F6431">
        <w:t>including</w:t>
      </w:r>
      <w:r w:rsidRPr="000F6431">
        <w:t xml:space="preserve"> health inequalities (</w:t>
      </w:r>
      <w:r w:rsidR="003B3031" w:rsidRPr="000F6431">
        <w:t xml:space="preserve">BMI, 1998; </w:t>
      </w:r>
      <w:r w:rsidRPr="000F6431">
        <w:t xml:space="preserve">Hay and Kitcher, 2004). Such joint working would also help health professionals to understand the planning system </w:t>
      </w:r>
      <w:r w:rsidR="00EA57C4" w:rsidRPr="000F6431">
        <w:t xml:space="preserve">better </w:t>
      </w:r>
      <w:r w:rsidRPr="000F6431">
        <w:t xml:space="preserve">and how they can best contribute. </w:t>
      </w:r>
    </w:p>
    <w:p w:rsidR="009D5A1B" w:rsidRPr="000F6431" w:rsidRDefault="009D5A1B" w:rsidP="006E0B9E">
      <w:pPr>
        <w:pStyle w:val="Normaltext"/>
      </w:pPr>
    </w:p>
    <w:p w:rsidR="009D5A1B" w:rsidRPr="000F6431" w:rsidRDefault="00535352" w:rsidP="006E0B9E">
      <w:pPr>
        <w:pStyle w:val="Normaltext"/>
      </w:pPr>
      <w:r w:rsidRPr="000F6431">
        <w:t>Finally, the process of developing and undertaking HIA is viewed by some as a way of addressing gaps in knowledge and conceptual understanding. Further development of HIA is seen as a solution to the lack of health considerations and the need to take a broader role beyond statutory obl</w:t>
      </w:r>
      <w:r w:rsidR="00A8384F" w:rsidRPr="000F6431">
        <w:t>igations (Harris et al, 2009; Kørnø</w:t>
      </w:r>
      <w:r w:rsidRPr="000F6431">
        <w:t>v, 2009). HIA is also viewed as having transformed the understanding of the role of sp</w:t>
      </w:r>
      <w:r w:rsidR="006C0242" w:rsidRPr="000F6431">
        <w:t>a</w:t>
      </w:r>
      <w:r w:rsidRPr="000F6431">
        <w:t>tial planning in promoting health and reducing health inequalities (Stevenson et al, 2007).</w:t>
      </w:r>
    </w:p>
    <w:p w:rsidR="009D5A1B" w:rsidRPr="000F6431" w:rsidRDefault="00EA57C4" w:rsidP="006E0B9E">
      <w:pPr>
        <w:pStyle w:val="Normaltext"/>
      </w:pPr>
      <w:bookmarkStart w:id="1" w:name="OLE_LINK5"/>
      <w:bookmarkStart w:id="2" w:name="OLE_LINK6"/>
      <w:r w:rsidRPr="000F6431">
        <w:t xml:space="preserve"> </w:t>
      </w:r>
    </w:p>
    <w:p w:rsidR="00516866" w:rsidRPr="000F6431" w:rsidRDefault="00C334E9" w:rsidP="001225B1">
      <w:pPr>
        <w:spacing w:line="480" w:lineRule="auto"/>
        <w:rPr>
          <w:rFonts w:ascii="Times New Roman" w:hAnsi="Times New Roman" w:cs="Times New Roman"/>
          <w:sz w:val="24"/>
          <w:szCs w:val="24"/>
        </w:rPr>
      </w:pPr>
      <w:r w:rsidRPr="000F6431">
        <w:rPr>
          <w:rFonts w:ascii="Times New Roman" w:hAnsi="Times New Roman" w:cs="Times New Roman"/>
          <w:sz w:val="24"/>
          <w:szCs w:val="24"/>
        </w:rPr>
        <w:t>4.2 Partnerships</w:t>
      </w:r>
    </w:p>
    <w:p w:rsidR="006E0B9E" w:rsidRPr="000F6431" w:rsidRDefault="006E0B9E" w:rsidP="001225B1">
      <w:pPr>
        <w:spacing w:line="480" w:lineRule="auto"/>
        <w:rPr>
          <w:rFonts w:ascii="Times New Roman" w:hAnsi="Times New Roman" w:cs="Times New Roman"/>
          <w:b/>
          <w:sz w:val="24"/>
          <w:szCs w:val="24"/>
        </w:rPr>
      </w:pPr>
    </w:p>
    <w:p w:rsidR="00BB4E9E" w:rsidRPr="000F6431" w:rsidRDefault="00CC3B88" w:rsidP="001225B1">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Thirty seven </w:t>
      </w:r>
      <w:r w:rsidR="00AE4196" w:rsidRPr="000F6431">
        <w:rPr>
          <w:rFonts w:ascii="Times New Roman" w:hAnsi="Times New Roman" w:cs="Times New Roman"/>
          <w:sz w:val="24"/>
          <w:szCs w:val="24"/>
        </w:rPr>
        <w:t xml:space="preserve">studies identified </w:t>
      </w:r>
      <w:r w:rsidRPr="000F6431">
        <w:rPr>
          <w:rFonts w:ascii="Times New Roman" w:hAnsi="Times New Roman" w:cs="Times New Roman"/>
          <w:sz w:val="24"/>
          <w:szCs w:val="24"/>
        </w:rPr>
        <w:t xml:space="preserve">issues relating to partnerships. </w:t>
      </w:r>
    </w:p>
    <w:p w:rsidR="006E0B9E" w:rsidRPr="000F6431" w:rsidRDefault="006E0B9E" w:rsidP="001225B1">
      <w:pPr>
        <w:spacing w:line="480" w:lineRule="auto"/>
        <w:rPr>
          <w:rFonts w:ascii="Times New Roman" w:hAnsi="Times New Roman" w:cs="Times New Roman"/>
          <w:sz w:val="24"/>
          <w:szCs w:val="24"/>
        </w:rPr>
      </w:pPr>
    </w:p>
    <w:p w:rsidR="009D5A1B" w:rsidRPr="000F6431" w:rsidRDefault="003161EC" w:rsidP="006E0B9E">
      <w:pPr>
        <w:pStyle w:val="Normaltext"/>
      </w:pPr>
      <w:r w:rsidRPr="000F6431">
        <w:t>4.2.1 Partnership</w:t>
      </w:r>
      <w:r w:rsidR="00CC3B88" w:rsidRPr="000F6431">
        <w:t xml:space="preserve"> Barriers</w:t>
      </w:r>
    </w:p>
    <w:p w:rsidR="006E0B9E" w:rsidRPr="000F6431" w:rsidRDefault="006E0B9E" w:rsidP="006E0B9E">
      <w:pPr>
        <w:pStyle w:val="Normaltext"/>
      </w:pPr>
    </w:p>
    <w:bookmarkEnd w:id="1"/>
    <w:bookmarkEnd w:id="2"/>
    <w:p w:rsidR="009D5A1B" w:rsidRPr="000F6431" w:rsidRDefault="00535352" w:rsidP="006E0B9E">
      <w:pPr>
        <w:pStyle w:val="Normaltext"/>
      </w:pPr>
      <w:r w:rsidRPr="000F6431">
        <w:t xml:space="preserve">Several studies note that the various organisations who </w:t>
      </w:r>
      <w:r w:rsidR="00CC3B88" w:rsidRPr="000F6431">
        <w:t xml:space="preserve">need to </w:t>
      </w:r>
      <w:r w:rsidRPr="000F6431">
        <w:t>work together in order to integrate health considerations into planning often have very different cultures, and use different languages and te</w:t>
      </w:r>
      <w:r w:rsidR="00A8384F" w:rsidRPr="000F6431">
        <w:t>rminologies (Fischer et al, 2010</w:t>
      </w:r>
      <w:r w:rsidRPr="000F6431">
        <w:t xml:space="preserve">; France, 2004; NHS London, 2009; PAS, 2008b; Stevenson et al, 2007). </w:t>
      </w:r>
      <w:r w:rsidR="00CC3B88" w:rsidRPr="000F6431">
        <w:t>This can</w:t>
      </w:r>
      <w:r w:rsidRPr="000F6431">
        <w:t xml:space="preserve"> </w:t>
      </w:r>
      <w:r w:rsidR="00A51C78" w:rsidRPr="000F6431">
        <w:t>cause</w:t>
      </w:r>
      <w:r w:rsidRPr="000F6431">
        <w:t xml:space="preserve"> problems in interpretation and contextualisation of key terms such as health. </w:t>
      </w:r>
    </w:p>
    <w:p w:rsidR="009D5A1B" w:rsidRPr="000F6431" w:rsidRDefault="009D5A1B" w:rsidP="006E0B9E">
      <w:pPr>
        <w:pStyle w:val="Normaltext"/>
      </w:pPr>
    </w:p>
    <w:p w:rsidR="009D5A1B" w:rsidRPr="000F6431" w:rsidRDefault="00535352" w:rsidP="006E0B9E">
      <w:pPr>
        <w:pStyle w:val="Normaltext"/>
      </w:pPr>
      <w:r w:rsidRPr="000F6431">
        <w:t xml:space="preserve">Partnership working is also hindered by the different structures of the organisations, and </w:t>
      </w:r>
      <w:r w:rsidR="00CC3B88" w:rsidRPr="000F6431">
        <w:t xml:space="preserve">by differing </w:t>
      </w:r>
      <w:r w:rsidRPr="000F6431">
        <w:t>day to day and strategic priorities (Neville et al, 2005). A number of authors cite the limited time and human resources that are available to dedicate to developing effective partnerships (Mathias</w:t>
      </w:r>
      <w:r w:rsidR="00A8384F" w:rsidRPr="000F6431">
        <w:t xml:space="preserve"> and Harris-Roxas</w:t>
      </w:r>
      <w:r w:rsidRPr="000F6431">
        <w:t>, 2009; NHS London, 2009; Noble and Bronson, 2006). This extends to conducting community engag</w:t>
      </w:r>
      <w:r w:rsidR="006C0242" w:rsidRPr="000F6431">
        <w:t>e</w:t>
      </w:r>
      <w:r w:rsidRPr="000F6431">
        <w:t>ment and participatory stakeholder workshops</w:t>
      </w:r>
      <w:r w:rsidR="00CC3B88" w:rsidRPr="000F6431">
        <w:t xml:space="preserve"> as a part of HIA (Bendel and Owen-Smith, 2005), and is compounded by the </w:t>
      </w:r>
      <w:r w:rsidRPr="000F6431">
        <w:t xml:space="preserve">often short deadlines for conducting appraisals such as HIA (Bendel and Owen-Smith, 2005). </w:t>
      </w:r>
    </w:p>
    <w:p w:rsidR="009D5A1B" w:rsidRPr="000F6431" w:rsidRDefault="009D5A1B" w:rsidP="006E0B9E">
      <w:pPr>
        <w:pStyle w:val="Normaltext"/>
      </w:pPr>
    </w:p>
    <w:p w:rsidR="009D5A1B" w:rsidRPr="000F6431" w:rsidRDefault="00535352" w:rsidP="006E0B9E">
      <w:pPr>
        <w:pStyle w:val="Normaltext"/>
      </w:pPr>
      <w:r w:rsidRPr="000F6431">
        <w:t>The lack of partnership working is seen to contribute to a vicious circle whereby a lack of inter</w:t>
      </w:r>
      <w:r w:rsidR="00CC3B88" w:rsidRPr="000F6431">
        <w:t>-</w:t>
      </w:r>
      <w:r w:rsidRPr="000F6431">
        <w:t>sectoral understanding, including lack of knowledge of planning among health professionals and vice versa, leads to unease among partners and a lack of trust (Greig et al, 2004)</w:t>
      </w:r>
      <w:r w:rsidR="00CC3B88" w:rsidRPr="000F6431">
        <w:t xml:space="preserve">, which </w:t>
      </w:r>
      <w:r w:rsidRPr="000F6431">
        <w:t xml:space="preserve">then hinders the potential for future partnership working (Ahmad et al, 2008). </w:t>
      </w:r>
    </w:p>
    <w:p w:rsidR="009D5A1B" w:rsidRPr="000F6431" w:rsidRDefault="009D5A1B" w:rsidP="006E0B9E">
      <w:pPr>
        <w:pStyle w:val="Normaltext"/>
      </w:pPr>
    </w:p>
    <w:p w:rsidR="00535352" w:rsidRPr="000F6431" w:rsidRDefault="00477E14" w:rsidP="00477E14">
      <w:pPr>
        <w:pStyle w:val="ListParagraph"/>
        <w:spacing w:line="480" w:lineRule="auto"/>
        <w:ind w:left="0"/>
        <w:rPr>
          <w:rFonts w:ascii="Times New Roman" w:hAnsi="Times New Roman"/>
          <w:szCs w:val="24"/>
        </w:rPr>
      </w:pPr>
      <w:r w:rsidRPr="000F6431">
        <w:rPr>
          <w:rFonts w:ascii="Times New Roman" w:hAnsi="Times New Roman"/>
          <w:szCs w:val="24"/>
        </w:rPr>
        <w:lastRenderedPageBreak/>
        <w:t>4.2.</w:t>
      </w:r>
      <w:r w:rsidR="00AF145A" w:rsidRPr="000F6431">
        <w:rPr>
          <w:rFonts w:ascii="Times New Roman" w:hAnsi="Times New Roman"/>
          <w:szCs w:val="24"/>
        </w:rPr>
        <w:t>2</w:t>
      </w:r>
      <w:r w:rsidRPr="000F6431">
        <w:rPr>
          <w:rFonts w:ascii="Times New Roman" w:hAnsi="Times New Roman"/>
          <w:szCs w:val="24"/>
        </w:rPr>
        <w:t xml:space="preserve"> Partnership</w:t>
      </w:r>
      <w:r w:rsidR="00CC3B88" w:rsidRPr="000F6431">
        <w:rPr>
          <w:rFonts w:ascii="Times New Roman" w:hAnsi="Times New Roman"/>
          <w:szCs w:val="24"/>
        </w:rPr>
        <w:t xml:space="preserve"> Facilitators</w:t>
      </w:r>
    </w:p>
    <w:p w:rsidR="006E0B9E" w:rsidRPr="000F6431" w:rsidRDefault="006E0B9E" w:rsidP="006E0B9E">
      <w:pPr>
        <w:pStyle w:val="Normaltext"/>
      </w:pPr>
    </w:p>
    <w:p w:rsidR="009D5A1B" w:rsidRPr="000F6431" w:rsidRDefault="00535352" w:rsidP="006E0B9E">
      <w:pPr>
        <w:pStyle w:val="Normaltext"/>
      </w:pPr>
      <w:r w:rsidRPr="000F6431">
        <w:t xml:space="preserve">Several studies identify the need </w:t>
      </w:r>
      <w:r w:rsidR="00AF246F" w:rsidRPr="000F6431">
        <w:t>for</w:t>
      </w:r>
      <w:r w:rsidRPr="000F6431">
        <w:t xml:space="preserve"> close partnership working from an early stage, including the development of a shared vision among partners through coalition and consensus building, formalised arrangements for partnership working, and explicit roles and responsibilities (Ahmad et al, 2008; Bekker et al, 2005; Bond et al, 2001; </w:t>
      </w:r>
      <w:r w:rsidR="003B3031" w:rsidRPr="000F6431">
        <w:t xml:space="preserve">BMI, 1998; </w:t>
      </w:r>
      <w:r w:rsidRPr="000F6431">
        <w:t>Corburn and Bhatia, 2007; Hay and Kitcher, 2004; NHS London, 2009; PAS, 2008b; Plant et al, 2007). Joi</w:t>
      </w:r>
      <w:r w:rsidR="006C0242" w:rsidRPr="000F6431">
        <w:t xml:space="preserve">nt working in </w:t>
      </w:r>
      <w:r w:rsidR="00AF246F" w:rsidRPr="000F6431">
        <w:t>England</w:t>
      </w:r>
      <w:r w:rsidR="006C0242" w:rsidRPr="000F6431">
        <w:t xml:space="preserve"> between primary care trusts (PCTs) and local a</w:t>
      </w:r>
      <w:r w:rsidRPr="000F6431">
        <w:t>uthorities is viewed as having had a positive effect, with potential for more joint posts such as joint chief executives (France, 2004; NHS London, 2009).</w:t>
      </w:r>
      <w:r w:rsidR="006C0242" w:rsidRPr="000F6431">
        <w:t xml:space="preserve"> </w:t>
      </w:r>
    </w:p>
    <w:p w:rsidR="009D5A1B" w:rsidRPr="000F6431" w:rsidRDefault="009D5A1B" w:rsidP="006E0B9E">
      <w:pPr>
        <w:pStyle w:val="Normaltext"/>
      </w:pPr>
    </w:p>
    <w:p w:rsidR="009D5A1B" w:rsidRPr="000F6431" w:rsidRDefault="00535352" w:rsidP="006E0B9E">
      <w:pPr>
        <w:pStyle w:val="Normaltext"/>
      </w:pPr>
      <w:r w:rsidRPr="000F6431">
        <w:t>Good communication channels</w:t>
      </w:r>
      <w:r w:rsidR="00AF246F" w:rsidRPr="000F6431">
        <w:t>,</w:t>
      </w:r>
      <w:r w:rsidRPr="000F6431">
        <w:t xml:space="preserve"> and the use of a common language among partners (including community / lay</w:t>
      </w:r>
      <w:r w:rsidR="006C0242" w:rsidRPr="000F6431">
        <w:t xml:space="preserve"> stakeholders)</w:t>
      </w:r>
      <w:r w:rsidR="00AF246F" w:rsidRPr="000F6431">
        <w:t>,</w:t>
      </w:r>
      <w:r w:rsidR="006C0242" w:rsidRPr="000F6431">
        <w:t xml:space="preserve"> is also</w:t>
      </w:r>
      <w:r w:rsidRPr="000F6431">
        <w:t xml:space="preserve"> emphasised as a way of maximising participation across organisations and communi</w:t>
      </w:r>
      <w:r w:rsidR="00A8384F" w:rsidRPr="000F6431">
        <w:t>ties (Fischer et al, 2010</w:t>
      </w:r>
      <w:r w:rsidRPr="000F6431">
        <w:t>). This could also include experimenting with ne</w:t>
      </w:r>
      <w:r w:rsidR="00A8384F" w:rsidRPr="000F6431">
        <w:t>w participatory approaches (GCPH</w:t>
      </w:r>
      <w:r w:rsidRPr="000F6431">
        <w:t xml:space="preserve">, 2007; PAS, 2008a). </w:t>
      </w:r>
      <w:r w:rsidR="00AF246F" w:rsidRPr="000F6431">
        <w:t>A</w:t>
      </w:r>
      <w:r w:rsidRPr="000F6431">
        <w:t xml:space="preserve">s linking community engagement to health is said to </w:t>
      </w:r>
      <w:r w:rsidR="00AF246F" w:rsidRPr="000F6431">
        <w:t>“</w:t>
      </w:r>
      <w:r w:rsidRPr="000F6431">
        <w:t>provide a hook</w:t>
      </w:r>
      <w:r w:rsidR="00AF246F" w:rsidRPr="000F6431">
        <w:t>”</w:t>
      </w:r>
      <w:r w:rsidRPr="000F6431">
        <w:t xml:space="preserve"> for planners to engage local people, it could be a way of encouraging planners to embrace health considerations (PAS, 2008b).</w:t>
      </w:r>
    </w:p>
    <w:p w:rsidR="009D5A1B" w:rsidRPr="000F6431" w:rsidRDefault="009D5A1B" w:rsidP="006E0B9E">
      <w:pPr>
        <w:pStyle w:val="Normaltext"/>
      </w:pPr>
    </w:p>
    <w:p w:rsidR="009D5A1B" w:rsidRPr="000F6431" w:rsidRDefault="00AF246F" w:rsidP="006E0B9E">
      <w:pPr>
        <w:pStyle w:val="Normaltext"/>
      </w:pPr>
      <w:r w:rsidRPr="000F6431">
        <w:t xml:space="preserve">It is </w:t>
      </w:r>
      <w:r w:rsidR="00535352" w:rsidRPr="000F6431">
        <w:t xml:space="preserve">suggested that key partners should commit dedicated resources, </w:t>
      </w:r>
      <w:r w:rsidRPr="000F6431">
        <w:t xml:space="preserve">for example, </w:t>
      </w:r>
      <w:r w:rsidR="00535352" w:rsidRPr="000F6431">
        <w:t>to sustain effective community participation (Greig et al, 2004; Mathias</w:t>
      </w:r>
      <w:r w:rsidR="00A8384F" w:rsidRPr="000F6431">
        <w:t xml:space="preserve"> and Harris-Roxas</w:t>
      </w:r>
      <w:r w:rsidR="00535352" w:rsidRPr="000F6431">
        <w:t>, 2009)</w:t>
      </w:r>
      <w:r w:rsidRPr="000F6431">
        <w:t xml:space="preserve">, and to </w:t>
      </w:r>
      <w:r w:rsidR="00535352" w:rsidRPr="000F6431">
        <w:t>develop multi-agency training courses and master</w:t>
      </w:r>
      <w:r w:rsidR="006C0242" w:rsidRPr="000F6431">
        <w:t xml:space="preserve"> </w:t>
      </w:r>
      <w:r w:rsidR="00535352" w:rsidRPr="000F6431">
        <w:t xml:space="preserve">classes, which are seen not only as a way of improving knowledge and understanding of health and planning among partners, but also bringing those partners together for shared learning and </w:t>
      </w:r>
      <w:r w:rsidR="00535352" w:rsidRPr="000F6431">
        <w:lastRenderedPageBreak/>
        <w:t>development of relationships (Dannenberg et al, 2008; Mathias</w:t>
      </w:r>
      <w:r w:rsidR="00A8384F" w:rsidRPr="000F6431">
        <w:t xml:space="preserve"> and Harris-Roxas</w:t>
      </w:r>
      <w:r w:rsidR="00535352" w:rsidRPr="000F6431">
        <w:t>, 2009; Stevenson et al, 2007).</w:t>
      </w:r>
      <w:r w:rsidR="006C0242" w:rsidRPr="000F6431">
        <w:t xml:space="preserve"> </w:t>
      </w:r>
    </w:p>
    <w:p w:rsidR="009D5A1B" w:rsidRPr="000F6431" w:rsidRDefault="009D5A1B" w:rsidP="006E0B9E">
      <w:pPr>
        <w:pStyle w:val="Normaltext"/>
      </w:pPr>
    </w:p>
    <w:p w:rsidR="009D5A1B" w:rsidRPr="000F6431" w:rsidRDefault="006C0242" w:rsidP="006E0B9E">
      <w:pPr>
        <w:pStyle w:val="Normaltext"/>
      </w:pPr>
      <w:r w:rsidRPr="000F6431">
        <w:t>I</w:t>
      </w:r>
      <w:r w:rsidR="00535352" w:rsidRPr="000F6431">
        <w:t>nstitutiona</w:t>
      </w:r>
      <w:r w:rsidRPr="000F6431">
        <w:t xml:space="preserve">l support by a dedicated body or </w:t>
      </w:r>
      <w:r w:rsidR="00535352" w:rsidRPr="000F6431">
        <w:t>broker organisation is highlighted as a way of facilitating partnership working</w:t>
      </w:r>
      <w:r w:rsidR="00AF246F" w:rsidRPr="000F6431">
        <w:t xml:space="preserve">. The </w:t>
      </w:r>
      <w:r w:rsidR="00535352" w:rsidRPr="000F6431">
        <w:t xml:space="preserve">Healthy Urban Development Unit (HUDU) </w:t>
      </w:r>
      <w:r w:rsidR="00AF246F" w:rsidRPr="000F6431">
        <w:t>of NHS London</w:t>
      </w:r>
      <w:r w:rsidR="00A31047" w:rsidRPr="000F6431">
        <w:t>, in which a small team of planners were embedded in the NHS,</w:t>
      </w:r>
      <w:r w:rsidR="00AF246F" w:rsidRPr="000F6431">
        <w:t xml:space="preserve"> has been seen as </w:t>
      </w:r>
      <w:r w:rsidR="00535352" w:rsidRPr="000F6431">
        <w:t>a key facilitator bringing together of health and planning concerns ac</w:t>
      </w:r>
      <w:r w:rsidR="00A8384F" w:rsidRPr="000F6431">
        <w:t>ross London (Fischer et al, 2010</w:t>
      </w:r>
      <w:r w:rsidR="00535352" w:rsidRPr="000F6431">
        <w:t xml:space="preserve">; </w:t>
      </w:r>
      <w:r w:rsidR="00A8384F" w:rsidRPr="000F6431">
        <w:t>YHEC</w:t>
      </w:r>
      <w:r w:rsidR="00535352" w:rsidRPr="000F6431">
        <w:t>, 2006). Strategic alliances such as Local Strategic Partnerships and multi-disciplinary task forces are also seen as being helpful in promoting better partnership working (Burns and Bond, 2008; Caussy et al, 2003; Greig et al, 2004).</w:t>
      </w:r>
      <w:r w:rsidR="00DC6A68" w:rsidRPr="000F6431">
        <w:t xml:space="preserve"> </w:t>
      </w:r>
    </w:p>
    <w:p w:rsidR="009D5A1B" w:rsidRPr="000F6431" w:rsidRDefault="009D5A1B" w:rsidP="006E0B9E">
      <w:pPr>
        <w:pStyle w:val="Normaltext"/>
      </w:pPr>
    </w:p>
    <w:p w:rsidR="009D5A1B" w:rsidRPr="000F6431" w:rsidRDefault="00DC6A68" w:rsidP="006E0B9E">
      <w:pPr>
        <w:pStyle w:val="Normaltext"/>
      </w:pPr>
      <w:r w:rsidRPr="000F6431">
        <w:t xml:space="preserve">Finally, </w:t>
      </w:r>
      <w:r w:rsidR="00535352" w:rsidRPr="000F6431">
        <w:t>HIA itself is highlighted as a useful process for bringing together partners, developing greater understanding, facilitating a change in priorities in planning strategies and highlighting the role that health considerations have in the appraisal process (Neville et al, 2005; Stevenson et al, 2005). HIA should be promoted</w:t>
      </w:r>
      <w:r w:rsidRPr="000F6431">
        <w:t xml:space="preserve"> as a non-threatening and </w:t>
      </w:r>
      <w:r w:rsidR="00535352" w:rsidRPr="000F6431">
        <w:t xml:space="preserve">constructive process (Bendel and Owen-Smith, 2005). </w:t>
      </w:r>
    </w:p>
    <w:p w:rsidR="006C0242" w:rsidRPr="000F6431" w:rsidRDefault="006C0242" w:rsidP="001225B1">
      <w:pPr>
        <w:spacing w:line="480" w:lineRule="auto"/>
        <w:rPr>
          <w:rFonts w:cs="Arial"/>
          <w:szCs w:val="24"/>
        </w:rPr>
      </w:pPr>
    </w:p>
    <w:p w:rsidR="00477E14" w:rsidRPr="000F6431" w:rsidRDefault="00C334E9" w:rsidP="001225B1">
      <w:pPr>
        <w:tabs>
          <w:tab w:val="left" w:pos="6507"/>
        </w:tabs>
        <w:spacing w:line="480" w:lineRule="auto"/>
        <w:rPr>
          <w:rFonts w:ascii="Times New Roman" w:hAnsi="Times New Roman" w:cs="Times New Roman"/>
          <w:sz w:val="24"/>
          <w:szCs w:val="24"/>
        </w:rPr>
      </w:pPr>
      <w:r w:rsidRPr="000F6431">
        <w:rPr>
          <w:rFonts w:ascii="Times New Roman" w:hAnsi="Times New Roman" w:cs="Times New Roman"/>
          <w:sz w:val="24"/>
          <w:szCs w:val="24"/>
        </w:rPr>
        <w:t>4.3 Management and resources</w:t>
      </w:r>
    </w:p>
    <w:p w:rsidR="006E0B9E" w:rsidRPr="000F6431" w:rsidRDefault="006E0B9E" w:rsidP="001225B1">
      <w:pPr>
        <w:tabs>
          <w:tab w:val="left" w:pos="6507"/>
        </w:tabs>
        <w:spacing w:line="480" w:lineRule="auto"/>
        <w:rPr>
          <w:rFonts w:ascii="Times New Roman" w:hAnsi="Times New Roman" w:cs="Times New Roman"/>
          <w:b/>
          <w:sz w:val="24"/>
          <w:szCs w:val="24"/>
        </w:rPr>
      </w:pPr>
    </w:p>
    <w:p w:rsidR="001058A2" w:rsidRPr="000F6431" w:rsidRDefault="001058A2" w:rsidP="001225B1">
      <w:pPr>
        <w:tabs>
          <w:tab w:val="left" w:pos="6507"/>
        </w:tabs>
        <w:spacing w:line="480" w:lineRule="auto"/>
        <w:rPr>
          <w:rFonts w:ascii="Times New Roman" w:hAnsi="Times New Roman" w:cs="Times New Roman"/>
          <w:sz w:val="24"/>
          <w:szCs w:val="24"/>
        </w:rPr>
      </w:pPr>
      <w:r w:rsidRPr="000F6431">
        <w:rPr>
          <w:rFonts w:ascii="Times New Roman" w:hAnsi="Times New Roman" w:cs="Times New Roman"/>
          <w:sz w:val="24"/>
          <w:szCs w:val="24"/>
        </w:rPr>
        <w:t>31 studies identified management and resources as problematic but studies also concluded that institutional leadership and commitment can facilitate better integration between health and planning.</w:t>
      </w:r>
      <w:r w:rsidR="00AF145A" w:rsidRPr="000F6431">
        <w:rPr>
          <w:rFonts w:ascii="Times New Roman" w:hAnsi="Times New Roman" w:cs="Times New Roman"/>
          <w:sz w:val="24"/>
          <w:szCs w:val="24"/>
        </w:rPr>
        <w:t xml:space="preserve"> Since management approaches and partnership working </w:t>
      </w:r>
      <w:r w:rsidR="00AF145A" w:rsidRPr="000F6431">
        <w:rPr>
          <w:rFonts w:ascii="Times New Roman" w:hAnsi="Times New Roman" w:cs="Times New Roman"/>
          <w:sz w:val="24"/>
          <w:szCs w:val="24"/>
        </w:rPr>
        <w:lastRenderedPageBreak/>
        <w:t>are interdep</w:t>
      </w:r>
      <w:r w:rsidR="0063622C" w:rsidRPr="000F6431">
        <w:rPr>
          <w:rFonts w:ascii="Times New Roman" w:hAnsi="Times New Roman" w:cs="Times New Roman"/>
          <w:sz w:val="24"/>
          <w:szCs w:val="24"/>
        </w:rPr>
        <w:t>endent, aspects of inter-organis</w:t>
      </w:r>
      <w:r w:rsidR="00AF145A" w:rsidRPr="000F6431">
        <w:rPr>
          <w:rFonts w:ascii="Times New Roman" w:hAnsi="Times New Roman" w:cs="Times New Roman"/>
          <w:sz w:val="24"/>
          <w:szCs w:val="24"/>
        </w:rPr>
        <w:t>ational collaboration are further developed in the section.</w:t>
      </w:r>
    </w:p>
    <w:p w:rsidR="00BB4E9E" w:rsidRPr="000F6431" w:rsidRDefault="00BB4E9E" w:rsidP="001225B1">
      <w:pPr>
        <w:tabs>
          <w:tab w:val="left" w:pos="6507"/>
        </w:tabs>
        <w:spacing w:line="480" w:lineRule="auto"/>
        <w:rPr>
          <w:rFonts w:ascii="Times New Roman" w:hAnsi="Times New Roman" w:cs="Times New Roman"/>
          <w:sz w:val="24"/>
          <w:szCs w:val="24"/>
        </w:rPr>
      </w:pPr>
    </w:p>
    <w:p w:rsidR="00477E14" w:rsidRPr="000F6431" w:rsidRDefault="00477E14" w:rsidP="001225B1">
      <w:pPr>
        <w:tabs>
          <w:tab w:val="left" w:pos="6507"/>
        </w:tabs>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4.3.1 </w:t>
      </w:r>
      <w:r w:rsidR="00AF246F" w:rsidRPr="000F6431">
        <w:rPr>
          <w:rFonts w:ascii="Times New Roman" w:hAnsi="Times New Roman" w:cs="Times New Roman"/>
          <w:sz w:val="24"/>
          <w:szCs w:val="24"/>
        </w:rPr>
        <w:t>Management and Resource Barriers</w:t>
      </w:r>
    </w:p>
    <w:p w:rsidR="003F02C2" w:rsidRPr="000F6431" w:rsidRDefault="001058A2" w:rsidP="00AF246F">
      <w:pPr>
        <w:tabs>
          <w:tab w:val="left" w:pos="6507"/>
        </w:tabs>
        <w:spacing w:line="480" w:lineRule="auto"/>
        <w:rPr>
          <w:rFonts w:ascii="Times New Roman" w:hAnsi="Times New Roman" w:cs="Times New Roman"/>
          <w:sz w:val="24"/>
          <w:szCs w:val="24"/>
        </w:rPr>
      </w:pPr>
      <w:r w:rsidRPr="000F6431">
        <w:rPr>
          <w:rFonts w:ascii="Times New Roman" w:hAnsi="Times New Roman" w:cs="Times New Roman"/>
          <w:sz w:val="24"/>
          <w:szCs w:val="24"/>
        </w:rPr>
        <w:t>S</w:t>
      </w:r>
      <w:r w:rsidR="006C0242" w:rsidRPr="000F6431">
        <w:rPr>
          <w:rFonts w:ascii="Times New Roman" w:hAnsi="Times New Roman" w:cs="Times New Roman"/>
          <w:sz w:val="24"/>
          <w:szCs w:val="24"/>
        </w:rPr>
        <w:t>tudies iden</w:t>
      </w:r>
      <w:r w:rsidR="00DC6A68" w:rsidRPr="000F6431">
        <w:rPr>
          <w:rFonts w:ascii="Times New Roman" w:hAnsi="Times New Roman" w:cs="Times New Roman"/>
          <w:sz w:val="24"/>
          <w:szCs w:val="24"/>
        </w:rPr>
        <w:t>tified l</w:t>
      </w:r>
      <w:r w:rsidR="00535352" w:rsidRPr="000F6431">
        <w:rPr>
          <w:rFonts w:ascii="Times New Roman" w:hAnsi="Times New Roman" w:cs="Times New Roman"/>
          <w:sz w:val="24"/>
          <w:szCs w:val="24"/>
        </w:rPr>
        <w:t>ack of support a</w:t>
      </w:r>
      <w:r w:rsidR="00E0521E" w:rsidRPr="000F6431">
        <w:rPr>
          <w:rFonts w:ascii="Times New Roman" w:hAnsi="Times New Roman" w:cs="Times New Roman"/>
          <w:sz w:val="24"/>
          <w:szCs w:val="24"/>
        </w:rPr>
        <w:t>nd delivery structure</w:t>
      </w:r>
      <w:r w:rsidR="00DC6A68" w:rsidRPr="000F6431">
        <w:rPr>
          <w:rFonts w:ascii="Times New Roman" w:hAnsi="Times New Roman" w:cs="Times New Roman"/>
          <w:sz w:val="24"/>
          <w:szCs w:val="24"/>
        </w:rPr>
        <w:t>s as</w:t>
      </w:r>
      <w:r w:rsidR="00E0521E" w:rsidRPr="000F6431">
        <w:rPr>
          <w:rFonts w:ascii="Times New Roman" w:hAnsi="Times New Roman" w:cs="Times New Roman"/>
          <w:sz w:val="24"/>
          <w:szCs w:val="24"/>
        </w:rPr>
        <w:t xml:space="preserve"> key barrier</w:t>
      </w:r>
      <w:r w:rsidR="00DC6A68" w:rsidRPr="000F6431">
        <w:rPr>
          <w:rFonts w:ascii="Times New Roman" w:hAnsi="Times New Roman" w:cs="Times New Roman"/>
          <w:sz w:val="24"/>
          <w:szCs w:val="24"/>
        </w:rPr>
        <w:t>s preventing planning decisions, even those on</w:t>
      </w:r>
      <w:r w:rsidR="003F02C2" w:rsidRPr="000F6431">
        <w:rPr>
          <w:rFonts w:ascii="Times New Roman" w:hAnsi="Times New Roman" w:cs="Times New Roman"/>
          <w:sz w:val="24"/>
          <w:szCs w:val="24"/>
        </w:rPr>
        <w:t xml:space="preserve"> which HIA has been applied, to</w:t>
      </w:r>
      <w:r w:rsidR="00DC6A68" w:rsidRPr="000F6431">
        <w:rPr>
          <w:rFonts w:ascii="Times New Roman" w:hAnsi="Times New Roman" w:cs="Times New Roman"/>
          <w:sz w:val="24"/>
          <w:szCs w:val="24"/>
        </w:rPr>
        <w:t xml:space="preserve"> take heal</w:t>
      </w:r>
      <w:r w:rsidR="003F02C2" w:rsidRPr="000F6431">
        <w:rPr>
          <w:rFonts w:ascii="Times New Roman" w:hAnsi="Times New Roman" w:cs="Times New Roman"/>
          <w:sz w:val="24"/>
          <w:szCs w:val="24"/>
        </w:rPr>
        <w:t xml:space="preserve">th considerations into account </w:t>
      </w:r>
      <w:r w:rsidR="00A8384F" w:rsidRPr="000F6431">
        <w:rPr>
          <w:rFonts w:ascii="Times New Roman" w:hAnsi="Times New Roman" w:cs="Times New Roman"/>
          <w:sz w:val="24"/>
          <w:szCs w:val="24"/>
        </w:rPr>
        <w:t>(</w:t>
      </w:r>
      <w:r w:rsidR="002D5551" w:rsidRPr="000F6431">
        <w:rPr>
          <w:rFonts w:ascii="Times New Roman" w:hAnsi="Times New Roman" w:cs="Times New Roman"/>
          <w:sz w:val="24"/>
          <w:szCs w:val="24"/>
        </w:rPr>
        <w:t xml:space="preserve">Bekker, 2005; Burns and Bond, 2008; Davenport, 2006; Elliott and Francis, 2005; </w:t>
      </w:r>
      <w:r w:rsidR="00A8384F" w:rsidRPr="000F6431">
        <w:rPr>
          <w:rFonts w:ascii="Times New Roman" w:hAnsi="Times New Roman" w:cs="Times New Roman"/>
          <w:sz w:val="24"/>
          <w:szCs w:val="24"/>
        </w:rPr>
        <w:t>Fischer et al., 2010</w:t>
      </w:r>
      <w:r w:rsidR="000D7B10" w:rsidRPr="000F6431">
        <w:rPr>
          <w:rFonts w:ascii="Times New Roman" w:hAnsi="Times New Roman" w:cs="Times New Roman"/>
          <w:sz w:val="24"/>
          <w:szCs w:val="24"/>
        </w:rPr>
        <w:t>; Hay</w:t>
      </w:r>
      <w:r w:rsidR="00A8384F" w:rsidRPr="000F6431">
        <w:rPr>
          <w:rFonts w:ascii="Times New Roman" w:hAnsi="Times New Roman" w:cs="Times New Roman"/>
          <w:sz w:val="24"/>
          <w:szCs w:val="24"/>
        </w:rPr>
        <w:t xml:space="preserve"> and Kitcher</w:t>
      </w:r>
      <w:r w:rsidR="000D7B10" w:rsidRPr="000F6431">
        <w:rPr>
          <w:rFonts w:ascii="Times New Roman" w:hAnsi="Times New Roman" w:cs="Times New Roman"/>
          <w:sz w:val="24"/>
          <w:szCs w:val="24"/>
        </w:rPr>
        <w:t xml:space="preserve">, 2004; </w:t>
      </w:r>
      <w:r w:rsidR="002D5551" w:rsidRPr="000F6431">
        <w:rPr>
          <w:rFonts w:ascii="Times New Roman" w:hAnsi="Times New Roman" w:cs="Times New Roman"/>
          <w:sz w:val="24"/>
          <w:szCs w:val="24"/>
        </w:rPr>
        <w:t xml:space="preserve">Utzinger et al., 2005; </w:t>
      </w:r>
      <w:r w:rsidR="000D7B10" w:rsidRPr="000F6431">
        <w:rPr>
          <w:rFonts w:ascii="Times New Roman" w:hAnsi="Times New Roman" w:cs="Times New Roman"/>
          <w:sz w:val="24"/>
          <w:szCs w:val="24"/>
        </w:rPr>
        <w:t>Wismar</w:t>
      </w:r>
      <w:r w:rsidR="00A8384F" w:rsidRPr="000F6431">
        <w:rPr>
          <w:rFonts w:ascii="Times New Roman" w:hAnsi="Times New Roman" w:cs="Times New Roman"/>
          <w:sz w:val="24"/>
          <w:szCs w:val="24"/>
        </w:rPr>
        <w:t xml:space="preserve"> et al</w:t>
      </w:r>
      <w:r w:rsidR="000D7B10" w:rsidRPr="000F6431">
        <w:rPr>
          <w:rFonts w:ascii="Times New Roman" w:hAnsi="Times New Roman" w:cs="Times New Roman"/>
          <w:sz w:val="24"/>
          <w:szCs w:val="24"/>
        </w:rPr>
        <w:t>, 2007;</w:t>
      </w:r>
      <w:r w:rsidR="00A8384F" w:rsidRPr="000F6431">
        <w:rPr>
          <w:rFonts w:ascii="Times New Roman" w:hAnsi="Times New Roman" w:cs="Times New Roman"/>
          <w:sz w:val="24"/>
          <w:szCs w:val="24"/>
        </w:rPr>
        <w:t xml:space="preserve"> YHEC</w:t>
      </w:r>
      <w:r w:rsidR="000D7B10" w:rsidRPr="000F6431">
        <w:rPr>
          <w:rFonts w:ascii="Times New Roman" w:hAnsi="Times New Roman" w:cs="Times New Roman"/>
          <w:sz w:val="24"/>
          <w:szCs w:val="24"/>
        </w:rPr>
        <w:t xml:space="preserve">, 2006). This </w:t>
      </w:r>
      <w:r w:rsidR="00545E54" w:rsidRPr="000F6431">
        <w:rPr>
          <w:rFonts w:ascii="Times New Roman" w:hAnsi="Times New Roman" w:cs="Times New Roman"/>
          <w:sz w:val="24"/>
          <w:szCs w:val="24"/>
        </w:rPr>
        <w:t>encompasses a</w:t>
      </w:r>
      <w:r w:rsidR="000D7B10" w:rsidRPr="000F6431">
        <w:rPr>
          <w:rFonts w:ascii="Times New Roman" w:hAnsi="Times New Roman" w:cs="Times New Roman"/>
          <w:sz w:val="24"/>
          <w:szCs w:val="24"/>
        </w:rPr>
        <w:t xml:space="preserve"> lack of </w:t>
      </w:r>
      <w:r w:rsidR="00905480" w:rsidRPr="000F6431">
        <w:rPr>
          <w:rFonts w:ascii="Times New Roman" w:hAnsi="Times New Roman" w:cs="Times New Roman"/>
          <w:sz w:val="24"/>
          <w:szCs w:val="24"/>
        </w:rPr>
        <w:t xml:space="preserve">institutional steering </w:t>
      </w:r>
      <w:r w:rsidR="00545E54" w:rsidRPr="000F6431">
        <w:rPr>
          <w:rFonts w:ascii="Times New Roman" w:hAnsi="Times New Roman" w:cs="Times New Roman"/>
          <w:sz w:val="24"/>
          <w:szCs w:val="24"/>
        </w:rPr>
        <w:t xml:space="preserve">from government, </w:t>
      </w:r>
      <w:r w:rsidR="000D7B10" w:rsidRPr="000F6431">
        <w:rPr>
          <w:rFonts w:ascii="Times New Roman" w:hAnsi="Times New Roman" w:cs="Times New Roman"/>
          <w:sz w:val="24"/>
          <w:szCs w:val="24"/>
        </w:rPr>
        <w:t xml:space="preserve">or from </w:t>
      </w:r>
      <w:r w:rsidR="00905480" w:rsidRPr="000F6431">
        <w:rPr>
          <w:rFonts w:ascii="Times New Roman" w:hAnsi="Times New Roman" w:cs="Times New Roman"/>
          <w:sz w:val="24"/>
          <w:szCs w:val="24"/>
        </w:rPr>
        <w:t>institutions themselves</w:t>
      </w:r>
      <w:r w:rsidR="00545E54" w:rsidRPr="000F6431">
        <w:rPr>
          <w:rFonts w:ascii="Times New Roman" w:hAnsi="Times New Roman" w:cs="Times New Roman"/>
          <w:sz w:val="24"/>
          <w:szCs w:val="24"/>
        </w:rPr>
        <w:t xml:space="preserve">, </w:t>
      </w:r>
      <w:r w:rsidR="00905480" w:rsidRPr="000F6431">
        <w:rPr>
          <w:rFonts w:ascii="Times New Roman" w:hAnsi="Times New Roman" w:cs="Times New Roman"/>
          <w:sz w:val="24"/>
          <w:szCs w:val="24"/>
        </w:rPr>
        <w:t xml:space="preserve">to a lack of </w:t>
      </w:r>
      <w:r w:rsidR="00695AC4" w:rsidRPr="000F6431">
        <w:rPr>
          <w:rFonts w:ascii="Times New Roman" w:hAnsi="Times New Roman" w:cs="Times New Roman"/>
          <w:sz w:val="24"/>
          <w:szCs w:val="24"/>
        </w:rPr>
        <w:t>supportive</w:t>
      </w:r>
      <w:r w:rsidR="00905480" w:rsidRPr="000F6431">
        <w:rPr>
          <w:rFonts w:ascii="Times New Roman" w:hAnsi="Times New Roman" w:cs="Times New Roman"/>
          <w:sz w:val="24"/>
          <w:szCs w:val="24"/>
        </w:rPr>
        <w:t xml:space="preserve"> mechanisms available to integrate appraisals into the planning decision-making process</w:t>
      </w:r>
      <w:r w:rsidR="00372A8F" w:rsidRPr="000F6431">
        <w:rPr>
          <w:rFonts w:ascii="Times New Roman" w:hAnsi="Times New Roman" w:cs="Times New Roman"/>
          <w:sz w:val="24"/>
          <w:szCs w:val="24"/>
        </w:rPr>
        <w:t xml:space="preserve"> (Davenport et al., 2006; NHS London, 2009</w:t>
      </w:r>
      <w:r w:rsidR="00430EFD" w:rsidRPr="000F6431">
        <w:rPr>
          <w:rFonts w:ascii="Times New Roman" w:hAnsi="Times New Roman" w:cs="Times New Roman"/>
          <w:sz w:val="24"/>
          <w:szCs w:val="24"/>
        </w:rPr>
        <w:t>; Wismar et al. 2007</w:t>
      </w:r>
      <w:r w:rsidR="00372A8F" w:rsidRPr="000F6431">
        <w:rPr>
          <w:rFonts w:ascii="Times New Roman" w:hAnsi="Times New Roman" w:cs="Times New Roman"/>
          <w:sz w:val="24"/>
          <w:szCs w:val="24"/>
        </w:rPr>
        <w:t>)</w:t>
      </w:r>
      <w:r w:rsidR="00545E54" w:rsidRPr="000F6431">
        <w:rPr>
          <w:rFonts w:ascii="Times New Roman" w:hAnsi="Times New Roman" w:cs="Times New Roman"/>
          <w:sz w:val="24"/>
          <w:szCs w:val="24"/>
        </w:rPr>
        <w:t xml:space="preserve">. The latter can lead </w:t>
      </w:r>
      <w:r w:rsidR="00905480" w:rsidRPr="000F6431">
        <w:rPr>
          <w:rFonts w:ascii="Times New Roman" w:hAnsi="Times New Roman" w:cs="Times New Roman"/>
          <w:sz w:val="24"/>
          <w:szCs w:val="24"/>
        </w:rPr>
        <w:t>at best to delays in appraisal or</w:t>
      </w:r>
      <w:r w:rsidR="00DC6A68" w:rsidRPr="000F6431">
        <w:rPr>
          <w:rFonts w:ascii="Times New Roman" w:hAnsi="Times New Roman" w:cs="Times New Roman"/>
          <w:sz w:val="24"/>
          <w:szCs w:val="24"/>
        </w:rPr>
        <w:t>, at</w:t>
      </w:r>
      <w:r w:rsidR="00905480" w:rsidRPr="000F6431">
        <w:rPr>
          <w:rFonts w:ascii="Times New Roman" w:hAnsi="Times New Roman" w:cs="Times New Roman"/>
          <w:sz w:val="24"/>
          <w:szCs w:val="24"/>
        </w:rPr>
        <w:t xml:space="preserve"> wors</w:t>
      </w:r>
      <w:r w:rsidR="00545E54" w:rsidRPr="000F6431">
        <w:rPr>
          <w:rFonts w:ascii="Times New Roman" w:hAnsi="Times New Roman" w:cs="Times New Roman"/>
          <w:sz w:val="24"/>
          <w:szCs w:val="24"/>
        </w:rPr>
        <w:t>t</w:t>
      </w:r>
      <w:r w:rsidR="00944EC2" w:rsidRPr="000F6431">
        <w:rPr>
          <w:rFonts w:ascii="Times New Roman" w:hAnsi="Times New Roman" w:cs="Times New Roman"/>
          <w:sz w:val="24"/>
          <w:szCs w:val="24"/>
        </w:rPr>
        <w:t>,</w:t>
      </w:r>
      <w:r w:rsidR="00905480" w:rsidRPr="000F6431">
        <w:rPr>
          <w:rFonts w:ascii="Times New Roman" w:hAnsi="Times New Roman" w:cs="Times New Roman"/>
          <w:sz w:val="24"/>
          <w:szCs w:val="24"/>
        </w:rPr>
        <w:t xml:space="preserve"> </w:t>
      </w:r>
      <w:r w:rsidR="00695AC4" w:rsidRPr="000F6431">
        <w:rPr>
          <w:rFonts w:ascii="Times New Roman" w:hAnsi="Times New Roman" w:cs="Times New Roman"/>
          <w:sz w:val="24"/>
          <w:szCs w:val="24"/>
        </w:rPr>
        <w:t>to ineffective appraisals based on</w:t>
      </w:r>
      <w:r w:rsidR="00545E54" w:rsidRPr="000F6431">
        <w:rPr>
          <w:rFonts w:ascii="Times New Roman" w:hAnsi="Times New Roman" w:cs="Times New Roman"/>
          <w:sz w:val="24"/>
          <w:szCs w:val="24"/>
        </w:rPr>
        <w:t xml:space="preserve"> little</w:t>
      </w:r>
      <w:r w:rsidR="00695AC4" w:rsidRPr="000F6431">
        <w:rPr>
          <w:rFonts w:ascii="Times New Roman" w:hAnsi="Times New Roman" w:cs="Times New Roman"/>
          <w:sz w:val="24"/>
          <w:szCs w:val="24"/>
        </w:rPr>
        <w:t xml:space="preserve"> data. For instance,</w:t>
      </w:r>
      <w:r w:rsidR="00905480" w:rsidRPr="000F6431">
        <w:rPr>
          <w:rFonts w:ascii="Times New Roman" w:hAnsi="Times New Roman" w:cs="Times New Roman"/>
          <w:sz w:val="24"/>
          <w:szCs w:val="24"/>
        </w:rPr>
        <w:t xml:space="preserve"> management roles between different organisations involved in assessments can be unclear</w:t>
      </w:r>
      <w:r w:rsidR="00545E54" w:rsidRPr="000F6431">
        <w:rPr>
          <w:rFonts w:ascii="Times New Roman" w:hAnsi="Times New Roman" w:cs="Times New Roman"/>
          <w:sz w:val="24"/>
          <w:szCs w:val="24"/>
        </w:rPr>
        <w:t>,</w:t>
      </w:r>
      <w:r w:rsidR="00905480" w:rsidRPr="000F6431">
        <w:rPr>
          <w:rFonts w:ascii="Times New Roman" w:hAnsi="Times New Roman" w:cs="Times New Roman"/>
          <w:sz w:val="24"/>
          <w:szCs w:val="24"/>
        </w:rPr>
        <w:t xml:space="preserve"> or </w:t>
      </w:r>
      <w:r w:rsidR="00545E54" w:rsidRPr="000F6431">
        <w:rPr>
          <w:rFonts w:ascii="Times New Roman" w:hAnsi="Times New Roman" w:cs="Times New Roman"/>
          <w:sz w:val="24"/>
          <w:szCs w:val="24"/>
        </w:rPr>
        <w:t xml:space="preserve">the </w:t>
      </w:r>
      <w:r w:rsidR="00905480" w:rsidRPr="000F6431">
        <w:rPr>
          <w:rFonts w:ascii="Times New Roman" w:hAnsi="Times New Roman" w:cs="Times New Roman"/>
          <w:sz w:val="24"/>
          <w:szCs w:val="24"/>
        </w:rPr>
        <w:t>organisational structure for assessment too small, in particular if seen as an activity on the margin of projects and planning decision-making</w:t>
      </w:r>
      <w:r w:rsidR="0027474E" w:rsidRPr="000F6431">
        <w:rPr>
          <w:rFonts w:ascii="Times New Roman" w:hAnsi="Times New Roman" w:cs="Times New Roman"/>
          <w:sz w:val="24"/>
          <w:szCs w:val="24"/>
        </w:rPr>
        <w:t xml:space="preserve"> </w:t>
      </w:r>
      <w:r w:rsidR="00372A8F" w:rsidRPr="000F6431">
        <w:rPr>
          <w:rFonts w:ascii="Times New Roman" w:hAnsi="Times New Roman" w:cs="Times New Roman"/>
          <w:sz w:val="24"/>
          <w:szCs w:val="24"/>
        </w:rPr>
        <w:t>(</w:t>
      </w:r>
      <w:r w:rsidR="00430EFD" w:rsidRPr="000F6431">
        <w:rPr>
          <w:rFonts w:ascii="Times New Roman" w:hAnsi="Times New Roman" w:cs="Times New Roman"/>
          <w:sz w:val="24"/>
          <w:szCs w:val="24"/>
        </w:rPr>
        <w:t>Bekker, 2005; Fischer et al. 2010; Hay and Kitcher, 2004</w:t>
      </w:r>
      <w:r w:rsidR="00372A8F" w:rsidRPr="000F6431">
        <w:rPr>
          <w:rFonts w:ascii="Times New Roman" w:hAnsi="Times New Roman" w:cs="Times New Roman"/>
          <w:sz w:val="24"/>
          <w:szCs w:val="24"/>
        </w:rPr>
        <w:t>)</w:t>
      </w:r>
      <w:r w:rsidR="00905480" w:rsidRPr="000F6431">
        <w:rPr>
          <w:rFonts w:ascii="Times New Roman" w:hAnsi="Times New Roman" w:cs="Times New Roman"/>
          <w:sz w:val="24"/>
          <w:szCs w:val="24"/>
        </w:rPr>
        <w:t xml:space="preserve">. </w:t>
      </w:r>
      <w:r w:rsidR="00695AC4" w:rsidRPr="000F6431">
        <w:rPr>
          <w:rFonts w:ascii="Times New Roman" w:hAnsi="Times New Roman" w:cs="Times New Roman"/>
          <w:sz w:val="24"/>
          <w:szCs w:val="24"/>
        </w:rPr>
        <w:t xml:space="preserve"> </w:t>
      </w:r>
    </w:p>
    <w:p w:rsidR="003F02C2" w:rsidRPr="000F6431" w:rsidRDefault="00545E54" w:rsidP="001225B1">
      <w:pPr>
        <w:spacing w:line="480" w:lineRule="auto"/>
        <w:rPr>
          <w:rFonts w:ascii="Times New Roman" w:hAnsi="Times New Roman"/>
          <w:sz w:val="24"/>
          <w:szCs w:val="24"/>
        </w:rPr>
      </w:pPr>
      <w:r w:rsidRPr="000F6431">
        <w:rPr>
          <w:rFonts w:ascii="Times New Roman" w:hAnsi="Times New Roman"/>
          <w:sz w:val="24"/>
          <w:szCs w:val="24"/>
        </w:rPr>
        <w:t>O</w:t>
      </w:r>
      <w:r w:rsidR="003515A4" w:rsidRPr="000F6431">
        <w:rPr>
          <w:rFonts w:ascii="Times New Roman" w:hAnsi="Times New Roman"/>
          <w:sz w:val="24"/>
          <w:szCs w:val="24"/>
        </w:rPr>
        <w:t xml:space="preserve">rganisations (local authorities or health) tend to prioritise other issues or </w:t>
      </w:r>
      <w:r w:rsidRPr="000F6431">
        <w:rPr>
          <w:rFonts w:ascii="Times New Roman" w:hAnsi="Times New Roman"/>
          <w:sz w:val="24"/>
          <w:szCs w:val="24"/>
        </w:rPr>
        <w:t>may be</w:t>
      </w:r>
      <w:r w:rsidR="003515A4" w:rsidRPr="000F6431">
        <w:rPr>
          <w:rFonts w:ascii="Times New Roman" w:hAnsi="Times New Roman"/>
          <w:sz w:val="24"/>
          <w:szCs w:val="24"/>
        </w:rPr>
        <w:t xml:space="preserve"> too heavily involved  in other areas of work to promote health</w:t>
      </w:r>
      <w:r w:rsidR="002768D0" w:rsidRPr="000F6431">
        <w:rPr>
          <w:rFonts w:ascii="Times New Roman" w:hAnsi="Times New Roman"/>
          <w:sz w:val="24"/>
          <w:szCs w:val="24"/>
        </w:rPr>
        <w:t xml:space="preserve">, so tend to have limited time available to spend on taking part in appraisals </w:t>
      </w:r>
      <w:r w:rsidR="003515A4" w:rsidRPr="000F6431">
        <w:rPr>
          <w:rFonts w:ascii="Times New Roman" w:hAnsi="Times New Roman"/>
          <w:sz w:val="24"/>
          <w:szCs w:val="24"/>
        </w:rPr>
        <w:t>(</w:t>
      </w:r>
      <w:r w:rsidR="002D5551" w:rsidRPr="000F6431">
        <w:rPr>
          <w:rFonts w:ascii="Times New Roman" w:hAnsi="Times New Roman"/>
          <w:sz w:val="24"/>
          <w:szCs w:val="24"/>
        </w:rPr>
        <w:t xml:space="preserve">Ahmad, 2008; Blau and Mahoney, 2005; Davenport et al., 2006; </w:t>
      </w:r>
      <w:r w:rsidR="003515A4" w:rsidRPr="000F6431">
        <w:rPr>
          <w:rFonts w:ascii="Times New Roman" w:hAnsi="Times New Roman"/>
          <w:sz w:val="24"/>
          <w:szCs w:val="24"/>
        </w:rPr>
        <w:t>Stevenson, 2</w:t>
      </w:r>
      <w:r w:rsidR="002D5551" w:rsidRPr="000F6431">
        <w:rPr>
          <w:rFonts w:ascii="Times New Roman" w:hAnsi="Times New Roman"/>
          <w:sz w:val="24"/>
          <w:szCs w:val="24"/>
        </w:rPr>
        <w:t>007</w:t>
      </w:r>
      <w:r w:rsidR="003515A4" w:rsidRPr="000F6431">
        <w:rPr>
          <w:rFonts w:ascii="Times New Roman" w:hAnsi="Times New Roman"/>
          <w:sz w:val="24"/>
          <w:szCs w:val="24"/>
        </w:rPr>
        <w:t>)</w:t>
      </w:r>
      <w:r w:rsidR="002768D0" w:rsidRPr="000F6431">
        <w:rPr>
          <w:rFonts w:ascii="Times New Roman" w:hAnsi="Times New Roman"/>
          <w:sz w:val="24"/>
          <w:szCs w:val="24"/>
        </w:rPr>
        <w:t xml:space="preserve">. </w:t>
      </w:r>
    </w:p>
    <w:p w:rsidR="00E85DF1" w:rsidRPr="000F6431" w:rsidRDefault="002768D0" w:rsidP="001225B1">
      <w:pPr>
        <w:spacing w:line="480" w:lineRule="auto"/>
        <w:rPr>
          <w:rFonts w:ascii="Times New Roman" w:hAnsi="Times New Roman" w:cs="Times New Roman"/>
          <w:sz w:val="24"/>
          <w:szCs w:val="24"/>
        </w:rPr>
      </w:pPr>
      <w:r w:rsidRPr="000F6431">
        <w:rPr>
          <w:rFonts w:ascii="Times New Roman" w:hAnsi="Times New Roman"/>
          <w:sz w:val="24"/>
          <w:szCs w:val="24"/>
        </w:rPr>
        <w:t xml:space="preserve">Two reasons can be put forward to explain these issues: </w:t>
      </w:r>
      <w:r w:rsidR="00535352" w:rsidRPr="000F6431">
        <w:rPr>
          <w:rFonts w:ascii="Times New Roman" w:hAnsi="Times New Roman" w:cs="Times New Roman"/>
          <w:sz w:val="24"/>
          <w:szCs w:val="24"/>
        </w:rPr>
        <w:t>lack of funding and gaps in skills</w:t>
      </w:r>
      <w:r w:rsidRPr="000F6431">
        <w:rPr>
          <w:rFonts w:ascii="Times New Roman" w:hAnsi="Times New Roman" w:cs="Times New Roman"/>
          <w:sz w:val="24"/>
          <w:szCs w:val="24"/>
        </w:rPr>
        <w:t xml:space="preserve"> and knowledge, although the latter can also be symptomatic of a lack of funding </w:t>
      </w:r>
      <w:r w:rsidRPr="000F6431">
        <w:rPr>
          <w:rFonts w:ascii="Times New Roman" w:hAnsi="Times New Roman" w:cs="Times New Roman"/>
          <w:sz w:val="24"/>
          <w:szCs w:val="24"/>
        </w:rPr>
        <w:lastRenderedPageBreak/>
        <w:t>itself.</w:t>
      </w:r>
      <w:r w:rsidR="00535352" w:rsidRPr="000F6431">
        <w:rPr>
          <w:rFonts w:ascii="Times New Roman" w:hAnsi="Times New Roman"/>
          <w:sz w:val="24"/>
          <w:szCs w:val="24"/>
        </w:rPr>
        <w:t xml:space="preserve"> </w:t>
      </w:r>
      <w:r w:rsidR="00DC6A68" w:rsidRPr="000F6431">
        <w:rPr>
          <w:rFonts w:ascii="Times New Roman" w:hAnsi="Times New Roman"/>
          <w:sz w:val="24"/>
          <w:szCs w:val="24"/>
        </w:rPr>
        <w:t>Indeed, s</w:t>
      </w:r>
      <w:r w:rsidRPr="000F6431">
        <w:rPr>
          <w:rFonts w:ascii="Times New Roman" w:hAnsi="Times New Roman"/>
          <w:sz w:val="24"/>
          <w:szCs w:val="24"/>
        </w:rPr>
        <w:t xml:space="preserve">everal authors </w:t>
      </w:r>
      <w:r w:rsidRPr="000F6431">
        <w:rPr>
          <w:rFonts w:ascii="Times New Roman" w:hAnsi="Times New Roman" w:cs="Times New Roman"/>
          <w:sz w:val="24"/>
          <w:szCs w:val="24"/>
        </w:rPr>
        <w:t>(Dannenberg</w:t>
      </w:r>
      <w:r w:rsidR="00F95435" w:rsidRPr="000F6431">
        <w:rPr>
          <w:rFonts w:ascii="Times New Roman" w:hAnsi="Times New Roman" w:cs="Times New Roman"/>
          <w:sz w:val="24"/>
          <w:szCs w:val="24"/>
        </w:rPr>
        <w:t xml:space="preserve"> et al.</w:t>
      </w:r>
      <w:r w:rsidRPr="000F6431">
        <w:rPr>
          <w:rFonts w:ascii="Times New Roman" w:hAnsi="Times New Roman" w:cs="Times New Roman"/>
          <w:sz w:val="24"/>
          <w:szCs w:val="24"/>
        </w:rPr>
        <w:t xml:space="preserve">, 2008; </w:t>
      </w:r>
      <w:r w:rsidR="002D5551" w:rsidRPr="000F6431">
        <w:rPr>
          <w:rFonts w:ascii="Times New Roman" w:hAnsi="Times New Roman" w:cs="Times New Roman"/>
          <w:sz w:val="24"/>
          <w:szCs w:val="24"/>
        </w:rPr>
        <w:t xml:space="preserve">Davenport et al., 2006; </w:t>
      </w:r>
      <w:r w:rsidR="00430EFD" w:rsidRPr="000F6431">
        <w:rPr>
          <w:rFonts w:ascii="Times New Roman" w:hAnsi="Times New Roman" w:cs="Times New Roman"/>
          <w:sz w:val="24"/>
          <w:szCs w:val="24"/>
        </w:rPr>
        <w:t xml:space="preserve">Steineman, 2000; </w:t>
      </w:r>
      <w:r w:rsidRPr="000F6431">
        <w:rPr>
          <w:rFonts w:ascii="Times New Roman" w:hAnsi="Times New Roman" w:cs="Times New Roman"/>
          <w:sz w:val="24"/>
          <w:szCs w:val="24"/>
        </w:rPr>
        <w:t>Wismar</w:t>
      </w:r>
      <w:r w:rsidR="00F95435" w:rsidRPr="000F6431">
        <w:rPr>
          <w:rFonts w:ascii="Times New Roman" w:hAnsi="Times New Roman" w:cs="Times New Roman"/>
          <w:sz w:val="24"/>
          <w:szCs w:val="24"/>
        </w:rPr>
        <w:t xml:space="preserve"> et al.</w:t>
      </w:r>
      <w:r w:rsidR="00430EFD" w:rsidRPr="000F6431">
        <w:rPr>
          <w:rFonts w:ascii="Times New Roman" w:hAnsi="Times New Roman" w:cs="Times New Roman"/>
          <w:sz w:val="24"/>
          <w:szCs w:val="24"/>
        </w:rPr>
        <w:t>, 2007</w:t>
      </w:r>
      <w:r w:rsidRPr="000F6431">
        <w:rPr>
          <w:rFonts w:ascii="Times New Roman" w:hAnsi="Times New Roman" w:cs="Times New Roman"/>
          <w:sz w:val="24"/>
          <w:szCs w:val="24"/>
        </w:rPr>
        <w:t xml:space="preserve">) </w:t>
      </w:r>
      <w:r w:rsidRPr="000F6431">
        <w:rPr>
          <w:rFonts w:ascii="Times New Roman" w:hAnsi="Times New Roman"/>
          <w:sz w:val="24"/>
          <w:szCs w:val="24"/>
        </w:rPr>
        <w:t xml:space="preserve">see lack of funding for both HIA and for resources to build </w:t>
      </w:r>
      <w:r w:rsidR="00545E54" w:rsidRPr="000F6431">
        <w:rPr>
          <w:rFonts w:ascii="Times New Roman" w:hAnsi="Times New Roman"/>
          <w:sz w:val="24"/>
          <w:szCs w:val="24"/>
        </w:rPr>
        <w:t xml:space="preserve">sufficient </w:t>
      </w:r>
      <w:r w:rsidRPr="000F6431">
        <w:rPr>
          <w:rFonts w:ascii="Times New Roman" w:hAnsi="Times New Roman"/>
          <w:sz w:val="24"/>
          <w:szCs w:val="24"/>
        </w:rPr>
        <w:t xml:space="preserve">capacity as impeding the health effectiveness of appraisals.  </w:t>
      </w:r>
      <w:r w:rsidR="00545E54" w:rsidRPr="000F6431">
        <w:rPr>
          <w:rFonts w:ascii="Times New Roman" w:hAnsi="Times New Roman"/>
          <w:sz w:val="24"/>
          <w:szCs w:val="24"/>
        </w:rPr>
        <w:t xml:space="preserve">Skill </w:t>
      </w:r>
      <w:r w:rsidR="001C6684" w:rsidRPr="000F6431">
        <w:rPr>
          <w:rFonts w:ascii="Times New Roman" w:hAnsi="Times New Roman"/>
          <w:sz w:val="24"/>
          <w:szCs w:val="24"/>
        </w:rPr>
        <w:t>gaps lead to missed opportunities</w:t>
      </w:r>
      <w:r w:rsidR="00DC6A68" w:rsidRPr="000F6431">
        <w:rPr>
          <w:rFonts w:ascii="Times New Roman" w:hAnsi="Times New Roman"/>
          <w:sz w:val="24"/>
          <w:szCs w:val="24"/>
        </w:rPr>
        <w:t xml:space="preserve"> as</w:t>
      </w:r>
      <w:r w:rsidR="001C6684" w:rsidRPr="000F6431">
        <w:rPr>
          <w:rFonts w:ascii="Times New Roman" w:hAnsi="Times New Roman"/>
          <w:sz w:val="24"/>
          <w:szCs w:val="24"/>
        </w:rPr>
        <w:t xml:space="preserve"> the </w:t>
      </w:r>
      <w:r w:rsidR="001C6684" w:rsidRPr="000F6431">
        <w:rPr>
          <w:rFonts w:ascii="Times New Roman" w:hAnsi="Times New Roman" w:cs="Times New Roman"/>
          <w:sz w:val="24"/>
          <w:szCs w:val="24"/>
        </w:rPr>
        <w:t>poor awareness by local authorities or health authorities of tools</w:t>
      </w:r>
      <w:r w:rsidR="00545E54" w:rsidRPr="000F6431">
        <w:rPr>
          <w:rFonts w:ascii="Times New Roman" w:hAnsi="Times New Roman" w:cs="Times New Roman"/>
          <w:sz w:val="24"/>
          <w:szCs w:val="24"/>
        </w:rPr>
        <w:t xml:space="preserve">, </w:t>
      </w:r>
      <w:r w:rsidR="00705B51" w:rsidRPr="000F6431">
        <w:rPr>
          <w:rFonts w:ascii="Times New Roman" w:hAnsi="Times New Roman" w:cs="Times New Roman"/>
          <w:sz w:val="24"/>
          <w:szCs w:val="24"/>
        </w:rPr>
        <w:t>and fear and confusion over assessment processes</w:t>
      </w:r>
      <w:r w:rsidR="005670BF" w:rsidRPr="000F6431">
        <w:rPr>
          <w:rFonts w:ascii="Times New Roman" w:hAnsi="Times New Roman" w:cs="Times New Roman"/>
          <w:sz w:val="24"/>
          <w:szCs w:val="24"/>
        </w:rPr>
        <w:t>,</w:t>
      </w:r>
      <w:r w:rsidR="00705B51" w:rsidRPr="000F6431">
        <w:rPr>
          <w:rFonts w:ascii="Times New Roman" w:hAnsi="Times New Roman" w:cs="Times New Roman"/>
          <w:sz w:val="24"/>
          <w:szCs w:val="24"/>
        </w:rPr>
        <w:t xml:space="preserve"> </w:t>
      </w:r>
      <w:r w:rsidR="001C6684" w:rsidRPr="000F6431">
        <w:rPr>
          <w:rFonts w:ascii="Times New Roman" w:hAnsi="Times New Roman" w:cs="Times New Roman"/>
          <w:sz w:val="24"/>
          <w:szCs w:val="24"/>
        </w:rPr>
        <w:t xml:space="preserve">means that integration of health issues into planning </w:t>
      </w:r>
      <w:r w:rsidR="005072EB" w:rsidRPr="000F6431">
        <w:rPr>
          <w:rFonts w:ascii="Times New Roman" w:hAnsi="Times New Roman" w:cs="Times New Roman"/>
          <w:sz w:val="24"/>
          <w:szCs w:val="24"/>
        </w:rPr>
        <w:t xml:space="preserve">can </w:t>
      </w:r>
      <w:r w:rsidR="001C6684" w:rsidRPr="000F6431">
        <w:rPr>
          <w:rFonts w:ascii="Times New Roman" w:hAnsi="Times New Roman" w:cs="Times New Roman"/>
          <w:sz w:val="24"/>
          <w:szCs w:val="24"/>
        </w:rPr>
        <w:t>be piec</w:t>
      </w:r>
      <w:r w:rsidR="00705B51" w:rsidRPr="000F6431">
        <w:rPr>
          <w:rFonts w:ascii="Times New Roman" w:hAnsi="Times New Roman" w:cs="Times New Roman"/>
          <w:sz w:val="24"/>
          <w:szCs w:val="24"/>
        </w:rPr>
        <w:t>emeal</w:t>
      </w:r>
      <w:r w:rsidR="00545E54" w:rsidRPr="000F6431">
        <w:rPr>
          <w:rFonts w:ascii="Times New Roman" w:hAnsi="Times New Roman" w:cs="Times New Roman"/>
          <w:sz w:val="24"/>
          <w:szCs w:val="24"/>
        </w:rPr>
        <w:t xml:space="preserve"> </w:t>
      </w:r>
      <w:r w:rsidR="001C6684" w:rsidRPr="000F6431">
        <w:rPr>
          <w:rFonts w:ascii="Times New Roman" w:hAnsi="Times New Roman" w:cs="Times New Roman"/>
          <w:sz w:val="24"/>
          <w:szCs w:val="24"/>
        </w:rPr>
        <w:t>(</w:t>
      </w:r>
      <w:r w:rsidR="00C42D64" w:rsidRPr="000F6431">
        <w:rPr>
          <w:rFonts w:ascii="Times New Roman" w:hAnsi="Times New Roman" w:cs="Times New Roman"/>
          <w:sz w:val="24"/>
          <w:szCs w:val="24"/>
        </w:rPr>
        <w:t xml:space="preserve">Blau and Mahoney, 2005; Burns and Bond, 2008; Davenport et al., 2006; </w:t>
      </w:r>
      <w:r w:rsidR="001C6684" w:rsidRPr="000F6431">
        <w:rPr>
          <w:rFonts w:ascii="Times New Roman" w:hAnsi="Times New Roman" w:cs="Times New Roman"/>
          <w:sz w:val="24"/>
          <w:szCs w:val="24"/>
        </w:rPr>
        <w:t>Kjellstrom</w:t>
      </w:r>
      <w:r w:rsidR="00F95435" w:rsidRPr="000F6431">
        <w:rPr>
          <w:rFonts w:ascii="Times New Roman" w:hAnsi="Times New Roman" w:cs="Times New Roman"/>
          <w:sz w:val="24"/>
          <w:szCs w:val="24"/>
        </w:rPr>
        <w:t xml:space="preserve"> et al.</w:t>
      </w:r>
      <w:r w:rsidR="001C6684" w:rsidRPr="000F6431">
        <w:rPr>
          <w:rFonts w:ascii="Times New Roman" w:hAnsi="Times New Roman" w:cs="Times New Roman"/>
          <w:sz w:val="24"/>
          <w:szCs w:val="24"/>
        </w:rPr>
        <w:t xml:space="preserve">, 2003; </w:t>
      </w:r>
      <w:r w:rsidR="00C42D64" w:rsidRPr="000F6431">
        <w:rPr>
          <w:rFonts w:ascii="Times New Roman" w:hAnsi="Times New Roman" w:cs="Times New Roman"/>
          <w:sz w:val="24"/>
          <w:szCs w:val="24"/>
        </w:rPr>
        <w:t xml:space="preserve">NHS London, 2009; </w:t>
      </w:r>
      <w:r w:rsidR="001C6684" w:rsidRPr="000F6431">
        <w:rPr>
          <w:rFonts w:ascii="Times New Roman" w:hAnsi="Times New Roman" w:cs="Times New Roman"/>
          <w:sz w:val="24"/>
          <w:szCs w:val="24"/>
        </w:rPr>
        <w:t>Wismar</w:t>
      </w:r>
      <w:r w:rsidR="00F95435" w:rsidRPr="000F6431">
        <w:rPr>
          <w:rFonts w:ascii="Times New Roman" w:hAnsi="Times New Roman" w:cs="Times New Roman"/>
          <w:sz w:val="24"/>
          <w:szCs w:val="24"/>
        </w:rPr>
        <w:t xml:space="preserve"> et al.</w:t>
      </w:r>
      <w:r w:rsidR="001C6684" w:rsidRPr="000F6431">
        <w:rPr>
          <w:rFonts w:ascii="Times New Roman" w:hAnsi="Times New Roman" w:cs="Times New Roman"/>
          <w:sz w:val="24"/>
          <w:szCs w:val="24"/>
        </w:rPr>
        <w:t xml:space="preserve">, 2007; </w:t>
      </w:r>
      <w:r w:rsidR="00F95435" w:rsidRPr="000F6431">
        <w:rPr>
          <w:rFonts w:ascii="Times New Roman" w:hAnsi="Times New Roman" w:cs="Times New Roman"/>
          <w:sz w:val="24"/>
          <w:szCs w:val="24"/>
        </w:rPr>
        <w:t>YHEC</w:t>
      </w:r>
      <w:r w:rsidR="00C42D64" w:rsidRPr="000F6431">
        <w:rPr>
          <w:rFonts w:ascii="Times New Roman" w:hAnsi="Times New Roman" w:cs="Times New Roman"/>
          <w:sz w:val="24"/>
          <w:szCs w:val="24"/>
        </w:rPr>
        <w:t>, 2006</w:t>
      </w:r>
      <w:r w:rsidR="001C6684" w:rsidRPr="000F6431">
        <w:rPr>
          <w:rFonts w:ascii="Times New Roman" w:hAnsi="Times New Roman" w:cs="Times New Roman"/>
          <w:sz w:val="24"/>
          <w:szCs w:val="24"/>
        </w:rPr>
        <w:t xml:space="preserve">). </w:t>
      </w:r>
      <w:r w:rsidR="00545E54" w:rsidRPr="000F6431">
        <w:rPr>
          <w:rFonts w:ascii="Times New Roman" w:hAnsi="Times New Roman" w:cs="Times New Roman"/>
          <w:sz w:val="24"/>
          <w:szCs w:val="24"/>
        </w:rPr>
        <w:t xml:space="preserve">Skill gaps </w:t>
      </w:r>
      <w:r w:rsidR="00DC6A68" w:rsidRPr="000F6431">
        <w:rPr>
          <w:rFonts w:ascii="Times New Roman" w:hAnsi="Times New Roman" w:cs="Times New Roman"/>
          <w:sz w:val="24"/>
          <w:szCs w:val="24"/>
        </w:rPr>
        <w:t>range from</w:t>
      </w:r>
      <w:r w:rsidR="001C6684" w:rsidRPr="000F6431">
        <w:rPr>
          <w:rFonts w:ascii="Times New Roman" w:hAnsi="Times New Roman" w:cs="Times New Roman"/>
          <w:sz w:val="24"/>
          <w:szCs w:val="24"/>
        </w:rPr>
        <w:t xml:space="preserve"> </w:t>
      </w:r>
      <w:r w:rsidR="00DC6A68" w:rsidRPr="000F6431">
        <w:rPr>
          <w:rFonts w:ascii="Times New Roman" w:hAnsi="Times New Roman" w:cs="Times New Roman"/>
          <w:sz w:val="24"/>
          <w:szCs w:val="24"/>
        </w:rPr>
        <w:t>the in</w:t>
      </w:r>
      <w:r w:rsidR="001C6684" w:rsidRPr="000F6431">
        <w:rPr>
          <w:rFonts w:ascii="Times New Roman" w:hAnsi="Times New Roman" w:cs="Times New Roman"/>
          <w:sz w:val="24"/>
          <w:szCs w:val="24"/>
        </w:rPr>
        <w:t>ability to understand H</w:t>
      </w:r>
      <w:r w:rsidR="00E85DF1" w:rsidRPr="000F6431">
        <w:rPr>
          <w:rFonts w:ascii="Times New Roman" w:hAnsi="Times New Roman" w:cs="Times New Roman"/>
          <w:sz w:val="24"/>
          <w:szCs w:val="24"/>
        </w:rPr>
        <w:t>IA methodology and to drive HIA within the broader planning process itself,</w:t>
      </w:r>
      <w:r w:rsidR="00DC6A68" w:rsidRPr="000F6431">
        <w:rPr>
          <w:rFonts w:ascii="Times New Roman" w:hAnsi="Times New Roman"/>
          <w:sz w:val="24"/>
          <w:szCs w:val="24"/>
        </w:rPr>
        <w:t xml:space="preserve"> </w:t>
      </w:r>
      <w:r w:rsidR="00E85DF1" w:rsidRPr="000F6431">
        <w:rPr>
          <w:rFonts w:ascii="Times New Roman" w:hAnsi="Times New Roman"/>
          <w:sz w:val="24"/>
          <w:szCs w:val="24"/>
        </w:rPr>
        <w:t xml:space="preserve">lack </w:t>
      </w:r>
      <w:r w:rsidR="00DC6A68" w:rsidRPr="000F6431">
        <w:rPr>
          <w:rFonts w:ascii="Times New Roman" w:hAnsi="Times New Roman"/>
          <w:sz w:val="24"/>
          <w:szCs w:val="24"/>
        </w:rPr>
        <w:t>of</w:t>
      </w:r>
      <w:r w:rsidR="001C6684" w:rsidRPr="000F6431">
        <w:rPr>
          <w:rFonts w:ascii="Times New Roman" w:hAnsi="Times New Roman"/>
          <w:sz w:val="24"/>
          <w:szCs w:val="24"/>
        </w:rPr>
        <w:t xml:space="preserve"> </w:t>
      </w:r>
      <w:r w:rsidR="00DC6A68" w:rsidRPr="000F6431">
        <w:rPr>
          <w:rFonts w:ascii="Times New Roman" w:hAnsi="Times New Roman"/>
          <w:sz w:val="24"/>
          <w:szCs w:val="24"/>
        </w:rPr>
        <w:t>knowledge about</w:t>
      </w:r>
      <w:r w:rsidR="001C6684" w:rsidRPr="000F6431">
        <w:rPr>
          <w:rFonts w:ascii="Times New Roman" w:hAnsi="Times New Roman"/>
          <w:sz w:val="24"/>
          <w:szCs w:val="24"/>
        </w:rPr>
        <w:t xml:space="preserve"> local communiti</w:t>
      </w:r>
      <w:r w:rsidR="00E85DF1" w:rsidRPr="000F6431">
        <w:rPr>
          <w:rFonts w:ascii="Times New Roman" w:hAnsi="Times New Roman"/>
          <w:sz w:val="24"/>
          <w:szCs w:val="24"/>
        </w:rPr>
        <w:t>es and</w:t>
      </w:r>
      <w:r w:rsidR="001C6684" w:rsidRPr="000F6431">
        <w:rPr>
          <w:rFonts w:ascii="Times New Roman" w:hAnsi="Times New Roman"/>
          <w:sz w:val="24"/>
          <w:szCs w:val="24"/>
        </w:rPr>
        <w:t xml:space="preserve"> areas</w:t>
      </w:r>
      <w:r w:rsidR="00E85DF1" w:rsidRPr="000F6431">
        <w:rPr>
          <w:rFonts w:ascii="Times New Roman" w:hAnsi="Times New Roman"/>
          <w:sz w:val="24"/>
          <w:szCs w:val="24"/>
        </w:rPr>
        <w:t>,</w:t>
      </w:r>
      <w:r w:rsidR="001C6684" w:rsidRPr="000F6431">
        <w:rPr>
          <w:rFonts w:ascii="Times New Roman" w:hAnsi="Times New Roman"/>
          <w:sz w:val="24"/>
          <w:szCs w:val="24"/>
        </w:rPr>
        <w:t xml:space="preserve"> </w:t>
      </w:r>
      <w:r w:rsidR="00E85DF1" w:rsidRPr="000F6431">
        <w:rPr>
          <w:rFonts w:ascii="Times New Roman" w:hAnsi="Times New Roman"/>
          <w:sz w:val="24"/>
          <w:szCs w:val="24"/>
        </w:rPr>
        <w:t>including demographic trends, emerging healthcare needs</w:t>
      </w:r>
      <w:r w:rsidR="001C6684" w:rsidRPr="000F6431">
        <w:rPr>
          <w:rFonts w:ascii="Times New Roman" w:hAnsi="Times New Roman" w:cs="Times New Roman"/>
          <w:sz w:val="24"/>
          <w:szCs w:val="24"/>
        </w:rPr>
        <w:t>, underestimation of scientific and consultative resources needed</w:t>
      </w:r>
      <w:r w:rsidR="006F2EFC" w:rsidRPr="000F6431">
        <w:rPr>
          <w:rFonts w:ascii="Times New Roman" w:hAnsi="Times New Roman" w:cs="Times New Roman"/>
          <w:sz w:val="24"/>
          <w:szCs w:val="24"/>
        </w:rPr>
        <w:t xml:space="preserve"> (Wismar et al. 2007; Burns </w:t>
      </w:r>
      <w:r w:rsidR="00430EFD" w:rsidRPr="000F6431">
        <w:rPr>
          <w:rFonts w:ascii="Times New Roman" w:hAnsi="Times New Roman" w:cs="Times New Roman"/>
          <w:sz w:val="24"/>
          <w:szCs w:val="24"/>
        </w:rPr>
        <w:t>and Bond, 2008; Davenport et al.</w:t>
      </w:r>
      <w:r w:rsidR="006F2EFC" w:rsidRPr="000F6431">
        <w:rPr>
          <w:rFonts w:ascii="Times New Roman" w:hAnsi="Times New Roman" w:cs="Times New Roman"/>
          <w:sz w:val="24"/>
          <w:szCs w:val="24"/>
        </w:rPr>
        <w:t>, 2006;</w:t>
      </w:r>
      <w:r w:rsidR="00430EFD" w:rsidRPr="000F6431">
        <w:rPr>
          <w:rFonts w:ascii="Times New Roman" w:hAnsi="Times New Roman" w:cs="Times New Roman"/>
          <w:sz w:val="24"/>
          <w:szCs w:val="24"/>
        </w:rPr>
        <w:t xml:space="preserve"> Kjellstrom et al. 2003; </w:t>
      </w:r>
      <w:r w:rsidR="006F2EFC" w:rsidRPr="000F6431">
        <w:rPr>
          <w:rFonts w:ascii="Times New Roman" w:hAnsi="Times New Roman" w:cs="Times New Roman"/>
          <w:sz w:val="24"/>
          <w:szCs w:val="24"/>
        </w:rPr>
        <w:t>NHS London, 2009; YHEC, 2006)</w:t>
      </w:r>
      <w:r w:rsidR="001C6684" w:rsidRPr="000F6431">
        <w:rPr>
          <w:rFonts w:ascii="Times New Roman" w:hAnsi="Times New Roman" w:cs="Times New Roman"/>
          <w:sz w:val="24"/>
          <w:szCs w:val="24"/>
        </w:rPr>
        <w:t xml:space="preserve">. </w:t>
      </w:r>
    </w:p>
    <w:p w:rsidR="00477E14" w:rsidRPr="000F6431" w:rsidRDefault="00477E14" w:rsidP="001225B1">
      <w:pPr>
        <w:spacing w:line="480" w:lineRule="auto"/>
        <w:rPr>
          <w:rFonts w:ascii="Times New Roman" w:hAnsi="Times New Roman" w:cs="Times New Roman"/>
          <w:sz w:val="24"/>
          <w:szCs w:val="24"/>
        </w:rPr>
      </w:pPr>
    </w:p>
    <w:p w:rsidR="00477E14" w:rsidRPr="000F6431" w:rsidRDefault="00477E14" w:rsidP="001225B1">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4.3.2 </w:t>
      </w:r>
      <w:r w:rsidR="00545E54" w:rsidRPr="000F6431">
        <w:rPr>
          <w:rFonts w:ascii="Times New Roman" w:hAnsi="Times New Roman" w:cs="Times New Roman"/>
          <w:sz w:val="24"/>
          <w:szCs w:val="24"/>
        </w:rPr>
        <w:t xml:space="preserve">Management and Resource </w:t>
      </w:r>
      <w:r w:rsidRPr="000F6431">
        <w:rPr>
          <w:rFonts w:ascii="Times New Roman" w:hAnsi="Times New Roman" w:cs="Times New Roman"/>
          <w:sz w:val="24"/>
          <w:szCs w:val="24"/>
        </w:rPr>
        <w:t>Facilitat</w:t>
      </w:r>
      <w:r w:rsidR="00545E54" w:rsidRPr="000F6431">
        <w:rPr>
          <w:rFonts w:ascii="Times New Roman" w:hAnsi="Times New Roman" w:cs="Times New Roman"/>
          <w:sz w:val="24"/>
          <w:szCs w:val="24"/>
        </w:rPr>
        <w:t>ors</w:t>
      </w:r>
    </w:p>
    <w:p w:rsidR="006E0B9E" w:rsidRPr="000F6431" w:rsidRDefault="006E0B9E" w:rsidP="001225B1">
      <w:pPr>
        <w:spacing w:line="480" w:lineRule="auto"/>
        <w:rPr>
          <w:rFonts w:ascii="Times New Roman" w:hAnsi="Times New Roman" w:cs="Times New Roman"/>
          <w:b/>
          <w:sz w:val="24"/>
          <w:szCs w:val="24"/>
        </w:rPr>
      </w:pPr>
    </w:p>
    <w:p w:rsidR="00FC5710" w:rsidRPr="000F6431" w:rsidRDefault="00545E54"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A</w:t>
      </w:r>
      <w:r w:rsidR="00E85DF1" w:rsidRPr="000F6431">
        <w:rPr>
          <w:rFonts w:ascii="Times New Roman" w:hAnsi="Times New Roman" w:cs="Times New Roman"/>
          <w:sz w:val="24"/>
          <w:szCs w:val="24"/>
        </w:rPr>
        <w:t xml:space="preserve"> c</w:t>
      </w:r>
      <w:r w:rsidR="00535352" w:rsidRPr="000F6431">
        <w:rPr>
          <w:rFonts w:ascii="Times New Roman" w:hAnsi="Times New Roman" w:cs="Times New Roman"/>
          <w:sz w:val="24"/>
          <w:szCs w:val="24"/>
        </w:rPr>
        <w:t xml:space="preserve">lear </w:t>
      </w:r>
      <w:r w:rsidRPr="000F6431">
        <w:rPr>
          <w:rFonts w:ascii="Times New Roman" w:hAnsi="Times New Roman" w:cs="Times New Roman"/>
          <w:sz w:val="24"/>
          <w:szCs w:val="24"/>
        </w:rPr>
        <w:t xml:space="preserve">organisational </w:t>
      </w:r>
      <w:r w:rsidR="00535352" w:rsidRPr="000F6431">
        <w:rPr>
          <w:rFonts w:ascii="Times New Roman" w:hAnsi="Times New Roman" w:cs="Times New Roman"/>
          <w:sz w:val="24"/>
          <w:szCs w:val="24"/>
        </w:rPr>
        <w:t xml:space="preserve">commitment to HIA at the </w:t>
      </w:r>
      <w:r w:rsidRPr="000F6431">
        <w:rPr>
          <w:rFonts w:ascii="Times New Roman" w:hAnsi="Times New Roman" w:cs="Times New Roman"/>
          <w:sz w:val="24"/>
          <w:szCs w:val="24"/>
        </w:rPr>
        <w:t xml:space="preserve">senior </w:t>
      </w:r>
      <w:r w:rsidR="00535352" w:rsidRPr="000F6431">
        <w:rPr>
          <w:rFonts w:ascii="Times New Roman" w:hAnsi="Times New Roman" w:cs="Times New Roman"/>
          <w:sz w:val="24"/>
          <w:szCs w:val="24"/>
        </w:rPr>
        <w:t xml:space="preserve">level </w:t>
      </w:r>
      <w:r w:rsidR="00705B51" w:rsidRPr="000F6431">
        <w:rPr>
          <w:rFonts w:ascii="Times New Roman" w:eastAsia="Times New Roman" w:hAnsi="Times New Roman" w:cs="Times New Roman"/>
          <w:sz w:val="24"/>
          <w:szCs w:val="24"/>
          <w:lang w:eastAsia="en-GB"/>
        </w:rPr>
        <w:t>(</w:t>
      </w:r>
      <w:r w:rsidR="00C42D64" w:rsidRPr="000F6431">
        <w:rPr>
          <w:rFonts w:ascii="Times New Roman" w:eastAsia="Times New Roman" w:hAnsi="Times New Roman" w:cs="Times New Roman"/>
          <w:sz w:val="24"/>
          <w:szCs w:val="24"/>
          <w:lang w:eastAsia="en-GB"/>
        </w:rPr>
        <w:t xml:space="preserve">Ahmad et al., </w:t>
      </w:r>
      <w:r w:rsidR="00C42D64" w:rsidRPr="000F6431">
        <w:rPr>
          <w:rFonts w:ascii="Times New Roman" w:hAnsi="Times New Roman" w:cs="Times New Roman"/>
          <w:sz w:val="24"/>
          <w:szCs w:val="24"/>
        </w:rPr>
        <w:t xml:space="preserve">2008; </w:t>
      </w:r>
      <w:r w:rsidR="00C42D64" w:rsidRPr="000F6431">
        <w:rPr>
          <w:rFonts w:ascii="Times New Roman" w:eastAsia="Times New Roman" w:hAnsi="Times New Roman" w:cs="Times New Roman"/>
          <w:sz w:val="24"/>
          <w:szCs w:val="24"/>
          <w:lang w:eastAsia="en-GB"/>
        </w:rPr>
        <w:t xml:space="preserve">Blau and Mahoney, 2005; Davenport et al., 2006; </w:t>
      </w:r>
      <w:r w:rsidR="00705B51" w:rsidRPr="000F6431">
        <w:rPr>
          <w:rFonts w:ascii="Times New Roman" w:eastAsia="Times New Roman" w:hAnsi="Times New Roman" w:cs="Times New Roman"/>
          <w:sz w:val="24"/>
          <w:szCs w:val="24"/>
          <w:lang w:eastAsia="en-GB"/>
        </w:rPr>
        <w:t>Neville</w:t>
      </w:r>
      <w:r w:rsidR="00F95435" w:rsidRPr="000F6431">
        <w:rPr>
          <w:rFonts w:ascii="Times New Roman" w:eastAsia="Times New Roman" w:hAnsi="Times New Roman" w:cs="Times New Roman"/>
          <w:sz w:val="24"/>
          <w:szCs w:val="24"/>
          <w:lang w:eastAsia="en-GB"/>
        </w:rPr>
        <w:t xml:space="preserve"> et al.</w:t>
      </w:r>
      <w:r w:rsidR="00705B51" w:rsidRPr="000F6431">
        <w:rPr>
          <w:rFonts w:ascii="Times New Roman" w:eastAsia="Times New Roman" w:hAnsi="Times New Roman" w:cs="Times New Roman"/>
          <w:sz w:val="24"/>
          <w:szCs w:val="24"/>
          <w:lang w:eastAsia="en-GB"/>
        </w:rPr>
        <w:t>, 2005; Stevenson</w:t>
      </w:r>
      <w:r w:rsidR="00F95435" w:rsidRPr="000F6431">
        <w:rPr>
          <w:rFonts w:ascii="Times New Roman" w:eastAsia="Times New Roman" w:hAnsi="Times New Roman" w:cs="Times New Roman"/>
          <w:sz w:val="24"/>
          <w:szCs w:val="24"/>
          <w:lang w:eastAsia="en-GB"/>
        </w:rPr>
        <w:t xml:space="preserve"> et al.</w:t>
      </w:r>
      <w:r w:rsidR="00C42D64" w:rsidRPr="000F6431">
        <w:rPr>
          <w:rFonts w:ascii="Times New Roman" w:eastAsia="Times New Roman" w:hAnsi="Times New Roman" w:cs="Times New Roman"/>
          <w:sz w:val="24"/>
          <w:szCs w:val="24"/>
          <w:lang w:eastAsia="en-GB"/>
        </w:rPr>
        <w:t>, 2007</w:t>
      </w:r>
      <w:r w:rsidR="00705B51" w:rsidRPr="000F6431">
        <w:rPr>
          <w:rFonts w:ascii="Times New Roman" w:hAnsi="Times New Roman" w:cs="Times New Roman"/>
          <w:sz w:val="24"/>
          <w:szCs w:val="24"/>
        </w:rPr>
        <w:t>)</w:t>
      </w:r>
      <w:r w:rsidR="00E85DF1" w:rsidRPr="000F6431">
        <w:rPr>
          <w:rFonts w:ascii="Times New Roman" w:hAnsi="Times New Roman" w:cs="Times New Roman"/>
          <w:sz w:val="24"/>
          <w:szCs w:val="24"/>
        </w:rPr>
        <w:t xml:space="preserve"> </w:t>
      </w:r>
      <w:r w:rsidRPr="000F6431">
        <w:rPr>
          <w:rFonts w:ascii="Times New Roman" w:hAnsi="Times New Roman" w:cs="Times New Roman"/>
          <w:sz w:val="24"/>
          <w:szCs w:val="24"/>
        </w:rPr>
        <w:t>can</w:t>
      </w:r>
      <w:r w:rsidR="00705B51" w:rsidRPr="000F6431">
        <w:rPr>
          <w:rFonts w:ascii="Times New Roman" w:hAnsi="Times New Roman" w:cs="Times New Roman"/>
          <w:sz w:val="24"/>
          <w:szCs w:val="24"/>
        </w:rPr>
        <w:t xml:space="preserve"> strategically guide HIA capacity building and practice  (</w:t>
      </w:r>
      <w:r w:rsidR="00C42D64" w:rsidRPr="000F6431">
        <w:rPr>
          <w:rFonts w:ascii="Times New Roman" w:hAnsi="Times New Roman" w:cs="Times New Roman"/>
          <w:sz w:val="24"/>
          <w:szCs w:val="24"/>
          <w:lang w:val="en-US"/>
        </w:rPr>
        <w:t xml:space="preserve">Ahmad et al., 2008; Douglas et al., 2007; </w:t>
      </w:r>
      <w:r w:rsidR="00705B51" w:rsidRPr="000F6431">
        <w:rPr>
          <w:rFonts w:ascii="Times New Roman" w:hAnsi="Times New Roman" w:cs="Times New Roman"/>
          <w:sz w:val="24"/>
          <w:szCs w:val="24"/>
          <w:lang w:val="en-US"/>
        </w:rPr>
        <w:t>Farhang</w:t>
      </w:r>
      <w:r w:rsidR="00F95435" w:rsidRPr="000F6431">
        <w:rPr>
          <w:rFonts w:ascii="Times New Roman" w:hAnsi="Times New Roman" w:cs="Times New Roman"/>
          <w:sz w:val="24"/>
          <w:szCs w:val="24"/>
          <w:lang w:val="en-US"/>
        </w:rPr>
        <w:t xml:space="preserve"> et al.</w:t>
      </w:r>
      <w:r w:rsidR="00C42D64" w:rsidRPr="000F6431">
        <w:rPr>
          <w:rFonts w:ascii="Times New Roman" w:hAnsi="Times New Roman" w:cs="Times New Roman"/>
          <w:sz w:val="24"/>
          <w:szCs w:val="24"/>
          <w:lang w:val="en-US"/>
        </w:rPr>
        <w:t>, 2008</w:t>
      </w:r>
      <w:r w:rsidR="00705B51" w:rsidRPr="000F6431">
        <w:rPr>
          <w:rFonts w:ascii="Times New Roman" w:hAnsi="Times New Roman" w:cs="Times New Roman"/>
          <w:sz w:val="24"/>
          <w:szCs w:val="24"/>
          <w:lang w:val="en-US"/>
        </w:rPr>
        <w:t>).</w:t>
      </w:r>
      <w:r w:rsidR="00914A02" w:rsidRPr="000F6431">
        <w:rPr>
          <w:rFonts w:ascii="Times New Roman" w:hAnsi="Times New Roman" w:cs="Times New Roman"/>
          <w:sz w:val="24"/>
          <w:szCs w:val="24"/>
          <w:lang w:val="en-US"/>
        </w:rPr>
        <w:t xml:space="preserve"> </w:t>
      </w:r>
      <w:r w:rsidR="00E3428C" w:rsidRPr="000F6431">
        <w:rPr>
          <w:rFonts w:ascii="Times New Roman" w:hAnsi="Times New Roman" w:cs="Times New Roman"/>
          <w:sz w:val="24"/>
          <w:szCs w:val="24"/>
          <w:lang w:val="en-US"/>
        </w:rPr>
        <w:t xml:space="preserve"> </w:t>
      </w:r>
      <w:r w:rsidRPr="000F6431">
        <w:rPr>
          <w:rFonts w:ascii="Times New Roman" w:hAnsi="Times New Roman" w:cs="Times New Roman"/>
          <w:sz w:val="24"/>
          <w:szCs w:val="24"/>
          <w:lang w:val="en-US"/>
        </w:rPr>
        <w:t>I</w:t>
      </w:r>
      <w:r w:rsidR="00E3428C" w:rsidRPr="000F6431">
        <w:rPr>
          <w:rFonts w:ascii="Times New Roman" w:hAnsi="Times New Roman" w:cs="Times New Roman"/>
          <w:sz w:val="24"/>
          <w:szCs w:val="24"/>
        </w:rPr>
        <w:t>n the absence of statutory mechanisms, national strategies and guidance c</w:t>
      </w:r>
      <w:r w:rsidRPr="000F6431">
        <w:rPr>
          <w:rFonts w:ascii="Times New Roman" w:hAnsi="Times New Roman" w:cs="Times New Roman"/>
          <w:sz w:val="24"/>
          <w:szCs w:val="24"/>
        </w:rPr>
        <w:t>an provide a</w:t>
      </w:r>
      <w:r w:rsidR="00477E14" w:rsidRPr="000F6431">
        <w:rPr>
          <w:rFonts w:ascii="Times New Roman" w:hAnsi="Times New Roman" w:cs="Times New Roman"/>
          <w:sz w:val="24"/>
          <w:szCs w:val="24"/>
        </w:rPr>
        <w:t xml:space="preserve"> context for higher levels of</w:t>
      </w:r>
      <w:r w:rsidR="00E3428C" w:rsidRPr="000F6431">
        <w:rPr>
          <w:rFonts w:ascii="Times New Roman" w:hAnsi="Times New Roman" w:cs="Times New Roman"/>
          <w:sz w:val="24"/>
          <w:szCs w:val="24"/>
        </w:rPr>
        <w:t xml:space="preserve"> commitment required (Fischer</w:t>
      </w:r>
      <w:r w:rsidR="00F95435" w:rsidRPr="000F6431">
        <w:rPr>
          <w:rFonts w:ascii="Times New Roman" w:hAnsi="Times New Roman" w:cs="Times New Roman"/>
          <w:sz w:val="24"/>
          <w:szCs w:val="24"/>
        </w:rPr>
        <w:t xml:space="preserve"> et al., 2010</w:t>
      </w:r>
      <w:r w:rsidR="00FC5710" w:rsidRPr="000F6431">
        <w:rPr>
          <w:rFonts w:ascii="Times New Roman" w:hAnsi="Times New Roman" w:cs="Times New Roman"/>
          <w:sz w:val="24"/>
          <w:szCs w:val="24"/>
        </w:rPr>
        <w:t>)</w:t>
      </w:r>
      <w:r w:rsidR="0091734D" w:rsidRPr="000F6431">
        <w:rPr>
          <w:rFonts w:ascii="Times New Roman" w:hAnsi="Times New Roman" w:cs="Times New Roman"/>
          <w:sz w:val="24"/>
          <w:szCs w:val="24"/>
        </w:rPr>
        <w:t xml:space="preserve">. For example, </w:t>
      </w:r>
      <w:r w:rsidRPr="000F6431">
        <w:rPr>
          <w:rFonts w:ascii="Times New Roman" w:hAnsi="Times New Roman" w:cs="Times New Roman"/>
          <w:sz w:val="24"/>
          <w:szCs w:val="24"/>
        </w:rPr>
        <w:t>in England</w:t>
      </w:r>
      <w:r w:rsidR="00FC5710" w:rsidRPr="000F6431">
        <w:rPr>
          <w:rFonts w:ascii="Times New Roman" w:hAnsi="Times New Roman" w:cs="Times New Roman"/>
          <w:sz w:val="24"/>
          <w:szCs w:val="24"/>
        </w:rPr>
        <w:t xml:space="preserve">, the </w:t>
      </w:r>
      <w:r w:rsidR="00E3428C" w:rsidRPr="000F6431">
        <w:rPr>
          <w:rFonts w:ascii="Times New Roman" w:hAnsi="Times New Roman" w:cs="Times New Roman"/>
          <w:sz w:val="24"/>
          <w:szCs w:val="24"/>
        </w:rPr>
        <w:t xml:space="preserve">Department of Health in 1999 encouraged health and local authorities to act as health champions using HIA to </w:t>
      </w:r>
      <w:r w:rsidR="0091734D" w:rsidRPr="000F6431">
        <w:rPr>
          <w:rFonts w:ascii="Times New Roman" w:hAnsi="Times New Roman" w:cs="Times New Roman"/>
          <w:sz w:val="24"/>
          <w:szCs w:val="24"/>
        </w:rPr>
        <w:lastRenderedPageBreak/>
        <w:t xml:space="preserve">encourage health considerations in non health policy fields, and in 2004, </w:t>
      </w:r>
      <w:r w:rsidR="00E3428C" w:rsidRPr="000F6431">
        <w:rPr>
          <w:rFonts w:ascii="Times New Roman" w:hAnsi="Times New Roman" w:cs="Times New Roman"/>
          <w:sz w:val="24"/>
          <w:szCs w:val="24"/>
        </w:rPr>
        <w:t>the Department for Environment, Transport and the Regions (DETR) gave local authorities a new power of well being to develop multi-sectoral approaches to HIA (Greig</w:t>
      </w:r>
      <w:r w:rsidR="00F95435" w:rsidRPr="000F6431">
        <w:rPr>
          <w:rFonts w:ascii="Times New Roman" w:hAnsi="Times New Roman" w:cs="Times New Roman"/>
          <w:sz w:val="24"/>
          <w:szCs w:val="24"/>
        </w:rPr>
        <w:t xml:space="preserve"> et al.</w:t>
      </w:r>
      <w:r w:rsidR="00E3428C" w:rsidRPr="000F6431">
        <w:rPr>
          <w:rFonts w:ascii="Times New Roman" w:hAnsi="Times New Roman" w:cs="Times New Roman"/>
          <w:sz w:val="24"/>
          <w:szCs w:val="24"/>
        </w:rPr>
        <w:t xml:space="preserve">, 2004). </w:t>
      </w:r>
    </w:p>
    <w:p w:rsidR="00FC5710" w:rsidRPr="000F6431" w:rsidRDefault="0091734D"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However, </w:t>
      </w:r>
      <w:r w:rsidR="00E3428C" w:rsidRPr="000F6431">
        <w:rPr>
          <w:rFonts w:ascii="Times New Roman" w:hAnsi="Times New Roman" w:cs="Times New Roman"/>
          <w:sz w:val="24"/>
          <w:szCs w:val="24"/>
        </w:rPr>
        <w:t>in practice</w:t>
      </w:r>
      <w:r w:rsidR="0033271E" w:rsidRPr="000F6431">
        <w:rPr>
          <w:rFonts w:ascii="Times New Roman" w:hAnsi="Times New Roman" w:cs="Times New Roman"/>
          <w:sz w:val="24"/>
          <w:szCs w:val="24"/>
        </w:rPr>
        <w:t>, in the UK at least</w:t>
      </w:r>
      <w:r w:rsidR="00E3428C" w:rsidRPr="000F6431">
        <w:rPr>
          <w:rFonts w:ascii="Times New Roman" w:hAnsi="Times New Roman" w:cs="Times New Roman"/>
          <w:sz w:val="24"/>
          <w:szCs w:val="24"/>
        </w:rPr>
        <w:t xml:space="preserve">, it is </w:t>
      </w:r>
      <w:r w:rsidR="0033271E" w:rsidRPr="000F6431">
        <w:rPr>
          <w:rFonts w:ascii="Times New Roman" w:hAnsi="Times New Roman" w:cs="Times New Roman"/>
          <w:sz w:val="24"/>
          <w:szCs w:val="24"/>
        </w:rPr>
        <w:t xml:space="preserve">generally </w:t>
      </w:r>
      <w:r w:rsidR="00E3428C" w:rsidRPr="000F6431">
        <w:rPr>
          <w:rFonts w:ascii="Times New Roman" w:hAnsi="Times New Roman" w:cs="Times New Roman"/>
          <w:sz w:val="24"/>
          <w:szCs w:val="24"/>
        </w:rPr>
        <w:t>up to individual authorities to develop the will to work with the health sector to address its requirements in the field of urban development (Plant</w:t>
      </w:r>
      <w:r w:rsidR="00F95435" w:rsidRPr="000F6431">
        <w:rPr>
          <w:rFonts w:ascii="Times New Roman" w:hAnsi="Times New Roman" w:cs="Times New Roman"/>
          <w:sz w:val="24"/>
          <w:szCs w:val="24"/>
        </w:rPr>
        <w:t xml:space="preserve"> et al.</w:t>
      </w:r>
      <w:r w:rsidR="00E3428C" w:rsidRPr="000F6431">
        <w:rPr>
          <w:rFonts w:ascii="Times New Roman" w:hAnsi="Times New Roman" w:cs="Times New Roman"/>
          <w:sz w:val="24"/>
          <w:szCs w:val="24"/>
        </w:rPr>
        <w:t xml:space="preserve">, 2007).  </w:t>
      </w:r>
      <w:r w:rsidR="00E3428C" w:rsidRPr="000F6431">
        <w:rPr>
          <w:rFonts w:ascii="Times New Roman" w:hAnsi="Times New Roman" w:cs="Times New Roman"/>
          <w:sz w:val="24"/>
          <w:szCs w:val="24"/>
          <w:lang w:val="en-US"/>
        </w:rPr>
        <w:t>O</w:t>
      </w:r>
      <w:r w:rsidR="008B5364" w:rsidRPr="000F6431">
        <w:rPr>
          <w:rFonts w:ascii="Times New Roman" w:hAnsi="Times New Roman" w:cs="Times New Roman"/>
          <w:sz w:val="24"/>
          <w:szCs w:val="24"/>
        </w:rPr>
        <w:t xml:space="preserve">rganisational resources can be </w:t>
      </w:r>
      <w:r w:rsidR="0033271E" w:rsidRPr="000F6431">
        <w:rPr>
          <w:rFonts w:ascii="Times New Roman" w:hAnsi="Times New Roman" w:cs="Times New Roman"/>
          <w:sz w:val="24"/>
          <w:szCs w:val="24"/>
        </w:rPr>
        <w:t xml:space="preserve">increased </w:t>
      </w:r>
      <w:r w:rsidR="008B5364" w:rsidRPr="000F6431">
        <w:rPr>
          <w:rFonts w:ascii="Times New Roman" w:hAnsi="Times New Roman" w:cs="Times New Roman"/>
          <w:sz w:val="24"/>
          <w:szCs w:val="24"/>
        </w:rPr>
        <w:t>through knowledge sharing and partnership working</w:t>
      </w:r>
      <w:r w:rsidR="0033271E" w:rsidRPr="000F6431">
        <w:rPr>
          <w:rFonts w:ascii="Times New Roman" w:hAnsi="Times New Roman" w:cs="Times New Roman"/>
          <w:sz w:val="24"/>
          <w:szCs w:val="24"/>
        </w:rPr>
        <w:t xml:space="preserve"> , </w:t>
      </w:r>
      <w:r w:rsidR="00E85DF1" w:rsidRPr="000F6431">
        <w:rPr>
          <w:rFonts w:ascii="Times New Roman" w:hAnsi="Times New Roman" w:cs="Times New Roman"/>
          <w:sz w:val="24"/>
          <w:szCs w:val="24"/>
        </w:rPr>
        <w:t xml:space="preserve">as the previous section demonstrated </w:t>
      </w:r>
      <w:r w:rsidR="00705B51" w:rsidRPr="000F6431">
        <w:rPr>
          <w:rFonts w:ascii="Times New Roman" w:hAnsi="Times New Roman" w:cs="Times New Roman"/>
          <w:sz w:val="24"/>
          <w:szCs w:val="24"/>
        </w:rPr>
        <w:t>(</w:t>
      </w:r>
      <w:r w:rsidR="00C42D64" w:rsidRPr="000F6431">
        <w:rPr>
          <w:rFonts w:ascii="Times New Roman" w:hAnsi="Times New Roman" w:cs="Times New Roman"/>
          <w:sz w:val="24"/>
          <w:szCs w:val="24"/>
        </w:rPr>
        <w:t xml:space="preserve">Ahmad et al., 2008; Bendel and Owen-Smith, 2005; Davenport et al., 2006; Elliott and Francis, 2005; </w:t>
      </w:r>
      <w:r w:rsidR="00705B51" w:rsidRPr="000F6431">
        <w:rPr>
          <w:rFonts w:ascii="Times New Roman" w:hAnsi="Times New Roman" w:cs="Times New Roman"/>
          <w:sz w:val="24"/>
          <w:szCs w:val="24"/>
        </w:rPr>
        <w:t>Fischer</w:t>
      </w:r>
      <w:r w:rsidR="00F95435" w:rsidRPr="000F6431">
        <w:rPr>
          <w:rFonts w:ascii="Times New Roman" w:hAnsi="Times New Roman" w:cs="Times New Roman"/>
          <w:sz w:val="24"/>
          <w:szCs w:val="24"/>
        </w:rPr>
        <w:t xml:space="preserve"> et al., 2010; GCPH</w:t>
      </w:r>
      <w:r w:rsidR="00705B51" w:rsidRPr="000F6431">
        <w:rPr>
          <w:rFonts w:ascii="Times New Roman" w:hAnsi="Times New Roman" w:cs="Times New Roman"/>
          <w:sz w:val="24"/>
          <w:szCs w:val="24"/>
        </w:rPr>
        <w:t xml:space="preserve">, 2007; </w:t>
      </w:r>
      <w:r w:rsidR="00C42D64" w:rsidRPr="000F6431">
        <w:rPr>
          <w:rFonts w:ascii="Times New Roman" w:hAnsi="Times New Roman" w:cs="Times New Roman"/>
          <w:sz w:val="24"/>
          <w:szCs w:val="24"/>
        </w:rPr>
        <w:t xml:space="preserve">Hay and Kitcher, 2004; NHS London, 2009; PAS, 2008b; </w:t>
      </w:r>
      <w:r w:rsidR="00705B51" w:rsidRPr="000F6431">
        <w:rPr>
          <w:rFonts w:ascii="Times New Roman" w:hAnsi="Times New Roman" w:cs="Times New Roman"/>
          <w:sz w:val="24"/>
          <w:szCs w:val="24"/>
        </w:rPr>
        <w:t>Plant</w:t>
      </w:r>
      <w:r w:rsidR="00F95435" w:rsidRPr="000F6431">
        <w:rPr>
          <w:rFonts w:ascii="Times New Roman" w:hAnsi="Times New Roman" w:cs="Times New Roman"/>
          <w:sz w:val="24"/>
          <w:szCs w:val="24"/>
        </w:rPr>
        <w:t xml:space="preserve"> et al.</w:t>
      </w:r>
      <w:r w:rsidR="00705B51" w:rsidRPr="000F6431">
        <w:rPr>
          <w:rFonts w:ascii="Times New Roman" w:hAnsi="Times New Roman" w:cs="Times New Roman"/>
          <w:sz w:val="24"/>
          <w:szCs w:val="24"/>
        </w:rPr>
        <w:t xml:space="preserve">, 2007; </w:t>
      </w:r>
      <w:r w:rsidR="00F95435" w:rsidRPr="000F6431">
        <w:rPr>
          <w:rFonts w:ascii="Times New Roman" w:hAnsi="Times New Roman" w:cs="Times New Roman"/>
          <w:sz w:val="24"/>
          <w:szCs w:val="24"/>
        </w:rPr>
        <w:t>YHEC</w:t>
      </w:r>
      <w:r w:rsidR="00C42D64" w:rsidRPr="000F6431">
        <w:rPr>
          <w:rFonts w:ascii="Times New Roman" w:hAnsi="Times New Roman" w:cs="Times New Roman"/>
          <w:sz w:val="24"/>
          <w:szCs w:val="24"/>
        </w:rPr>
        <w:t>, 2006</w:t>
      </w:r>
      <w:r w:rsidR="00E85DF1" w:rsidRPr="000F6431">
        <w:rPr>
          <w:rFonts w:ascii="Times New Roman" w:hAnsi="Times New Roman" w:cs="Times New Roman"/>
          <w:sz w:val="24"/>
          <w:szCs w:val="24"/>
        </w:rPr>
        <w:t xml:space="preserve">). </w:t>
      </w:r>
      <w:r w:rsidR="0033271E" w:rsidRPr="000F6431">
        <w:rPr>
          <w:rFonts w:ascii="Times New Roman" w:hAnsi="Times New Roman" w:cs="Times New Roman"/>
          <w:sz w:val="24"/>
          <w:szCs w:val="24"/>
        </w:rPr>
        <w:t>P</w:t>
      </w:r>
      <w:r w:rsidR="008B5364" w:rsidRPr="000F6431">
        <w:rPr>
          <w:rFonts w:ascii="Times New Roman" w:hAnsi="Times New Roman" w:cs="Times New Roman"/>
          <w:sz w:val="24"/>
          <w:szCs w:val="24"/>
        </w:rPr>
        <w:t xml:space="preserve">ractical measures </w:t>
      </w:r>
      <w:r w:rsidR="00E85DF1" w:rsidRPr="000F6431">
        <w:rPr>
          <w:rFonts w:ascii="Times New Roman" w:hAnsi="Times New Roman" w:cs="Times New Roman"/>
          <w:sz w:val="24"/>
          <w:szCs w:val="24"/>
        </w:rPr>
        <w:t>suggested include</w:t>
      </w:r>
      <w:r w:rsidR="008B5364" w:rsidRPr="000F6431">
        <w:rPr>
          <w:rFonts w:ascii="Times New Roman" w:hAnsi="Times New Roman" w:cs="Times New Roman"/>
          <w:sz w:val="24"/>
          <w:szCs w:val="24"/>
        </w:rPr>
        <w:t xml:space="preserve"> improving the links between planning and corporate policy at the level of the organisation</w:t>
      </w:r>
      <w:r w:rsidR="006F2EFC" w:rsidRPr="000F6431">
        <w:rPr>
          <w:rFonts w:ascii="Times New Roman" w:hAnsi="Times New Roman" w:cs="Times New Roman"/>
          <w:sz w:val="24"/>
          <w:szCs w:val="24"/>
        </w:rPr>
        <w:t xml:space="preserve"> (GCPH, 2007)</w:t>
      </w:r>
      <w:r w:rsidR="008B5364" w:rsidRPr="000F6431">
        <w:rPr>
          <w:rFonts w:ascii="Times New Roman" w:hAnsi="Times New Roman" w:cs="Times New Roman"/>
          <w:sz w:val="24"/>
          <w:szCs w:val="24"/>
        </w:rPr>
        <w:t>, setting up cross-departmental or multidisciplinary team</w:t>
      </w:r>
      <w:r w:rsidR="00430EFD" w:rsidRPr="000F6431">
        <w:rPr>
          <w:rFonts w:ascii="Times New Roman" w:hAnsi="Times New Roman" w:cs="Times New Roman"/>
          <w:sz w:val="24"/>
          <w:szCs w:val="24"/>
        </w:rPr>
        <w:t xml:space="preserve"> </w:t>
      </w:r>
      <w:r w:rsidR="008B5364" w:rsidRPr="000F6431">
        <w:rPr>
          <w:rFonts w:ascii="Times New Roman" w:hAnsi="Times New Roman" w:cs="Times New Roman"/>
          <w:sz w:val="24"/>
          <w:szCs w:val="24"/>
        </w:rPr>
        <w:t>working to facilitate policy integration</w:t>
      </w:r>
      <w:r w:rsidR="006F2EFC" w:rsidRPr="000F6431">
        <w:rPr>
          <w:rFonts w:ascii="Times New Roman" w:hAnsi="Times New Roman" w:cs="Times New Roman"/>
          <w:sz w:val="24"/>
          <w:szCs w:val="24"/>
        </w:rPr>
        <w:t xml:space="preserve"> (</w:t>
      </w:r>
      <w:r w:rsidR="00430EFD" w:rsidRPr="000F6431">
        <w:rPr>
          <w:rFonts w:ascii="Times New Roman" w:hAnsi="Times New Roman" w:cs="Times New Roman"/>
          <w:sz w:val="24"/>
          <w:szCs w:val="24"/>
        </w:rPr>
        <w:t xml:space="preserve">Bond et al., 2001; </w:t>
      </w:r>
      <w:r w:rsidR="006F2EFC" w:rsidRPr="000F6431">
        <w:rPr>
          <w:rFonts w:ascii="Times New Roman" w:hAnsi="Times New Roman" w:cs="Times New Roman"/>
          <w:sz w:val="24"/>
          <w:szCs w:val="24"/>
        </w:rPr>
        <w:t>Hay and Kitcher, 2004</w:t>
      </w:r>
      <w:r w:rsidR="00430EFD" w:rsidRPr="000F6431">
        <w:rPr>
          <w:rFonts w:ascii="Times New Roman" w:hAnsi="Times New Roman" w:cs="Times New Roman"/>
          <w:sz w:val="24"/>
          <w:szCs w:val="24"/>
        </w:rPr>
        <w:t>; PAS, 2008b</w:t>
      </w:r>
      <w:r w:rsidR="00282912" w:rsidRPr="000F6431">
        <w:rPr>
          <w:rFonts w:ascii="Times New Roman" w:hAnsi="Times New Roman" w:cs="Times New Roman"/>
          <w:sz w:val="24"/>
          <w:szCs w:val="24"/>
        </w:rPr>
        <w:t>)</w:t>
      </w:r>
      <w:r w:rsidR="008B5364" w:rsidRPr="000F6431">
        <w:rPr>
          <w:rFonts w:ascii="Times New Roman" w:hAnsi="Times New Roman" w:cs="Times New Roman"/>
          <w:sz w:val="24"/>
          <w:szCs w:val="24"/>
        </w:rPr>
        <w:t>, regular meetings between health and planning authorities</w:t>
      </w:r>
      <w:r w:rsidR="006F2EFC" w:rsidRPr="000F6431">
        <w:rPr>
          <w:rFonts w:ascii="Times New Roman" w:hAnsi="Times New Roman" w:cs="Times New Roman"/>
          <w:sz w:val="24"/>
          <w:szCs w:val="24"/>
        </w:rPr>
        <w:t xml:space="preserve"> (</w:t>
      </w:r>
      <w:r w:rsidR="00430EFD" w:rsidRPr="000F6431">
        <w:rPr>
          <w:rFonts w:ascii="Times New Roman" w:hAnsi="Times New Roman" w:cs="Times New Roman"/>
          <w:sz w:val="24"/>
          <w:szCs w:val="24"/>
        </w:rPr>
        <w:t xml:space="preserve">NHS London, 2009; </w:t>
      </w:r>
      <w:r w:rsidR="006F2EFC" w:rsidRPr="000F6431">
        <w:rPr>
          <w:rFonts w:ascii="Times New Roman" w:hAnsi="Times New Roman" w:cs="Times New Roman"/>
          <w:sz w:val="24"/>
          <w:szCs w:val="24"/>
        </w:rPr>
        <w:t>Plant et al, 2007)</w:t>
      </w:r>
      <w:r w:rsidR="008B5364" w:rsidRPr="000F6431">
        <w:rPr>
          <w:rFonts w:ascii="Times New Roman" w:hAnsi="Times New Roman" w:cs="Times New Roman"/>
          <w:sz w:val="24"/>
          <w:szCs w:val="24"/>
        </w:rPr>
        <w:t>, building programme</w:t>
      </w:r>
      <w:r w:rsidR="000313D1" w:rsidRPr="000F6431">
        <w:rPr>
          <w:rFonts w:ascii="Times New Roman" w:hAnsi="Times New Roman" w:cs="Times New Roman"/>
          <w:sz w:val="24"/>
          <w:szCs w:val="24"/>
        </w:rPr>
        <w:t>-</w:t>
      </w:r>
      <w:r w:rsidR="008B5364" w:rsidRPr="000F6431">
        <w:rPr>
          <w:rFonts w:ascii="Times New Roman" w:hAnsi="Times New Roman" w:cs="Times New Roman"/>
          <w:sz w:val="24"/>
          <w:szCs w:val="24"/>
        </w:rPr>
        <w:t>management skills</w:t>
      </w:r>
      <w:r w:rsidR="006F2EFC" w:rsidRPr="000F6431">
        <w:rPr>
          <w:rFonts w:ascii="Times New Roman" w:hAnsi="Times New Roman" w:cs="Times New Roman"/>
          <w:sz w:val="24"/>
          <w:szCs w:val="24"/>
        </w:rPr>
        <w:t xml:space="preserve"> (Neville et al. 2005)</w:t>
      </w:r>
      <w:r w:rsidR="008B5364" w:rsidRPr="000F6431">
        <w:rPr>
          <w:rFonts w:ascii="Times New Roman" w:hAnsi="Times New Roman" w:cs="Times New Roman"/>
          <w:sz w:val="24"/>
          <w:szCs w:val="24"/>
        </w:rPr>
        <w:t>, building the capacity to engage with stakeholders and work inter</w:t>
      </w:r>
      <w:r w:rsidR="0033271E" w:rsidRPr="000F6431">
        <w:rPr>
          <w:rFonts w:ascii="Times New Roman" w:hAnsi="Times New Roman" w:cs="Times New Roman"/>
          <w:sz w:val="24"/>
          <w:szCs w:val="24"/>
        </w:rPr>
        <w:t>-</w:t>
      </w:r>
      <w:r w:rsidR="008B5364" w:rsidRPr="000F6431">
        <w:rPr>
          <w:rFonts w:ascii="Times New Roman" w:hAnsi="Times New Roman" w:cs="Times New Roman"/>
          <w:sz w:val="24"/>
          <w:szCs w:val="24"/>
        </w:rPr>
        <w:t>sectorally</w:t>
      </w:r>
      <w:r w:rsidR="00282912" w:rsidRPr="000F6431">
        <w:rPr>
          <w:rFonts w:ascii="Times New Roman" w:hAnsi="Times New Roman" w:cs="Times New Roman"/>
          <w:sz w:val="24"/>
          <w:szCs w:val="24"/>
        </w:rPr>
        <w:t xml:space="preserve"> (e.g. Blau and Mahoney, 2005,</w:t>
      </w:r>
      <w:r w:rsidR="00032A80" w:rsidRPr="000F6431">
        <w:rPr>
          <w:rFonts w:ascii="Times New Roman" w:hAnsi="Times New Roman" w:cs="Times New Roman"/>
          <w:sz w:val="24"/>
          <w:szCs w:val="24"/>
        </w:rPr>
        <w:t xml:space="preserve"> </w:t>
      </w:r>
      <w:r w:rsidR="00282912" w:rsidRPr="000F6431">
        <w:rPr>
          <w:rFonts w:ascii="Times New Roman" w:hAnsi="Times New Roman" w:cs="Times New Roman"/>
          <w:sz w:val="24"/>
          <w:szCs w:val="24"/>
        </w:rPr>
        <w:t xml:space="preserve">France, 2004; Greig et al. 2004, </w:t>
      </w:r>
      <w:r w:rsidR="00430EFD" w:rsidRPr="000F6431">
        <w:rPr>
          <w:rFonts w:ascii="Times New Roman" w:hAnsi="Times New Roman" w:cs="Times New Roman"/>
          <w:sz w:val="24"/>
          <w:szCs w:val="24"/>
        </w:rPr>
        <w:t>Neville et al. 2005; PAS, 2008a</w:t>
      </w:r>
      <w:r w:rsidR="00282912" w:rsidRPr="000F6431">
        <w:rPr>
          <w:rFonts w:ascii="Times New Roman" w:hAnsi="Times New Roman" w:cs="Times New Roman"/>
          <w:sz w:val="24"/>
          <w:szCs w:val="24"/>
        </w:rPr>
        <w:t>),</w:t>
      </w:r>
      <w:r w:rsidR="0033271E" w:rsidRPr="000F6431">
        <w:rPr>
          <w:rFonts w:ascii="Times New Roman" w:hAnsi="Times New Roman" w:cs="Times New Roman"/>
          <w:sz w:val="24"/>
          <w:szCs w:val="24"/>
        </w:rPr>
        <w:t xml:space="preserve"> and</w:t>
      </w:r>
      <w:r w:rsidR="008B5364" w:rsidRPr="000F6431">
        <w:rPr>
          <w:rFonts w:ascii="Times New Roman" w:hAnsi="Times New Roman" w:cs="Times New Roman"/>
          <w:b/>
          <w:sz w:val="24"/>
          <w:szCs w:val="24"/>
        </w:rPr>
        <w:t xml:space="preserve"> </w:t>
      </w:r>
      <w:r w:rsidR="008B5364" w:rsidRPr="000F6431">
        <w:rPr>
          <w:rFonts w:ascii="Times New Roman" w:hAnsi="Times New Roman" w:cs="Times New Roman"/>
          <w:sz w:val="24"/>
          <w:szCs w:val="24"/>
        </w:rPr>
        <w:t>involving decision-makers in knowledge production, in assessment process</w:t>
      </w:r>
      <w:r w:rsidR="008B5364" w:rsidRPr="000F6431">
        <w:rPr>
          <w:rFonts w:ascii="Times New Roman" w:hAnsi="Times New Roman" w:cs="Times New Roman"/>
          <w:b/>
          <w:sz w:val="24"/>
          <w:szCs w:val="24"/>
        </w:rPr>
        <w:t xml:space="preserve"> </w:t>
      </w:r>
      <w:r w:rsidR="008B5364" w:rsidRPr="000F6431">
        <w:rPr>
          <w:rFonts w:ascii="Times New Roman" w:hAnsi="Times New Roman" w:cs="Times New Roman"/>
          <w:sz w:val="24"/>
          <w:szCs w:val="24"/>
        </w:rPr>
        <w:t>or involving outside experts or outsourcing</w:t>
      </w:r>
      <w:r w:rsidR="00282912" w:rsidRPr="000F6431">
        <w:rPr>
          <w:rFonts w:ascii="Times New Roman" w:hAnsi="Times New Roman" w:cs="Times New Roman"/>
          <w:sz w:val="24"/>
          <w:szCs w:val="24"/>
        </w:rPr>
        <w:t xml:space="preserve"> (</w:t>
      </w:r>
      <w:r w:rsidR="00430EFD" w:rsidRPr="000F6431">
        <w:rPr>
          <w:rFonts w:ascii="Times New Roman" w:hAnsi="Times New Roman" w:cs="Times New Roman"/>
          <w:sz w:val="24"/>
          <w:szCs w:val="24"/>
        </w:rPr>
        <w:t>Davenport, 2006; Elliott and Francis, 2005</w:t>
      </w:r>
      <w:r w:rsidR="00282912" w:rsidRPr="000F6431">
        <w:rPr>
          <w:rFonts w:ascii="Times New Roman" w:hAnsi="Times New Roman" w:cs="Times New Roman"/>
          <w:sz w:val="24"/>
          <w:szCs w:val="24"/>
        </w:rPr>
        <w:t>)</w:t>
      </w:r>
      <w:r w:rsidR="008B5364" w:rsidRPr="000F6431">
        <w:rPr>
          <w:rFonts w:ascii="Times New Roman" w:hAnsi="Times New Roman" w:cs="Times New Roman"/>
          <w:sz w:val="24"/>
          <w:szCs w:val="24"/>
        </w:rPr>
        <w:t xml:space="preserve">. </w:t>
      </w:r>
    </w:p>
    <w:p w:rsidR="00535352" w:rsidRPr="000F6431" w:rsidRDefault="008B5364"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B</w:t>
      </w:r>
      <w:r w:rsidR="00535352" w:rsidRPr="000F6431">
        <w:rPr>
          <w:rFonts w:ascii="Times New Roman" w:hAnsi="Times New Roman" w:cs="Times New Roman"/>
          <w:sz w:val="24"/>
          <w:szCs w:val="24"/>
        </w:rPr>
        <w:t xml:space="preserve">uilding the capacity of actors and stakeholders </w:t>
      </w:r>
      <w:r w:rsidRPr="000F6431">
        <w:rPr>
          <w:rFonts w:ascii="Times New Roman" w:eastAsia="Times New Roman" w:hAnsi="Times New Roman" w:cs="Times New Roman"/>
          <w:sz w:val="24"/>
          <w:szCs w:val="24"/>
          <w:lang w:eastAsia="en-GB"/>
        </w:rPr>
        <w:t>is another way to improve health consideration through appraisals</w:t>
      </w:r>
      <w:r w:rsidR="00E3428C" w:rsidRPr="000F6431">
        <w:rPr>
          <w:rFonts w:ascii="Times New Roman" w:eastAsia="Times New Roman" w:hAnsi="Times New Roman" w:cs="Times New Roman"/>
          <w:sz w:val="24"/>
          <w:szCs w:val="24"/>
          <w:lang w:eastAsia="en-GB"/>
        </w:rPr>
        <w:t xml:space="preserve"> </w:t>
      </w:r>
      <w:r w:rsidR="00F95435" w:rsidRPr="000F6431">
        <w:rPr>
          <w:rFonts w:ascii="Times New Roman" w:hAnsi="Times New Roman" w:cs="Times New Roman"/>
          <w:sz w:val="24"/>
          <w:szCs w:val="24"/>
        </w:rPr>
        <w:t>(</w:t>
      </w:r>
      <w:r w:rsidR="00C42D64" w:rsidRPr="000F6431">
        <w:rPr>
          <w:rFonts w:ascii="Times New Roman" w:hAnsi="Times New Roman" w:cs="Times New Roman"/>
          <w:sz w:val="24"/>
          <w:szCs w:val="24"/>
        </w:rPr>
        <w:t xml:space="preserve">Ahmad et al., 2008; </w:t>
      </w:r>
      <w:r w:rsidR="00C42D64" w:rsidRPr="000F6431">
        <w:rPr>
          <w:rFonts w:ascii="Times New Roman" w:eastAsia="Times New Roman" w:hAnsi="Times New Roman" w:cs="Times New Roman"/>
          <w:sz w:val="24"/>
          <w:szCs w:val="24"/>
          <w:lang w:eastAsia="en-GB"/>
        </w:rPr>
        <w:t xml:space="preserve">Bhatia and Wernham, 2008; </w:t>
      </w:r>
      <w:r w:rsidR="00C42D64" w:rsidRPr="000F6431">
        <w:rPr>
          <w:rFonts w:ascii="Times New Roman" w:hAnsi="Times New Roman" w:cs="Times New Roman"/>
          <w:sz w:val="24"/>
          <w:szCs w:val="24"/>
        </w:rPr>
        <w:t xml:space="preserve">Blau and Mahoney, 2005; </w:t>
      </w:r>
      <w:r w:rsidR="00C42D64" w:rsidRPr="000F6431">
        <w:rPr>
          <w:rFonts w:ascii="Times New Roman" w:eastAsia="Times New Roman" w:hAnsi="Times New Roman" w:cs="Times New Roman"/>
          <w:sz w:val="24"/>
          <w:szCs w:val="24"/>
          <w:lang w:eastAsia="en-GB"/>
        </w:rPr>
        <w:t xml:space="preserve">Bond et al., 2001; </w:t>
      </w:r>
      <w:r w:rsidR="00C42D64" w:rsidRPr="000F6431">
        <w:rPr>
          <w:rFonts w:ascii="Times New Roman" w:hAnsi="Times New Roman" w:cs="Times New Roman"/>
          <w:sz w:val="24"/>
          <w:szCs w:val="24"/>
        </w:rPr>
        <w:t xml:space="preserve">Caussy et al., 2003; </w:t>
      </w:r>
      <w:r w:rsidR="00C42D64" w:rsidRPr="000F6431">
        <w:rPr>
          <w:rFonts w:ascii="Times New Roman" w:eastAsia="Times New Roman" w:hAnsi="Times New Roman" w:cs="Times New Roman"/>
          <w:sz w:val="24"/>
          <w:szCs w:val="24"/>
          <w:lang w:eastAsia="en-GB"/>
        </w:rPr>
        <w:t xml:space="preserve">Corburn and Bhatia, 2007; </w:t>
      </w:r>
      <w:r w:rsidR="00C42D64" w:rsidRPr="000F6431">
        <w:rPr>
          <w:rFonts w:ascii="Times New Roman" w:eastAsia="Times New Roman" w:hAnsi="Times New Roman" w:cs="Times New Roman"/>
          <w:sz w:val="24"/>
          <w:szCs w:val="24"/>
          <w:lang w:eastAsia="en-GB"/>
        </w:rPr>
        <w:lastRenderedPageBreak/>
        <w:t xml:space="preserve">Neville et al., 2005; </w:t>
      </w:r>
      <w:r w:rsidR="00C42D64" w:rsidRPr="000F6431">
        <w:rPr>
          <w:rFonts w:ascii="Times New Roman" w:hAnsi="Times New Roman" w:cs="Times New Roman"/>
          <w:sz w:val="24"/>
          <w:szCs w:val="24"/>
        </w:rPr>
        <w:t xml:space="preserve">NHS London, 2009; </w:t>
      </w:r>
      <w:r w:rsidR="00F95435" w:rsidRPr="000F6431">
        <w:rPr>
          <w:rFonts w:ascii="Times New Roman" w:hAnsi="Times New Roman" w:cs="Times New Roman"/>
          <w:sz w:val="24"/>
          <w:szCs w:val="24"/>
        </w:rPr>
        <w:t>PAS</w:t>
      </w:r>
      <w:r w:rsidR="00E3428C" w:rsidRPr="000F6431">
        <w:rPr>
          <w:rFonts w:ascii="Times New Roman" w:hAnsi="Times New Roman" w:cs="Times New Roman"/>
          <w:sz w:val="24"/>
          <w:szCs w:val="24"/>
        </w:rPr>
        <w:t xml:space="preserve">, 2008a; </w:t>
      </w:r>
      <w:r w:rsidR="00E3428C" w:rsidRPr="000F6431">
        <w:rPr>
          <w:rFonts w:ascii="Times New Roman" w:eastAsia="Times New Roman" w:hAnsi="Times New Roman" w:cs="Times New Roman"/>
          <w:sz w:val="24"/>
          <w:szCs w:val="24"/>
          <w:lang w:eastAsia="en-GB"/>
        </w:rPr>
        <w:t>Utzinger</w:t>
      </w:r>
      <w:r w:rsidR="00F95435" w:rsidRPr="000F6431">
        <w:rPr>
          <w:rFonts w:ascii="Times New Roman" w:eastAsia="Times New Roman" w:hAnsi="Times New Roman" w:cs="Times New Roman"/>
          <w:sz w:val="24"/>
          <w:szCs w:val="24"/>
          <w:lang w:eastAsia="en-GB"/>
        </w:rPr>
        <w:t xml:space="preserve"> et al.</w:t>
      </w:r>
      <w:r w:rsidR="00E3428C" w:rsidRPr="000F6431">
        <w:rPr>
          <w:rFonts w:ascii="Times New Roman" w:eastAsia="Times New Roman" w:hAnsi="Times New Roman" w:cs="Times New Roman"/>
          <w:sz w:val="24"/>
          <w:szCs w:val="24"/>
          <w:lang w:eastAsia="en-GB"/>
        </w:rPr>
        <w:t xml:space="preserve">, 2005; </w:t>
      </w:r>
      <w:r w:rsidR="00F95435" w:rsidRPr="000F6431">
        <w:rPr>
          <w:rFonts w:ascii="Times New Roman" w:hAnsi="Times New Roman" w:cs="Times New Roman"/>
          <w:sz w:val="24"/>
          <w:szCs w:val="24"/>
        </w:rPr>
        <w:t>YHEC</w:t>
      </w:r>
      <w:r w:rsidR="00C42D64" w:rsidRPr="000F6431">
        <w:rPr>
          <w:rFonts w:ascii="Times New Roman" w:hAnsi="Times New Roman" w:cs="Times New Roman"/>
          <w:sz w:val="24"/>
          <w:szCs w:val="24"/>
        </w:rPr>
        <w:t>, 2006</w:t>
      </w:r>
      <w:r w:rsidR="00E3428C" w:rsidRPr="000F6431">
        <w:rPr>
          <w:rFonts w:ascii="Times New Roman" w:eastAsia="Times New Roman" w:hAnsi="Times New Roman" w:cs="Times New Roman"/>
          <w:sz w:val="24"/>
          <w:szCs w:val="24"/>
          <w:lang w:eastAsia="en-GB"/>
        </w:rPr>
        <w:t>)</w:t>
      </w:r>
      <w:r w:rsidRPr="000F6431">
        <w:rPr>
          <w:rFonts w:ascii="Times New Roman" w:eastAsia="Times New Roman" w:hAnsi="Times New Roman" w:cs="Times New Roman"/>
          <w:sz w:val="24"/>
          <w:szCs w:val="24"/>
          <w:lang w:eastAsia="en-GB"/>
        </w:rPr>
        <w:t xml:space="preserve">. In practice, it includes for instance </w:t>
      </w:r>
      <w:r w:rsidR="000313D1" w:rsidRPr="000F6431">
        <w:rPr>
          <w:rFonts w:ascii="Times New Roman" w:eastAsia="Times New Roman" w:hAnsi="Times New Roman" w:cs="Times New Roman"/>
          <w:sz w:val="24"/>
          <w:szCs w:val="24"/>
          <w:lang w:eastAsia="en-GB"/>
        </w:rPr>
        <w:t xml:space="preserve">the </w:t>
      </w:r>
      <w:r w:rsidRPr="000F6431">
        <w:rPr>
          <w:rFonts w:ascii="Times New Roman" w:hAnsi="Times New Roman" w:cs="Times New Roman"/>
          <w:sz w:val="24"/>
          <w:szCs w:val="24"/>
        </w:rPr>
        <w:t xml:space="preserve">creation of </w:t>
      </w:r>
      <w:r w:rsidR="000313D1" w:rsidRPr="000F6431">
        <w:rPr>
          <w:rFonts w:ascii="Times New Roman" w:hAnsi="Times New Roman" w:cs="Times New Roman"/>
          <w:sz w:val="24"/>
          <w:szCs w:val="24"/>
        </w:rPr>
        <w:t xml:space="preserve">an </w:t>
      </w:r>
      <w:r w:rsidRPr="000F6431">
        <w:rPr>
          <w:rFonts w:ascii="Times New Roman" w:hAnsi="Times New Roman" w:cs="Times New Roman"/>
          <w:sz w:val="24"/>
          <w:szCs w:val="24"/>
        </w:rPr>
        <w:t xml:space="preserve">HIA post at </w:t>
      </w:r>
      <w:r w:rsidR="000313D1" w:rsidRPr="000F6431">
        <w:rPr>
          <w:rFonts w:ascii="Times New Roman" w:hAnsi="Times New Roman" w:cs="Times New Roman"/>
          <w:sz w:val="24"/>
          <w:szCs w:val="24"/>
        </w:rPr>
        <w:t xml:space="preserve">a </w:t>
      </w:r>
      <w:r w:rsidRPr="000F6431">
        <w:rPr>
          <w:rFonts w:ascii="Times New Roman" w:hAnsi="Times New Roman" w:cs="Times New Roman"/>
          <w:sz w:val="24"/>
          <w:szCs w:val="24"/>
        </w:rPr>
        <w:t>strategic level, developing on-going institutional skills (not only individual skills)</w:t>
      </w:r>
      <w:r w:rsidR="0033271E" w:rsidRPr="000F6431">
        <w:rPr>
          <w:rFonts w:ascii="Times New Roman" w:hAnsi="Times New Roman" w:cs="Times New Roman"/>
          <w:sz w:val="24"/>
          <w:szCs w:val="24"/>
        </w:rPr>
        <w:t>,</w:t>
      </w:r>
      <w:r w:rsidRPr="000F6431">
        <w:rPr>
          <w:rFonts w:ascii="Times New Roman" w:hAnsi="Times New Roman" w:cs="Times New Roman"/>
          <w:sz w:val="24"/>
          <w:szCs w:val="24"/>
        </w:rPr>
        <w:t xml:space="preserve"> consultation mechanisms, skills to </w:t>
      </w:r>
      <w:r w:rsidR="000313D1" w:rsidRPr="000F6431">
        <w:rPr>
          <w:rFonts w:ascii="Times New Roman" w:hAnsi="Times New Roman" w:cs="Times New Roman"/>
          <w:sz w:val="24"/>
          <w:szCs w:val="24"/>
        </w:rPr>
        <w:t>conduct</w:t>
      </w:r>
      <w:r w:rsidRPr="000F6431">
        <w:rPr>
          <w:rFonts w:ascii="Times New Roman" w:hAnsi="Times New Roman" w:cs="Times New Roman"/>
          <w:sz w:val="24"/>
          <w:szCs w:val="24"/>
        </w:rPr>
        <w:t xml:space="preserve"> assessment, providing support for developers, </w:t>
      </w:r>
      <w:r w:rsidR="0033271E" w:rsidRPr="000F6431">
        <w:rPr>
          <w:rFonts w:ascii="Times New Roman" w:hAnsi="Times New Roman" w:cs="Times New Roman"/>
          <w:sz w:val="24"/>
          <w:szCs w:val="24"/>
        </w:rPr>
        <w:t xml:space="preserve">and </w:t>
      </w:r>
      <w:r w:rsidR="000313D1" w:rsidRPr="000F6431">
        <w:rPr>
          <w:rFonts w:ascii="Times New Roman" w:hAnsi="Times New Roman" w:cs="Times New Roman"/>
          <w:sz w:val="24"/>
          <w:szCs w:val="24"/>
        </w:rPr>
        <w:t>developing</w:t>
      </w:r>
      <w:r w:rsidR="0033271E" w:rsidRPr="000F6431">
        <w:rPr>
          <w:rFonts w:ascii="Times New Roman" w:hAnsi="Times New Roman" w:cs="Times New Roman"/>
          <w:sz w:val="24"/>
          <w:szCs w:val="24"/>
        </w:rPr>
        <w:t xml:space="preserve"> quantitative, </w:t>
      </w:r>
      <w:r w:rsidRPr="000F6431">
        <w:rPr>
          <w:rFonts w:ascii="Times New Roman" w:hAnsi="Times New Roman" w:cs="Times New Roman"/>
          <w:sz w:val="24"/>
          <w:szCs w:val="24"/>
        </w:rPr>
        <w:t xml:space="preserve">qualitative </w:t>
      </w:r>
      <w:r w:rsidR="0033271E" w:rsidRPr="000F6431">
        <w:rPr>
          <w:rFonts w:ascii="Times New Roman" w:hAnsi="Times New Roman" w:cs="Times New Roman"/>
          <w:sz w:val="24"/>
          <w:szCs w:val="24"/>
        </w:rPr>
        <w:t xml:space="preserve">and </w:t>
      </w:r>
      <w:r w:rsidRPr="000F6431">
        <w:rPr>
          <w:rFonts w:ascii="Times New Roman" w:hAnsi="Times New Roman" w:cs="Times New Roman"/>
          <w:sz w:val="24"/>
          <w:szCs w:val="24"/>
        </w:rPr>
        <w:t xml:space="preserve">advocacy skills.  </w:t>
      </w:r>
      <w:r w:rsidR="00680617" w:rsidRPr="000F6431">
        <w:rPr>
          <w:rFonts w:ascii="Times New Roman" w:hAnsi="Times New Roman" w:cs="Times New Roman"/>
          <w:sz w:val="24"/>
          <w:szCs w:val="24"/>
        </w:rPr>
        <w:t>T</w:t>
      </w:r>
      <w:r w:rsidR="00535352" w:rsidRPr="000F6431">
        <w:rPr>
          <w:rFonts w:ascii="Times New Roman" w:hAnsi="Times New Roman" w:cs="Times New Roman"/>
          <w:sz w:val="24"/>
          <w:szCs w:val="24"/>
        </w:rPr>
        <w:t xml:space="preserve">he </w:t>
      </w:r>
      <w:r w:rsidR="0033271E" w:rsidRPr="000F6431">
        <w:rPr>
          <w:rFonts w:ascii="Times New Roman" w:hAnsi="Times New Roman" w:cs="Times New Roman"/>
          <w:sz w:val="24"/>
          <w:szCs w:val="24"/>
        </w:rPr>
        <w:t>creation of an HIA support unit, and</w:t>
      </w:r>
      <w:r w:rsidR="00AF31A4" w:rsidRPr="000F6431">
        <w:rPr>
          <w:rFonts w:ascii="Times New Roman" w:hAnsi="Times New Roman" w:cs="Times New Roman"/>
          <w:sz w:val="24"/>
          <w:szCs w:val="24"/>
        </w:rPr>
        <w:t>/</w:t>
      </w:r>
      <w:r w:rsidR="0033271E" w:rsidRPr="000F6431">
        <w:rPr>
          <w:rFonts w:ascii="Times New Roman" w:hAnsi="Times New Roman" w:cs="Times New Roman"/>
          <w:sz w:val="24"/>
          <w:szCs w:val="24"/>
        </w:rPr>
        <w:t xml:space="preserve">or </w:t>
      </w:r>
      <w:r w:rsidR="00535352" w:rsidRPr="000F6431">
        <w:rPr>
          <w:rFonts w:ascii="Times New Roman" w:hAnsi="Times New Roman" w:cs="Times New Roman"/>
          <w:sz w:val="24"/>
          <w:szCs w:val="24"/>
        </w:rPr>
        <w:t xml:space="preserve">dedicated time and staff to research healthcare trends, needs of local communities </w:t>
      </w:r>
      <w:r w:rsidR="0033271E" w:rsidRPr="000F6431">
        <w:rPr>
          <w:rFonts w:ascii="Times New Roman" w:hAnsi="Times New Roman" w:cs="Times New Roman"/>
          <w:sz w:val="24"/>
          <w:szCs w:val="24"/>
        </w:rPr>
        <w:t xml:space="preserve">and </w:t>
      </w:r>
      <w:r w:rsidR="00535352" w:rsidRPr="000F6431">
        <w:rPr>
          <w:rFonts w:ascii="Times New Roman" w:hAnsi="Times New Roman" w:cs="Times New Roman"/>
          <w:sz w:val="24"/>
          <w:szCs w:val="24"/>
        </w:rPr>
        <w:t xml:space="preserve">to collaborate within local planning authorities </w:t>
      </w:r>
      <w:r w:rsidR="0033271E" w:rsidRPr="000F6431">
        <w:rPr>
          <w:rFonts w:ascii="Times New Roman" w:hAnsi="Times New Roman" w:cs="Times New Roman"/>
          <w:sz w:val="24"/>
          <w:szCs w:val="24"/>
        </w:rPr>
        <w:t>are also suggested</w:t>
      </w:r>
      <w:r w:rsidR="00535352" w:rsidRPr="000F6431">
        <w:rPr>
          <w:rFonts w:ascii="Times New Roman" w:hAnsi="Times New Roman" w:cs="Times New Roman"/>
          <w:sz w:val="24"/>
          <w:szCs w:val="24"/>
        </w:rPr>
        <w:t xml:space="preserve"> </w:t>
      </w:r>
      <w:r w:rsidR="008F127F" w:rsidRPr="000F6431">
        <w:rPr>
          <w:rFonts w:ascii="Times New Roman" w:hAnsi="Times New Roman" w:cs="Times New Roman"/>
          <w:sz w:val="24"/>
          <w:szCs w:val="24"/>
        </w:rPr>
        <w:t>(</w:t>
      </w:r>
      <w:r w:rsidR="00C42D64" w:rsidRPr="000F6431">
        <w:rPr>
          <w:rFonts w:ascii="Times New Roman" w:hAnsi="Times New Roman" w:cs="Times New Roman"/>
          <w:sz w:val="24"/>
          <w:szCs w:val="24"/>
        </w:rPr>
        <w:t xml:space="preserve">Blau and Mahoney, 2005; </w:t>
      </w:r>
      <w:r w:rsidR="008F127F" w:rsidRPr="000F6431">
        <w:rPr>
          <w:rFonts w:ascii="Times New Roman" w:hAnsi="Times New Roman" w:cs="Times New Roman"/>
          <w:sz w:val="24"/>
          <w:szCs w:val="24"/>
        </w:rPr>
        <w:t>Douglas</w:t>
      </w:r>
      <w:r w:rsidR="00F95435" w:rsidRPr="000F6431">
        <w:rPr>
          <w:rFonts w:ascii="Times New Roman" w:hAnsi="Times New Roman" w:cs="Times New Roman"/>
          <w:sz w:val="24"/>
          <w:szCs w:val="24"/>
        </w:rPr>
        <w:t xml:space="preserve"> et al.</w:t>
      </w:r>
      <w:r w:rsidR="008F127F" w:rsidRPr="000F6431">
        <w:rPr>
          <w:rFonts w:ascii="Times New Roman" w:hAnsi="Times New Roman" w:cs="Times New Roman"/>
          <w:sz w:val="24"/>
          <w:szCs w:val="24"/>
        </w:rPr>
        <w:t>, 2001; France,</w:t>
      </w:r>
      <w:r w:rsidR="00D80296" w:rsidRPr="000F6431">
        <w:rPr>
          <w:rFonts w:ascii="Times New Roman" w:hAnsi="Times New Roman" w:cs="Times New Roman"/>
          <w:sz w:val="24"/>
          <w:szCs w:val="24"/>
        </w:rPr>
        <w:t xml:space="preserve"> 2004; PAS</w:t>
      </w:r>
      <w:r w:rsidR="008F127F" w:rsidRPr="000F6431">
        <w:rPr>
          <w:rFonts w:ascii="Times New Roman" w:hAnsi="Times New Roman" w:cs="Times New Roman"/>
          <w:sz w:val="24"/>
          <w:szCs w:val="24"/>
        </w:rPr>
        <w:t>, 2008a, Stevenson</w:t>
      </w:r>
      <w:r w:rsidR="00D80296" w:rsidRPr="000F6431">
        <w:rPr>
          <w:rFonts w:ascii="Times New Roman" w:hAnsi="Times New Roman" w:cs="Times New Roman"/>
          <w:sz w:val="24"/>
          <w:szCs w:val="24"/>
        </w:rPr>
        <w:t xml:space="preserve"> et al.</w:t>
      </w:r>
      <w:r w:rsidR="00C42D64" w:rsidRPr="000F6431">
        <w:rPr>
          <w:rFonts w:ascii="Times New Roman" w:hAnsi="Times New Roman" w:cs="Times New Roman"/>
          <w:sz w:val="24"/>
          <w:szCs w:val="24"/>
        </w:rPr>
        <w:t>, 2007</w:t>
      </w:r>
      <w:r w:rsidR="008F127F" w:rsidRPr="000F6431">
        <w:rPr>
          <w:rFonts w:ascii="Times New Roman" w:hAnsi="Times New Roman" w:cs="Times New Roman"/>
          <w:sz w:val="24"/>
          <w:szCs w:val="24"/>
        </w:rPr>
        <w:t>)</w:t>
      </w:r>
      <w:r w:rsidR="00E3428C" w:rsidRPr="000F6431">
        <w:rPr>
          <w:rFonts w:ascii="Times New Roman" w:hAnsi="Times New Roman" w:cs="Times New Roman"/>
          <w:sz w:val="24"/>
          <w:szCs w:val="24"/>
        </w:rPr>
        <w:t xml:space="preserve">. </w:t>
      </w:r>
    </w:p>
    <w:p w:rsidR="00535352" w:rsidRPr="000F6431" w:rsidRDefault="00535352" w:rsidP="006E0B9E">
      <w:pPr>
        <w:pStyle w:val="Normaltext"/>
      </w:pPr>
    </w:p>
    <w:p w:rsidR="009D5A1B" w:rsidRPr="000F6431" w:rsidRDefault="009D5A1B" w:rsidP="006E0B9E">
      <w:pPr>
        <w:pStyle w:val="Normaltext"/>
      </w:pPr>
    </w:p>
    <w:p w:rsidR="009D5A1B" w:rsidRPr="000F6431" w:rsidRDefault="005F7D67" w:rsidP="006E0B9E">
      <w:pPr>
        <w:pStyle w:val="Normaltext"/>
      </w:pPr>
      <w:r w:rsidRPr="000F6431">
        <w:t xml:space="preserve"> </w:t>
      </w:r>
      <w:r w:rsidR="00F128AD" w:rsidRPr="000F6431">
        <w:t xml:space="preserve">4.4 </w:t>
      </w:r>
      <w:r w:rsidR="0033271E" w:rsidRPr="000F6431">
        <w:t>A</w:t>
      </w:r>
      <w:r w:rsidR="005F45F5" w:rsidRPr="000F6431">
        <w:t>ppraisal</w:t>
      </w:r>
      <w:r w:rsidR="0033271E" w:rsidRPr="000F6431">
        <w:t xml:space="preserve"> Processes</w:t>
      </w:r>
    </w:p>
    <w:p w:rsidR="009D5A1B" w:rsidRPr="000F6431" w:rsidRDefault="009D5A1B" w:rsidP="006E0B9E">
      <w:pPr>
        <w:pStyle w:val="Normaltext"/>
      </w:pPr>
    </w:p>
    <w:p w:rsidR="009D5A1B" w:rsidRPr="000F6431" w:rsidRDefault="00C334E9" w:rsidP="006E0B9E">
      <w:pPr>
        <w:spacing w:line="480" w:lineRule="auto"/>
        <w:rPr>
          <w:rFonts w:ascii="Times New Roman" w:hAnsi="Times New Roman" w:cs="Times New Roman"/>
          <w:sz w:val="24"/>
          <w:szCs w:val="24"/>
        </w:rPr>
      </w:pPr>
      <w:r w:rsidRPr="000F6431">
        <w:rPr>
          <w:rFonts w:ascii="Times New Roman" w:hAnsi="Times New Roman" w:cs="Times New Roman"/>
          <w:sz w:val="24"/>
          <w:szCs w:val="24"/>
        </w:rPr>
        <w:t>Thirty six studies identified barriers and/or facilitators in the appraisal methodology and the policy process.</w:t>
      </w:r>
    </w:p>
    <w:p w:rsidR="009D5A1B" w:rsidRPr="000F6431" w:rsidRDefault="009D5A1B" w:rsidP="006E0B9E">
      <w:pPr>
        <w:pStyle w:val="Normaltext"/>
      </w:pPr>
    </w:p>
    <w:p w:rsidR="009D5A1B" w:rsidRPr="000F6431" w:rsidRDefault="00C334E9" w:rsidP="006E0B9E">
      <w:pPr>
        <w:pStyle w:val="Normaltext"/>
      </w:pPr>
      <w:r w:rsidRPr="000F6431">
        <w:t>4.4.1 Appraisal process barriers</w:t>
      </w:r>
    </w:p>
    <w:p w:rsidR="006E0B9E" w:rsidRPr="000F6431" w:rsidRDefault="006E0B9E" w:rsidP="006E0B9E">
      <w:pPr>
        <w:pStyle w:val="Normaltext"/>
      </w:pPr>
    </w:p>
    <w:p w:rsidR="009D5A1B" w:rsidRPr="000F6431" w:rsidRDefault="00AF145A" w:rsidP="006E0B9E">
      <w:pPr>
        <w:pStyle w:val="Normaltext"/>
      </w:pPr>
      <w:r w:rsidRPr="000F6431">
        <w:t>A key issue, identified in relation</w:t>
      </w:r>
      <w:r w:rsidR="00987E38" w:rsidRPr="000F6431">
        <w:t xml:space="preserve"> </w:t>
      </w:r>
      <w:r w:rsidR="00A51C78" w:rsidRPr="000F6431">
        <w:t>to</w:t>
      </w:r>
      <w:r w:rsidRPr="000F6431">
        <w:t xml:space="preserve"> a variety o</w:t>
      </w:r>
      <w:r w:rsidR="004C1091" w:rsidRPr="000F6431">
        <w:t>f</w:t>
      </w:r>
      <w:r w:rsidRPr="000F6431">
        <w:t xml:space="preserve"> assessment types, is</w:t>
      </w:r>
      <w:r w:rsidR="00C334E9" w:rsidRPr="000F6431">
        <w:t xml:space="preserve"> </w:t>
      </w:r>
      <w:r w:rsidRPr="000F6431">
        <w:t>t</w:t>
      </w:r>
      <w:r w:rsidR="00C334E9" w:rsidRPr="000F6431">
        <w:t>he late timing  of appraisals</w:t>
      </w:r>
      <w:r w:rsidR="004C1091" w:rsidRPr="000F6431">
        <w:t>, treated as end-stage evaluation rather than support throughout the planning process. This</w:t>
      </w:r>
      <w:r w:rsidR="00C334E9" w:rsidRPr="000F6431">
        <w:t xml:space="preserve"> limit</w:t>
      </w:r>
      <w:r w:rsidR="004C1091" w:rsidRPr="000F6431">
        <w:t>s</w:t>
      </w:r>
      <w:r w:rsidR="00C334E9" w:rsidRPr="000F6431">
        <w:t xml:space="preserve"> the ability of the assessment to influence planning decisions (Bekker et al., 2005; Bendel and Owen-Smith, 2005; Bronson and Noble, 2006; Burns and Bond, 2008; Fischer et al., 2010; Mathias and Harris-Roxas, 2009; Mwalyosi and Hughes, 1998; No</w:t>
      </w:r>
      <w:r w:rsidR="002A163E" w:rsidRPr="000F6431">
        <w:t>ble and Bronson, 2005, 2006</w:t>
      </w:r>
      <w:r w:rsidR="00C334E9" w:rsidRPr="000F6431">
        <w:t xml:space="preserve">). A particular concern is how to “fit” a </w:t>
      </w:r>
      <w:r w:rsidR="00C334E9" w:rsidRPr="000F6431">
        <w:lastRenderedPageBreak/>
        <w:t xml:space="preserve">non statutory assessment (HIA) into a statutory planning framework.  There are challenges in undertaking participatory HIA if policy developments are needed quickly </w:t>
      </w:r>
    </w:p>
    <w:p w:rsidR="009D5A1B" w:rsidRPr="000F6431" w:rsidRDefault="009D5A1B" w:rsidP="006E0B9E">
      <w:pPr>
        <w:pStyle w:val="Normaltext"/>
      </w:pPr>
    </w:p>
    <w:p w:rsidR="009D5A1B" w:rsidRPr="000F6431" w:rsidRDefault="00C334E9" w:rsidP="006E0B9E">
      <w:pPr>
        <w:pStyle w:val="Normaltext"/>
        <w:rPr>
          <w:rFonts w:cs="Arial"/>
        </w:rPr>
      </w:pPr>
      <w:r w:rsidRPr="000F6431">
        <w:t xml:space="preserve">Inadequate assessment processes remain a key obstacle (Bekker et al., 2005; Blau and Mahoney, 2005; </w:t>
      </w:r>
      <w:r w:rsidR="00282AA3" w:rsidRPr="000F6431">
        <w:t xml:space="preserve">BMI, 1998; </w:t>
      </w:r>
      <w:r w:rsidRPr="000F6431">
        <w:t>Bronson and Noble, 2006; Davenport et al., 2006; Harris et al., 2009; Kørnøv, 2007; NHS London, 2008; Wismar et al., 2007; YHEC, 2006). As far as HIA is concerned,  authors refer to its narrow focus,  over emphasis on negative environmental health impacts rather than positive benefits on social infrastructures (Bekker et al. 2005; Bronson and Noble, 2006) or health equality (Blau and Mahoney, 2005),  and process too demanding or voluminous for policy makers (Wismar et al., 2007).  SEA does not necessarily report on health impacts in a satisfactory way either.  Kørnøv</w:t>
      </w:r>
      <w:r w:rsidR="00A51C78" w:rsidRPr="000F6431">
        <w:t>,</w:t>
      </w:r>
      <w:r w:rsidRPr="000F6431">
        <w:t xml:space="preserve"> reporting on the practice of SEA in Denmark, outlines in particular the lack of a scoping stage, and environmentally orientated reports not highlighting health specifically (Kørnøv,  2007).</w:t>
      </w:r>
      <w:r w:rsidRPr="000F6431">
        <w:rPr>
          <w:rFonts w:cs="Arial"/>
        </w:rPr>
        <w:t xml:space="preserve"> </w:t>
      </w:r>
    </w:p>
    <w:p w:rsidR="009D5A1B" w:rsidRPr="000F6431" w:rsidRDefault="009D5A1B" w:rsidP="006E0B9E">
      <w:pPr>
        <w:pStyle w:val="Normaltext"/>
      </w:pPr>
    </w:p>
    <w:p w:rsidR="009D5A1B" w:rsidRPr="000F6431" w:rsidRDefault="00C334E9" w:rsidP="006E0B9E">
      <w:pPr>
        <w:pStyle w:val="Normaltext"/>
      </w:pPr>
      <w:r w:rsidRPr="000F6431">
        <w:rPr>
          <w:rFonts w:cs="Arial"/>
        </w:rPr>
        <w:t>The q</w:t>
      </w:r>
      <w:r w:rsidRPr="000F6431">
        <w:t xml:space="preserve">uality and range of the evidence base used in the appraisals to evaluate the health impacts of spatial planning is identified as a barrier, along with a lack of robustness and relevance to local context (Bekker et al., 2005; Bhatia and Wernham, 2008; </w:t>
      </w:r>
      <w:r w:rsidR="00282AA3" w:rsidRPr="000F6431">
        <w:t xml:space="preserve">BMI, 1998; </w:t>
      </w:r>
      <w:r w:rsidRPr="000F6431">
        <w:t>Bronson and Noble, 2006; Burns and Bond, 2008; Corburn and Bhatia, 2007; Dannenberg et al., 2008; Neville et al., 2009; Noble and Bronson, 2005; PAS, 2008b; Wismar et al., 2007). There is a lack of guidance on how to prioritise sources of evidence and methods for analys</w:t>
      </w:r>
      <w:r w:rsidR="00987E38" w:rsidRPr="000F6431">
        <w:t xml:space="preserve">is </w:t>
      </w:r>
      <w:r w:rsidR="00A51C78" w:rsidRPr="000F6431">
        <w:t>of</w:t>
      </w:r>
      <w:r w:rsidRPr="000F6431">
        <w:t xml:space="preserve"> health effects (Bhatia and Wernham, 2008; Neville et al., 2009).  There is a perceived over-reliance of evaluation of health impact through regulatory thresholds or single sources of evidence, without assessment of the </w:t>
      </w:r>
      <w:r w:rsidRPr="000F6431">
        <w:lastRenderedPageBreak/>
        <w:t>cumulative impacts of multiple pollutants, and failure to take account of the impacts of a combination of chemical, physical and social hazards (Corburn and Bhatia, 2007; Neville et al. 2009). This is compounded by the uncertainties of modelling, quantifying and predicting health impact (</w:t>
      </w:r>
      <w:r w:rsidR="00282AA3" w:rsidRPr="000F6431">
        <w:t xml:space="preserve">BMI, 1998; </w:t>
      </w:r>
      <w:r w:rsidRPr="000F6431">
        <w:t xml:space="preserve">Dannenberg et al., 2008; Wismar et al., 2007), and a lack of data on how social forces influence human health (Corburn and Bhatia, 2007). The paucity of qualitative methods in HIA is also seen as a problem (Bekker et al., 2005). </w:t>
      </w:r>
    </w:p>
    <w:p w:rsidR="00303267" w:rsidRPr="000F6431" w:rsidRDefault="00303267" w:rsidP="00D80296">
      <w:pPr>
        <w:spacing w:line="480" w:lineRule="auto"/>
        <w:rPr>
          <w:rFonts w:ascii="Times New Roman" w:hAnsi="Times New Roman" w:cs="Times New Roman"/>
          <w:sz w:val="24"/>
          <w:szCs w:val="24"/>
        </w:rPr>
      </w:pPr>
    </w:p>
    <w:p w:rsidR="009962F0" w:rsidRPr="000F6431" w:rsidRDefault="009962F0" w:rsidP="00D80296">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4.4.2 </w:t>
      </w:r>
      <w:r w:rsidR="00FC7FCF" w:rsidRPr="000F6431">
        <w:rPr>
          <w:rFonts w:ascii="Times New Roman" w:hAnsi="Times New Roman" w:cs="Times New Roman"/>
          <w:sz w:val="24"/>
          <w:szCs w:val="24"/>
        </w:rPr>
        <w:t>Appraisal Processes Facilitators</w:t>
      </w:r>
    </w:p>
    <w:p w:rsidR="002A163E" w:rsidRPr="000F6431" w:rsidRDefault="002A163E" w:rsidP="00D80296">
      <w:pPr>
        <w:spacing w:line="480" w:lineRule="auto"/>
        <w:rPr>
          <w:rFonts w:ascii="Times New Roman" w:hAnsi="Times New Roman" w:cs="Times New Roman"/>
          <w:sz w:val="24"/>
          <w:szCs w:val="24"/>
        </w:rPr>
      </w:pPr>
    </w:p>
    <w:p w:rsidR="009D5A1B" w:rsidRPr="000F6431" w:rsidRDefault="00C334E9" w:rsidP="006E0B9E">
      <w:pPr>
        <w:pStyle w:val="Normaltext"/>
        <w:rPr>
          <w:rFonts w:cs="Arial"/>
        </w:rPr>
      </w:pPr>
      <w:r w:rsidRPr="000F6431">
        <w:t xml:space="preserve">Ensuring that  appraisal is linked to the same cycle as the planning decision-making process can facilitate the inclusion of health considerations in planning </w:t>
      </w:r>
      <w:r w:rsidRPr="000F6431">
        <w:rPr>
          <w:rFonts w:cs="Arial"/>
        </w:rPr>
        <w:t xml:space="preserve">(Bekker et al., 2005; Bond et al., 2001; Burns and Bond, 2008; Dannenberg et al., 2008; Davenport et al., 2006; Fischer et al., 2010; France, 2004; Greig et al., 2004; Kosa et al., 2007; Mathias and Harris-Roxas, 2009; Mindell et al., 2004; NHS London, 2009; Noble and Bronson, 2005; PAS, 2008b; Plant et al., 2007; Steineman, 2000; Taylor and Quigley, 2003; Wismar et al., 2007).  In particular, </w:t>
      </w:r>
      <w:r w:rsidR="00A936A4" w:rsidRPr="000F6431">
        <w:rPr>
          <w:rFonts w:cs="Arial"/>
        </w:rPr>
        <w:t>tackling</w:t>
      </w:r>
      <w:r w:rsidRPr="000F6431">
        <w:rPr>
          <w:rFonts w:cs="Arial"/>
        </w:rPr>
        <w:t xml:space="preserve"> assessment on </w:t>
      </w:r>
      <w:r w:rsidR="00A936A4" w:rsidRPr="000F6431">
        <w:rPr>
          <w:rFonts w:cs="Arial"/>
        </w:rPr>
        <w:t xml:space="preserve">the </w:t>
      </w:r>
      <w:r w:rsidRPr="000F6431">
        <w:rPr>
          <w:rFonts w:cs="Arial"/>
        </w:rPr>
        <w:t xml:space="preserve">same </w:t>
      </w:r>
      <w:r w:rsidR="00A936A4" w:rsidRPr="000F6431">
        <w:rPr>
          <w:rFonts w:cs="Arial"/>
        </w:rPr>
        <w:t xml:space="preserve">time </w:t>
      </w:r>
      <w:r w:rsidRPr="000F6431">
        <w:rPr>
          <w:rFonts w:cs="Arial"/>
        </w:rPr>
        <w:t>cycle as  plan</w:t>
      </w:r>
      <w:r w:rsidR="00A936A4" w:rsidRPr="000F6431">
        <w:rPr>
          <w:rFonts w:cs="Arial"/>
        </w:rPr>
        <w:t xml:space="preserve">-making or project development </w:t>
      </w:r>
      <w:r w:rsidRPr="000F6431">
        <w:rPr>
          <w:rFonts w:cs="Arial"/>
        </w:rPr>
        <w:t xml:space="preserve">provides opportunities to feed in advice throughout the decision-making process (Davenport et al., 2006; Fischer et al., 2010; France, 2004; Greig et al., 2004; Kosa et al., 2007; Mindell et al., 2004; Plant et al., 2007; PAS, 2008b; Steineman, 2000). Delivering timely appraisals is facilitated by robust governance arrangements and sound policy implementation, in particular strategic partners involving public/stakeholders at an early stage (Bekker et al., 2005; Mathias </w:t>
      </w:r>
      <w:r w:rsidRPr="000F6431">
        <w:rPr>
          <w:rFonts w:cs="Arial"/>
        </w:rPr>
        <w:lastRenderedPageBreak/>
        <w:t xml:space="preserve">and Harris-Roxas, 2009; PAS, 2008b; Wismar et al., 2007). Monitoring  plans or outcome evaluation are identified as key aspects  of appraisals to  ensure that plans and projects meet their health objectives (Bond et al., 2001; Burns and Bond, 2008; Dannenberg et al., 2008; Fischer et al., 2010; Mindell et al., 2004; Noble and Bronson, 2005; Plant et al., 2007). </w:t>
      </w:r>
    </w:p>
    <w:p w:rsidR="009D5A1B" w:rsidRPr="000F6431" w:rsidRDefault="009D5A1B" w:rsidP="006E0B9E">
      <w:pPr>
        <w:pStyle w:val="Normaltext"/>
      </w:pPr>
    </w:p>
    <w:p w:rsidR="009D5A1B" w:rsidRPr="000F6431" w:rsidRDefault="00C334E9" w:rsidP="006E0B9E">
      <w:pPr>
        <w:pStyle w:val="Normaltext"/>
      </w:pPr>
      <w:r w:rsidRPr="000F6431">
        <w:t xml:space="preserve">HIA is seen as a mechanism  to improve involvement of communities and to raise awareness of health in the planning system (Bendel </w:t>
      </w:r>
      <w:r w:rsidR="00A51C78" w:rsidRPr="000F6431">
        <w:t>and</w:t>
      </w:r>
      <w:r w:rsidRPr="000F6431">
        <w:t xml:space="preserve"> Owen-Smith, 2005; Bond et al., 2001; </w:t>
      </w:r>
      <w:r w:rsidR="00282AA3" w:rsidRPr="000F6431">
        <w:t xml:space="preserve">BMI, 1998; </w:t>
      </w:r>
      <w:r w:rsidRPr="000F6431">
        <w:t>Bronson and Noble, 2006; Dannenberg et al.; 2008; Davenport et al., 2006; Elliott and Francis, 2005; Fischer et al., 2010; France, 2004; Kørnøv, 2009; Mindell et al., 2004; Mathias and Harris-Roxas, 2009; Neville et al., 2005; NHS London, 2008, 2009; Plant et al., 2007; PAS, 2008b; Utzinger et al., 2005; Wismar et al., 2007;YHEC, 2006).  Other positive features of HIA</w:t>
      </w:r>
      <w:r w:rsidR="00FD1224" w:rsidRPr="000F6431">
        <w:t xml:space="preserve"> methodology that make it a robust tool</w:t>
      </w:r>
      <w:r w:rsidRPr="000F6431">
        <w:t xml:space="preserve"> include: use of clearly defined stages and standards in an HIA blueprint model  with flexibility to adapt to local context (Bekker et.al, 2005</w:t>
      </w:r>
      <w:r w:rsidR="00822F9C" w:rsidRPr="000F6431">
        <w:t>; BMI, 1998</w:t>
      </w:r>
      <w:r w:rsidRPr="000F6431">
        <w:t>); the use of the precautionary principle and a social justice frame (to increase health benefits and reduce health inequalities) (</w:t>
      </w:r>
      <w:r w:rsidR="00282AA3" w:rsidRPr="000F6431">
        <w:t xml:space="preserve">BMI, 1998; </w:t>
      </w:r>
      <w:r w:rsidRPr="000F6431">
        <w:t xml:space="preserve">Kørnøv, 2009); examining </w:t>
      </w:r>
      <w:r w:rsidR="00282AA3" w:rsidRPr="000F6431">
        <w:t xml:space="preserve">broad </w:t>
      </w:r>
      <w:r w:rsidRPr="000F6431">
        <w:t>determinants of health rather than just evaluating predicted health impacts (e.g. transport) (</w:t>
      </w:r>
      <w:r w:rsidR="00282AA3" w:rsidRPr="000F6431">
        <w:t xml:space="preserve">BMI, 1998; </w:t>
      </w:r>
      <w:r w:rsidRPr="000F6431">
        <w:t>Douglas et al., 2007);  use of a checklist for planners on key health considerations (NHS London, 2008); cost-effectiveness of planning options incorporated  into the  HIA (Bekker et al., 2005).</w:t>
      </w:r>
    </w:p>
    <w:p w:rsidR="009D5A1B" w:rsidRPr="000F6431" w:rsidRDefault="009D5A1B" w:rsidP="006E0B9E">
      <w:pPr>
        <w:pStyle w:val="Normaltext"/>
      </w:pPr>
    </w:p>
    <w:p w:rsidR="009D5A1B" w:rsidRPr="000F6431" w:rsidRDefault="00C334E9" w:rsidP="006E0B9E">
      <w:pPr>
        <w:pStyle w:val="Normaltext"/>
      </w:pPr>
      <w:r w:rsidRPr="000F6431">
        <w:t xml:space="preserve">Features which increase the transparency of the appraisal process are considered to improve the effectiveness of appraisal. This can include: clear hypotheses (Fischer et </w:t>
      </w:r>
      <w:r w:rsidRPr="000F6431">
        <w:lastRenderedPageBreak/>
        <w:t xml:space="preserve">al., 2010); transparency of the appraisal report, in particular as </w:t>
      </w:r>
      <w:r w:rsidR="00A51C78" w:rsidRPr="000F6431">
        <w:t>regards</w:t>
      </w:r>
      <w:r w:rsidR="00987E38" w:rsidRPr="000F6431">
        <w:t xml:space="preserve"> </w:t>
      </w:r>
      <w:r w:rsidRPr="000F6431">
        <w:t>the evidence</w:t>
      </w:r>
      <w:r w:rsidR="00822F9C" w:rsidRPr="000F6431">
        <w:t xml:space="preserve"> used </w:t>
      </w:r>
      <w:r w:rsidRPr="000F6431">
        <w:t xml:space="preserve"> (Neville et al., 2005)</w:t>
      </w:r>
      <w:r w:rsidR="00822F9C" w:rsidRPr="000F6431">
        <w:t xml:space="preserve"> </w:t>
      </w:r>
      <w:r w:rsidRPr="000F6431">
        <w:t>; appropriate dissemination (Mathias and Harris-Roxas, 2009)</w:t>
      </w:r>
      <w:r w:rsidR="00822F9C" w:rsidRPr="000F6431">
        <w:t xml:space="preserve"> that also includes availability of non-technical report (BMI, 1998)</w:t>
      </w:r>
      <w:r w:rsidRPr="000F6431">
        <w:t>; coordination between the various appraisals (Fischer et al., 2010),  prioritisation of recommendations (Mathias and Harris-Roxas, 2009; ); use of external consultant</w:t>
      </w:r>
      <w:r w:rsidR="00A936A4" w:rsidRPr="000F6431">
        <w:t>s</w:t>
      </w:r>
      <w:r w:rsidRPr="000F6431">
        <w:t xml:space="preserve">  (Fischer et al., 2010); realistic recommendations  and tailored presentation of report with recommendations to reflect organi</w:t>
      </w:r>
      <w:r w:rsidR="00516866" w:rsidRPr="000F6431">
        <w:t>s</w:t>
      </w:r>
      <w:r w:rsidRPr="000F6431">
        <w:t>ation</w:t>
      </w:r>
      <w:r w:rsidR="00EC7BB0" w:rsidRPr="000F6431">
        <w:t>al</w:t>
      </w:r>
      <w:r w:rsidRPr="000F6431">
        <w:t xml:space="preserve"> concerns (Mathias and  Harris-Roxas, 2009) ; intersectoral/interdisciplinary HIA leading to common language and good communication with decision-makers throughout process (</w:t>
      </w:r>
      <w:r w:rsidR="00822F9C" w:rsidRPr="000F6431">
        <w:t xml:space="preserve">BMI, 1998; </w:t>
      </w:r>
      <w:r w:rsidRPr="000F6431">
        <w:t xml:space="preserve">Stevenson et al., 2007). </w:t>
      </w:r>
    </w:p>
    <w:p w:rsidR="009D5A1B" w:rsidRPr="000F6431" w:rsidRDefault="009D5A1B" w:rsidP="006E0B9E">
      <w:pPr>
        <w:pStyle w:val="Normaltext"/>
      </w:pPr>
    </w:p>
    <w:p w:rsidR="009D5A1B" w:rsidRPr="000F6431" w:rsidRDefault="00C334E9" w:rsidP="006E0B9E">
      <w:pPr>
        <w:pStyle w:val="Normaltext"/>
      </w:pPr>
      <w:r w:rsidRPr="000F6431">
        <w:t xml:space="preserve">The use of a high quality and a broad evidence base in the appraisal  process can facilitate the integration of health into planning </w:t>
      </w:r>
      <w:r w:rsidRPr="000F6431">
        <w:rPr>
          <w:rFonts w:cs="Arial"/>
        </w:rPr>
        <w:t xml:space="preserve">(Bekker et al., 2005; Bhatia and Wernham, 2008; Corburn and Bhatia, 2007; Davenport et al., 2006; Douglas et al., 2007; Elliott and Francis, 2005; Fischer et al., 2010; France, 2004; Greig et al., 2004; Kjellstrom et al., 2003; </w:t>
      </w:r>
      <w:r w:rsidRPr="000F6431">
        <w:t>Kørnøv</w:t>
      </w:r>
      <w:r w:rsidRPr="000F6431">
        <w:rPr>
          <w:rFonts w:cs="Arial"/>
        </w:rPr>
        <w:t>, 2009; Mindell et al., 2004; Neville et al., 2009; NHS London, 2008; PAS 2008a)</w:t>
      </w:r>
      <w:r w:rsidRPr="000F6431">
        <w:t xml:space="preserve">, particularly if it considers the </w:t>
      </w:r>
      <w:r w:rsidRPr="000F6431">
        <w:rPr>
          <w:rFonts w:cs="Arial"/>
        </w:rPr>
        <w:t xml:space="preserve">natural, physical, social and behavioural factors and assesses the capacity of the </w:t>
      </w:r>
      <w:r w:rsidRPr="000F6431">
        <w:rPr>
          <w:rFonts w:cs="Arial"/>
          <w:i/>
        </w:rPr>
        <w:t>social</w:t>
      </w:r>
      <w:r w:rsidRPr="000F6431">
        <w:rPr>
          <w:rFonts w:cs="Arial"/>
        </w:rPr>
        <w:t xml:space="preserve"> infrastructure in larger developments. This will incorporate expert and lay knowledge, qualitative and quantitative evidence, a multi-disciplinary evidence base, and may use computer models to assess options. Consistency must prevail between the methods used at different stages of planning. This requires transparency of evidence, weigh</w:t>
      </w:r>
      <w:r w:rsidR="00EC7BB0" w:rsidRPr="000F6431">
        <w:rPr>
          <w:rFonts w:cs="Arial"/>
        </w:rPr>
        <w:t>t</w:t>
      </w:r>
      <w:r w:rsidRPr="000F6431">
        <w:rPr>
          <w:rFonts w:cs="Arial"/>
        </w:rPr>
        <w:t xml:space="preserve">ing, clarity on who is involved and on what basis decisions are made. A tool such as ENCHIA (Eastern Neighbourhoods Community HIA in San Francisco) can allow integration of knowledge </w:t>
      </w:r>
      <w:r w:rsidRPr="000F6431">
        <w:rPr>
          <w:rFonts w:cs="Arial"/>
        </w:rPr>
        <w:lastRenderedPageBreak/>
        <w:t xml:space="preserve">and expertise from a range of disciplines and life experience (Corburn and Bhatia, 2007). </w:t>
      </w:r>
    </w:p>
    <w:p w:rsidR="005F45F5" w:rsidRPr="000F6431" w:rsidRDefault="005F45F5" w:rsidP="00D80296">
      <w:pPr>
        <w:spacing w:line="480" w:lineRule="auto"/>
        <w:rPr>
          <w:rFonts w:cs="Arial"/>
          <w:sz w:val="24"/>
          <w:szCs w:val="24"/>
        </w:rPr>
      </w:pPr>
    </w:p>
    <w:p w:rsidR="00F128AD" w:rsidRPr="000F6431" w:rsidRDefault="00F128AD" w:rsidP="00D80296">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5. </w:t>
      </w:r>
      <w:r w:rsidR="005F45F5" w:rsidRPr="000F6431">
        <w:rPr>
          <w:rFonts w:ascii="Times New Roman" w:hAnsi="Times New Roman" w:cs="Times New Roman"/>
          <w:sz w:val="24"/>
          <w:szCs w:val="24"/>
        </w:rPr>
        <w:t>Discussion</w:t>
      </w:r>
      <w:r w:rsidR="009962F0" w:rsidRPr="000F6431">
        <w:rPr>
          <w:rFonts w:ascii="Times New Roman" w:hAnsi="Times New Roman" w:cs="Times New Roman"/>
          <w:sz w:val="24"/>
          <w:szCs w:val="24"/>
        </w:rPr>
        <w:t xml:space="preserve"> </w:t>
      </w:r>
      <w:r w:rsidR="00BB4E9E" w:rsidRPr="000F6431">
        <w:rPr>
          <w:rFonts w:ascii="Times New Roman" w:hAnsi="Times New Roman" w:cs="Times New Roman"/>
          <w:sz w:val="24"/>
          <w:szCs w:val="24"/>
        </w:rPr>
        <w:t>and conclusion</w:t>
      </w:r>
    </w:p>
    <w:p w:rsidR="00F128AD" w:rsidRPr="000F6431" w:rsidRDefault="00F128AD" w:rsidP="00D80296">
      <w:pPr>
        <w:spacing w:line="480" w:lineRule="auto"/>
        <w:rPr>
          <w:rFonts w:ascii="Times New Roman" w:hAnsi="Times New Roman" w:cs="Times New Roman"/>
          <w:sz w:val="24"/>
          <w:szCs w:val="24"/>
        </w:rPr>
      </w:pPr>
    </w:p>
    <w:p w:rsidR="00D55592" w:rsidRPr="000F6431" w:rsidRDefault="00C334E9" w:rsidP="006E0B9E">
      <w:pPr>
        <w:pStyle w:val="Normaltext"/>
      </w:pPr>
      <w:r w:rsidRPr="000F6431">
        <w:t xml:space="preserve">This </w:t>
      </w:r>
      <w:r w:rsidR="0012523D" w:rsidRPr="000F6431">
        <w:t>analysis</w:t>
      </w:r>
      <w:r w:rsidRPr="000F6431">
        <w:t xml:space="preserve"> of barriers and facilitators to the integration of health into spatial planning through appraisal</w:t>
      </w:r>
      <w:r w:rsidR="00D55592" w:rsidRPr="000F6431">
        <w:t>s</w:t>
      </w:r>
      <w:r w:rsidR="00A21E88" w:rsidRPr="000F6431">
        <w:t xml:space="preserve"> comes from a large cross section of countries set</w:t>
      </w:r>
      <w:r w:rsidR="002367D6" w:rsidRPr="000F6431">
        <w:t xml:space="preserve"> </w:t>
      </w:r>
      <w:r w:rsidR="00515BDC" w:rsidRPr="000F6431">
        <w:t>in different legislative and pl</w:t>
      </w:r>
      <w:r w:rsidR="00D55592" w:rsidRPr="000F6431">
        <w:t>anning contexts</w:t>
      </w:r>
      <w:r w:rsidR="002367D6" w:rsidRPr="000F6431">
        <w:t xml:space="preserve"> and</w:t>
      </w:r>
      <w:r w:rsidRPr="000F6431">
        <w:t xml:space="preserve"> across differ</w:t>
      </w:r>
      <w:r w:rsidR="00D55592" w:rsidRPr="000F6431">
        <w:t>ent types of appraisal methods</w:t>
      </w:r>
      <w:r w:rsidR="00B77557" w:rsidRPr="000F6431">
        <w:t xml:space="preserve">. </w:t>
      </w:r>
      <w:r w:rsidRPr="000F6431">
        <w:t xml:space="preserve">Whilst a substantial proportion of these studies related to the use of HIA as opposed to other types of appraisal, similar issues were raised in relation to all types. </w:t>
      </w:r>
      <w:r w:rsidR="00B77557" w:rsidRPr="000F6431">
        <w:t xml:space="preserve">We will review these barriers and facilitators below. </w:t>
      </w:r>
    </w:p>
    <w:p w:rsidR="00D55592" w:rsidRPr="000F6431" w:rsidRDefault="00D55592" w:rsidP="006E0B9E">
      <w:pPr>
        <w:pStyle w:val="Normaltext"/>
      </w:pPr>
    </w:p>
    <w:p w:rsidR="00A557EA" w:rsidRPr="000F6431" w:rsidRDefault="00B77557" w:rsidP="006E0B9E">
      <w:pPr>
        <w:pStyle w:val="Normaltext"/>
      </w:pPr>
      <w:r w:rsidRPr="000F6431">
        <w:t>One preliminary comment, however, must be made in terms of the scope and limit of the research.</w:t>
      </w:r>
      <w:r w:rsidR="001C468A" w:rsidRPr="000F6431">
        <w:t xml:space="preserve"> </w:t>
      </w:r>
      <w:r w:rsidRPr="000F6431">
        <w:t>T</w:t>
      </w:r>
      <w:r w:rsidR="00A557EA" w:rsidRPr="000F6431">
        <w:t>he prevalence of HIA evaluations is not surpris</w:t>
      </w:r>
      <w:r w:rsidR="00015DBB" w:rsidRPr="000F6431">
        <w:t>ing given our focus</w:t>
      </w:r>
      <w:r w:rsidR="00A557EA" w:rsidRPr="000F6431">
        <w:t xml:space="preserve"> on health. But the relative paucity of commentaries on EIA and SEA (both standa</w:t>
      </w:r>
      <w:r w:rsidR="00CC6F77" w:rsidRPr="000F6431">
        <w:t xml:space="preserve">rd international requirements) is noted. </w:t>
      </w:r>
      <w:r w:rsidRPr="000F6431">
        <w:t xml:space="preserve"> T</w:t>
      </w:r>
      <w:r w:rsidR="00A557EA" w:rsidRPr="000F6431">
        <w:t xml:space="preserve">he strong evidence identified in relation to HIA means that our findings are slanted towards it and that the lack of evaluation of the other techniques from the health viewpoint offers many research opportunities. The lack of </w:t>
      </w:r>
      <w:r w:rsidRPr="000F6431">
        <w:t>evidence at post-implementation stage for all typ</w:t>
      </w:r>
      <w:r w:rsidR="00D55592" w:rsidRPr="000F6431">
        <w:t xml:space="preserve">es of appraisal techniques </w:t>
      </w:r>
      <w:r w:rsidRPr="000F6431">
        <w:t xml:space="preserve">also suggests the need for researchers to revisit some of the case studies identified and </w:t>
      </w:r>
      <w:r w:rsidR="00623FC9" w:rsidRPr="000F6431">
        <w:t>develop methodologies and analytical tools to assess</w:t>
      </w:r>
      <w:r w:rsidRPr="000F6431">
        <w:t xml:space="preserve"> whether appraisals have delivered a variety of health outcomes on the ground. </w:t>
      </w:r>
    </w:p>
    <w:p w:rsidR="006A3C56" w:rsidRPr="000F6431" w:rsidRDefault="006A3C56" w:rsidP="006E0B9E">
      <w:pPr>
        <w:pStyle w:val="Normaltext"/>
      </w:pPr>
    </w:p>
    <w:p w:rsidR="007603A2" w:rsidRPr="000F6431" w:rsidRDefault="00623FC9" w:rsidP="00FD67A9">
      <w:pPr>
        <w:spacing w:line="480" w:lineRule="auto"/>
        <w:rPr>
          <w:rFonts w:ascii="Times New Roman" w:eastAsia="Times New Roman" w:hAnsi="Times New Roman" w:cs="Times New Roman"/>
          <w:color w:val="000000"/>
          <w:sz w:val="24"/>
          <w:szCs w:val="24"/>
        </w:rPr>
      </w:pPr>
      <w:r w:rsidRPr="000F6431">
        <w:rPr>
          <w:rFonts w:ascii="Times New Roman" w:eastAsia="Times New Roman" w:hAnsi="Times New Roman" w:cs="Times New Roman"/>
          <w:color w:val="000000"/>
          <w:sz w:val="24"/>
          <w:szCs w:val="24"/>
        </w:rPr>
        <w:lastRenderedPageBreak/>
        <w:t xml:space="preserve">In terms of the research findings, </w:t>
      </w:r>
      <w:r w:rsidR="00015DBB" w:rsidRPr="000F6431">
        <w:rPr>
          <w:rFonts w:ascii="Times New Roman" w:eastAsia="Times New Roman" w:hAnsi="Times New Roman" w:cs="Times New Roman"/>
          <w:color w:val="000000"/>
          <w:sz w:val="24"/>
          <w:szCs w:val="24"/>
        </w:rPr>
        <w:t xml:space="preserve">some </w:t>
      </w:r>
      <w:r w:rsidR="002F715A" w:rsidRPr="000F6431">
        <w:rPr>
          <w:rFonts w:ascii="Times New Roman" w:eastAsia="Times New Roman" w:hAnsi="Times New Roman" w:cs="Times New Roman"/>
          <w:color w:val="000000"/>
          <w:sz w:val="24"/>
          <w:szCs w:val="24"/>
        </w:rPr>
        <w:t xml:space="preserve">cross-cutting </w:t>
      </w:r>
      <w:r w:rsidR="00015DBB" w:rsidRPr="000F6431">
        <w:rPr>
          <w:rFonts w:ascii="Times New Roman" w:eastAsia="Times New Roman" w:hAnsi="Times New Roman" w:cs="Times New Roman"/>
          <w:color w:val="000000"/>
          <w:sz w:val="24"/>
          <w:szCs w:val="24"/>
        </w:rPr>
        <w:t>key points must be made</w:t>
      </w:r>
      <w:r w:rsidR="00542EB0" w:rsidRPr="000F6431">
        <w:rPr>
          <w:rFonts w:ascii="Times New Roman" w:eastAsia="Times New Roman" w:hAnsi="Times New Roman" w:cs="Times New Roman"/>
          <w:color w:val="000000"/>
          <w:sz w:val="24"/>
          <w:szCs w:val="24"/>
        </w:rPr>
        <w:t xml:space="preserve"> in relation to the 4 recurrent themes of knowledge, partnership, management</w:t>
      </w:r>
      <w:r w:rsidR="006A3C56" w:rsidRPr="000F6431">
        <w:rPr>
          <w:rFonts w:ascii="Times New Roman" w:eastAsia="Times New Roman" w:hAnsi="Times New Roman" w:cs="Times New Roman"/>
          <w:color w:val="000000"/>
          <w:sz w:val="24"/>
          <w:szCs w:val="24"/>
        </w:rPr>
        <w:t>/</w:t>
      </w:r>
      <w:r w:rsidR="00542EB0" w:rsidRPr="000F6431">
        <w:rPr>
          <w:rFonts w:ascii="Times New Roman" w:eastAsia="Times New Roman" w:hAnsi="Times New Roman" w:cs="Times New Roman"/>
          <w:color w:val="000000"/>
          <w:sz w:val="24"/>
          <w:szCs w:val="24"/>
        </w:rPr>
        <w:t xml:space="preserve"> resources and process</w:t>
      </w:r>
      <w:r w:rsidR="00015DBB" w:rsidRPr="000F6431">
        <w:rPr>
          <w:rFonts w:ascii="Times New Roman" w:eastAsia="Times New Roman" w:hAnsi="Times New Roman" w:cs="Times New Roman"/>
          <w:color w:val="000000"/>
          <w:sz w:val="24"/>
          <w:szCs w:val="24"/>
        </w:rPr>
        <w:t xml:space="preserve">. </w:t>
      </w:r>
    </w:p>
    <w:p w:rsidR="006A3C56" w:rsidRPr="000F6431" w:rsidRDefault="007603A2" w:rsidP="00FD67A9">
      <w:pPr>
        <w:spacing w:line="480" w:lineRule="auto"/>
        <w:rPr>
          <w:rFonts w:ascii="Times New Roman" w:eastAsia="Times New Roman" w:hAnsi="Times New Roman" w:cs="Times New Roman"/>
          <w:color w:val="000000"/>
          <w:sz w:val="24"/>
          <w:szCs w:val="24"/>
        </w:rPr>
      </w:pPr>
      <w:r w:rsidRPr="000F6431">
        <w:rPr>
          <w:rFonts w:ascii="Times New Roman" w:eastAsia="Times New Roman" w:hAnsi="Times New Roman" w:cs="Times New Roman"/>
          <w:color w:val="000000"/>
          <w:sz w:val="24"/>
          <w:szCs w:val="24"/>
        </w:rPr>
        <w:t>Firstly, t</w:t>
      </w:r>
      <w:r w:rsidR="00F635C8" w:rsidRPr="000F6431">
        <w:rPr>
          <w:rFonts w:ascii="Times New Roman" w:eastAsia="Times New Roman" w:hAnsi="Times New Roman" w:cs="Times New Roman"/>
          <w:color w:val="000000"/>
          <w:sz w:val="24"/>
          <w:szCs w:val="24"/>
        </w:rPr>
        <w:t>h</w:t>
      </w:r>
      <w:r w:rsidR="00623FC9" w:rsidRPr="000F6431">
        <w:rPr>
          <w:rFonts w:ascii="Times New Roman" w:eastAsia="Times New Roman" w:hAnsi="Times New Roman" w:cs="Times New Roman"/>
          <w:color w:val="000000"/>
          <w:sz w:val="24"/>
          <w:szCs w:val="24"/>
        </w:rPr>
        <w:t xml:space="preserve">e narrow definition of health </w:t>
      </w:r>
      <w:r w:rsidR="00015DBB" w:rsidRPr="000F6431">
        <w:rPr>
          <w:rFonts w:ascii="Times New Roman" w:eastAsia="Times New Roman" w:hAnsi="Times New Roman" w:cs="Times New Roman"/>
          <w:color w:val="000000"/>
          <w:sz w:val="24"/>
          <w:szCs w:val="24"/>
        </w:rPr>
        <w:t xml:space="preserve">focused </w:t>
      </w:r>
      <w:r w:rsidR="00623FC9" w:rsidRPr="000F6431">
        <w:rPr>
          <w:rFonts w:ascii="Times New Roman" w:eastAsia="Times New Roman" w:hAnsi="Times New Roman" w:cs="Times New Roman"/>
          <w:color w:val="000000"/>
          <w:sz w:val="24"/>
          <w:szCs w:val="24"/>
        </w:rPr>
        <w:t>on physical and environmental health used to analyse project and plans’ health outcomes</w:t>
      </w:r>
      <w:r w:rsidR="00015DBB" w:rsidRPr="000F6431">
        <w:rPr>
          <w:rFonts w:ascii="Times New Roman" w:eastAsia="Times New Roman" w:hAnsi="Times New Roman" w:cs="Times New Roman"/>
          <w:color w:val="000000"/>
          <w:sz w:val="24"/>
          <w:szCs w:val="24"/>
        </w:rPr>
        <w:t xml:space="preserve"> </w:t>
      </w:r>
      <w:r w:rsidR="006A3C56" w:rsidRPr="000F6431">
        <w:rPr>
          <w:rFonts w:ascii="Times New Roman" w:eastAsia="Times New Roman" w:hAnsi="Times New Roman" w:cs="Times New Roman"/>
          <w:color w:val="000000"/>
          <w:sz w:val="24"/>
          <w:szCs w:val="24"/>
        </w:rPr>
        <w:t xml:space="preserve">and the lack of a knowledge base shared between planners and health professionals </w:t>
      </w:r>
      <w:r w:rsidR="00015DBB" w:rsidRPr="000F6431">
        <w:rPr>
          <w:rFonts w:ascii="Times New Roman" w:eastAsia="Times New Roman" w:hAnsi="Times New Roman" w:cs="Times New Roman"/>
          <w:color w:val="000000"/>
          <w:sz w:val="24"/>
          <w:szCs w:val="24"/>
        </w:rPr>
        <w:t>must be highlighted</w:t>
      </w:r>
      <w:r w:rsidR="006A3C56" w:rsidRPr="000F6431">
        <w:rPr>
          <w:rFonts w:ascii="Times New Roman" w:eastAsia="Times New Roman" w:hAnsi="Times New Roman" w:cs="Times New Roman"/>
          <w:color w:val="000000"/>
          <w:sz w:val="24"/>
          <w:szCs w:val="24"/>
        </w:rPr>
        <w:t>. It even prevailed</w:t>
      </w:r>
      <w:r w:rsidR="00542EB0" w:rsidRPr="000F6431">
        <w:rPr>
          <w:rFonts w:ascii="Times New Roman" w:eastAsia="Times New Roman" w:hAnsi="Times New Roman" w:cs="Times New Roman"/>
          <w:color w:val="000000"/>
          <w:sz w:val="24"/>
          <w:szCs w:val="24"/>
        </w:rPr>
        <w:t xml:space="preserve"> in the practice of</w:t>
      </w:r>
      <w:r w:rsidR="00C052E2" w:rsidRPr="000F6431">
        <w:rPr>
          <w:rFonts w:ascii="Times New Roman" w:eastAsia="Times New Roman" w:hAnsi="Times New Roman" w:cs="Times New Roman"/>
          <w:color w:val="000000"/>
          <w:sz w:val="24"/>
          <w:szCs w:val="24"/>
        </w:rPr>
        <w:t xml:space="preserve"> HIA</w:t>
      </w:r>
      <w:r w:rsidR="00D60309" w:rsidRPr="000F6431">
        <w:rPr>
          <w:rFonts w:ascii="Times New Roman" w:eastAsia="Times New Roman" w:hAnsi="Times New Roman" w:cs="Times New Roman"/>
          <w:color w:val="000000"/>
          <w:sz w:val="24"/>
          <w:szCs w:val="24"/>
        </w:rPr>
        <w:t xml:space="preserve">. </w:t>
      </w:r>
      <w:r w:rsidR="00A04F96" w:rsidRPr="000F6431">
        <w:rPr>
          <w:rFonts w:ascii="Times New Roman" w:eastAsia="Times New Roman" w:hAnsi="Times New Roman" w:cs="Times New Roman"/>
          <w:color w:val="000000"/>
          <w:sz w:val="24"/>
          <w:szCs w:val="24"/>
        </w:rPr>
        <w:t>In terms of governance and policy, authors have  commented that the la</w:t>
      </w:r>
      <w:r w:rsidR="002F715A" w:rsidRPr="000F6431">
        <w:rPr>
          <w:rFonts w:ascii="Times New Roman" w:eastAsia="Times New Roman" w:hAnsi="Times New Roman" w:cs="Times New Roman"/>
          <w:color w:val="000000"/>
          <w:sz w:val="24"/>
          <w:szCs w:val="24"/>
        </w:rPr>
        <w:t>ck of</w:t>
      </w:r>
      <w:r w:rsidR="00D60309" w:rsidRPr="000F6431">
        <w:rPr>
          <w:rFonts w:ascii="Times New Roman" w:eastAsia="Times New Roman" w:hAnsi="Times New Roman" w:cs="Times New Roman"/>
          <w:color w:val="000000"/>
          <w:sz w:val="24"/>
          <w:szCs w:val="24"/>
        </w:rPr>
        <w:t xml:space="preserve">  </w:t>
      </w:r>
      <w:r w:rsidR="002F715A" w:rsidRPr="000F6431">
        <w:rPr>
          <w:rFonts w:ascii="Times New Roman" w:eastAsia="Times New Roman" w:hAnsi="Times New Roman" w:cs="Times New Roman"/>
          <w:color w:val="000000"/>
          <w:sz w:val="24"/>
          <w:szCs w:val="24"/>
        </w:rPr>
        <w:t>institutional steering or policy drivers</w:t>
      </w:r>
      <w:r w:rsidR="00D60309" w:rsidRPr="000F6431">
        <w:rPr>
          <w:rFonts w:ascii="Times New Roman" w:eastAsia="Times New Roman" w:hAnsi="Times New Roman" w:cs="Times New Roman"/>
          <w:color w:val="000000"/>
          <w:sz w:val="24"/>
          <w:szCs w:val="24"/>
        </w:rPr>
        <w:t xml:space="preserve"> and guidance</w:t>
      </w:r>
      <w:r w:rsidR="002F715A" w:rsidRPr="000F6431">
        <w:rPr>
          <w:rFonts w:ascii="Times New Roman" w:eastAsia="Times New Roman" w:hAnsi="Times New Roman" w:cs="Times New Roman"/>
          <w:color w:val="000000"/>
          <w:sz w:val="24"/>
          <w:szCs w:val="24"/>
        </w:rPr>
        <w:t>, lack of leadership at institutional and partnership levels as well as silo mentality</w:t>
      </w:r>
      <w:r w:rsidR="00D60309" w:rsidRPr="000F6431">
        <w:rPr>
          <w:rFonts w:ascii="Times New Roman" w:eastAsia="Times New Roman" w:hAnsi="Times New Roman" w:cs="Times New Roman"/>
          <w:color w:val="000000"/>
          <w:sz w:val="24"/>
          <w:szCs w:val="24"/>
        </w:rPr>
        <w:t>/sector-based legal requirements</w:t>
      </w:r>
      <w:r w:rsidR="002F715A" w:rsidRPr="000F6431">
        <w:rPr>
          <w:rFonts w:ascii="Times New Roman" w:eastAsia="Times New Roman" w:hAnsi="Times New Roman" w:cs="Times New Roman"/>
          <w:color w:val="000000"/>
          <w:sz w:val="24"/>
          <w:szCs w:val="24"/>
        </w:rPr>
        <w:t xml:space="preserve"> and lack of investment in capacity building</w:t>
      </w:r>
      <w:r w:rsidR="00A04F96" w:rsidRPr="000F6431">
        <w:rPr>
          <w:rFonts w:ascii="Times New Roman" w:eastAsia="Times New Roman" w:hAnsi="Times New Roman" w:cs="Times New Roman"/>
          <w:color w:val="000000"/>
          <w:sz w:val="24"/>
          <w:szCs w:val="24"/>
        </w:rPr>
        <w:t xml:space="preserve"> could be reasons explaining this lack of common knowledge base</w:t>
      </w:r>
      <w:r w:rsidR="002F715A" w:rsidRPr="000F6431">
        <w:rPr>
          <w:rFonts w:ascii="Times New Roman" w:eastAsia="Times New Roman" w:hAnsi="Times New Roman" w:cs="Times New Roman"/>
          <w:color w:val="000000"/>
          <w:sz w:val="24"/>
          <w:szCs w:val="24"/>
        </w:rPr>
        <w:t xml:space="preserve">. </w:t>
      </w:r>
      <w:r w:rsidR="00147C02" w:rsidRPr="000F6431">
        <w:rPr>
          <w:rFonts w:ascii="Times New Roman" w:eastAsia="Times New Roman" w:hAnsi="Times New Roman" w:cs="Times New Roman"/>
          <w:color w:val="000000"/>
          <w:sz w:val="24"/>
          <w:szCs w:val="24"/>
        </w:rPr>
        <w:t xml:space="preserve">Using a broad </w:t>
      </w:r>
      <w:r w:rsidR="00EA68A5" w:rsidRPr="000F6431">
        <w:rPr>
          <w:rFonts w:ascii="Times New Roman" w:eastAsia="Times New Roman" w:hAnsi="Times New Roman" w:cs="Times New Roman"/>
          <w:color w:val="000000"/>
          <w:sz w:val="24"/>
          <w:szCs w:val="24"/>
        </w:rPr>
        <w:t>definition of health should drive partnerships between health and planning professionals,</w:t>
      </w:r>
      <w:r w:rsidR="006A3C56" w:rsidRPr="000F6431">
        <w:rPr>
          <w:rFonts w:ascii="Times New Roman" w:eastAsia="Times New Roman" w:hAnsi="Times New Roman" w:cs="Times New Roman"/>
          <w:color w:val="000000"/>
          <w:sz w:val="24"/>
          <w:szCs w:val="24"/>
        </w:rPr>
        <w:t xml:space="preserve"> better quality and range of </w:t>
      </w:r>
      <w:r w:rsidR="00EA68A5" w:rsidRPr="000F6431">
        <w:rPr>
          <w:rFonts w:ascii="Times New Roman" w:eastAsia="Times New Roman" w:hAnsi="Times New Roman" w:cs="Times New Roman"/>
          <w:color w:val="000000"/>
          <w:sz w:val="24"/>
          <w:szCs w:val="24"/>
        </w:rPr>
        <w:t xml:space="preserve"> evidence considered and </w:t>
      </w:r>
      <w:r w:rsidR="006A3C56" w:rsidRPr="000F6431">
        <w:rPr>
          <w:rFonts w:ascii="Times New Roman" w:eastAsia="Times New Roman" w:hAnsi="Times New Roman" w:cs="Times New Roman"/>
          <w:color w:val="000000"/>
          <w:sz w:val="24"/>
          <w:szCs w:val="24"/>
        </w:rPr>
        <w:t xml:space="preserve">refocus the problem definition towards </w:t>
      </w:r>
      <w:r w:rsidR="00EA68A5" w:rsidRPr="000F6431">
        <w:rPr>
          <w:rFonts w:ascii="Times New Roman" w:eastAsia="Times New Roman" w:hAnsi="Times New Roman" w:cs="Times New Roman"/>
          <w:color w:val="000000"/>
          <w:sz w:val="24"/>
          <w:szCs w:val="24"/>
        </w:rPr>
        <w:t xml:space="preserve">the consideration of positive </w:t>
      </w:r>
      <w:r w:rsidR="00F635C8" w:rsidRPr="000F6431">
        <w:rPr>
          <w:rFonts w:ascii="Times New Roman" w:eastAsia="Times New Roman" w:hAnsi="Times New Roman" w:cs="Times New Roman"/>
          <w:color w:val="000000"/>
          <w:sz w:val="24"/>
          <w:szCs w:val="24"/>
        </w:rPr>
        <w:t xml:space="preserve">health </w:t>
      </w:r>
      <w:r w:rsidR="00EA68A5" w:rsidRPr="000F6431">
        <w:rPr>
          <w:rFonts w:ascii="Times New Roman" w:eastAsia="Times New Roman" w:hAnsi="Times New Roman" w:cs="Times New Roman"/>
          <w:color w:val="000000"/>
          <w:sz w:val="24"/>
          <w:szCs w:val="24"/>
        </w:rPr>
        <w:t>impacts of plans/project</w:t>
      </w:r>
      <w:r w:rsidR="00F635C8" w:rsidRPr="000F6431">
        <w:rPr>
          <w:rFonts w:ascii="Times New Roman" w:eastAsia="Times New Roman" w:hAnsi="Times New Roman" w:cs="Times New Roman"/>
          <w:color w:val="000000"/>
          <w:sz w:val="24"/>
          <w:szCs w:val="24"/>
        </w:rPr>
        <w:t>s.</w:t>
      </w:r>
      <w:r w:rsidR="00EA68A5" w:rsidRPr="000F6431">
        <w:rPr>
          <w:rFonts w:ascii="Times New Roman" w:eastAsia="Times New Roman" w:hAnsi="Times New Roman" w:cs="Times New Roman"/>
          <w:color w:val="000000"/>
          <w:sz w:val="24"/>
          <w:szCs w:val="24"/>
        </w:rPr>
        <w:t xml:space="preserve"> </w:t>
      </w:r>
      <w:r w:rsidR="00D60309" w:rsidRPr="000F6431">
        <w:rPr>
          <w:rFonts w:ascii="Times New Roman" w:hAnsi="Times New Roman" w:cs="Times New Roman"/>
          <w:sz w:val="24"/>
          <w:szCs w:val="24"/>
        </w:rPr>
        <w:t>More specifically in terms of partnership,  several tools can be used to promote multi-level (i.e. national/local) and cross-sectoral partnerships (i.e public health/local authority) to help assist needs assessment, including targets, sharing of resources such as joint public health specialist/consultant posts funded by</w:t>
      </w:r>
      <w:r w:rsidR="00A04F96" w:rsidRPr="000F6431">
        <w:rPr>
          <w:rFonts w:ascii="Times New Roman" w:hAnsi="Times New Roman" w:cs="Times New Roman"/>
          <w:sz w:val="24"/>
          <w:szCs w:val="24"/>
        </w:rPr>
        <w:t xml:space="preserve"> the health and local authority</w:t>
      </w:r>
      <w:r w:rsidR="00D60309" w:rsidRPr="000F6431">
        <w:rPr>
          <w:rFonts w:ascii="Times New Roman" w:hAnsi="Times New Roman" w:cs="Times New Roman"/>
          <w:sz w:val="24"/>
          <w:szCs w:val="24"/>
        </w:rPr>
        <w:t>.</w:t>
      </w:r>
      <w:r w:rsidR="006A3C56" w:rsidRPr="000F6431">
        <w:rPr>
          <w:rFonts w:ascii="Times New Roman" w:hAnsi="Times New Roman" w:cs="Times New Roman"/>
          <w:sz w:val="24"/>
          <w:szCs w:val="24"/>
        </w:rPr>
        <w:t xml:space="preserve"> </w:t>
      </w:r>
      <w:r w:rsidR="00D60309" w:rsidRPr="000F6431">
        <w:rPr>
          <w:rFonts w:ascii="Times New Roman" w:eastAsia="Times New Roman" w:hAnsi="Times New Roman" w:cs="Times New Roman"/>
          <w:color w:val="000000"/>
          <w:sz w:val="24"/>
          <w:szCs w:val="24"/>
        </w:rPr>
        <w:t>In terms of research, t</w:t>
      </w:r>
      <w:r w:rsidR="00EA68A5" w:rsidRPr="000F6431">
        <w:rPr>
          <w:rFonts w:ascii="Times New Roman" w:eastAsia="Times New Roman" w:hAnsi="Times New Roman" w:cs="Times New Roman"/>
          <w:color w:val="000000"/>
          <w:sz w:val="24"/>
          <w:szCs w:val="24"/>
        </w:rPr>
        <w:t xml:space="preserve">here is </w:t>
      </w:r>
      <w:r w:rsidR="00D60309" w:rsidRPr="000F6431">
        <w:rPr>
          <w:rFonts w:ascii="Times New Roman" w:hAnsi="Times New Roman" w:cs="Times New Roman"/>
          <w:color w:val="000000"/>
          <w:sz w:val="24"/>
          <w:szCs w:val="24"/>
        </w:rPr>
        <w:t xml:space="preserve">also </w:t>
      </w:r>
      <w:r w:rsidR="00EA68A5" w:rsidRPr="000F6431">
        <w:rPr>
          <w:rFonts w:ascii="Times New Roman" w:eastAsia="Times New Roman" w:hAnsi="Times New Roman" w:cs="Times New Roman"/>
          <w:color w:val="000000"/>
          <w:sz w:val="24"/>
          <w:szCs w:val="24"/>
        </w:rPr>
        <w:t>scope to develop conceptual and methodological framework examining which governance, policy and institutional arrangements can ensure better effectiveness of appraisals.</w:t>
      </w:r>
    </w:p>
    <w:p w:rsidR="007603A2" w:rsidRPr="000F6431" w:rsidRDefault="002F715A" w:rsidP="00FD67A9">
      <w:pPr>
        <w:spacing w:line="480" w:lineRule="auto"/>
        <w:rPr>
          <w:rFonts w:ascii="Times New Roman" w:eastAsia="Times New Roman" w:hAnsi="Times New Roman" w:cs="Times New Roman"/>
          <w:color w:val="000000"/>
          <w:sz w:val="24"/>
          <w:szCs w:val="24"/>
        </w:rPr>
      </w:pPr>
      <w:r w:rsidRPr="000F6431">
        <w:rPr>
          <w:rFonts w:ascii="Times New Roman" w:eastAsia="Times New Roman" w:hAnsi="Times New Roman" w:cs="Times New Roman"/>
          <w:color w:val="000000"/>
          <w:sz w:val="24"/>
          <w:szCs w:val="24"/>
        </w:rPr>
        <w:t>Second</w:t>
      </w:r>
      <w:r w:rsidR="007603A2" w:rsidRPr="000F6431">
        <w:rPr>
          <w:rFonts w:ascii="Times New Roman" w:eastAsia="Times New Roman" w:hAnsi="Times New Roman" w:cs="Times New Roman"/>
          <w:color w:val="000000"/>
          <w:sz w:val="24"/>
          <w:szCs w:val="24"/>
        </w:rPr>
        <w:t>ly</w:t>
      </w:r>
      <w:r w:rsidRPr="000F6431">
        <w:rPr>
          <w:rFonts w:ascii="Times New Roman" w:eastAsia="Times New Roman" w:hAnsi="Times New Roman" w:cs="Times New Roman"/>
          <w:color w:val="000000"/>
          <w:sz w:val="24"/>
          <w:szCs w:val="24"/>
        </w:rPr>
        <w:t xml:space="preserve">, </w:t>
      </w:r>
      <w:r w:rsidR="00147C02" w:rsidRPr="000F6431">
        <w:rPr>
          <w:rFonts w:ascii="Times New Roman" w:eastAsia="Times New Roman" w:hAnsi="Times New Roman" w:cs="Times New Roman"/>
          <w:color w:val="000000"/>
          <w:sz w:val="24"/>
          <w:szCs w:val="24"/>
        </w:rPr>
        <w:t>the mainstreaming</w:t>
      </w:r>
      <w:r w:rsidR="00EA68A5" w:rsidRPr="000F6431">
        <w:rPr>
          <w:rFonts w:ascii="Times New Roman" w:eastAsia="Times New Roman" w:hAnsi="Times New Roman" w:cs="Times New Roman"/>
          <w:color w:val="000000"/>
          <w:sz w:val="24"/>
          <w:szCs w:val="24"/>
        </w:rPr>
        <w:t xml:space="preserve"> of appraisals</w:t>
      </w:r>
      <w:r w:rsidR="00147C02" w:rsidRPr="000F6431">
        <w:rPr>
          <w:rFonts w:ascii="Times New Roman" w:eastAsia="Times New Roman" w:hAnsi="Times New Roman" w:cs="Times New Roman"/>
          <w:color w:val="000000"/>
          <w:sz w:val="24"/>
          <w:szCs w:val="24"/>
        </w:rPr>
        <w:t xml:space="preserve"> in </w:t>
      </w:r>
      <w:r w:rsidR="00D42960" w:rsidRPr="000F6431">
        <w:rPr>
          <w:rFonts w:ascii="Times New Roman" w:eastAsia="Times New Roman" w:hAnsi="Times New Roman" w:cs="Times New Roman"/>
          <w:color w:val="000000"/>
          <w:sz w:val="24"/>
          <w:szCs w:val="24"/>
        </w:rPr>
        <w:t xml:space="preserve">the plan/project process is </w:t>
      </w:r>
      <w:r w:rsidR="00EA68A5" w:rsidRPr="000F6431">
        <w:rPr>
          <w:rFonts w:ascii="Times New Roman" w:eastAsia="Times New Roman" w:hAnsi="Times New Roman" w:cs="Times New Roman"/>
          <w:color w:val="000000"/>
          <w:sz w:val="24"/>
          <w:szCs w:val="24"/>
        </w:rPr>
        <w:t xml:space="preserve">also </w:t>
      </w:r>
      <w:r w:rsidR="00D42960" w:rsidRPr="000F6431">
        <w:rPr>
          <w:rFonts w:ascii="Times New Roman" w:eastAsia="Times New Roman" w:hAnsi="Times New Roman" w:cs="Times New Roman"/>
          <w:color w:val="000000"/>
          <w:sz w:val="24"/>
          <w:szCs w:val="24"/>
        </w:rPr>
        <w:t>required to ensure the</w:t>
      </w:r>
      <w:r w:rsidR="00EA68A5" w:rsidRPr="000F6431">
        <w:rPr>
          <w:rFonts w:ascii="Times New Roman" w:eastAsia="Times New Roman" w:hAnsi="Times New Roman" w:cs="Times New Roman"/>
          <w:color w:val="000000"/>
          <w:sz w:val="24"/>
          <w:szCs w:val="24"/>
        </w:rPr>
        <w:t>ir</w:t>
      </w:r>
      <w:r w:rsidR="00D42960" w:rsidRPr="000F6431">
        <w:rPr>
          <w:rFonts w:ascii="Times New Roman" w:eastAsia="Times New Roman" w:hAnsi="Times New Roman" w:cs="Times New Roman"/>
          <w:color w:val="000000"/>
          <w:sz w:val="24"/>
          <w:szCs w:val="24"/>
        </w:rPr>
        <w:t xml:space="preserve"> effectiveness</w:t>
      </w:r>
      <w:r w:rsidR="00EA68A5" w:rsidRPr="000F6431">
        <w:rPr>
          <w:rFonts w:ascii="Times New Roman" w:eastAsia="Times New Roman" w:hAnsi="Times New Roman" w:cs="Times New Roman"/>
          <w:color w:val="000000"/>
          <w:sz w:val="24"/>
          <w:szCs w:val="24"/>
        </w:rPr>
        <w:t>.</w:t>
      </w:r>
      <w:r w:rsidR="000F23DC" w:rsidRPr="000F6431">
        <w:rPr>
          <w:rFonts w:ascii="Times New Roman" w:eastAsia="Times New Roman" w:hAnsi="Times New Roman" w:cs="Times New Roman"/>
          <w:color w:val="000000"/>
          <w:sz w:val="24"/>
          <w:szCs w:val="24"/>
        </w:rPr>
        <w:t xml:space="preserve"> Many studies emphasised this point. In particular, it is important for appraisals to be integrated into the early stages of the planning process to ensure that they can </w:t>
      </w:r>
      <w:r w:rsidR="006A3C56" w:rsidRPr="000F6431">
        <w:rPr>
          <w:rFonts w:ascii="Times New Roman" w:eastAsia="Times New Roman" w:hAnsi="Times New Roman" w:cs="Times New Roman"/>
          <w:color w:val="000000"/>
          <w:sz w:val="24"/>
          <w:szCs w:val="24"/>
        </w:rPr>
        <w:t xml:space="preserve">comprehensibly </w:t>
      </w:r>
      <w:r w:rsidR="000F23DC" w:rsidRPr="000F6431">
        <w:rPr>
          <w:rFonts w:ascii="Times New Roman" w:eastAsia="Times New Roman" w:hAnsi="Times New Roman" w:cs="Times New Roman"/>
          <w:color w:val="000000"/>
          <w:sz w:val="24"/>
          <w:szCs w:val="24"/>
        </w:rPr>
        <w:t xml:space="preserve">influence that process. In addition, as we said </w:t>
      </w:r>
      <w:r w:rsidR="000F23DC" w:rsidRPr="000F6431">
        <w:rPr>
          <w:rFonts w:ascii="Times New Roman" w:eastAsia="Times New Roman" w:hAnsi="Times New Roman" w:cs="Times New Roman"/>
          <w:color w:val="000000"/>
          <w:sz w:val="24"/>
          <w:szCs w:val="24"/>
        </w:rPr>
        <w:lastRenderedPageBreak/>
        <w:t>earlier, the lack of evidence at post-implementation stage means that it is diffic</w:t>
      </w:r>
      <w:r w:rsidR="006A3C56" w:rsidRPr="000F6431">
        <w:rPr>
          <w:rFonts w:ascii="Times New Roman" w:eastAsia="Times New Roman" w:hAnsi="Times New Roman" w:cs="Times New Roman"/>
          <w:color w:val="000000"/>
          <w:sz w:val="24"/>
          <w:szCs w:val="24"/>
        </w:rPr>
        <w:t>ult to assess the actual</w:t>
      </w:r>
      <w:r w:rsidR="000F23DC" w:rsidRPr="000F6431">
        <w:rPr>
          <w:rFonts w:ascii="Times New Roman" w:eastAsia="Times New Roman" w:hAnsi="Times New Roman" w:cs="Times New Roman"/>
          <w:color w:val="000000"/>
          <w:sz w:val="24"/>
          <w:szCs w:val="24"/>
        </w:rPr>
        <w:t xml:space="preserve"> effectiveness o</w:t>
      </w:r>
      <w:r w:rsidR="00A62188" w:rsidRPr="000F6431">
        <w:rPr>
          <w:rFonts w:ascii="Times New Roman" w:eastAsia="Times New Roman" w:hAnsi="Times New Roman" w:cs="Times New Roman"/>
          <w:color w:val="000000"/>
          <w:sz w:val="24"/>
          <w:szCs w:val="24"/>
        </w:rPr>
        <w:t>f appraisals. A stronger</w:t>
      </w:r>
      <w:r w:rsidR="006A3C56" w:rsidRPr="000F6431">
        <w:rPr>
          <w:rFonts w:ascii="Times New Roman" w:eastAsia="Times New Roman" w:hAnsi="Times New Roman" w:cs="Times New Roman"/>
          <w:color w:val="000000"/>
          <w:sz w:val="24"/>
          <w:szCs w:val="24"/>
        </w:rPr>
        <w:t xml:space="preserve"> requirement for</w:t>
      </w:r>
      <w:r w:rsidR="000F23DC" w:rsidRPr="000F6431">
        <w:rPr>
          <w:rFonts w:ascii="Times New Roman" w:eastAsia="Times New Roman" w:hAnsi="Times New Roman" w:cs="Times New Roman"/>
          <w:color w:val="000000"/>
          <w:sz w:val="24"/>
          <w:szCs w:val="24"/>
        </w:rPr>
        <w:t xml:space="preserve"> </w:t>
      </w:r>
      <w:r w:rsidR="00A62188" w:rsidRPr="000F6431">
        <w:rPr>
          <w:rFonts w:ascii="Times New Roman" w:eastAsia="Times New Roman" w:hAnsi="Times New Roman" w:cs="Times New Roman"/>
          <w:color w:val="000000"/>
          <w:sz w:val="24"/>
          <w:szCs w:val="24"/>
        </w:rPr>
        <w:t xml:space="preserve">monitoring the actual impact of </w:t>
      </w:r>
      <w:r w:rsidR="000F23DC" w:rsidRPr="000F6431">
        <w:rPr>
          <w:rFonts w:ascii="Times New Roman" w:eastAsia="Times New Roman" w:hAnsi="Times New Roman" w:cs="Times New Roman"/>
          <w:color w:val="000000"/>
          <w:sz w:val="24"/>
          <w:szCs w:val="24"/>
        </w:rPr>
        <w:t xml:space="preserve"> planning </w:t>
      </w:r>
      <w:r w:rsidR="00A62188" w:rsidRPr="000F6431">
        <w:rPr>
          <w:rFonts w:ascii="Times New Roman" w:eastAsia="Times New Roman" w:hAnsi="Times New Roman" w:cs="Times New Roman"/>
          <w:color w:val="000000"/>
          <w:sz w:val="24"/>
          <w:szCs w:val="24"/>
        </w:rPr>
        <w:t>decisions</w:t>
      </w:r>
      <w:r w:rsidR="000F23DC" w:rsidRPr="000F6431">
        <w:rPr>
          <w:rFonts w:ascii="Times New Roman" w:eastAsia="Times New Roman" w:hAnsi="Times New Roman" w:cs="Times New Roman"/>
          <w:color w:val="000000"/>
          <w:sz w:val="24"/>
          <w:szCs w:val="24"/>
        </w:rPr>
        <w:t xml:space="preserve"> as well as further empirical research would </w:t>
      </w:r>
      <w:r w:rsidR="006A3C56" w:rsidRPr="000F6431">
        <w:rPr>
          <w:rFonts w:ascii="Times New Roman" w:eastAsia="Times New Roman" w:hAnsi="Times New Roman" w:cs="Times New Roman"/>
          <w:color w:val="000000"/>
          <w:sz w:val="24"/>
          <w:szCs w:val="24"/>
        </w:rPr>
        <w:t xml:space="preserve">help </w:t>
      </w:r>
      <w:r w:rsidR="000F23DC" w:rsidRPr="000F6431">
        <w:rPr>
          <w:rFonts w:ascii="Times New Roman" w:eastAsia="Times New Roman" w:hAnsi="Times New Roman" w:cs="Times New Roman"/>
          <w:color w:val="000000"/>
          <w:sz w:val="24"/>
          <w:szCs w:val="24"/>
        </w:rPr>
        <w:t xml:space="preserve">remedy this gap. </w:t>
      </w:r>
    </w:p>
    <w:p w:rsidR="00D60309" w:rsidRPr="000F6431" w:rsidRDefault="00D60309" w:rsidP="00FD67A9">
      <w:pPr>
        <w:spacing w:line="480" w:lineRule="auto"/>
        <w:rPr>
          <w:rFonts w:ascii="Times New Roman" w:eastAsia="Times New Roman" w:hAnsi="Times New Roman" w:cs="Times New Roman"/>
          <w:color w:val="000000"/>
          <w:sz w:val="24"/>
          <w:szCs w:val="24"/>
        </w:rPr>
      </w:pPr>
    </w:p>
    <w:p w:rsidR="006A3C56" w:rsidRPr="000F6431" w:rsidRDefault="000F23DC" w:rsidP="00D819B9">
      <w:pPr>
        <w:spacing w:line="480" w:lineRule="auto"/>
        <w:rPr>
          <w:rFonts w:ascii="Times New Roman" w:eastAsia="Times New Roman" w:hAnsi="Times New Roman" w:cs="Times New Roman"/>
          <w:color w:val="000000"/>
          <w:sz w:val="24"/>
          <w:szCs w:val="24"/>
        </w:rPr>
      </w:pPr>
      <w:r w:rsidRPr="000F6431">
        <w:rPr>
          <w:rFonts w:ascii="Times New Roman" w:eastAsia="Times New Roman" w:hAnsi="Times New Roman" w:cs="Times New Roman"/>
          <w:color w:val="000000"/>
          <w:sz w:val="24"/>
          <w:szCs w:val="24"/>
        </w:rPr>
        <w:t>A third key element</w:t>
      </w:r>
      <w:r w:rsidR="00147C02" w:rsidRPr="000F6431">
        <w:rPr>
          <w:rFonts w:ascii="Times New Roman" w:eastAsia="Times New Roman" w:hAnsi="Times New Roman" w:cs="Times New Roman"/>
          <w:color w:val="000000"/>
          <w:sz w:val="24"/>
          <w:szCs w:val="24"/>
        </w:rPr>
        <w:t xml:space="preserve"> that came out of the research is</w:t>
      </w:r>
      <w:r w:rsidRPr="000F6431">
        <w:rPr>
          <w:rFonts w:ascii="Times New Roman" w:eastAsia="Times New Roman" w:hAnsi="Times New Roman" w:cs="Times New Roman"/>
          <w:color w:val="000000"/>
          <w:sz w:val="24"/>
          <w:szCs w:val="24"/>
        </w:rPr>
        <w:t xml:space="preserve"> the part that HIA appr</w:t>
      </w:r>
      <w:r w:rsidR="00D819B9" w:rsidRPr="000F6431">
        <w:rPr>
          <w:rFonts w:ascii="Times New Roman" w:eastAsia="Times New Roman" w:hAnsi="Times New Roman" w:cs="Times New Roman"/>
          <w:color w:val="000000"/>
          <w:sz w:val="24"/>
          <w:szCs w:val="24"/>
        </w:rPr>
        <w:t>oaches play</w:t>
      </w:r>
      <w:r w:rsidR="00FD67A9" w:rsidRPr="000F6431">
        <w:rPr>
          <w:rFonts w:ascii="Times New Roman" w:eastAsia="Times New Roman" w:hAnsi="Times New Roman" w:cs="Times New Roman"/>
          <w:color w:val="000000"/>
          <w:sz w:val="24"/>
          <w:szCs w:val="24"/>
        </w:rPr>
        <w:t xml:space="preserve"> as a means of</w:t>
      </w:r>
      <w:r w:rsidR="00D819B9" w:rsidRPr="000F6431">
        <w:rPr>
          <w:rFonts w:ascii="Times New Roman" w:eastAsia="Times New Roman" w:hAnsi="Times New Roman" w:cs="Times New Roman"/>
          <w:color w:val="000000"/>
          <w:sz w:val="24"/>
          <w:szCs w:val="24"/>
        </w:rPr>
        <w:t xml:space="preserve"> ensuring</w:t>
      </w:r>
      <w:r w:rsidR="00FD67A9" w:rsidRPr="000F6431">
        <w:rPr>
          <w:rFonts w:ascii="Times New Roman" w:eastAsia="Times New Roman" w:hAnsi="Times New Roman" w:cs="Times New Roman"/>
          <w:color w:val="000000"/>
          <w:sz w:val="24"/>
          <w:szCs w:val="24"/>
        </w:rPr>
        <w:t xml:space="preserve"> community stakeholder enga</w:t>
      </w:r>
      <w:r w:rsidR="00D819B9" w:rsidRPr="000F6431">
        <w:rPr>
          <w:rFonts w:ascii="Times New Roman" w:eastAsia="Times New Roman" w:hAnsi="Times New Roman" w:cs="Times New Roman"/>
          <w:color w:val="000000"/>
          <w:sz w:val="24"/>
          <w:szCs w:val="24"/>
        </w:rPr>
        <w:t xml:space="preserve">gement. One study refers to health as providing </w:t>
      </w:r>
      <w:r w:rsidR="00D819B9" w:rsidRPr="000F6431">
        <w:rPr>
          <w:rFonts w:ascii="Times New Roman" w:eastAsia="Times New Roman" w:hAnsi="Times New Roman" w:cs="Times New Roman"/>
          <w:i/>
          <w:color w:val="000000"/>
          <w:sz w:val="24"/>
          <w:szCs w:val="24"/>
        </w:rPr>
        <w:t>a hook</w:t>
      </w:r>
      <w:r w:rsidR="00D819B9" w:rsidRPr="000F6431">
        <w:rPr>
          <w:rFonts w:ascii="Times New Roman" w:eastAsia="Times New Roman" w:hAnsi="Times New Roman" w:cs="Times New Roman"/>
          <w:color w:val="000000"/>
          <w:sz w:val="24"/>
          <w:szCs w:val="24"/>
        </w:rPr>
        <w:t xml:space="preserve"> for planners to engage local people. Developing better participatory models and broad based partnerships, </w:t>
      </w:r>
      <w:r w:rsidR="003037CF" w:rsidRPr="000F6431">
        <w:rPr>
          <w:rFonts w:ascii="Times New Roman" w:eastAsia="Times New Roman" w:hAnsi="Times New Roman" w:cs="Times New Roman"/>
          <w:color w:val="000000"/>
          <w:sz w:val="24"/>
          <w:szCs w:val="24"/>
        </w:rPr>
        <w:t>based on common languages can help the integration of different forms of knowledge, expertise and life experience and can in turn help identifying broader problem definition to consider health outcomes of planning decisions.</w:t>
      </w:r>
    </w:p>
    <w:p w:rsidR="00542EB0" w:rsidRPr="000F6431" w:rsidRDefault="00542EB0" w:rsidP="00542EB0">
      <w:pPr>
        <w:spacing w:line="480" w:lineRule="auto"/>
        <w:rPr>
          <w:rFonts w:ascii="Times New Roman" w:hAnsi="Times New Roman" w:cs="Times New Roman"/>
          <w:sz w:val="24"/>
          <w:szCs w:val="24"/>
        </w:rPr>
      </w:pPr>
      <w:r w:rsidRPr="000F6431">
        <w:rPr>
          <w:rFonts w:ascii="Times New Roman" w:eastAsia="Times New Roman" w:hAnsi="Times New Roman" w:cs="Times New Roman"/>
          <w:color w:val="000000"/>
          <w:sz w:val="24"/>
          <w:szCs w:val="24"/>
        </w:rPr>
        <w:t xml:space="preserve">Finally an unresolved question is whether HIA </w:t>
      </w:r>
      <w:r w:rsidR="00A62188" w:rsidRPr="000F6431">
        <w:rPr>
          <w:rFonts w:ascii="Times New Roman" w:eastAsia="Times New Roman" w:hAnsi="Times New Roman" w:cs="Times New Roman"/>
          <w:color w:val="000000"/>
          <w:sz w:val="24"/>
          <w:szCs w:val="24"/>
        </w:rPr>
        <w:t xml:space="preserve">- </w:t>
      </w:r>
      <w:r w:rsidRPr="000F6431">
        <w:rPr>
          <w:rFonts w:ascii="Times New Roman" w:eastAsia="Times New Roman" w:hAnsi="Times New Roman" w:cs="Times New Roman"/>
          <w:color w:val="000000"/>
          <w:sz w:val="24"/>
          <w:szCs w:val="24"/>
        </w:rPr>
        <w:t xml:space="preserve">or </w:t>
      </w:r>
      <w:r w:rsidR="007A1470" w:rsidRPr="000F6431">
        <w:rPr>
          <w:rFonts w:ascii="Times New Roman" w:eastAsia="Times New Roman" w:hAnsi="Times New Roman" w:cs="Times New Roman"/>
          <w:i/>
          <w:color w:val="000000"/>
          <w:sz w:val="24"/>
          <w:szCs w:val="24"/>
        </w:rPr>
        <w:t>other</w:t>
      </w:r>
      <w:r w:rsidRPr="000F6431">
        <w:rPr>
          <w:rFonts w:ascii="Times New Roman" w:eastAsia="Times New Roman" w:hAnsi="Times New Roman" w:cs="Times New Roman"/>
          <w:color w:val="000000"/>
          <w:sz w:val="24"/>
          <w:szCs w:val="24"/>
        </w:rPr>
        <w:t xml:space="preserve"> forms of appraisal </w:t>
      </w:r>
      <w:r w:rsidR="00A62188" w:rsidRPr="000F6431">
        <w:rPr>
          <w:rFonts w:ascii="Times New Roman" w:eastAsia="Times New Roman" w:hAnsi="Times New Roman" w:cs="Times New Roman"/>
          <w:color w:val="000000"/>
          <w:sz w:val="24"/>
          <w:szCs w:val="24"/>
        </w:rPr>
        <w:t xml:space="preserve">- </w:t>
      </w:r>
      <w:r w:rsidRPr="000F6431">
        <w:rPr>
          <w:rFonts w:ascii="Times New Roman" w:eastAsia="Times New Roman" w:hAnsi="Times New Roman" w:cs="Times New Roman"/>
          <w:color w:val="000000"/>
          <w:sz w:val="24"/>
          <w:szCs w:val="24"/>
        </w:rPr>
        <w:t xml:space="preserve"> provide better integration of health considerations in planning decisions.</w:t>
      </w:r>
      <w:r w:rsidRPr="000F6431">
        <w:rPr>
          <w:rFonts w:ascii="Times New Roman" w:hAnsi="Times New Roman" w:cs="Times New Roman"/>
          <w:sz w:val="24"/>
          <w:szCs w:val="24"/>
        </w:rPr>
        <w:t xml:space="preserve"> While HIA is generally used on a voluntary rather than statutory basis, its development across Europe has not been uniform and its use at central government level is limited. In a traditional planning framework, HIA is not easily adapted to current institutional practices and may encounter bureaucratic resistance, particularly for example in the development of inn</w:t>
      </w:r>
      <w:r w:rsidR="003037CF" w:rsidRPr="000F6431">
        <w:rPr>
          <w:rFonts w:ascii="Times New Roman" w:hAnsi="Times New Roman" w:cs="Times New Roman"/>
          <w:sz w:val="24"/>
          <w:szCs w:val="24"/>
        </w:rPr>
        <w:t>ovative participatory processes</w:t>
      </w:r>
      <w:r w:rsidRPr="000F6431">
        <w:rPr>
          <w:rFonts w:ascii="Times New Roman" w:hAnsi="Times New Roman" w:cs="Times New Roman"/>
          <w:sz w:val="24"/>
          <w:szCs w:val="24"/>
        </w:rPr>
        <w:t xml:space="preserve"> (Bekker et al., 2005; Bhatia and Wernham, 2008; Burns and Bond, 2008; Corburn and Bhatia, 2007; Davenport et al., 2006; Fischer et al., 2010; Harris, 2009; Mathias and Harris-Roxas, 2009; Neville et al., 2009; NHS London, 2009; Noble and Bronson, 2006; PAS, 2008b; Steineman, 2000). </w:t>
      </w:r>
    </w:p>
    <w:p w:rsidR="00542EB0" w:rsidRPr="000F6431" w:rsidRDefault="00542EB0" w:rsidP="00542EB0">
      <w:pPr>
        <w:spacing w:line="480" w:lineRule="auto"/>
        <w:rPr>
          <w:rFonts w:ascii="Times New Roman" w:hAnsi="Times New Roman" w:cs="Times New Roman"/>
          <w:sz w:val="24"/>
          <w:szCs w:val="24"/>
        </w:rPr>
      </w:pPr>
      <w:r w:rsidRPr="000F6431">
        <w:rPr>
          <w:rFonts w:ascii="Times New Roman" w:hAnsi="Times New Roman" w:cs="Times New Roman"/>
          <w:sz w:val="24"/>
          <w:szCs w:val="24"/>
        </w:rPr>
        <w:lastRenderedPageBreak/>
        <w:t xml:space="preserve">EIA is a rather different case. </w:t>
      </w:r>
      <w:r w:rsidR="00EA68A5" w:rsidRPr="000F6431">
        <w:rPr>
          <w:rFonts w:ascii="Times New Roman" w:hAnsi="Times New Roman" w:cs="Times New Roman"/>
          <w:sz w:val="24"/>
          <w:szCs w:val="24"/>
        </w:rPr>
        <w:t xml:space="preserve">  In all high income countries,</w:t>
      </w:r>
      <w:r w:rsidRPr="000F6431">
        <w:rPr>
          <w:rFonts w:ascii="Times New Roman" w:hAnsi="Times New Roman" w:cs="Times New Roman"/>
          <w:sz w:val="24"/>
          <w:szCs w:val="24"/>
        </w:rPr>
        <w:t xml:space="preserve"> and a number of low/medium income countries, EIA is a statutory requirement for certain categories of project, or those deemed to have potential for ‘significant impact’. It therefore represents the most obvious opportunity for health-integrated appraisal. But despite including some explicit health concerns (pollution in particular) this opportunity has not been taken. </w:t>
      </w:r>
    </w:p>
    <w:p w:rsidR="00542EB0" w:rsidRPr="000F6431" w:rsidRDefault="00542EB0" w:rsidP="00542EB0">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Some local authorities require a form of SA to accompany particular applications for development. SA, being in theory a comprehensive assessment, should as a matter of course include health criteria. This review has found no evidence one way or the other – a significant gap in the research.  It is possible on occasion for all three types of assessment – EIA, HIA and SA – to be undertaken for the same proposal, which can result in duplication. More rarely the different aspects may form part of  an Integrated Appraisal (IA), and from very limited evidence this is the most successful way of incorporating health.. </w:t>
      </w:r>
    </w:p>
    <w:p w:rsidR="00FD67A9" w:rsidRPr="000F6431" w:rsidRDefault="003037CF" w:rsidP="00FD67A9">
      <w:pPr>
        <w:spacing w:line="480" w:lineRule="auto"/>
        <w:rPr>
          <w:rFonts w:ascii="Times New Roman" w:hAnsi="Times New Roman" w:cs="Times New Roman"/>
          <w:sz w:val="24"/>
          <w:szCs w:val="24"/>
        </w:rPr>
      </w:pPr>
      <w:r w:rsidRPr="000F6431">
        <w:rPr>
          <w:rFonts w:ascii="Times New Roman" w:hAnsi="Times New Roman" w:cs="Times New Roman"/>
          <w:sz w:val="24"/>
          <w:szCs w:val="24"/>
        </w:rPr>
        <w:t>As for th</w:t>
      </w:r>
      <w:r w:rsidR="00D60309" w:rsidRPr="000F6431">
        <w:rPr>
          <w:rFonts w:ascii="Times New Roman" w:hAnsi="Times New Roman" w:cs="Times New Roman"/>
          <w:sz w:val="24"/>
          <w:szCs w:val="24"/>
        </w:rPr>
        <w:t>e</w:t>
      </w:r>
      <w:r w:rsidR="00FD67A9" w:rsidRPr="000F6431">
        <w:rPr>
          <w:rFonts w:ascii="Times New Roman" w:hAnsi="Times New Roman" w:cs="Times New Roman"/>
          <w:sz w:val="24"/>
          <w:szCs w:val="24"/>
        </w:rPr>
        <w:t xml:space="preserve"> plan level, </w:t>
      </w:r>
      <w:r w:rsidR="00FD67A9" w:rsidRPr="000F6431">
        <w:rPr>
          <w:rFonts w:ascii="Times New Roman" w:hAnsi="Times New Roman" w:cs="Times New Roman"/>
          <w:color w:val="000000"/>
          <w:sz w:val="24"/>
          <w:szCs w:val="24"/>
        </w:rPr>
        <w:t>all countries in the European Union must apply European Directive 2001/42/EC (the SEA Directive) to certain plans and programmes. This assessment must include an assessment of the effects on the human populati</w:t>
      </w:r>
      <w:r w:rsidR="008B3405" w:rsidRPr="000F6431">
        <w:rPr>
          <w:rFonts w:ascii="Times New Roman" w:hAnsi="Times New Roman" w:cs="Times New Roman"/>
          <w:color w:val="000000"/>
          <w:sz w:val="24"/>
          <w:szCs w:val="24"/>
        </w:rPr>
        <w:t>on.</w:t>
      </w:r>
      <w:r w:rsidR="00FD67A9" w:rsidRPr="000F6431">
        <w:rPr>
          <w:rFonts w:ascii="Times New Roman" w:hAnsi="Times New Roman" w:cs="Times New Roman"/>
          <w:color w:val="000000"/>
          <w:sz w:val="24"/>
          <w:szCs w:val="24"/>
        </w:rPr>
        <w:t xml:space="preserve">  Whilst SEA is prevalent in most high income countries, its use in middle/low income countries is a relatively new concept and so is patchy.</w:t>
      </w:r>
      <w:r w:rsidR="008B3405" w:rsidRPr="000F6431">
        <w:rPr>
          <w:rFonts w:ascii="Times New Roman" w:hAnsi="Times New Roman" w:cs="Times New Roman"/>
          <w:color w:val="000000"/>
          <w:sz w:val="24"/>
          <w:szCs w:val="24"/>
        </w:rPr>
        <w:t xml:space="preserve"> We found no specific evidence in the literature  on how the concept of health  is </w:t>
      </w:r>
      <w:r w:rsidR="00A51C78" w:rsidRPr="000F6431">
        <w:rPr>
          <w:rFonts w:ascii="Times New Roman" w:hAnsi="Times New Roman" w:cs="Times New Roman"/>
          <w:color w:val="000000"/>
          <w:sz w:val="24"/>
          <w:szCs w:val="24"/>
        </w:rPr>
        <w:t>captured</w:t>
      </w:r>
      <w:r w:rsidR="00881FD1" w:rsidRPr="000F6431">
        <w:rPr>
          <w:rFonts w:ascii="Times New Roman" w:hAnsi="Times New Roman" w:cs="Times New Roman"/>
          <w:color w:val="000000"/>
          <w:sz w:val="24"/>
          <w:szCs w:val="24"/>
        </w:rPr>
        <w:t xml:space="preserve"> </w:t>
      </w:r>
      <w:r w:rsidR="008B3405" w:rsidRPr="000F6431">
        <w:rPr>
          <w:rFonts w:ascii="Times New Roman" w:hAnsi="Times New Roman" w:cs="Times New Roman"/>
          <w:color w:val="000000"/>
          <w:sz w:val="24"/>
          <w:szCs w:val="24"/>
        </w:rPr>
        <w:t>in SEA practice.</w:t>
      </w:r>
    </w:p>
    <w:p w:rsidR="001C468A" w:rsidRPr="000F6431" w:rsidRDefault="00FD67A9" w:rsidP="006E0B9E">
      <w:pPr>
        <w:pStyle w:val="Normaltext"/>
      </w:pPr>
      <w:r w:rsidRPr="000F6431">
        <w:t xml:space="preserve">One of the key recommendations to emerge </w:t>
      </w:r>
      <w:r w:rsidR="003037CF" w:rsidRPr="000F6431">
        <w:t xml:space="preserve">therefore </w:t>
      </w:r>
      <w:r w:rsidRPr="000F6431">
        <w:t>is that</w:t>
      </w:r>
      <w:r w:rsidR="003D67AF" w:rsidRPr="000F6431">
        <w:t xml:space="preserve"> -</w:t>
      </w:r>
      <w:r w:rsidRPr="000F6431">
        <w:t xml:space="preserve"> whilst there is some  legislative, regulatory and structural support for appraisals at both national and EU to promote the consideration of health through appraisal </w:t>
      </w:r>
      <w:r w:rsidR="003D67AF" w:rsidRPr="000F6431">
        <w:t>-</w:t>
      </w:r>
      <w:r w:rsidRPr="000F6431">
        <w:t xml:space="preserve"> more could be done to ensure </w:t>
      </w:r>
      <w:r w:rsidRPr="000F6431">
        <w:lastRenderedPageBreak/>
        <w:t xml:space="preserve">health impacts </w:t>
      </w:r>
      <w:r w:rsidR="001C468A" w:rsidRPr="000F6431">
        <w:t xml:space="preserve">are more explicitly considered through either </w:t>
      </w:r>
      <w:r w:rsidRPr="000F6431">
        <w:t>statutory HIA requirements, more explicit guidance on the inclusion of health into existing statut</w:t>
      </w:r>
      <w:r w:rsidR="001C468A" w:rsidRPr="000F6431">
        <w:t xml:space="preserve">ory appraisals or development of a </w:t>
      </w:r>
      <w:r w:rsidRPr="000F6431">
        <w:t>mor</w:t>
      </w:r>
      <w:r w:rsidR="001C468A" w:rsidRPr="000F6431">
        <w:t>e holistic integrated appraisal</w:t>
      </w:r>
      <w:r w:rsidRPr="000F6431">
        <w:t xml:space="preserve">. </w:t>
      </w:r>
    </w:p>
    <w:p w:rsidR="00D60309" w:rsidRPr="000F6431" w:rsidRDefault="00D60309" w:rsidP="006E0B9E">
      <w:pPr>
        <w:pStyle w:val="Normaltext"/>
      </w:pPr>
    </w:p>
    <w:p w:rsidR="001C468A" w:rsidRPr="000F6431" w:rsidRDefault="00B83798" w:rsidP="001C468A">
      <w:pPr>
        <w:spacing w:line="480" w:lineRule="auto"/>
        <w:rPr>
          <w:rFonts w:ascii="Times New Roman" w:hAnsi="Times New Roman" w:cs="Times New Roman"/>
          <w:sz w:val="24"/>
          <w:szCs w:val="24"/>
        </w:rPr>
      </w:pPr>
      <w:r w:rsidRPr="000F6431">
        <w:rPr>
          <w:rFonts w:ascii="Times New Roman" w:eastAsia="Times New Roman" w:hAnsi="Times New Roman" w:cs="Times New Roman"/>
          <w:sz w:val="24"/>
          <w:szCs w:val="24"/>
          <w:lang w:eastAsia="en-GB"/>
        </w:rPr>
        <w:t>Finally, w</w:t>
      </w:r>
      <w:r w:rsidR="00FD67A9" w:rsidRPr="000F6431">
        <w:rPr>
          <w:rFonts w:ascii="Times New Roman" w:eastAsia="Times New Roman" w:hAnsi="Times New Roman" w:cs="Times New Roman"/>
          <w:sz w:val="24"/>
          <w:szCs w:val="24"/>
          <w:lang w:eastAsia="en-GB"/>
        </w:rPr>
        <w:t>e need to be mindful that appraisal processes</w:t>
      </w:r>
      <w:r w:rsidR="00D55592" w:rsidRPr="000F6431">
        <w:rPr>
          <w:rFonts w:ascii="Times New Roman" w:eastAsia="Times New Roman" w:hAnsi="Times New Roman" w:cs="Times New Roman"/>
          <w:sz w:val="24"/>
          <w:szCs w:val="24"/>
          <w:lang w:eastAsia="en-GB"/>
        </w:rPr>
        <w:t xml:space="preserve">, while an important aspect, represent </w:t>
      </w:r>
      <w:r w:rsidR="00D55592" w:rsidRPr="000F6431">
        <w:rPr>
          <w:rFonts w:ascii="Times New Roman" w:hAnsi="Times New Roman" w:cs="Times New Roman"/>
          <w:sz w:val="24"/>
          <w:szCs w:val="24"/>
        </w:rPr>
        <w:t>only one part of the planning process</w:t>
      </w:r>
      <w:r w:rsidR="00D55592" w:rsidRPr="000F6431">
        <w:rPr>
          <w:rFonts w:ascii="Times New Roman" w:eastAsia="Times New Roman" w:hAnsi="Times New Roman" w:cs="Times New Roman"/>
          <w:sz w:val="24"/>
          <w:szCs w:val="24"/>
          <w:lang w:eastAsia="en-GB"/>
        </w:rPr>
        <w:t xml:space="preserve"> and therefore </w:t>
      </w:r>
      <w:r w:rsidR="00FD67A9" w:rsidRPr="000F6431">
        <w:rPr>
          <w:rFonts w:ascii="Times New Roman" w:eastAsia="Times New Roman" w:hAnsi="Times New Roman" w:cs="Times New Roman"/>
          <w:sz w:val="24"/>
          <w:szCs w:val="24"/>
          <w:lang w:eastAsia="en-GB"/>
        </w:rPr>
        <w:t xml:space="preserve">are </w:t>
      </w:r>
      <w:r w:rsidR="00D55592" w:rsidRPr="000F6431">
        <w:rPr>
          <w:rFonts w:ascii="Times New Roman" w:eastAsia="Times New Roman" w:hAnsi="Times New Roman" w:cs="Times New Roman"/>
          <w:sz w:val="24"/>
          <w:szCs w:val="24"/>
          <w:lang w:eastAsia="en-GB"/>
        </w:rPr>
        <w:t xml:space="preserve">not the </w:t>
      </w:r>
      <w:r w:rsidR="00FD67A9" w:rsidRPr="000F6431">
        <w:rPr>
          <w:rFonts w:ascii="Times New Roman" w:eastAsia="Times New Roman" w:hAnsi="Times New Roman" w:cs="Times New Roman"/>
          <w:sz w:val="24"/>
          <w:szCs w:val="24"/>
          <w:lang w:eastAsia="en-GB"/>
        </w:rPr>
        <w:t>only one way of integrating health concerns into planning. T</w:t>
      </w:r>
      <w:r w:rsidR="00FD67A9" w:rsidRPr="000F6431">
        <w:rPr>
          <w:rFonts w:ascii="Times New Roman" w:hAnsi="Times New Roman" w:cs="Times New Roman"/>
          <w:sz w:val="24"/>
          <w:szCs w:val="24"/>
        </w:rPr>
        <w:t xml:space="preserve">he main question remaining for policy-makers is to consider the most cost effective way to integrate health into planning; not only through appraisal mechanisms, but also by directly </w:t>
      </w:r>
      <w:r w:rsidR="001C468A" w:rsidRPr="000F6431">
        <w:rPr>
          <w:rFonts w:ascii="Times New Roman" w:hAnsi="Times New Roman" w:cs="Times New Roman"/>
          <w:sz w:val="24"/>
          <w:szCs w:val="24"/>
        </w:rPr>
        <w:t xml:space="preserve">by </w:t>
      </w:r>
      <w:r w:rsidR="00FD67A9" w:rsidRPr="000F6431">
        <w:rPr>
          <w:rFonts w:ascii="Times New Roman" w:hAnsi="Times New Roman" w:cs="Times New Roman"/>
          <w:sz w:val="24"/>
          <w:szCs w:val="24"/>
        </w:rPr>
        <w:t xml:space="preserve">imposing new requirements on </w:t>
      </w:r>
      <w:r w:rsidR="001C468A" w:rsidRPr="000F6431">
        <w:rPr>
          <w:rFonts w:ascii="Times New Roman" w:hAnsi="Times New Roman" w:cs="Times New Roman"/>
          <w:sz w:val="24"/>
          <w:szCs w:val="24"/>
        </w:rPr>
        <w:t xml:space="preserve">planning authorities </w:t>
      </w:r>
      <w:r w:rsidR="00147C02" w:rsidRPr="000F6431">
        <w:rPr>
          <w:rFonts w:ascii="Times New Roman" w:hAnsi="Times New Roman" w:cs="Times New Roman"/>
          <w:sz w:val="24"/>
          <w:szCs w:val="24"/>
        </w:rPr>
        <w:t>through for instance policy, funding, institutional mechanisms</w:t>
      </w:r>
      <w:r w:rsidR="00B44BD5" w:rsidRPr="000F6431">
        <w:rPr>
          <w:rFonts w:ascii="Times New Roman" w:hAnsi="Times New Roman" w:cs="Times New Roman"/>
          <w:sz w:val="24"/>
          <w:szCs w:val="24"/>
        </w:rPr>
        <w:t xml:space="preserve">, </w:t>
      </w:r>
      <w:r w:rsidR="00147C02" w:rsidRPr="000F6431">
        <w:rPr>
          <w:rFonts w:ascii="Times New Roman" w:hAnsi="Times New Roman" w:cs="Times New Roman"/>
          <w:sz w:val="24"/>
          <w:szCs w:val="24"/>
        </w:rPr>
        <w:t xml:space="preserve"> </w:t>
      </w:r>
      <w:r w:rsidR="00B44BD5" w:rsidRPr="000F6431">
        <w:rPr>
          <w:rFonts w:ascii="Times New Roman" w:hAnsi="Times New Roman" w:cs="Times New Roman"/>
          <w:sz w:val="24"/>
          <w:szCs w:val="24"/>
        </w:rPr>
        <w:t xml:space="preserve">by directly integrating health considerations into strategic plans or/and development planning, </w:t>
      </w:r>
      <w:r w:rsidR="001C468A" w:rsidRPr="000F6431">
        <w:rPr>
          <w:rFonts w:ascii="Times New Roman" w:hAnsi="Times New Roman" w:cs="Times New Roman"/>
          <w:sz w:val="24"/>
          <w:szCs w:val="24"/>
        </w:rPr>
        <w:t xml:space="preserve">and </w:t>
      </w:r>
      <w:r w:rsidR="00B44BD5" w:rsidRPr="000F6431">
        <w:rPr>
          <w:rFonts w:ascii="Times New Roman" w:hAnsi="Times New Roman" w:cs="Times New Roman"/>
          <w:sz w:val="24"/>
          <w:szCs w:val="24"/>
        </w:rPr>
        <w:t xml:space="preserve">on </w:t>
      </w:r>
      <w:r w:rsidR="00FD67A9" w:rsidRPr="000F6431">
        <w:rPr>
          <w:rFonts w:ascii="Times New Roman" w:hAnsi="Times New Roman" w:cs="Times New Roman"/>
          <w:sz w:val="24"/>
          <w:szCs w:val="24"/>
        </w:rPr>
        <w:t>developers</w:t>
      </w:r>
      <w:r w:rsidR="00147C02" w:rsidRPr="000F6431">
        <w:rPr>
          <w:rFonts w:ascii="Times New Roman" w:hAnsi="Times New Roman" w:cs="Times New Roman"/>
          <w:sz w:val="24"/>
          <w:szCs w:val="24"/>
        </w:rPr>
        <w:t xml:space="preserve"> through </w:t>
      </w:r>
      <w:r w:rsidR="00FD67A9" w:rsidRPr="000F6431">
        <w:rPr>
          <w:rFonts w:ascii="Times New Roman" w:hAnsi="Times New Roman" w:cs="Times New Roman"/>
          <w:sz w:val="24"/>
          <w:szCs w:val="24"/>
        </w:rPr>
        <w:t>quality and design criteria set within a strict monitoring process</w:t>
      </w:r>
      <w:r w:rsidR="001C468A" w:rsidRPr="000F6431">
        <w:rPr>
          <w:rFonts w:ascii="Times New Roman" w:hAnsi="Times New Roman" w:cs="Times New Roman"/>
          <w:sz w:val="24"/>
          <w:szCs w:val="24"/>
        </w:rPr>
        <w:t>.</w:t>
      </w:r>
    </w:p>
    <w:p w:rsidR="001C468A" w:rsidRPr="000F6431" w:rsidRDefault="001C468A" w:rsidP="001C468A">
      <w:pPr>
        <w:spacing w:line="480" w:lineRule="auto"/>
        <w:rPr>
          <w:rFonts w:ascii="Times New Roman" w:hAnsi="Times New Roman" w:cs="Times New Roman"/>
          <w:sz w:val="24"/>
          <w:szCs w:val="24"/>
        </w:rPr>
      </w:pPr>
    </w:p>
    <w:p w:rsidR="00B6519F" w:rsidRPr="000F6431" w:rsidRDefault="00B6519F" w:rsidP="001C468A">
      <w:pPr>
        <w:spacing w:line="480" w:lineRule="auto"/>
        <w:rPr>
          <w:rFonts w:ascii="Times New Roman" w:eastAsia="Times New Roman" w:hAnsi="Times New Roman" w:cs="Times New Roman"/>
          <w:color w:val="000000"/>
          <w:sz w:val="24"/>
          <w:szCs w:val="24"/>
        </w:rPr>
      </w:pPr>
      <w:r w:rsidRPr="000F6431">
        <w:rPr>
          <w:rFonts w:ascii="Times New Roman" w:hAnsi="Times New Roman" w:cs="Times New Roman"/>
          <w:b/>
          <w:sz w:val="24"/>
          <w:szCs w:val="24"/>
        </w:rPr>
        <w:t>Acknowledgements:</w:t>
      </w:r>
      <w:r w:rsidRPr="000F6431">
        <w:rPr>
          <w:rFonts w:ascii="Times New Roman" w:hAnsi="Times New Roman" w:cs="Times New Roman"/>
          <w:sz w:val="24"/>
          <w:szCs w:val="24"/>
        </w:rPr>
        <w:t xml:space="preserve"> </w:t>
      </w:r>
      <w:r w:rsidRPr="000F6431">
        <w:rPr>
          <w:rFonts w:ascii="Times New Roman" w:hAnsi="Times New Roman" w:cs="Times New Roman"/>
          <w:color w:val="231F20"/>
          <w:sz w:val="24"/>
          <w:szCs w:val="24"/>
        </w:rPr>
        <w:t xml:space="preserve">the basis for this paper are three reports which have been prepared for the </w:t>
      </w:r>
      <w:r w:rsidR="00002E51" w:rsidRPr="000F6431">
        <w:rPr>
          <w:rFonts w:ascii="Times New Roman" w:hAnsi="Times New Roman" w:cs="Times New Roman"/>
          <w:color w:val="231F20"/>
          <w:sz w:val="24"/>
          <w:szCs w:val="24"/>
        </w:rPr>
        <w:t xml:space="preserve">(removed for anonymity) </w:t>
      </w:r>
      <w:r w:rsidRPr="000F6431">
        <w:rPr>
          <w:rFonts w:ascii="Times New Roman" w:hAnsi="Times New Roman" w:cs="Times New Roman"/>
          <w:color w:val="231F20"/>
          <w:sz w:val="24"/>
          <w:szCs w:val="24"/>
        </w:rPr>
        <w:t xml:space="preserve">between November 2009 and July 2010, as part of a two year collaborative project between </w:t>
      </w:r>
      <w:r w:rsidR="00002E51" w:rsidRPr="000F6431">
        <w:rPr>
          <w:rFonts w:ascii="Times New Roman" w:hAnsi="Times New Roman" w:cs="Times New Roman"/>
          <w:color w:val="231F20"/>
          <w:sz w:val="24"/>
          <w:szCs w:val="24"/>
        </w:rPr>
        <w:t xml:space="preserve">(removed for anonymity) </w:t>
      </w:r>
      <w:r w:rsidRPr="000F6431">
        <w:rPr>
          <w:rFonts w:ascii="Times New Roman" w:hAnsi="Times New Roman" w:cs="Times New Roman"/>
          <w:color w:val="231F20"/>
          <w:sz w:val="24"/>
          <w:szCs w:val="24"/>
        </w:rPr>
        <w:t xml:space="preserve">which began in October 2009. </w:t>
      </w:r>
    </w:p>
    <w:p w:rsidR="00AA6FF5" w:rsidRPr="000F6431" w:rsidRDefault="00AA6FF5" w:rsidP="00D80296">
      <w:pPr>
        <w:spacing w:line="480" w:lineRule="auto"/>
        <w:rPr>
          <w:rFonts w:ascii="Times New Roman" w:hAnsi="Times New Roman" w:cs="Times New Roman"/>
          <w:sz w:val="24"/>
          <w:szCs w:val="24"/>
        </w:rPr>
      </w:pPr>
    </w:p>
    <w:p w:rsidR="00B6519F" w:rsidRPr="000F6431" w:rsidRDefault="00B6519F" w:rsidP="00D80296">
      <w:pPr>
        <w:spacing w:line="480" w:lineRule="auto"/>
        <w:rPr>
          <w:rFonts w:ascii="Times New Roman" w:hAnsi="Times New Roman" w:cs="Times New Roman"/>
          <w:sz w:val="24"/>
          <w:szCs w:val="24"/>
        </w:rPr>
      </w:pPr>
    </w:p>
    <w:p w:rsidR="003F774C" w:rsidRPr="000F6431" w:rsidRDefault="00DA6859" w:rsidP="00D80296">
      <w:pPr>
        <w:spacing w:line="480" w:lineRule="auto"/>
        <w:rPr>
          <w:rFonts w:ascii="Times New Roman" w:hAnsi="Times New Roman" w:cs="Times New Roman"/>
          <w:b/>
          <w:sz w:val="24"/>
          <w:szCs w:val="24"/>
        </w:rPr>
      </w:pPr>
      <w:r w:rsidRPr="000F6431">
        <w:rPr>
          <w:rFonts w:ascii="Times New Roman" w:hAnsi="Times New Roman" w:cs="Times New Roman"/>
          <w:b/>
          <w:sz w:val="24"/>
          <w:szCs w:val="24"/>
        </w:rPr>
        <w:t>References:</w:t>
      </w:r>
    </w:p>
    <w:p w:rsidR="003F774C" w:rsidRPr="000F6431" w:rsidRDefault="00C23F67"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lastRenderedPageBreak/>
        <w:t xml:space="preserve">Ahmad B, Chappel D, </w:t>
      </w:r>
      <w:r w:rsidR="003F774C" w:rsidRPr="000F6431">
        <w:rPr>
          <w:rFonts w:ascii="Times New Roman" w:hAnsi="Times New Roman" w:cs="Times New Roman"/>
          <w:sz w:val="24"/>
          <w:szCs w:val="24"/>
        </w:rPr>
        <w:t xml:space="preserve"> </w:t>
      </w:r>
      <w:r w:rsidRPr="000F6431">
        <w:rPr>
          <w:rFonts w:ascii="Times New Roman" w:hAnsi="Times New Roman" w:cs="Times New Roman"/>
          <w:sz w:val="24"/>
          <w:szCs w:val="24"/>
        </w:rPr>
        <w:t xml:space="preserve">Pless-Mulloli T, White M. </w:t>
      </w:r>
      <w:r w:rsidR="003F774C" w:rsidRPr="000F6431">
        <w:rPr>
          <w:rFonts w:ascii="Times New Roman" w:hAnsi="Times New Roman" w:cs="Times New Roman"/>
          <w:sz w:val="24"/>
          <w:szCs w:val="24"/>
        </w:rPr>
        <w:t>Enabling factors and barriers for the use of health impact assessment. Public Health</w:t>
      </w:r>
      <w:r w:rsidRPr="000F6431">
        <w:rPr>
          <w:rFonts w:ascii="Times New Roman" w:hAnsi="Times New Roman" w:cs="Times New Roman"/>
          <w:sz w:val="24"/>
          <w:szCs w:val="24"/>
        </w:rPr>
        <w:t xml:space="preserve"> 2008</w:t>
      </w:r>
      <w:r w:rsidR="003F774C" w:rsidRPr="000F6431">
        <w:rPr>
          <w:rFonts w:ascii="Times New Roman" w:hAnsi="Times New Roman" w:cs="Times New Roman"/>
          <w:sz w:val="24"/>
          <w:szCs w:val="24"/>
        </w:rPr>
        <w:t>; 122(5): 452-457.</w:t>
      </w:r>
    </w:p>
    <w:p w:rsidR="00C16195" w:rsidRPr="000F6431" w:rsidRDefault="00C16195"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Arquiaga, M.C., Canter, L</w:t>
      </w:r>
      <w:r w:rsidR="00A51C78" w:rsidRPr="000F6431">
        <w:rPr>
          <w:rFonts w:ascii="Times New Roman" w:hAnsi="Times New Roman" w:cs="Times New Roman"/>
          <w:sz w:val="24"/>
          <w:szCs w:val="24"/>
        </w:rPr>
        <w:t>. W., Nelson, D. I.</w:t>
      </w:r>
      <w:r w:rsidRPr="000F6431">
        <w:rPr>
          <w:rFonts w:ascii="Times New Roman" w:hAnsi="Times New Roman" w:cs="Times New Roman"/>
          <w:sz w:val="24"/>
          <w:szCs w:val="24"/>
        </w:rPr>
        <w:t xml:space="preserve"> </w:t>
      </w:r>
      <w:r w:rsidR="00A51C78" w:rsidRPr="000F6431">
        <w:rPr>
          <w:rFonts w:ascii="Times New Roman" w:hAnsi="Times New Roman" w:cs="Times New Roman"/>
          <w:sz w:val="24"/>
          <w:szCs w:val="24"/>
        </w:rPr>
        <w:t>I</w:t>
      </w:r>
      <w:r w:rsidRPr="000F6431">
        <w:rPr>
          <w:rFonts w:ascii="Times New Roman" w:hAnsi="Times New Roman" w:cs="Times New Roman"/>
          <w:sz w:val="24"/>
          <w:szCs w:val="24"/>
        </w:rPr>
        <w:t>nt</w:t>
      </w:r>
      <w:r w:rsidR="00A51C78" w:rsidRPr="000F6431">
        <w:rPr>
          <w:rFonts w:ascii="Times New Roman" w:hAnsi="Times New Roman" w:cs="Times New Roman"/>
          <w:sz w:val="24"/>
          <w:szCs w:val="24"/>
        </w:rPr>
        <w:t>egration of</w:t>
      </w:r>
      <w:r w:rsidRPr="000F6431">
        <w:rPr>
          <w:rFonts w:ascii="Times New Roman" w:hAnsi="Times New Roman" w:cs="Times New Roman"/>
          <w:sz w:val="24"/>
          <w:szCs w:val="24"/>
        </w:rPr>
        <w:t xml:space="preserve"> health impact considerations in environmental impact studies. Impact Assessment and Project Appraisal Journal 1994; 12: 175-197.</w:t>
      </w:r>
    </w:p>
    <w:p w:rsidR="00EC4B63" w:rsidRPr="000F6431" w:rsidRDefault="00C23F67"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Barton H, Tsourou C. Healthy urban planning. </w:t>
      </w:r>
      <w:r w:rsidR="00EC4B63" w:rsidRPr="000F6431">
        <w:rPr>
          <w:rFonts w:ascii="Times New Roman" w:hAnsi="Times New Roman" w:cs="Times New Roman"/>
          <w:sz w:val="24"/>
          <w:szCs w:val="24"/>
        </w:rPr>
        <w:t xml:space="preserve">WHO, </w:t>
      </w:r>
      <w:r w:rsidRPr="000F6431">
        <w:rPr>
          <w:rFonts w:ascii="Times New Roman" w:hAnsi="Times New Roman" w:cs="Times New Roman"/>
          <w:sz w:val="24"/>
          <w:szCs w:val="24"/>
        </w:rPr>
        <w:t>London: Spon Press, p. 7-9, 2000.</w:t>
      </w:r>
    </w:p>
    <w:p w:rsidR="003F774C" w:rsidRPr="000F6431" w:rsidRDefault="00C23F67"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Bekker M, Putters K, van der Grinten T</w:t>
      </w:r>
      <w:r w:rsidR="003F774C" w:rsidRPr="000F6431">
        <w:rPr>
          <w:rFonts w:ascii="Times New Roman" w:hAnsi="Times New Roman" w:cs="Times New Roman"/>
          <w:sz w:val="24"/>
          <w:szCs w:val="24"/>
        </w:rPr>
        <w:t xml:space="preserve"> (2005). Evaluating the impact of HIA on urban reconstruction decision-making. Who manages whose risks</w:t>
      </w:r>
      <w:r w:rsidR="003F774C" w:rsidRPr="000F6431">
        <w:rPr>
          <w:rFonts w:ascii="Times New Roman" w:hAnsi="Times New Roman" w:cs="Times New Roman"/>
          <w:i/>
          <w:sz w:val="24"/>
          <w:szCs w:val="24"/>
        </w:rPr>
        <w:t>?</w:t>
      </w:r>
      <w:r w:rsidR="003F774C" w:rsidRPr="000F6431">
        <w:rPr>
          <w:rFonts w:ascii="Times New Roman" w:hAnsi="Times New Roman" w:cs="Times New Roman"/>
          <w:sz w:val="24"/>
          <w:szCs w:val="24"/>
        </w:rPr>
        <w:t xml:space="preserve"> E</w:t>
      </w:r>
      <w:r w:rsidRPr="000F6431">
        <w:rPr>
          <w:rFonts w:ascii="Times New Roman" w:hAnsi="Times New Roman" w:cs="Times New Roman"/>
          <w:sz w:val="24"/>
          <w:szCs w:val="24"/>
        </w:rPr>
        <w:t xml:space="preserve">nviron </w:t>
      </w:r>
      <w:r w:rsidR="003F774C" w:rsidRPr="000F6431">
        <w:rPr>
          <w:rFonts w:ascii="Times New Roman" w:hAnsi="Times New Roman" w:cs="Times New Roman"/>
          <w:sz w:val="24"/>
          <w:szCs w:val="24"/>
        </w:rPr>
        <w:t>I</w:t>
      </w:r>
      <w:r w:rsidRPr="000F6431">
        <w:rPr>
          <w:rFonts w:ascii="Times New Roman" w:hAnsi="Times New Roman" w:cs="Times New Roman"/>
          <w:sz w:val="24"/>
          <w:szCs w:val="24"/>
        </w:rPr>
        <w:t xml:space="preserve">mpact </w:t>
      </w:r>
      <w:r w:rsidR="003F774C" w:rsidRPr="000F6431">
        <w:rPr>
          <w:rFonts w:ascii="Times New Roman" w:hAnsi="Times New Roman" w:cs="Times New Roman"/>
          <w:sz w:val="24"/>
          <w:szCs w:val="24"/>
        </w:rPr>
        <w:t>A</w:t>
      </w:r>
      <w:r w:rsidRPr="000F6431">
        <w:rPr>
          <w:rFonts w:ascii="Times New Roman" w:hAnsi="Times New Roman" w:cs="Times New Roman"/>
          <w:sz w:val="24"/>
          <w:szCs w:val="24"/>
        </w:rPr>
        <w:t xml:space="preserve">sess </w:t>
      </w:r>
      <w:r w:rsidR="003F774C" w:rsidRPr="000F6431">
        <w:rPr>
          <w:rFonts w:ascii="Times New Roman" w:hAnsi="Times New Roman" w:cs="Times New Roman"/>
          <w:sz w:val="24"/>
          <w:szCs w:val="24"/>
        </w:rPr>
        <w:t xml:space="preserve"> Review</w:t>
      </w:r>
      <w:r w:rsidRPr="000F6431">
        <w:rPr>
          <w:rFonts w:ascii="Times New Roman" w:hAnsi="Times New Roman" w:cs="Times New Roman"/>
          <w:sz w:val="24"/>
          <w:szCs w:val="24"/>
        </w:rPr>
        <w:t xml:space="preserve"> 2005; 25:758-771. </w:t>
      </w:r>
    </w:p>
    <w:p w:rsidR="003F774C" w:rsidRPr="000F6431" w:rsidRDefault="00C23F67" w:rsidP="00A44105">
      <w:pPr>
        <w:spacing w:line="480" w:lineRule="auto"/>
        <w:jc w:val="both"/>
        <w:rPr>
          <w:rFonts w:ascii="Times New Roman" w:hAnsi="Times New Roman" w:cs="Times New Roman"/>
          <w:sz w:val="24"/>
          <w:szCs w:val="24"/>
          <w:lang w:eastAsia="en-GB"/>
        </w:rPr>
      </w:pPr>
      <w:r w:rsidRPr="000F6431">
        <w:rPr>
          <w:rFonts w:ascii="Times New Roman" w:hAnsi="Times New Roman" w:cs="Times New Roman"/>
          <w:sz w:val="24"/>
          <w:szCs w:val="24"/>
        </w:rPr>
        <w:t>Bendel N, Owen-Smith</w:t>
      </w:r>
      <w:r w:rsidR="0007059D" w:rsidRPr="000F6431">
        <w:rPr>
          <w:rFonts w:ascii="Times New Roman" w:hAnsi="Times New Roman" w:cs="Times New Roman"/>
          <w:sz w:val="24"/>
          <w:szCs w:val="24"/>
        </w:rPr>
        <w:t xml:space="preserve"> V</w:t>
      </w:r>
      <w:r w:rsidR="003F774C" w:rsidRPr="000F6431">
        <w:rPr>
          <w:rFonts w:ascii="Times New Roman" w:hAnsi="Times New Roman" w:cs="Times New Roman"/>
          <w:sz w:val="24"/>
          <w:szCs w:val="24"/>
        </w:rPr>
        <w:t xml:space="preserve">. A prospective health impact review of the redevelopment of Central Manchester Hospitals. </w:t>
      </w:r>
      <w:r w:rsidRPr="000F6431">
        <w:rPr>
          <w:rFonts w:ascii="Times New Roman" w:hAnsi="Times New Roman" w:cs="Times New Roman"/>
          <w:sz w:val="24"/>
          <w:szCs w:val="24"/>
        </w:rPr>
        <w:t>Environ Impact A</w:t>
      </w:r>
      <w:r w:rsidR="00F95435" w:rsidRPr="000F6431">
        <w:rPr>
          <w:rFonts w:ascii="Times New Roman" w:hAnsi="Times New Roman" w:cs="Times New Roman"/>
          <w:sz w:val="24"/>
          <w:szCs w:val="24"/>
        </w:rPr>
        <w:t>s</w:t>
      </w:r>
      <w:r w:rsidRPr="000F6431">
        <w:rPr>
          <w:rFonts w:ascii="Times New Roman" w:hAnsi="Times New Roman" w:cs="Times New Roman"/>
          <w:sz w:val="24"/>
          <w:szCs w:val="24"/>
        </w:rPr>
        <w:t xml:space="preserve">sess  Review </w:t>
      </w:r>
      <w:r w:rsidR="00F95435" w:rsidRPr="000F6431">
        <w:rPr>
          <w:rFonts w:ascii="Times New Roman" w:hAnsi="Times New Roman" w:cs="Times New Roman"/>
          <w:sz w:val="24"/>
          <w:szCs w:val="24"/>
        </w:rPr>
        <w:t>2005; 25:</w:t>
      </w:r>
      <w:r w:rsidR="003F774C" w:rsidRPr="000F6431">
        <w:rPr>
          <w:rFonts w:ascii="Times New Roman" w:hAnsi="Times New Roman" w:cs="Times New Roman"/>
          <w:sz w:val="24"/>
          <w:szCs w:val="24"/>
        </w:rPr>
        <w:t xml:space="preserve"> 783-790. </w:t>
      </w:r>
    </w:p>
    <w:p w:rsidR="003F774C" w:rsidRPr="000F6431" w:rsidRDefault="00C23F67"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Bhatia R, Wernham A. Integrating h</w:t>
      </w:r>
      <w:r w:rsidR="00AA2ABA" w:rsidRPr="000F6431">
        <w:rPr>
          <w:rFonts w:ascii="Times New Roman" w:hAnsi="Times New Roman" w:cs="Times New Roman"/>
          <w:sz w:val="24"/>
          <w:szCs w:val="24"/>
        </w:rPr>
        <w:t>uman health into environmental impact a</w:t>
      </w:r>
      <w:r w:rsidR="003F774C" w:rsidRPr="000F6431">
        <w:rPr>
          <w:rFonts w:ascii="Times New Roman" w:hAnsi="Times New Roman" w:cs="Times New Roman"/>
          <w:sz w:val="24"/>
          <w:szCs w:val="24"/>
        </w:rPr>
        <w:t xml:space="preserve">ssessment: an unrealised opportunity for environmental health &amp; justice. Environmental </w:t>
      </w:r>
      <w:r w:rsidR="00AA2ABA" w:rsidRPr="000F6431">
        <w:rPr>
          <w:rFonts w:ascii="Times New Roman" w:hAnsi="Times New Roman" w:cs="Times New Roman"/>
          <w:sz w:val="24"/>
          <w:szCs w:val="24"/>
        </w:rPr>
        <w:t>Health Perspectives</w:t>
      </w:r>
      <w:r w:rsidR="00D117F1" w:rsidRPr="000F6431">
        <w:rPr>
          <w:rFonts w:ascii="Times New Roman" w:hAnsi="Times New Roman" w:cs="Times New Roman"/>
          <w:sz w:val="24"/>
          <w:szCs w:val="24"/>
        </w:rPr>
        <w:t xml:space="preserve"> </w:t>
      </w:r>
      <w:r w:rsidR="00AA2ABA" w:rsidRPr="000F6431">
        <w:rPr>
          <w:rFonts w:ascii="Times New Roman" w:hAnsi="Times New Roman" w:cs="Times New Roman"/>
          <w:sz w:val="24"/>
          <w:szCs w:val="24"/>
        </w:rPr>
        <w:t>2008;</w:t>
      </w:r>
      <w:r w:rsidR="00D117F1" w:rsidRPr="000F6431">
        <w:rPr>
          <w:rFonts w:ascii="Times New Roman" w:hAnsi="Times New Roman" w:cs="Times New Roman"/>
          <w:sz w:val="24"/>
          <w:szCs w:val="24"/>
        </w:rPr>
        <w:t xml:space="preserve"> 116:</w:t>
      </w:r>
      <w:r w:rsidR="003F774C" w:rsidRPr="000F6431">
        <w:rPr>
          <w:rFonts w:ascii="Times New Roman" w:hAnsi="Times New Roman" w:cs="Times New Roman"/>
          <w:sz w:val="24"/>
          <w:szCs w:val="24"/>
        </w:rPr>
        <w:t xml:space="preserve"> 991-1000 </w:t>
      </w:r>
    </w:p>
    <w:p w:rsidR="003F774C" w:rsidRPr="000F6431" w:rsidRDefault="00A46A4D" w:rsidP="00A44105">
      <w:pPr>
        <w:autoSpaceDE w:val="0"/>
        <w:autoSpaceDN w:val="0"/>
        <w:adjustRightInd w:val="0"/>
        <w:spacing w:line="480" w:lineRule="auto"/>
        <w:rPr>
          <w:rFonts w:ascii="Times New Roman" w:hAnsi="Times New Roman" w:cs="Times New Roman"/>
          <w:sz w:val="24"/>
          <w:szCs w:val="24"/>
        </w:rPr>
      </w:pPr>
      <w:r w:rsidRPr="000F6431">
        <w:rPr>
          <w:rFonts w:ascii="Times New Roman" w:hAnsi="Times New Roman" w:cs="Times New Roman"/>
          <w:sz w:val="24"/>
          <w:szCs w:val="24"/>
        </w:rPr>
        <w:t>Blau G, Mahoney</w:t>
      </w:r>
      <w:r w:rsidR="00AA2ABA" w:rsidRPr="000F6431">
        <w:rPr>
          <w:rFonts w:ascii="Times New Roman" w:hAnsi="Times New Roman" w:cs="Times New Roman"/>
          <w:sz w:val="24"/>
          <w:szCs w:val="24"/>
        </w:rPr>
        <w:t xml:space="preserve"> M. The Positioning of health impact assessment in local g</w:t>
      </w:r>
      <w:r w:rsidR="003F774C" w:rsidRPr="000F6431">
        <w:rPr>
          <w:rFonts w:ascii="Times New Roman" w:hAnsi="Times New Roman" w:cs="Times New Roman"/>
          <w:sz w:val="24"/>
          <w:szCs w:val="24"/>
        </w:rPr>
        <w:t>overnment in Victoria. Faculty of Health and Behaviou</w:t>
      </w:r>
      <w:r w:rsidR="00AA2ABA" w:rsidRPr="000F6431">
        <w:rPr>
          <w:rFonts w:ascii="Times New Roman" w:hAnsi="Times New Roman" w:cs="Times New Roman"/>
          <w:sz w:val="24"/>
          <w:szCs w:val="24"/>
        </w:rPr>
        <w:t>ral Sciences, Deakin University, 2005.</w:t>
      </w:r>
    </w:p>
    <w:p w:rsidR="0051370B" w:rsidRPr="000F6431" w:rsidRDefault="0051370B" w:rsidP="00A44105">
      <w:pPr>
        <w:autoSpaceDE w:val="0"/>
        <w:autoSpaceDN w:val="0"/>
        <w:adjustRightInd w:val="0"/>
        <w:spacing w:line="480" w:lineRule="auto"/>
        <w:rPr>
          <w:rFonts w:ascii="Times New Roman" w:hAnsi="Times New Roman" w:cs="Times New Roman"/>
          <w:sz w:val="24"/>
          <w:szCs w:val="24"/>
        </w:rPr>
      </w:pPr>
      <w:r w:rsidRPr="000F6431">
        <w:rPr>
          <w:rFonts w:ascii="Times New Roman" w:hAnsi="Times New Roman" w:cs="Times New Roman"/>
          <w:sz w:val="24"/>
          <w:szCs w:val="24"/>
        </w:rPr>
        <w:t>Bond A.  Lessons from EIA in J. Kemm, J. Parry and S. Palmer (eds) Health Impact Assessment, Oxford: Oxford University Press</w:t>
      </w:r>
      <w:r w:rsidR="0022749A" w:rsidRPr="000F6431">
        <w:rPr>
          <w:rFonts w:ascii="Times New Roman" w:hAnsi="Times New Roman" w:cs="Times New Roman"/>
          <w:sz w:val="24"/>
          <w:szCs w:val="24"/>
        </w:rPr>
        <w:t>, 2004.</w:t>
      </w:r>
    </w:p>
    <w:p w:rsidR="003F774C" w:rsidRPr="000F6431" w:rsidRDefault="00D117F1"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Bond R, Curran J, Kirkpatrick C, Lee N, Francis P.</w:t>
      </w:r>
      <w:r w:rsidR="003F774C" w:rsidRPr="000F6431">
        <w:rPr>
          <w:rFonts w:ascii="Times New Roman" w:hAnsi="Times New Roman" w:cs="Times New Roman"/>
          <w:sz w:val="24"/>
          <w:szCs w:val="24"/>
        </w:rPr>
        <w:t xml:space="preserve"> </w:t>
      </w:r>
      <w:r w:rsidRPr="000F6431">
        <w:rPr>
          <w:rFonts w:ascii="Times New Roman" w:hAnsi="Times New Roman" w:cs="Times New Roman"/>
          <w:sz w:val="24"/>
          <w:szCs w:val="24"/>
        </w:rPr>
        <w:t>Integrated impact assessment for sustainable d</w:t>
      </w:r>
      <w:r w:rsidR="003F774C" w:rsidRPr="000F6431">
        <w:rPr>
          <w:rFonts w:ascii="Times New Roman" w:hAnsi="Times New Roman" w:cs="Times New Roman"/>
          <w:sz w:val="24"/>
          <w:szCs w:val="24"/>
        </w:rPr>
        <w:t xml:space="preserve">evelopment: a case study approach.  </w:t>
      </w:r>
      <w:r w:rsidRPr="000F6431">
        <w:rPr>
          <w:rFonts w:ascii="Times New Roman" w:hAnsi="Times New Roman" w:cs="Times New Roman"/>
          <w:sz w:val="24"/>
          <w:szCs w:val="24"/>
        </w:rPr>
        <w:t>World Development 2001; 29(6):</w:t>
      </w:r>
      <w:r w:rsidR="003F774C" w:rsidRPr="000F6431">
        <w:rPr>
          <w:rFonts w:ascii="Times New Roman" w:hAnsi="Times New Roman" w:cs="Times New Roman"/>
          <w:sz w:val="24"/>
          <w:szCs w:val="24"/>
        </w:rPr>
        <w:t xml:space="preserve"> 1011-1024</w:t>
      </w:r>
      <w:r w:rsidR="00E41E06" w:rsidRPr="000F6431">
        <w:rPr>
          <w:rFonts w:ascii="Times New Roman" w:hAnsi="Times New Roman" w:cs="Times New Roman"/>
          <w:sz w:val="24"/>
          <w:szCs w:val="24"/>
        </w:rPr>
        <w:t>.</w:t>
      </w:r>
    </w:p>
    <w:p w:rsidR="00E41E06" w:rsidRPr="000F6431" w:rsidRDefault="00E41E06"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lastRenderedPageBreak/>
        <w:t>Br</w:t>
      </w:r>
      <w:r w:rsidR="0051370B" w:rsidRPr="000F6431">
        <w:rPr>
          <w:rFonts w:ascii="Times New Roman" w:hAnsi="Times New Roman" w:cs="Times New Roman"/>
          <w:sz w:val="24"/>
          <w:szCs w:val="24"/>
        </w:rPr>
        <w:t>itish Medical Association.</w:t>
      </w:r>
      <w:r w:rsidRPr="000F6431">
        <w:rPr>
          <w:rFonts w:ascii="Times New Roman" w:hAnsi="Times New Roman" w:cs="Times New Roman"/>
          <w:sz w:val="24"/>
          <w:szCs w:val="24"/>
        </w:rPr>
        <w:t xml:space="preserve"> Health and Environmental Impact Assessment – An integrated approach. Earthscan: London</w:t>
      </w:r>
      <w:r w:rsidR="0051370B" w:rsidRPr="000F6431">
        <w:rPr>
          <w:rFonts w:ascii="Times New Roman" w:hAnsi="Times New Roman" w:cs="Times New Roman"/>
          <w:sz w:val="24"/>
          <w:szCs w:val="24"/>
        </w:rPr>
        <w:t>, 1998.</w:t>
      </w:r>
    </w:p>
    <w:p w:rsidR="003F774C" w:rsidRPr="000F6431" w:rsidRDefault="00D117F1"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Bronson J, Noble B</w:t>
      </w:r>
      <w:r w:rsidR="003F774C" w:rsidRPr="000F6431">
        <w:rPr>
          <w:rFonts w:ascii="Times New Roman" w:hAnsi="Times New Roman" w:cs="Times New Roman"/>
          <w:sz w:val="24"/>
          <w:szCs w:val="24"/>
        </w:rPr>
        <w:t>.</w:t>
      </w:r>
      <w:r w:rsidR="003F774C" w:rsidRPr="000F6431">
        <w:rPr>
          <w:rFonts w:ascii="Times New Roman" w:hAnsi="Times New Roman" w:cs="Times New Roman"/>
          <w:b/>
          <w:i/>
          <w:sz w:val="24"/>
          <w:szCs w:val="24"/>
        </w:rPr>
        <w:t xml:space="preserve"> </w:t>
      </w:r>
      <w:r w:rsidRPr="000F6431">
        <w:rPr>
          <w:rFonts w:ascii="Times New Roman" w:hAnsi="Times New Roman" w:cs="Times New Roman"/>
          <w:sz w:val="24"/>
          <w:szCs w:val="24"/>
        </w:rPr>
        <w:t>Health d</w:t>
      </w:r>
      <w:r w:rsidR="003F774C" w:rsidRPr="000F6431">
        <w:rPr>
          <w:rFonts w:ascii="Times New Roman" w:hAnsi="Times New Roman" w:cs="Times New Roman"/>
          <w:sz w:val="24"/>
          <w:szCs w:val="24"/>
        </w:rPr>
        <w:t xml:space="preserve">eterminants in Canadian </w:t>
      </w:r>
      <w:r w:rsidRPr="000F6431">
        <w:rPr>
          <w:rFonts w:ascii="Times New Roman" w:hAnsi="Times New Roman" w:cs="Times New Roman"/>
          <w:sz w:val="24"/>
          <w:szCs w:val="24"/>
        </w:rPr>
        <w:t>Northern environmental impact a</w:t>
      </w:r>
      <w:r w:rsidR="003F774C" w:rsidRPr="000F6431">
        <w:rPr>
          <w:rFonts w:ascii="Times New Roman" w:hAnsi="Times New Roman" w:cs="Times New Roman"/>
          <w:sz w:val="24"/>
          <w:szCs w:val="24"/>
        </w:rPr>
        <w:t xml:space="preserve">ssessment. Polar Record </w:t>
      </w:r>
      <w:r w:rsidRPr="000F6431">
        <w:rPr>
          <w:rFonts w:ascii="Times New Roman" w:hAnsi="Times New Roman" w:cs="Times New Roman"/>
          <w:sz w:val="24"/>
          <w:szCs w:val="24"/>
        </w:rPr>
        <w:t xml:space="preserve">2006; </w:t>
      </w:r>
      <w:r w:rsidR="003F774C" w:rsidRPr="000F6431">
        <w:rPr>
          <w:rFonts w:ascii="Times New Roman" w:hAnsi="Times New Roman" w:cs="Times New Roman"/>
          <w:sz w:val="24"/>
          <w:szCs w:val="24"/>
        </w:rPr>
        <w:t>42 (223): 315-324.</w:t>
      </w:r>
    </w:p>
    <w:p w:rsidR="003F774C" w:rsidRPr="000F6431" w:rsidRDefault="00D117F1"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Burns J, Bond A.</w:t>
      </w:r>
      <w:r w:rsidR="003F774C" w:rsidRPr="000F6431">
        <w:rPr>
          <w:rFonts w:ascii="Times New Roman" w:hAnsi="Times New Roman" w:cs="Times New Roman"/>
          <w:sz w:val="24"/>
          <w:szCs w:val="24"/>
        </w:rPr>
        <w:t xml:space="preserve">  The consideration of health in land use planning: barriers and opportunities</w:t>
      </w:r>
      <w:r w:rsidRPr="000F6431">
        <w:rPr>
          <w:rFonts w:ascii="Times New Roman" w:hAnsi="Times New Roman" w:cs="Times New Roman"/>
          <w:sz w:val="24"/>
          <w:szCs w:val="24"/>
        </w:rPr>
        <w:t xml:space="preserve">. </w:t>
      </w:r>
      <w:r w:rsidR="00EC7ADB" w:rsidRPr="000F6431">
        <w:rPr>
          <w:rFonts w:ascii="Times New Roman" w:hAnsi="Times New Roman" w:cs="Times New Roman"/>
          <w:sz w:val="24"/>
          <w:szCs w:val="24"/>
        </w:rPr>
        <w:t>E</w:t>
      </w:r>
      <w:r w:rsidRPr="000F6431">
        <w:rPr>
          <w:rFonts w:ascii="Times New Roman" w:hAnsi="Times New Roman" w:cs="Times New Roman"/>
          <w:sz w:val="24"/>
          <w:szCs w:val="24"/>
        </w:rPr>
        <w:t xml:space="preserve">nviron </w:t>
      </w:r>
      <w:r w:rsidR="00EC7ADB" w:rsidRPr="000F6431">
        <w:rPr>
          <w:rFonts w:ascii="Times New Roman" w:hAnsi="Times New Roman" w:cs="Times New Roman"/>
          <w:sz w:val="24"/>
          <w:szCs w:val="24"/>
        </w:rPr>
        <w:t>I</w:t>
      </w:r>
      <w:r w:rsidRPr="000F6431">
        <w:rPr>
          <w:rFonts w:ascii="Times New Roman" w:hAnsi="Times New Roman" w:cs="Times New Roman"/>
          <w:sz w:val="24"/>
          <w:szCs w:val="24"/>
        </w:rPr>
        <w:t xml:space="preserve">mpact </w:t>
      </w:r>
      <w:r w:rsidR="00EC7ADB" w:rsidRPr="000F6431">
        <w:rPr>
          <w:rFonts w:ascii="Times New Roman" w:hAnsi="Times New Roman" w:cs="Times New Roman"/>
          <w:sz w:val="24"/>
          <w:szCs w:val="24"/>
        </w:rPr>
        <w:t>A</w:t>
      </w:r>
      <w:r w:rsidRPr="000F6431">
        <w:rPr>
          <w:rFonts w:ascii="Times New Roman" w:hAnsi="Times New Roman" w:cs="Times New Roman"/>
          <w:sz w:val="24"/>
          <w:szCs w:val="24"/>
        </w:rPr>
        <w:t>ssess Rev</w:t>
      </w:r>
      <w:r w:rsidR="003F774C" w:rsidRPr="000F6431">
        <w:rPr>
          <w:rFonts w:ascii="Times New Roman" w:hAnsi="Times New Roman" w:cs="Times New Roman"/>
          <w:sz w:val="24"/>
          <w:szCs w:val="24"/>
        </w:rPr>
        <w:t xml:space="preserve"> </w:t>
      </w:r>
      <w:r w:rsidR="0051370B" w:rsidRPr="000F6431">
        <w:rPr>
          <w:rFonts w:ascii="Times New Roman" w:hAnsi="Times New Roman" w:cs="Times New Roman"/>
          <w:sz w:val="24"/>
          <w:szCs w:val="24"/>
        </w:rPr>
        <w:t xml:space="preserve">2008; </w:t>
      </w:r>
      <w:r w:rsidR="003F774C" w:rsidRPr="000F6431">
        <w:rPr>
          <w:rFonts w:ascii="Times New Roman" w:hAnsi="Times New Roman" w:cs="Times New Roman"/>
          <w:sz w:val="24"/>
          <w:szCs w:val="24"/>
        </w:rPr>
        <w:t>28: 184-197.</w:t>
      </w:r>
    </w:p>
    <w:p w:rsidR="003F774C" w:rsidRPr="000F6431" w:rsidRDefault="00D117F1"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Caussy D, Kumar P, Sein U.</w:t>
      </w:r>
      <w:r w:rsidR="003F774C" w:rsidRPr="000F6431">
        <w:rPr>
          <w:rFonts w:ascii="Times New Roman" w:hAnsi="Times New Roman" w:cs="Times New Roman"/>
          <w:sz w:val="24"/>
          <w:szCs w:val="24"/>
        </w:rPr>
        <w:t xml:space="preserve"> Health impact assessment needs in south-east Asian Countries. Bulletin of the World Health Organization</w:t>
      </w:r>
      <w:r w:rsidRPr="000F6431">
        <w:rPr>
          <w:rFonts w:ascii="Times New Roman" w:hAnsi="Times New Roman" w:cs="Times New Roman"/>
          <w:sz w:val="24"/>
          <w:szCs w:val="24"/>
        </w:rPr>
        <w:t xml:space="preserve"> 2003</w:t>
      </w:r>
      <w:r w:rsidR="003F774C" w:rsidRPr="000F6431">
        <w:rPr>
          <w:rFonts w:ascii="Times New Roman" w:hAnsi="Times New Roman" w:cs="Times New Roman"/>
          <w:sz w:val="24"/>
          <w:szCs w:val="24"/>
        </w:rPr>
        <w:t>; 81(6): 439-443.</w:t>
      </w:r>
    </w:p>
    <w:p w:rsidR="003F774C" w:rsidRPr="000F6431" w:rsidRDefault="00D117F1" w:rsidP="00A44105">
      <w:pPr>
        <w:pStyle w:val="NormalWeb"/>
        <w:spacing w:after="0" w:line="480" w:lineRule="auto"/>
        <w:rPr>
          <w:color w:val="333333"/>
          <w:lang w:val="en-US"/>
        </w:rPr>
      </w:pPr>
      <w:r w:rsidRPr="000F6431">
        <w:rPr>
          <w:color w:val="333333"/>
          <w:lang w:val="en-US"/>
        </w:rPr>
        <w:t>Corburn J</w:t>
      </w:r>
      <w:r w:rsidR="003F774C" w:rsidRPr="000F6431">
        <w:rPr>
          <w:color w:val="333333"/>
          <w:lang w:val="en-US"/>
        </w:rPr>
        <w:t>. Towa</w:t>
      </w:r>
      <w:r w:rsidRPr="000F6431">
        <w:rPr>
          <w:color w:val="333333"/>
          <w:lang w:val="en-US"/>
        </w:rPr>
        <w:t>rds the healthy city – People, places, and the politics of urban p</w:t>
      </w:r>
      <w:r w:rsidR="003F774C" w:rsidRPr="000F6431">
        <w:rPr>
          <w:color w:val="333333"/>
          <w:lang w:val="en-US"/>
        </w:rPr>
        <w:t xml:space="preserve">lanning. </w:t>
      </w:r>
      <w:r w:rsidRPr="000F6431">
        <w:rPr>
          <w:color w:val="333333"/>
          <w:lang w:val="en-US"/>
        </w:rPr>
        <w:t>London: The MIT Press; 2010.</w:t>
      </w:r>
    </w:p>
    <w:p w:rsidR="003F774C" w:rsidRPr="000F6431" w:rsidRDefault="00D117F1"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Corburn J, Bhatia R.</w:t>
      </w:r>
      <w:r w:rsidR="003F774C" w:rsidRPr="000F6431">
        <w:rPr>
          <w:rFonts w:ascii="Times New Roman" w:hAnsi="Times New Roman" w:cs="Times New Roman"/>
          <w:sz w:val="24"/>
          <w:szCs w:val="24"/>
        </w:rPr>
        <w:t xml:space="preserve"> </w:t>
      </w:r>
      <w:r w:rsidRPr="000F6431">
        <w:rPr>
          <w:rFonts w:ascii="Times New Roman" w:hAnsi="Times New Roman" w:cs="Times New Roman"/>
          <w:sz w:val="24"/>
          <w:szCs w:val="24"/>
        </w:rPr>
        <w:t>HIA in San Francisco: i</w:t>
      </w:r>
      <w:r w:rsidR="003F774C" w:rsidRPr="000F6431">
        <w:rPr>
          <w:rFonts w:ascii="Times New Roman" w:hAnsi="Times New Roman" w:cs="Times New Roman"/>
          <w:sz w:val="24"/>
          <w:szCs w:val="24"/>
        </w:rPr>
        <w:t>ncorporating the social determinants of health into environmental planning. Journal of enviro</w:t>
      </w:r>
      <w:r w:rsidRPr="000F6431">
        <w:rPr>
          <w:rFonts w:ascii="Times New Roman" w:hAnsi="Times New Roman" w:cs="Times New Roman"/>
          <w:sz w:val="24"/>
          <w:szCs w:val="24"/>
        </w:rPr>
        <w:t>nmental Planning and Management 2007; 50 (3):</w:t>
      </w:r>
      <w:r w:rsidR="003F774C" w:rsidRPr="000F6431">
        <w:rPr>
          <w:rFonts w:ascii="Times New Roman" w:hAnsi="Times New Roman" w:cs="Times New Roman"/>
          <w:sz w:val="24"/>
          <w:szCs w:val="24"/>
        </w:rPr>
        <w:t xml:space="preserve"> 323-341 </w:t>
      </w:r>
    </w:p>
    <w:p w:rsidR="003F774C" w:rsidRPr="000F6431" w:rsidRDefault="00D117F1" w:rsidP="00A44105">
      <w:pPr>
        <w:spacing w:line="480" w:lineRule="auto"/>
        <w:jc w:val="both"/>
        <w:rPr>
          <w:rFonts w:ascii="Times New Roman" w:hAnsi="Times New Roman" w:cs="Times New Roman"/>
          <w:sz w:val="24"/>
          <w:szCs w:val="24"/>
          <w:lang w:val="en-US"/>
        </w:rPr>
      </w:pPr>
      <w:r w:rsidRPr="000F6431">
        <w:rPr>
          <w:rFonts w:ascii="Times New Roman" w:hAnsi="Times New Roman" w:cs="Times New Roman"/>
          <w:sz w:val="24"/>
          <w:szCs w:val="24"/>
        </w:rPr>
        <w:t>Dannenberg A, Bhatia R, Cole B, Heaton S, Feldman J, Rutt D</w:t>
      </w:r>
      <w:r w:rsidR="003F774C" w:rsidRPr="000F6431">
        <w:rPr>
          <w:rFonts w:ascii="Times New Roman" w:hAnsi="Times New Roman" w:cs="Times New Roman"/>
          <w:sz w:val="24"/>
          <w:szCs w:val="24"/>
        </w:rPr>
        <w:t xml:space="preserve">. </w:t>
      </w:r>
      <w:r w:rsidRPr="000F6431">
        <w:rPr>
          <w:rFonts w:ascii="Times New Roman" w:hAnsi="Times New Roman" w:cs="Times New Roman"/>
          <w:sz w:val="24"/>
          <w:szCs w:val="24"/>
        </w:rPr>
        <w:t>Use of health impact a</w:t>
      </w:r>
      <w:r w:rsidR="003F774C" w:rsidRPr="000F6431">
        <w:rPr>
          <w:rFonts w:ascii="Times New Roman" w:hAnsi="Times New Roman" w:cs="Times New Roman"/>
          <w:sz w:val="24"/>
          <w:szCs w:val="24"/>
        </w:rPr>
        <w:t>ssessment in the US, 27 case studies, 1999-2007.  American Jo</w:t>
      </w:r>
      <w:r w:rsidR="00AA6F43" w:rsidRPr="000F6431">
        <w:rPr>
          <w:rFonts w:ascii="Times New Roman" w:hAnsi="Times New Roman" w:cs="Times New Roman"/>
          <w:sz w:val="24"/>
          <w:szCs w:val="24"/>
        </w:rPr>
        <w:t>urnal of Preventative Medicine 2008; 34 (3):</w:t>
      </w:r>
      <w:r w:rsidR="006A7832" w:rsidRPr="000F6431">
        <w:rPr>
          <w:rFonts w:ascii="Times New Roman" w:hAnsi="Times New Roman" w:cs="Times New Roman"/>
          <w:sz w:val="24"/>
          <w:szCs w:val="24"/>
        </w:rPr>
        <w:t xml:space="preserve"> ???</w:t>
      </w:r>
    </w:p>
    <w:p w:rsidR="003F774C" w:rsidRPr="000F6431" w:rsidRDefault="00AA6F43"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Davenport C, Mathers  J, Parry  J.</w:t>
      </w:r>
      <w:r w:rsidR="003F774C" w:rsidRPr="000F6431">
        <w:rPr>
          <w:rFonts w:ascii="Times New Roman" w:hAnsi="Times New Roman" w:cs="Times New Roman"/>
          <w:sz w:val="24"/>
          <w:szCs w:val="24"/>
        </w:rPr>
        <w:t xml:space="preserve"> Use of health impact assessment in incorporating health considerations in decision making. Journal of Epidemiol Community Health</w:t>
      </w:r>
      <w:r w:rsidRPr="000F6431">
        <w:rPr>
          <w:rFonts w:ascii="Times New Roman" w:hAnsi="Times New Roman" w:cs="Times New Roman"/>
          <w:sz w:val="24"/>
          <w:szCs w:val="24"/>
        </w:rPr>
        <w:t xml:space="preserve"> 2006; 60: </w:t>
      </w:r>
      <w:r w:rsidR="003F774C" w:rsidRPr="000F6431">
        <w:rPr>
          <w:rFonts w:ascii="Times New Roman" w:hAnsi="Times New Roman" w:cs="Times New Roman"/>
          <w:sz w:val="24"/>
          <w:szCs w:val="24"/>
        </w:rPr>
        <w:t>196-201.</w:t>
      </w:r>
    </w:p>
    <w:p w:rsidR="006A7832" w:rsidRPr="000F6431" w:rsidRDefault="006A7832"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D</w:t>
      </w:r>
      <w:r w:rsidR="005E185D" w:rsidRPr="000F6431">
        <w:rPr>
          <w:rFonts w:ascii="Times New Roman" w:hAnsi="Times New Roman" w:cs="Times New Roman"/>
          <w:sz w:val="24"/>
          <w:szCs w:val="24"/>
        </w:rPr>
        <w:t xml:space="preserve">epartment  for </w:t>
      </w:r>
      <w:r w:rsidRPr="000F6431">
        <w:rPr>
          <w:rFonts w:ascii="Times New Roman" w:hAnsi="Times New Roman" w:cs="Times New Roman"/>
          <w:sz w:val="24"/>
          <w:szCs w:val="24"/>
        </w:rPr>
        <w:t>C</w:t>
      </w:r>
      <w:r w:rsidR="005E185D" w:rsidRPr="000F6431">
        <w:rPr>
          <w:rFonts w:ascii="Times New Roman" w:hAnsi="Times New Roman" w:cs="Times New Roman"/>
          <w:sz w:val="24"/>
          <w:szCs w:val="24"/>
        </w:rPr>
        <w:t xml:space="preserve">ommunities and </w:t>
      </w:r>
      <w:r w:rsidRPr="000F6431">
        <w:rPr>
          <w:rFonts w:ascii="Times New Roman" w:hAnsi="Times New Roman" w:cs="Times New Roman"/>
          <w:sz w:val="24"/>
          <w:szCs w:val="24"/>
        </w:rPr>
        <w:t>L</w:t>
      </w:r>
      <w:r w:rsidR="005E185D" w:rsidRPr="000F6431">
        <w:rPr>
          <w:rFonts w:ascii="Times New Roman" w:hAnsi="Times New Roman" w:cs="Times New Roman"/>
          <w:sz w:val="24"/>
          <w:szCs w:val="24"/>
        </w:rPr>
        <w:t xml:space="preserve">ocal </w:t>
      </w:r>
      <w:r w:rsidRPr="000F6431">
        <w:rPr>
          <w:rFonts w:ascii="Times New Roman" w:hAnsi="Times New Roman" w:cs="Times New Roman"/>
          <w:sz w:val="24"/>
          <w:szCs w:val="24"/>
        </w:rPr>
        <w:t>G</w:t>
      </w:r>
      <w:r w:rsidR="005E185D" w:rsidRPr="000F6431">
        <w:rPr>
          <w:rFonts w:ascii="Times New Roman" w:hAnsi="Times New Roman" w:cs="Times New Roman"/>
          <w:sz w:val="24"/>
          <w:szCs w:val="24"/>
        </w:rPr>
        <w:t>overnment (</w:t>
      </w:r>
      <w:r w:rsidR="009956B5" w:rsidRPr="000F6431">
        <w:rPr>
          <w:rFonts w:ascii="Times New Roman" w:hAnsi="Times New Roman" w:cs="Times New Roman"/>
          <w:sz w:val="24"/>
          <w:szCs w:val="24"/>
        </w:rPr>
        <w:t>DCLG)</w:t>
      </w:r>
      <w:r w:rsidRPr="000F6431">
        <w:rPr>
          <w:rFonts w:ascii="Times New Roman" w:hAnsi="Times New Roman" w:cs="Times New Roman"/>
          <w:sz w:val="24"/>
          <w:szCs w:val="24"/>
        </w:rPr>
        <w:t>. Decentralisation and the localism Bill: an essential guide. London: DCLG</w:t>
      </w:r>
      <w:r w:rsidR="009956B5" w:rsidRPr="000F6431">
        <w:rPr>
          <w:rFonts w:ascii="Times New Roman" w:hAnsi="Times New Roman" w:cs="Times New Roman"/>
          <w:sz w:val="24"/>
          <w:szCs w:val="24"/>
        </w:rPr>
        <w:t xml:space="preserve">; </w:t>
      </w:r>
      <w:r w:rsidRPr="000F6431">
        <w:rPr>
          <w:rFonts w:ascii="Times New Roman" w:hAnsi="Times New Roman" w:cs="Times New Roman"/>
          <w:sz w:val="24"/>
          <w:szCs w:val="24"/>
        </w:rPr>
        <w:t>2010.</w:t>
      </w:r>
    </w:p>
    <w:p w:rsidR="00B16AD8" w:rsidRPr="000F6431" w:rsidRDefault="00F723CD"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lastRenderedPageBreak/>
        <w:t>D</w:t>
      </w:r>
      <w:r w:rsidR="009956B5" w:rsidRPr="000F6431">
        <w:rPr>
          <w:rFonts w:ascii="Times New Roman" w:hAnsi="Times New Roman" w:cs="Times New Roman"/>
          <w:sz w:val="24"/>
          <w:szCs w:val="24"/>
        </w:rPr>
        <w:t xml:space="preserve">epartment for the </w:t>
      </w:r>
      <w:r w:rsidRPr="000F6431">
        <w:rPr>
          <w:rFonts w:ascii="Times New Roman" w:hAnsi="Times New Roman" w:cs="Times New Roman"/>
          <w:sz w:val="24"/>
          <w:szCs w:val="24"/>
        </w:rPr>
        <w:t>E</w:t>
      </w:r>
      <w:r w:rsidR="009956B5" w:rsidRPr="000F6431">
        <w:rPr>
          <w:rFonts w:ascii="Times New Roman" w:hAnsi="Times New Roman" w:cs="Times New Roman"/>
          <w:sz w:val="24"/>
          <w:szCs w:val="24"/>
        </w:rPr>
        <w:t xml:space="preserve">nvironment. </w:t>
      </w:r>
      <w:r w:rsidRPr="000F6431">
        <w:rPr>
          <w:rFonts w:ascii="Times New Roman" w:hAnsi="Times New Roman" w:cs="Times New Roman"/>
          <w:sz w:val="24"/>
          <w:szCs w:val="24"/>
        </w:rPr>
        <w:t xml:space="preserve">Good Practice Guide to the </w:t>
      </w:r>
      <w:r w:rsidR="00A51C78" w:rsidRPr="000F6431">
        <w:rPr>
          <w:rFonts w:ascii="Times New Roman" w:hAnsi="Times New Roman" w:cs="Times New Roman"/>
          <w:sz w:val="24"/>
          <w:szCs w:val="24"/>
        </w:rPr>
        <w:t>Environmental</w:t>
      </w:r>
      <w:r w:rsidRPr="000F6431">
        <w:rPr>
          <w:rFonts w:ascii="Times New Roman" w:hAnsi="Times New Roman" w:cs="Times New Roman"/>
          <w:sz w:val="24"/>
          <w:szCs w:val="24"/>
        </w:rPr>
        <w:t xml:space="preserve"> Appraisal of Plans. London</w:t>
      </w:r>
      <w:r w:rsidR="009956B5" w:rsidRPr="000F6431">
        <w:rPr>
          <w:rFonts w:ascii="Times New Roman" w:hAnsi="Times New Roman" w:cs="Times New Roman"/>
          <w:sz w:val="24"/>
          <w:szCs w:val="24"/>
        </w:rPr>
        <w:t>:</w:t>
      </w:r>
      <w:r w:rsidRPr="000F6431">
        <w:rPr>
          <w:rFonts w:ascii="Times New Roman" w:hAnsi="Times New Roman" w:cs="Times New Roman"/>
          <w:sz w:val="24"/>
          <w:szCs w:val="24"/>
        </w:rPr>
        <w:t xml:space="preserve"> HMSO</w:t>
      </w:r>
      <w:r w:rsidR="009956B5" w:rsidRPr="000F6431">
        <w:rPr>
          <w:rFonts w:ascii="Times New Roman" w:hAnsi="Times New Roman" w:cs="Times New Roman"/>
          <w:sz w:val="24"/>
          <w:szCs w:val="24"/>
        </w:rPr>
        <w:t>; 1993</w:t>
      </w:r>
      <w:r w:rsidR="005E185D" w:rsidRPr="000F6431">
        <w:rPr>
          <w:rFonts w:ascii="Times New Roman" w:hAnsi="Times New Roman" w:cs="Times New Roman"/>
          <w:sz w:val="24"/>
          <w:szCs w:val="24"/>
        </w:rPr>
        <w:t>.</w:t>
      </w:r>
    </w:p>
    <w:p w:rsidR="005E185D" w:rsidRPr="000F6431" w:rsidRDefault="005E185D"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D</w:t>
      </w:r>
      <w:r w:rsidR="009956B5" w:rsidRPr="000F6431">
        <w:rPr>
          <w:rFonts w:ascii="Times New Roman" w:hAnsi="Times New Roman" w:cs="Times New Roman"/>
          <w:sz w:val="24"/>
          <w:szCs w:val="24"/>
        </w:rPr>
        <w:t xml:space="preserve">epartment </w:t>
      </w:r>
      <w:r w:rsidRPr="000F6431">
        <w:rPr>
          <w:rFonts w:ascii="Times New Roman" w:hAnsi="Times New Roman" w:cs="Times New Roman"/>
          <w:sz w:val="24"/>
          <w:szCs w:val="24"/>
        </w:rPr>
        <w:t>o</w:t>
      </w:r>
      <w:r w:rsidR="009956B5" w:rsidRPr="000F6431">
        <w:rPr>
          <w:rFonts w:ascii="Times New Roman" w:hAnsi="Times New Roman" w:cs="Times New Roman"/>
          <w:sz w:val="24"/>
          <w:szCs w:val="24"/>
        </w:rPr>
        <w:t xml:space="preserve">f </w:t>
      </w:r>
      <w:r w:rsidRPr="000F6431">
        <w:rPr>
          <w:rFonts w:ascii="Times New Roman" w:hAnsi="Times New Roman" w:cs="Times New Roman"/>
          <w:sz w:val="24"/>
          <w:szCs w:val="24"/>
        </w:rPr>
        <w:t>H</w:t>
      </w:r>
      <w:r w:rsidR="009956B5" w:rsidRPr="000F6431">
        <w:rPr>
          <w:rFonts w:ascii="Times New Roman" w:hAnsi="Times New Roman" w:cs="Times New Roman"/>
          <w:sz w:val="24"/>
          <w:szCs w:val="24"/>
        </w:rPr>
        <w:t>ealth</w:t>
      </w:r>
      <w:r w:rsidRPr="000F6431">
        <w:rPr>
          <w:rFonts w:ascii="Times New Roman" w:hAnsi="Times New Roman" w:cs="Times New Roman"/>
          <w:sz w:val="24"/>
          <w:szCs w:val="24"/>
        </w:rPr>
        <w:t xml:space="preserve"> </w:t>
      </w:r>
      <w:r w:rsidR="009956B5" w:rsidRPr="000F6431">
        <w:rPr>
          <w:rFonts w:ascii="Times New Roman" w:hAnsi="Times New Roman" w:cs="Times New Roman"/>
          <w:sz w:val="24"/>
          <w:szCs w:val="24"/>
        </w:rPr>
        <w:t>(DoH). Draft guidance on health in Strategic Environmental Assessment: consultation document. London: DoH; 2007.</w:t>
      </w:r>
    </w:p>
    <w:p w:rsidR="003F774C" w:rsidRPr="000F6431" w:rsidRDefault="00AA6F43" w:rsidP="00A44105">
      <w:pPr>
        <w:spacing w:line="480" w:lineRule="auto"/>
        <w:jc w:val="both"/>
        <w:rPr>
          <w:rFonts w:ascii="Times New Roman" w:hAnsi="Times New Roman" w:cs="Times New Roman"/>
          <w:sz w:val="24"/>
          <w:szCs w:val="24"/>
          <w:lang w:val="en-US"/>
        </w:rPr>
      </w:pPr>
      <w:r w:rsidRPr="000F6431">
        <w:rPr>
          <w:rFonts w:ascii="Times New Roman" w:hAnsi="Times New Roman" w:cs="Times New Roman"/>
          <w:sz w:val="24"/>
          <w:szCs w:val="24"/>
          <w:lang w:val="en-US"/>
        </w:rPr>
        <w:t>Douglas M, Thomson  H, Jepson R, Hurley</w:t>
      </w:r>
      <w:r w:rsidR="003F774C" w:rsidRPr="000F6431">
        <w:rPr>
          <w:rFonts w:ascii="Times New Roman" w:hAnsi="Times New Roman" w:cs="Times New Roman"/>
          <w:sz w:val="24"/>
          <w:szCs w:val="24"/>
          <w:lang w:val="en-US"/>
        </w:rPr>
        <w:t xml:space="preserve"> F, Higgins M, Muirie J, Gorman D. eds</w:t>
      </w:r>
      <w:r w:rsidRPr="000F6431">
        <w:rPr>
          <w:rFonts w:ascii="Times New Roman" w:hAnsi="Times New Roman" w:cs="Times New Roman"/>
          <w:sz w:val="24"/>
          <w:szCs w:val="24"/>
          <w:lang w:val="en-US"/>
        </w:rPr>
        <w:t xml:space="preserve">. </w:t>
      </w:r>
      <w:r w:rsidRPr="000F6431">
        <w:rPr>
          <w:rFonts w:ascii="Times New Roman" w:hAnsi="Times New Roman" w:cs="Times New Roman"/>
          <w:sz w:val="24"/>
          <w:szCs w:val="24"/>
        </w:rPr>
        <w:t>Health impact assessment of transport initiatives – a g</w:t>
      </w:r>
      <w:r w:rsidR="003F774C" w:rsidRPr="000F6431">
        <w:rPr>
          <w:rFonts w:ascii="Times New Roman" w:hAnsi="Times New Roman" w:cs="Times New Roman"/>
          <w:sz w:val="24"/>
          <w:szCs w:val="24"/>
        </w:rPr>
        <w:t>uide.</w:t>
      </w:r>
      <w:r w:rsidR="003F774C" w:rsidRPr="000F6431">
        <w:rPr>
          <w:rFonts w:ascii="Times New Roman" w:hAnsi="Times New Roman" w:cs="Times New Roman"/>
          <w:b/>
          <w:sz w:val="24"/>
          <w:szCs w:val="24"/>
        </w:rPr>
        <w:t xml:space="preserve"> </w:t>
      </w:r>
      <w:r w:rsidRPr="000F6431">
        <w:rPr>
          <w:rFonts w:ascii="Times New Roman" w:hAnsi="Times New Roman" w:cs="Times New Roman"/>
          <w:sz w:val="24"/>
          <w:szCs w:val="24"/>
          <w:lang w:val="en-US"/>
        </w:rPr>
        <w:t>Edinburgh: NHS Health Scotland; 2007.</w:t>
      </w:r>
    </w:p>
    <w:p w:rsidR="003F774C" w:rsidRPr="000F6431" w:rsidRDefault="003F71F7"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Douglas M, Conway L, Gorman D, Gavin S, Hanlon </w:t>
      </w:r>
      <w:r w:rsidR="003F774C" w:rsidRPr="000F6431">
        <w:rPr>
          <w:rFonts w:ascii="Times New Roman" w:hAnsi="Times New Roman" w:cs="Times New Roman"/>
          <w:sz w:val="24"/>
          <w:szCs w:val="24"/>
        </w:rPr>
        <w:t>P. Achieving better health through health impact assessment. Health Bulletin</w:t>
      </w:r>
      <w:r w:rsidRPr="000F6431">
        <w:rPr>
          <w:rFonts w:ascii="Times New Roman" w:hAnsi="Times New Roman" w:cs="Times New Roman"/>
          <w:sz w:val="24"/>
          <w:szCs w:val="24"/>
        </w:rPr>
        <w:t xml:space="preserve"> </w:t>
      </w:r>
      <w:r w:rsidR="003F774C" w:rsidRPr="000F6431">
        <w:rPr>
          <w:rFonts w:ascii="Times New Roman" w:hAnsi="Times New Roman" w:cs="Times New Roman"/>
          <w:sz w:val="24"/>
          <w:szCs w:val="24"/>
        </w:rPr>
        <w:t xml:space="preserve"> </w:t>
      </w:r>
      <w:r w:rsidRPr="000F6431">
        <w:rPr>
          <w:rFonts w:ascii="Times New Roman" w:hAnsi="Times New Roman" w:cs="Times New Roman"/>
          <w:sz w:val="24"/>
          <w:szCs w:val="24"/>
        </w:rPr>
        <w:t>2001; 59 (5)</w:t>
      </w:r>
      <w:r w:rsidR="003F774C" w:rsidRPr="000F6431">
        <w:rPr>
          <w:rFonts w:ascii="Times New Roman" w:hAnsi="Times New Roman" w:cs="Times New Roman"/>
          <w:sz w:val="24"/>
          <w:szCs w:val="24"/>
        </w:rPr>
        <w:t>.</w:t>
      </w:r>
    </w:p>
    <w:p w:rsidR="003F774C" w:rsidRPr="000F6431" w:rsidRDefault="003F71F7" w:rsidP="00A44105">
      <w:pPr>
        <w:autoSpaceDE w:val="0"/>
        <w:autoSpaceDN w:val="0"/>
        <w:adjustRightInd w:val="0"/>
        <w:spacing w:line="480" w:lineRule="auto"/>
        <w:rPr>
          <w:rFonts w:ascii="Times New Roman" w:hAnsi="Times New Roman" w:cs="Times New Roman"/>
          <w:sz w:val="24"/>
          <w:szCs w:val="24"/>
        </w:rPr>
      </w:pPr>
      <w:r w:rsidRPr="000F6431">
        <w:rPr>
          <w:rFonts w:ascii="Times New Roman" w:hAnsi="Times New Roman" w:cs="Times New Roman"/>
          <w:bCs/>
          <w:sz w:val="24"/>
          <w:szCs w:val="24"/>
        </w:rPr>
        <w:t xml:space="preserve">Elliott E, Francis S. </w:t>
      </w:r>
      <w:r w:rsidR="003F774C" w:rsidRPr="000F6431">
        <w:rPr>
          <w:rFonts w:ascii="Times New Roman" w:hAnsi="Times New Roman" w:cs="Times New Roman"/>
          <w:bCs/>
          <w:sz w:val="24"/>
          <w:szCs w:val="24"/>
        </w:rPr>
        <w:t xml:space="preserve">Making effective links to decision making: Key challenges for health impact assessment. </w:t>
      </w:r>
      <w:r w:rsidR="00EC7ADB" w:rsidRPr="000F6431">
        <w:rPr>
          <w:rFonts w:ascii="Times New Roman" w:hAnsi="Times New Roman" w:cs="Times New Roman"/>
          <w:sz w:val="24"/>
          <w:szCs w:val="24"/>
        </w:rPr>
        <w:t>E</w:t>
      </w:r>
      <w:r w:rsidRPr="000F6431">
        <w:rPr>
          <w:rFonts w:ascii="Times New Roman" w:hAnsi="Times New Roman" w:cs="Times New Roman"/>
          <w:sz w:val="24"/>
          <w:szCs w:val="24"/>
        </w:rPr>
        <w:t xml:space="preserve">nviron </w:t>
      </w:r>
      <w:r w:rsidR="00EC7ADB" w:rsidRPr="000F6431">
        <w:rPr>
          <w:rFonts w:ascii="Times New Roman" w:hAnsi="Times New Roman" w:cs="Times New Roman"/>
          <w:sz w:val="24"/>
          <w:szCs w:val="24"/>
        </w:rPr>
        <w:t>I</w:t>
      </w:r>
      <w:r w:rsidRPr="000F6431">
        <w:rPr>
          <w:rFonts w:ascii="Times New Roman" w:hAnsi="Times New Roman" w:cs="Times New Roman"/>
          <w:sz w:val="24"/>
          <w:szCs w:val="24"/>
        </w:rPr>
        <w:t xml:space="preserve">mpact </w:t>
      </w:r>
      <w:r w:rsidR="00EC7ADB" w:rsidRPr="000F6431">
        <w:rPr>
          <w:rFonts w:ascii="Times New Roman" w:hAnsi="Times New Roman" w:cs="Times New Roman"/>
          <w:sz w:val="24"/>
          <w:szCs w:val="24"/>
        </w:rPr>
        <w:t>A</w:t>
      </w:r>
      <w:r w:rsidRPr="000F6431">
        <w:rPr>
          <w:rFonts w:ascii="Times New Roman" w:hAnsi="Times New Roman" w:cs="Times New Roman"/>
          <w:sz w:val="24"/>
          <w:szCs w:val="24"/>
        </w:rPr>
        <w:t>ssess Rev 2005;</w:t>
      </w:r>
      <w:r w:rsidR="003F774C" w:rsidRPr="000F6431">
        <w:rPr>
          <w:rFonts w:ascii="Times New Roman" w:hAnsi="Times New Roman" w:cs="Times New Roman"/>
          <w:sz w:val="24"/>
          <w:szCs w:val="24"/>
        </w:rPr>
        <w:t xml:space="preserve"> 25: 747-757.</w:t>
      </w:r>
    </w:p>
    <w:p w:rsidR="00E63077" w:rsidRPr="000F6431" w:rsidRDefault="00E63077" w:rsidP="00A44105">
      <w:pPr>
        <w:autoSpaceDE w:val="0"/>
        <w:autoSpaceDN w:val="0"/>
        <w:adjustRightInd w:val="0"/>
        <w:spacing w:line="480" w:lineRule="auto"/>
        <w:rPr>
          <w:rFonts w:ascii="Times New Roman" w:hAnsi="Times New Roman" w:cs="Times New Roman"/>
          <w:bCs/>
          <w:sz w:val="24"/>
          <w:szCs w:val="24"/>
        </w:rPr>
      </w:pPr>
      <w:r w:rsidRPr="000F6431">
        <w:rPr>
          <w:rFonts w:ascii="Times New Roman" w:hAnsi="Times New Roman" w:cs="Times New Roman"/>
          <w:sz w:val="24"/>
          <w:szCs w:val="24"/>
        </w:rPr>
        <w:t>Ellis H. Questions of far-reaching reform. Town and Country Planning 2011; 80: 15-20.</w:t>
      </w:r>
    </w:p>
    <w:p w:rsidR="003F774C" w:rsidRPr="000F6431" w:rsidRDefault="003F71F7"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Farhang L, Bhatia R, Comerford Scully C, Corburn J, Gaydos M, Malekafzali S.</w:t>
      </w:r>
      <w:r w:rsidR="003F774C" w:rsidRPr="000F6431">
        <w:rPr>
          <w:rFonts w:ascii="Times New Roman" w:hAnsi="Times New Roman" w:cs="Times New Roman"/>
          <w:sz w:val="24"/>
          <w:szCs w:val="24"/>
        </w:rPr>
        <w:t xml:space="preserve"> </w:t>
      </w:r>
      <w:r w:rsidR="003F774C" w:rsidRPr="000F6431">
        <w:rPr>
          <w:rFonts w:ascii="Times New Roman" w:hAnsi="Times New Roman" w:cs="Times New Roman"/>
          <w:i/>
          <w:sz w:val="24"/>
          <w:szCs w:val="24"/>
        </w:rPr>
        <w:t xml:space="preserve"> </w:t>
      </w:r>
      <w:r w:rsidR="003F774C" w:rsidRPr="000F6431">
        <w:rPr>
          <w:rFonts w:ascii="Times New Roman" w:hAnsi="Times New Roman" w:cs="Times New Roman"/>
          <w:sz w:val="24"/>
          <w:szCs w:val="24"/>
        </w:rPr>
        <w:t>Creating Tools for Healthy Development: Case Study of San Francisco’s Eastern Neighbourhoods Community Health Impact Assessment</w:t>
      </w:r>
      <w:r w:rsidR="003F774C" w:rsidRPr="000F6431">
        <w:rPr>
          <w:rFonts w:ascii="Times New Roman" w:hAnsi="Times New Roman" w:cs="Times New Roman"/>
          <w:i/>
          <w:sz w:val="24"/>
          <w:szCs w:val="24"/>
        </w:rPr>
        <w:t>.</w:t>
      </w:r>
      <w:r w:rsidR="003F774C" w:rsidRPr="000F6431">
        <w:rPr>
          <w:rFonts w:ascii="Times New Roman" w:hAnsi="Times New Roman" w:cs="Times New Roman"/>
          <w:sz w:val="24"/>
          <w:szCs w:val="24"/>
        </w:rPr>
        <w:t xml:space="preserve"> Journal of Pub</w:t>
      </w:r>
      <w:r w:rsidRPr="000F6431">
        <w:rPr>
          <w:rFonts w:ascii="Times New Roman" w:hAnsi="Times New Roman" w:cs="Times New Roman"/>
          <w:sz w:val="24"/>
          <w:szCs w:val="24"/>
        </w:rPr>
        <w:t xml:space="preserve">lic Health management Practice 2008; 14(3): </w:t>
      </w:r>
      <w:r w:rsidR="003F774C" w:rsidRPr="000F6431">
        <w:rPr>
          <w:rFonts w:ascii="Times New Roman" w:hAnsi="Times New Roman" w:cs="Times New Roman"/>
          <w:sz w:val="24"/>
          <w:szCs w:val="24"/>
        </w:rPr>
        <w:t>255-265.</w:t>
      </w:r>
    </w:p>
    <w:p w:rsidR="003F774C" w:rsidRPr="000F6431" w:rsidRDefault="003F71F7"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Fischer T, Matuzzi M</w:t>
      </w:r>
      <w:r w:rsidR="00EC7ADB" w:rsidRPr="000F6431">
        <w:rPr>
          <w:rFonts w:ascii="Times New Roman" w:hAnsi="Times New Roman" w:cs="Times New Roman"/>
          <w:sz w:val="24"/>
          <w:szCs w:val="24"/>
        </w:rPr>
        <w:t>, Nowacki</w:t>
      </w:r>
      <w:r w:rsidRPr="000F6431">
        <w:rPr>
          <w:rFonts w:ascii="Times New Roman" w:hAnsi="Times New Roman" w:cs="Times New Roman"/>
          <w:sz w:val="24"/>
          <w:szCs w:val="24"/>
        </w:rPr>
        <w:t xml:space="preserve"> </w:t>
      </w:r>
      <w:r w:rsidR="00EC7ADB" w:rsidRPr="000F6431">
        <w:rPr>
          <w:rFonts w:ascii="Times New Roman" w:hAnsi="Times New Roman" w:cs="Times New Roman"/>
          <w:sz w:val="24"/>
          <w:szCs w:val="24"/>
        </w:rPr>
        <w:t xml:space="preserve">J. </w:t>
      </w:r>
      <w:r w:rsidR="003F774C" w:rsidRPr="000F6431">
        <w:rPr>
          <w:rFonts w:ascii="Times New Roman" w:hAnsi="Times New Roman" w:cs="Times New Roman"/>
          <w:sz w:val="24"/>
          <w:szCs w:val="24"/>
        </w:rPr>
        <w:t>The</w:t>
      </w:r>
      <w:r w:rsidR="00EC7ADB" w:rsidRPr="000F6431">
        <w:rPr>
          <w:rFonts w:ascii="Times New Roman" w:hAnsi="Times New Roman" w:cs="Times New Roman"/>
          <w:sz w:val="24"/>
          <w:szCs w:val="24"/>
        </w:rPr>
        <w:t xml:space="preserve"> consideration of health in SEA</w:t>
      </w:r>
      <w:r w:rsidR="003F774C" w:rsidRPr="000F6431">
        <w:rPr>
          <w:rFonts w:ascii="Times New Roman" w:hAnsi="Times New Roman" w:cs="Times New Roman"/>
          <w:sz w:val="24"/>
          <w:szCs w:val="24"/>
        </w:rPr>
        <w:t>.</w:t>
      </w:r>
      <w:r w:rsidR="003F774C" w:rsidRPr="000F6431">
        <w:rPr>
          <w:rFonts w:ascii="Times New Roman" w:hAnsi="Times New Roman" w:cs="Times New Roman"/>
          <w:i/>
          <w:sz w:val="24"/>
          <w:szCs w:val="24"/>
        </w:rPr>
        <w:t xml:space="preserve"> </w:t>
      </w:r>
      <w:r w:rsidR="00EC7ADB" w:rsidRPr="000F6431">
        <w:rPr>
          <w:rFonts w:ascii="Times New Roman" w:hAnsi="Times New Roman" w:cs="Times New Roman"/>
          <w:sz w:val="24"/>
          <w:szCs w:val="24"/>
        </w:rPr>
        <w:t xml:space="preserve"> E</w:t>
      </w:r>
      <w:r w:rsidRPr="000F6431">
        <w:rPr>
          <w:rFonts w:ascii="Times New Roman" w:hAnsi="Times New Roman" w:cs="Times New Roman"/>
          <w:sz w:val="24"/>
          <w:szCs w:val="24"/>
        </w:rPr>
        <w:t xml:space="preserve">nviron </w:t>
      </w:r>
      <w:r w:rsidR="00EC7ADB" w:rsidRPr="000F6431">
        <w:rPr>
          <w:rFonts w:ascii="Times New Roman" w:hAnsi="Times New Roman" w:cs="Times New Roman"/>
          <w:sz w:val="24"/>
          <w:szCs w:val="24"/>
        </w:rPr>
        <w:t>I</w:t>
      </w:r>
      <w:r w:rsidRPr="000F6431">
        <w:rPr>
          <w:rFonts w:ascii="Times New Roman" w:hAnsi="Times New Roman" w:cs="Times New Roman"/>
          <w:sz w:val="24"/>
          <w:szCs w:val="24"/>
        </w:rPr>
        <w:t xml:space="preserve">mpact </w:t>
      </w:r>
      <w:r w:rsidR="00EC7ADB" w:rsidRPr="000F6431">
        <w:rPr>
          <w:rFonts w:ascii="Times New Roman" w:hAnsi="Times New Roman" w:cs="Times New Roman"/>
          <w:sz w:val="24"/>
          <w:szCs w:val="24"/>
        </w:rPr>
        <w:t>A</w:t>
      </w:r>
      <w:r w:rsidRPr="000F6431">
        <w:rPr>
          <w:rFonts w:ascii="Times New Roman" w:hAnsi="Times New Roman" w:cs="Times New Roman"/>
          <w:sz w:val="24"/>
          <w:szCs w:val="24"/>
        </w:rPr>
        <w:t xml:space="preserve">ssess Rev 2010; </w:t>
      </w:r>
      <w:r w:rsidR="00EC7ADB" w:rsidRPr="000F6431">
        <w:rPr>
          <w:rStyle w:val="apple-style-span"/>
          <w:rFonts w:ascii="Times New Roman" w:hAnsi="Times New Roman" w:cs="Times New Roman"/>
          <w:color w:val="333333"/>
          <w:sz w:val="24"/>
          <w:szCs w:val="24"/>
        </w:rPr>
        <w:t>30(3): 200-210.</w:t>
      </w:r>
    </w:p>
    <w:p w:rsidR="003F774C" w:rsidRPr="000F6431" w:rsidRDefault="003F71F7"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France </w:t>
      </w:r>
      <w:r w:rsidR="003F774C" w:rsidRPr="000F6431">
        <w:rPr>
          <w:rFonts w:ascii="Times New Roman" w:hAnsi="Times New Roman" w:cs="Times New Roman"/>
          <w:sz w:val="24"/>
          <w:szCs w:val="24"/>
        </w:rPr>
        <w:t>C. Health contribution to local government planning</w:t>
      </w:r>
      <w:r w:rsidRPr="000F6431">
        <w:rPr>
          <w:rFonts w:ascii="Times New Roman" w:hAnsi="Times New Roman" w:cs="Times New Roman"/>
          <w:sz w:val="24"/>
          <w:szCs w:val="24"/>
        </w:rPr>
        <w:t xml:space="preserve">. Environ </w:t>
      </w:r>
      <w:r w:rsidR="00EC7ADB" w:rsidRPr="000F6431">
        <w:rPr>
          <w:rFonts w:ascii="Times New Roman" w:hAnsi="Times New Roman" w:cs="Times New Roman"/>
          <w:sz w:val="24"/>
          <w:szCs w:val="24"/>
        </w:rPr>
        <w:t>I</w:t>
      </w:r>
      <w:r w:rsidRPr="000F6431">
        <w:rPr>
          <w:rFonts w:ascii="Times New Roman" w:hAnsi="Times New Roman" w:cs="Times New Roman"/>
          <w:sz w:val="24"/>
          <w:szCs w:val="24"/>
        </w:rPr>
        <w:t xml:space="preserve">mpact </w:t>
      </w:r>
      <w:r w:rsidR="00EC7ADB" w:rsidRPr="000F6431">
        <w:rPr>
          <w:rFonts w:ascii="Times New Roman" w:hAnsi="Times New Roman" w:cs="Times New Roman"/>
          <w:sz w:val="24"/>
          <w:szCs w:val="24"/>
        </w:rPr>
        <w:t>A</w:t>
      </w:r>
      <w:r w:rsidRPr="000F6431">
        <w:rPr>
          <w:rFonts w:ascii="Times New Roman" w:hAnsi="Times New Roman" w:cs="Times New Roman"/>
          <w:sz w:val="24"/>
          <w:szCs w:val="24"/>
        </w:rPr>
        <w:t>ssess</w:t>
      </w:r>
      <w:r w:rsidR="00EC7ADB" w:rsidRPr="000F6431">
        <w:rPr>
          <w:rFonts w:ascii="Times New Roman" w:hAnsi="Times New Roman" w:cs="Times New Roman"/>
          <w:sz w:val="24"/>
          <w:szCs w:val="24"/>
        </w:rPr>
        <w:t xml:space="preserve"> </w:t>
      </w:r>
      <w:r w:rsidRPr="000F6431">
        <w:rPr>
          <w:rFonts w:ascii="Times New Roman" w:hAnsi="Times New Roman" w:cs="Times New Roman"/>
          <w:sz w:val="24"/>
          <w:szCs w:val="24"/>
        </w:rPr>
        <w:t>Rev 2004; 24:</w:t>
      </w:r>
      <w:r w:rsidR="003F774C" w:rsidRPr="000F6431">
        <w:rPr>
          <w:rFonts w:ascii="Times New Roman" w:hAnsi="Times New Roman" w:cs="Times New Roman"/>
          <w:sz w:val="24"/>
          <w:szCs w:val="24"/>
        </w:rPr>
        <w:t xml:space="preserve"> 189-198.</w:t>
      </w:r>
    </w:p>
    <w:p w:rsidR="003F774C" w:rsidRPr="000F6431" w:rsidRDefault="003F774C"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lastRenderedPageBreak/>
        <w:t xml:space="preserve">Glasgow Centre for Population Health </w:t>
      </w:r>
      <w:r w:rsidR="003F71F7" w:rsidRPr="000F6431">
        <w:rPr>
          <w:rFonts w:ascii="Times New Roman" w:hAnsi="Times New Roman" w:cs="Times New Roman"/>
          <w:sz w:val="24"/>
          <w:szCs w:val="24"/>
        </w:rPr>
        <w:t xml:space="preserve">. </w:t>
      </w:r>
      <w:r w:rsidRPr="000F6431">
        <w:rPr>
          <w:rFonts w:ascii="Times New Roman" w:hAnsi="Times New Roman" w:cs="Times New Roman"/>
          <w:sz w:val="24"/>
          <w:szCs w:val="24"/>
        </w:rPr>
        <w:t>Piloting HIA as a Method of Integrating Health into Planning: a Case Study of the Draft East End Local Development Strategy.</w:t>
      </w:r>
      <w:r w:rsidRPr="000F6431">
        <w:rPr>
          <w:rFonts w:ascii="Times New Roman" w:hAnsi="Times New Roman" w:cs="Times New Roman"/>
          <w:i/>
          <w:sz w:val="24"/>
          <w:szCs w:val="24"/>
        </w:rPr>
        <w:t xml:space="preserve"> </w:t>
      </w:r>
      <w:r w:rsidRPr="000F6431">
        <w:rPr>
          <w:rFonts w:ascii="Times New Roman" w:hAnsi="Times New Roman" w:cs="Times New Roman"/>
          <w:sz w:val="24"/>
          <w:szCs w:val="24"/>
        </w:rPr>
        <w:t xml:space="preserve"> Glasgow Cen</w:t>
      </w:r>
      <w:r w:rsidR="003F71F7" w:rsidRPr="000F6431">
        <w:rPr>
          <w:rFonts w:ascii="Times New Roman" w:hAnsi="Times New Roman" w:cs="Times New Roman"/>
          <w:sz w:val="24"/>
          <w:szCs w:val="24"/>
        </w:rPr>
        <w:t xml:space="preserve">tre for Population Health </w:t>
      </w:r>
      <w:r w:rsidRPr="000F6431">
        <w:rPr>
          <w:rFonts w:ascii="Times New Roman" w:hAnsi="Times New Roman" w:cs="Times New Roman"/>
          <w:sz w:val="24"/>
          <w:szCs w:val="24"/>
        </w:rPr>
        <w:t>2007</w:t>
      </w:r>
      <w:r w:rsidR="003F71F7" w:rsidRPr="000F6431">
        <w:rPr>
          <w:rFonts w:ascii="Times New Roman" w:hAnsi="Times New Roman" w:cs="Times New Roman"/>
          <w:sz w:val="24"/>
          <w:szCs w:val="24"/>
        </w:rPr>
        <w:t>.</w:t>
      </w:r>
    </w:p>
    <w:p w:rsidR="003F774C" w:rsidRPr="000F6431" w:rsidRDefault="003F71F7"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Gow A, Dubois</w:t>
      </w:r>
      <w:r w:rsidR="003F774C" w:rsidRPr="000F6431">
        <w:rPr>
          <w:rFonts w:ascii="Times New Roman" w:hAnsi="Times New Roman" w:cs="Times New Roman"/>
          <w:sz w:val="24"/>
          <w:szCs w:val="24"/>
        </w:rPr>
        <w:t xml:space="preserve"> L. Bungendore health impact assessment: urban development in a rural setting. NSW Public Health Bu</w:t>
      </w:r>
      <w:r w:rsidRPr="000F6431">
        <w:rPr>
          <w:rFonts w:ascii="Times New Roman" w:hAnsi="Times New Roman" w:cs="Times New Roman"/>
          <w:sz w:val="24"/>
          <w:szCs w:val="24"/>
        </w:rPr>
        <w:t xml:space="preserve">lletin 200?; </w:t>
      </w:r>
      <w:r w:rsidR="003F774C" w:rsidRPr="000F6431">
        <w:rPr>
          <w:rFonts w:ascii="Times New Roman" w:hAnsi="Times New Roman" w:cs="Times New Roman"/>
          <w:sz w:val="24"/>
          <w:szCs w:val="24"/>
        </w:rPr>
        <w:t>18 (9-10)</w:t>
      </w:r>
      <w:r w:rsidRPr="000F6431">
        <w:rPr>
          <w:rFonts w:ascii="Times New Roman" w:hAnsi="Times New Roman" w:cs="Times New Roman"/>
          <w:sz w:val="24"/>
          <w:szCs w:val="24"/>
        </w:rPr>
        <w:t>.</w:t>
      </w:r>
    </w:p>
    <w:p w:rsidR="003F774C" w:rsidRPr="000F6431" w:rsidRDefault="003F71F7" w:rsidP="00A44105">
      <w:pPr>
        <w:autoSpaceDE w:val="0"/>
        <w:autoSpaceDN w:val="0"/>
        <w:adjustRightInd w:val="0"/>
        <w:spacing w:after="0" w:line="480" w:lineRule="auto"/>
        <w:rPr>
          <w:rFonts w:ascii="Times New Roman" w:hAnsi="Times New Roman" w:cs="Times New Roman"/>
          <w:color w:val="231F20"/>
          <w:sz w:val="24"/>
          <w:szCs w:val="24"/>
        </w:rPr>
      </w:pPr>
      <w:r w:rsidRPr="000F6431">
        <w:rPr>
          <w:rFonts w:ascii="Times New Roman" w:hAnsi="Times New Roman" w:cs="Times New Roman"/>
          <w:color w:val="231F20"/>
          <w:sz w:val="24"/>
          <w:szCs w:val="24"/>
        </w:rPr>
        <w:t>Green G, Price C, Stafford B</w:t>
      </w:r>
      <w:r w:rsidR="003F774C" w:rsidRPr="000F6431">
        <w:rPr>
          <w:rFonts w:ascii="Times New Roman" w:hAnsi="Times New Roman" w:cs="Times New Roman"/>
          <w:color w:val="231F20"/>
          <w:sz w:val="24"/>
          <w:szCs w:val="24"/>
        </w:rPr>
        <w:t xml:space="preserve">. Health as human capital: public health and EU Structural Funds. </w:t>
      </w:r>
      <w:r w:rsidRPr="000F6431">
        <w:rPr>
          <w:rFonts w:ascii="Times New Roman" w:hAnsi="Times New Roman" w:cs="Times New Roman"/>
          <w:color w:val="231F20"/>
          <w:sz w:val="24"/>
          <w:szCs w:val="24"/>
        </w:rPr>
        <w:t>Sheffield: CRESR,</w:t>
      </w:r>
      <w:r w:rsidR="006A7832" w:rsidRPr="000F6431">
        <w:rPr>
          <w:rFonts w:ascii="Times New Roman" w:hAnsi="Times New Roman" w:cs="Times New Roman"/>
          <w:color w:val="231F20"/>
          <w:sz w:val="24"/>
          <w:szCs w:val="24"/>
        </w:rPr>
        <w:t xml:space="preserve"> </w:t>
      </w:r>
      <w:r w:rsidRPr="000F6431">
        <w:rPr>
          <w:rFonts w:ascii="Times New Roman" w:hAnsi="Times New Roman" w:cs="Times New Roman"/>
          <w:color w:val="231F20"/>
          <w:sz w:val="24"/>
          <w:szCs w:val="24"/>
        </w:rPr>
        <w:t>S</w:t>
      </w:r>
      <w:r w:rsidR="00751CB2" w:rsidRPr="000F6431">
        <w:rPr>
          <w:rFonts w:ascii="Times New Roman" w:hAnsi="Times New Roman" w:cs="Times New Roman"/>
          <w:color w:val="231F20"/>
          <w:sz w:val="24"/>
          <w:szCs w:val="24"/>
        </w:rPr>
        <w:t>heffield Hallam University; 2002</w:t>
      </w:r>
      <w:r w:rsidRPr="000F6431">
        <w:rPr>
          <w:rFonts w:ascii="Times New Roman" w:hAnsi="Times New Roman" w:cs="Times New Roman"/>
          <w:color w:val="231F20"/>
          <w:sz w:val="24"/>
          <w:szCs w:val="24"/>
        </w:rPr>
        <w:t>.</w:t>
      </w:r>
    </w:p>
    <w:p w:rsidR="003F774C" w:rsidRPr="000F6431" w:rsidRDefault="003F71F7"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Greig S, Parry N, Rimmington </w:t>
      </w:r>
      <w:r w:rsidR="003F774C" w:rsidRPr="000F6431">
        <w:rPr>
          <w:rFonts w:ascii="Times New Roman" w:hAnsi="Times New Roman" w:cs="Times New Roman"/>
          <w:sz w:val="24"/>
          <w:szCs w:val="24"/>
        </w:rPr>
        <w:t>B. Promoting sustainable regeneration: learning from a case study in participatory HIA.</w:t>
      </w:r>
      <w:r w:rsidR="003F774C" w:rsidRPr="000F6431">
        <w:rPr>
          <w:rFonts w:ascii="Times New Roman" w:hAnsi="Times New Roman" w:cs="Times New Roman"/>
          <w:i/>
          <w:sz w:val="24"/>
          <w:szCs w:val="24"/>
        </w:rPr>
        <w:t xml:space="preserve"> </w:t>
      </w:r>
      <w:r w:rsidR="00E75CAF" w:rsidRPr="000F6431">
        <w:rPr>
          <w:rFonts w:ascii="Times New Roman" w:hAnsi="Times New Roman" w:cs="Times New Roman"/>
          <w:sz w:val="24"/>
          <w:szCs w:val="24"/>
        </w:rPr>
        <w:t>E</w:t>
      </w:r>
      <w:r w:rsidRPr="000F6431">
        <w:rPr>
          <w:rFonts w:ascii="Times New Roman" w:hAnsi="Times New Roman" w:cs="Times New Roman"/>
          <w:sz w:val="24"/>
          <w:szCs w:val="24"/>
        </w:rPr>
        <w:t xml:space="preserve">nviron </w:t>
      </w:r>
      <w:r w:rsidR="00E75CAF" w:rsidRPr="000F6431">
        <w:rPr>
          <w:rFonts w:ascii="Times New Roman" w:hAnsi="Times New Roman" w:cs="Times New Roman"/>
          <w:sz w:val="24"/>
          <w:szCs w:val="24"/>
        </w:rPr>
        <w:t>I</w:t>
      </w:r>
      <w:r w:rsidRPr="000F6431">
        <w:rPr>
          <w:rFonts w:ascii="Times New Roman" w:hAnsi="Times New Roman" w:cs="Times New Roman"/>
          <w:sz w:val="24"/>
          <w:szCs w:val="24"/>
        </w:rPr>
        <w:t xml:space="preserve">mpact </w:t>
      </w:r>
      <w:r w:rsidR="00E75CAF" w:rsidRPr="000F6431">
        <w:rPr>
          <w:rFonts w:ascii="Times New Roman" w:hAnsi="Times New Roman" w:cs="Times New Roman"/>
          <w:sz w:val="24"/>
          <w:szCs w:val="24"/>
        </w:rPr>
        <w:t>A</w:t>
      </w:r>
      <w:r w:rsidRPr="000F6431">
        <w:rPr>
          <w:rFonts w:ascii="Times New Roman" w:hAnsi="Times New Roman" w:cs="Times New Roman"/>
          <w:sz w:val="24"/>
          <w:szCs w:val="24"/>
        </w:rPr>
        <w:t>ssess</w:t>
      </w:r>
      <w:r w:rsidR="00E75CAF" w:rsidRPr="000F6431">
        <w:rPr>
          <w:rFonts w:ascii="Times New Roman" w:hAnsi="Times New Roman" w:cs="Times New Roman"/>
          <w:sz w:val="24"/>
          <w:szCs w:val="24"/>
        </w:rPr>
        <w:t xml:space="preserve"> </w:t>
      </w:r>
      <w:r w:rsidRPr="000F6431">
        <w:rPr>
          <w:rFonts w:ascii="Times New Roman" w:hAnsi="Times New Roman" w:cs="Times New Roman"/>
          <w:sz w:val="24"/>
          <w:szCs w:val="24"/>
        </w:rPr>
        <w:t>Rev</w:t>
      </w:r>
      <w:r w:rsidR="003F774C" w:rsidRPr="000F6431">
        <w:rPr>
          <w:rFonts w:ascii="Times New Roman" w:hAnsi="Times New Roman" w:cs="Times New Roman"/>
          <w:sz w:val="24"/>
          <w:szCs w:val="24"/>
        </w:rPr>
        <w:t xml:space="preserve"> </w:t>
      </w:r>
      <w:r w:rsidRPr="000F6431">
        <w:rPr>
          <w:rFonts w:ascii="Times New Roman" w:hAnsi="Times New Roman" w:cs="Times New Roman"/>
          <w:sz w:val="24"/>
          <w:szCs w:val="24"/>
        </w:rPr>
        <w:t>2004; 24:</w:t>
      </w:r>
      <w:r w:rsidR="003F774C" w:rsidRPr="000F6431">
        <w:rPr>
          <w:rFonts w:ascii="Times New Roman" w:hAnsi="Times New Roman" w:cs="Times New Roman"/>
          <w:sz w:val="24"/>
          <w:szCs w:val="24"/>
        </w:rPr>
        <w:t xml:space="preserve"> 255-267</w:t>
      </w:r>
      <w:r w:rsidRPr="000F6431">
        <w:rPr>
          <w:rFonts w:ascii="Times New Roman" w:hAnsi="Times New Roman" w:cs="Times New Roman"/>
          <w:sz w:val="24"/>
          <w:szCs w:val="24"/>
        </w:rPr>
        <w:t>.</w:t>
      </w:r>
    </w:p>
    <w:p w:rsidR="003F774C" w:rsidRPr="000F6431" w:rsidRDefault="003F71F7" w:rsidP="00A44105">
      <w:pPr>
        <w:autoSpaceDE w:val="0"/>
        <w:autoSpaceDN w:val="0"/>
        <w:adjustRightInd w:val="0"/>
        <w:spacing w:line="480" w:lineRule="auto"/>
        <w:rPr>
          <w:rFonts w:ascii="Times New Roman" w:hAnsi="Times New Roman" w:cs="Times New Roman"/>
          <w:bCs/>
          <w:sz w:val="24"/>
          <w:szCs w:val="24"/>
        </w:rPr>
      </w:pPr>
      <w:r w:rsidRPr="000F6431">
        <w:rPr>
          <w:rFonts w:ascii="Times New Roman" w:hAnsi="Times New Roman" w:cs="Times New Roman"/>
          <w:bCs/>
          <w:sz w:val="24"/>
          <w:szCs w:val="24"/>
        </w:rPr>
        <w:t>Harris P</w:t>
      </w:r>
      <w:r w:rsidR="00993B45" w:rsidRPr="000F6431">
        <w:rPr>
          <w:rFonts w:ascii="Times New Roman" w:hAnsi="Times New Roman" w:cs="Times New Roman"/>
          <w:bCs/>
          <w:sz w:val="24"/>
          <w:szCs w:val="24"/>
        </w:rPr>
        <w:t xml:space="preserve">, </w:t>
      </w:r>
      <w:r w:rsidR="00993B45" w:rsidRPr="000F6431">
        <w:rPr>
          <w:rStyle w:val="Strong"/>
          <w:rFonts w:ascii="Times New Roman" w:hAnsi="Times New Roman" w:cs="Times New Roman"/>
          <w:b w:val="0"/>
          <w:color w:val="000000"/>
          <w:sz w:val="24"/>
          <w:szCs w:val="24"/>
        </w:rPr>
        <w:t>Harr</w:t>
      </w:r>
      <w:bookmarkStart w:id="3" w:name="bvt2"/>
      <w:bookmarkStart w:id="4" w:name="bfn1"/>
      <w:bookmarkEnd w:id="3"/>
      <w:r w:rsidR="00993B45" w:rsidRPr="000F6431">
        <w:rPr>
          <w:rStyle w:val="Strong"/>
          <w:rFonts w:ascii="Times New Roman" w:hAnsi="Times New Roman" w:cs="Times New Roman"/>
          <w:b w:val="0"/>
          <w:color w:val="000000"/>
          <w:sz w:val="24"/>
          <w:szCs w:val="24"/>
        </w:rPr>
        <w:t>is H, Thompson</w:t>
      </w:r>
      <w:bookmarkStart w:id="5" w:name="bvt3"/>
      <w:bookmarkStart w:id="6" w:name="bfn2"/>
      <w:bookmarkEnd w:id="5"/>
      <w:bookmarkEnd w:id="6"/>
      <w:r w:rsidR="00993B45" w:rsidRPr="000F6431">
        <w:rPr>
          <w:rStyle w:val="Strong"/>
          <w:rFonts w:ascii="Times New Roman" w:hAnsi="Times New Roman" w:cs="Times New Roman"/>
          <w:b w:val="0"/>
          <w:color w:val="000000"/>
          <w:sz w:val="24"/>
          <w:szCs w:val="24"/>
          <w:vertAlign w:val="superscript"/>
        </w:rPr>
        <w:t xml:space="preserve"> </w:t>
      </w:r>
      <w:r w:rsidR="00993B45" w:rsidRPr="000F6431">
        <w:rPr>
          <w:rStyle w:val="Strong"/>
          <w:rFonts w:ascii="Times New Roman" w:hAnsi="Times New Roman" w:cs="Times New Roman"/>
          <w:b w:val="0"/>
          <w:color w:val="000000"/>
          <w:sz w:val="24"/>
          <w:szCs w:val="24"/>
        </w:rPr>
        <w:t>S, Harris-Roxas</w:t>
      </w:r>
      <w:bookmarkStart w:id="7" w:name="bvt4"/>
      <w:bookmarkEnd w:id="7"/>
      <w:r w:rsidR="00FB352A" w:rsidRPr="000F6431">
        <w:rPr>
          <w:rStyle w:val="Strong"/>
          <w:rFonts w:ascii="Times New Roman" w:hAnsi="Times New Roman" w:cs="Times New Roman"/>
          <w:b w:val="0"/>
          <w:color w:val="000000"/>
          <w:sz w:val="24"/>
          <w:szCs w:val="24"/>
          <w:vertAlign w:val="superscript"/>
        </w:rPr>
        <w:t xml:space="preserve"> </w:t>
      </w:r>
      <w:r w:rsidR="00993B45" w:rsidRPr="000F6431">
        <w:rPr>
          <w:rStyle w:val="apple-converted-space"/>
          <w:rFonts w:ascii="Times New Roman" w:hAnsi="Times New Roman" w:cs="Times New Roman"/>
          <w:bCs/>
          <w:color w:val="000000"/>
          <w:sz w:val="24"/>
          <w:szCs w:val="24"/>
        </w:rPr>
        <w:t>B,</w:t>
      </w:r>
      <w:r w:rsidR="00993B45" w:rsidRPr="000F6431">
        <w:rPr>
          <w:rStyle w:val="apple-converted-space"/>
          <w:rFonts w:ascii="Times New Roman" w:hAnsi="Times New Roman" w:cs="Times New Roman"/>
          <w:b/>
          <w:bCs/>
          <w:color w:val="000000"/>
          <w:sz w:val="24"/>
          <w:szCs w:val="24"/>
        </w:rPr>
        <w:t xml:space="preserve"> </w:t>
      </w:r>
      <w:r w:rsidR="00993B45" w:rsidRPr="000F6431">
        <w:rPr>
          <w:rStyle w:val="Strong"/>
          <w:rFonts w:ascii="Times New Roman" w:hAnsi="Times New Roman" w:cs="Times New Roman"/>
          <w:b w:val="0"/>
          <w:color w:val="000000"/>
          <w:sz w:val="24"/>
          <w:szCs w:val="24"/>
        </w:rPr>
        <w:t>Kemp</w:t>
      </w:r>
      <w:bookmarkStart w:id="8" w:name="bvt5"/>
      <w:bookmarkEnd w:id="4"/>
      <w:bookmarkEnd w:id="8"/>
      <w:r w:rsidR="00993B45" w:rsidRPr="000F6431">
        <w:rPr>
          <w:rStyle w:val="Strong"/>
          <w:rFonts w:ascii="Times New Roman" w:hAnsi="Times New Roman" w:cs="Times New Roman"/>
          <w:b w:val="0"/>
          <w:color w:val="000000"/>
          <w:sz w:val="24"/>
          <w:szCs w:val="24"/>
          <w:vertAlign w:val="superscript"/>
        </w:rPr>
        <w:t xml:space="preserve"> </w:t>
      </w:r>
      <w:r w:rsidR="00993B45" w:rsidRPr="000F6431">
        <w:rPr>
          <w:rStyle w:val="apple-converted-space"/>
          <w:rFonts w:ascii="Times New Roman" w:hAnsi="Times New Roman" w:cs="Times New Roman"/>
          <w:bCs/>
          <w:color w:val="000000"/>
          <w:sz w:val="24"/>
          <w:szCs w:val="24"/>
        </w:rPr>
        <w:t xml:space="preserve">L. </w:t>
      </w:r>
      <w:r w:rsidR="00993B45" w:rsidRPr="000F6431">
        <w:rPr>
          <w:rStyle w:val="apple-converted-space"/>
          <w:rFonts w:ascii="Times New Roman" w:hAnsi="Times New Roman" w:cs="Times New Roman"/>
          <w:bCs/>
          <w:color w:val="000000"/>
          <w:sz w:val="24"/>
          <w:szCs w:val="24"/>
          <w:vertAlign w:val="superscript"/>
        </w:rPr>
        <w:t> </w:t>
      </w:r>
      <w:r w:rsidR="003F774C" w:rsidRPr="000F6431">
        <w:rPr>
          <w:rFonts w:ascii="Times New Roman" w:hAnsi="Times New Roman" w:cs="Times New Roman"/>
          <w:bCs/>
          <w:sz w:val="24"/>
          <w:szCs w:val="24"/>
        </w:rPr>
        <w:t xml:space="preserve">Human health and wellbeing in environmental impact assessment </w:t>
      </w:r>
      <w:r w:rsidRPr="000F6431">
        <w:rPr>
          <w:rFonts w:ascii="Times New Roman" w:hAnsi="Times New Roman" w:cs="Times New Roman"/>
          <w:bCs/>
          <w:sz w:val="24"/>
          <w:szCs w:val="24"/>
        </w:rPr>
        <w:t>in New South Wales, Australia: a</w:t>
      </w:r>
      <w:r w:rsidR="003F774C" w:rsidRPr="000F6431">
        <w:rPr>
          <w:rFonts w:ascii="Times New Roman" w:hAnsi="Times New Roman" w:cs="Times New Roman"/>
          <w:bCs/>
          <w:sz w:val="24"/>
          <w:szCs w:val="24"/>
        </w:rPr>
        <w:t xml:space="preserve">uditing health impacts within environmental assessments of major projects. </w:t>
      </w:r>
      <w:r w:rsidR="00EC7ADB" w:rsidRPr="000F6431">
        <w:rPr>
          <w:rFonts w:ascii="Times New Roman" w:hAnsi="Times New Roman" w:cs="Times New Roman"/>
          <w:sz w:val="24"/>
          <w:szCs w:val="24"/>
        </w:rPr>
        <w:t>E</w:t>
      </w:r>
      <w:r w:rsidRPr="000F6431">
        <w:rPr>
          <w:rFonts w:ascii="Times New Roman" w:hAnsi="Times New Roman" w:cs="Times New Roman"/>
          <w:sz w:val="24"/>
          <w:szCs w:val="24"/>
        </w:rPr>
        <w:t xml:space="preserve">nviron </w:t>
      </w:r>
      <w:r w:rsidR="00EC7ADB" w:rsidRPr="000F6431">
        <w:rPr>
          <w:rFonts w:ascii="Times New Roman" w:hAnsi="Times New Roman" w:cs="Times New Roman"/>
          <w:sz w:val="24"/>
          <w:szCs w:val="24"/>
        </w:rPr>
        <w:t>I</w:t>
      </w:r>
      <w:r w:rsidRPr="000F6431">
        <w:rPr>
          <w:rFonts w:ascii="Times New Roman" w:hAnsi="Times New Roman" w:cs="Times New Roman"/>
          <w:sz w:val="24"/>
          <w:szCs w:val="24"/>
        </w:rPr>
        <w:t xml:space="preserve">mpact </w:t>
      </w:r>
      <w:r w:rsidR="00EC7ADB" w:rsidRPr="000F6431">
        <w:rPr>
          <w:rFonts w:ascii="Times New Roman" w:hAnsi="Times New Roman" w:cs="Times New Roman"/>
          <w:sz w:val="24"/>
          <w:szCs w:val="24"/>
        </w:rPr>
        <w:t>A</w:t>
      </w:r>
      <w:r w:rsidRPr="000F6431">
        <w:rPr>
          <w:rFonts w:ascii="Times New Roman" w:hAnsi="Times New Roman" w:cs="Times New Roman"/>
          <w:sz w:val="24"/>
          <w:szCs w:val="24"/>
        </w:rPr>
        <w:t>ssess</w:t>
      </w:r>
      <w:r w:rsidR="00615C37" w:rsidRPr="000F6431">
        <w:rPr>
          <w:rFonts w:ascii="Times New Roman" w:hAnsi="Times New Roman" w:cs="Times New Roman"/>
          <w:sz w:val="24"/>
          <w:szCs w:val="24"/>
        </w:rPr>
        <w:t xml:space="preserve"> Rev 2009</w:t>
      </w:r>
      <w:r w:rsidR="003F774C" w:rsidRPr="000F6431">
        <w:rPr>
          <w:rFonts w:ascii="Times New Roman" w:hAnsi="Times New Roman" w:cs="Times New Roman"/>
          <w:sz w:val="24"/>
          <w:szCs w:val="24"/>
        </w:rPr>
        <w:t>; 29: 310-318.</w:t>
      </w:r>
    </w:p>
    <w:p w:rsidR="003F774C" w:rsidRPr="000F6431" w:rsidRDefault="00615C37"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Hay L, Kitcher</w:t>
      </w:r>
      <w:r w:rsidR="003F774C" w:rsidRPr="000F6431">
        <w:rPr>
          <w:rFonts w:ascii="Times New Roman" w:hAnsi="Times New Roman" w:cs="Times New Roman"/>
          <w:sz w:val="24"/>
          <w:szCs w:val="24"/>
        </w:rPr>
        <w:t xml:space="preserve"> C.</w:t>
      </w:r>
      <w:r w:rsidRPr="000F6431">
        <w:rPr>
          <w:rFonts w:ascii="Times New Roman" w:hAnsi="Times New Roman" w:cs="Times New Roman"/>
          <w:sz w:val="24"/>
          <w:szCs w:val="24"/>
        </w:rPr>
        <w:t xml:space="preserve"> </w:t>
      </w:r>
      <w:r w:rsidR="003F774C" w:rsidRPr="000F6431">
        <w:rPr>
          <w:rFonts w:ascii="Times New Roman" w:hAnsi="Times New Roman" w:cs="Times New Roman"/>
          <w:sz w:val="24"/>
          <w:szCs w:val="24"/>
        </w:rPr>
        <w:t xml:space="preserve">An analysis of the benefits of a cross-sectoral approach to a prospective health impact assessment of a container port development. </w:t>
      </w:r>
      <w:r w:rsidR="00EC7ADB" w:rsidRPr="000F6431">
        <w:rPr>
          <w:rFonts w:ascii="Times New Roman" w:hAnsi="Times New Roman" w:cs="Times New Roman"/>
          <w:sz w:val="24"/>
          <w:szCs w:val="24"/>
        </w:rPr>
        <w:t xml:space="preserve"> E</w:t>
      </w:r>
      <w:r w:rsidRPr="000F6431">
        <w:rPr>
          <w:rFonts w:ascii="Times New Roman" w:hAnsi="Times New Roman" w:cs="Times New Roman"/>
          <w:sz w:val="24"/>
          <w:szCs w:val="24"/>
        </w:rPr>
        <w:t xml:space="preserve">nviron </w:t>
      </w:r>
      <w:r w:rsidR="00EC7ADB" w:rsidRPr="000F6431">
        <w:rPr>
          <w:rFonts w:ascii="Times New Roman" w:hAnsi="Times New Roman" w:cs="Times New Roman"/>
          <w:sz w:val="24"/>
          <w:szCs w:val="24"/>
        </w:rPr>
        <w:t>I</w:t>
      </w:r>
      <w:r w:rsidRPr="000F6431">
        <w:rPr>
          <w:rFonts w:ascii="Times New Roman" w:hAnsi="Times New Roman" w:cs="Times New Roman"/>
          <w:sz w:val="24"/>
          <w:szCs w:val="24"/>
        </w:rPr>
        <w:t xml:space="preserve">mpact </w:t>
      </w:r>
      <w:r w:rsidR="00EC7ADB" w:rsidRPr="000F6431">
        <w:rPr>
          <w:rFonts w:ascii="Times New Roman" w:hAnsi="Times New Roman" w:cs="Times New Roman"/>
          <w:sz w:val="24"/>
          <w:szCs w:val="24"/>
        </w:rPr>
        <w:t>A</w:t>
      </w:r>
      <w:r w:rsidRPr="000F6431">
        <w:rPr>
          <w:rFonts w:ascii="Times New Roman" w:hAnsi="Times New Roman" w:cs="Times New Roman"/>
          <w:sz w:val="24"/>
          <w:szCs w:val="24"/>
        </w:rPr>
        <w:t>ssess</w:t>
      </w:r>
      <w:r w:rsidR="00E75CAF" w:rsidRPr="000F6431">
        <w:rPr>
          <w:rFonts w:ascii="Times New Roman" w:hAnsi="Times New Roman" w:cs="Times New Roman"/>
          <w:sz w:val="24"/>
          <w:szCs w:val="24"/>
        </w:rPr>
        <w:t xml:space="preserve"> </w:t>
      </w:r>
      <w:r w:rsidRPr="000F6431">
        <w:rPr>
          <w:rFonts w:ascii="Times New Roman" w:hAnsi="Times New Roman" w:cs="Times New Roman"/>
          <w:sz w:val="24"/>
          <w:szCs w:val="24"/>
        </w:rPr>
        <w:t>Rev 2004; 24:</w:t>
      </w:r>
      <w:r w:rsidR="003F774C" w:rsidRPr="000F6431">
        <w:rPr>
          <w:rFonts w:ascii="Times New Roman" w:hAnsi="Times New Roman" w:cs="Times New Roman"/>
          <w:sz w:val="24"/>
          <w:szCs w:val="24"/>
        </w:rPr>
        <w:t xml:space="preserve"> 199-206</w:t>
      </w:r>
      <w:r w:rsidRPr="000F6431">
        <w:rPr>
          <w:rFonts w:ascii="Times New Roman" w:hAnsi="Times New Roman" w:cs="Times New Roman"/>
          <w:sz w:val="24"/>
          <w:szCs w:val="24"/>
        </w:rPr>
        <w:t>.</w:t>
      </w:r>
    </w:p>
    <w:p w:rsidR="003F774C" w:rsidRPr="000F6431" w:rsidRDefault="00615C37" w:rsidP="00A44105">
      <w:pPr>
        <w:autoSpaceDE w:val="0"/>
        <w:autoSpaceDN w:val="0"/>
        <w:adjustRightInd w:val="0"/>
        <w:spacing w:after="0" w:line="480" w:lineRule="auto"/>
        <w:rPr>
          <w:rFonts w:ascii="Times New Roman" w:hAnsi="Times New Roman" w:cs="Times New Roman"/>
          <w:color w:val="231F20"/>
          <w:sz w:val="24"/>
          <w:szCs w:val="24"/>
        </w:rPr>
      </w:pPr>
      <w:r w:rsidRPr="000F6431">
        <w:rPr>
          <w:rFonts w:ascii="Times New Roman" w:hAnsi="Times New Roman" w:cs="Times New Roman"/>
          <w:sz w:val="24"/>
          <w:szCs w:val="24"/>
        </w:rPr>
        <w:t>Ison E</w:t>
      </w:r>
      <w:r w:rsidR="003F774C" w:rsidRPr="000F6431">
        <w:rPr>
          <w:rFonts w:ascii="Times New Roman" w:hAnsi="Times New Roman" w:cs="Times New Roman"/>
          <w:sz w:val="24"/>
          <w:szCs w:val="24"/>
        </w:rPr>
        <w:t xml:space="preserve">. </w:t>
      </w:r>
      <w:r w:rsidR="003F774C" w:rsidRPr="000F6431">
        <w:rPr>
          <w:rFonts w:ascii="Times New Roman" w:hAnsi="Times New Roman" w:cs="Times New Roman"/>
          <w:color w:val="231F20"/>
          <w:sz w:val="24"/>
          <w:szCs w:val="24"/>
        </w:rPr>
        <w:t xml:space="preserve">The introduction of health impact assessment in the WHO European Healthy Cities Network. Health Promotion International </w:t>
      </w:r>
      <w:r w:rsidRPr="000F6431">
        <w:rPr>
          <w:rFonts w:ascii="Times New Roman" w:hAnsi="Times New Roman" w:cs="Times New Roman"/>
          <w:color w:val="231F20"/>
          <w:sz w:val="24"/>
          <w:szCs w:val="24"/>
        </w:rPr>
        <w:t xml:space="preserve">2009; </w:t>
      </w:r>
      <w:r w:rsidR="003F774C" w:rsidRPr="000F6431">
        <w:rPr>
          <w:rFonts w:ascii="Times New Roman" w:hAnsi="Times New Roman" w:cs="Times New Roman"/>
          <w:color w:val="231F20"/>
          <w:sz w:val="24"/>
          <w:szCs w:val="24"/>
        </w:rPr>
        <w:t>24 S1.</w:t>
      </w:r>
    </w:p>
    <w:p w:rsidR="003F774C" w:rsidRPr="000F6431" w:rsidRDefault="00615C37" w:rsidP="00A44105">
      <w:pPr>
        <w:spacing w:line="480" w:lineRule="auto"/>
        <w:jc w:val="both"/>
        <w:rPr>
          <w:rFonts w:ascii="Times New Roman" w:hAnsi="Times New Roman" w:cs="Times New Roman"/>
          <w:sz w:val="24"/>
          <w:szCs w:val="24"/>
          <w:lang w:eastAsia="en-GB"/>
        </w:rPr>
      </w:pPr>
      <w:r w:rsidRPr="000F6431">
        <w:rPr>
          <w:rFonts w:ascii="Times New Roman" w:hAnsi="Times New Roman" w:cs="Times New Roman"/>
          <w:sz w:val="24"/>
          <w:szCs w:val="24"/>
        </w:rPr>
        <w:t>Jobin, W</w:t>
      </w:r>
      <w:r w:rsidR="003F774C" w:rsidRPr="000F6431">
        <w:rPr>
          <w:rFonts w:ascii="Times New Roman" w:hAnsi="Times New Roman" w:cs="Times New Roman"/>
          <w:sz w:val="24"/>
          <w:szCs w:val="24"/>
        </w:rPr>
        <w:t xml:space="preserve">. Health and equity impacts of a large oil project in Africa. Bulletin of the World Health Organisation  </w:t>
      </w:r>
      <w:r w:rsidRPr="000F6431">
        <w:rPr>
          <w:rFonts w:ascii="Times New Roman" w:hAnsi="Times New Roman" w:cs="Times New Roman"/>
          <w:sz w:val="24"/>
          <w:szCs w:val="24"/>
        </w:rPr>
        <w:t>2003; 81 (6):</w:t>
      </w:r>
      <w:r w:rsidR="003F774C" w:rsidRPr="000F6431">
        <w:rPr>
          <w:rFonts w:ascii="Times New Roman" w:hAnsi="Times New Roman" w:cs="Times New Roman"/>
          <w:sz w:val="24"/>
          <w:szCs w:val="24"/>
        </w:rPr>
        <w:t xml:space="preserve"> 420-426</w:t>
      </w:r>
      <w:r w:rsidRPr="000F6431">
        <w:rPr>
          <w:rFonts w:ascii="Times New Roman" w:hAnsi="Times New Roman" w:cs="Times New Roman"/>
          <w:sz w:val="24"/>
          <w:szCs w:val="24"/>
        </w:rPr>
        <w:t>.</w:t>
      </w:r>
    </w:p>
    <w:p w:rsidR="003F774C" w:rsidRPr="000F6431" w:rsidRDefault="00615C37" w:rsidP="00A44105">
      <w:pPr>
        <w:spacing w:line="480" w:lineRule="auto"/>
        <w:jc w:val="both"/>
        <w:rPr>
          <w:rFonts w:ascii="Times New Roman" w:hAnsi="Times New Roman" w:cs="Times New Roman"/>
          <w:sz w:val="24"/>
          <w:szCs w:val="24"/>
          <w:lang w:eastAsia="en-GB"/>
        </w:rPr>
      </w:pPr>
      <w:r w:rsidRPr="000F6431">
        <w:rPr>
          <w:rFonts w:ascii="Times New Roman" w:hAnsi="Times New Roman" w:cs="Times New Roman"/>
          <w:sz w:val="24"/>
          <w:szCs w:val="24"/>
          <w:lang w:eastAsia="en-GB"/>
        </w:rPr>
        <w:t>Kemm J, Parry J, Palmer, S. eds</w:t>
      </w:r>
      <w:r w:rsidR="003F774C" w:rsidRPr="000F6431">
        <w:rPr>
          <w:rFonts w:ascii="Times New Roman" w:hAnsi="Times New Roman" w:cs="Times New Roman"/>
          <w:sz w:val="24"/>
          <w:szCs w:val="24"/>
          <w:lang w:eastAsia="en-GB"/>
        </w:rPr>
        <w:t xml:space="preserve">. Health Impact Assessment. </w:t>
      </w:r>
      <w:r w:rsidRPr="000F6431">
        <w:rPr>
          <w:rFonts w:ascii="Times New Roman" w:hAnsi="Times New Roman" w:cs="Times New Roman"/>
          <w:sz w:val="24"/>
          <w:szCs w:val="24"/>
          <w:lang w:eastAsia="en-GB"/>
        </w:rPr>
        <w:t>Oxford: Oxford University Press; 2004.</w:t>
      </w:r>
    </w:p>
    <w:p w:rsidR="003F774C" w:rsidRPr="000F6431" w:rsidRDefault="001C4515"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lastRenderedPageBreak/>
        <w:t>Kjellstrom T, Van Kerkhoff L, Bammer G, McMichael T</w:t>
      </w:r>
      <w:r w:rsidR="003F774C" w:rsidRPr="000F6431">
        <w:rPr>
          <w:rFonts w:ascii="Times New Roman" w:hAnsi="Times New Roman" w:cs="Times New Roman"/>
          <w:sz w:val="24"/>
          <w:szCs w:val="24"/>
        </w:rPr>
        <w:t xml:space="preserve">. Comparative assessment of transport risks- how it can contribute to health impact assessment of transport policies. Bulletin of the World Health Organisation </w:t>
      </w:r>
      <w:r w:rsidRPr="000F6431">
        <w:rPr>
          <w:rFonts w:ascii="Times New Roman" w:hAnsi="Times New Roman" w:cs="Times New Roman"/>
          <w:sz w:val="24"/>
          <w:szCs w:val="24"/>
        </w:rPr>
        <w:t>2003l 81 (6)</w:t>
      </w:r>
      <w:r w:rsidR="003F774C" w:rsidRPr="000F6431">
        <w:rPr>
          <w:rFonts w:ascii="Times New Roman" w:hAnsi="Times New Roman" w:cs="Times New Roman"/>
          <w:sz w:val="24"/>
          <w:szCs w:val="24"/>
        </w:rPr>
        <w:t>.</w:t>
      </w:r>
    </w:p>
    <w:p w:rsidR="003F774C" w:rsidRPr="000F6431" w:rsidRDefault="001C4515" w:rsidP="00A44105">
      <w:pPr>
        <w:autoSpaceDE w:val="0"/>
        <w:autoSpaceDN w:val="0"/>
        <w:adjustRightInd w:val="0"/>
        <w:spacing w:line="480" w:lineRule="auto"/>
        <w:rPr>
          <w:rFonts w:ascii="Times New Roman" w:hAnsi="Times New Roman" w:cs="Times New Roman"/>
          <w:sz w:val="24"/>
          <w:szCs w:val="24"/>
        </w:rPr>
      </w:pPr>
      <w:r w:rsidRPr="000F6431">
        <w:rPr>
          <w:rFonts w:ascii="Times New Roman" w:hAnsi="Times New Roman" w:cs="Times New Roman"/>
          <w:sz w:val="24"/>
          <w:szCs w:val="24"/>
        </w:rPr>
        <w:t>Kørnøv L.</w:t>
      </w:r>
      <w:r w:rsidR="003F774C" w:rsidRPr="000F6431">
        <w:rPr>
          <w:rFonts w:ascii="Times New Roman" w:hAnsi="Times New Roman" w:cs="Times New Roman"/>
          <w:sz w:val="24"/>
          <w:szCs w:val="24"/>
        </w:rPr>
        <w:t xml:space="preserve"> </w:t>
      </w:r>
      <w:r w:rsidRPr="000F6431">
        <w:rPr>
          <w:rFonts w:ascii="Times New Roman" w:hAnsi="Times New Roman" w:cs="Times New Roman"/>
          <w:sz w:val="24"/>
          <w:szCs w:val="24"/>
        </w:rPr>
        <w:t>Strategic environmental a</w:t>
      </w:r>
      <w:r w:rsidR="003F774C" w:rsidRPr="000F6431">
        <w:rPr>
          <w:rFonts w:ascii="Times New Roman" w:hAnsi="Times New Roman" w:cs="Times New Roman"/>
          <w:sz w:val="24"/>
          <w:szCs w:val="24"/>
        </w:rPr>
        <w:t xml:space="preserve">ssessment as a catalyst </w:t>
      </w:r>
      <w:r w:rsidRPr="000F6431">
        <w:rPr>
          <w:rFonts w:ascii="Times New Roman" w:hAnsi="Times New Roman" w:cs="Times New Roman"/>
          <w:sz w:val="24"/>
          <w:szCs w:val="24"/>
        </w:rPr>
        <w:t>of healthier spatial planning: t</w:t>
      </w:r>
      <w:r w:rsidR="003F774C" w:rsidRPr="000F6431">
        <w:rPr>
          <w:rFonts w:ascii="Times New Roman" w:hAnsi="Times New Roman" w:cs="Times New Roman"/>
          <w:sz w:val="24"/>
          <w:szCs w:val="24"/>
        </w:rPr>
        <w:t>he Danish guidance and practice</w:t>
      </w:r>
      <w:r w:rsidR="003F774C" w:rsidRPr="000F6431">
        <w:rPr>
          <w:rFonts w:ascii="Times New Roman" w:hAnsi="Times New Roman" w:cs="Times New Roman"/>
          <w:i/>
          <w:sz w:val="24"/>
          <w:szCs w:val="24"/>
        </w:rPr>
        <w:t>.</w:t>
      </w:r>
      <w:r w:rsidR="00EC7ADB" w:rsidRPr="000F6431">
        <w:rPr>
          <w:rFonts w:ascii="Times New Roman" w:hAnsi="Times New Roman" w:cs="Times New Roman"/>
          <w:sz w:val="24"/>
          <w:szCs w:val="24"/>
        </w:rPr>
        <w:t xml:space="preserve"> E</w:t>
      </w:r>
      <w:r w:rsidRPr="000F6431">
        <w:rPr>
          <w:rFonts w:ascii="Times New Roman" w:hAnsi="Times New Roman" w:cs="Times New Roman"/>
          <w:sz w:val="24"/>
          <w:szCs w:val="24"/>
        </w:rPr>
        <w:t xml:space="preserve">nviron </w:t>
      </w:r>
      <w:r w:rsidR="00EC7ADB" w:rsidRPr="000F6431">
        <w:rPr>
          <w:rFonts w:ascii="Times New Roman" w:hAnsi="Times New Roman" w:cs="Times New Roman"/>
          <w:sz w:val="24"/>
          <w:szCs w:val="24"/>
        </w:rPr>
        <w:t>I</w:t>
      </w:r>
      <w:r w:rsidRPr="000F6431">
        <w:rPr>
          <w:rFonts w:ascii="Times New Roman" w:hAnsi="Times New Roman" w:cs="Times New Roman"/>
          <w:sz w:val="24"/>
          <w:szCs w:val="24"/>
        </w:rPr>
        <w:t xml:space="preserve">mpact </w:t>
      </w:r>
      <w:r w:rsidR="00EC7ADB" w:rsidRPr="000F6431">
        <w:rPr>
          <w:rFonts w:ascii="Times New Roman" w:hAnsi="Times New Roman" w:cs="Times New Roman"/>
          <w:sz w:val="24"/>
          <w:szCs w:val="24"/>
        </w:rPr>
        <w:t>A</w:t>
      </w:r>
      <w:r w:rsidRPr="000F6431">
        <w:rPr>
          <w:rFonts w:ascii="Times New Roman" w:hAnsi="Times New Roman" w:cs="Times New Roman"/>
          <w:sz w:val="24"/>
          <w:szCs w:val="24"/>
        </w:rPr>
        <w:t>ssess Rev 2009; 29:</w:t>
      </w:r>
      <w:r w:rsidR="003F774C" w:rsidRPr="000F6431">
        <w:rPr>
          <w:rFonts w:ascii="Times New Roman" w:hAnsi="Times New Roman" w:cs="Times New Roman"/>
          <w:sz w:val="24"/>
          <w:szCs w:val="24"/>
        </w:rPr>
        <w:t xml:space="preserve"> 60–65.</w:t>
      </w:r>
    </w:p>
    <w:p w:rsidR="003F774C" w:rsidRPr="000F6431" w:rsidRDefault="001C4515"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Kosa K, Molnar A, McKee M, Adany R.</w:t>
      </w:r>
      <w:r w:rsidR="003F774C" w:rsidRPr="000F6431">
        <w:rPr>
          <w:rFonts w:ascii="Times New Roman" w:hAnsi="Times New Roman" w:cs="Times New Roman"/>
          <w:sz w:val="24"/>
          <w:szCs w:val="24"/>
        </w:rPr>
        <w:t xml:space="preserve"> Rapid health impact appraisal of eviction versus a housing project in a colony dwelling Roma community. Jour</w:t>
      </w:r>
      <w:r w:rsidRPr="000F6431">
        <w:rPr>
          <w:rFonts w:ascii="Times New Roman" w:hAnsi="Times New Roman" w:cs="Times New Roman"/>
          <w:sz w:val="24"/>
          <w:szCs w:val="24"/>
        </w:rPr>
        <w:t>nal Epidimiol Community Health 2007; 61:</w:t>
      </w:r>
      <w:r w:rsidR="003F774C" w:rsidRPr="000F6431">
        <w:rPr>
          <w:rFonts w:ascii="Times New Roman" w:hAnsi="Times New Roman" w:cs="Times New Roman"/>
          <w:sz w:val="24"/>
          <w:szCs w:val="24"/>
        </w:rPr>
        <w:t xml:space="preserve"> 960-965</w:t>
      </w:r>
      <w:r w:rsidRPr="000F6431">
        <w:rPr>
          <w:rFonts w:ascii="Times New Roman" w:hAnsi="Times New Roman" w:cs="Times New Roman"/>
          <w:sz w:val="24"/>
          <w:szCs w:val="24"/>
        </w:rPr>
        <w:t>.</w:t>
      </w:r>
      <w:r w:rsidR="003F774C" w:rsidRPr="000F6431">
        <w:rPr>
          <w:rFonts w:ascii="Times New Roman" w:hAnsi="Times New Roman" w:cs="Times New Roman"/>
          <w:sz w:val="24"/>
          <w:szCs w:val="24"/>
        </w:rPr>
        <w:t xml:space="preserve"> </w:t>
      </w:r>
    </w:p>
    <w:p w:rsidR="003F774C" w:rsidRPr="000F6431" w:rsidRDefault="001C4515"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Kwiatkowski R, Ooi M</w:t>
      </w:r>
      <w:r w:rsidR="003F774C" w:rsidRPr="000F6431">
        <w:rPr>
          <w:rFonts w:ascii="Times New Roman" w:hAnsi="Times New Roman" w:cs="Times New Roman"/>
          <w:sz w:val="24"/>
          <w:szCs w:val="24"/>
        </w:rPr>
        <w:t>. Integrated environmental impact assessment: a Canadian example.  Bulletin o</w:t>
      </w:r>
      <w:r w:rsidRPr="000F6431">
        <w:rPr>
          <w:rFonts w:ascii="Times New Roman" w:hAnsi="Times New Roman" w:cs="Times New Roman"/>
          <w:sz w:val="24"/>
          <w:szCs w:val="24"/>
        </w:rPr>
        <w:t xml:space="preserve">f the World Health Organisation 2003; 81 (6): </w:t>
      </w:r>
      <w:r w:rsidR="003F774C" w:rsidRPr="000F6431">
        <w:rPr>
          <w:rFonts w:ascii="Times New Roman" w:hAnsi="Times New Roman" w:cs="Times New Roman"/>
          <w:sz w:val="24"/>
          <w:szCs w:val="24"/>
        </w:rPr>
        <w:t>434-438</w:t>
      </w:r>
      <w:r w:rsidRPr="000F6431">
        <w:rPr>
          <w:rFonts w:ascii="Times New Roman" w:hAnsi="Times New Roman" w:cs="Times New Roman"/>
          <w:sz w:val="24"/>
          <w:szCs w:val="24"/>
        </w:rPr>
        <w:t>.</w:t>
      </w:r>
    </w:p>
    <w:p w:rsidR="003F774C" w:rsidRPr="000F6431" w:rsidRDefault="001C4515"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Lester C, Temple M</w:t>
      </w:r>
      <w:r w:rsidR="003F774C" w:rsidRPr="000F6431">
        <w:rPr>
          <w:rFonts w:ascii="Times New Roman" w:hAnsi="Times New Roman" w:cs="Times New Roman"/>
          <w:sz w:val="24"/>
          <w:szCs w:val="24"/>
        </w:rPr>
        <w:t xml:space="preserve">. Health Impact Assessment &amp; community involvement in land remediation decisions. Public Health </w:t>
      </w:r>
      <w:r w:rsidRPr="000F6431">
        <w:rPr>
          <w:rFonts w:ascii="Times New Roman" w:hAnsi="Times New Roman" w:cs="Times New Roman"/>
          <w:sz w:val="24"/>
          <w:szCs w:val="24"/>
        </w:rPr>
        <w:t>2006; 120:</w:t>
      </w:r>
      <w:r w:rsidR="003F774C" w:rsidRPr="000F6431">
        <w:rPr>
          <w:rFonts w:ascii="Times New Roman" w:hAnsi="Times New Roman" w:cs="Times New Roman"/>
          <w:sz w:val="24"/>
          <w:szCs w:val="24"/>
        </w:rPr>
        <w:t xml:space="preserve"> 915-922.</w:t>
      </w:r>
    </w:p>
    <w:p w:rsidR="003F774C" w:rsidRPr="000F6431" w:rsidRDefault="001C4515"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Mathias </w:t>
      </w:r>
      <w:r w:rsidR="003F774C" w:rsidRPr="000F6431">
        <w:rPr>
          <w:rFonts w:ascii="Times New Roman" w:hAnsi="Times New Roman" w:cs="Times New Roman"/>
          <w:sz w:val="24"/>
          <w:szCs w:val="24"/>
        </w:rPr>
        <w:t>K</w:t>
      </w:r>
      <w:r w:rsidRPr="000F6431">
        <w:rPr>
          <w:rFonts w:ascii="Times New Roman" w:hAnsi="Times New Roman" w:cs="Times New Roman"/>
          <w:sz w:val="24"/>
          <w:szCs w:val="24"/>
        </w:rPr>
        <w:t>, Harris-Roxas B.</w:t>
      </w:r>
      <w:r w:rsidR="003F774C" w:rsidRPr="000F6431">
        <w:rPr>
          <w:rFonts w:ascii="Times New Roman" w:hAnsi="Times New Roman" w:cs="Times New Roman"/>
          <w:sz w:val="24"/>
          <w:szCs w:val="24"/>
        </w:rPr>
        <w:t xml:space="preserve"> Process and impact evaluation of the Greater Christchurch Urban Development Strategy health Impact Assessment</w:t>
      </w:r>
      <w:r w:rsidRPr="000F6431">
        <w:rPr>
          <w:rFonts w:ascii="Times New Roman" w:hAnsi="Times New Roman" w:cs="Times New Roman"/>
          <w:sz w:val="24"/>
          <w:szCs w:val="24"/>
        </w:rPr>
        <w:t>. BMC Public Health 2009;  9:</w:t>
      </w:r>
      <w:r w:rsidR="003F774C" w:rsidRPr="000F6431">
        <w:rPr>
          <w:rFonts w:ascii="Times New Roman" w:hAnsi="Times New Roman" w:cs="Times New Roman"/>
          <w:sz w:val="24"/>
          <w:szCs w:val="24"/>
        </w:rPr>
        <w:t>97</w:t>
      </w:r>
      <w:r w:rsidRPr="000F6431">
        <w:rPr>
          <w:rFonts w:ascii="Times New Roman" w:hAnsi="Times New Roman" w:cs="Times New Roman"/>
          <w:sz w:val="24"/>
          <w:szCs w:val="24"/>
        </w:rPr>
        <w:t>.</w:t>
      </w:r>
    </w:p>
    <w:p w:rsidR="00136469" w:rsidRPr="000F6431" w:rsidRDefault="00136469"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Mindell J, Joffe M. Health Impact Assessment in relation to other forms of impact assessment. Journal of Public Health Medicine 2003; 25 (2): 107-113.</w:t>
      </w:r>
    </w:p>
    <w:p w:rsidR="003F774C" w:rsidRPr="000F6431" w:rsidRDefault="00FA2BC9"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Mindell </w:t>
      </w:r>
      <w:r w:rsidR="003F774C" w:rsidRPr="000F6431">
        <w:rPr>
          <w:rFonts w:ascii="Times New Roman" w:hAnsi="Times New Roman" w:cs="Times New Roman"/>
          <w:sz w:val="24"/>
          <w:szCs w:val="24"/>
        </w:rPr>
        <w:t>J,</w:t>
      </w:r>
      <w:r w:rsidR="001C4515" w:rsidRPr="000F6431">
        <w:rPr>
          <w:rFonts w:ascii="Times New Roman" w:hAnsi="Times New Roman" w:cs="Times New Roman"/>
          <w:sz w:val="24"/>
          <w:szCs w:val="24"/>
        </w:rPr>
        <w:t xml:space="preserve"> Sheridan </w:t>
      </w:r>
      <w:r w:rsidRPr="000F6431">
        <w:rPr>
          <w:rFonts w:ascii="Times New Roman" w:hAnsi="Times New Roman" w:cs="Times New Roman"/>
          <w:sz w:val="24"/>
          <w:szCs w:val="24"/>
        </w:rPr>
        <w:t>L, Joffe</w:t>
      </w:r>
      <w:r w:rsidR="001C4515" w:rsidRPr="000F6431">
        <w:rPr>
          <w:rFonts w:ascii="Times New Roman" w:hAnsi="Times New Roman" w:cs="Times New Roman"/>
          <w:sz w:val="24"/>
          <w:szCs w:val="24"/>
        </w:rPr>
        <w:t xml:space="preserve"> </w:t>
      </w:r>
      <w:r w:rsidRPr="000F6431">
        <w:rPr>
          <w:rFonts w:ascii="Times New Roman" w:hAnsi="Times New Roman" w:cs="Times New Roman"/>
          <w:sz w:val="24"/>
          <w:szCs w:val="24"/>
        </w:rPr>
        <w:t>M, Samson-Barry</w:t>
      </w:r>
      <w:r w:rsidR="001C4515" w:rsidRPr="000F6431">
        <w:rPr>
          <w:rFonts w:ascii="Times New Roman" w:hAnsi="Times New Roman" w:cs="Times New Roman"/>
          <w:sz w:val="24"/>
          <w:szCs w:val="24"/>
        </w:rPr>
        <w:t xml:space="preserve"> </w:t>
      </w:r>
      <w:r w:rsidRPr="000F6431">
        <w:rPr>
          <w:rFonts w:ascii="Times New Roman" w:hAnsi="Times New Roman" w:cs="Times New Roman"/>
          <w:sz w:val="24"/>
          <w:szCs w:val="24"/>
        </w:rPr>
        <w:t xml:space="preserve"> H, Atkinson, S. </w:t>
      </w:r>
      <w:r w:rsidR="003F774C" w:rsidRPr="000F6431">
        <w:rPr>
          <w:rFonts w:ascii="Times New Roman" w:hAnsi="Times New Roman" w:cs="Times New Roman"/>
          <w:sz w:val="24"/>
          <w:szCs w:val="24"/>
        </w:rPr>
        <w:t xml:space="preserve"> Health impact assessment as an agent of policy change: improving the health impacts of the mayor of London’s draft transport strategy. Journal of Epidemiol Community Health 2004; 58: 169-174</w:t>
      </w:r>
      <w:r w:rsidRPr="000F6431">
        <w:rPr>
          <w:rFonts w:ascii="Times New Roman" w:hAnsi="Times New Roman" w:cs="Times New Roman"/>
          <w:sz w:val="24"/>
          <w:szCs w:val="24"/>
        </w:rPr>
        <w:t>.</w:t>
      </w:r>
    </w:p>
    <w:p w:rsidR="000F2EB3" w:rsidRPr="000F6431" w:rsidRDefault="000F2EB3"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lastRenderedPageBreak/>
        <w:t>Morgan R. Health Impact Assessment: the wider context. Bulletin of the W</w:t>
      </w:r>
      <w:r w:rsidR="005160F7" w:rsidRPr="000F6431">
        <w:rPr>
          <w:rFonts w:ascii="Times New Roman" w:hAnsi="Times New Roman" w:cs="Times New Roman"/>
          <w:sz w:val="24"/>
          <w:szCs w:val="24"/>
        </w:rPr>
        <w:t>orld Health Organi</w:t>
      </w:r>
      <w:r w:rsidR="00B67673" w:rsidRPr="000F6431">
        <w:rPr>
          <w:rFonts w:ascii="Times New Roman" w:hAnsi="Times New Roman" w:cs="Times New Roman"/>
          <w:sz w:val="24"/>
          <w:szCs w:val="24"/>
        </w:rPr>
        <w:t>zation 2003; 81 (6): 390-391.</w:t>
      </w:r>
    </w:p>
    <w:p w:rsidR="003F774C" w:rsidRPr="000F6431" w:rsidRDefault="00FA2BC9"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Mwalyosi R, Hughes R</w:t>
      </w:r>
      <w:r w:rsidR="003F774C" w:rsidRPr="000F6431">
        <w:rPr>
          <w:rFonts w:ascii="Times New Roman" w:hAnsi="Times New Roman" w:cs="Times New Roman"/>
          <w:sz w:val="24"/>
          <w:szCs w:val="24"/>
        </w:rPr>
        <w:t xml:space="preserve">. The performance of EIA in Tanzania: an assessment. </w:t>
      </w:r>
      <w:r w:rsidR="009E2300" w:rsidRPr="000F6431">
        <w:rPr>
          <w:rFonts w:ascii="Times New Roman" w:hAnsi="Times New Roman" w:cs="Times New Roman"/>
          <w:sz w:val="24"/>
          <w:szCs w:val="24"/>
        </w:rPr>
        <w:t>IR</w:t>
      </w:r>
      <w:r w:rsidRPr="000F6431">
        <w:rPr>
          <w:rFonts w:ascii="Times New Roman" w:hAnsi="Times New Roman" w:cs="Times New Roman"/>
          <w:sz w:val="24"/>
          <w:szCs w:val="24"/>
        </w:rPr>
        <w:t>A research paper</w:t>
      </w:r>
      <w:r w:rsidR="009E2300" w:rsidRPr="000F6431">
        <w:rPr>
          <w:rFonts w:ascii="Times New Roman" w:hAnsi="Times New Roman" w:cs="Times New Roman"/>
          <w:sz w:val="24"/>
          <w:szCs w:val="24"/>
        </w:rPr>
        <w:t xml:space="preserve"> </w:t>
      </w:r>
      <w:r w:rsidRPr="000F6431">
        <w:rPr>
          <w:rFonts w:ascii="Times New Roman" w:hAnsi="Times New Roman" w:cs="Times New Roman"/>
          <w:sz w:val="24"/>
          <w:szCs w:val="24"/>
        </w:rPr>
        <w:t xml:space="preserve">1998; </w:t>
      </w:r>
      <w:r w:rsidR="009E2300" w:rsidRPr="000F6431">
        <w:rPr>
          <w:rFonts w:ascii="Times New Roman" w:hAnsi="Times New Roman" w:cs="Times New Roman"/>
          <w:sz w:val="24"/>
          <w:szCs w:val="24"/>
        </w:rPr>
        <w:t>41.</w:t>
      </w:r>
    </w:p>
    <w:p w:rsidR="00002E51" w:rsidRPr="000F6431" w:rsidRDefault="00002E51"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1 reference removed for anonymity</w:t>
      </w:r>
    </w:p>
    <w:p w:rsidR="009E2300" w:rsidRPr="000F6431" w:rsidRDefault="009E2300"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National Institute for Health and Clinical Excellence. Methods for the development of NICE guidance</w:t>
      </w:r>
      <w:r w:rsidR="001C4515" w:rsidRPr="000F6431">
        <w:rPr>
          <w:rFonts w:ascii="Times New Roman" w:hAnsi="Times New Roman" w:cs="Times New Roman"/>
          <w:sz w:val="24"/>
          <w:szCs w:val="24"/>
        </w:rPr>
        <w:t xml:space="preserve"> </w:t>
      </w:r>
      <w:r w:rsidR="00FA2BC9" w:rsidRPr="000F6431">
        <w:rPr>
          <w:rFonts w:ascii="Times New Roman" w:hAnsi="Times New Roman" w:cs="Times New Roman"/>
          <w:sz w:val="24"/>
          <w:szCs w:val="24"/>
        </w:rPr>
        <w:t>2</w:t>
      </w:r>
      <w:r w:rsidR="00FA2BC9" w:rsidRPr="000F6431">
        <w:rPr>
          <w:rFonts w:ascii="Times New Roman" w:hAnsi="Times New Roman" w:cs="Times New Roman"/>
          <w:sz w:val="24"/>
          <w:szCs w:val="24"/>
          <w:vertAlign w:val="superscript"/>
        </w:rPr>
        <w:t>nd</w:t>
      </w:r>
      <w:r w:rsidR="00D34489" w:rsidRPr="000F6431">
        <w:rPr>
          <w:rFonts w:ascii="Times New Roman" w:hAnsi="Times New Roman" w:cs="Times New Roman"/>
          <w:sz w:val="24"/>
          <w:szCs w:val="24"/>
        </w:rPr>
        <w:t xml:space="preserve"> ed. London: NICE;</w:t>
      </w:r>
      <w:r w:rsidR="001C4515" w:rsidRPr="000F6431">
        <w:rPr>
          <w:rFonts w:ascii="Times New Roman" w:hAnsi="Times New Roman" w:cs="Times New Roman"/>
          <w:sz w:val="24"/>
          <w:szCs w:val="24"/>
        </w:rPr>
        <w:t xml:space="preserve"> 2009</w:t>
      </w:r>
      <w:r w:rsidR="00D34489" w:rsidRPr="000F6431">
        <w:rPr>
          <w:rFonts w:ascii="Times New Roman" w:hAnsi="Times New Roman" w:cs="Times New Roman"/>
          <w:sz w:val="24"/>
          <w:szCs w:val="24"/>
        </w:rPr>
        <w:t>.</w:t>
      </w:r>
    </w:p>
    <w:p w:rsidR="003F774C" w:rsidRPr="000F6431" w:rsidRDefault="003F299B"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Neville L, Furber S, Thackway S, Gray E, Mayne</w:t>
      </w:r>
      <w:r w:rsidR="003F774C" w:rsidRPr="000F6431">
        <w:rPr>
          <w:rFonts w:ascii="Times New Roman" w:hAnsi="Times New Roman" w:cs="Times New Roman"/>
          <w:sz w:val="24"/>
          <w:szCs w:val="24"/>
        </w:rPr>
        <w:t xml:space="preserve"> D. A health impact assessment of an environmental management plan: the impacts on physical activity and social cohesion. Health Promotion Journal of Australia 2005: 16 (3)</w:t>
      </w:r>
      <w:r w:rsidRPr="000F6431">
        <w:rPr>
          <w:rFonts w:ascii="Times New Roman" w:hAnsi="Times New Roman" w:cs="Times New Roman"/>
          <w:sz w:val="24"/>
          <w:szCs w:val="24"/>
        </w:rPr>
        <w:t>.</w:t>
      </w:r>
    </w:p>
    <w:p w:rsidR="003F774C" w:rsidRPr="000F6431" w:rsidRDefault="003F299B"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Ng K, Obbard </w:t>
      </w:r>
      <w:r w:rsidR="003F774C" w:rsidRPr="000F6431">
        <w:rPr>
          <w:rFonts w:ascii="Times New Roman" w:hAnsi="Times New Roman" w:cs="Times New Roman"/>
          <w:sz w:val="24"/>
          <w:szCs w:val="24"/>
        </w:rPr>
        <w:t>J. Strategic environmental assessment in Hong Kong</w:t>
      </w:r>
      <w:r w:rsidR="003F774C" w:rsidRPr="000F6431">
        <w:rPr>
          <w:rFonts w:ascii="Times New Roman" w:hAnsi="Times New Roman" w:cs="Times New Roman"/>
          <w:i/>
          <w:sz w:val="24"/>
          <w:szCs w:val="24"/>
        </w:rPr>
        <w:t>.</w:t>
      </w:r>
      <w:r w:rsidR="003F774C" w:rsidRPr="000F6431">
        <w:rPr>
          <w:rFonts w:ascii="Times New Roman" w:hAnsi="Times New Roman" w:cs="Times New Roman"/>
          <w:sz w:val="24"/>
          <w:szCs w:val="24"/>
        </w:rPr>
        <w:t xml:space="preserve"> </w:t>
      </w:r>
      <w:r w:rsidRPr="000F6431">
        <w:rPr>
          <w:rFonts w:ascii="Times New Roman" w:hAnsi="Times New Roman" w:cs="Times New Roman"/>
          <w:sz w:val="24"/>
          <w:szCs w:val="24"/>
        </w:rPr>
        <w:t>Environmental International 2005; 31:</w:t>
      </w:r>
      <w:r w:rsidR="003F774C" w:rsidRPr="000F6431">
        <w:rPr>
          <w:rFonts w:ascii="Times New Roman" w:hAnsi="Times New Roman" w:cs="Times New Roman"/>
          <w:sz w:val="24"/>
          <w:szCs w:val="24"/>
        </w:rPr>
        <w:t xml:space="preserve"> 483-492</w:t>
      </w:r>
    </w:p>
    <w:p w:rsidR="003F774C" w:rsidRPr="000F6431" w:rsidRDefault="003F774C" w:rsidP="00A44105">
      <w:pPr>
        <w:autoSpaceDE w:val="0"/>
        <w:autoSpaceDN w:val="0"/>
        <w:adjustRightInd w:val="0"/>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NHS London Healthy Urban Development Unit </w:t>
      </w:r>
      <w:r w:rsidR="003F299B" w:rsidRPr="000F6431">
        <w:rPr>
          <w:rFonts w:ascii="Times New Roman" w:hAnsi="Times New Roman" w:cs="Times New Roman"/>
          <w:sz w:val="24"/>
          <w:szCs w:val="24"/>
        </w:rPr>
        <w:t xml:space="preserve">. </w:t>
      </w:r>
      <w:r w:rsidRPr="000F6431">
        <w:rPr>
          <w:rFonts w:ascii="Times New Roman" w:hAnsi="Times New Roman" w:cs="Times New Roman"/>
          <w:sz w:val="24"/>
          <w:szCs w:val="24"/>
        </w:rPr>
        <w:t xml:space="preserve"> Mayor of London’s assessment of major applications: development and health. </w:t>
      </w:r>
      <w:r w:rsidR="003F299B" w:rsidRPr="000F6431">
        <w:rPr>
          <w:rFonts w:ascii="Times New Roman" w:hAnsi="Times New Roman" w:cs="Times New Roman"/>
          <w:sz w:val="24"/>
          <w:szCs w:val="24"/>
        </w:rPr>
        <w:t>HUDU 2008.</w:t>
      </w:r>
    </w:p>
    <w:p w:rsidR="003F774C" w:rsidRPr="000F6431" w:rsidRDefault="003F774C" w:rsidP="00A44105">
      <w:pPr>
        <w:autoSpaceDE w:val="0"/>
        <w:autoSpaceDN w:val="0"/>
        <w:adjustRightInd w:val="0"/>
        <w:spacing w:line="480" w:lineRule="auto"/>
        <w:rPr>
          <w:rFonts w:ascii="Times New Roman" w:hAnsi="Times New Roman" w:cs="Times New Roman"/>
          <w:sz w:val="24"/>
          <w:szCs w:val="24"/>
        </w:rPr>
      </w:pPr>
      <w:r w:rsidRPr="000F6431">
        <w:rPr>
          <w:rFonts w:ascii="Times New Roman" w:hAnsi="Times New Roman" w:cs="Times New Roman"/>
          <w:sz w:val="24"/>
          <w:szCs w:val="24"/>
        </w:rPr>
        <w:t>NHS London Healt</w:t>
      </w:r>
      <w:r w:rsidR="003F299B" w:rsidRPr="000F6431">
        <w:rPr>
          <w:rFonts w:ascii="Times New Roman" w:hAnsi="Times New Roman" w:cs="Times New Roman"/>
          <w:sz w:val="24"/>
          <w:szCs w:val="24"/>
        </w:rPr>
        <w:t>hy Urban Development Unit.</w:t>
      </w:r>
      <w:r w:rsidRPr="000F6431">
        <w:rPr>
          <w:rFonts w:ascii="Times New Roman" w:hAnsi="Times New Roman" w:cs="Times New Roman"/>
          <w:sz w:val="24"/>
          <w:szCs w:val="24"/>
        </w:rPr>
        <w:t xml:space="preserve"> PCT Survey. HUDU Planning Application Alerts and PCT Engagement in the Planning Process</w:t>
      </w:r>
      <w:r w:rsidR="003F299B" w:rsidRPr="000F6431">
        <w:rPr>
          <w:rFonts w:ascii="Times New Roman" w:hAnsi="Times New Roman" w:cs="Times New Roman"/>
          <w:sz w:val="24"/>
          <w:szCs w:val="24"/>
        </w:rPr>
        <w:t>, HUDU 2009.</w:t>
      </w:r>
    </w:p>
    <w:p w:rsidR="003F774C" w:rsidRPr="000F6431" w:rsidRDefault="003F299B" w:rsidP="00A44105">
      <w:pPr>
        <w:autoSpaceDE w:val="0"/>
        <w:autoSpaceDN w:val="0"/>
        <w:adjustRightInd w:val="0"/>
        <w:spacing w:line="480" w:lineRule="auto"/>
        <w:rPr>
          <w:rFonts w:ascii="Times New Roman" w:hAnsi="Times New Roman" w:cs="Times New Roman"/>
          <w:sz w:val="24"/>
          <w:szCs w:val="24"/>
        </w:rPr>
      </w:pPr>
      <w:r w:rsidRPr="000F6431">
        <w:rPr>
          <w:rFonts w:ascii="Times New Roman" w:hAnsi="Times New Roman" w:cs="Times New Roman"/>
          <w:bCs/>
          <w:sz w:val="24"/>
          <w:szCs w:val="24"/>
        </w:rPr>
        <w:t>Noble BF and Bronson</w:t>
      </w:r>
      <w:r w:rsidR="003F774C" w:rsidRPr="000F6431">
        <w:rPr>
          <w:rFonts w:ascii="Times New Roman" w:hAnsi="Times New Roman" w:cs="Times New Roman"/>
          <w:bCs/>
          <w:sz w:val="24"/>
          <w:szCs w:val="24"/>
        </w:rPr>
        <w:t xml:space="preserve"> J</w:t>
      </w:r>
      <w:r w:rsidRPr="000F6431">
        <w:rPr>
          <w:rFonts w:ascii="Times New Roman" w:hAnsi="Times New Roman" w:cs="Times New Roman"/>
          <w:bCs/>
          <w:sz w:val="24"/>
          <w:szCs w:val="24"/>
        </w:rPr>
        <w:t>E.</w:t>
      </w:r>
      <w:r w:rsidR="003F774C" w:rsidRPr="000F6431">
        <w:rPr>
          <w:rFonts w:ascii="Times New Roman" w:hAnsi="Times New Roman" w:cs="Times New Roman"/>
          <w:bCs/>
          <w:sz w:val="24"/>
          <w:szCs w:val="24"/>
        </w:rPr>
        <w:t xml:space="preserve"> Practitioner survey of the state of health integration i</w:t>
      </w:r>
      <w:r w:rsidRPr="000F6431">
        <w:rPr>
          <w:rFonts w:ascii="Times New Roman" w:hAnsi="Times New Roman" w:cs="Times New Roman"/>
          <w:bCs/>
          <w:sz w:val="24"/>
          <w:szCs w:val="24"/>
        </w:rPr>
        <w:t>n environmental assessment: t</w:t>
      </w:r>
      <w:r w:rsidR="003F774C" w:rsidRPr="000F6431">
        <w:rPr>
          <w:rFonts w:ascii="Times New Roman" w:hAnsi="Times New Roman" w:cs="Times New Roman"/>
          <w:bCs/>
          <w:sz w:val="24"/>
          <w:szCs w:val="24"/>
        </w:rPr>
        <w:t xml:space="preserve">he case of northern Canada. </w:t>
      </w:r>
      <w:r w:rsidR="00EC7ADB" w:rsidRPr="000F6431">
        <w:rPr>
          <w:rFonts w:ascii="Times New Roman" w:hAnsi="Times New Roman" w:cs="Times New Roman"/>
          <w:sz w:val="24"/>
          <w:szCs w:val="24"/>
        </w:rPr>
        <w:t>E</w:t>
      </w:r>
      <w:r w:rsidRPr="000F6431">
        <w:rPr>
          <w:rFonts w:ascii="Times New Roman" w:hAnsi="Times New Roman" w:cs="Times New Roman"/>
          <w:sz w:val="24"/>
          <w:szCs w:val="24"/>
        </w:rPr>
        <w:t xml:space="preserve">nviron </w:t>
      </w:r>
      <w:r w:rsidR="00EC7ADB" w:rsidRPr="000F6431">
        <w:rPr>
          <w:rFonts w:ascii="Times New Roman" w:hAnsi="Times New Roman" w:cs="Times New Roman"/>
          <w:sz w:val="24"/>
          <w:szCs w:val="24"/>
        </w:rPr>
        <w:t>I</w:t>
      </w:r>
      <w:r w:rsidRPr="000F6431">
        <w:rPr>
          <w:rFonts w:ascii="Times New Roman" w:hAnsi="Times New Roman" w:cs="Times New Roman"/>
          <w:sz w:val="24"/>
          <w:szCs w:val="24"/>
        </w:rPr>
        <w:t xml:space="preserve">mpact </w:t>
      </w:r>
      <w:r w:rsidR="00EC7ADB" w:rsidRPr="000F6431">
        <w:rPr>
          <w:rFonts w:ascii="Times New Roman" w:hAnsi="Times New Roman" w:cs="Times New Roman"/>
          <w:sz w:val="24"/>
          <w:szCs w:val="24"/>
        </w:rPr>
        <w:t>A</w:t>
      </w:r>
      <w:r w:rsidRPr="000F6431">
        <w:rPr>
          <w:rFonts w:ascii="Times New Roman" w:hAnsi="Times New Roman" w:cs="Times New Roman"/>
          <w:sz w:val="24"/>
          <w:szCs w:val="24"/>
        </w:rPr>
        <w:t>ssess Rev 2006</w:t>
      </w:r>
      <w:r w:rsidR="003F774C" w:rsidRPr="000F6431">
        <w:rPr>
          <w:rFonts w:ascii="Times New Roman" w:hAnsi="Times New Roman" w:cs="Times New Roman"/>
          <w:sz w:val="24"/>
          <w:szCs w:val="24"/>
        </w:rPr>
        <w:t>; 26: 410-424.</w:t>
      </w:r>
    </w:p>
    <w:p w:rsidR="003F774C" w:rsidRPr="000F6431" w:rsidRDefault="003F299B"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Noble BF, Bronson JE</w:t>
      </w:r>
      <w:r w:rsidR="003F774C" w:rsidRPr="000F6431">
        <w:rPr>
          <w:rFonts w:ascii="Times New Roman" w:hAnsi="Times New Roman" w:cs="Times New Roman"/>
          <w:sz w:val="24"/>
          <w:szCs w:val="24"/>
        </w:rPr>
        <w:t xml:space="preserve">. Integrating human health into EIA – Case studies of Canada’s northern mining resource sector. Artic </w:t>
      </w:r>
      <w:r w:rsidRPr="000F6431">
        <w:rPr>
          <w:rFonts w:ascii="Times New Roman" w:hAnsi="Times New Roman" w:cs="Times New Roman"/>
          <w:sz w:val="24"/>
          <w:szCs w:val="24"/>
        </w:rPr>
        <w:t>2005; 58 (4):</w:t>
      </w:r>
      <w:r w:rsidR="003F774C" w:rsidRPr="000F6431">
        <w:rPr>
          <w:rFonts w:ascii="Times New Roman" w:hAnsi="Times New Roman" w:cs="Times New Roman"/>
          <w:sz w:val="24"/>
          <w:szCs w:val="24"/>
        </w:rPr>
        <w:t>395-405</w:t>
      </w:r>
      <w:r w:rsidRPr="000F6431">
        <w:rPr>
          <w:rFonts w:ascii="Times New Roman" w:hAnsi="Times New Roman" w:cs="Times New Roman"/>
          <w:sz w:val="24"/>
          <w:szCs w:val="24"/>
        </w:rPr>
        <w:t>.</w:t>
      </w:r>
      <w:r w:rsidR="003F774C" w:rsidRPr="000F6431">
        <w:rPr>
          <w:rFonts w:ascii="Times New Roman" w:hAnsi="Times New Roman" w:cs="Times New Roman"/>
          <w:sz w:val="24"/>
          <w:szCs w:val="24"/>
        </w:rPr>
        <w:t xml:space="preserve"> </w:t>
      </w:r>
    </w:p>
    <w:p w:rsidR="003F774C" w:rsidRPr="000F6431" w:rsidRDefault="003F774C"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lastRenderedPageBreak/>
        <w:t>Planning Advisor</w:t>
      </w:r>
      <w:r w:rsidR="003F299B" w:rsidRPr="000F6431">
        <w:rPr>
          <w:rFonts w:ascii="Times New Roman" w:hAnsi="Times New Roman" w:cs="Times New Roman"/>
          <w:sz w:val="24"/>
          <w:szCs w:val="24"/>
        </w:rPr>
        <w:t>y Service</w:t>
      </w:r>
      <w:r w:rsidRPr="000F6431">
        <w:rPr>
          <w:rFonts w:ascii="Times New Roman" w:hAnsi="Times New Roman" w:cs="Times New Roman"/>
          <w:sz w:val="24"/>
          <w:szCs w:val="24"/>
        </w:rPr>
        <w:t xml:space="preserve">. Equality and diversity: improving planning outcomes for the whole of the community. </w:t>
      </w:r>
      <w:r w:rsidR="00DE1B7B" w:rsidRPr="000F6431">
        <w:rPr>
          <w:rFonts w:ascii="Times New Roman" w:hAnsi="Times New Roman" w:cs="Times New Roman"/>
          <w:sz w:val="24"/>
          <w:szCs w:val="24"/>
        </w:rPr>
        <w:t xml:space="preserve">PAS: </w:t>
      </w:r>
      <w:r w:rsidRPr="000F6431">
        <w:rPr>
          <w:rFonts w:ascii="Times New Roman" w:hAnsi="Times New Roman" w:cs="Times New Roman"/>
          <w:sz w:val="24"/>
          <w:szCs w:val="24"/>
        </w:rPr>
        <w:t>2008</w:t>
      </w:r>
      <w:r w:rsidR="003F299B" w:rsidRPr="000F6431">
        <w:rPr>
          <w:rFonts w:ascii="Times New Roman" w:hAnsi="Times New Roman" w:cs="Times New Roman"/>
          <w:sz w:val="24"/>
          <w:szCs w:val="24"/>
        </w:rPr>
        <w:t>a.</w:t>
      </w:r>
    </w:p>
    <w:p w:rsidR="003F774C" w:rsidRPr="000F6431" w:rsidRDefault="003F774C"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P</w:t>
      </w:r>
      <w:r w:rsidR="00481F20" w:rsidRPr="000F6431">
        <w:rPr>
          <w:rFonts w:ascii="Times New Roman" w:hAnsi="Times New Roman" w:cs="Times New Roman"/>
          <w:sz w:val="24"/>
          <w:szCs w:val="24"/>
        </w:rPr>
        <w:t>lanning Advisory Service</w:t>
      </w:r>
      <w:r w:rsidRPr="000F6431">
        <w:rPr>
          <w:rFonts w:ascii="Times New Roman" w:hAnsi="Times New Roman" w:cs="Times New Roman"/>
          <w:sz w:val="24"/>
          <w:szCs w:val="24"/>
        </w:rPr>
        <w:t xml:space="preserve">. Prevention is still better than cure: planning for healthy outcomes. </w:t>
      </w:r>
      <w:r w:rsidR="00A51C78" w:rsidRPr="000F6431">
        <w:rPr>
          <w:rFonts w:ascii="Times New Roman" w:hAnsi="Times New Roman" w:cs="Times New Roman"/>
          <w:sz w:val="24"/>
          <w:szCs w:val="24"/>
        </w:rPr>
        <w:t>IDeA 2008b.</w:t>
      </w:r>
    </w:p>
    <w:p w:rsidR="003F774C" w:rsidRPr="000F6431" w:rsidRDefault="00481F20"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Plant P, Herriot N</w:t>
      </w:r>
      <w:r w:rsidR="003F774C" w:rsidRPr="000F6431">
        <w:rPr>
          <w:rFonts w:ascii="Times New Roman" w:hAnsi="Times New Roman" w:cs="Times New Roman"/>
          <w:sz w:val="24"/>
          <w:szCs w:val="24"/>
        </w:rPr>
        <w:t>, Atkinson</w:t>
      </w:r>
      <w:r w:rsidRPr="000F6431">
        <w:rPr>
          <w:rFonts w:ascii="Times New Roman" w:hAnsi="Times New Roman" w:cs="Times New Roman"/>
          <w:sz w:val="24"/>
          <w:szCs w:val="24"/>
        </w:rPr>
        <w:t xml:space="preserve"> S.</w:t>
      </w:r>
      <w:r w:rsidR="003F774C" w:rsidRPr="000F6431">
        <w:rPr>
          <w:rFonts w:ascii="Times New Roman" w:hAnsi="Times New Roman" w:cs="Times New Roman"/>
          <w:sz w:val="24"/>
          <w:szCs w:val="24"/>
        </w:rPr>
        <w:t xml:space="preserve"> </w:t>
      </w:r>
      <w:r w:rsidRPr="000F6431">
        <w:rPr>
          <w:rFonts w:ascii="Times New Roman" w:hAnsi="Times New Roman" w:cs="Times New Roman"/>
          <w:sz w:val="24"/>
          <w:szCs w:val="24"/>
        </w:rPr>
        <w:t>Healthy p</w:t>
      </w:r>
      <w:r w:rsidR="003F774C" w:rsidRPr="000F6431">
        <w:rPr>
          <w:rFonts w:ascii="Times New Roman" w:hAnsi="Times New Roman" w:cs="Times New Roman"/>
          <w:sz w:val="24"/>
          <w:szCs w:val="24"/>
        </w:rPr>
        <w:t>lanning in London</w:t>
      </w:r>
      <w:r w:rsidR="003F774C" w:rsidRPr="000F6431">
        <w:rPr>
          <w:rFonts w:ascii="Times New Roman" w:hAnsi="Times New Roman" w:cs="Times New Roman"/>
          <w:i/>
          <w:sz w:val="24"/>
          <w:szCs w:val="24"/>
        </w:rPr>
        <w:t xml:space="preserve">. </w:t>
      </w:r>
      <w:r w:rsidR="00EC7ADB" w:rsidRPr="000F6431">
        <w:rPr>
          <w:rFonts w:ascii="Times New Roman" w:hAnsi="Times New Roman" w:cs="Times New Roman"/>
          <w:sz w:val="24"/>
          <w:szCs w:val="24"/>
        </w:rPr>
        <w:t>Town and Country P</w:t>
      </w:r>
      <w:r w:rsidR="003F774C" w:rsidRPr="000F6431">
        <w:rPr>
          <w:rFonts w:ascii="Times New Roman" w:hAnsi="Times New Roman" w:cs="Times New Roman"/>
          <w:sz w:val="24"/>
          <w:szCs w:val="24"/>
        </w:rPr>
        <w:t>l</w:t>
      </w:r>
      <w:r w:rsidR="00EC7ADB" w:rsidRPr="000F6431">
        <w:rPr>
          <w:rFonts w:ascii="Times New Roman" w:hAnsi="Times New Roman" w:cs="Times New Roman"/>
          <w:sz w:val="24"/>
          <w:szCs w:val="24"/>
        </w:rPr>
        <w:t>a</w:t>
      </w:r>
      <w:r w:rsidRPr="000F6431">
        <w:rPr>
          <w:rFonts w:ascii="Times New Roman" w:hAnsi="Times New Roman" w:cs="Times New Roman"/>
          <w:sz w:val="24"/>
          <w:szCs w:val="24"/>
        </w:rPr>
        <w:t xml:space="preserve">nning 2007; 50-51. </w:t>
      </w:r>
    </w:p>
    <w:p w:rsidR="000F2EB3" w:rsidRPr="000F6431" w:rsidRDefault="000F2EB3"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Posas P. The UK’s draft guidance for health in SEA in light of HIA community priorities and the UNECE SEA protocol. Environ Impact Assess Rev 2010; 31:320-327.</w:t>
      </w:r>
    </w:p>
    <w:p w:rsidR="003F774C" w:rsidRPr="000F6431" w:rsidRDefault="00481F20" w:rsidP="00A44105">
      <w:pPr>
        <w:pStyle w:val="NormalWeb"/>
        <w:spacing w:line="480" w:lineRule="auto"/>
      </w:pPr>
      <w:r w:rsidRPr="000F6431">
        <w:t>Steinemann  A</w:t>
      </w:r>
      <w:r w:rsidR="00EC7ADB" w:rsidRPr="000F6431">
        <w:t>.</w:t>
      </w:r>
      <w:r w:rsidR="003F774C" w:rsidRPr="000F6431">
        <w:t xml:space="preserve"> Rethinking human health impact assessment. </w:t>
      </w:r>
      <w:r w:rsidR="00E75CAF" w:rsidRPr="000F6431">
        <w:rPr>
          <w:iCs/>
        </w:rPr>
        <w:t>E</w:t>
      </w:r>
      <w:r w:rsidRPr="000F6431">
        <w:rPr>
          <w:iCs/>
        </w:rPr>
        <w:t xml:space="preserve">nviron </w:t>
      </w:r>
      <w:r w:rsidR="00E75CAF" w:rsidRPr="000F6431">
        <w:rPr>
          <w:iCs/>
        </w:rPr>
        <w:t>I</w:t>
      </w:r>
      <w:r w:rsidRPr="000F6431">
        <w:rPr>
          <w:iCs/>
        </w:rPr>
        <w:t xml:space="preserve">mpact </w:t>
      </w:r>
      <w:r w:rsidR="00E75CAF" w:rsidRPr="000F6431">
        <w:rPr>
          <w:iCs/>
        </w:rPr>
        <w:t>A</w:t>
      </w:r>
      <w:r w:rsidRPr="000F6431">
        <w:rPr>
          <w:iCs/>
        </w:rPr>
        <w:t>ssess</w:t>
      </w:r>
      <w:r w:rsidR="00E75CAF" w:rsidRPr="000F6431">
        <w:rPr>
          <w:iCs/>
        </w:rPr>
        <w:t xml:space="preserve"> </w:t>
      </w:r>
      <w:r w:rsidRPr="000F6431">
        <w:rPr>
          <w:iCs/>
        </w:rPr>
        <w:t>Rev</w:t>
      </w:r>
      <w:r w:rsidR="00E75CAF" w:rsidRPr="000F6431">
        <w:t xml:space="preserve"> </w:t>
      </w:r>
      <w:r w:rsidRPr="000F6431">
        <w:t xml:space="preserve">2000; 20 (6): </w:t>
      </w:r>
      <w:r w:rsidR="003F774C" w:rsidRPr="000F6431">
        <w:t xml:space="preserve">627-645. </w:t>
      </w:r>
    </w:p>
    <w:p w:rsidR="003F774C" w:rsidRPr="000F6431" w:rsidRDefault="00481F20"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Stevenson A, Banwell K, Pink R</w:t>
      </w:r>
      <w:r w:rsidR="00EC7ADB" w:rsidRPr="000F6431">
        <w:rPr>
          <w:rFonts w:ascii="Times New Roman" w:hAnsi="Times New Roman" w:cs="Times New Roman"/>
          <w:sz w:val="24"/>
          <w:szCs w:val="24"/>
        </w:rPr>
        <w:t>.</w:t>
      </w:r>
      <w:r w:rsidR="003F774C" w:rsidRPr="000F6431">
        <w:rPr>
          <w:rFonts w:ascii="Times New Roman" w:hAnsi="Times New Roman" w:cs="Times New Roman"/>
          <w:sz w:val="24"/>
          <w:szCs w:val="24"/>
        </w:rPr>
        <w:t xml:space="preserve"> Greater Christchurch draft Urban Development Strategy 2005. NSW Public Heal</w:t>
      </w:r>
      <w:r w:rsidRPr="000F6431">
        <w:rPr>
          <w:rFonts w:ascii="Times New Roman" w:hAnsi="Times New Roman" w:cs="Times New Roman"/>
          <w:sz w:val="24"/>
          <w:szCs w:val="24"/>
        </w:rPr>
        <w:t>th Bulletin 2007;</w:t>
      </w:r>
      <w:r w:rsidR="003F774C" w:rsidRPr="000F6431">
        <w:rPr>
          <w:rFonts w:ascii="Times New Roman" w:hAnsi="Times New Roman" w:cs="Times New Roman"/>
          <w:sz w:val="24"/>
          <w:szCs w:val="24"/>
        </w:rPr>
        <w:t xml:space="preserve"> 18 (9-10).</w:t>
      </w:r>
    </w:p>
    <w:p w:rsidR="003F774C" w:rsidRPr="000F6431" w:rsidRDefault="00481F20"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Sutcliffe J</w:t>
      </w:r>
      <w:r w:rsidR="003F774C" w:rsidRPr="000F6431">
        <w:rPr>
          <w:rFonts w:ascii="Times New Roman" w:hAnsi="Times New Roman" w:cs="Times New Roman"/>
          <w:sz w:val="24"/>
          <w:szCs w:val="24"/>
        </w:rPr>
        <w:t xml:space="preserve">. </w:t>
      </w:r>
      <w:r w:rsidR="00E75CAF" w:rsidRPr="000F6431">
        <w:rPr>
          <w:rFonts w:ascii="Times New Roman" w:hAnsi="Times New Roman" w:cs="Times New Roman"/>
          <w:i/>
          <w:sz w:val="24"/>
          <w:szCs w:val="24"/>
        </w:rPr>
        <w:t>EIA:</w:t>
      </w:r>
      <w:r w:rsidRPr="000F6431">
        <w:rPr>
          <w:rFonts w:ascii="Times New Roman" w:hAnsi="Times New Roman" w:cs="Times New Roman"/>
          <w:i/>
          <w:sz w:val="24"/>
          <w:szCs w:val="24"/>
        </w:rPr>
        <w:t xml:space="preserve"> a healthy o</w:t>
      </w:r>
      <w:r w:rsidR="003F774C" w:rsidRPr="000F6431">
        <w:rPr>
          <w:rFonts w:ascii="Times New Roman" w:hAnsi="Times New Roman" w:cs="Times New Roman"/>
          <w:i/>
          <w:sz w:val="24"/>
          <w:szCs w:val="24"/>
        </w:rPr>
        <w:t>utcome</w:t>
      </w:r>
      <w:r w:rsidR="003F774C" w:rsidRPr="000F6431">
        <w:rPr>
          <w:rFonts w:ascii="Times New Roman" w:hAnsi="Times New Roman" w:cs="Times New Roman"/>
          <w:sz w:val="24"/>
          <w:szCs w:val="24"/>
        </w:rPr>
        <w:t xml:space="preserve">. Project Appraisal </w:t>
      </w:r>
      <w:r w:rsidRPr="000F6431">
        <w:rPr>
          <w:rFonts w:ascii="Times New Roman" w:hAnsi="Times New Roman" w:cs="Times New Roman"/>
          <w:sz w:val="24"/>
          <w:szCs w:val="24"/>
        </w:rPr>
        <w:t>1995; 10 (2):</w:t>
      </w:r>
      <w:r w:rsidR="003F774C" w:rsidRPr="000F6431">
        <w:rPr>
          <w:rFonts w:ascii="Times New Roman" w:hAnsi="Times New Roman" w:cs="Times New Roman"/>
          <w:sz w:val="24"/>
          <w:szCs w:val="24"/>
        </w:rPr>
        <w:t xml:space="preserve"> 113-124</w:t>
      </w:r>
    </w:p>
    <w:p w:rsidR="003F774C" w:rsidRPr="000F6431" w:rsidRDefault="00481F20"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Taylor L, Quigley R</w:t>
      </w:r>
      <w:r w:rsidR="003F774C" w:rsidRPr="000F6431">
        <w:rPr>
          <w:rFonts w:ascii="Times New Roman" w:hAnsi="Times New Roman" w:cs="Times New Roman"/>
          <w:sz w:val="24"/>
          <w:szCs w:val="24"/>
        </w:rPr>
        <w:t>.</w:t>
      </w:r>
      <w:r w:rsidR="003F774C" w:rsidRPr="000F6431">
        <w:rPr>
          <w:rFonts w:ascii="Times New Roman" w:hAnsi="Times New Roman" w:cs="Times New Roman"/>
          <w:i/>
          <w:sz w:val="24"/>
          <w:szCs w:val="24"/>
        </w:rPr>
        <w:t xml:space="preserve"> </w:t>
      </w:r>
      <w:r w:rsidRPr="000F6431">
        <w:rPr>
          <w:rFonts w:ascii="Times New Roman" w:hAnsi="Times New Roman" w:cs="Times New Roman"/>
          <w:sz w:val="24"/>
          <w:szCs w:val="24"/>
        </w:rPr>
        <w:t>Health impact assessment - A review of r</w:t>
      </w:r>
      <w:r w:rsidR="003F774C" w:rsidRPr="000F6431">
        <w:rPr>
          <w:rFonts w:ascii="Times New Roman" w:hAnsi="Times New Roman" w:cs="Times New Roman"/>
          <w:sz w:val="24"/>
          <w:szCs w:val="24"/>
        </w:rPr>
        <w:t>eviews. Health Development Agen</w:t>
      </w:r>
      <w:r w:rsidRPr="000F6431">
        <w:rPr>
          <w:rFonts w:ascii="Times New Roman" w:hAnsi="Times New Roman" w:cs="Times New Roman"/>
          <w:sz w:val="24"/>
          <w:szCs w:val="24"/>
        </w:rPr>
        <w:t>cy 2002.</w:t>
      </w:r>
    </w:p>
    <w:p w:rsidR="003F774C" w:rsidRPr="000F6431" w:rsidRDefault="00AA6F43"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Taylor N, McClintock W, Buckenham B</w:t>
      </w:r>
      <w:r w:rsidR="003F774C" w:rsidRPr="000F6431">
        <w:rPr>
          <w:rFonts w:ascii="Times New Roman" w:hAnsi="Times New Roman" w:cs="Times New Roman"/>
          <w:sz w:val="24"/>
          <w:szCs w:val="24"/>
        </w:rPr>
        <w:t xml:space="preserve">. </w:t>
      </w:r>
      <w:r w:rsidRPr="000F6431">
        <w:rPr>
          <w:rFonts w:ascii="Times New Roman" w:hAnsi="Times New Roman" w:cs="Times New Roman"/>
          <w:sz w:val="24"/>
          <w:szCs w:val="24"/>
        </w:rPr>
        <w:t>Social i</w:t>
      </w:r>
      <w:r w:rsidR="003F774C" w:rsidRPr="000F6431">
        <w:rPr>
          <w:rFonts w:ascii="Times New Roman" w:hAnsi="Times New Roman" w:cs="Times New Roman"/>
          <w:sz w:val="24"/>
          <w:szCs w:val="24"/>
        </w:rPr>
        <w:t>mpacts of out-of-centre shopping centres on town centres: A New Zealand case study</w:t>
      </w:r>
      <w:r w:rsidR="003F774C" w:rsidRPr="000F6431">
        <w:rPr>
          <w:rFonts w:ascii="Times New Roman" w:hAnsi="Times New Roman" w:cs="Times New Roman"/>
          <w:i/>
          <w:sz w:val="24"/>
          <w:szCs w:val="24"/>
        </w:rPr>
        <w:t xml:space="preserve">. </w:t>
      </w:r>
      <w:r w:rsidR="003F774C" w:rsidRPr="000F6431">
        <w:rPr>
          <w:rFonts w:ascii="Times New Roman" w:hAnsi="Times New Roman" w:cs="Times New Roman"/>
          <w:sz w:val="24"/>
          <w:szCs w:val="24"/>
        </w:rPr>
        <w:t>Impact A</w:t>
      </w:r>
      <w:r w:rsidRPr="000F6431">
        <w:rPr>
          <w:rFonts w:ascii="Times New Roman" w:hAnsi="Times New Roman" w:cs="Times New Roman"/>
          <w:sz w:val="24"/>
          <w:szCs w:val="24"/>
        </w:rPr>
        <w:t>ssessment and Project Appraisal 2003; 21 (2):</w:t>
      </w:r>
      <w:r w:rsidR="003F774C" w:rsidRPr="000F6431">
        <w:rPr>
          <w:rFonts w:ascii="Times New Roman" w:hAnsi="Times New Roman" w:cs="Times New Roman"/>
          <w:sz w:val="24"/>
          <w:szCs w:val="24"/>
        </w:rPr>
        <w:t>147-153</w:t>
      </w:r>
      <w:r w:rsidRPr="000F6431">
        <w:rPr>
          <w:rFonts w:ascii="Times New Roman" w:hAnsi="Times New Roman" w:cs="Times New Roman"/>
          <w:sz w:val="24"/>
          <w:szCs w:val="24"/>
        </w:rPr>
        <w:t>.</w:t>
      </w:r>
    </w:p>
    <w:p w:rsidR="003F774C" w:rsidRPr="000F6431" w:rsidRDefault="00AA6F43" w:rsidP="00182DA2">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Utzinger</w:t>
      </w:r>
      <w:r w:rsidR="003F774C" w:rsidRPr="000F6431">
        <w:rPr>
          <w:rFonts w:ascii="Times New Roman" w:hAnsi="Times New Roman" w:cs="Times New Roman"/>
          <w:sz w:val="24"/>
          <w:szCs w:val="24"/>
        </w:rPr>
        <w:t xml:space="preserve"> J, Wyss</w:t>
      </w:r>
      <w:r w:rsidRPr="000F6431">
        <w:rPr>
          <w:rFonts w:ascii="Times New Roman" w:hAnsi="Times New Roman" w:cs="Times New Roman"/>
          <w:sz w:val="24"/>
          <w:szCs w:val="24"/>
        </w:rPr>
        <w:t xml:space="preserve"> K, Moto DD, Yemadji N’D, Tanner M, Singer BH.</w:t>
      </w:r>
      <w:r w:rsidR="003F774C" w:rsidRPr="000F6431">
        <w:rPr>
          <w:rFonts w:ascii="Times New Roman" w:hAnsi="Times New Roman" w:cs="Times New Roman"/>
          <w:sz w:val="24"/>
          <w:szCs w:val="24"/>
        </w:rPr>
        <w:t xml:space="preserve">  Health impacts of the Chad-Cameroon petroleum development and pipeline project: challenges and a way forward.</w:t>
      </w:r>
      <w:r w:rsidR="00EC7ADB" w:rsidRPr="000F6431">
        <w:rPr>
          <w:rFonts w:ascii="Times New Roman" w:hAnsi="Times New Roman" w:cs="Times New Roman"/>
          <w:sz w:val="24"/>
          <w:szCs w:val="24"/>
        </w:rPr>
        <w:t xml:space="preserve"> E</w:t>
      </w:r>
      <w:r w:rsidRPr="000F6431">
        <w:rPr>
          <w:rFonts w:ascii="Times New Roman" w:hAnsi="Times New Roman" w:cs="Times New Roman"/>
          <w:sz w:val="24"/>
          <w:szCs w:val="24"/>
        </w:rPr>
        <w:t xml:space="preserve">nviron </w:t>
      </w:r>
      <w:r w:rsidR="00EC7ADB" w:rsidRPr="000F6431">
        <w:rPr>
          <w:rFonts w:ascii="Times New Roman" w:hAnsi="Times New Roman" w:cs="Times New Roman"/>
          <w:sz w:val="24"/>
          <w:szCs w:val="24"/>
        </w:rPr>
        <w:t>I</w:t>
      </w:r>
      <w:r w:rsidRPr="000F6431">
        <w:rPr>
          <w:rFonts w:ascii="Times New Roman" w:hAnsi="Times New Roman" w:cs="Times New Roman"/>
          <w:sz w:val="24"/>
          <w:szCs w:val="24"/>
        </w:rPr>
        <w:t xml:space="preserve">mpact </w:t>
      </w:r>
      <w:r w:rsidR="00EC7ADB" w:rsidRPr="000F6431">
        <w:rPr>
          <w:rFonts w:ascii="Times New Roman" w:hAnsi="Times New Roman" w:cs="Times New Roman"/>
          <w:sz w:val="24"/>
          <w:szCs w:val="24"/>
        </w:rPr>
        <w:t>A</w:t>
      </w:r>
      <w:r w:rsidRPr="000F6431">
        <w:rPr>
          <w:rFonts w:ascii="Times New Roman" w:hAnsi="Times New Roman" w:cs="Times New Roman"/>
          <w:sz w:val="24"/>
          <w:szCs w:val="24"/>
        </w:rPr>
        <w:t>ssess Rev 2005; 25:</w:t>
      </w:r>
      <w:r w:rsidR="003F774C" w:rsidRPr="000F6431">
        <w:rPr>
          <w:rFonts w:ascii="Times New Roman" w:hAnsi="Times New Roman" w:cs="Times New Roman"/>
          <w:sz w:val="24"/>
          <w:szCs w:val="24"/>
        </w:rPr>
        <w:t xml:space="preserve"> 63-93</w:t>
      </w:r>
      <w:r w:rsidRPr="000F6431">
        <w:rPr>
          <w:rFonts w:ascii="Times New Roman" w:hAnsi="Times New Roman" w:cs="Times New Roman"/>
          <w:sz w:val="24"/>
          <w:szCs w:val="24"/>
        </w:rPr>
        <w:t>.</w:t>
      </w:r>
      <w:r w:rsidR="003F774C" w:rsidRPr="000F6431">
        <w:rPr>
          <w:rFonts w:ascii="Times New Roman" w:hAnsi="Times New Roman" w:cs="Times New Roman"/>
          <w:sz w:val="24"/>
          <w:szCs w:val="24"/>
        </w:rPr>
        <w:t xml:space="preserve"> </w:t>
      </w:r>
    </w:p>
    <w:p w:rsidR="00182DA2" w:rsidRPr="000F6431" w:rsidRDefault="00182DA2" w:rsidP="00182DA2">
      <w:pPr>
        <w:spacing w:line="480" w:lineRule="auto"/>
        <w:rPr>
          <w:rFonts w:ascii="Times New Roman" w:hAnsi="Times New Roman" w:cs="Times New Roman"/>
          <w:sz w:val="24"/>
          <w:szCs w:val="24"/>
        </w:rPr>
      </w:pPr>
      <w:r w:rsidRPr="000F6431">
        <w:rPr>
          <w:rFonts w:ascii="Times New Roman" w:hAnsi="Times New Roman"/>
          <w:sz w:val="24"/>
        </w:rPr>
        <w:lastRenderedPageBreak/>
        <w:t xml:space="preserve">University of West of England. </w:t>
      </w:r>
      <w:r w:rsidRPr="000F6431">
        <w:rPr>
          <w:rFonts w:ascii="Times New Roman" w:hAnsi="Times New Roman"/>
          <w:bCs/>
          <w:color w:val="000000"/>
          <w:sz w:val="24"/>
        </w:rPr>
        <w:t xml:space="preserve">Spatial Planning &amp; Health - </w:t>
      </w:r>
      <w:r w:rsidRPr="000F6431">
        <w:rPr>
          <w:rFonts w:ascii="Times New Roman" w:hAnsi="Times New Roman"/>
          <w:sz w:val="24"/>
        </w:rPr>
        <w:t xml:space="preserve">The effectiveness and cost effectiveness of health appraisal processes currently in use to address health and wellbeing during project appraisal. Report prepared for the National Institute for Health and Clinical Excellence (NICE). </w:t>
      </w:r>
      <w:r w:rsidRPr="000F6431">
        <w:rPr>
          <w:rStyle w:val="apple-style-span"/>
          <w:rFonts w:ascii="Times New Roman" w:hAnsi="Times New Roman"/>
          <w:color w:val="000000"/>
          <w:sz w:val="24"/>
          <w:szCs w:val="24"/>
        </w:rPr>
        <w:t>http://www.nice.org.uk/Guidance/PHG/Wave20/55</w:t>
      </w:r>
      <w:r w:rsidRPr="000F6431">
        <w:rPr>
          <w:rStyle w:val="apple-converted-space"/>
          <w:rFonts w:ascii="Times New Roman" w:hAnsi="Times New Roman"/>
          <w:color w:val="000000"/>
          <w:sz w:val="24"/>
          <w:szCs w:val="24"/>
        </w:rPr>
        <w:t> </w:t>
      </w:r>
    </w:p>
    <w:p w:rsidR="00182DA2" w:rsidRPr="000F6431" w:rsidRDefault="00182DA2" w:rsidP="00182DA2">
      <w:pPr>
        <w:pStyle w:val="Chapterheading"/>
        <w:spacing w:line="480" w:lineRule="auto"/>
        <w:rPr>
          <w:rFonts w:ascii="Times New Roman" w:hAnsi="Times New Roman"/>
          <w:b w:val="0"/>
          <w:sz w:val="24"/>
        </w:rPr>
      </w:pPr>
      <w:r w:rsidRPr="000F6431">
        <w:rPr>
          <w:rFonts w:ascii="Times New Roman" w:hAnsi="Times New Roman"/>
          <w:b w:val="0"/>
          <w:sz w:val="24"/>
        </w:rPr>
        <w:t>London: NICE; 2011a.</w:t>
      </w:r>
    </w:p>
    <w:p w:rsidR="00182DA2" w:rsidRPr="000F6431" w:rsidRDefault="00182DA2" w:rsidP="00182DA2">
      <w:pPr>
        <w:spacing w:line="480" w:lineRule="auto"/>
      </w:pPr>
    </w:p>
    <w:p w:rsidR="00182DA2" w:rsidRPr="000F6431" w:rsidRDefault="00182DA2" w:rsidP="00182DA2">
      <w:pPr>
        <w:spacing w:line="480" w:lineRule="auto"/>
        <w:rPr>
          <w:rFonts w:ascii="Times New Roman" w:hAnsi="Times New Roman" w:cs="Times New Roman"/>
          <w:sz w:val="24"/>
          <w:szCs w:val="24"/>
        </w:rPr>
      </w:pPr>
      <w:r w:rsidRPr="000F6431">
        <w:rPr>
          <w:rFonts w:ascii="Times New Roman" w:hAnsi="Times New Roman" w:cs="Times New Roman"/>
          <w:sz w:val="24"/>
          <w:szCs w:val="24"/>
        </w:rPr>
        <w:t xml:space="preserve">University of West of England. </w:t>
      </w:r>
      <w:r w:rsidRPr="000F6431">
        <w:rPr>
          <w:rFonts w:ascii="Times New Roman" w:hAnsi="Times New Roman" w:cs="Times New Roman"/>
          <w:bCs/>
          <w:color w:val="000000"/>
          <w:sz w:val="24"/>
          <w:szCs w:val="24"/>
        </w:rPr>
        <w:t xml:space="preserve">Spatial Planning &amp; Health - </w:t>
      </w:r>
      <w:r w:rsidRPr="000F6431">
        <w:rPr>
          <w:rFonts w:ascii="Times New Roman" w:hAnsi="Times New Roman" w:cs="Times New Roman"/>
          <w:sz w:val="24"/>
          <w:szCs w:val="24"/>
        </w:rPr>
        <w:t xml:space="preserve">The effectiveness and cost effectiveness of health appraisal processes currently in use to address health and wellbeing during plan appraisal. Report prepared for the National Institute for Health and Clinical Excellence (NICE). </w:t>
      </w:r>
      <w:r w:rsidRPr="000F6431">
        <w:rPr>
          <w:rStyle w:val="apple-style-span"/>
          <w:rFonts w:ascii="Times New Roman" w:hAnsi="Times New Roman" w:cs="Times New Roman"/>
          <w:color w:val="000000"/>
          <w:sz w:val="24"/>
          <w:szCs w:val="24"/>
        </w:rPr>
        <w:t>http://www.nice.org.uk/Guidance/PHG/Wave20/55</w:t>
      </w:r>
      <w:r w:rsidRPr="000F6431">
        <w:rPr>
          <w:rStyle w:val="apple-converted-space"/>
          <w:rFonts w:ascii="Times New Roman" w:hAnsi="Times New Roman" w:cs="Times New Roman"/>
          <w:color w:val="000000"/>
          <w:sz w:val="24"/>
          <w:szCs w:val="24"/>
        </w:rPr>
        <w:t> </w:t>
      </w:r>
      <w:r w:rsidRPr="000F6431">
        <w:rPr>
          <w:rFonts w:ascii="Times New Roman" w:hAnsi="Times New Roman" w:cs="Times New Roman"/>
          <w:sz w:val="24"/>
          <w:szCs w:val="24"/>
        </w:rPr>
        <w:t xml:space="preserve"> London: NICE; 2011b.</w:t>
      </w:r>
    </w:p>
    <w:p w:rsidR="00182DA2" w:rsidRPr="000F6431" w:rsidRDefault="00182DA2" w:rsidP="00182DA2">
      <w:pPr>
        <w:spacing w:line="480" w:lineRule="auto"/>
      </w:pPr>
    </w:p>
    <w:p w:rsidR="00182DA2" w:rsidRPr="000F6431" w:rsidRDefault="00182DA2" w:rsidP="00182DA2">
      <w:pPr>
        <w:pStyle w:val="Default"/>
        <w:spacing w:line="480" w:lineRule="auto"/>
      </w:pPr>
      <w:r w:rsidRPr="000F6431">
        <w:rPr>
          <w:rFonts w:ascii="Times New Roman" w:hAnsi="Times New Roman" w:cs="Times New Roman"/>
          <w:color w:val="auto"/>
        </w:rPr>
        <w:t xml:space="preserve">University of West of England . </w:t>
      </w:r>
      <w:r w:rsidRPr="000F6431">
        <w:rPr>
          <w:rFonts w:ascii="Times New Roman" w:hAnsi="Times New Roman" w:cs="Times New Roman"/>
          <w:bCs/>
        </w:rPr>
        <w:t>Spatial Planning &amp; Health - Identifying barriers &amp; facilitators to the integration of health into planning</w:t>
      </w:r>
      <w:r w:rsidRPr="000F6431">
        <w:rPr>
          <w:rFonts w:ascii="Times New Roman" w:hAnsi="Times New Roman" w:cs="Times New Roman"/>
          <w:color w:val="auto"/>
        </w:rPr>
        <w:t xml:space="preserve">. Report prepared for the National Institute for Health and Clinical Excellence (NICE). </w:t>
      </w:r>
      <w:hyperlink r:id="rId8" w:history="1">
        <w:r w:rsidRPr="000F6431">
          <w:rPr>
            <w:rStyle w:val="Hyperlink"/>
            <w:rFonts w:ascii="Times New Roman" w:hAnsi="Times New Roman"/>
          </w:rPr>
          <w:t>http://www.nice.org.uk/Guidance/PHG/Wave20/55</w:t>
        </w:r>
      </w:hyperlink>
      <w:r w:rsidRPr="000F6431">
        <w:rPr>
          <w:rStyle w:val="apple-converted-space"/>
          <w:rFonts w:ascii="Times New Roman" w:hAnsi="Times New Roman"/>
        </w:rPr>
        <w:t xml:space="preserve">; </w:t>
      </w:r>
      <w:r w:rsidRPr="000F6431">
        <w:rPr>
          <w:rFonts w:ascii="Times New Roman" w:hAnsi="Times New Roman" w:cs="Times New Roman"/>
          <w:color w:val="auto"/>
        </w:rPr>
        <w:t>London: NICE; 2011c.</w:t>
      </w:r>
    </w:p>
    <w:p w:rsidR="00774B1B" w:rsidRPr="000F6431" w:rsidRDefault="00774B1B" w:rsidP="00A44105">
      <w:pPr>
        <w:spacing w:line="480" w:lineRule="auto"/>
        <w:jc w:val="both"/>
        <w:rPr>
          <w:rFonts w:ascii="Times New Roman" w:hAnsi="Times New Roman" w:cs="Times New Roman"/>
          <w:sz w:val="24"/>
          <w:szCs w:val="24"/>
        </w:rPr>
      </w:pPr>
    </w:p>
    <w:p w:rsidR="00774B1B" w:rsidRPr="000F6431" w:rsidRDefault="00774B1B"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UWE</w:t>
      </w:r>
      <w:r w:rsidR="00182DA2" w:rsidRPr="000F6431">
        <w:rPr>
          <w:rStyle w:val="CommentReference"/>
          <w:rFonts w:ascii="Times New Roman" w:hAnsi="Times New Roman"/>
          <w:color w:val="000000"/>
          <w:sz w:val="24"/>
          <w:szCs w:val="24"/>
        </w:rPr>
        <w:t xml:space="preserve"> </w:t>
      </w:r>
      <w:r w:rsidR="00182DA2" w:rsidRPr="000F6431">
        <w:rPr>
          <w:rStyle w:val="apple-style-span"/>
          <w:rFonts w:ascii="Times New Roman" w:hAnsi="Times New Roman"/>
          <w:color w:val="000000"/>
          <w:sz w:val="24"/>
          <w:szCs w:val="24"/>
        </w:rPr>
        <w:t>http://www.nice.org.uk/Guidance/PHG/Wave20/55</w:t>
      </w:r>
      <w:r w:rsidR="00182DA2" w:rsidRPr="000F6431">
        <w:rPr>
          <w:rStyle w:val="apple-converted-space"/>
          <w:rFonts w:ascii="Times New Roman" w:hAnsi="Times New Roman"/>
          <w:color w:val="000000"/>
          <w:sz w:val="24"/>
          <w:szCs w:val="24"/>
        </w:rPr>
        <w:t> </w:t>
      </w:r>
    </w:p>
    <w:p w:rsidR="003F774C" w:rsidRPr="000F6431" w:rsidRDefault="00AA6F43"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t>Viinikainen T, Kaehoe T</w:t>
      </w:r>
      <w:r w:rsidR="003F774C" w:rsidRPr="000F6431">
        <w:rPr>
          <w:rFonts w:ascii="Times New Roman" w:hAnsi="Times New Roman" w:cs="Times New Roman"/>
          <w:sz w:val="24"/>
          <w:szCs w:val="24"/>
        </w:rPr>
        <w:t xml:space="preserve">. </w:t>
      </w:r>
      <w:r w:rsidRPr="000F6431">
        <w:rPr>
          <w:rFonts w:ascii="Times New Roman" w:hAnsi="Times New Roman" w:cs="Times New Roman"/>
          <w:sz w:val="24"/>
          <w:szCs w:val="24"/>
        </w:rPr>
        <w:t>Social impact assessment in Finland, bypass of the City of H</w:t>
      </w:r>
      <w:r w:rsidR="003F774C" w:rsidRPr="000F6431">
        <w:rPr>
          <w:rFonts w:ascii="Times New Roman" w:hAnsi="Times New Roman" w:cs="Times New Roman"/>
          <w:sz w:val="24"/>
          <w:szCs w:val="24"/>
        </w:rPr>
        <w:t xml:space="preserve">amina. </w:t>
      </w:r>
      <w:r w:rsidRPr="000F6431">
        <w:rPr>
          <w:rFonts w:ascii="Times New Roman" w:hAnsi="Times New Roman" w:cs="Times New Roman"/>
          <w:sz w:val="24"/>
          <w:szCs w:val="24"/>
        </w:rPr>
        <w:t>Routes Roads 2007; 333:</w:t>
      </w:r>
      <w:r w:rsidR="003F774C" w:rsidRPr="000F6431">
        <w:rPr>
          <w:rFonts w:ascii="Times New Roman" w:hAnsi="Times New Roman" w:cs="Times New Roman"/>
          <w:sz w:val="24"/>
          <w:szCs w:val="24"/>
        </w:rPr>
        <w:t>18-23.</w:t>
      </w:r>
    </w:p>
    <w:p w:rsidR="00EC4B63" w:rsidRPr="000F6431" w:rsidRDefault="00AA6F43" w:rsidP="00A44105">
      <w:pPr>
        <w:spacing w:line="480" w:lineRule="auto"/>
        <w:jc w:val="both"/>
        <w:rPr>
          <w:rFonts w:ascii="Times New Roman" w:hAnsi="Times New Roman" w:cs="Times New Roman"/>
          <w:sz w:val="24"/>
          <w:szCs w:val="24"/>
          <w:lang w:eastAsia="en-GB"/>
        </w:rPr>
      </w:pPr>
      <w:r w:rsidRPr="000F6431">
        <w:rPr>
          <w:rFonts w:ascii="Times New Roman" w:hAnsi="Times New Roman" w:cs="Times New Roman"/>
          <w:sz w:val="24"/>
          <w:szCs w:val="24"/>
        </w:rPr>
        <w:t>Whitehead M, Dahlgren G</w:t>
      </w:r>
      <w:r w:rsidR="00EC4B63" w:rsidRPr="000F6431">
        <w:rPr>
          <w:rFonts w:ascii="Times New Roman" w:hAnsi="Times New Roman" w:cs="Times New Roman"/>
          <w:sz w:val="24"/>
          <w:szCs w:val="24"/>
        </w:rPr>
        <w:t>. What can we do abo</w:t>
      </w:r>
      <w:r w:rsidR="00EC7ADB" w:rsidRPr="000F6431">
        <w:rPr>
          <w:rFonts w:ascii="Times New Roman" w:hAnsi="Times New Roman" w:cs="Times New Roman"/>
          <w:sz w:val="24"/>
          <w:szCs w:val="24"/>
        </w:rPr>
        <w:t>ut inequalities in health? The L</w:t>
      </w:r>
      <w:r w:rsidRPr="000F6431">
        <w:rPr>
          <w:rFonts w:ascii="Times New Roman" w:hAnsi="Times New Roman" w:cs="Times New Roman"/>
          <w:sz w:val="24"/>
          <w:szCs w:val="24"/>
        </w:rPr>
        <w:t>ancet 1991; 338:</w:t>
      </w:r>
      <w:r w:rsidR="00EC4B63" w:rsidRPr="000F6431">
        <w:rPr>
          <w:rFonts w:ascii="Times New Roman" w:hAnsi="Times New Roman" w:cs="Times New Roman"/>
          <w:sz w:val="24"/>
          <w:szCs w:val="24"/>
        </w:rPr>
        <w:t>1059-1063.</w:t>
      </w:r>
    </w:p>
    <w:p w:rsidR="003F774C" w:rsidRPr="000F6431" w:rsidRDefault="00AA6F43" w:rsidP="00A44105">
      <w:pPr>
        <w:spacing w:line="480" w:lineRule="auto"/>
        <w:jc w:val="both"/>
        <w:rPr>
          <w:rFonts w:ascii="Times New Roman" w:hAnsi="Times New Roman" w:cs="Times New Roman"/>
          <w:sz w:val="24"/>
          <w:szCs w:val="24"/>
        </w:rPr>
      </w:pPr>
      <w:r w:rsidRPr="000F6431">
        <w:rPr>
          <w:rFonts w:ascii="Times New Roman" w:hAnsi="Times New Roman" w:cs="Times New Roman"/>
          <w:sz w:val="24"/>
          <w:szCs w:val="24"/>
        </w:rPr>
        <w:lastRenderedPageBreak/>
        <w:t>Wismar M, Blau J, Ernst K, Figeuras J. eds</w:t>
      </w:r>
      <w:r w:rsidR="003F774C" w:rsidRPr="000F6431">
        <w:rPr>
          <w:rFonts w:ascii="Times New Roman" w:hAnsi="Times New Roman" w:cs="Times New Roman"/>
          <w:sz w:val="24"/>
          <w:szCs w:val="24"/>
        </w:rPr>
        <w:t>. The Effectiveness of Heath Impact Assessment, Scope &amp; limitations of supporting decision-making in Europe</w:t>
      </w:r>
      <w:r w:rsidR="003F774C" w:rsidRPr="000F6431">
        <w:rPr>
          <w:rFonts w:ascii="Times New Roman" w:hAnsi="Times New Roman" w:cs="Times New Roman"/>
          <w:i/>
          <w:sz w:val="24"/>
          <w:szCs w:val="24"/>
        </w:rPr>
        <w:t>.</w:t>
      </w:r>
      <w:r w:rsidRPr="000F6431">
        <w:rPr>
          <w:rFonts w:ascii="Times New Roman" w:hAnsi="Times New Roman" w:cs="Times New Roman"/>
          <w:sz w:val="24"/>
          <w:szCs w:val="24"/>
        </w:rPr>
        <w:t xml:space="preserve"> </w:t>
      </w:r>
      <w:r w:rsidR="003F774C" w:rsidRPr="000F6431">
        <w:rPr>
          <w:rFonts w:ascii="Times New Roman" w:hAnsi="Times New Roman" w:cs="Times New Roman"/>
          <w:sz w:val="24"/>
          <w:szCs w:val="24"/>
        </w:rPr>
        <w:t>WHO, on behalf of European Observato</w:t>
      </w:r>
      <w:r w:rsidRPr="000F6431">
        <w:rPr>
          <w:rFonts w:ascii="Times New Roman" w:hAnsi="Times New Roman" w:cs="Times New Roman"/>
          <w:sz w:val="24"/>
          <w:szCs w:val="24"/>
        </w:rPr>
        <w:t>ry on Health Systems &amp; Policies; 2007.</w:t>
      </w:r>
    </w:p>
    <w:p w:rsidR="003F774C" w:rsidRPr="000F6431" w:rsidRDefault="00AA6F43" w:rsidP="00A44105">
      <w:pPr>
        <w:pStyle w:val="NormalWeb"/>
        <w:spacing w:line="480" w:lineRule="auto"/>
      </w:pPr>
      <w:r w:rsidRPr="000F6431">
        <w:t xml:space="preserve">Wright J, Parry J, Scully E. </w:t>
      </w:r>
      <w:r w:rsidR="003F774C" w:rsidRPr="000F6431">
        <w:t>Institutionalizing policy-level healt</w:t>
      </w:r>
      <w:r w:rsidRPr="000F6431">
        <w:t>h impact assessment in Europe: i</w:t>
      </w:r>
      <w:r w:rsidR="003F774C" w:rsidRPr="000F6431">
        <w:t xml:space="preserve">s coupling health impact assessment with strategic environmental assessment the next step forward? </w:t>
      </w:r>
      <w:r w:rsidR="003F774C" w:rsidRPr="000F6431">
        <w:rPr>
          <w:iCs/>
        </w:rPr>
        <w:t>Bulletin of the World Health Organization</w:t>
      </w:r>
      <w:r w:rsidRPr="000F6431">
        <w:rPr>
          <w:iCs/>
        </w:rPr>
        <w:t xml:space="preserve"> 2005; </w:t>
      </w:r>
      <w:r w:rsidR="003F774C" w:rsidRPr="000F6431">
        <w:t>83</w:t>
      </w:r>
      <w:r w:rsidRPr="000F6431">
        <w:t xml:space="preserve"> (6):</w:t>
      </w:r>
      <w:r w:rsidR="003F774C" w:rsidRPr="000F6431">
        <w:t xml:space="preserve"> 472-477. </w:t>
      </w:r>
    </w:p>
    <w:p w:rsidR="003F774C" w:rsidRPr="006E0B9E" w:rsidRDefault="003F774C" w:rsidP="00A44105">
      <w:pPr>
        <w:spacing w:line="480" w:lineRule="auto"/>
        <w:rPr>
          <w:rFonts w:ascii="Times New Roman" w:hAnsi="Times New Roman" w:cs="Times New Roman"/>
          <w:sz w:val="24"/>
          <w:szCs w:val="24"/>
        </w:rPr>
      </w:pPr>
      <w:r w:rsidRPr="000F6431">
        <w:rPr>
          <w:rFonts w:ascii="Times New Roman" w:hAnsi="Times New Roman" w:cs="Times New Roman"/>
          <w:sz w:val="24"/>
          <w:szCs w:val="24"/>
        </w:rPr>
        <w:t>York He</w:t>
      </w:r>
      <w:r w:rsidR="00AA6F43" w:rsidRPr="000F6431">
        <w:rPr>
          <w:rFonts w:ascii="Times New Roman" w:hAnsi="Times New Roman" w:cs="Times New Roman"/>
          <w:sz w:val="24"/>
          <w:szCs w:val="24"/>
        </w:rPr>
        <w:t>alth Economics Consortium</w:t>
      </w:r>
      <w:r w:rsidRPr="000F6431">
        <w:rPr>
          <w:rFonts w:ascii="Times New Roman" w:hAnsi="Times New Roman" w:cs="Times New Roman"/>
          <w:sz w:val="24"/>
          <w:szCs w:val="24"/>
        </w:rPr>
        <w:t xml:space="preserve">. </w:t>
      </w:r>
      <w:r w:rsidR="00AA6F43" w:rsidRPr="000F6431">
        <w:rPr>
          <w:rFonts w:ascii="Times New Roman" w:hAnsi="Times New Roman" w:cs="Times New Roman"/>
          <w:sz w:val="24"/>
          <w:szCs w:val="24"/>
        </w:rPr>
        <w:t>Cost benefit analysis of health impact a</w:t>
      </w:r>
      <w:r w:rsidRPr="000F6431">
        <w:rPr>
          <w:rFonts w:ascii="Times New Roman" w:hAnsi="Times New Roman" w:cs="Times New Roman"/>
          <w:sz w:val="24"/>
          <w:szCs w:val="24"/>
        </w:rPr>
        <w:t xml:space="preserve">ssessment. </w:t>
      </w:r>
      <w:r w:rsidR="00AA6F43" w:rsidRPr="000F6431">
        <w:rPr>
          <w:rFonts w:ascii="Times New Roman" w:hAnsi="Times New Roman" w:cs="Times New Roman"/>
          <w:sz w:val="24"/>
          <w:szCs w:val="24"/>
        </w:rPr>
        <w:t>University of York: YHEC;</w:t>
      </w:r>
      <w:r w:rsidRPr="000F6431">
        <w:rPr>
          <w:rFonts w:ascii="Times New Roman" w:hAnsi="Times New Roman" w:cs="Times New Roman"/>
          <w:sz w:val="24"/>
          <w:szCs w:val="24"/>
        </w:rPr>
        <w:t xml:space="preserve"> 2006.</w:t>
      </w:r>
    </w:p>
    <w:p w:rsidR="00AA6FF5" w:rsidRPr="00AA6FF5" w:rsidRDefault="00AA6FF5" w:rsidP="00A44105">
      <w:pPr>
        <w:spacing w:line="480" w:lineRule="auto"/>
        <w:rPr>
          <w:rFonts w:ascii="Arial" w:hAnsi="Arial" w:cs="Arial"/>
          <w:sz w:val="24"/>
          <w:szCs w:val="24"/>
        </w:rPr>
      </w:pPr>
    </w:p>
    <w:sectPr w:rsidR="00AA6FF5" w:rsidRPr="00AA6FF5" w:rsidSect="00A44105">
      <w:footerReference w:type="default" r:id="rId9"/>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1B5" w:rsidRDefault="00DB51B5" w:rsidP="00900801">
      <w:pPr>
        <w:spacing w:after="0" w:line="240" w:lineRule="auto"/>
      </w:pPr>
      <w:r>
        <w:separator/>
      </w:r>
    </w:p>
  </w:endnote>
  <w:endnote w:type="continuationSeparator" w:id="0">
    <w:p w:rsidR="00DB51B5" w:rsidRDefault="00DB51B5" w:rsidP="00900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9610"/>
      <w:docPartObj>
        <w:docPartGallery w:val="Page Numbers (Bottom of Page)"/>
        <w:docPartUnique/>
      </w:docPartObj>
    </w:sdtPr>
    <w:sdtContent>
      <w:p w:rsidR="007F0F29" w:rsidRDefault="004C35B4">
        <w:pPr>
          <w:pStyle w:val="Footer"/>
          <w:jc w:val="center"/>
        </w:pPr>
        <w:fldSimple w:instr=" PAGE   \* MERGEFORMAT ">
          <w:r w:rsidR="00747E39">
            <w:rPr>
              <w:noProof/>
            </w:rPr>
            <w:t>39</w:t>
          </w:r>
        </w:fldSimple>
      </w:p>
    </w:sdtContent>
  </w:sdt>
  <w:p w:rsidR="007F0F29" w:rsidRDefault="007F0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1B5" w:rsidRDefault="00DB51B5" w:rsidP="00900801">
      <w:pPr>
        <w:spacing w:after="0" w:line="240" w:lineRule="auto"/>
      </w:pPr>
      <w:r>
        <w:separator/>
      </w:r>
    </w:p>
  </w:footnote>
  <w:footnote w:type="continuationSeparator" w:id="0">
    <w:p w:rsidR="00DB51B5" w:rsidRDefault="00DB51B5" w:rsidP="00900801">
      <w:pPr>
        <w:spacing w:after="0" w:line="240" w:lineRule="auto"/>
      </w:pPr>
      <w:r>
        <w:continuationSeparator/>
      </w:r>
    </w:p>
  </w:footnote>
  <w:footnote w:id="1">
    <w:p w:rsidR="007F0F29" w:rsidRDefault="007F0F29">
      <w:pPr>
        <w:pStyle w:val="FootnoteText"/>
      </w:pPr>
      <w:r>
        <w:rPr>
          <w:rStyle w:val="FootnoteReference"/>
        </w:rPr>
        <w:footnoteRef/>
      </w:r>
      <w:r>
        <w:t xml:space="preserve"> Note that these two terms, assessment and appraisal, refer to different tools but mean much the same. The different terminology is largely due to convention. In some cases the two terms are expressly equated, as in the </w:t>
      </w:r>
      <w:r w:rsidRPr="000F6431">
        <w:t>England’s</w:t>
      </w:r>
      <w:r>
        <w:t xml:space="preserve"> combination of SEA and SA (Sustainability Appraisal).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52"/>
    <w:multiLevelType w:val="hybridMultilevel"/>
    <w:tmpl w:val="096234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25C19"/>
    <w:multiLevelType w:val="hybridMultilevel"/>
    <w:tmpl w:val="0E9240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7E206C"/>
    <w:multiLevelType w:val="hybridMultilevel"/>
    <w:tmpl w:val="EC8C3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897308"/>
    <w:multiLevelType w:val="hybridMultilevel"/>
    <w:tmpl w:val="30F2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E0AAE"/>
    <w:multiLevelType w:val="hybridMultilevel"/>
    <w:tmpl w:val="E646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F2D43"/>
    <w:multiLevelType w:val="hybridMultilevel"/>
    <w:tmpl w:val="5510A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E5946"/>
    <w:multiLevelType w:val="hybridMultilevel"/>
    <w:tmpl w:val="40D8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F31AE"/>
    <w:multiLevelType w:val="hybridMultilevel"/>
    <w:tmpl w:val="61E0547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A1F2F99"/>
    <w:multiLevelType w:val="hybridMultilevel"/>
    <w:tmpl w:val="78722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34DD9"/>
    <w:multiLevelType w:val="hybridMultilevel"/>
    <w:tmpl w:val="691CB428"/>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4E749E4"/>
    <w:multiLevelType w:val="hybridMultilevel"/>
    <w:tmpl w:val="EAC8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E957BF"/>
    <w:multiLevelType w:val="hybridMultilevel"/>
    <w:tmpl w:val="D3F2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A6546"/>
    <w:multiLevelType w:val="hybridMultilevel"/>
    <w:tmpl w:val="28AEF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8060DA"/>
    <w:multiLevelType w:val="hybridMultilevel"/>
    <w:tmpl w:val="90E8A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735AAD"/>
    <w:multiLevelType w:val="hybridMultilevel"/>
    <w:tmpl w:val="B52029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E21CBC"/>
    <w:multiLevelType w:val="hybridMultilevel"/>
    <w:tmpl w:val="FEDAA2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25416B"/>
    <w:multiLevelType w:val="hybridMultilevel"/>
    <w:tmpl w:val="AECE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59467D"/>
    <w:multiLevelType w:val="hybridMultilevel"/>
    <w:tmpl w:val="FF3C55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2310C52"/>
    <w:multiLevelType w:val="hybridMultilevel"/>
    <w:tmpl w:val="A4EC7790"/>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6FE4A7D"/>
    <w:multiLevelType w:val="hybridMultilevel"/>
    <w:tmpl w:val="C94CF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BD43F28"/>
    <w:multiLevelType w:val="hybridMultilevel"/>
    <w:tmpl w:val="58260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AC0952"/>
    <w:multiLevelType w:val="hybridMultilevel"/>
    <w:tmpl w:val="68B215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ED75610"/>
    <w:multiLevelType w:val="hybridMultilevel"/>
    <w:tmpl w:val="CCC8C4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E73FAA"/>
    <w:multiLevelType w:val="hybridMultilevel"/>
    <w:tmpl w:val="E4B0FB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CA39E8"/>
    <w:multiLevelType w:val="hybridMultilevel"/>
    <w:tmpl w:val="82D83A1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7C753A"/>
    <w:multiLevelType w:val="hybridMultilevel"/>
    <w:tmpl w:val="886C2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19785B"/>
    <w:multiLevelType w:val="hybridMultilevel"/>
    <w:tmpl w:val="F7369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4A696C"/>
    <w:multiLevelType w:val="hybridMultilevel"/>
    <w:tmpl w:val="9230B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4B57D2"/>
    <w:multiLevelType w:val="hybridMultilevel"/>
    <w:tmpl w:val="D72AE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F67DB9"/>
    <w:multiLevelType w:val="hybridMultilevel"/>
    <w:tmpl w:val="DE6A4C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5316086"/>
    <w:multiLevelType w:val="hybridMultilevel"/>
    <w:tmpl w:val="9230B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6750C"/>
    <w:multiLevelType w:val="hybridMultilevel"/>
    <w:tmpl w:val="5CA8F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77D69EF"/>
    <w:multiLevelType w:val="hybridMultilevel"/>
    <w:tmpl w:val="5C4ADC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B35582"/>
    <w:multiLevelType w:val="hybridMultilevel"/>
    <w:tmpl w:val="41D29EE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D310C"/>
    <w:multiLevelType w:val="hybridMultilevel"/>
    <w:tmpl w:val="CF2C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055A17"/>
    <w:multiLevelType w:val="hybridMultilevel"/>
    <w:tmpl w:val="B66AA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306CD"/>
    <w:multiLevelType w:val="hybridMultilevel"/>
    <w:tmpl w:val="3CB8D8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1882D07"/>
    <w:multiLevelType w:val="hybridMultilevel"/>
    <w:tmpl w:val="2A30D2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2BB4EBE"/>
    <w:multiLevelType w:val="hybridMultilevel"/>
    <w:tmpl w:val="2548A4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A1E32A4"/>
    <w:multiLevelType w:val="multilevel"/>
    <w:tmpl w:val="73B2D9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C9779F7"/>
    <w:multiLevelType w:val="hybridMultilevel"/>
    <w:tmpl w:val="9496D6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DC96856"/>
    <w:multiLevelType w:val="hybridMultilevel"/>
    <w:tmpl w:val="85D232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018" w:hanging="360"/>
      </w:pPr>
      <w:rPr>
        <w:rFonts w:ascii="Courier New" w:hAnsi="Courier New" w:cs="Courier New" w:hint="default"/>
      </w:rPr>
    </w:lvl>
    <w:lvl w:ilvl="2" w:tplc="08090005">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2">
    <w:nsid w:val="7DED44C8"/>
    <w:multiLevelType w:val="hybridMultilevel"/>
    <w:tmpl w:val="69F2C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FBF052C"/>
    <w:multiLevelType w:val="hybridMultilevel"/>
    <w:tmpl w:val="1F32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
  </w:num>
  <w:num w:numId="4">
    <w:abstractNumId w:val="37"/>
  </w:num>
  <w:num w:numId="5">
    <w:abstractNumId w:val="40"/>
  </w:num>
  <w:num w:numId="6">
    <w:abstractNumId w:val="29"/>
  </w:num>
  <w:num w:numId="7">
    <w:abstractNumId w:val="28"/>
  </w:num>
  <w:num w:numId="8">
    <w:abstractNumId w:val="8"/>
  </w:num>
  <w:num w:numId="9">
    <w:abstractNumId w:val="34"/>
  </w:num>
  <w:num w:numId="10">
    <w:abstractNumId w:val="41"/>
  </w:num>
  <w:num w:numId="11">
    <w:abstractNumId w:val="21"/>
  </w:num>
  <w:num w:numId="12">
    <w:abstractNumId w:val="18"/>
  </w:num>
  <w:num w:numId="13">
    <w:abstractNumId w:val="6"/>
  </w:num>
  <w:num w:numId="14">
    <w:abstractNumId w:val="19"/>
  </w:num>
  <w:num w:numId="15">
    <w:abstractNumId w:val="22"/>
  </w:num>
  <w:num w:numId="16">
    <w:abstractNumId w:val="42"/>
  </w:num>
  <w:num w:numId="17">
    <w:abstractNumId w:val="7"/>
  </w:num>
  <w:num w:numId="18">
    <w:abstractNumId w:val="31"/>
  </w:num>
  <w:num w:numId="19">
    <w:abstractNumId w:val="5"/>
  </w:num>
  <w:num w:numId="20">
    <w:abstractNumId w:val="12"/>
  </w:num>
  <w:num w:numId="21">
    <w:abstractNumId w:val="9"/>
  </w:num>
  <w:num w:numId="22">
    <w:abstractNumId w:val="39"/>
  </w:num>
  <w:num w:numId="23">
    <w:abstractNumId w:val="43"/>
  </w:num>
  <w:num w:numId="24">
    <w:abstractNumId w:val="16"/>
  </w:num>
  <w:num w:numId="25">
    <w:abstractNumId w:val="35"/>
  </w:num>
  <w:num w:numId="26">
    <w:abstractNumId w:val="36"/>
  </w:num>
  <w:num w:numId="27">
    <w:abstractNumId w:val="14"/>
  </w:num>
  <w:num w:numId="28">
    <w:abstractNumId w:val="17"/>
  </w:num>
  <w:num w:numId="29">
    <w:abstractNumId w:val="1"/>
  </w:num>
  <w:num w:numId="30">
    <w:abstractNumId w:val="24"/>
  </w:num>
  <w:num w:numId="31">
    <w:abstractNumId w:val="33"/>
  </w:num>
  <w:num w:numId="32">
    <w:abstractNumId w:val="10"/>
  </w:num>
  <w:num w:numId="33">
    <w:abstractNumId w:val="15"/>
  </w:num>
  <w:num w:numId="34">
    <w:abstractNumId w:val="20"/>
  </w:num>
  <w:num w:numId="35">
    <w:abstractNumId w:val="32"/>
  </w:num>
  <w:num w:numId="36">
    <w:abstractNumId w:val="25"/>
  </w:num>
  <w:num w:numId="37">
    <w:abstractNumId w:val="26"/>
  </w:num>
  <w:num w:numId="38">
    <w:abstractNumId w:val="13"/>
  </w:num>
  <w:num w:numId="39">
    <w:abstractNumId w:val="23"/>
  </w:num>
  <w:num w:numId="40">
    <w:abstractNumId w:val="38"/>
  </w:num>
  <w:num w:numId="41">
    <w:abstractNumId w:val="0"/>
  </w:num>
  <w:num w:numId="42">
    <w:abstractNumId w:val="11"/>
  </w:num>
  <w:num w:numId="43">
    <w:abstractNumId w:val="4"/>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6FF5"/>
    <w:rsid w:val="00000DB3"/>
    <w:rsid w:val="00002E51"/>
    <w:rsid w:val="00006937"/>
    <w:rsid w:val="0001416A"/>
    <w:rsid w:val="00015DBB"/>
    <w:rsid w:val="00024A6C"/>
    <w:rsid w:val="00030251"/>
    <w:rsid w:val="000313D1"/>
    <w:rsid w:val="0003185C"/>
    <w:rsid w:val="00031C3C"/>
    <w:rsid w:val="00032A80"/>
    <w:rsid w:val="000435D7"/>
    <w:rsid w:val="00063207"/>
    <w:rsid w:val="0006422A"/>
    <w:rsid w:val="0007059D"/>
    <w:rsid w:val="000707E6"/>
    <w:rsid w:val="00071888"/>
    <w:rsid w:val="0007523A"/>
    <w:rsid w:val="000756C1"/>
    <w:rsid w:val="000829E7"/>
    <w:rsid w:val="000924BC"/>
    <w:rsid w:val="000967D0"/>
    <w:rsid w:val="000A5EA3"/>
    <w:rsid w:val="000B07C0"/>
    <w:rsid w:val="000C0547"/>
    <w:rsid w:val="000C2C78"/>
    <w:rsid w:val="000C5AD7"/>
    <w:rsid w:val="000C7926"/>
    <w:rsid w:val="000D4260"/>
    <w:rsid w:val="000D7B10"/>
    <w:rsid w:val="000E4387"/>
    <w:rsid w:val="000F07CD"/>
    <w:rsid w:val="000F23DC"/>
    <w:rsid w:val="000F2EB3"/>
    <w:rsid w:val="000F6431"/>
    <w:rsid w:val="001053E2"/>
    <w:rsid w:val="001058A2"/>
    <w:rsid w:val="00106294"/>
    <w:rsid w:val="00112B68"/>
    <w:rsid w:val="001172D3"/>
    <w:rsid w:val="001208BB"/>
    <w:rsid w:val="001225B1"/>
    <w:rsid w:val="001227EB"/>
    <w:rsid w:val="0012523D"/>
    <w:rsid w:val="001341BA"/>
    <w:rsid w:val="00136469"/>
    <w:rsid w:val="00146C55"/>
    <w:rsid w:val="00147C02"/>
    <w:rsid w:val="0015295C"/>
    <w:rsid w:val="00153311"/>
    <w:rsid w:val="00155B1F"/>
    <w:rsid w:val="00162AA3"/>
    <w:rsid w:val="0017190D"/>
    <w:rsid w:val="00181FA4"/>
    <w:rsid w:val="00182DA2"/>
    <w:rsid w:val="001933A9"/>
    <w:rsid w:val="00195749"/>
    <w:rsid w:val="001977CA"/>
    <w:rsid w:val="001A0432"/>
    <w:rsid w:val="001B00C8"/>
    <w:rsid w:val="001C1489"/>
    <w:rsid w:val="001C4515"/>
    <w:rsid w:val="001C468A"/>
    <w:rsid w:val="001C4CF8"/>
    <w:rsid w:val="001C6684"/>
    <w:rsid w:val="001D1D79"/>
    <w:rsid w:val="001D5773"/>
    <w:rsid w:val="001D5F5F"/>
    <w:rsid w:val="001E2CAE"/>
    <w:rsid w:val="001E5209"/>
    <w:rsid w:val="001F7765"/>
    <w:rsid w:val="00203285"/>
    <w:rsid w:val="002039D4"/>
    <w:rsid w:val="002052AD"/>
    <w:rsid w:val="0020569C"/>
    <w:rsid w:val="00214823"/>
    <w:rsid w:val="002168FE"/>
    <w:rsid w:val="00217E4B"/>
    <w:rsid w:val="0022749A"/>
    <w:rsid w:val="002367D6"/>
    <w:rsid w:val="0025057A"/>
    <w:rsid w:val="00253DE9"/>
    <w:rsid w:val="0025413D"/>
    <w:rsid w:val="0026481F"/>
    <w:rsid w:val="00265119"/>
    <w:rsid w:val="0027474E"/>
    <w:rsid w:val="002768D0"/>
    <w:rsid w:val="00282912"/>
    <w:rsid w:val="00282AA3"/>
    <w:rsid w:val="00283743"/>
    <w:rsid w:val="00284FDB"/>
    <w:rsid w:val="0029356C"/>
    <w:rsid w:val="002946EA"/>
    <w:rsid w:val="00297BEB"/>
    <w:rsid w:val="002A163E"/>
    <w:rsid w:val="002A4D53"/>
    <w:rsid w:val="002B75C1"/>
    <w:rsid w:val="002C1B1D"/>
    <w:rsid w:val="002C4F35"/>
    <w:rsid w:val="002D1C08"/>
    <w:rsid w:val="002D408F"/>
    <w:rsid w:val="002D4381"/>
    <w:rsid w:val="002D5551"/>
    <w:rsid w:val="002E318E"/>
    <w:rsid w:val="002E32ED"/>
    <w:rsid w:val="002E7DB8"/>
    <w:rsid w:val="002F6F07"/>
    <w:rsid w:val="002F715A"/>
    <w:rsid w:val="00301BFF"/>
    <w:rsid w:val="00303267"/>
    <w:rsid w:val="003037CF"/>
    <w:rsid w:val="00305FBF"/>
    <w:rsid w:val="00311C6E"/>
    <w:rsid w:val="003161EC"/>
    <w:rsid w:val="00323BA7"/>
    <w:rsid w:val="003302AD"/>
    <w:rsid w:val="0033271E"/>
    <w:rsid w:val="00334C06"/>
    <w:rsid w:val="00335878"/>
    <w:rsid w:val="00336D69"/>
    <w:rsid w:val="00343B30"/>
    <w:rsid w:val="003515A4"/>
    <w:rsid w:val="003530EE"/>
    <w:rsid w:val="00355744"/>
    <w:rsid w:val="00355808"/>
    <w:rsid w:val="00356FB8"/>
    <w:rsid w:val="003571C2"/>
    <w:rsid w:val="003578B6"/>
    <w:rsid w:val="0036394D"/>
    <w:rsid w:val="00367BF7"/>
    <w:rsid w:val="00370686"/>
    <w:rsid w:val="00372A8F"/>
    <w:rsid w:val="00375C25"/>
    <w:rsid w:val="00376D58"/>
    <w:rsid w:val="00383C99"/>
    <w:rsid w:val="00391DB1"/>
    <w:rsid w:val="0039377B"/>
    <w:rsid w:val="003939DD"/>
    <w:rsid w:val="003B3031"/>
    <w:rsid w:val="003C2A6C"/>
    <w:rsid w:val="003C7C69"/>
    <w:rsid w:val="003D5BF6"/>
    <w:rsid w:val="003D5E9D"/>
    <w:rsid w:val="003D67AF"/>
    <w:rsid w:val="003E4C9B"/>
    <w:rsid w:val="003F02C2"/>
    <w:rsid w:val="003F1B0B"/>
    <w:rsid w:val="003F299B"/>
    <w:rsid w:val="003F71F7"/>
    <w:rsid w:val="003F774C"/>
    <w:rsid w:val="0040134A"/>
    <w:rsid w:val="004035A1"/>
    <w:rsid w:val="00406EA4"/>
    <w:rsid w:val="00413EF5"/>
    <w:rsid w:val="004144D0"/>
    <w:rsid w:val="00414B71"/>
    <w:rsid w:val="00420E1F"/>
    <w:rsid w:val="00427708"/>
    <w:rsid w:val="00430EFD"/>
    <w:rsid w:val="00432670"/>
    <w:rsid w:val="00437A41"/>
    <w:rsid w:val="00443EDE"/>
    <w:rsid w:val="00446544"/>
    <w:rsid w:val="00451CB0"/>
    <w:rsid w:val="00455114"/>
    <w:rsid w:val="00460074"/>
    <w:rsid w:val="004641FE"/>
    <w:rsid w:val="0046556B"/>
    <w:rsid w:val="00472D21"/>
    <w:rsid w:val="00476EAF"/>
    <w:rsid w:val="00477E14"/>
    <w:rsid w:val="00481F20"/>
    <w:rsid w:val="0048573C"/>
    <w:rsid w:val="00485D15"/>
    <w:rsid w:val="00492458"/>
    <w:rsid w:val="004B2D8C"/>
    <w:rsid w:val="004B4AE4"/>
    <w:rsid w:val="004C1091"/>
    <w:rsid w:val="004C35B4"/>
    <w:rsid w:val="004D1101"/>
    <w:rsid w:val="004D20FA"/>
    <w:rsid w:val="004D5671"/>
    <w:rsid w:val="004E02B8"/>
    <w:rsid w:val="004E7A53"/>
    <w:rsid w:val="004F6A66"/>
    <w:rsid w:val="00500148"/>
    <w:rsid w:val="005037D7"/>
    <w:rsid w:val="005072EB"/>
    <w:rsid w:val="005076FC"/>
    <w:rsid w:val="00511E2B"/>
    <w:rsid w:val="005131C3"/>
    <w:rsid w:val="0051370B"/>
    <w:rsid w:val="00515BDC"/>
    <w:rsid w:val="005160F7"/>
    <w:rsid w:val="00516866"/>
    <w:rsid w:val="00517430"/>
    <w:rsid w:val="00520A9D"/>
    <w:rsid w:val="00532694"/>
    <w:rsid w:val="00532B29"/>
    <w:rsid w:val="00532E2A"/>
    <w:rsid w:val="0053487E"/>
    <w:rsid w:val="00535352"/>
    <w:rsid w:val="00540674"/>
    <w:rsid w:val="005427F0"/>
    <w:rsid w:val="00542EB0"/>
    <w:rsid w:val="005434DD"/>
    <w:rsid w:val="00545E54"/>
    <w:rsid w:val="0055535A"/>
    <w:rsid w:val="00563001"/>
    <w:rsid w:val="005670BF"/>
    <w:rsid w:val="00572C93"/>
    <w:rsid w:val="005818F2"/>
    <w:rsid w:val="00582C8E"/>
    <w:rsid w:val="005863EC"/>
    <w:rsid w:val="00586D21"/>
    <w:rsid w:val="0059140B"/>
    <w:rsid w:val="005A4696"/>
    <w:rsid w:val="005A475C"/>
    <w:rsid w:val="005B3547"/>
    <w:rsid w:val="005B5337"/>
    <w:rsid w:val="005B6D4C"/>
    <w:rsid w:val="005C3536"/>
    <w:rsid w:val="005C3EFD"/>
    <w:rsid w:val="005C4717"/>
    <w:rsid w:val="005C6755"/>
    <w:rsid w:val="005D656D"/>
    <w:rsid w:val="005D7170"/>
    <w:rsid w:val="005D7B6A"/>
    <w:rsid w:val="005E185D"/>
    <w:rsid w:val="005E3999"/>
    <w:rsid w:val="005E6B1A"/>
    <w:rsid w:val="005F0DD5"/>
    <w:rsid w:val="005F42FC"/>
    <w:rsid w:val="005F45F5"/>
    <w:rsid w:val="005F7D67"/>
    <w:rsid w:val="00600944"/>
    <w:rsid w:val="00611EB8"/>
    <w:rsid w:val="00615C37"/>
    <w:rsid w:val="00621563"/>
    <w:rsid w:val="00623FC9"/>
    <w:rsid w:val="00625A33"/>
    <w:rsid w:val="00630505"/>
    <w:rsid w:val="006313AB"/>
    <w:rsid w:val="006321FE"/>
    <w:rsid w:val="00635777"/>
    <w:rsid w:val="0063622C"/>
    <w:rsid w:val="006369F0"/>
    <w:rsid w:val="00637E60"/>
    <w:rsid w:val="00640499"/>
    <w:rsid w:val="006441CB"/>
    <w:rsid w:val="0064680B"/>
    <w:rsid w:val="00651853"/>
    <w:rsid w:val="00660B7E"/>
    <w:rsid w:val="00664974"/>
    <w:rsid w:val="006649A3"/>
    <w:rsid w:val="00676A67"/>
    <w:rsid w:val="00680617"/>
    <w:rsid w:val="00680AB7"/>
    <w:rsid w:val="00681BCA"/>
    <w:rsid w:val="00684C49"/>
    <w:rsid w:val="00695AC4"/>
    <w:rsid w:val="0069785A"/>
    <w:rsid w:val="006A3C56"/>
    <w:rsid w:val="006A7832"/>
    <w:rsid w:val="006B07BD"/>
    <w:rsid w:val="006B5232"/>
    <w:rsid w:val="006B66EC"/>
    <w:rsid w:val="006C0242"/>
    <w:rsid w:val="006D6D5D"/>
    <w:rsid w:val="006E09EF"/>
    <w:rsid w:val="006E0B9E"/>
    <w:rsid w:val="006E5B1F"/>
    <w:rsid w:val="006E645F"/>
    <w:rsid w:val="006F02AD"/>
    <w:rsid w:val="006F130A"/>
    <w:rsid w:val="006F2EFC"/>
    <w:rsid w:val="0070109B"/>
    <w:rsid w:val="0070446C"/>
    <w:rsid w:val="00705B51"/>
    <w:rsid w:val="00712BAE"/>
    <w:rsid w:val="007142D1"/>
    <w:rsid w:val="007200C2"/>
    <w:rsid w:val="0072348E"/>
    <w:rsid w:val="007274D2"/>
    <w:rsid w:val="007413CF"/>
    <w:rsid w:val="00747C69"/>
    <w:rsid w:val="00747E39"/>
    <w:rsid w:val="00751CB2"/>
    <w:rsid w:val="007603A2"/>
    <w:rsid w:val="0076161A"/>
    <w:rsid w:val="00765E48"/>
    <w:rsid w:val="007675BA"/>
    <w:rsid w:val="00772560"/>
    <w:rsid w:val="00774B1B"/>
    <w:rsid w:val="00776B07"/>
    <w:rsid w:val="00776F54"/>
    <w:rsid w:val="00781D2F"/>
    <w:rsid w:val="0078365A"/>
    <w:rsid w:val="00787341"/>
    <w:rsid w:val="00794A9E"/>
    <w:rsid w:val="007A1470"/>
    <w:rsid w:val="007A2378"/>
    <w:rsid w:val="007C7EDD"/>
    <w:rsid w:val="007D4CCC"/>
    <w:rsid w:val="007E1361"/>
    <w:rsid w:val="007E1B40"/>
    <w:rsid w:val="007E7DDC"/>
    <w:rsid w:val="007F0F29"/>
    <w:rsid w:val="007F1BA6"/>
    <w:rsid w:val="007F51E3"/>
    <w:rsid w:val="007F5FA7"/>
    <w:rsid w:val="007F75E6"/>
    <w:rsid w:val="0080769B"/>
    <w:rsid w:val="00810B36"/>
    <w:rsid w:val="00817D44"/>
    <w:rsid w:val="008210D3"/>
    <w:rsid w:val="00822BCF"/>
    <w:rsid w:val="00822F9C"/>
    <w:rsid w:val="00831AC6"/>
    <w:rsid w:val="00843B4C"/>
    <w:rsid w:val="008556E9"/>
    <w:rsid w:val="008631B0"/>
    <w:rsid w:val="00863312"/>
    <w:rsid w:val="00865261"/>
    <w:rsid w:val="00866348"/>
    <w:rsid w:val="00872076"/>
    <w:rsid w:val="00881FD1"/>
    <w:rsid w:val="0088323D"/>
    <w:rsid w:val="00886918"/>
    <w:rsid w:val="0089631D"/>
    <w:rsid w:val="0089743C"/>
    <w:rsid w:val="008A7107"/>
    <w:rsid w:val="008B3405"/>
    <w:rsid w:val="008B4942"/>
    <w:rsid w:val="008B5364"/>
    <w:rsid w:val="008B6630"/>
    <w:rsid w:val="008C34A5"/>
    <w:rsid w:val="008C6FEF"/>
    <w:rsid w:val="008D2B0B"/>
    <w:rsid w:val="008D37D2"/>
    <w:rsid w:val="008E3BE5"/>
    <w:rsid w:val="008E6D0A"/>
    <w:rsid w:val="008F127F"/>
    <w:rsid w:val="008F57CA"/>
    <w:rsid w:val="008F6706"/>
    <w:rsid w:val="00900705"/>
    <w:rsid w:val="00900801"/>
    <w:rsid w:val="0090113E"/>
    <w:rsid w:val="0090530E"/>
    <w:rsid w:val="00905480"/>
    <w:rsid w:val="00911D03"/>
    <w:rsid w:val="00914A02"/>
    <w:rsid w:val="00916235"/>
    <w:rsid w:val="0091734D"/>
    <w:rsid w:val="00921A8A"/>
    <w:rsid w:val="0093081B"/>
    <w:rsid w:val="009323D1"/>
    <w:rsid w:val="0093560B"/>
    <w:rsid w:val="00936135"/>
    <w:rsid w:val="0093655D"/>
    <w:rsid w:val="00944EC2"/>
    <w:rsid w:val="00947DF9"/>
    <w:rsid w:val="0095414A"/>
    <w:rsid w:val="00971623"/>
    <w:rsid w:val="009811A9"/>
    <w:rsid w:val="00987E38"/>
    <w:rsid w:val="00991FE1"/>
    <w:rsid w:val="00993B45"/>
    <w:rsid w:val="009956B5"/>
    <w:rsid w:val="009962F0"/>
    <w:rsid w:val="009B2201"/>
    <w:rsid w:val="009B6FA2"/>
    <w:rsid w:val="009C0F07"/>
    <w:rsid w:val="009C1F8F"/>
    <w:rsid w:val="009C24F1"/>
    <w:rsid w:val="009C7645"/>
    <w:rsid w:val="009D29A6"/>
    <w:rsid w:val="009D5000"/>
    <w:rsid w:val="009D5A1B"/>
    <w:rsid w:val="009E2300"/>
    <w:rsid w:val="009F3B77"/>
    <w:rsid w:val="009F6B06"/>
    <w:rsid w:val="00A02013"/>
    <w:rsid w:val="00A04F96"/>
    <w:rsid w:val="00A05470"/>
    <w:rsid w:val="00A21E88"/>
    <w:rsid w:val="00A25AF7"/>
    <w:rsid w:val="00A25DDE"/>
    <w:rsid w:val="00A31047"/>
    <w:rsid w:val="00A33005"/>
    <w:rsid w:val="00A33209"/>
    <w:rsid w:val="00A34D6E"/>
    <w:rsid w:val="00A37782"/>
    <w:rsid w:val="00A44105"/>
    <w:rsid w:val="00A4508C"/>
    <w:rsid w:val="00A46A4D"/>
    <w:rsid w:val="00A51C78"/>
    <w:rsid w:val="00A545DE"/>
    <w:rsid w:val="00A557EA"/>
    <w:rsid w:val="00A62188"/>
    <w:rsid w:val="00A627D4"/>
    <w:rsid w:val="00A642C7"/>
    <w:rsid w:val="00A64AA5"/>
    <w:rsid w:val="00A70D6A"/>
    <w:rsid w:val="00A74F26"/>
    <w:rsid w:val="00A766BF"/>
    <w:rsid w:val="00A768FC"/>
    <w:rsid w:val="00A770EE"/>
    <w:rsid w:val="00A83250"/>
    <w:rsid w:val="00A8384F"/>
    <w:rsid w:val="00A8391A"/>
    <w:rsid w:val="00A87988"/>
    <w:rsid w:val="00A91738"/>
    <w:rsid w:val="00A936A4"/>
    <w:rsid w:val="00A97731"/>
    <w:rsid w:val="00AA0BC4"/>
    <w:rsid w:val="00AA1FFC"/>
    <w:rsid w:val="00AA2ABA"/>
    <w:rsid w:val="00AA2ECA"/>
    <w:rsid w:val="00AA6F43"/>
    <w:rsid w:val="00AA6FF5"/>
    <w:rsid w:val="00AC7D22"/>
    <w:rsid w:val="00AD0CD4"/>
    <w:rsid w:val="00AD1AAB"/>
    <w:rsid w:val="00AD7EC2"/>
    <w:rsid w:val="00AE0F51"/>
    <w:rsid w:val="00AE0FD5"/>
    <w:rsid w:val="00AE4196"/>
    <w:rsid w:val="00AE616D"/>
    <w:rsid w:val="00AE737A"/>
    <w:rsid w:val="00AE7A3C"/>
    <w:rsid w:val="00AF145A"/>
    <w:rsid w:val="00AF246F"/>
    <w:rsid w:val="00AF31A4"/>
    <w:rsid w:val="00AF39DB"/>
    <w:rsid w:val="00AF4A61"/>
    <w:rsid w:val="00AF733A"/>
    <w:rsid w:val="00B00C5E"/>
    <w:rsid w:val="00B036C2"/>
    <w:rsid w:val="00B07A07"/>
    <w:rsid w:val="00B10E3F"/>
    <w:rsid w:val="00B14573"/>
    <w:rsid w:val="00B160C6"/>
    <w:rsid w:val="00B16AD8"/>
    <w:rsid w:val="00B24DE8"/>
    <w:rsid w:val="00B25A28"/>
    <w:rsid w:val="00B32641"/>
    <w:rsid w:val="00B33CBE"/>
    <w:rsid w:val="00B3417F"/>
    <w:rsid w:val="00B43D54"/>
    <w:rsid w:val="00B4492D"/>
    <w:rsid w:val="00B44BD5"/>
    <w:rsid w:val="00B471C7"/>
    <w:rsid w:val="00B613C7"/>
    <w:rsid w:val="00B6519F"/>
    <w:rsid w:val="00B67673"/>
    <w:rsid w:val="00B70346"/>
    <w:rsid w:val="00B70F19"/>
    <w:rsid w:val="00B77557"/>
    <w:rsid w:val="00B805DB"/>
    <w:rsid w:val="00B813CA"/>
    <w:rsid w:val="00B83798"/>
    <w:rsid w:val="00B91C27"/>
    <w:rsid w:val="00B92066"/>
    <w:rsid w:val="00B9258C"/>
    <w:rsid w:val="00B95FAF"/>
    <w:rsid w:val="00B97946"/>
    <w:rsid w:val="00BA1489"/>
    <w:rsid w:val="00BA58C9"/>
    <w:rsid w:val="00BA7CA0"/>
    <w:rsid w:val="00BB0446"/>
    <w:rsid w:val="00BB4945"/>
    <w:rsid w:val="00BB4E9E"/>
    <w:rsid w:val="00BB5F6E"/>
    <w:rsid w:val="00BC1D9D"/>
    <w:rsid w:val="00BC2698"/>
    <w:rsid w:val="00BC3518"/>
    <w:rsid w:val="00BC5597"/>
    <w:rsid w:val="00BD014E"/>
    <w:rsid w:val="00BD085E"/>
    <w:rsid w:val="00BD2CDA"/>
    <w:rsid w:val="00BD3C64"/>
    <w:rsid w:val="00BD4CC0"/>
    <w:rsid w:val="00BE4F6F"/>
    <w:rsid w:val="00BF1B16"/>
    <w:rsid w:val="00BF5C14"/>
    <w:rsid w:val="00C02CCC"/>
    <w:rsid w:val="00C052E2"/>
    <w:rsid w:val="00C05453"/>
    <w:rsid w:val="00C16195"/>
    <w:rsid w:val="00C16D31"/>
    <w:rsid w:val="00C209C3"/>
    <w:rsid w:val="00C23F67"/>
    <w:rsid w:val="00C334E9"/>
    <w:rsid w:val="00C36F6A"/>
    <w:rsid w:val="00C42362"/>
    <w:rsid w:val="00C4247F"/>
    <w:rsid w:val="00C42D64"/>
    <w:rsid w:val="00C43B0E"/>
    <w:rsid w:val="00C44FDC"/>
    <w:rsid w:val="00C538AC"/>
    <w:rsid w:val="00C612F8"/>
    <w:rsid w:val="00C66119"/>
    <w:rsid w:val="00C71D30"/>
    <w:rsid w:val="00C938C9"/>
    <w:rsid w:val="00C9592F"/>
    <w:rsid w:val="00C979F0"/>
    <w:rsid w:val="00CA0826"/>
    <w:rsid w:val="00CA5543"/>
    <w:rsid w:val="00CB21A9"/>
    <w:rsid w:val="00CB5D43"/>
    <w:rsid w:val="00CC3B88"/>
    <w:rsid w:val="00CC6F77"/>
    <w:rsid w:val="00CD221E"/>
    <w:rsid w:val="00CD279B"/>
    <w:rsid w:val="00CD2918"/>
    <w:rsid w:val="00CD4BD8"/>
    <w:rsid w:val="00CE4074"/>
    <w:rsid w:val="00CE4FAE"/>
    <w:rsid w:val="00D073FB"/>
    <w:rsid w:val="00D117F1"/>
    <w:rsid w:val="00D13193"/>
    <w:rsid w:val="00D315F2"/>
    <w:rsid w:val="00D329E2"/>
    <w:rsid w:val="00D34489"/>
    <w:rsid w:val="00D42960"/>
    <w:rsid w:val="00D55592"/>
    <w:rsid w:val="00D60309"/>
    <w:rsid w:val="00D66847"/>
    <w:rsid w:val="00D66CD4"/>
    <w:rsid w:val="00D705FF"/>
    <w:rsid w:val="00D73E24"/>
    <w:rsid w:val="00D80296"/>
    <w:rsid w:val="00D819B9"/>
    <w:rsid w:val="00D86F81"/>
    <w:rsid w:val="00D918D7"/>
    <w:rsid w:val="00D9546C"/>
    <w:rsid w:val="00D96D99"/>
    <w:rsid w:val="00DA4558"/>
    <w:rsid w:val="00DA522D"/>
    <w:rsid w:val="00DA6859"/>
    <w:rsid w:val="00DB0482"/>
    <w:rsid w:val="00DB0DC6"/>
    <w:rsid w:val="00DB51B5"/>
    <w:rsid w:val="00DC0DB0"/>
    <w:rsid w:val="00DC3F9E"/>
    <w:rsid w:val="00DC6A68"/>
    <w:rsid w:val="00DC75E9"/>
    <w:rsid w:val="00DD4215"/>
    <w:rsid w:val="00DD6BB0"/>
    <w:rsid w:val="00DD7756"/>
    <w:rsid w:val="00DE1B7B"/>
    <w:rsid w:val="00DE4B0B"/>
    <w:rsid w:val="00DF0802"/>
    <w:rsid w:val="00E03F37"/>
    <w:rsid w:val="00E0521E"/>
    <w:rsid w:val="00E11789"/>
    <w:rsid w:val="00E145A4"/>
    <w:rsid w:val="00E1659E"/>
    <w:rsid w:val="00E20136"/>
    <w:rsid w:val="00E33E7F"/>
    <w:rsid w:val="00E3428C"/>
    <w:rsid w:val="00E40DDB"/>
    <w:rsid w:val="00E41E06"/>
    <w:rsid w:val="00E43EDE"/>
    <w:rsid w:val="00E44BE9"/>
    <w:rsid w:val="00E51EA8"/>
    <w:rsid w:val="00E571DB"/>
    <w:rsid w:val="00E63077"/>
    <w:rsid w:val="00E7100A"/>
    <w:rsid w:val="00E7236E"/>
    <w:rsid w:val="00E75CAF"/>
    <w:rsid w:val="00E760D6"/>
    <w:rsid w:val="00E76A78"/>
    <w:rsid w:val="00E85DF1"/>
    <w:rsid w:val="00E95769"/>
    <w:rsid w:val="00E95C6C"/>
    <w:rsid w:val="00E96928"/>
    <w:rsid w:val="00EA57C4"/>
    <w:rsid w:val="00EA68A5"/>
    <w:rsid w:val="00EB10EF"/>
    <w:rsid w:val="00EB6FAB"/>
    <w:rsid w:val="00EC4B63"/>
    <w:rsid w:val="00EC7ADB"/>
    <w:rsid w:val="00EC7BB0"/>
    <w:rsid w:val="00ED1094"/>
    <w:rsid w:val="00ED5803"/>
    <w:rsid w:val="00ED6D81"/>
    <w:rsid w:val="00EE17A2"/>
    <w:rsid w:val="00EE4687"/>
    <w:rsid w:val="00EE483F"/>
    <w:rsid w:val="00EE738E"/>
    <w:rsid w:val="00EF7DEE"/>
    <w:rsid w:val="00F0730F"/>
    <w:rsid w:val="00F07F95"/>
    <w:rsid w:val="00F10AEF"/>
    <w:rsid w:val="00F128AD"/>
    <w:rsid w:val="00F14942"/>
    <w:rsid w:val="00F21B57"/>
    <w:rsid w:val="00F61989"/>
    <w:rsid w:val="00F635C8"/>
    <w:rsid w:val="00F66AD6"/>
    <w:rsid w:val="00F723CD"/>
    <w:rsid w:val="00F762F5"/>
    <w:rsid w:val="00F808A8"/>
    <w:rsid w:val="00F8393F"/>
    <w:rsid w:val="00F83FDF"/>
    <w:rsid w:val="00F95435"/>
    <w:rsid w:val="00F9746E"/>
    <w:rsid w:val="00FA2BC9"/>
    <w:rsid w:val="00FA481C"/>
    <w:rsid w:val="00FB352A"/>
    <w:rsid w:val="00FB6606"/>
    <w:rsid w:val="00FC3017"/>
    <w:rsid w:val="00FC5710"/>
    <w:rsid w:val="00FC7FCF"/>
    <w:rsid w:val="00FD1224"/>
    <w:rsid w:val="00FD67A9"/>
    <w:rsid w:val="00FE1EE2"/>
    <w:rsid w:val="00FE62A2"/>
    <w:rsid w:val="00FF0392"/>
    <w:rsid w:val="00FF12D1"/>
    <w:rsid w:val="00FF45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A9D"/>
    <w:rPr>
      <w:color w:val="0000FF"/>
      <w:u w:val="single"/>
    </w:rPr>
  </w:style>
  <w:style w:type="paragraph" w:customStyle="1" w:styleId="Default">
    <w:name w:val="Default"/>
    <w:rsid w:val="005B533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86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1"/>
    <w:rPr>
      <w:rFonts w:ascii="Tahoma" w:hAnsi="Tahoma" w:cs="Tahoma"/>
      <w:sz w:val="16"/>
      <w:szCs w:val="16"/>
      <w:lang w:val="fr-FR"/>
    </w:rPr>
  </w:style>
  <w:style w:type="paragraph" w:customStyle="1" w:styleId="Chapterheading">
    <w:name w:val="Chapter heading"/>
    <w:basedOn w:val="Normal"/>
    <w:uiPriority w:val="99"/>
    <w:rsid w:val="00DA6859"/>
    <w:pPr>
      <w:spacing w:after="0" w:line="240" w:lineRule="auto"/>
    </w:pPr>
    <w:rPr>
      <w:rFonts w:ascii="Arial" w:eastAsia="Times New Roman" w:hAnsi="Arial" w:cs="Times New Roman"/>
      <w:b/>
      <w:sz w:val="32"/>
      <w:szCs w:val="24"/>
      <w:lang w:eastAsia="en-GB"/>
    </w:rPr>
  </w:style>
  <w:style w:type="paragraph" w:customStyle="1" w:styleId="Normaltext">
    <w:name w:val="Normal text"/>
    <w:basedOn w:val="Normal"/>
    <w:autoRedefine/>
    <w:uiPriority w:val="99"/>
    <w:rsid w:val="006E0B9E"/>
    <w:pPr>
      <w:spacing w:after="0" w:line="48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A6859"/>
    <w:pPr>
      <w:spacing w:after="0" w:line="240" w:lineRule="auto"/>
      <w:ind w:left="720"/>
      <w:contextualSpacing/>
    </w:pPr>
    <w:rPr>
      <w:rFonts w:ascii="Arial" w:hAnsi="Arial" w:cs="Times New Roman"/>
      <w:sz w:val="24"/>
      <w:szCs w:val="20"/>
    </w:rPr>
  </w:style>
  <w:style w:type="paragraph" w:styleId="NormalWeb">
    <w:name w:val="Normal (Web)"/>
    <w:basedOn w:val="Normal"/>
    <w:uiPriority w:val="99"/>
    <w:unhideWhenUsed/>
    <w:rsid w:val="00DA68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rsid w:val="00900801"/>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900801"/>
    <w:rPr>
      <w:rFonts w:ascii="Arial" w:eastAsia="Calibri" w:hAnsi="Arial" w:cs="Times New Roman"/>
      <w:sz w:val="20"/>
      <w:szCs w:val="20"/>
    </w:rPr>
  </w:style>
  <w:style w:type="character" w:styleId="FootnoteReference">
    <w:name w:val="footnote reference"/>
    <w:basedOn w:val="DefaultParagraphFont"/>
    <w:uiPriority w:val="99"/>
    <w:rsid w:val="00900801"/>
    <w:rPr>
      <w:rFonts w:cs="Times New Roman"/>
      <w:vertAlign w:val="superscript"/>
    </w:rPr>
  </w:style>
  <w:style w:type="paragraph" w:customStyle="1" w:styleId="Notestoself">
    <w:name w:val="Notes to self"/>
    <w:basedOn w:val="Normal"/>
    <w:uiPriority w:val="99"/>
    <w:rsid w:val="00637E60"/>
    <w:pPr>
      <w:spacing w:after="0" w:line="240" w:lineRule="auto"/>
    </w:pPr>
    <w:rPr>
      <w:rFonts w:ascii="Arial" w:eastAsia="Times New Roman" w:hAnsi="Arial" w:cs="Times New Roman"/>
      <w:i/>
      <w:sz w:val="20"/>
      <w:szCs w:val="24"/>
      <w:lang w:eastAsia="en-GB"/>
    </w:rPr>
  </w:style>
  <w:style w:type="paragraph" w:styleId="Header">
    <w:name w:val="header"/>
    <w:basedOn w:val="Normal"/>
    <w:link w:val="HeaderChar"/>
    <w:uiPriority w:val="99"/>
    <w:semiHidden/>
    <w:unhideWhenUsed/>
    <w:rsid w:val="00181F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1FA4"/>
    <w:rPr>
      <w:lang w:val="fr-FR"/>
    </w:rPr>
  </w:style>
  <w:style w:type="paragraph" w:styleId="Footer">
    <w:name w:val="footer"/>
    <w:basedOn w:val="Normal"/>
    <w:link w:val="FooterChar"/>
    <w:uiPriority w:val="99"/>
    <w:unhideWhenUsed/>
    <w:rsid w:val="0018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FA4"/>
    <w:rPr>
      <w:lang w:val="fr-FR"/>
    </w:rPr>
  </w:style>
  <w:style w:type="character" w:customStyle="1" w:styleId="apple-style-span">
    <w:name w:val="apple-style-span"/>
    <w:basedOn w:val="DefaultParagraphFont"/>
    <w:rsid w:val="00EC7ADB"/>
  </w:style>
  <w:style w:type="character" w:styleId="Emphasis">
    <w:name w:val="Emphasis"/>
    <w:basedOn w:val="DefaultParagraphFont"/>
    <w:uiPriority w:val="20"/>
    <w:qFormat/>
    <w:rsid w:val="00EC7ADB"/>
    <w:rPr>
      <w:i/>
      <w:iCs/>
    </w:rPr>
  </w:style>
  <w:style w:type="character" w:styleId="Strong">
    <w:name w:val="Strong"/>
    <w:basedOn w:val="DefaultParagraphFont"/>
    <w:uiPriority w:val="22"/>
    <w:qFormat/>
    <w:rsid w:val="00993B45"/>
    <w:rPr>
      <w:b/>
      <w:bCs/>
    </w:rPr>
  </w:style>
  <w:style w:type="character" w:customStyle="1" w:styleId="apple-converted-space">
    <w:name w:val="apple-converted-space"/>
    <w:basedOn w:val="DefaultParagraphFont"/>
    <w:rsid w:val="00993B45"/>
  </w:style>
  <w:style w:type="character" w:styleId="CommentReference">
    <w:name w:val="annotation reference"/>
    <w:basedOn w:val="DefaultParagraphFont"/>
    <w:uiPriority w:val="99"/>
    <w:semiHidden/>
    <w:unhideWhenUsed/>
    <w:rsid w:val="001E2CAE"/>
    <w:rPr>
      <w:sz w:val="16"/>
      <w:szCs w:val="16"/>
    </w:rPr>
  </w:style>
  <w:style w:type="paragraph" w:styleId="CommentText">
    <w:name w:val="annotation text"/>
    <w:basedOn w:val="Normal"/>
    <w:link w:val="CommentTextChar"/>
    <w:uiPriority w:val="99"/>
    <w:semiHidden/>
    <w:unhideWhenUsed/>
    <w:rsid w:val="001E2CAE"/>
    <w:pPr>
      <w:spacing w:line="240" w:lineRule="auto"/>
    </w:pPr>
    <w:rPr>
      <w:sz w:val="20"/>
      <w:szCs w:val="20"/>
    </w:rPr>
  </w:style>
  <w:style w:type="character" w:customStyle="1" w:styleId="CommentTextChar">
    <w:name w:val="Comment Text Char"/>
    <w:basedOn w:val="DefaultParagraphFont"/>
    <w:link w:val="CommentText"/>
    <w:uiPriority w:val="99"/>
    <w:semiHidden/>
    <w:rsid w:val="001E2CAE"/>
    <w:rPr>
      <w:sz w:val="20"/>
      <w:szCs w:val="20"/>
    </w:rPr>
  </w:style>
  <w:style w:type="paragraph" w:styleId="CommentSubject">
    <w:name w:val="annotation subject"/>
    <w:basedOn w:val="CommentText"/>
    <w:next w:val="CommentText"/>
    <w:link w:val="CommentSubjectChar"/>
    <w:uiPriority w:val="99"/>
    <w:semiHidden/>
    <w:unhideWhenUsed/>
    <w:rsid w:val="001E2CAE"/>
    <w:rPr>
      <w:b/>
      <w:bCs/>
    </w:rPr>
  </w:style>
  <w:style w:type="character" w:customStyle="1" w:styleId="CommentSubjectChar">
    <w:name w:val="Comment Subject Char"/>
    <w:basedOn w:val="CommentTextChar"/>
    <w:link w:val="CommentSubject"/>
    <w:uiPriority w:val="99"/>
    <w:semiHidden/>
    <w:rsid w:val="001E2C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811547">
      <w:bodyDiv w:val="1"/>
      <w:marLeft w:val="0"/>
      <w:marRight w:val="0"/>
      <w:marTop w:val="0"/>
      <w:marBottom w:val="0"/>
      <w:divBdr>
        <w:top w:val="none" w:sz="0" w:space="0" w:color="auto"/>
        <w:left w:val="none" w:sz="0" w:space="0" w:color="auto"/>
        <w:bottom w:val="none" w:sz="0" w:space="0" w:color="auto"/>
        <w:right w:val="none" w:sz="0" w:space="0" w:color="auto"/>
      </w:divBdr>
    </w:div>
    <w:div w:id="539973960">
      <w:bodyDiv w:val="1"/>
      <w:marLeft w:val="0"/>
      <w:marRight w:val="0"/>
      <w:marTop w:val="0"/>
      <w:marBottom w:val="0"/>
      <w:divBdr>
        <w:top w:val="none" w:sz="0" w:space="0" w:color="auto"/>
        <w:left w:val="none" w:sz="0" w:space="0" w:color="auto"/>
        <w:bottom w:val="none" w:sz="0" w:space="0" w:color="auto"/>
        <w:right w:val="none" w:sz="0" w:space="0" w:color="auto"/>
      </w:divBdr>
    </w:div>
    <w:div w:id="669219562">
      <w:bodyDiv w:val="1"/>
      <w:marLeft w:val="0"/>
      <w:marRight w:val="0"/>
      <w:marTop w:val="0"/>
      <w:marBottom w:val="0"/>
      <w:divBdr>
        <w:top w:val="none" w:sz="0" w:space="0" w:color="auto"/>
        <w:left w:val="none" w:sz="0" w:space="0" w:color="auto"/>
        <w:bottom w:val="none" w:sz="0" w:space="0" w:color="auto"/>
        <w:right w:val="none" w:sz="0" w:space="0" w:color="auto"/>
      </w:divBdr>
    </w:div>
    <w:div w:id="1227106626">
      <w:bodyDiv w:val="1"/>
      <w:marLeft w:val="0"/>
      <w:marRight w:val="0"/>
      <w:marTop w:val="0"/>
      <w:marBottom w:val="0"/>
      <w:divBdr>
        <w:top w:val="none" w:sz="0" w:space="0" w:color="auto"/>
        <w:left w:val="none" w:sz="0" w:space="0" w:color="auto"/>
        <w:bottom w:val="none" w:sz="0" w:space="0" w:color="auto"/>
        <w:right w:val="none" w:sz="0" w:space="0" w:color="auto"/>
      </w:divBdr>
    </w:div>
    <w:div w:id="13258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PHG/Wave20/55"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F678-65D7-4613-A281-6E1A8431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8486</Words>
  <Characters>48375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Carmichael</dc:creator>
  <cp:lastModifiedBy>Alexander Clarke</cp:lastModifiedBy>
  <cp:revision>2</cp:revision>
  <cp:lastPrinted>2011-07-21T10:47:00Z</cp:lastPrinted>
  <dcterms:created xsi:type="dcterms:W3CDTF">2011-11-08T12:31:00Z</dcterms:created>
  <dcterms:modified xsi:type="dcterms:W3CDTF">2011-11-08T12:31:00Z</dcterms:modified>
</cp:coreProperties>
</file>